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F5E91" w:rsidR="006F243C" w:rsidP="006F243C" w:rsidRDefault="006F243C" w14:paraId="4C29DE0E" w14:textId="77777777">
      <w:pPr>
        <w:pStyle w:val="Heading2"/>
        <w:tabs>
          <w:tab w:val="left" w:pos="900"/>
        </w:tabs>
        <w:ind w:right="-180"/>
      </w:pPr>
      <w:r w:rsidRPr="00DF5E91">
        <w:t>FDA DOCUMENTATION FOR THE GENERIC CLEARANCE</w:t>
      </w:r>
    </w:p>
    <w:p w:rsidRPr="00DF5E91" w:rsidR="006F243C" w:rsidP="006F243C" w:rsidRDefault="006F243C" w14:paraId="7D389E2B" w14:textId="6737626A">
      <w:pPr>
        <w:jc w:val="center"/>
      </w:pPr>
      <w:r w:rsidRPr="00DF5E91">
        <w:rPr>
          <w:b/>
        </w:rPr>
        <w:t xml:space="preserve">OF </w:t>
      </w:r>
      <w:r w:rsidR="003554C9">
        <w:rPr>
          <w:b/>
        </w:rPr>
        <w:t xml:space="preserve">DATA TO SUPPORT DRUG PRODUCT </w:t>
      </w:r>
      <w:r w:rsidRPr="00DF5E91">
        <w:rPr>
          <w:b/>
        </w:rPr>
        <w:t>COMMUNICATIONS (0910-0695)</w:t>
      </w:r>
    </w:p>
    <w:p w:rsidR="003F1C7A" w:rsidRDefault="009D0571" w14:paraId="0018C4B9" w14:textId="77777777">
      <w:r w:rsidRPr="009404FA">
        <w:rPr>
          <w:noProof/>
          <w:sz w:val="18"/>
          <w:szCs w:val="18"/>
        </w:rPr>
        <mc:AlternateContent>
          <mc:Choice Requires="wps">
            <w:drawing>
              <wp:anchor distT="0" distB="0" distL="114300" distR="114300" simplePos="0" relativeHeight="251657728" behindDoc="0" locked="0" layoutInCell="1" allowOverlap="1" wp14:editId="4B2316FB" wp14:anchorId="0CFFC487">
                <wp:simplePos x="0" y="0"/>
                <wp:positionH relativeFrom="column">
                  <wp:posOffset>-114300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from="-9pt,3.8pt" to="459pt,3.8pt" w14:anchorId="6637D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"/>
            </w:pict>
          </mc:Fallback>
        </mc:AlternateContent>
      </w:r>
    </w:p>
    <w:p w:rsidR="00310E51" w:rsidP="005E23BA" w:rsidRDefault="00310E51" w14:paraId="513F8C4D" w14:textId="77777777">
      <w:pPr>
        <w:spacing w:before="120"/>
        <w:rPr>
          <w:b/>
        </w:rPr>
      </w:pPr>
    </w:p>
    <w:p w:rsidR="003F1C7A" w:rsidP="003D7850" w:rsidRDefault="003F1C7A" w14:paraId="47270854" w14:textId="1765C69A">
      <w:pPr>
        <w:rPr>
          <w:b/>
        </w:rPr>
      </w:pPr>
      <w:r w:rsidRPr="003D7850">
        <w:rPr>
          <w:b/>
        </w:rPr>
        <w:t>TITLE OF INFORMATION COLLECTION:</w:t>
      </w:r>
      <w:r w:rsidRPr="003D7850">
        <w:t xml:space="preserve">  </w:t>
      </w:r>
      <w:r w:rsidR="003D7850">
        <w:t xml:space="preserve">Remote Focus Groups: </w:t>
      </w:r>
      <w:r w:rsidRPr="003D7850" w:rsidR="003D7850">
        <w:rPr>
          <w:bCs/>
        </w:rPr>
        <w:t>Prescription Drug Use Related Software (PDURS) Study</w:t>
      </w:r>
    </w:p>
    <w:p w:rsidRPr="003D7850" w:rsidR="003D7850" w:rsidP="003D7850" w:rsidRDefault="003D7850" w14:paraId="6DBFFD0B" w14:textId="77777777"/>
    <w:p w:rsidR="003F1C7A" w:rsidP="00157D3A" w:rsidRDefault="003F1C7A" w14:paraId="3F775A4E" w14:textId="2052AF1A">
      <w:r w:rsidRPr="003D7850">
        <w:rPr>
          <w:b/>
        </w:rPr>
        <w:t>DESCRIPTION OF THIS SPECIFIC COLLECTION</w:t>
      </w:r>
    </w:p>
    <w:p w:rsidR="008A31FF" w:rsidP="00157D3A" w:rsidRDefault="008A31FF" w14:paraId="66FC0969" w14:textId="77777777"/>
    <w:p w:rsidR="003F1C7A" w:rsidP="00D70AEC" w:rsidRDefault="0049419A" w14:paraId="60D0295E" w14:textId="77777777">
      <w:pPr>
        <w:numPr>
          <w:ilvl w:val="0"/>
          <w:numId w:val="1"/>
        </w:numPr>
        <w:ind w:left="720"/>
      </w:pPr>
      <w:r w:rsidRPr="00A43A42">
        <w:rPr>
          <w:b/>
        </w:rPr>
        <w:t>Statement of n</w:t>
      </w:r>
      <w:r w:rsidRPr="00A43A42" w:rsidR="00F12AEE">
        <w:rPr>
          <w:b/>
        </w:rPr>
        <w:t>eed</w:t>
      </w:r>
      <w:r w:rsidRPr="00A43A42" w:rsidR="003F1C7A">
        <w:rPr>
          <w:b/>
        </w:rPr>
        <w:t>:</w:t>
      </w:r>
      <w:r w:rsidRPr="00A43A42" w:rsidR="003F1C7A">
        <w:t xml:space="preserve">  </w:t>
      </w:r>
    </w:p>
    <w:p w:rsidRPr="00A43A42" w:rsidR="00BA5C32" w:rsidP="00BA5C32" w:rsidRDefault="00BA5C32" w14:paraId="2CCFDC7B" w14:textId="77777777">
      <w:pPr>
        <w:ind w:left="360"/>
      </w:pPr>
    </w:p>
    <w:p w:rsidR="009E24D8" w:rsidP="00793008" w:rsidRDefault="00CE5ABC" w14:paraId="03EC5B32" w14:textId="75038426">
      <w:pPr>
        <w:ind w:left="720"/>
      </w:pPr>
      <w:r>
        <w:t xml:space="preserve">In light of </w:t>
      </w:r>
      <w:r w:rsidR="009E2773">
        <w:t xml:space="preserve">recent </w:t>
      </w:r>
      <w:r w:rsidR="009E24D8">
        <w:t>technologies, a number of currently marketed prescription drug products incorporate microchip or Bluetooth technology to track administration of medication</w:t>
      </w:r>
      <w:r w:rsidR="0058292D">
        <w:t xml:space="preserve">.  </w:t>
      </w:r>
      <w:r w:rsidR="00433998">
        <w:t>Following are two</w:t>
      </w:r>
      <w:r w:rsidR="009E24D8">
        <w:t xml:space="preserve"> example</w:t>
      </w:r>
      <w:r w:rsidR="00433998">
        <w:t>s</w:t>
      </w:r>
      <w:r w:rsidR="001B1D37">
        <w:t>:</w:t>
      </w:r>
      <w:r w:rsidR="009E24D8">
        <w:t xml:space="preserve"> </w:t>
      </w:r>
      <w:r w:rsidR="00433998">
        <w:t xml:space="preserve">(1) </w:t>
      </w:r>
      <w:r w:rsidR="009E24D8">
        <w:t>Abilify Mycite uses a microchip in a product indicated for schizophrenia to connect to an app that records when patients take their medication</w:t>
      </w:r>
      <w:r w:rsidR="00B26472">
        <w:t>;</w:t>
      </w:r>
      <w:r w:rsidR="00433998">
        <w:t xml:space="preserve"> and (2)</w:t>
      </w:r>
      <w:r w:rsidR="00CA1AF7">
        <w:t xml:space="preserve"> </w:t>
      </w:r>
      <w:r w:rsidR="00433998">
        <w:t>a</w:t>
      </w:r>
      <w:r w:rsidR="009E24D8">
        <w:t xml:space="preserve"> new combination product involving Enbrel uses Bluetooth technology in the administration device to connect to an app to track medication usage. </w:t>
      </w:r>
    </w:p>
    <w:p w:rsidR="009E24D8" w:rsidP="00793008" w:rsidRDefault="009E24D8" w14:paraId="367C18F2" w14:textId="77777777">
      <w:pPr>
        <w:ind w:left="720"/>
      </w:pPr>
    </w:p>
    <w:p w:rsidR="009E24D8" w:rsidP="00793008" w:rsidRDefault="00B26472" w14:paraId="1D732D29" w14:textId="5C6C3F3C">
      <w:pPr>
        <w:ind w:left="720"/>
      </w:pPr>
      <w:r>
        <w:t>I</w:t>
      </w:r>
      <w:r w:rsidR="009E24D8">
        <w:t>n many cases, no evidence exists that these products increase adherence</w:t>
      </w:r>
      <w:r w:rsidR="00CE5ABC">
        <w:t>;</w:t>
      </w:r>
      <w:r w:rsidR="009E24D8">
        <w:t xml:space="preserve"> </w:t>
      </w:r>
      <w:r w:rsidR="00CE5ABC">
        <w:t xml:space="preserve">however, </w:t>
      </w:r>
      <w:r w:rsidR="00E77C96">
        <w:t>physician</w:t>
      </w:r>
      <w:r w:rsidR="009E24D8">
        <w:t xml:space="preserve">s and patients </w:t>
      </w:r>
      <w:r w:rsidR="002659BE">
        <w:t xml:space="preserve">may </w:t>
      </w:r>
      <w:r w:rsidR="009E24D8">
        <w:t>infer some kind of adherence benefit</w:t>
      </w:r>
      <w:r w:rsidR="002659BE">
        <w:t xml:space="preserve"> from the technology</w:t>
      </w:r>
      <w:r w:rsidR="00B04957">
        <w:t xml:space="preserve">.  </w:t>
      </w:r>
      <w:r w:rsidR="009E24D8">
        <w:t>It is possible that</w:t>
      </w:r>
      <w:r w:rsidR="002659BE">
        <w:t xml:space="preserve"> providing</w:t>
      </w:r>
      <w:r w:rsidR="009E24D8">
        <w:t xml:space="preserve"> </w:t>
      </w:r>
      <w:r w:rsidR="002659BE">
        <w:t>additional</w:t>
      </w:r>
      <w:r w:rsidR="009E24D8">
        <w:t xml:space="preserve"> information about the state of knowledge about adherence</w:t>
      </w:r>
      <w:r w:rsidR="002659BE">
        <w:t xml:space="preserve"> will influence</w:t>
      </w:r>
      <w:r w:rsidR="009E24D8">
        <w:t xml:space="preserve"> </w:t>
      </w:r>
      <w:r w:rsidR="002659BE">
        <w:t xml:space="preserve">these </w:t>
      </w:r>
      <w:r w:rsidR="009E24D8">
        <w:t>perceptions</w:t>
      </w:r>
      <w:r w:rsidR="0058292D">
        <w:t xml:space="preserve">.  </w:t>
      </w:r>
      <w:r w:rsidR="009E24D8">
        <w:t xml:space="preserve">We will explore these questions in a series of remote focus groups with </w:t>
      </w:r>
      <w:r w:rsidR="002659BE">
        <w:t>physicians</w:t>
      </w:r>
      <w:r w:rsidR="009E24D8">
        <w:t xml:space="preserve"> and consumers </w:t>
      </w:r>
      <w:r w:rsidR="001B1D37">
        <w:t xml:space="preserve">and </w:t>
      </w:r>
      <w:r w:rsidR="009E24D8">
        <w:t>address questions about how individuals will interpret limitation of use disclosures</w:t>
      </w:r>
      <w:r w:rsidR="0058292D">
        <w:t xml:space="preserve">.  </w:t>
      </w:r>
      <w:r w:rsidR="009E24D8">
        <w:t>For example, do people distinguish between a lack of data (</w:t>
      </w:r>
      <w:r w:rsidR="00A22304">
        <w:t xml:space="preserve">i.e., </w:t>
      </w:r>
      <w:r w:rsidR="009E24D8">
        <w:t xml:space="preserve">“has not been shown to,” </w:t>
      </w:r>
      <w:r w:rsidR="00A22304">
        <w:t xml:space="preserve">or </w:t>
      </w:r>
      <w:r w:rsidR="009E24D8">
        <w:t>“it is not known”) and unsupportive data (</w:t>
      </w:r>
      <w:r w:rsidR="00A22304">
        <w:t xml:space="preserve">i.e., </w:t>
      </w:r>
      <w:r w:rsidR="009E24D8">
        <w:t>“has been shown not to”)?</w:t>
      </w:r>
      <w:r w:rsidRPr="009E24D8" w:rsidR="009E24D8">
        <w:rPr>
          <w:rStyle w:val="FootnoteReference"/>
          <w:vertAlign w:val="superscript"/>
        </w:rPr>
        <w:footnoteReference w:id="1"/>
      </w:r>
      <w:r w:rsidR="009E24D8">
        <w:t xml:space="preserve"> </w:t>
      </w:r>
      <w:r w:rsidR="00DD1C2D">
        <w:t xml:space="preserve"> </w:t>
      </w:r>
      <w:r w:rsidR="00433998">
        <w:t>We will use f</w:t>
      </w:r>
      <w:r w:rsidR="009E24D8">
        <w:t xml:space="preserve">ocus groups as a first step toward </w:t>
      </w:r>
      <w:r w:rsidR="00B71516">
        <w:t xml:space="preserve">a </w:t>
      </w:r>
      <w:r w:rsidR="009E24D8">
        <w:t xml:space="preserve">future quantitative study </w:t>
      </w:r>
      <w:r w:rsidR="00CE5ABC">
        <w:t>in an effort to</w:t>
      </w:r>
      <w:r w:rsidR="009E24D8">
        <w:t xml:space="preserve"> obtain richer responses from individuals in their own language.</w:t>
      </w:r>
    </w:p>
    <w:p w:rsidR="00C13B38" w:rsidP="00793008" w:rsidRDefault="00C13B38" w14:paraId="6285ED95" w14:textId="77777777">
      <w:pPr>
        <w:pStyle w:val="BodyText1"/>
        <w:spacing w:after="0" w:line="276" w:lineRule="auto"/>
        <w:ind w:left="720" w:firstLine="0"/>
        <w:rPr>
          <w:sz w:val="24"/>
          <w:szCs w:val="24"/>
        </w:rPr>
      </w:pPr>
    </w:p>
    <w:p w:rsidR="003F1C7A" w:rsidP="00D70AEC" w:rsidRDefault="0049419A" w14:paraId="46F860D1" w14:textId="77777777">
      <w:pPr>
        <w:numPr>
          <w:ilvl w:val="0"/>
          <w:numId w:val="1"/>
        </w:numPr>
        <w:ind w:left="720"/>
      </w:pPr>
      <w:r w:rsidRPr="00735060">
        <w:rPr>
          <w:b/>
        </w:rPr>
        <w:t>Intended u</w:t>
      </w:r>
      <w:r w:rsidRPr="00735060" w:rsidR="00F12AEE">
        <w:rPr>
          <w:b/>
        </w:rPr>
        <w:t>se</w:t>
      </w:r>
      <w:r w:rsidRPr="00735060">
        <w:rPr>
          <w:b/>
        </w:rPr>
        <w:t xml:space="preserve"> of information</w:t>
      </w:r>
      <w:r w:rsidRPr="00735060" w:rsidR="003F1C7A">
        <w:rPr>
          <w:b/>
        </w:rPr>
        <w:t>:</w:t>
      </w:r>
      <w:r w:rsidRPr="00735060" w:rsidR="003F1C7A">
        <w:t xml:space="preserve">  </w:t>
      </w:r>
    </w:p>
    <w:p w:rsidR="002623BC" w:rsidP="002623BC" w:rsidRDefault="002623BC" w14:paraId="41A71D26" w14:textId="77777777"/>
    <w:p w:rsidRPr="00F95A48" w:rsidR="002D14D9" w:rsidP="00793008" w:rsidRDefault="00F95A48" w14:paraId="431611DF" w14:textId="76C312F9">
      <w:pPr>
        <w:pStyle w:val="Default"/>
        <w:ind w:left="720"/>
        <w:rPr>
          <w:rFonts w:ascii="Times New Roman" w:hAnsi="Times New Roman" w:cs="Times New Roman"/>
          <w:snapToGrid w:val="0"/>
          <w:highlight w:val="yellow"/>
        </w:rPr>
      </w:pPr>
      <w:r w:rsidRPr="00F14293">
        <w:rPr>
          <w:rFonts w:ascii="Times New Roman" w:hAnsi="Times New Roman" w:cs="Times New Roman"/>
          <w:snapToGrid w:val="0"/>
        </w:rPr>
        <w:t>We will use the results of this research to</w:t>
      </w:r>
      <w:r w:rsidR="00A22304">
        <w:rPr>
          <w:rFonts w:ascii="Times New Roman" w:hAnsi="Times New Roman" w:cs="Times New Roman"/>
          <w:snapToGrid w:val="0"/>
        </w:rPr>
        <w:t>:</w:t>
      </w:r>
      <w:r w:rsidRPr="00F14293">
        <w:rPr>
          <w:rFonts w:ascii="Times New Roman" w:hAnsi="Times New Roman" w:cs="Times New Roman"/>
          <w:snapToGrid w:val="0"/>
        </w:rPr>
        <w:t xml:space="preserve"> </w:t>
      </w:r>
      <w:r w:rsidRPr="0086633F" w:rsidR="0086633F">
        <w:rPr>
          <w:rFonts w:ascii="Times New Roman" w:hAnsi="Times New Roman" w:cs="Times New Roman"/>
          <w:snapToGrid w:val="0"/>
        </w:rPr>
        <w:t>(</w:t>
      </w:r>
      <w:r w:rsidR="006F303C">
        <w:rPr>
          <w:rFonts w:ascii="Times New Roman" w:hAnsi="Times New Roman" w:cs="Times New Roman"/>
          <w:snapToGrid w:val="0"/>
        </w:rPr>
        <w:t xml:space="preserve">1) </w:t>
      </w:r>
      <w:r w:rsidRPr="00F14293">
        <w:rPr>
          <w:rFonts w:ascii="Times New Roman" w:hAnsi="Times New Roman" w:cs="Times New Roman"/>
          <w:snapToGrid w:val="0"/>
        </w:rPr>
        <w:t xml:space="preserve">better understand </w:t>
      </w:r>
      <w:r w:rsidR="008A2B03">
        <w:rPr>
          <w:rFonts w:ascii="Times New Roman" w:hAnsi="Times New Roman" w:cs="Times New Roman"/>
          <w:snapToGrid w:val="0"/>
        </w:rPr>
        <w:t xml:space="preserve">what </w:t>
      </w:r>
      <w:r w:rsidR="001676F9">
        <w:rPr>
          <w:rFonts w:ascii="Times New Roman" w:hAnsi="Times New Roman" w:cs="Times New Roman"/>
          <w:snapToGrid w:val="0"/>
        </w:rPr>
        <w:t>physician</w:t>
      </w:r>
      <w:r w:rsidRPr="00F14293" w:rsidR="001676F9">
        <w:rPr>
          <w:rFonts w:ascii="Times New Roman" w:hAnsi="Times New Roman" w:cs="Times New Roman"/>
          <w:snapToGrid w:val="0"/>
        </w:rPr>
        <w:t>s</w:t>
      </w:r>
      <w:r w:rsidR="001676F9">
        <w:rPr>
          <w:rFonts w:ascii="Times New Roman" w:hAnsi="Times New Roman" w:cs="Times New Roman"/>
          <w:snapToGrid w:val="0"/>
        </w:rPr>
        <w:t xml:space="preserve"> </w:t>
      </w:r>
      <w:r w:rsidR="008A2B03">
        <w:rPr>
          <w:rFonts w:ascii="Times New Roman" w:hAnsi="Times New Roman" w:cs="Times New Roman"/>
          <w:snapToGrid w:val="0"/>
        </w:rPr>
        <w:t>and consumers</w:t>
      </w:r>
      <w:r w:rsidRPr="00F14293">
        <w:rPr>
          <w:rFonts w:ascii="Times New Roman" w:hAnsi="Times New Roman" w:cs="Times New Roman"/>
          <w:snapToGrid w:val="0"/>
        </w:rPr>
        <w:t xml:space="preserve"> </w:t>
      </w:r>
      <w:r w:rsidR="008A2B03">
        <w:rPr>
          <w:rFonts w:ascii="Times New Roman" w:hAnsi="Times New Roman" w:cs="Times New Roman"/>
          <w:snapToGrid w:val="0"/>
        </w:rPr>
        <w:t xml:space="preserve">know about and </w:t>
      </w:r>
      <w:r w:rsidR="001676F9">
        <w:rPr>
          <w:rFonts w:ascii="Times New Roman" w:hAnsi="Times New Roman" w:cs="Times New Roman"/>
          <w:snapToGrid w:val="0"/>
        </w:rPr>
        <w:t xml:space="preserve">how they </w:t>
      </w:r>
      <w:r w:rsidR="008A2B03">
        <w:rPr>
          <w:rFonts w:ascii="Times New Roman" w:hAnsi="Times New Roman" w:cs="Times New Roman"/>
          <w:snapToGrid w:val="0"/>
        </w:rPr>
        <w:t>perceive PDURS</w:t>
      </w:r>
      <w:r w:rsidR="00A22304">
        <w:rPr>
          <w:rFonts w:ascii="Times New Roman" w:hAnsi="Times New Roman" w:cs="Times New Roman"/>
          <w:snapToGrid w:val="0"/>
        </w:rPr>
        <w:t>;</w:t>
      </w:r>
      <w:r w:rsidR="008A2B03">
        <w:rPr>
          <w:rFonts w:ascii="Times New Roman" w:hAnsi="Times New Roman" w:cs="Times New Roman"/>
          <w:snapToGrid w:val="0"/>
        </w:rPr>
        <w:t xml:space="preserve"> </w:t>
      </w:r>
      <w:r w:rsidR="00E3682B">
        <w:rPr>
          <w:rFonts w:ascii="Times New Roman" w:hAnsi="Times New Roman" w:cs="Times New Roman"/>
          <w:snapToGrid w:val="0"/>
        </w:rPr>
        <w:t>(</w:t>
      </w:r>
      <w:r w:rsidR="006F303C">
        <w:rPr>
          <w:rFonts w:ascii="Times New Roman" w:hAnsi="Times New Roman" w:cs="Times New Roman"/>
          <w:snapToGrid w:val="0"/>
        </w:rPr>
        <w:t>2)</w:t>
      </w:r>
      <w:r w:rsidRPr="00F14293">
        <w:rPr>
          <w:rFonts w:ascii="Times New Roman" w:hAnsi="Times New Roman" w:cs="Times New Roman"/>
          <w:snapToGrid w:val="0"/>
        </w:rPr>
        <w:t xml:space="preserve"> examine </w:t>
      </w:r>
      <w:r w:rsidR="008A2B03">
        <w:rPr>
          <w:rFonts w:ascii="Times New Roman" w:hAnsi="Times New Roman" w:cs="Times New Roman"/>
          <w:snapToGrid w:val="0"/>
        </w:rPr>
        <w:t xml:space="preserve">how </w:t>
      </w:r>
      <w:r w:rsidR="001676F9">
        <w:rPr>
          <w:rFonts w:ascii="Times New Roman" w:hAnsi="Times New Roman" w:cs="Times New Roman"/>
          <w:snapToGrid w:val="0"/>
        </w:rPr>
        <w:t xml:space="preserve">physicians </w:t>
      </w:r>
      <w:r w:rsidR="008A2B03">
        <w:rPr>
          <w:rFonts w:ascii="Times New Roman" w:hAnsi="Times New Roman" w:cs="Times New Roman"/>
          <w:snapToGrid w:val="0"/>
        </w:rPr>
        <w:t>and consumers interpret various disclosures related to limit</w:t>
      </w:r>
      <w:r w:rsidR="00B71516">
        <w:rPr>
          <w:rFonts w:ascii="Times New Roman" w:hAnsi="Times New Roman" w:cs="Times New Roman"/>
          <w:snapToGrid w:val="0"/>
        </w:rPr>
        <w:t>ed</w:t>
      </w:r>
      <w:r w:rsidR="008A2B03">
        <w:rPr>
          <w:rFonts w:ascii="Times New Roman" w:hAnsi="Times New Roman" w:cs="Times New Roman"/>
          <w:snapToGrid w:val="0"/>
        </w:rPr>
        <w:t xml:space="preserve"> available data about PDURS</w:t>
      </w:r>
      <w:r w:rsidR="007543D5">
        <w:rPr>
          <w:rFonts w:ascii="Times New Roman" w:hAnsi="Times New Roman" w:cs="Times New Roman"/>
          <w:snapToGrid w:val="0"/>
        </w:rPr>
        <w:t>;</w:t>
      </w:r>
      <w:r w:rsidR="008A2B03">
        <w:rPr>
          <w:rFonts w:ascii="Times New Roman" w:hAnsi="Times New Roman" w:cs="Times New Roman"/>
          <w:snapToGrid w:val="0"/>
        </w:rPr>
        <w:t xml:space="preserve"> </w:t>
      </w:r>
      <w:r>
        <w:rPr>
          <w:rFonts w:ascii="Times New Roman" w:hAnsi="Times New Roman" w:cs="Times New Roman"/>
          <w:snapToGrid w:val="0"/>
        </w:rPr>
        <w:t xml:space="preserve">and </w:t>
      </w:r>
      <w:r w:rsidR="00DD1C2D">
        <w:rPr>
          <w:rFonts w:ascii="Times New Roman" w:hAnsi="Times New Roman" w:cs="Times New Roman"/>
          <w:snapToGrid w:val="0"/>
        </w:rPr>
        <w:t>(</w:t>
      </w:r>
      <w:r w:rsidR="006F303C">
        <w:rPr>
          <w:rFonts w:ascii="Times New Roman" w:hAnsi="Times New Roman" w:cs="Times New Roman"/>
          <w:snapToGrid w:val="0"/>
        </w:rPr>
        <w:t>3)</w:t>
      </w:r>
      <w:r>
        <w:rPr>
          <w:rFonts w:ascii="Times New Roman" w:hAnsi="Times New Roman" w:cs="Times New Roman"/>
          <w:snapToGrid w:val="0"/>
        </w:rPr>
        <w:t xml:space="preserve"> </w:t>
      </w:r>
      <w:r w:rsidRPr="00F95A48" w:rsidR="00C2065F">
        <w:rPr>
          <w:rFonts w:ascii="Times New Roman" w:hAnsi="Times New Roman" w:cs="Times New Roman"/>
          <w:snapToGrid w:val="0"/>
        </w:rPr>
        <w:t xml:space="preserve">inform future </w:t>
      </w:r>
      <w:r>
        <w:rPr>
          <w:rFonts w:ascii="Times New Roman" w:hAnsi="Times New Roman" w:cs="Times New Roman"/>
          <w:snapToGrid w:val="0"/>
        </w:rPr>
        <w:t>quantitative phases of this r</w:t>
      </w:r>
      <w:r w:rsidRPr="00F95A48" w:rsidR="00C2065F">
        <w:rPr>
          <w:rFonts w:ascii="Times New Roman" w:hAnsi="Times New Roman" w:cs="Times New Roman"/>
          <w:snapToGrid w:val="0"/>
        </w:rPr>
        <w:t xml:space="preserve">esearch project. </w:t>
      </w:r>
      <w:r w:rsidRPr="00F95A48" w:rsidR="00356056">
        <w:rPr>
          <w:rFonts w:ascii="Times New Roman" w:hAnsi="Times New Roman" w:cs="Times New Roman"/>
          <w:snapToGrid w:val="0"/>
        </w:rPr>
        <w:t xml:space="preserve"> </w:t>
      </w:r>
    </w:p>
    <w:p w:rsidRPr="00F95A48" w:rsidR="003F1C7A" w:rsidP="00F12AEE" w:rsidRDefault="002D14D9" w14:paraId="40B87466" w14:textId="77777777">
      <w:pPr>
        <w:ind w:left="360"/>
      </w:pPr>
      <w:r w:rsidRPr="00F95A48">
        <w:tab/>
      </w:r>
    </w:p>
    <w:p w:rsidRPr="007B2DD9" w:rsidR="003F1C7A" w:rsidP="00D70AEC" w:rsidRDefault="0049419A" w14:paraId="7F564577" w14:textId="77777777">
      <w:pPr>
        <w:numPr>
          <w:ilvl w:val="0"/>
          <w:numId w:val="1"/>
        </w:numPr>
        <w:ind w:left="720"/>
      </w:pPr>
      <w:r w:rsidRPr="007B2DD9">
        <w:rPr>
          <w:b/>
        </w:rPr>
        <w:t>Description of r</w:t>
      </w:r>
      <w:r w:rsidRPr="007B2DD9" w:rsidR="00F12AEE">
        <w:rPr>
          <w:b/>
        </w:rPr>
        <w:t>espondents</w:t>
      </w:r>
      <w:r w:rsidRPr="007B2DD9" w:rsidR="003F1C7A">
        <w:rPr>
          <w:b/>
        </w:rPr>
        <w:t>:</w:t>
      </w:r>
      <w:r w:rsidRPr="007B2DD9" w:rsidR="003F1C7A">
        <w:t xml:space="preserve">  </w:t>
      </w:r>
    </w:p>
    <w:p w:rsidRPr="00C13B38" w:rsidR="00467E1F" w:rsidP="00467E1F" w:rsidRDefault="00467E1F" w14:paraId="2BB3F352" w14:textId="77777777">
      <w:pPr>
        <w:ind w:left="360"/>
        <w:rPr>
          <w:highlight w:val="yellow"/>
        </w:rPr>
      </w:pPr>
    </w:p>
    <w:p w:rsidR="00A84AE3" w:rsidP="00793008" w:rsidRDefault="005C1472" w14:paraId="670E9FF2" w14:textId="161BC9B3">
      <w:pPr>
        <w:autoSpaceDE w:val="0"/>
        <w:autoSpaceDN w:val="0"/>
        <w:spacing w:line="291" w:lineRule="exact"/>
        <w:ind w:left="720"/>
      </w:pPr>
      <w:r>
        <w:t xml:space="preserve">We will select 18 </w:t>
      </w:r>
      <w:r w:rsidRPr="00A84AE3" w:rsidR="00157EA7">
        <w:t>primary</w:t>
      </w:r>
      <w:r w:rsidRPr="00A84AE3" w:rsidR="00157EA7">
        <w:rPr>
          <w:spacing w:val="-6"/>
        </w:rPr>
        <w:t xml:space="preserve"> </w:t>
      </w:r>
      <w:r w:rsidRPr="00A84AE3" w:rsidR="00157EA7">
        <w:t>care physicians (PCPs)</w:t>
      </w:r>
      <w:r w:rsidR="00157EA7">
        <w:t xml:space="preserve"> </w:t>
      </w:r>
      <w:r>
        <w:t xml:space="preserve">out of a pool of 100. We will also select 18 </w:t>
      </w:r>
      <w:r w:rsidR="00157EA7">
        <w:t>consumers</w:t>
      </w:r>
      <w:r>
        <w:t xml:space="preserve"> out of a pool of 50</w:t>
      </w:r>
      <w:r w:rsidR="00157EA7">
        <w:t>.</w:t>
      </w:r>
      <w:r w:rsidR="009B29CD">
        <w:t xml:space="preserve"> </w:t>
      </w:r>
      <w:r w:rsidR="00157EA7">
        <w:t xml:space="preserve">This will give us a total of 36 PCPs and </w:t>
      </w:r>
      <w:r w:rsidR="009B29CD">
        <w:t>consumers.</w:t>
      </w:r>
    </w:p>
    <w:p w:rsidR="009B29CD" w:rsidP="00793008" w:rsidRDefault="00C71703" w14:paraId="2F0E5BA2" w14:textId="142BAF8D">
      <w:pPr>
        <w:autoSpaceDE w:val="0"/>
        <w:autoSpaceDN w:val="0"/>
        <w:spacing w:line="291" w:lineRule="exact"/>
        <w:ind w:left="720"/>
      </w:pPr>
      <w:r>
        <w:t xml:space="preserve"> </w:t>
      </w:r>
    </w:p>
    <w:p w:rsidR="00937131" w:rsidP="00793008" w:rsidRDefault="009B29CD" w14:paraId="7B351487" w14:textId="691B7B25">
      <w:pPr>
        <w:widowControl w:val="0"/>
        <w:tabs>
          <w:tab w:val="left" w:pos="1679"/>
          <w:tab w:val="left" w:pos="1680"/>
        </w:tabs>
        <w:autoSpaceDE w:val="0"/>
        <w:autoSpaceDN w:val="0"/>
        <w:spacing w:line="292" w:lineRule="exact"/>
        <w:ind w:left="720"/>
      </w:pPr>
      <w:r>
        <w:t>Inclusion criteria for PCPs include</w:t>
      </w:r>
      <w:r w:rsidR="007543D5">
        <w:t>:</w:t>
      </w:r>
      <w:r>
        <w:t xml:space="preserve"> </w:t>
      </w:r>
      <w:r w:rsidRPr="0086633F" w:rsidR="0086633F">
        <w:t>(</w:t>
      </w:r>
      <w:r>
        <w:t>1) e</w:t>
      </w:r>
      <w:r w:rsidRPr="00A84AE3" w:rsidR="00A84AE3">
        <w:t>ngag</w:t>
      </w:r>
      <w:r>
        <w:t>ing</w:t>
      </w:r>
      <w:r w:rsidRPr="009B29CD" w:rsidR="00A84AE3">
        <w:rPr>
          <w:spacing w:val="-2"/>
        </w:rPr>
        <w:t xml:space="preserve"> </w:t>
      </w:r>
      <w:r w:rsidRPr="00A84AE3" w:rsidR="00A84AE3">
        <w:t>in</w:t>
      </w:r>
      <w:r w:rsidRPr="009B29CD" w:rsidR="00A84AE3">
        <w:rPr>
          <w:spacing w:val="-1"/>
        </w:rPr>
        <w:t xml:space="preserve"> </w:t>
      </w:r>
      <w:r w:rsidRPr="00A84AE3" w:rsidR="00A84AE3">
        <w:t>patient</w:t>
      </w:r>
      <w:r w:rsidRPr="009B29CD" w:rsidR="00A84AE3">
        <w:rPr>
          <w:spacing w:val="-1"/>
        </w:rPr>
        <w:t xml:space="preserve"> </w:t>
      </w:r>
      <w:r w:rsidRPr="00A84AE3" w:rsidR="00A84AE3">
        <w:t>care at</w:t>
      </w:r>
      <w:r w:rsidRPr="009B29CD" w:rsidR="00A84AE3">
        <w:rPr>
          <w:spacing w:val="-1"/>
        </w:rPr>
        <w:t xml:space="preserve"> </w:t>
      </w:r>
      <w:r w:rsidRPr="00A84AE3" w:rsidR="00A84AE3">
        <w:t>least</w:t>
      </w:r>
      <w:r w:rsidRPr="009B29CD" w:rsidR="00A84AE3">
        <w:rPr>
          <w:spacing w:val="-1"/>
        </w:rPr>
        <w:t xml:space="preserve"> </w:t>
      </w:r>
      <w:r w:rsidRPr="00A84AE3" w:rsidR="00A84AE3">
        <w:t>half</w:t>
      </w:r>
      <w:r w:rsidRPr="009B29CD" w:rsidR="00A84AE3">
        <w:rPr>
          <w:spacing w:val="-2"/>
        </w:rPr>
        <w:t xml:space="preserve"> </w:t>
      </w:r>
      <w:r w:rsidRPr="00A84AE3" w:rsidR="00A84AE3">
        <w:t>time</w:t>
      </w:r>
      <w:r w:rsidR="00F911A2">
        <w:t>,</w:t>
      </w:r>
      <w:r>
        <w:t xml:space="preserve"> </w:t>
      </w:r>
      <w:r w:rsidR="00E3682B">
        <w:t>(</w:t>
      </w:r>
      <w:r>
        <w:t>2) t</w:t>
      </w:r>
      <w:r w:rsidRPr="00A84AE3" w:rsidR="00A84AE3">
        <w:t>reat</w:t>
      </w:r>
      <w:r>
        <w:t>ing</w:t>
      </w:r>
      <w:r w:rsidRPr="009B29CD" w:rsidR="00A84AE3">
        <w:rPr>
          <w:spacing w:val="-2"/>
        </w:rPr>
        <w:t xml:space="preserve"> </w:t>
      </w:r>
      <w:r w:rsidRPr="00A84AE3" w:rsidR="00A84AE3">
        <w:t>patients</w:t>
      </w:r>
      <w:r w:rsidRPr="009B29CD" w:rsidR="00A84AE3">
        <w:rPr>
          <w:spacing w:val="-2"/>
        </w:rPr>
        <w:t xml:space="preserve"> </w:t>
      </w:r>
      <w:r w:rsidRPr="00A84AE3" w:rsidR="00A84AE3">
        <w:t>with</w:t>
      </w:r>
      <w:r w:rsidRPr="009B29CD" w:rsidR="00A84AE3">
        <w:rPr>
          <w:spacing w:val="-1"/>
        </w:rPr>
        <w:t xml:space="preserve"> </w:t>
      </w:r>
      <w:r w:rsidRPr="00A84AE3" w:rsidR="00A84AE3">
        <w:t>diabetes</w:t>
      </w:r>
      <w:r w:rsidR="00F911A2">
        <w:t>,</w:t>
      </w:r>
      <w:r>
        <w:t xml:space="preserve"> </w:t>
      </w:r>
      <w:r w:rsidR="00E3682B">
        <w:t>(</w:t>
      </w:r>
      <w:r>
        <w:t>3) a</w:t>
      </w:r>
      <w:r w:rsidRPr="00A84AE3">
        <w:t>ccess</w:t>
      </w:r>
      <w:r w:rsidRPr="009B29CD">
        <w:rPr>
          <w:spacing w:val="-2"/>
        </w:rPr>
        <w:t xml:space="preserve"> </w:t>
      </w:r>
      <w:r w:rsidRPr="00A84AE3">
        <w:t>to</w:t>
      </w:r>
      <w:r w:rsidRPr="009B29CD">
        <w:rPr>
          <w:spacing w:val="-1"/>
        </w:rPr>
        <w:t xml:space="preserve"> </w:t>
      </w:r>
      <w:r w:rsidRPr="00A84AE3">
        <w:t>a</w:t>
      </w:r>
      <w:r w:rsidRPr="009B29CD">
        <w:rPr>
          <w:spacing w:val="-1"/>
        </w:rPr>
        <w:t xml:space="preserve"> </w:t>
      </w:r>
      <w:r w:rsidRPr="00A84AE3">
        <w:t>computer</w:t>
      </w:r>
      <w:r w:rsidRPr="009B29CD">
        <w:rPr>
          <w:spacing w:val="-2"/>
        </w:rPr>
        <w:t xml:space="preserve"> </w:t>
      </w:r>
      <w:r w:rsidRPr="00A84AE3">
        <w:t>with</w:t>
      </w:r>
      <w:r w:rsidRPr="009B29CD">
        <w:rPr>
          <w:spacing w:val="-2"/>
        </w:rPr>
        <w:t xml:space="preserve"> </w:t>
      </w:r>
      <w:r w:rsidR="00B71516">
        <w:rPr>
          <w:spacing w:val="-2"/>
        </w:rPr>
        <w:t xml:space="preserve">a </w:t>
      </w:r>
      <w:r w:rsidRPr="00A84AE3">
        <w:t>webcam</w:t>
      </w:r>
      <w:r w:rsidR="00B71516">
        <w:t>,</w:t>
      </w:r>
      <w:r w:rsidRPr="009B29CD">
        <w:rPr>
          <w:spacing w:val="1"/>
        </w:rPr>
        <w:t xml:space="preserve"> </w:t>
      </w:r>
      <w:r w:rsidRPr="00A84AE3">
        <w:t>audio</w:t>
      </w:r>
      <w:r w:rsidR="00B71516">
        <w:t>,</w:t>
      </w:r>
      <w:r w:rsidRPr="009B29CD">
        <w:rPr>
          <w:spacing w:val="-1"/>
        </w:rPr>
        <w:t xml:space="preserve"> </w:t>
      </w:r>
      <w:r w:rsidRPr="00A84AE3">
        <w:t>and</w:t>
      </w:r>
      <w:r w:rsidRPr="009B29CD">
        <w:rPr>
          <w:spacing w:val="1"/>
        </w:rPr>
        <w:t xml:space="preserve"> </w:t>
      </w:r>
      <w:r w:rsidRPr="00A84AE3">
        <w:t>high</w:t>
      </w:r>
      <w:r w:rsidRPr="009B29CD">
        <w:rPr>
          <w:spacing w:val="-2"/>
        </w:rPr>
        <w:t>-</w:t>
      </w:r>
      <w:r w:rsidRPr="00A84AE3">
        <w:t>speed</w:t>
      </w:r>
      <w:r w:rsidRPr="009B29CD">
        <w:rPr>
          <w:spacing w:val="1"/>
        </w:rPr>
        <w:t xml:space="preserve"> </w:t>
      </w:r>
      <w:r w:rsidRPr="00A84AE3">
        <w:t>Internet</w:t>
      </w:r>
      <w:r w:rsidR="00F911A2">
        <w:t>,</w:t>
      </w:r>
      <w:r>
        <w:t xml:space="preserve"> and </w:t>
      </w:r>
      <w:r w:rsidR="007474ED">
        <w:t>(</w:t>
      </w:r>
      <w:r>
        <w:t>4) w</w:t>
      </w:r>
      <w:r w:rsidRPr="00A84AE3">
        <w:t>illingness</w:t>
      </w:r>
      <w:r w:rsidRPr="00A84AE3">
        <w:rPr>
          <w:spacing w:val="-2"/>
        </w:rPr>
        <w:t xml:space="preserve"> </w:t>
      </w:r>
      <w:r w:rsidRPr="00A84AE3">
        <w:t>to</w:t>
      </w:r>
      <w:r w:rsidRPr="00A84AE3">
        <w:rPr>
          <w:spacing w:val="-2"/>
        </w:rPr>
        <w:t xml:space="preserve"> </w:t>
      </w:r>
      <w:r w:rsidRPr="00A84AE3">
        <w:t>have</w:t>
      </w:r>
      <w:r w:rsidRPr="00A84AE3">
        <w:rPr>
          <w:spacing w:val="-3"/>
        </w:rPr>
        <w:t xml:space="preserve"> </w:t>
      </w:r>
      <w:r w:rsidR="00B71516">
        <w:rPr>
          <w:spacing w:val="-3"/>
        </w:rPr>
        <w:t xml:space="preserve">the </w:t>
      </w:r>
      <w:r w:rsidRPr="00A84AE3">
        <w:t>focus</w:t>
      </w:r>
      <w:r w:rsidRPr="00A84AE3">
        <w:rPr>
          <w:spacing w:val="-2"/>
        </w:rPr>
        <w:t xml:space="preserve"> </w:t>
      </w:r>
      <w:r w:rsidRPr="00A84AE3">
        <w:t>group</w:t>
      </w:r>
      <w:r w:rsidRPr="00A84AE3">
        <w:rPr>
          <w:spacing w:val="1"/>
        </w:rPr>
        <w:t xml:space="preserve"> </w:t>
      </w:r>
      <w:r w:rsidR="00B71516">
        <w:rPr>
          <w:spacing w:val="1"/>
        </w:rPr>
        <w:t xml:space="preserve">recorded by </w:t>
      </w:r>
      <w:r w:rsidRPr="00A84AE3">
        <w:rPr>
          <w:spacing w:val="1"/>
        </w:rPr>
        <w:t xml:space="preserve">audio and </w:t>
      </w:r>
      <w:r w:rsidRPr="00A84AE3">
        <w:t>video</w:t>
      </w:r>
      <w:r>
        <w:t xml:space="preserve">. </w:t>
      </w:r>
    </w:p>
    <w:p w:rsidR="00A84AE3" w:rsidP="00793008" w:rsidRDefault="009B29CD" w14:paraId="22C05A06" w14:textId="4EB46050">
      <w:pPr>
        <w:widowControl w:val="0"/>
        <w:tabs>
          <w:tab w:val="left" w:pos="1679"/>
          <w:tab w:val="left" w:pos="1680"/>
        </w:tabs>
        <w:autoSpaceDE w:val="0"/>
        <w:autoSpaceDN w:val="0"/>
        <w:spacing w:line="292" w:lineRule="exact"/>
        <w:ind w:left="720"/>
      </w:pPr>
      <w:r>
        <w:lastRenderedPageBreak/>
        <w:t xml:space="preserve">Exclusion criteria </w:t>
      </w:r>
      <w:r w:rsidR="001B1D37">
        <w:t xml:space="preserve">for PCPs </w:t>
      </w:r>
      <w:r>
        <w:t>include</w:t>
      </w:r>
      <w:r w:rsidR="007543D5">
        <w:t>:</w:t>
      </w:r>
      <w:r>
        <w:t xml:space="preserve"> </w:t>
      </w:r>
      <w:r w:rsidR="00E3682B">
        <w:t>(</w:t>
      </w:r>
      <w:r>
        <w:t xml:space="preserve">1) </w:t>
      </w:r>
      <w:r w:rsidRPr="00A84AE3" w:rsidR="00A84AE3">
        <w:t>participated</w:t>
      </w:r>
      <w:r w:rsidRPr="009B29CD" w:rsidR="00A84AE3">
        <w:rPr>
          <w:spacing w:val="-1"/>
        </w:rPr>
        <w:t xml:space="preserve"> </w:t>
      </w:r>
      <w:r w:rsidRPr="00A84AE3" w:rsidR="00A84AE3">
        <w:t>in a focus</w:t>
      </w:r>
      <w:r w:rsidRPr="009B29CD" w:rsidR="00A84AE3">
        <w:rPr>
          <w:spacing w:val="1"/>
        </w:rPr>
        <w:t xml:space="preserve"> </w:t>
      </w:r>
      <w:r w:rsidRPr="00A84AE3" w:rsidR="00A84AE3">
        <w:t>group</w:t>
      </w:r>
      <w:r w:rsidRPr="009B29CD" w:rsidR="00A84AE3">
        <w:rPr>
          <w:spacing w:val="-2"/>
        </w:rPr>
        <w:t xml:space="preserve"> </w:t>
      </w:r>
      <w:r w:rsidRPr="00A84AE3" w:rsidR="00A84AE3">
        <w:t>or</w:t>
      </w:r>
      <w:r w:rsidRPr="009B29CD" w:rsidR="00A84AE3">
        <w:rPr>
          <w:spacing w:val="-2"/>
        </w:rPr>
        <w:t xml:space="preserve"> </w:t>
      </w:r>
      <w:r w:rsidRPr="00A84AE3" w:rsidR="00A84AE3">
        <w:t>other</w:t>
      </w:r>
      <w:r w:rsidRPr="009B29CD" w:rsidR="00A84AE3">
        <w:rPr>
          <w:spacing w:val="-2"/>
        </w:rPr>
        <w:t xml:space="preserve"> </w:t>
      </w:r>
      <w:r w:rsidRPr="00A84AE3" w:rsidR="00A84AE3">
        <w:t>interview-based research</w:t>
      </w:r>
      <w:r w:rsidRPr="009B29CD" w:rsidR="00A84AE3">
        <w:rPr>
          <w:spacing w:val="-1"/>
        </w:rPr>
        <w:t xml:space="preserve"> </w:t>
      </w:r>
      <w:r w:rsidRPr="00A84AE3" w:rsidR="00A84AE3">
        <w:t>in</w:t>
      </w:r>
      <w:r w:rsidRPr="009B29CD" w:rsidR="00A84AE3">
        <w:rPr>
          <w:spacing w:val="-1"/>
        </w:rPr>
        <w:t xml:space="preserve"> </w:t>
      </w:r>
      <w:r w:rsidRPr="00A84AE3" w:rsidR="00A84AE3">
        <w:t>past</w:t>
      </w:r>
      <w:r w:rsidRPr="009B29CD" w:rsidR="00A84AE3">
        <w:rPr>
          <w:spacing w:val="-1"/>
        </w:rPr>
        <w:t xml:space="preserve"> </w:t>
      </w:r>
      <w:r w:rsidRPr="00A84AE3" w:rsidR="00A84AE3">
        <w:t>3</w:t>
      </w:r>
      <w:r w:rsidRPr="009B29CD" w:rsidR="00A84AE3">
        <w:rPr>
          <w:spacing w:val="-2"/>
        </w:rPr>
        <w:t xml:space="preserve"> </w:t>
      </w:r>
      <w:r w:rsidRPr="00A84AE3" w:rsidR="00A84AE3">
        <w:t>months</w:t>
      </w:r>
      <w:r w:rsidR="007543D5">
        <w:t>,</w:t>
      </w:r>
      <w:r>
        <w:t xml:space="preserve"> and </w:t>
      </w:r>
      <w:r w:rsidR="00E3682B">
        <w:t>(</w:t>
      </w:r>
      <w:r>
        <w:t>2) w</w:t>
      </w:r>
      <w:r w:rsidRPr="00A84AE3" w:rsidR="00A84AE3">
        <w:t>ork</w:t>
      </w:r>
      <w:r>
        <w:t>s</w:t>
      </w:r>
      <w:r w:rsidRPr="00A84AE3" w:rsidR="00A84AE3">
        <w:t xml:space="preserve"> in </w:t>
      </w:r>
      <w:r w:rsidR="00F3017F">
        <w:t xml:space="preserve">the </w:t>
      </w:r>
      <w:r w:rsidRPr="00A84AE3" w:rsidR="00A84AE3">
        <w:t xml:space="preserve">marketing, advertising, </w:t>
      </w:r>
      <w:r w:rsidR="00F3017F">
        <w:t xml:space="preserve">or </w:t>
      </w:r>
      <w:r w:rsidRPr="00A84AE3" w:rsidR="00A84AE3">
        <w:t>pharmaceutical industr</w:t>
      </w:r>
      <w:r w:rsidR="001B1D37">
        <w:t>y</w:t>
      </w:r>
      <w:r w:rsidRPr="00A84AE3" w:rsidR="00A84AE3">
        <w:t xml:space="preserve"> or</w:t>
      </w:r>
      <w:r>
        <w:t xml:space="preserve"> for the</w:t>
      </w:r>
      <w:r w:rsidRPr="00A84AE3" w:rsidR="00A84AE3">
        <w:t xml:space="preserve"> Department </w:t>
      </w:r>
      <w:r w:rsidR="00F3017F">
        <w:t xml:space="preserve">of Health </w:t>
      </w:r>
      <w:r w:rsidRPr="00A84AE3" w:rsidR="00A84AE3">
        <w:t>and Human Services</w:t>
      </w:r>
      <w:r>
        <w:t>.</w:t>
      </w:r>
      <w:r w:rsidR="005254C6">
        <w:t xml:space="preserve"> </w:t>
      </w:r>
      <w:r>
        <w:t xml:space="preserve"> We will strive to include a m</w:t>
      </w:r>
      <w:r w:rsidRPr="00A84AE3" w:rsidR="00A84AE3">
        <w:t>ix</w:t>
      </w:r>
      <w:r w:rsidRPr="00A84AE3" w:rsidR="00A84AE3">
        <w:rPr>
          <w:spacing w:val="-1"/>
        </w:rPr>
        <w:t xml:space="preserve"> </w:t>
      </w:r>
      <w:r w:rsidRPr="00A84AE3" w:rsidR="00A84AE3">
        <w:t>of</w:t>
      </w:r>
      <w:r w:rsidRPr="00A84AE3" w:rsidR="00A84AE3">
        <w:rPr>
          <w:spacing w:val="-4"/>
        </w:rPr>
        <w:t xml:space="preserve"> </w:t>
      </w:r>
      <w:r w:rsidRPr="00A84AE3" w:rsidR="00A84AE3">
        <w:t>ages, genders,</w:t>
      </w:r>
      <w:r w:rsidRPr="00A84AE3" w:rsidR="00A84AE3">
        <w:rPr>
          <w:spacing w:val="-3"/>
        </w:rPr>
        <w:t xml:space="preserve"> </w:t>
      </w:r>
      <w:r w:rsidRPr="00A84AE3" w:rsidR="00A84AE3">
        <w:t>and races</w:t>
      </w:r>
      <w:r w:rsidR="003554C9">
        <w:t xml:space="preserve"> </w:t>
      </w:r>
      <w:r w:rsidR="00E17AA9">
        <w:t>and</w:t>
      </w:r>
      <w:r w:rsidRPr="00A84AE3" w:rsidR="00E17AA9">
        <w:t xml:space="preserve"> ethnicities</w:t>
      </w:r>
      <w:r w:rsidRPr="00A84AE3" w:rsidR="00A84AE3">
        <w:t>.</w:t>
      </w:r>
    </w:p>
    <w:p w:rsidR="009B29CD" w:rsidP="00793008" w:rsidRDefault="009B29CD" w14:paraId="63EBBC15" w14:textId="64D8AF73">
      <w:pPr>
        <w:widowControl w:val="0"/>
        <w:tabs>
          <w:tab w:val="left" w:pos="1679"/>
          <w:tab w:val="left" w:pos="1680"/>
        </w:tabs>
        <w:autoSpaceDE w:val="0"/>
        <w:autoSpaceDN w:val="0"/>
        <w:spacing w:line="292" w:lineRule="exact"/>
        <w:ind w:left="720"/>
      </w:pPr>
    </w:p>
    <w:p w:rsidR="00F911A2" w:rsidP="00793008" w:rsidRDefault="00F3017F" w14:paraId="50743ACB" w14:textId="78DFB7A6">
      <w:pPr>
        <w:widowControl w:val="0"/>
        <w:tabs>
          <w:tab w:val="left" w:pos="1679"/>
          <w:tab w:val="left" w:pos="1680"/>
        </w:tabs>
        <w:autoSpaceDE w:val="0"/>
        <w:autoSpaceDN w:val="0"/>
        <w:spacing w:line="293" w:lineRule="exact"/>
        <w:ind w:left="720"/>
      </w:pPr>
      <w:r>
        <w:t xml:space="preserve">Inclusion criteria for consumers include: </w:t>
      </w:r>
      <w:r w:rsidR="00E3682B">
        <w:t>(</w:t>
      </w:r>
      <w:r>
        <w:t xml:space="preserve">1) aged </w:t>
      </w:r>
      <w:r w:rsidRPr="00F3017F">
        <w:t>18 years</w:t>
      </w:r>
      <w:r w:rsidRPr="00F3017F">
        <w:rPr>
          <w:spacing w:val="-1"/>
        </w:rPr>
        <w:t xml:space="preserve"> </w:t>
      </w:r>
      <w:r w:rsidRPr="00F3017F">
        <w:t>or</w:t>
      </w:r>
      <w:r w:rsidRPr="00F3017F">
        <w:rPr>
          <w:spacing w:val="-2"/>
        </w:rPr>
        <w:t xml:space="preserve"> </w:t>
      </w:r>
      <w:r w:rsidRPr="00F3017F">
        <w:t>older</w:t>
      </w:r>
      <w:r>
        <w:t xml:space="preserve">, </w:t>
      </w:r>
      <w:r w:rsidR="00E3682B">
        <w:t>(</w:t>
      </w:r>
      <w:r>
        <w:t>2) f</w:t>
      </w:r>
      <w:r w:rsidRPr="00F3017F">
        <w:t>luent</w:t>
      </w:r>
      <w:r w:rsidRPr="00F3017F">
        <w:rPr>
          <w:spacing w:val="-2"/>
        </w:rPr>
        <w:t xml:space="preserve"> </w:t>
      </w:r>
      <w:r w:rsidRPr="00F3017F">
        <w:t>in</w:t>
      </w:r>
      <w:r w:rsidRPr="00F3017F">
        <w:rPr>
          <w:spacing w:val="-1"/>
        </w:rPr>
        <w:t xml:space="preserve"> </w:t>
      </w:r>
      <w:r w:rsidRPr="00F3017F">
        <w:t>English</w:t>
      </w:r>
      <w:r>
        <w:t xml:space="preserve">, </w:t>
      </w:r>
      <w:r w:rsidR="00E3682B">
        <w:t>(</w:t>
      </w:r>
      <w:r>
        <w:t>3) d</w:t>
      </w:r>
      <w:r w:rsidRPr="00F3017F">
        <w:t>iagnosed</w:t>
      </w:r>
      <w:r w:rsidRPr="00F3017F">
        <w:rPr>
          <w:spacing w:val="-2"/>
        </w:rPr>
        <w:t xml:space="preserve"> </w:t>
      </w:r>
      <w:r w:rsidRPr="00F3017F">
        <w:t>by</w:t>
      </w:r>
      <w:r w:rsidRPr="00F3017F">
        <w:rPr>
          <w:spacing w:val="-6"/>
        </w:rPr>
        <w:t xml:space="preserve"> </w:t>
      </w:r>
      <w:r w:rsidRPr="00F3017F">
        <w:t>a</w:t>
      </w:r>
      <w:r w:rsidRPr="00F3017F">
        <w:rPr>
          <w:spacing w:val="-2"/>
        </w:rPr>
        <w:t xml:space="preserve"> </w:t>
      </w:r>
      <w:r w:rsidRPr="00F3017F">
        <w:t>physician</w:t>
      </w:r>
      <w:r w:rsidRPr="00F3017F">
        <w:rPr>
          <w:spacing w:val="-1"/>
        </w:rPr>
        <w:t xml:space="preserve"> </w:t>
      </w:r>
      <w:r w:rsidRPr="00F3017F">
        <w:t>with</w:t>
      </w:r>
      <w:r w:rsidRPr="00F3017F">
        <w:rPr>
          <w:spacing w:val="-1"/>
        </w:rPr>
        <w:t xml:space="preserve"> </w:t>
      </w:r>
      <w:r w:rsidRPr="00F3017F">
        <w:t>diabetes</w:t>
      </w:r>
      <w:r>
        <w:t xml:space="preserve">, </w:t>
      </w:r>
      <w:r w:rsidR="00E3682B">
        <w:t>(</w:t>
      </w:r>
      <w:r>
        <w:t>4) c</w:t>
      </w:r>
      <w:r w:rsidRPr="00F3017F">
        <w:t>urrently receiving treatment (insulin or medication) for</w:t>
      </w:r>
      <w:r w:rsidRPr="00F3017F">
        <w:rPr>
          <w:spacing w:val="-3"/>
        </w:rPr>
        <w:t xml:space="preserve"> </w:t>
      </w:r>
      <w:r w:rsidRPr="00F3017F">
        <w:t>diabetes</w:t>
      </w:r>
      <w:r>
        <w:t xml:space="preserve">, </w:t>
      </w:r>
      <w:r w:rsidR="00E3682B">
        <w:t>(</w:t>
      </w:r>
      <w:r>
        <w:t xml:space="preserve">5) </w:t>
      </w:r>
      <w:r w:rsidR="007543D5">
        <w:t>a</w:t>
      </w:r>
      <w:r w:rsidRPr="00F3017F">
        <w:t>ccess</w:t>
      </w:r>
      <w:r w:rsidRPr="00F3017F">
        <w:rPr>
          <w:spacing w:val="-2"/>
        </w:rPr>
        <w:t xml:space="preserve"> </w:t>
      </w:r>
      <w:r w:rsidRPr="00F3017F">
        <w:t>to</w:t>
      </w:r>
      <w:r w:rsidRPr="00F3017F">
        <w:rPr>
          <w:spacing w:val="-1"/>
        </w:rPr>
        <w:t xml:space="preserve"> </w:t>
      </w:r>
      <w:r w:rsidRPr="00F3017F">
        <w:t>a</w:t>
      </w:r>
      <w:r w:rsidRPr="00F3017F">
        <w:rPr>
          <w:spacing w:val="-1"/>
        </w:rPr>
        <w:t xml:space="preserve"> </w:t>
      </w:r>
      <w:r w:rsidRPr="00F3017F">
        <w:t>computer</w:t>
      </w:r>
      <w:r w:rsidRPr="00F3017F">
        <w:rPr>
          <w:spacing w:val="-2"/>
        </w:rPr>
        <w:t xml:space="preserve"> </w:t>
      </w:r>
      <w:r w:rsidRPr="00F3017F">
        <w:t>with</w:t>
      </w:r>
      <w:r w:rsidRPr="00F3017F">
        <w:rPr>
          <w:spacing w:val="-2"/>
        </w:rPr>
        <w:t xml:space="preserve"> </w:t>
      </w:r>
      <w:r w:rsidR="001B1D37">
        <w:rPr>
          <w:spacing w:val="-2"/>
        </w:rPr>
        <w:t xml:space="preserve">a </w:t>
      </w:r>
      <w:r w:rsidRPr="00F3017F">
        <w:t>webcam</w:t>
      </w:r>
      <w:r w:rsidR="001B1D37">
        <w:t>,</w:t>
      </w:r>
      <w:r w:rsidRPr="00F3017F">
        <w:rPr>
          <w:spacing w:val="1"/>
        </w:rPr>
        <w:t xml:space="preserve"> </w:t>
      </w:r>
      <w:r w:rsidRPr="00F3017F">
        <w:t>audio</w:t>
      </w:r>
      <w:r w:rsidR="001B1D37">
        <w:t>,</w:t>
      </w:r>
      <w:r w:rsidRPr="00F3017F">
        <w:rPr>
          <w:spacing w:val="-1"/>
        </w:rPr>
        <w:t xml:space="preserve"> </w:t>
      </w:r>
      <w:r w:rsidRPr="00F3017F">
        <w:t>and</w:t>
      </w:r>
      <w:r w:rsidRPr="00F3017F">
        <w:rPr>
          <w:spacing w:val="1"/>
        </w:rPr>
        <w:t xml:space="preserve"> </w:t>
      </w:r>
      <w:r w:rsidRPr="00F3017F">
        <w:t>high</w:t>
      </w:r>
      <w:r w:rsidRPr="00F3017F">
        <w:rPr>
          <w:spacing w:val="-2"/>
        </w:rPr>
        <w:t>-</w:t>
      </w:r>
      <w:r w:rsidRPr="00F3017F">
        <w:t>speed</w:t>
      </w:r>
      <w:r w:rsidRPr="00F3017F">
        <w:rPr>
          <w:spacing w:val="1"/>
        </w:rPr>
        <w:t xml:space="preserve"> </w:t>
      </w:r>
      <w:r w:rsidRPr="00F3017F">
        <w:t>Internet</w:t>
      </w:r>
      <w:r>
        <w:t xml:space="preserve">, and </w:t>
      </w:r>
      <w:r w:rsidR="00E3682B">
        <w:t>(</w:t>
      </w:r>
      <w:r>
        <w:t>6) w</w:t>
      </w:r>
      <w:r w:rsidRPr="00F3017F">
        <w:t>illingness</w:t>
      </w:r>
      <w:r w:rsidRPr="00F3017F">
        <w:rPr>
          <w:spacing w:val="-2"/>
        </w:rPr>
        <w:t xml:space="preserve"> </w:t>
      </w:r>
      <w:r w:rsidRPr="00F3017F">
        <w:t>to</w:t>
      </w:r>
      <w:r w:rsidRPr="00F3017F">
        <w:rPr>
          <w:spacing w:val="-2"/>
        </w:rPr>
        <w:t xml:space="preserve"> </w:t>
      </w:r>
      <w:r w:rsidRPr="00F3017F">
        <w:t>have</w:t>
      </w:r>
      <w:r w:rsidRPr="00F3017F">
        <w:rPr>
          <w:spacing w:val="-2"/>
        </w:rPr>
        <w:t xml:space="preserve"> </w:t>
      </w:r>
      <w:r w:rsidRPr="00F3017F">
        <w:t>focus</w:t>
      </w:r>
      <w:r w:rsidRPr="00F3017F">
        <w:rPr>
          <w:spacing w:val="-2"/>
        </w:rPr>
        <w:t xml:space="preserve"> </w:t>
      </w:r>
      <w:r w:rsidRPr="00F3017F">
        <w:t>group</w:t>
      </w:r>
      <w:r w:rsidRPr="00F3017F">
        <w:rPr>
          <w:spacing w:val="-2"/>
        </w:rPr>
        <w:t xml:space="preserve"> </w:t>
      </w:r>
      <w:r w:rsidRPr="00F3017F">
        <w:t>discussion</w:t>
      </w:r>
      <w:r w:rsidR="001B1D37">
        <w:t>s</w:t>
      </w:r>
      <w:r w:rsidRPr="00F3017F">
        <w:rPr>
          <w:spacing w:val="-2"/>
        </w:rPr>
        <w:t xml:space="preserve"> </w:t>
      </w:r>
      <w:r w:rsidR="001B1D37">
        <w:rPr>
          <w:spacing w:val="-2"/>
        </w:rPr>
        <w:t xml:space="preserve">recorded by </w:t>
      </w:r>
      <w:r w:rsidRPr="00F3017F">
        <w:rPr>
          <w:spacing w:val="-2"/>
        </w:rPr>
        <w:t xml:space="preserve">audio and </w:t>
      </w:r>
      <w:r w:rsidRPr="00F3017F">
        <w:t>video</w:t>
      </w:r>
      <w:r>
        <w:t xml:space="preserve">. </w:t>
      </w:r>
    </w:p>
    <w:p w:rsidR="00F911A2" w:rsidP="00793008" w:rsidRDefault="00F911A2" w14:paraId="24BCF7B8" w14:textId="77777777">
      <w:pPr>
        <w:widowControl w:val="0"/>
        <w:tabs>
          <w:tab w:val="left" w:pos="1679"/>
          <w:tab w:val="left" w:pos="1680"/>
        </w:tabs>
        <w:autoSpaceDE w:val="0"/>
        <w:autoSpaceDN w:val="0"/>
        <w:spacing w:line="293" w:lineRule="exact"/>
        <w:ind w:left="720"/>
      </w:pPr>
    </w:p>
    <w:p w:rsidRPr="00F3017F" w:rsidR="009B29CD" w:rsidP="00793008" w:rsidRDefault="00F3017F" w14:paraId="12042842" w14:textId="39954C4C">
      <w:pPr>
        <w:widowControl w:val="0"/>
        <w:tabs>
          <w:tab w:val="left" w:pos="1679"/>
          <w:tab w:val="left" w:pos="1680"/>
        </w:tabs>
        <w:autoSpaceDE w:val="0"/>
        <w:autoSpaceDN w:val="0"/>
        <w:spacing w:line="293" w:lineRule="exact"/>
        <w:ind w:left="720"/>
      </w:pPr>
      <w:r>
        <w:t xml:space="preserve">Exclusion criteria for consumers include: </w:t>
      </w:r>
      <w:r w:rsidR="00E3682B">
        <w:t>(</w:t>
      </w:r>
      <w:r>
        <w:t xml:space="preserve">1) </w:t>
      </w:r>
      <w:r w:rsidRPr="00F3017F">
        <w:t>participated</w:t>
      </w:r>
      <w:r w:rsidRPr="00F3017F">
        <w:rPr>
          <w:spacing w:val="-2"/>
        </w:rPr>
        <w:t xml:space="preserve"> </w:t>
      </w:r>
      <w:r w:rsidRPr="00F3017F">
        <w:t>in</w:t>
      </w:r>
      <w:r w:rsidRPr="00F3017F">
        <w:rPr>
          <w:spacing w:val="1"/>
        </w:rPr>
        <w:t xml:space="preserve"> </w:t>
      </w:r>
      <w:r w:rsidRPr="00F3017F">
        <w:t>a focus group</w:t>
      </w:r>
      <w:r w:rsidRPr="00F3017F">
        <w:rPr>
          <w:spacing w:val="-1"/>
        </w:rPr>
        <w:t xml:space="preserve"> </w:t>
      </w:r>
      <w:r w:rsidRPr="00F3017F">
        <w:t>or</w:t>
      </w:r>
      <w:r w:rsidRPr="00F3017F">
        <w:rPr>
          <w:spacing w:val="-2"/>
        </w:rPr>
        <w:t xml:space="preserve"> </w:t>
      </w:r>
      <w:r w:rsidRPr="00F3017F">
        <w:t>other</w:t>
      </w:r>
      <w:r w:rsidRPr="00F3017F">
        <w:rPr>
          <w:spacing w:val="-3"/>
        </w:rPr>
        <w:t xml:space="preserve"> </w:t>
      </w:r>
      <w:r w:rsidRPr="00F3017F">
        <w:t>interview-based</w:t>
      </w:r>
      <w:r w:rsidRPr="00F3017F">
        <w:rPr>
          <w:spacing w:val="1"/>
        </w:rPr>
        <w:t xml:space="preserve"> </w:t>
      </w:r>
      <w:r w:rsidRPr="00F3017F">
        <w:t>research</w:t>
      </w:r>
      <w:r w:rsidRPr="00F3017F">
        <w:rPr>
          <w:spacing w:val="-2"/>
        </w:rPr>
        <w:t xml:space="preserve"> </w:t>
      </w:r>
      <w:r w:rsidRPr="00F3017F">
        <w:t>in</w:t>
      </w:r>
      <w:r w:rsidRPr="00F3017F">
        <w:rPr>
          <w:spacing w:val="-1"/>
        </w:rPr>
        <w:t xml:space="preserve"> </w:t>
      </w:r>
      <w:r w:rsidRPr="00F3017F">
        <w:t>past</w:t>
      </w:r>
      <w:r w:rsidRPr="00F3017F">
        <w:rPr>
          <w:spacing w:val="-1"/>
        </w:rPr>
        <w:t xml:space="preserve"> </w:t>
      </w:r>
      <w:r w:rsidRPr="00F3017F">
        <w:t>3</w:t>
      </w:r>
      <w:r w:rsidRPr="00F3017F">
        <w:rPr>
          <w:spacing w:val="-2"/>
        </w:rPr>
        <w:t xml:space="preserve"> </w:t>
      </w:r>
      <w:r w:rsidRPr="00F3017F">
        <w:t>months</w:t>
      </w:r>
      <w:r w:rsidR="00F911A2">
        <w:t>,</w:t>
      </w:r>
      <w:r>
        <w:t xml:space="preserve"> and </w:t>
      </w:r>
      <w:r w:rsidR="00E3682B">
        <w:t>(</w:t>
      </w:r>
      <w:r>
        <w:t xml:space="preserve">2) </w:t>
      </w:r>
      <w:r w:rsidRPr="00F3017F">
        <w:t>work</w:t>
      </w:r>
      <w:r w:rsidR="001B1D37">
        <w:t>s</w:t>
      </w:r>
      <w:r w:rsidRPr="00F3017F">
        <w:t xml:space="preserve"> </w:t>
      </w:r>
      <w:r w:rsidR="0064337A">
        <w:t xml:space="preserve">full-time </w:t>
      </w:r>
      <w:r w:rsidRPr="00F3017F">
        <w:t xml:space="preserve">in </w:t>
      </w:r>
      <w:r>
        <w:t xml:space="preserve">the </w:t>
      </w:r>
      <w:r w:rsidRPr="00F3017F">
        <w:t xml:space="preserve">marketing, advertising, </w:t>
      </w:r>
      <w:r>
        <w:t xml:space="preserve">or </w:t>
      </w:r>
      <w:r w:rsidRPr="00F3017F">
        <w:t>pharmaceutical industr</w:t>
      </w:r>
      <w:r w:rsidR="001B1D37">
        <w:t>y</w:t>
      </w:r>
      <w:r w:rsidRPr="00F3017F">
        <w:t xml:space="preserve"> or</w:t>
      </w:r>
      <w:r>
        <w:t xml:space="preserve"> for the</w:t>
      </w:r>
      <w:r w:rsidRPr="00F3017F">
        <w:t xml:space="preserve"> Department </w:t>
      </w:r>
      <w:r>
        <w:t xml:space="preserve">of Health </w:t>
      </w:r>
      <w:r w:rsidRPr="00F3017F">
        <w:t>and Human Services</w:t>
      </w:r>
      <w:r>
        <w:t xml:space="preserve">. </w:t>
      </w:r>
      <w:r w:rsidR="005254C6">
        <w:t xml:space="preserve">  </w:t>
      </w:r>
      <w:r w:rsidR="0058292D">
        <w:t>Like</w:t>
      </w:r>
      <w:r>
        <w:t xml:space="preserve"> the PCP group, we will strive to obtain a mix of ages, genders, and races</w:t>
      </w:r>
      <w:r w:rsidR="003554C9">
        <w:t xml:space="preserve"> </w:t>
      </w:r>
      <w:r w:rsidR="00E17AA9">
        <w:t>and ethnicities</w:t>
      </w:r>
      <w:r>
        <w:t>.</w:t>
      </w:r>
    </w:p>
    <w:p w:rsidR="007B2DD9" w:rsidP="00793008" w:rsidRDefault="007B2DD9" w14:paraId="0ABF86E3" w14:textId="77777777">
      <w:pPr>
        <w:ind w:left="720"/>
      </w:pPr>
    </w:p>
    <w:p w:rsidRPr="00735060" w:rsidR="003F1C7A" w:rsidP="00D70AEC" w:rsidRDefault="003F1C7A" w14:paraId="70A677EC" w14:textId="77777777">
      <w:pPr>
        <w:numPr>
          <w:ilvl w:val="0"/>
          <w:numId w:val="1"/>
        </w:numPr>
        <w:ind w:left="720"/>
      </w:pPr>
      <w:r w:rsidRPr="00735060">
        <w:rPr>
          <w:b/>
        </w:rPr>
        <w:t xml:space="preserve">Date(s) </w:t>
      </w:r>
      <w:r w:rsidRPr="00735060" w:rsidR="009404FA">
        <w:rPr>
          <w:b/>
        </w:rPr>
        <w:t xml:space="preserve">to be conducted </w:t>
      </w:r>
      <w:r w:rsidRPr="00735060">
        <w:rPr>
          <w:b/>
        </w:rPr>
        <w:t>and location(s)</w:t>
      </w:r>
      <w:r w:rsidRPr="00735060" w:rsidR="0049419A">
        <w:rPr>
          <w:b/>
        </w:rPr>
        <w:t>:</w:t>
      </w:r>
      <w:r w:rsidRPr="00735060">
        <w:rPr>
          <w:b/>
        </w:rPr>
        <w:t xml:space="preserve">  </w:t>
      </w:r>
    </w:p>
    <w:p w:rsidR="00467E1F" w:rsidP="00467E1F" w:rsidRDefault="00467E1F" w14:paraId="3D53812F" w14:textId="77777777"/>
    <w:p w:rsidR="00467E1F" w:rsidP="00793008" w:rsidRDefault="00467E1F" w14:paraId="478FCA01" w14:textId="47AB781A">
      <w:pPr>
        <w:ind w:left="720"/>
      </w:pPr>
      <w:bookmarkStart w:name="_Hlk89407342" w:id="0"/>
      <w:r>
        <w:t xml:space="preserve">We plan to conduct </w:t>
      </w:r>
      <w:r w:rsidR="002A55E6">
        <w:t xml:space="preserve">focus groups </w:t>
      </w:r>
      <w:r w:rsidR="008A3CBF">
        <w:t xml:space="preserve">between </w:t>
      </w:r>
      <w:r w:rsidR="00143294">
        <w:t>January 202</w:t>
      </w:r>
      <w:r w:rsidR="00CC0116">
        <w:t>2</w:t>
      </w:r>
      <w:r w:rsidR="00396C31">
        <w:t xml:space="preserve"> and March 2022</w:t>
      </w:r>
      <w:r w:rsidR="008A3CBF">
        <w:t>.</w:t>
      </w:r>
    </w:p>
    <w:bookmarkEnd w:id="0"/>
    <w:p w:rsidR="00467E1F" w:rsidP="00467E1F" w:rsidRDefault="00467E1F" w14:paraId="724571B6" w14:textId="77777777">
      <w:pPr>
        <w:ind w:firstLine="360"/>
      </w:pPr>
    </w:p>
    <w:p w:rsidRPr="005254C6" w:rsidR="00825E0D" w:rsidP="00D70AEC" w:rsidRDefault="00140A0D" w14:paraId="3B8AAB25" w14:textId="2ED06824">
      <w:pPr>
        <w:numPr>
          <w:ilvl w:val="0"/>
          <w:numId w:val="1"/>
        </w:numPr>
        <w:ind w:left="720"/>
      </w:pPr>
      <w:r w:rsidRPr="00735060">
        <w:rPr>
          <w:b/>
        </w:rPr>
        <w:t xml:space="preserve">How the </w:t>
      </w:r>
      <w:r w:rsidR="00C8501F">
        <w:rPr>
          <w:b/>
        </w:rPr>
        <w:t>i</w:t>
      </w:r>
      <w:r w:rsidRPr="00735060">
        <w:rPr>
          <w:b/>
        </w:rPr>
        <w:t>nformation is being collected</w:t>
      </w:r>
      <w:r w:rsidRPr="00735060" w:rsidR="0049419A">
        <w:rPr>
          <w:b/>
        </w:rPr>
        <w:t>:</w:t>
      </w:r>
      <w:bookmarkStart w:name="_Toc432670992" w:id="1"/>
    </w:p>
    <w:p w:rsidR="008A31FF" w:rsidP="00825E0D" w:rsidRDefault="008A31FF" w14:paraId="58D6003C" w14:textId="77777777">
      <w:pPr>
        <w:pStyle w:val="Heading11"/>
        <w:jc w:val="left"/>
        <w:rPr>
          <w:rFonts w:ascii="Times New Roman" w:hAnsi="Times New Roman"/>
          <w:color w:val="auto"/>
          <w:sz w:val="24"/>
          <w:szCs w:val="24"/>
        </w:rPr>
      </w:pPr>
    </w:p>
    <w:p w:rsidRPr="00D70AEC" w:rsidR="00825E0D" w:rsidP="00D70AEC" w:rsidRDefault="00825E0D" w14:paraId="51D48089" w14:textId="77777777">
      <w:pPr>
        <w:pStyle w:val="Heading11"/>
        <w:ind w:firstLine="720"/>
        <w:jc w:val="left"/>
        <w:rPr>
          <w:rFonts w:ascii="Times New Roman" w:hAnsi="Times New Roman"/>
          <w:bCs/>
          <w:color w:val="auto"/>
          <w:sz w:val="24"/>
          <w:szCs w:val="24"/>
          <w:u w:val="single"/>
        </w:rPr>
      </w:pPr>
      <w:r w:rsidRPr="00D70AEC">
        <w:rPr>
          <w:rFonts w:ascii="Times New Roman" w:hAnsi="Times New Roman"/>
          <w:bCs/>
          <w:color w:val="auto"/>
          <w:sz w:val="24"/>
          <w:szCs w:val="24"/>
          <w:u w:val="single"/>
        </w:rPr>
        <w:t>Recruitment Procedures</w:t>
      </w:r>
      <w:bookmarkEnd w:id="1"/>
      <w:r w:rsidRPr="00D70AEC" w:rsidR="00C4752A">
        <w:rPr>
          <w:rFonts w:ascii="Times New Roman" w:hAnsi="Times New Roman"/>
          <w:bCs/>
          <w:color w:val="auto"/>
          <w:sz w:val="24"/>
          <w:szCs w:val="24"/>
          <w:u w:val="single"/>
        </w:rPr>
        <w:t xml:space="preserve"> </w:t>
      </w:r>
    </w:p>
    <w:p w:rsidR="000240EA" w:rsidP="000240EA" w:rsidRDefault="000240EA" w14:paraId="569D344F" w14:textId="15728AC4">
      <w:pPr>
        <w:pStyle w:val="ListParagraph"/>
        <w:tabs>
          <w:tab w:val="left" w:pos="360"/>
        </w:tabs>
        <w:autoSpaceDE w:val="0"/>
        <w:autoSpaceDN w:val="0"/>
        <w:adjustRightInd w:val="0"/>
        <w:ind w:left="0"/>
      </w:pPr>
      <w:bookmarkStart w:name="_Toc432670827" w:id="2"/>
      <w:bookmarkStart w:name="_Toc432670993" w:id="3"/>
      <w:bookmarkStart w:name="_Toc508302237" w:id="4"/>
    </w:p>
    <w:p w:rsidR="00652D47" w:rsidP="00793008" w:rsidRDefault="00B974E7" w14:paraId="0E700294" w14:textId="2BE92D4C">
      <w:pPr>
        <w:pStyle w:val="ListParagraph"/>
        <w:tabs>
          <w:tab w:val="left" w:pos="360"/>
        </w:tabs>
        <w:autoSpaceDE w:val="0"/>
        <w:autoSpaceDN w:val="0"/>
        <w:adjustRightInd w:val="0"/>
      </w:pPr>
      <w:r w:rsidRPr="00E17768">
        <w:rPr>
          <w:b/>
          <w:i/>
        </w:rPr>
        <w:t>PCPs</w:t>
      </w:r>
      <w:r w:rsidR="000240EA">
        <w:rPr>
          <w:b/>
          <w:i/>
        </w:rPr>
        <w:t>.</w:t>
      </w:r>
      <w:r w:rsidR="00B40690">
        <w:rPr>
          <w:b/>
          <w:i/>
        </w:rPr>
        <w:t xml:space="preserve">  </w:t>
      </w:r>
      <w:r w:rsidRPr="00336FCF" w:rsidR="0064337A">
        <w:t xml:space="preserve">Staff from </w:t>
      </w:r>
      <w:r w:rsidR="002566C8">
        <w:t xml:space="preserve">a </w:t>
      </w:r>
      <w:r w:rsidR="00D56DE8">
        <w:t xml:space="preserve">focus group </w:t>
      </w:r>
      <w:r w:rsidR="002566C8">
        <w:t>recruitment firm</w:t>
      </w:r>
      <w:r w:rsidRPr="00336FCF" w:rsidR="0064337A">
        <w:t xml:space="preserve"> </w:t>
      </w:r>
      <w:r w:rsidR="0064337A">
        <w:t xml:space="preserve">(Plaza) </w:t>
      </w:r>
      <w:r w:rsidRPr="00336FCF" w:rsidR="0064337A">
        <w:t xml:space="preserve">will </w:t>
      </w:r>
      <w:r w:rsidR="0064337A">
        <w:t>use their in-house databases to recruit participants</w:t>
      </w:r>
      <w:r w:rsidRPr="00336FCF" w:rsidR="0064337A">
        <w:t xml:space="preserve"> </w:t>
      </w:r>
      <w:r w:rsidR="0064337A">
        <w:t xml:space="preserve">using </w:t>
      </w:r>
      <w:r w:rsidR="007732C5">
        <w:t>an online</w:t>
      </w:r>
      <w:r w:rsidRPr="00336FCF" w:rsidR="0064337A">
        <w:t xml:space="preserve"> screener (</w:t>
      </w:r>
      <w:r w:rsidR="0064337A">
        <w:t xml:space="preserve">Appendix </w:t>
      </w:r>
      <w:r w:rsidR="00CE6407">
        <w:t>A</w:t>
      </w:r>
      <w:r w:rsidRPr="00336FCF" w:rsidR="0064337A">
        <w:t>)</w:t>
      </w:r>
      <w:r w:rsidRPr="00336FCF" w:rsidR="00FB5503">
        <w:t xml:space="preserve">.  </w:t>
      </w:r>
      <w:r w:rsidR="00652D47">
        <w:t xml:space="preserve">Eligible PCPs completing the groups will be offered $250 </w:t>
      </w:r>
      <w:r w:rsidR="00CE5ABC">
        <w:t>as a token of appreciation</w:t>
      </w:r>
      <w:r w:rsidR="00FB5503">
        <w:t xml:space="preserve">.  </w:t>
      </w:r>
      <w:r w:rsidR="00652D47">
        <w:t xml:space="preserve">Once </w:t>
      </w:r>
      <w:r w:rsidR="00F0302C">
        <w:t xml:space="preserve">a </w:t>
      </w:r>
      <w:r w:rsidR="00652D47">
        <w:t xml:space="preserve">PCP agrees to participate in the focus group, a </w:t>
      </w:r>
      <w:r w:rsidRPr="00470C11" w:rsidR="00652D47">
        <w:t>confirmation email letter</w:t>
      </w:r>
      <w:r w:rsidR="00652D47">
        <w:t xml:space="preserve"> (Appendix</w:t>
      </w:r>
      <w:r w:rsidR="002566C8">
        <w:t xml:space="preserve"> </w:t>
      </w:r>
      <w:r w:rsidR="00CE6407">
        <w:t>B</w:t>
      </w:r>
      <w:r w:rsidR="00652D47">
        <w:t>)</w:t>
      </w:r>
      <w:r w:rsidRPr="00470C11" w:rsidR="00652D47">
        <w:t xml:space="preserve"> </w:t>
      </w:r>
      <w:r w:rsidR="00652D47">
        <w:t xml:space="preserve">will be sent to them </w:t>
      </w:r>
      <w:r w:rsidRPr="00470C11" w:rsidR="00652D47">
        <w:t>outlining the overall purpose of the research</w:t>
      </w:r>
      <w:r w:rsidR="0092346A">
        <w:t xml:space="preserve">, </w:t>
      </w:r>
      <w:r w:rsidR="00B40690">
        <w:t xml:space="preserve">specifying </w:t>
      </w:r>
      <w:r w:rsidRPr="00607815" w:rsidR="00652D47">
        <w:t xml:space="preserve">the date and time </w:t>
      </w:r>
      <w:r w:rsidR="00652D47">
        <w:t xml:space="preserve">for the focus group and </w:t>
      </w:r>
      <w:r w:rsidR="00F0302C">
        <w:t xml:space="preserve">a </w:t>
      </w:r>
      <w:r w:rsidR="00652D47">
        <w:t>Zoom</w:t>
      </w:r>
      <w:r w:rsidR="002566C8">
        <w:t>.gov</w:t>
      </w:r>
      <w:r w:rsidR="00652D47">
        <w:t xml:space="preserve"> link for </w:t>
      </w:r>
      <w:r w:rsidR="00F0302C">
        <w:t>participating in the g</w:t>
      </w:r>
      <w:r w:rsidR="0092346A">
        <w:t>roups</w:t>
      </w:r>
      <w:r w:rsidR="00F0302C">
        <w:t xml:space="preserve"> at the appointed time</w:t>
      </w:r>
      <w:r w:rsidR="0092346A">
        <w:t xml:space="preserve">. </w:t>
      </w:r>
      <w:r w:rsidR="00652D47">
        <w:t xml:space="preserve">An </w:t>
      </w:r>
      <w:r w:rsidRPr="00607815" w:rsidR="00652D47">
        <w:t xml:space="preserve">informed consent </w:t>
      </w:r>
      <w:r w:rsidRPr="004E5C97" w:rsidR="00652D47">
        <w:t xml:space="preserve">document (see </w:t>
      </w:r>
      <w:r w:rsidR="00652D47">
        <w:t>Appendix</w:t>
      </w:r>
      <w:r w:rsidRPr="004E5C97" w:rsidR="00652D47">
        <w:t xml:space="preserve"> </w:t>
      </w:r>
      <w:r w:rsidR="00CE6407">
        <w:t>C</w:t>
      </w:r>
      <w:r w:rsidRPr="004E5C97" w:rsidR="00652D47">
        <w:t>)</w:t>
      </w:r>
      <w:r w:rsidRPr="00607815" w:rsidR="00652D47">
        <w:t xml:space="preserve"> will also be </w:t>
      </w:r>
      <w:r w:rsidR="00652D47">
        <w:t>attached to the confirmation email letter.</w:t>
      </w:r>
      <w:r w:rsidR="0092346A">
        <w:t xml:space="preserve">  </w:t>
      </w:r>
    </w:p>
    <w:p w:rsidR="00580940" w:rsidP="00793008" w:rsidRDefault="00580940" w14:paraId="08E0FC1A" w14:textId="2204C328">
      <w:pPr>
        <w:pStyle w:val="ListParagraph"/>
        <w:tabs>
          <w:tab w:val="left" w:pos="360"/>
        </w:tabs>
        <w:autoSpaceDE w:val="0"/>
        <w:autoSpaceDN w:val="0"/>
        <w:adjustRightInd w:val="0"/>
      </w:pPr>
    </w:p>
    <w:p w:rsidR="007023DB" w:rsidP="00793008" w:rsidRDefault="0092346A" w14:paraId="0EBDA9B4" w14:textId="2ED83896">
      <w:pPr>
        <w:pStyle w:val="ListParagraph"/>
        <w:tabs>
          <w:tab w:val="left" w:pos="360"/>
        </w:tabs>
        <w:autoSpaceDE w:val="0"/>
        <w:autoSpaceDN w:val="0"/>
        <w:adjustRightInd w:val="0"/>
      </w:pPr>
      <w:r>
        <w:t xml:space="preserve">Plaza will </w:t>
      </w:r>
      <w:r w:rsidRPr="00607815" w:rsidR="007023DB">
        <w:t xml:space="preserve">send </w:t>
      </w:r>
      <w:r w:rsidR="005A77C0">
        <w:t xml:space="preserve">recruited </w:t>
      </w:r>
      <w:r w:rsidR="00636DEA">
        <w:t>PCPs’</w:t>
      </w:r>
      <w:r w:rsidRPr="00607815" w:rsidR="00636DEA">
        <w:t xml:space="preserve"> </w:t>
      </w:r>
      <w:r w:rsidRPr="00607815" w:rsidR="007023DB">
        <w:t>first name</w:t>
      </w:r>
      <w:r w:rsidR="007C7DF4">
        <w:t>s</w:t>
      </w:r>
      <w:r w:rsidRPr="00607815" w:rsidR="007023DB">
        <w:t xml:space="preserve"> </w:t>
      </w:r>
      <w:r w:rsidR="00580940">
        <w:t xml:space="preserve">to </w:t>
      </w:r>
      <w:r w:rsidR="00F0302C">
        <w:t>Westat as they are recruited</w:t>
      </w:r>
      <w:r w:rsidR="00FB5503">
        <w:t xml:space="preserve">.  </w:t>
      </w:r>
      <w:r w:rsidR="007023DB">
        <w:t xml:space="preserve">Westat will </w:t>
      </w:r>
      <w:r w:rsidR="00580940">
        <w:t>provide</w:t>
      </w:r>
      <w:r w:rsidR="0055484A">
        <w:t xml:space="preserve"> </w:t>
      </w:r>
      <w:r w:rsidR="001B1D37">
        <w:t xml:space="preserve">to FDA </w:t>
      </w:r>
      <w:r w:rsidR="00580940">
        <w:t xml:space="preserve">periodic </w:t>
      </w:r>
      <w:r w:rsidR="007023DB">
        <w:t>updates</w:t>
      </w:r>
      <w:r w:rsidR="00580940">
        <w:t xml:space="preserve"> </w:t>
      </w:r>
      <w:r w:rsidR="007023DB">
        <w:t xml:space="preserve">about </w:t>
      </w:r>
      <w:r w:rsidR="0055484A">
        <w:t xml:space="preserve">recruited </w:t>
      </w:r>
      <w:r w:rsidR="00F0302C">
        <w:t xml:space="preserve">PCP </w:t>
      </w:r>
      <w:r w:rsidR="0055484A">
        <w:t>participants</w:t>
      </w:r>
      <w:r w:rsidR="00FB5503">
        <w:t xml:space="preserve">.  </w:t>
      </w:r>
      <w:r w:rsidR="00E17768">
        <w:t xml:space="preserve">Two days </w:t>
      </w:r>
      <w:r w:rsidR="001B1D37">
        <w:t xml:space="preserve">before </w:t>
      </w:r>
      <w:r w:rsidRPr="00470C11" w:rsidR="007023DB">
        <w:t xml:space="preserve">the </w:t>
      </w:r>
      <w:r w:rsidR="00607815">
        <w:t xml:space="preserve">scheduled </w:t>
      </w:r>
      <w:r w:rsidR="0055484A">
        <w:t xml:space="preserve">focus group, </w:t>
      </w:r>
      <w:r w:rsidR="00607815">
        <w:t xml:space="preserve">recruited </w:t>
      </w:r>
      <w:r w:rsidR="00636DEA">
        <w:t xml:space="preserve">PCPs </w:t>
      </w:r>
      <w:r w:rsidR="00D4709A">
        <w:t xml:space="preserve">will be sent </w:t>
      </w:r>
      <w:r w:rsidRPr="00470C11" w:rsidR="007023DB">
        <w:t xml:space="preserve">a reminder email and </w:t>
      </w:r>
      <w:r w:rsidR="007023DB">
        <w:t>offer</w:t>
      </w:r>
      <w:r w:rsidR="0093515A">
        <w:t>ed</w:t>
      </w:r>
      <w:r w:rsidR="007023DB">
        <w:t xml:space="preserve"> </w:t>
      </w:r>
      <w:r w:rsidRPr="00470C11" w:rsidR="007023DB">
        <w:t>an opportunity to decline participation, if they choose</w:t>
      </w:r>
      <w:r w:rsidR="00D4709A">
        <w:t xml:space="preserve"> (</w:t>
      </w:r>
      <w:r w:rsidR="004E5C97">
        <w:t>Appendix</w:t>
      </w:r>
      <w:r w:rsidR="00D4709A">
        <w:t xml:space="preserve"> </w:t>
      </w:r>
      <w:r w:rsidR="00406870">
        <w:t>B</w:t>
      </w:r>
      <w:r w:rsidR="00D4709A">
        <w:t>)</w:t>
      </w:r>
      <w:r w:rsidRPr="00470C11" w:rsidR="007023DB">
        <w:t>.  </w:t>
      </w:r>
    </w:p>
    <w:p w:rsidR="000A41AE" w:rsidP="00793008" w:rsidRDefault="000A41AE" w14:paraId="5BE263AE" w14:textId="5417B59F">
      <w:pPr>
        <w:pStyle w:val="ListParagraph"/>
        <w:tabs>
          <w:tab w:val="left" w:pos="360"/>
        </w:tabs>
        <w:autoSpaceDE w:val="0"/>
        <w:autoSpaceDN w:val="0"/>
        <w:adjustRightInd w:val="0"/>
      </w:pPr>
    </w:p>
    <w:p w:rsidR="00F0302C" w:rsidP="00793008" w:rsidRDefault="000A41AE" w14:paraId="421F9FAF" w14:textId="3C05F0F4">
      <w:pPr>
        <w:pStyle w:val="ListParagraph"/>
        <w:tabs>
          <w:tab w:val="left" w:pos="360"/>
        </w:tabs>
        <w:autoSpaceDE w:val="0"/>
        <w:autoSpaceDN w:val="0"/>
        <w:adjustRightInd w:val="0"/>
      </w:pPr>
      <w:r w:rsidRPr="00264096">
        <w:rPr>
          <w:b/>
          <w:i/>
        </w:rPr>
        <w:t>Consumers</w:t>
      </w:r>
      <w:r w:rsidRPr="00264096" w:rsidR="00FB5503">
        <w:rPr>
          <w:i/>
        </w:rPr>
        <w:t xml:space="preserve">.  </w:t>
      </w:r>
      <w:r w:rsidR="00F0302C">
        <w:t>Plaza will recruit consumers for the focus groups using a similar process as the PCPs</w:t>
      </w:r>
      <w:r w:rsidR="00FB5503">
        <w:t xml:space="preserve">.  </w:t>
      </w:r>
      <w:r w:rsidR="00F0302C">
        <w:t>They will use their in-house database and a</w:t>
      </w:r>
      <w:r w:rsidR="00D56DE8">
        <w:t>n</w:t>
      </w:r>
      <w:r w:rsidR="00F0302C">
        <w:t xml:space="preserve"> </w:t>
      </w:r>
      <w:r w:rsidR="007732C5">
        <w:t xml:space="preserve">online </w:t>
      </w:r>
      <w:r w:rsidR="00F0302C">
        <w:t xml:space="preserve">screener (Appendix </w:t>
      </w:r>
      <w:r w:rsidR="00CE6407">
        <w:t>A</w:t>
      </w:r>
      <w:r w:rsidR="00F0302C">
        <w:t>) to recruit consumer participants</w:t>
      </w:r>
      <w:r w:rsidR="00FB5503">
        <w:t xml:space="preserve">.  </w:t>
      </w:r>
      <w:r w:rsidR="00F0302C">
        <w:t xml:space="preserve">Eligible consumers completing the groups will be offered $75 </w:t>
      </w:r>
      <w:r w:rsidR="00CE5ABC">
        <w:t>as a token of</w:t>
      </w:r>
      <w:r w:rsidR="00F0302C">
        <w:t xml:space="preserve"> appreciation</w:t>
      </w:r>
      <w:r w:rsidR="00F911A2">
        <w:t xml:space="preserve">.  </w:t>
      </w:r>
      <w:r w:rsidR="00F0302C">
        <w:t xml:space="preserve">Once a participant agrees to participate in the focus group, a </w:t>
      </w:r>
      <w:r w:rsidRPr="00470C11" w:rsidR="00F0302C">
        <w:t>confirmation email letter</w:t>
      </w:r>
      <w:r w:rsidR="00F0302C">
        <w:t xml:space="preserve"> (Appendix</w:t>
      </w:r>
      <w:r w:rsidR="00D56DE8">
        <w:t xml:space="preserve"> </w:t>
      </w:r>
      <w:r w:rsidR="00CE6407">
        <w:t>B</w:t>
      </w:r>
      <w:r w:rsidR="00F0302C">
        <w:t>)</w:t>
      </w:r>
      <w:r w:rsidRPr="00470C11" w:rsidR="00F0302C">
        <w:t xml:space="preserve"> </w:t>
      </w:r>
      <w:r w:rsidR="00F0302C">
        <w:t>will be sent to the</w:t>
      </w:r>
      <w:r w:rsidR="00AE665D">
        <w:t xml:space="preserve"> participant</w:t>
      </w:r>
      <w:r w:rsidR="00F0302C">
        <w:t xml:space="preserve"> </w:t>
      </w:r>
      <w:r w:rsidRPr="00470C11" w:rsidR="00F0302C">
        <w:t>outlining the overall purpose of the research</w:t>
      </w:r>
      <w:r w:rsidR="00F0302C">
        <w:t xml:space="preserve">, </w:t>
      </w:r>
      <w:r w:rsidRPr="00607815" w:rsidR="00F0302C">
        <w:t>confirm</w:t>
      </w:r>
      <w:r w:rsidR="00F0302C">
        <w:t xml:space="preserve">ing </w:t>
      </w:r>
      <w:r w:rsidRPr="00607815" w:rsidR="00F0302C">
        <w:t xml:space="preserve">the date and time </w:t>
      </w:r>
      <w:r w:rsidR="00F0302C">
        <w:t>for the focus groups</w:t>
      </w:r>
      <w:r w:rsidR="00AE665D">
        <w:t>,</w:t>
      </w:r>
      <w:r w:rsidR="00F0302C">
        <w:t xml:space="preserve"> and a Zoom</w:t>
      </w:r>
      <w:r w:rsidR="002566C8">
        <w:t>.gov</w:t>
      </w:r>
      <w:r w:rsidR="00F0302C">
        <w:t xml:space="preserve"> link for participating in the groups at the appointed time. </w:t>
      </w:r>
      <w:r w:rsidR="000F153D">
        <w:t xml:space="preserve"> </w:t>
      </w:r>
      <w:r w:rsidR="00F0302C">
        <w:t xml:space="preserve">An </w:t>
      </w:r>
      <w:r w:rsidRPr="00607815" w:rsidR="00F0302C">
        <w:t xml:space="preserve">informed consent </w:t>
      </w:r>
      <w:r w:rsidRPr="004E5C97" w:rsidR="00F0302C">
        <w:t xml:space="preserve">document (see </w:t>
      </w:r>
      <w:r w:rsidR="00F0302C">
        <w:t>Appendix</w:t>
      </w:r>
      <w:r w:rsidRPr="004E5C97" w:rsidR="00F0302C">
        <w:t xml:space="preserve"> </w:t>
      </w:r>
      <w:r w:rsidR="00CE6407">
        <w:t>C</w:t>
      </w:r>
      <w:r w:rsidRPr="004E5C97" w:rsidR="00F0302C">
        <w:t>)</w:t>
      </w:r>
      <w:r w:rsidRPr="00607815" w:rsidR="00F0302C">
        <w:t xml:space="preserve"> will also be </w:t>
      </w:r>
      <w:r w:rsidR="00F0302C">
        <w:t>attached to the confirmation email letter</w:t>
      </w:r>
      <w:r w:rsidR="00FB5503">
        <w:t xml:space="preserve">.  </w:t>
      </w:r>
      <w:r w:rsidR="00F0302C">
        <w:t xml:space="preserve">Plaza will </w:t>
      </w:r>
      <w:r w:rsidRPr="00607815" w:rsidR="00F0302C">
        <w:t xml:space="preserve">send </w:t>
      </w:r>
      <w:r w:rsidR="001F3220">
        <w:t>recruited participants</w:t>
      </w:r>
      <w:r w:rsidR="003B1B68">
        <w:t>’</w:t>
      </w:r>
      <w:r w:rsidR="001F3220">
        <w:t xml:space="preserve"> </w:t>
      </w:r>
      <w:r w:rsidRPr="00607815" w:rsidR="00F0302C">
        <w:t>first name</w:t>
      </w:r>
      <w:r w:rsidR="00F0302C">
        <w:t>s</w:t>
      </w:r>
      <w:r w:rsidRPr="00607815" w:rsidR="00F0302C">
        <w:t xml:space="preserve"> </w:t>
      </w:r>
      <w:r w:rsidR="00F0302C">
        <w:t xml:space="preserve">to </w:t>
      </w:r>
      <w:r w:rsidR="00B40690">
        <w:t xml:space="preserve">Westat, which will be provided to </w:t>
      </w:r>
      <w:r w:rsidR="00B40690">
        <w:lastRenderedPageBreak/>
        <w:t>FDA</w:t>
      </w:r>
      <w:r w:rsidR="00FB5503">
        <w:t xml:space="preserve">.  </w:t>
      </w:r>
      <w:r w:rsidR="00B40690">
        <w:t>T</w:t>
      </w:r>
      <w:r w:rsidR="00F0302C">
        <w:t xml:space="preserve">wo days </w:t>
      </w:r>
      <w:r w:rsidR="003B1B68">
        <w:t>before</w:t>
      </w:r>
      <w:r w:rsidRPr="00470C11" w:rsidR="00F0302C">
        <w:t xml:space="preserve"> the </w:t>
      </w:r>
      <w:r w:rsidR="00F0302C">
        <w:t xml:space="preserve">scheduled focus group, recruited </w:t>
      </w:r>
      <w:r w:rsidR="00B40690">
        <w:t xml:space="preserve">participants </w:t>
      </w:r>
      <w:r w:rsidR="00F0302C">
        <w:t xml:space="preserve">will be sent </w:t>
      </w:r>
      <w:r w:rsidRPr="00470C11" w:rsidR="00F0302C">
        <w:t xml:space="preserve">a reminder email and </w:t>
      </w:r>
      <w:r w:rsidR="00F0302C">
        <w:t xml:space="preserve">offered </w:t>
      </w:r>
      <w:r w:rsidRPr="00470C11" w:rsidR="00F0302C">
        <w:t>an opportunity to decline participation</w:t>
      </w:r>
      <w:r w:rsidR="000F153D">
        <w:t xml:space="preserve">, </w:t>
      </w:r>
      <w:r w:rsidRPr="00470C11" w:rsidR="00F0302C">
        <w:t>if they choose</w:t>
      </w:r>
      <w:r w:rsidR="009125CB">
        <w:t xml:space="preserve">.  </w:t>
      </w:r>
      <w:r w:rsidR="00F0302C">
        <w:t xml:space="preserve">(Appendix </w:t>
      </w:r>
      <w:r w:rsidR="00406870">
        <w:t>B</w:t>
      </w:r>
      <w:r w:rsidR="00F0302C">
        <w:t>)</w:t>
      </w:r>
      <w:r w:rsidRPr="00470C11" w:rsidR="00F0302C">
        <w:t>.  </w:t>
      </w:r>
    </w:p>
    <w:p w:rsidRPr="00470C11" w:rsidR="0092346A" w:rsidP="00793008" w:rsidRDefault="0092346A" w14:paraId="1E44C28A" w14:textId="77777777">
      <w:pPr>
        <w:pStyle w:val="ListParagraph"/>
        <w:tabs>
          <w:tab w:val="left" w:pos="360"/>
        </w:tabs>
        <w:autoSpaceDE w:val="0"/>
        <w:autoSpaceDN w:val="0"/>
        <w:adjustRightInd w:val="0"/>
      </w:pPr>
    </w:p>
    <w:p w:rsidRPr="00D70AEC" w:rsidR="007B774A" w:rsidP="004A5B3B" w:rsidRDefault="007B774A" w14:paraId="4AE49043" w14:textId="0EC74024">
      <w:pPr>
        <w:pStyle w:val="Heading11"/>
        <w:ind w:firstLine="720"/>
        <w:jc w:val="left"/>
        <w:rPr>
          <w:rFonts w:ascii="Times New Roman" w:hAnsi="Times New Roman"/>
          <w:bCs/>
          <w:color w:val="auto"/>
          <w:sz w:val="24"/>
          <w:szCs w:val="24"/>
          <w:u w:val="single"/>
        </w:rPr>
      </w:pPr>
      <w:bookmarkStart w:name="_Toc432670831" w:id="5"/>
      <w:bookmarkStart w:name="_Toc432670997" w:id="6"/>
      <w:bookmarkEnd w:id="2"/>
      <w:bookmarkEnd w:id="3"/>
      <w:bookmarkEnd w:id="4"/>
      <w:r w:rsidRPr="00D70AEC">
        <w:rPr>
          <w:rFonts w:ascii="Times New Roman" w:hAnsi="Times New Roman"/>
          <w:bCs/>
          <w:color w:val="auto"/>
          <w:sz w:val="24"/>
          <w:szCs w:val="24"/>
          <w:u w:val="single"/>
        </w:rPr>
        <w:t>Data Collection Procedures</w:t>
      </w:r>
    </w:p>
    <w:p w:rsidR="007B774A" w:rsidP="00793008" w:rsidRDefault="007B774A" w14:paraId="3D7F348E" w14:textId="77777777">
      <w:pPr>
        <w:pStyle w:val="Heading11"/>
        <w:ind w:left="720"/>
        <w:jc w:val="left"/>
        <w:rPr>
          <w:rFonts w:ascii="Times New Roman" w:hAnsi="Times New Roman"/>
          <w:b w:val="0"/>
          <w:color w:val="auto"/>
          <w:sz w:val="24"/>
          <w:szCs w:val="24"/>
          <w:u w:val="single"/>
        </w:rPr>
      </w:pPr>
    </w:p>
    <w:p w:rsidR="00F41FA5" w:rsidP="00793008" w:rsidRDefault="007E5437" w14:paraId="4533A2BA" w14:textId="2F6ABD5B">
      <w:pPr>
        <w:autoSpaceDE w:val="0"/>
        <w:autoSpaceDN w:val="0"/>
        <w:adjustRightInd w:val="0"/>
        <w:ind w:left="720"/>
      </w:pPr>
      <w:bookmarkStart w:name="_Hlk17379782" w:id="7"/>
      <w:r w:rsidRPr="00BA1B29">
        <w:t xml:space="preserve">Data collection will be conducted </w:t>
      </w:r>
      <w:r w:rsidR="00D4709A">
        <w:t xml:space="preserve">remotely using </w:t>
      </w:r>
      <w:r w:rsidR="00CC0116">
        <w:t>Zoom</w:t>
      </w:r>
      <w:r w:rsidR="002566C8">
        <w:t>.gov</w:t>
      </w:r>
      <w:r w:rsidR="00FB5503">
        <w:t>.</w:t>
      </w:r>
      <w:r w:rsidR="00FB5503">
        <w:rPr>
          <w:bCs/>
        </w:rPr>
        <w:t xml:space="preserve">  </w:t>
      </w:r>
      <w:r w:rsidRPr="00BA1B29" w:rsidR="00C04278">
        <w:rPr>
          <w:bCs/>
        </w:rPr>
        <w:t xml:space="preserve">Trained </w:t>
      </w:r>
      <w:r w:rsidR="002A55E6">
        <w:rPr>
          <w:bCs/>
        </w:rPr>
        <w:t>moderators</w:t>
      </w:r>
      <w:r w:rsidRPr="00BA1B29" w:rsidR="002A55E6">
        <w:rPr>
          <w:bCs/>
        </w:rPr>
        <w:t xml:space="preserve"> </w:t>
      </w:r>
      <w:r w:rsidRPr="00BA1B29" w:rsidR="00C04278">
        <w:rPr>
          <w:bCs/>
        </w:rPr>
        <w:t xml:space="preserve">from Westat will conduct </w:t>
      </w:r>
      <w:r w:rsidR="00CC0116">
        <w:rPr>
          <w:bCs/>
        </w:rPr>
        <w:t xml:space="preserve">the </w:t>
      </w:r>
      <w:r w:rsidR="001F3220">
        <w:rPr>
          <w:bCs/>
        </w:rPr>
        <w:t xml:space="preserve">virtual </w:t>
      </w:r>
      <w:r w:rsidR="00CC0116">
        <w:rPr>
          <w:bCs/>
        </w:rPr>
        <w:t>focus groups</w:t>
      </w:r>
      <w:r w:rsidR="00FB5503">
        <w:rPr>
          <w:bCs/>
        </w:rPr>
        <w:t xml:space="preserve">.  </w:t>
      </w:r>
      <w:r w:rsidR="00C415F6">
        <w:t>Before</w:t>
      </w:r>
      <w:r w:rsidR="00F41FA5">
        <w:t xml:space="preserve"> starting interview</w:t>
      </w:r>
      <w:r w:rsidR="00FF63F1">
        <w:t>s</w:t>
      </w:r>
      <w:r w:rsidR="00F41FA5">
        <w:t xml:space="preserve">, </w:t>
      </w:r>
      <w:r w:rsidR="002A55E6">
        <w:t xml:space="preserve">the moderator </w:t>
      </w:r>
      <w:r w:rsidR="00F41FA5">
        <w:t>will review the informed</w:t>
      </w:r>
      <w:r w:rsidR="00A50011">
        <w:t xml:space="preserve"> </w:t>
      </w:r>
      <w:r w:rsidR="00F41FA5">
        <w:t xml:space="preserve">consent document sent to participants </w:t>
      </w:r>
      <w:r w:rsidR="00A50011">
        <w:t>(</w:t>
      </w:r>
      <w:r w:rsidRPr="00793008" w:rsidR="00A50011">
        <w:rPr>
          <w:iCs/>
        </w:rPr>
        <w:t xml:space="preserve">sent in advance </w:t>
      </w:r>
      <w:r w:rsidRPr="00793008" w:rsidR="00FF63F1">
        <w:rPr>
          <w:iCs/>
        </w:rPr>
        <w:t xml:space="preserve">with </w:t>
      </w:r>
      <w:r w:rsidRPr="00793008" w:rsidR="00A50011">
        <w:rPr>
          <w:iCs/>
        </w:rPr>
        <w:t xml:space="preserve">the </w:t>
      </w:r>
      <w:r w:rsidRPr="00793008" w:rsidR="00FF63F1">
        <w:rPr>
          <w:iCs/>
        </w:rPr>
        <w:t xml:space="preserve">confirmation </w:t>
      </w:r>
      <w:r w:rsidRPr="00793008" w:rsidR="00A50011">
        <w:rPr>
          <w:iCs/>
        </w:rPr>
        <w:t xml:space="preserve">email </w:t>
      </w:r>
      <w:r w:rsidRPr="00793008" w:rsidR="00FF63F1">
        <w:rPr>
          <w:iCs/>
        </w:rPr>
        <w:t>letter</w:t>
      </w:r>
      <w:r w:rsidR="00FF63F1">
        <w:t xml:space="preserve">) and </w:t>
      </w:r>
      <w:r w:rsidR="004D0E0E">
        <w:t>r</w:t>
      </w:r>
      <w:r w:rsidR="00F41FA5">
        <w:t xml:space="preserve">equest </w:t>
      </w:r>
      <w:r w:rsidR="0021293B">
        <w:t xml:space="preserve">their </w:t>
      </w:r>
      <w:r w:rsidR="00FF63F1">
        <w:t xml:space="preserve">verbal </w:t>
      </w:r>
      <w:r w:rsidR="00FF63F1">
        <w:rPr>
          <w:iCs/>
        </w:rPr>
        <w:t xml:space="preserve">consent to participate in the study and record the </w:t>
      </w:r>
      <w:r w:rsidR="002A55E6">
        <w:rPr>
          <w:iCs/>
        </w:rPr>
        <w:t>discussion</w:t>
      </w:r>
      <w:r w:rsidR="00FF63F1">
        <w:rPr>
          <w:iCs/>
        </w:rPr>
        <w:t xml:space="preserve">. </w:t>
      </w:r>
      <w:r w:rsidR="00FF63F1">
        <w:t xml:space="preserve"> </w:t>
      </w:r>
    </w:p>
    <w:p w:rsidRPr="00A50011" w:rsidR="00FF63F1" w:rsidP="00793008" w:rsidRDefault="00FF63F1" w14:paraId="3DFC73AF" w14:textId="77777777">
      <w:pPr>
        <w:ind w:left="720"/>
      </w:pPr>
    </w:p>
    <w:p w:rsidRPr="00871A9F" w:rsidR="007E5437" w:rsidP="00793008" w:rsidRDefault="007E5437" w14:paraId="79D58297" w14:textId="26427973">
      <w:pPr>
        <w:ind w:left="720"/>
      </w:pPr>
      <w:r w:rsidRPr="00A50011">
        <w:t>Using a semi-structured guide</w:t>
      </w:r>
      <w:r w:rsidRPr="00A50011" w:rsidR="00E17768">
        <w:t xml:space="preserve"> (Appendix </w:t>
      </w:r>
      <w:r w:rsidR="00406870">
        <w:t>D</w:t>
      </w:r>
      <w:r w:rsidRPr="00A50011" w:rsidR="007023DB">
        <w:t>)</w:t>
      </w:r>
      <w:r w:rsidRPr="00A50011">
        <w:t xml:space="preserve">, the </w:t>
      </w:r>
      <w:r w:rsidR="002A55E6">
        <w:t>moderator</w:t>
      </w:r>
      <w:r w:rsidRPr="00A50011" w:rsidR="002A55E6">
        <w:t xml:space="preserve"> </w:t>
      </w:r>
      <w:r w:rsidRPr="00A50011">
        <w:t xml:space="preserve">will ask </w:t>
      </w:r>
      <w:r w:rsidRPr="00A50011" w:rsidR="00580940">
        <w:t xml:space="preserve">participants </w:t>
      </w:r>
      <w:r w:rsidRPr="00A50011">
        <w:t xml:space="preserve">to describe </w:t>
      </w:r>
      <w:r w:rsidR="00F702FD">
        <w:t>their familiarity with PDURS and their reactions to various PDURS descriptions</w:t>
      </w:r>
      <w:r w:rsidRPr="00A50011" w:rsidR="00FB5503">
        <w:t xml:space="preserve">.  </w:t>
      </w:r>
      <w:r w:rsidRPr="00871A9F">
        <w:t>No sensitive questions will be asked of participants</w:t>
      </w:r>
      <w:r w:rsidRPr="00871A9F" w:rsidR="00FB5503">
        <w:t xml:space="preserve">.  </w:t>
      </w:r>
      <w:r w:rsidRPr="00A50011" w:rsidR="00682BB9">
        <w:t xml:space="preserve">The expected length of </w:t>
      </w:r>
      <w:r w:rsidRPr="00A50011" w:rsidR="001344FF">
        <w:t xml:space="preserve">each </w:t>
      </w:r>
      <w:r w:rsidR="002A55E6">
        <w:t>focus group</w:t>
      </w:r>
      <w:r w:rsidRPr="00A50011" w:rsidR="002A55E6">
        <w:t xml:space="preserve"> </w:t>
      </w:r>
      <w:r w:rsidRPr="00A50011" w:rsidR="00682BB9">
        <w:t>is 60 minutes.</w:t>
      </w:r>
    </w:p>
    <w:p w:rsidRPr="00BA1B29" w:rsidR="007E5437" w:rsidP="00793008" w:rsidRDefault="007E5437" w14:paraId="0EFFD645" w14:textId="77777777">
      <w:pPr>
        <w:ind w:left="720"/>
        <w:contextualSpacing/>
      </w:pPr>
    </w:p>
    <w:p w:rsidR="007E5437" w:rsidP="00793008" w:rsidRDefault="007E5437" w14:paraId="07CBBF68" w14:textId="5F39F33D">
      <w:pPr>
        <w:autoSpaceDE w:val="0"/>
        <w:autoSpaceDN w:val="0"/>
        <w:adjustRightInd w:val="0"/>
        <w:ind w:left="720"/>
      </w:pPr>
      <w:r w:rsidRPr="00BA1B29">
        <w:t xml:space="preserve">Westat will </w:t>
      </w:r>
      <w:r w:rsidR="007023DB">
        <w:t xml:space="preserve">audio </w:t>
      </w:r>
      <w:r w:rsidRPr="00BA1B29">
        <w:t xml:space="preserve">record all </w:t>
      </w:r>
      <w:r w:rsidR="002A55E6">
        <w:t>focus group</w:t>
      </w:r>
      <w:r w:rsidRPr="00BA1B29" w:rsidR="002A55E6">
        <w:t xml:space="preserve"> </w:t>
      </w:r>
      <w:r w:rsidRPr="00BA1B29">
        <w:t xml:space="preserve">sessions as well as provide remote login </w:t>
      </w:r>
      <w:r w:rsidR="00415B1D">
        <w:t>to allow</w:t>
      </w:r>
      <w:r w:rsidRPr="00BA1B29">
        <w:t xml:space="preserve"> FDA and </w:t>
      </w:r>
      <w:r w:rsidR="002E0119">
        <w:t xml:space="preserve">Westat </w:t>
      </w:r>
      <w:r w:rsidRPr="00BA1B29">
        <w:t>study staff to observe the sessions live</w:t>
      </w:r>
      <w:r w:rsidRPr="00BA1B29" w:rsidR="00FB5503">
        <w:t xml:space="preserve">.  </w:t>
      </w:r>
      <w:r w:rsidRPr="00BA1B29">
        <w:t xml:space="preserve">Observers will be </w:t>
      </w:r>
      <w:r>
        <w:t>muted once they log into the session,</w:t>
      </w:r>
      <w:r w:rsidR="00D63174">
        <w:t xml:space="preserve"> and</w:t>
      </w:r>
      <w:r>
        <w:t xml:space="preserve"> thus</w:t>
      </w:r>
      <w:r w:rsidRPr="00BA1B29">
        <w:t xml:space="preserve"> only the </w:t>
      </w:r>
      <w:r>
        <w:t xml:space="preserve">Westat </w:t>
      </w:r>
      <w:r w:rsidR="002A55E6">
        <w:t>moderator</w:t>
      </w:r>
      <w:r w:rsidRPr="00BA1B29" w:rsidR="002A55E6">
        <w:t xml:space="preserve"> </w:t>
      </w:r>
      <w:r w:rsidRPr="00BA1B29">
        <w:t xml:space="preserve">will </w:t>
      </w:r>
      <w:r>
        <w:t xml:space="preserve">be able to </w:t>
      </w:r>
      <w:r w:rsidRPr="00BA1B29">
        <w:t>interact with participant</w:t>
      </w:r>
      <w:r w:rsidR="002A55E6">
        <w:t>s</w:t>
      </w:r>
      <w:r w:rsidRPr="00BA1B29">
        <w:t xml:space="preserve">. </w:t>
      </w:r>
    </w:p>
    <w:p w:rsidRPr="00BA1B29" w:rsidR="002A55E6" w:rsidP="00793008" w:rsidRDefault="002A55E6" w14:paraId="209A2094" w14:textId="77777777">
      <w:pPr>
        <w:autoSpaceDE w:val="0"/>
        <w:autoSpaceDN w:val="0"/>
        <w:adjustRightInd w:val="0"/>
        <w:ind w:left="720"/>
      </w:pPr>
    </w:p>
    <w:p w:rsidR="000D69FA" w:rsidP="00793008" w:rsidRDefault="007023DB" w14:paraId="3230DE87" w14:textId="0C902F86">
      <w:pPr>
        <w:ind w:left="720"/>
      </w:pPr>
      <w:r>
        <w:t>Westat</w:t>
      </w:r>
      <w:r w:rsidRPr="00BA1B29" w:rsidR="007E5437">
        <w:t xml:space="preserve"> will comply with safeguards for ensuring participant information is kept </w:t>
      </w:r>
      <w:r w:rsidR="004A5B3B">
        <w:t xml:space="preserve">secure </w:t>
      </w:r>
      <w:r w:rsidRPr="00BA1B29" w:rsidR="007E5437">
        <w:t>to the extent permitted by law</w:t>
      </w:r>
      <w:r w:rsidRPr="00BA1B29" w:rsidR="00FB5503">
        <w:t xml:space="preserve">.  </w:t>
      </w:r>
      <w:r w:rsidRPr="00BA1B29" w:rsidR="007E5437">
        <w:t>The last names of the participants will not appear on any materials</w:t>
      </w:r>
      <w:r w:rsidRPr="00BA1B29" w:rsidR="00FB5503">
        <w:t xml:space="preserve">.  </w:t>
      </w:r>
      <w:r w:rsidRPr="00BA1B29" w:rsidR="007E5437">
        <w:t>Verbatim quotes included in the final report will not be attributed to any individual.</w:t>
      </w:r>
      <w:r w:rsidR="009820CC">
        <w:t xml:space="preserve"> </w:t>
      </w:r>
    </w:p>
    <w:bookmarkEnd w:id="5"/>
    <w:bookmarkEnd w:id="6"/>
    <w:bookmarkEnd w:id="7"/>
    <w:p w:rsidR="00353E0B" w:rsidP="00272D81" w:rsidRDefault="00353E0B" w14:paraId="75CC8449" w14:textId="77777777"/>
    <w:p w:rsidRPr="00825E0D" w:rsidR="003F1C7A" w:rsidP="00D70AEC" w:rsidRDefault="006F243C" w14:paraId="41FBCC98" w14:textId="6770C61F">
      <w:pPr>
        <w:numPr>
          <w:ilvl w:val="0"/>
          <w:numId w:val="1"/>
        </w:numPr>
        <w:tabs>
          <w:tab w:val="clear" w:pos="1350"/>
        </w:tabs>
        <w:ind w:left="720"/>
      </w:pPr>
      <w:r>
        <w:rPr>
          <w:b/>
        </w:rPr>
        <w:t>Confidentiality of Respondents</w:t>
      </w:r>
      <w:r w:rsidRPr="00735060" w:rsidR="0049419A">
        <w:rPr>
          <w:b/>
        </w:rPr>
        <w:t>:</w:t>
      </w:r>
    </w:p>
    <w:p w:rsidR="0049419A" w:rsidP="00793008" w:rsidRDefault="0049419A" w14:paraId="73E4C898" w14:textId="77777777">
      <w:pPr>
        <w:ind w:left="720" w:hanging="720"/>
      </w:pPr>
    </w:p>
    <w:p w:rsidRPr="00C13B38" w:rsidR="00C13B38" w:rsidP="00793008" w:rsidRDefault="00C13B38" w14:paraId="2AF06635" w14:textId="77777777">
      <w:pPr>
        <w:ind w:firstLine="720"/>
        <w:rPr>
          <w:i/>
        </w:rPr>
      </w:pPr>
      <w:r w:rsidRPr="00C13B38">
        <w:rPr>
          <w:i/>
        </w:rPr>
        <w:t xml:space="preserve">Assurance of Privacy Provided to Participants </w:t>
      </w:r>
    </w:p>
    <w:p w:rsidR="0021293B" w:rsidP="007232E9" w:rsidRDefault="0021293B" w14:paraId="6ED9D4DC" w14:textId="77777777">
      <w:bookmarkStart w:name="_Hlk17379924" w:id="8"/>
    </w:p>
    <w:p w:rsidR="0021293B" w:rsidP="00793008" w:rsidRDefault="006613DD" w14:paraId="710BCE70" w14:textId="17B61091">
      <w:pPr>
        <w:ind w:left="720"/>
      </w:pPr>
      <w:r>
        <w:t>R</w:t>
      </w:r>
      <w:r w:rsidR="000D69FA">
        <w:t xml:space="preserve">ecruited </w:t>
      </w:r>
      <w:r w:rsidR="00F702FD">
        <w:t>participant</w:t>
      </w:r>
      <w:r w:rsidR="00AE212C">
        <w:t xml:space="preserve">s </w:t>
      </w:r>
      <w:r w:rsidR="00577001">
        <w:t>w</w:t>
      </w:r>
      <w:r w:rsidRPr="00881932" w:rsidR="004A5201">
        <w:t xml:space="preserve">ill </w:t>
      </w:r>
      <w:r w:rsidR="00D07819">
        <w:t>receive</w:t>
      </w:r>
      <w:r w:rsidR="00A50011">
        <w:t xml:space="preserve"> an </w:t>
      </w:r>
      <w:r w:rsidRPr="00881932" w:rsidR="004A5201">
        <w:t xml:space="preserve">informed consent </w:t>
      </w:r>
      <w:r w:rsidR="001344FF">
        <w:t>document</w:t>
      </w:r>
      <w:r w:rsidR="0021293B">
        <w:t xml:space="preserve"> (</w:t>
      </w:r>
      <w:r>
        <w:t xml:space="preserve">Appendix </w:t>
      </w:r>
      <w:r w:rsidR="00CE6407">
        <w:t>C</w:t>
      </w:r>
      <w:r w:rsidR="0021293B">
        <w:t xml:space="preserve">) </w:t>
      </w:r>
      <w:r w:rsidR="00A50011">
        <w:t>in advance of the interview</w:t>
      </w:r>
      <w:r w:rsidR="00FB5503">
        <w:t xml:space="preserve">.  </w:t>
      </w:r>
      <w:r w:rsidR="00A50011">
        <w:t xml:space="preserve">The document </w:t>
      </w:r>
      <w:r w:rsidRPr="00881932" w:rsidR="004A5201">
        <w:rPr>
          <w:iCs/>
        </w:rPr>
        <w:t>explain</w:t>
      </w:r>
      <w:r w:rsidR="004A5201">
        <w:rPr>
          <w:iCs/>
        </w:rPr>
        <w:t>s</w:t>
      </w:r>
      <w:r w:rsidRPr="00881932" w:rsidR="004A5201">
        <w:rPr>
          <w:iCs/>
        </w:rPr>
        <w:t xml:space="preserve"> the </w:t>
      </w:r>
      <w:r w:rsidR="00E942BD">
        <w:rPr>
          <w:iCs/>
        </w:rPr>
        <w:t xml:space="preserve">study’s </w:t>
      </w:r>
      <w:r w:rsidRPr="00881932" w:rsidR="004A5201">
        <w:rPr>
          <w:iCs/>
        </w:rPr>
        <w:t xml:space="preserve">purpose, </w:t>
      </w:r>
      <w:r w:rsidR="00040BFF">
        <w:rPr>
          <w:iCs/>
        </w:rPr>
        <w:t xml:space="preserve">participant </w:t>
      </w:r>
      <w:r w:rsidRPr="00881932" w:rsidR="004A5201">
        <w:rPr>
          <w:iCs/>
        </w:rPr>
        <w:t xml:space="preserve">rights, </w:t>
      </w:r>
      <w:r w:rsidRPr="00881932" w:rsidR="00FB5503">
        <w:rPr>
          <w:iCs/>
        </w:rPr>
        <w:t>benefits,</w:t>
      </w:r>
      <w:r w:rsidRPr="00881932" w:rsidR="004A5201">
        <w:rPr>
          <w:iCs/>
        </w:rPr>
        <w:t xml:space="preserve"> and risks (minimal) of the study</w:t>
      </w:r>
      <w:r w:rsidR="000C2D62">
        <w:rPr>
          <w:iCs/>
        </w:rPr>
        <w:t xml:space="preserve">, and </w:t>
      </w:r>
      <w:r w:rsidR="008E09D0">
        <w:rPr>
          <w:iCs/>
        </w:rPr>
        <w:t>provides them with a contact</w:t>
      </w:r>
      <w:r w:rsidR="003D00F1">
        <w:rPr>
          <w:iCs/>
        </w:rPr>
        <w:t xml:space="preserve"> name</w:t>
      </w:r>
      <w:r w:rsidR="00D63174">
        <w:rPr>
          <w:iCs/>
        </w:rPr>
        <w:t xml:space="preserve">, </w:t>
      </w:r>
      <w:r w:rsidR="003D00F1">
        <w:rPr>
          <w:iCs/>
        </w:rPr>
        <w:t>email</w:t>
      </w:r>
      <w:r w:rsidR="00D63174">
        <w:rPr>
          <w:iCs/>
        </w:rPr>
        <w:t>,</w:t>
      </w:r>
      <w:r w:rsidR="003D00F1">
        <w:rPr>
          <w:iCs/>
        </w:rPr>
        <w:t xml:space="preserve"> and </w:t>
      </w:r>
      <w:r w:rsidR="00C415F6">
        <w:rPr>
          <w:iCs/>
        </w:rPr>
        <w:t>tele</w:t>
      </w:r>
      <w:r w:rsidR="003D00F1">
        <w:rPr>
          <w:iCs/>
        </w:rPr>
        <w:t xml:space="preserve">phone number should </w:t>
      </w:r>
      <w:r w:rsidR="008E09D0">
        <w:rPr>
          <w:iCs/>
        </w:rPr>
        <w:t>they have questions about the stud</w:t>
      </w:r>
      <w:r w:rsidR="00040BFF">
        <w:rPr>
          <w:iCs/>
        </w:rPr>
        <w:t>y.</w:t>
      </w:r>
      <w:r w:rsidR="00A00E39">
        <w:rPr>
          <w:iCs/>
        </w:rPr>
        <w:t xml:space="preserve"> </w:t>
      </w:r>
      <w:r w:rsidR="00040BFF">
        <w:rPr>
          <w:iCs/>
        </w:rPr>
        <w:t xml:space="preserve"> </w:t>
      </w:r>
      <w:r w:rsidR="00C41977">
        <w:t xml:space="preserve">The </w:t>
      </w:r>
      <w:r w:rsidR="002154A6">
        <w:t>document</w:t>
      </w:r>
      <w:r w:rsidR="00C41977">
        <w:t xml:space="preserve"> </w:t>
      </w:r>
      <w:r w:rsidR="00755192">
        <w:t xml:space="preserve">also </w:t>
      </w:r>
      <w:r w:rsidR="00C41977">
        <w:t xml:space="preserve">notifies participants </w:t>
      </w:r>
      <w:r w:rsidR="00577001">
        <w:t xml:space="preserve">that interviews will be </w:t>
      </w:r>
      <w:r w:rsidR="00C41977">
        <w:t>audio record</w:t>
      </w:r>
      <w:r w:rsidR="00577001">
        <w:t xml:space="preserve">ed </w:t>
      </w:r>
      <w:r w:rsidR="00C41977">
        <w:t xml:space="preserve">and </w:t>
      </w:r>
      <w:r w:rsidR="00577001">
        <w:t xml:space="preserve">observers will be </w:t>
      </w:r>
      <w:r>
        <w:t>viewing t</w:t>
      </w:r>
      <w:r w:rsidR="00577001">
        <w:t>he interviews</w:t>
      </w:r>
      <w:r>
        <w:t xml:space="preserve"> remotely</w:t>
      </w:r>
      <w:r w:rsidR="00577001">
        <w:t xml:space="preserve">. </w:t>
      </w:r>
      <w:r w:rsidR="00755192">
        <w:t xml:space="preserve"> </w:t>
      </w:r>
    </w:p>
    <w:p w:rsidR="0021293B" w:rsidP="00793008" w:rsidRDefault="0021293B" w14:paraId="025AE883" w14:textId="77777777">
      <w:pPr>
        <w:ind w:left="720"/>
      </w:pPr>
    </w:p>
    <w:p w:rsidRPr="002566C8" w:rsidR="001F3220" w:rsidP="00793008" w:rsidRDefault="00C415F6" w14:paraId="24766DCC" w14:textId="3EA64678">
      <w:pPr>
        <w:ind w:left="720"/>
      </w:pPr>
      <w:r>
        <w:rPr>
          <w:iCs/>
        </w:rPr>
        <w:t>At the beginning of the interview, t</w:t>
      </w:r>
      <w:r w:rsidR="008E09D0">
        <w:rPr>
          <w:iCs/>
        </w:rPr>
        <w:t xml:space="preserve">he </w:t>
      </w:r>
      <w:r w:rsidR="002A55E6">
        <w:rPr>
          <w:iCs/>
        </w:rPr>
        <w:t xml:space="preserve">moderator </w:t>
      </w:r>
      <w:r w:rsidR="008E09D0">
        <w:rPr>
          <w:iCs/>
        </w:rPr>
        <w:t xml:space="preserve">will review the key elements </w:t>
      </w:r>
      <w:r w:rsidR="00A50011">
        <w:rPr>
          <w:iCs/>
        </w:rPr>
        <w:t xml:space="preserve">of the informed consent document </w:t>
      </w:r>
      <w:r w:rsidR="00FF63F1">
        <w:rPr>
          <w:iCs/>
        </w:rPr>
        <w:t xml:space="preserve">(e.g., study purpose, participant rights, potential risks and benefits, presence of observers) </w:t>
      </w:r>
      <w:r w:rsidR="008E09D0">
        <w:rPr>
          <w:iCs/>
        </w:rPr>
        <w:t>wit</w:t>
      </w:r>
      <w:r w:rsidR="00FF63F1">
        <w:rPr>
          <w:iCs/>
        </w:rPr>
        <w:t>h participants</w:t>
      </w:r>
      <w:r w:rsidR="00FB5503">
        <w:rPr>
          <w:iCs/>
        </w:rPr>
        <w:t xml:space="preserve">.  </w:t>
      </w:r>
      <w:r w:rsidR="00F702FD">
        <w:rPr>
          <w:iCs/>
        </w:rPr>
        <w:t>P</w:t>
      </w:r>
      <w:r w:rsidR="00FF63F1">
        <w:rPr>
          <w:iCs/>
        </w:rPr>
        <w:t>articipants</w:t>
      </w:r>
      <w:r w:rsidR="00AE212C">
        <w:rPr>
          <w:iCs/>
        </w:rPr>
        <w:t xml:space="preserve"> </w:t>
      </w:r>
      <w:r w:rsidR="00040BFF">
        <w:rPr>
          <w:iCs/>
        </w:rPr>
        <w:t xml:space="preserve">will then be asked to provide their verbal consent to participate in the study and record the </w:t>
      </w:r>
      <w:r w:rsidR="002A55E6">
        <w:rPr>
          <w:iCs/>
        </w:rPr>
        <w:t>discussion</w:t>
      </w:r>
      <w:r w:rsidR="00040BFF">
        <w:rPr>
          <w:iCs/>
        </w:rPr>
        <w:t>.</w:t>
      </w:r>
      <w:r w:rsidR="007232E9">
        <w:rPr>
          <w:iCs/>
        </w:rPr>
        <w:t xml:space="preserve"> </w:t>
      </w:r>
      <w:r w:rsidR="007232E9">
        <w:t xml:space="preserve"> </w:t>
      </w:r>
      <w:r w:rsidRPr="002566C8" w:rsidR="001F3220">
        <w:t xml:space="preserve">Participants that do not give their consent for the audio recording will not </w:t>
      </w:r>
      <w:r>
        <w:t xml:space="preserve">be able to </w:t>
      </w:r>
      <w:r w:rsidRPr="002566C8" w:rsidR="001F3220">
        <w:t>participate in the focus group.</w:t>
      </w:r>
    </w:p>
    <w:p w:rsidR="003D00F1" w:rsidP="00793008" w:rsidRDefault="003D00F1" w14:paraId="132961B3" w14:textId="77777777">
      <w:pPr>
        <w:ind w:left="720"/>
        <w:rPr>
          <w:iCs/>
        </w:rPr>
      </w:pPr>
    </w:p>
    <w:p w:rsidR="00C13B38" w:rsidP="00793008" w:rsidRDefault="00C13B38" w14:paraId="54453FC5" w14:textId="7EA8D5F8">
      <w:pPr>
        <w:ind w:left="720"/>
      </w:pPr>
      <w:r>
        <w:t xml:space="preserve">All data will be collected with an assurance that responses </w:t>
      </w:r>
      <w:r w:rsidR="007D2FC7">
        <w:t xml:space="preserve">is </w:t>
      </w:r>
      <w:r w:rsidR="004A5B3B">
        <w:t xml:space="preserve">kept </w:t>
      </w:r>
      <w:r w:rsidR="00802075">
        <w:t xml:space="preserve">secure </w:t>
      </w:r>
      <w:r>
        <w:t xml:space="preserve">to the extent </w:t>
      </w:r>
      <w:r w:rsidR="004A5B3B">
        <w:t>permitted</w:t>
      </w:r>
      <w:r>
        <w:t xml:space="preserve"> by law</w:t>
      </w:r>
      <w:r w:rsidR="00FB5503">
        <w:t xml:space="preserve">.  </w:t>
      </w:r>
      <w:r w:rsidR="00C415F6">
        <w:t>T</w:t>
      </w:r>
      <w:r>
        <w:t xml:space="preserve">he </w:t>
      </w:r>
      <w:r w:rsidR="00040BFF">
        <w:t xml:space="preserve">informed </w:t>
      </w:r>
      <w:r>
        <w:t xml:space="preserve">consent </w:t>
      </w:r>
      <w:r w:rsidR="003D00F1">
        <w:t xml:space="preserve">document </w:t>
      </w:r>
      <w:r>
        <w:t xml:space="preserve">and the </w:t>
      </w:r>
      <w:r w:rsidR="002A55E6">
        <w:t xml:space="preserve">moderator’s </w:t>
      </w:r>
      <w:r>
        <w:t xml:space="preserve">guide contain a statement emphasizing that no one will be able to link a participant’s identity to </w:t>
      </w:r>
      <w:r w:rsidR="00C415F6">
        <w:t xml:space="preserve">the </w:t>
      </w:r>
      <w:r w:rsidR="00C415F6">
        <w:lastRenderedPageBreak/>
        <w:t>participant’s</w:t>
      </w:r>
      <w:r>
        <w:t xml:space="preserve"> responses</w:t>
      </w:r>
      <w:r w:rsidR="00FB5503">
        <w:t xml:space="preserve">.  </w:t>
      </w:r>
      <w:r w:rsidR="002A55E6">
        <w:t xml:space="preserve">Moderators </w:t>
      </w:r>
      <w:r>
        <w:t>will not ask participants to provide identifying information</w:t>
      </w:r>
      <w:r w:rsidR="007232E9">
        <w:t xml:space="preserve"> </w:t>
      </w:r>
      <w:r w:rsidR="003D00F1">
        <w:t>beyond their first name</w:t>
      </w:r>
      <w:r w:rsidR="00040BFF">
        <w:t>s</w:t>
      </w:r>
      <w:r w:rsidR="00FB5503">
        <w:t xml:space="preserve">.  </w:t>
      </w:r>
      <w:r w:rsidR="007232E9">
        <w:t>In addition, a</w:t>
      </w:r>
      <w:r w:rsidR="008B2F4F">
        <w:t xml:space="preserve">ny quotations used in </w:t>
      </w:r>
      <w:r w:rsidR="007232E9">
        <w:t xml:space="preserve">a </w:t>
      </w:r>
      <w:r w:rsidR="008B2F4F">
        <w:t>report will not be linked to individual respondents</w:t>
      </w:r>
      <w:r w:rsidR="00FB5503">
        <w:t xml:space="preserve">.  </w:t>
      </w:r>
      <w:r>
        <w:t>Further</w:t>
      </w:r>
      <w:r w:rsidR="00C415F6">
        <w:t>more</w:t>
      </w:r>
      <w:r>
        <w:t xml:space="preserve">, no identifying information will be included in the data files </w:t>
      </w:r>
      <w:r w:rsidR="00C415F6">
        <w:t xml:space="preserve">that Westat </w:t>
      </w:r>
      <w:r>
        <w:t>deliver</w:t>
      </w:r>
      <w:r w:rsidR="00C415F6">
        <w:t>s</w:t>
      </w:r>
      <w:r>
        <w:t xml:space="preserve"> to FDA. </w:t>
      </w:r>
    </w:p>
    <w:p w:rsidR="00040BFF" w:rsidP="00793008" w:rsidRDefault="00040BFF" w14:paraId="345E3B22" w14:textId="77777777">
      <w:pPr>
        <w:ind w:left="720"/>
      </w:pPr>
    </w:p>
    <w:p w:rsidR="007232E9" w:rsidP="00793008" w:rsidRDefault="00C13B38" w14:paraId="102A62DA" w14:textId="08D77541">
      <w:pPr>
        <w:ind w:left="720"/>
      </w:pPr>
      <w:r>
        <w:t xml:space="preserve">All </w:t>
      </w:r>
      <w:r w:rsidR="002A55E6">
        <w:t xml:space="preserve">focus groups </w:t>
      </w:r>
      <w:r>
        <w:t>will be audio recorded for reporting purposes</w:t>
      </w:r>
      <w:r w:rsidR="00040BFF">
        <w:t xml:space="preserve"> and </w:t>
      </w:r>
      <w:r>
        <w:t>will be livestreamed for observers</w:t>
      </w:r>
      <w:r w:rsidR="00FB5503">
        <w:t xml:space="preserve">.  </w:t>
      </w:r>
      <w:r w:rsidR="00C415F6">
        <w:t xml:space="preserve">The </w:t>
      </w:r>
      <w:r w:rsidR="007232E9">
        <w:t xml:space="preserve">livestreamed and recorded </w:t>
      </w:r>
      <w:r w:rsidR="002A55E6">
        <w:t xml:space="preserve">focus groups </w:t>
      </w:r>
      <w:r w:rsidR="007232E9">
        <w:t>will only be viewed</w:t>
      </w:r>
      <w:r w:rsidRPr="007232E9" w:rsidR="007232E9">
        <w:t xml:space="preserve"> </w:t>
      </w:r>
      <w:r w:rsidR="007232E9">
        <w:t xml:space="preserve">by FDA and Westat </w:t>
      </w:r>
      <w:r w:rsidR="000E48F4">
        <w:t xml:space="preserve">project </w:t>
      </w:r>
      <w:r w:rsidR="007232E9">
        <w:t>staff</w:t>
      </w:r>
      <w:r w:rsidR="00FB5503">
        <w:t xml:space="preserve">.  </w:t>
      </w:r>
      <w:r>
        <w:t xml:space="preserve">Livestreaming connections will be secure </w:t>
      </w:r>
      <w:r w:rsidR="00C415F6">
        <w:t xml:space="preserve">and </w:t>
      </w:r>
      <w:r>
        <w:t>us</w:t>
      </w:r>
      <w:r w:rsidR="00C415F6">
        <w:t>e</w:t>
      </w:r>
      <w:r>
        <w:t xml:space="preserve"> industry-standard firewalls and security practices</w:t>
      </w:r>
      <w:r w:rsidR="00FB5503">
        <w:t xml:space="preserve">.  </w:t>
      </w:r>
      <w:r>
        <w:t xml:space="preserve">All data will be encrypted in transit using </w:t>
      </w:r>
      <w:r w:rsidR="00910A48">
        <w:t>h</w:t>
      </w:r>
      <w:r w:rsidRPr="00910A48" w:rsidR="00910A48">
        <w:t xml:space="preserve">ypertext </w:t>
      </w:r>
      <w:r w:rsidR="00910A48">
        <w:t>t</w:t>
      </w:r>
      <w:r w:rsidRPr="00910A48" w:rsidR="00910A48">
        <w:t xml:space="preserve">ransfer </w:t>
      </w:r>
      <w:r w:rsidR="00910A48">
        <w:t>p</w:t>
      </w:r>
      <w:r w:rsidRPr="00910A48" w:rsidR="00910A48">
        <w:t xml:space="preserve">rotocol </w:t>
      </w:r>
      <w:r w:rsidR="00910A48">
        <w:t>s</w:t>
      </w:r>
      <w:r w:rsidRPr="00910A48" w:rsidR="00910A48">
        <w:t>ecur</w:t>
      </w:r>
      <w:r w:rsidR="00910A48">
        <w:t>e (</w:t>
      </w:r>
      <w:r>
        <w:t>HTTPS</w:t>
      </w:r>
      <w:r w:rsidR="00910A48">
        <w:t>)</w:t>
      </w:r>
      <w:r w:rsidR="00FB5503">
        <w:t xml:space="preserve">.  </w:t>
      </w:r>
      <w:r>
        <w:t xml:space="preserve">All equipment will be operated and maintained according to industry-standard practices, and all software </w:t>
      </w:r>
      <w:r w:rsidR="00910A48">
        <w:t xml:space="preserve">will be </w:t>
      </w:r>
      <w:r>
        <w:t>validated using industry-standard quality assurance practice</w:t>
      </w:r>
      <w:r w:rsidR="00275102">
        <w:t xml:space="preserve">s.  </w:t>
      </w:r>
      <w:r>
        <w:t xml:space="preserve">Audio recordings will be used to create transcriptions of the </w:t>
      </w:r>
      <w:r w:rsidR="002A55E6">
        <w:t xml:space="preserve">focus group </w:t>
      </w:r>
      <w:r>
        <w:t xml:space="preserve">sessions for reporting purposes and destroyed </w:t>
      </w:r>
      <w:r w:rsidR="00C41977">
        <w:t xml:space="preserve">within </w:t>
      </w:r>
      <w:r w:rsidR="00910A48">
        <w:t>3</w:t>
      </w:r>
      <w:r w:rsidR="00C41977">
        <w:t xml:space="preserve"> years after project completion. </w:t>
      </w:r>
      <w:r>
        <w:t xml:space="preserve"> </w:t>
      </w:r>
    </w:p>
    <w:p w:rsidR="007232E9" w:rsidP="00793008" w:rsidRDefault="007232E9" w14:paraId="7AF3C297" w14:textId="77777777">
      <w:pPr>
        <w:ind w:left="720"/>
      </w:pPr>
    </w:p>
    <w:p w:rsidR="00C13B38" w:rsidP="00793008" w:rsidRDefault="00C13B38" w14:paraId="07F956DF" w14:textId="16243B89">
      <w:pPr>
        <w:ind w:left="720"/>
      </w:pPr>
      <w:r>
        <w:t xml:space="preserve">After data collection is completed, </w:t>
      </w:r>
      <w:r w:rsidR="004A5201">
        <w:t xml:space="preserve">Westat will provide </w:t>
      </w:r>
      <w:r>
        <w:t xml:space="preserve">FDA </w:t>
      </w:r>
      <w:r w:rsidR="004A5201">
        <w:t>with</w:t>
      </w:r>
      <w:r>
        <w:t xml:space="preserve"> copies of transcripts of all audio</w:t>
      </w:r>
      <w:r w:rsidR="00910A48">
        <w:t>-</w:t>
      </w:r>
      <w:r>
        <w:t xml:space="preserve">recorded </w:t>
      </w:r>
      <w:r w:rsidR="002A55E6">
        <w:t>focus groups</w:t>
      </w:r>
      <w:r w:rsidR="00FB5503">
        <w:t xml:space="preserve">.  </w:t>
      </w:r>
      <w:r>
        <w:t xml:space="preserve">These transcripts will be provided to FDA </w:t>
      </w:r>
      <w:r w:rsidR="002154A6">
        <w:t>as</w:t>
      </w:r>
      <w:r>
        <w:t xml:space="preserve"> a written record of the sessions</w:t>
      </w:r>
      <w:r w:rsidR="00FB5503">
        <w:t xml:space="preserve">.  </w:t>
      </w:r>
      <w:r>
        <w:t xml:space="preserve">To ensure participant privacy, all </w:t>
      </w:r>
      <w:r w:rsidR="00953C4D">
        <w:t>personally identifiable information (</w:t>
      </w:r>
      <w:r>
        <w:t>PII</w:t>
      </w:r>
      <w:r w:rsidR="00953C4D">
        <w:t>)</w:t>
      </w:r>
      <w:r w:rsidR="00E330DE">
        <w:t xml:space="preserve"> other than first names </w:t>
      </w:r>
      <w:r>
        <w:t>will be redacted from the transcripts before delivery to FDA.</w:t>
      </w:r>
    </w:p>
    <w:p w:rsidR="00C13B38" w:rsidP="00C13B38" w:rsidRDefault="00C13B38" w14:paraId="03866F99" w14:textId="77777777"/>
    <w:p w:rsidRPr="00C13B38" w:rsidR="00C13B38" w:rsidP="00793008" w:rsidRDefault="00C13B38" w14:paraId="5773F81A" w14:textId="38F61160">
      <w:pPr>
        <w:ind w:left="720"/>
        <w:rPr>
          <w:i/>
        </w:rPr>
      </w:pPr>
      <w:r w:rsidRPr="00C13B38">
        <w:rPr>
          <w:i/>
        </w:rPr>
        <w:t>Record</w:t>
      </w:r>
      <w:r w:rsidR="00910A48">
        <w:rPr>
          <w:i/>
        </w:rPr>
        <w:t>k</w:t>
      </w:r>
      <w:r w:rsidRPr="00C13B38">
        <w:rPr>
          <w:i/>
        </w:rPr>
        <w:t xml:space="preserve">eeping and Confidentiality </w:t>
      </w:r>
    </w:p>
    <w:p w:rsidR="00C13B38" w:rsidP="00793008" w:rsidRDefault="00C13B38" w14:paraId="1701EE24" w14:textId="77777777">
      <w:pPr>
        <w:ind w:left="720"/>
      </w:pPr>
    </w:p>
    <w:p w:rsidR="007E5437" w:rsidP="00793008" w:rsidRDefault="007E5437" w14:paraId="63D46000" w14:textId="77777777">
      <w:pPr>
        <w:ind w:left="720"/>
      </w:pPr>
      <w:r w:rsidRPr="00BA1B29">
        <w:t xml:space="preserve">The following procedures will be used to ensure participant confidentiality before, during, and after fielding: </w:t>
      </w:r>
    </w:p>
    <w:p w:rsidRPr="00BA1B29" w:rsidR="007E5437" w:rsidP="00793008" w:rsidRDefault="007E5437" w14:paraId="6573DEC7" w14:textId="77777777">
      <w:pPr>
        <w:ind w:left="720"/>
      </w:pPr>
    </w:p>
    <w:p w:rsidR="007E5437" w:rsidP="00157D3A" w:rsidRDefault="001F3220" w14:paraId="29365F05" w14:textId="3EC2823E">
      <w:pPr>
        <w:numPr>
          <w:ilvl w:val="0"/>
          <w:numId w:val="28"/>
        </w:numPr>
        <w:ind w:left="1170" w:hanging="450"/>
      </w:pPr>
      <w:r>
        <w:t xml:space="preserve">Plaza </w:t>
      </w:r>
      <w:r w:rsidR="00E330DE">
        <w:t xml:space="preserve">will </w:t>
      </w:r>
      <w:r w:rsidR="00373E08">
        <w:t xml:space="preserve">recruit </w:t>
      </w:r>
      <w:r w:rsidR="001563A2">
        <w:t xml:space="preserve">and schedule </w:t>
      </w:r>
      <w:r w:rsidR="00E330DE">
        <w:t xml:space="preserve">participants </w:t>
      </w:r>
      <w:r w:rsidR="00373E08">
        <w:t xml:space="preserve">from </w:t>
      </w:r>
      <w:r w:rsidR="00E330DE">
        <w:t>their</w:t>
      </w:r>
      <w:r>
        <w:t xml:space="preserve"> in-house databases</w:t>
      </w:r>
      <w:r w:rsidR="00FB5503">
        <w:t xml:space="preserve">.  </w:t>
      </w:r>
      <w:r w:rsidRPr="00374184" w:rsidR="001563A2">
        <w:t>O</w:t>
      </w:r>
      <w:r w:rsidRPr="00374184" w:rsidR="00E330DE">
        <w:t xml:space="preserve">nly first names of </w:t>
      </w:r>
      <w:r w:rsidR="00953C4D">
        <w:t xml:space="preserve">scheduled focus group </w:t>
      </w:r>
      <w:r w:rsidRPr="00374184" w:rsidR="003F4691">
        <w:t xml:space="preserve">participants </w:t>
      </w:r>
      <w:r w:rsidRPr="00374184" w:rsidR="00373C8F">
        <w:t>will be provided to Westat</w:t>
      </w:r>
      <w:r w:rsidRPr="00374184" w:rsidR="00FB5503">
        <w:t>.</w:t>
      </w:r>
      <w:r w:rsidR="00FB5503">
        <w:t xml:space="preserve">  </w:t>
      </w:r>
      <w:r w:rsidR="00E330DE">
        <w:t xml:space="preserve">Any </w:t>
      </w:r>
      <w:r>
        <w:t xml:space="preserve">focus group </w:t>
      </w:r>
      <w:r w:rsidR="00E330DE">
        <w:t xml:space="preserve">materials Westat shares with FDA will only contain </w:t>
      </w:r>
      <w:r w:rsidR="003F4691">
        <w:t xml:space="preserve">participants’ </w:t>
      </w:r>
      <w:r w:rsidR="00E330DE">
        <w:t xml:space="preserve">first names and whether they are a PCP or </w:t>
      </w:r>
      <w:r w:rsidR="00636DEA">
        <w:t>a consumer</w:t>
      </w:r>
      <w:r w:rsidR="00E330DE">
        <w:t>.</w:t>
      </w:r>
    </w:p>
    <w:p w:rsidR="00373E08" w:rsidP="00793008" w:rsidRDefault="00373E08" w14:paraId="7274A9DA" w14:textId="433BA213">
      <w:pPr>
        <w:ind w:left="1440"/>
      </w:pPr>
    </w:p>
    <w:p w:rsidR="007B42F8" w:rsidP="00157D3A" w:rsidRDefault="007E5437" w14:paraId="4B102E7E" w14:textId="470B57EB">
      <w:pPr>
        <w:pStyle w:val="ListParagraph"/>
        <w:numPr>
          <w:ilvl w:val="0"/>
          <w:numId w:val="28"/>
        </w:numPr>
        <w:ind w:left="1170" w:hanging="450"/>
      </w:pPr>
      <w:r>
        <w:t xml:space="preserve">During the </w:t>
      </w:r>
      <w:r w:rsidR="002A55E6">
        <w:t>focus group</w:t>
      </w:r>
      <w:r w:rsidR="001F3220">
        <w:t xml:space="preserve"> discussion, </w:t>
      </w:r>
      <w:r>
        <w:t>participants will be addressed only</w:t>
      </w:r>
      <w:r w:rsidR="00E330DE">
        <w:t xml:space="preserve"> by their first names</w:t>
      </w:r>
      <w:r w:rsidR="00B13C57">
        <w:t xml:space="preserve">.  </w:t>
      </w:r>
      <w:r w:rsidR="00E330DE">
        <w:t>Any PII (</w:t>
      </w:r>
      <w:r w:rsidRPr="003F4691" w:rsidR="00E330DE">
        <w:t xml:space="preserve">beyond the first name) </w:t>
      </w:r>
      <w:r w:rsidRPr="003F4691">
        <w:t>shared</w:t>
      </w:r>
      <w:r>
        <w:t xml:space="preserve"> during the interview will be redacted from transcripts</w:t>
      </w:r>
      <w:r w:rsidR="006613DD">
        <w:t xml:space="preserve">. </w:t>
      </w:r>
      <w:r>
        <w:t xml:space="preserve"> </w:t>
      </w:r>
    </w:p>
    <w:p w:rsidR="00373E08" w:rsidP="00793008" w:rsidRDefault="00373E08" w14:paraId="72122D4A" w14:textId="7FB53CA9">
      <w:pPr>
        <w:ind w:left="1440"/>
      </w:pPr>
    </w:p>
    <w:p w:rsidRPr="00BA1B29" w:rsidR="007E5437" w:rsidP="00157D3A" w:rsidRDefault="007E5437" w14:paraId="1A09BDED" w14:textId="2BAB69E4">
      <w:pPr>
        <w:numPr>
          <w:ilvl w:val="0"/>
          <w:numId w:val="28"/>
        </w:numPr>
        <w:ind w:left="1170" w:hanging="450"/>
      </w:pPr>
      <w:r w:rsidRPr="00BA1B29">
        <w:t xml:space="preserve">Respondent </w:t>
      </w:r>
      <w:r w:rsidR="00373E08">
        <w:t>quotes used in report</w:t>
      </w:r>
      <w:r w:rsidR="002C54F8">
        <w:t xml:space="preserve">s </w:t>
      </w:r>
      <w:r w:rsidRPr="00BA1B29">
        <w:t xml:space="preserve">will not be </w:t>
      </w:r>
      <w:r w:rsidR="00373E08">
        <w:t xml:space="preserve">associated with any names or attributed to specific </w:t>
      </w:r>
      <w:r w:rsidRPr="00BA1B29">
        <w:t>participants.</w:t>
      </w:r>
    </w:p>
    <w:p w:rsidR="007E5437" w:rsidP="007E5437" w:rsidRDefault="007E5437" w14:paraId="02C7EA65" w14:textId="77777777"/>
    <w:p w:rsidRPr="00BA1B29" w:rsidR="007E5437" w:rsidP="00793008" w:rsidRDefault="007E5437" w14:paraId="4A77C822" w14:textId="6A0A2325">
      <w:pPr>
        <w:ind w:left="720"/>
      </w:pPr>
      <w:r w:rsidRPr="00BA1B29">
        <w:t>Contractors will not share personal information regarding participants with any third party without participants’ permission unless it is required by law to protect their rights or to comply with judicial proceedings, court orders, or other legal processes</w:t>
      </w:r>
      <w:r w:rsidRPr="00BA1B29" w:rsidR="00B13C57">
        <w:t xml:space="preserve">.  </w:t>
      </w:r>
      <w:r w:rsidRPr="00BA1B29">
        <w:t xml:space="preserve">This possibility will be disclosed in the informed consent </w:t>
      </w:r>
      <w:r w:rsidR="00A25F10">
        <w:t>document.</w:t>
      </w:r>
      <w:r w:rsidRPr="00BA1B29">
        <w:t xml:space="preserve"> </w:t>
      </w:r>
    </w:p>
    <w:p w:rsidR="00A25F10" w:rsidP="00793008" w:rsidRDefault="00A25F10" w14:paraId="1678AA6A" w14:textId="77C55B95">
      <w:pPr>
        <w:ind w:left="720"/>
      </w:pPr>
    </w:p>
    <w:p w:rsidRPr="00BA1B29" w:rsidR="007E5437" w:rsidP="00793008" w:rsidRDefault="007E5437" w14:paraId="38BD980A" w14:textId="76676C10">
      <w:pPr>
        <w:ind w:left="720"/>
      </w:pPr>
      <w:r w:rsidRPr="00BA1B29">
        <w:t xml:space="preserve">All identifying information, including information collected during screening, will be kept on a separate password-protected computer for a period of </w:t>
      </w:r>
      <w:r w:rsidR="004E5C97">
        <w:t xml:space="preserve">no longer than </w:t>
      </w:r>
      <w:r w:rsidR="00953C4D">
        <w:t>3</w:t>
      </w:r>
      <w:r w:rsidRPr="00BA1B29">
        <w:t xml:space="preserve"> years</w:t>
      </w:r>
      <w:r w:rsidR="00A25F10">
        <w:t xml:space="preserve"> after the project is complete</w:t>
      </w:r>
      <w:r w:rsidR="00EE1D7E">
        <w:t>,</w:t>
      </w:r>
      <w:r w:rsidRPr="00BA1B29">
        <w:t xml:space="preserve"> after which they will be destroyed by securely shredding documents or permanently deleting electronic information. </w:t>
      </w:r>
      <w:r w:rsidR="00DF1580">
        <w:t xml:space="preserve"> </w:t>
      </w:r>
      <w:r w:rsidRPr="00BA1B29">
        <w:t xml:space="preserve">In the case of a breach of confidentiality, appropriate steps will be taken to notify participants. </w:t>
      </w:r>
    </w:p>
    <w:p w:rsidRPr="00BA1B29" w:rsidR="007E5437" w:rsidP="00793008" w:rsidRDefault="007E5437" w14:paraId="5C7E797E" w14:textId="77777777">
      <w:pPr>
        <w:ind w:left="720"/>
      </w:pPr>
    </w:p>
    <w:p w:rsidRPr="00BA1B29" w:rsidR="007E5437" w:rsidP="00793008" w:rsidRDefault="007E5437" w14:paraId="7B07CA03" w14:textId="142275CE">
      <w:pPr>
        <w:ind w:left="720"/>
      </w:pPr>
      <w:r w:rsidRPr="00BA1B29">
        <w:lastRenderedPageBreak/>
        <w:t>All data will also be maintained consisten</w:t>
      </w:r>
      <w:r w:rsidR="00953C4D">
        <w:t>t</w:t>
      </w:r>
      <w:r w:rsidRPr="00BA1B29">
        <w:t xml:space="preserve"> with the FDA Privacy Act &amp; Applicable System of Records Notices #09-10-0009 (Special Studies and Surveys on FDA Regulated Products).</w:t>
      </w:r>
    </w:p>
    <w:bookmarkEnd w:id="8"/>
    <w:p w:rsidR="006F243C" w:rsidP="00F12AEE" w:rsidRDefault="006F243C" w14:paraId="0566E21E" w14:textId="77777777">
      <w:pPr>
        <w:ind w:left="720"/>
      </w:pPr>
    </w:p>
    <w:p w:rsidRPr="00E215FA" w:rsidR="00E26798" w:rsidP="00D70AEC" w:rsidRDefault="0049419A" w14:paraId="56FD421C" w14:textId="77777777">
      <w:pPr>
        <w:numPr>
          <w:ilvl w:val="0"/>
          <w:numId w:val="1"/>
        </w:numPr>
        <w:ind w:left="720"/>
        <w:rPr>
          <w:b/>
        </w:rPr>
      </w:pPr>
      <w:r>
        <w:rPr>
          <w:b/>
        </w:rPr>
        <w:t>Amount and justification for any proposed incentive:</w:t>
      </w:r>
      <w:r w:rsidR="003F1C7A">
        <w:t xml:space="preserve"> </w:t>
      </w:r>
    </w:p>
    <w:p w:rsidR="00833E4F" w:rsidP="00793008" w:rsidRDefault="00833E4F" w14:paraId="4CDE0244" w14:textId="77777777">
      <w:pPr>
        <w:pStyle w:val="ListParagraph"/>
        <w:ind w:hanging="720"/>
      </w:pPr>
    </w:p>
    <w:p w:rsidRPr="00B3555F" w:rsidR="00AD75DC" w:rsidP="00793008" w:rsidRDefault="001820CB" w14:paraId="0DD9D035" w14:textId="1B78288F">
      <w:pPr>
        <w:pStyle w:val="ListParagraph"/>
      </w:pPr>
      <w:r w:rsidRPr="00264096">
        <w:rPr>
          <w:b/>
          <w:i/>
        </w:rPr>
        <w:t>PCPs</w:t>
      </w:r>
      <w:r w:rsidR="00B13C57">
        <w:t xml:space="preserve">.  </w:t>
      </w:r>
      <w:r w:rsidRPr="00B3555F" w:rsidR="00AD75DC">
        <w:t xml:space="preserve">Historically, physicians </w:t>
      </w:r>
      <w:r w:rsidR="00953C4D">
        <w:t>have been</w:t>
      </w:r>
      <w:r w:rsidRPr="00B3555F" w:rsidR="00AD75DC">
        <w:t xml:space="preserve"> one of the most difficult populations to survey, partly because of the demands on their professional time</w:t>
      </w:r>
      <w:r w:rsidRPr="00B3555F" w:rsidR="00B13C57">
        <w:t xml:space="preserve">.  </w:t>
      </w:r>
      <w:r w:rsidRPr="00B3555F" w:rsidR="00AD75DC">
        <w:t>Consequently, incentives assume an even greater importance with this group</w:t>
      </w:r>
      <w:r w:rsidRPr="00B3555F" w:rsidR="00B13C57">
        <w:t xml:space="preserve">.  </w:t>
      </w:r>
      <w:r w:rsidRPr="00B3555F" w:rsidR="00AD75DC">
        <w:t xml:space="preserve">Several studies (e.g., </w:t>
      </w:r>
      <w:r w:rsidRPr="00574B6B" w:rsidR="00574B6B">
        <w:t>Keating</w:t>
      </w:r>
      <w:r w:rsidR="00574B6B">
        <w:t xml:space="preserve"> et al. 2008</w:t>
      </w:r>
      <w:r w:rsidR="00157D3A">
        <w:t>;</w:t>
      </w:r>
      <w:r w:rsidR="00574B6B">
        <w:t xml:space="preserve"> Dykema et al. 2011</w:t>
      </w:r>
      <w:r w:rsidR="00157D3A">
        <w:t>;</w:t>
      </w:r>
      <w:r w:rsidR="00574B6B">
        <w:t xml:space="preserve"> Ziegenfuss et al. 2012</w:t>
      </w:r>
      <w:r w:rsidRPr="001F4497" w:rsidR="00AD75DC">
        <w:t xml:space="preserve">) have discussed the challenges of conducting research with </w:t>
      </w:r>
      <w:r w:rsidR="00276513">
        <w:t>healthcare provider</w:t>
      </w:r>
      <w:r w:rsidRPr="001F4497" w:rsidR="00276513">
        <w:t xml:space="preserve">s </w:t>
      </w:r>
      <w:r w:rsidRPr="001F4497" w:rsidR="00AD75DC">
        <w:t>and have concluded that offering substantial incentives is necessary to attain high response rates</w:t>
      </w:r>
      <w:r w:rsidRPr="00B3555F" w:rsidR="00AD75DC">
        <w:t>.</w:t>
      </w:r>
    </w:p>
    <w:p w:rsidRPr="001F4497" w:rsidR="00AD75DC" w:rsidP="00793008" w:rsidRDefault="00AD75DC" w14:paraId="4F590174" w14:textId="18BBD5CF">
      <w:pPr>
        <w:pStyle w:val="ListParagraph"/>
      </w:pPr>
    </w:p>
    <w:p w:rsidRPr="00374184" w:rsidR="00787854" w:rsidP="00793008" w:rsidRDefault="00AD75DC" w14:paraId="325C0CBB" w14:textId="711C3474">
      <w:pPr>
        <w:pStyle w:val="Default"/>
        <w:ind w:left="720"/>
        <w:rPr>
          <w:rFonts w:ascii="Times New Roman" w:hAnsi="Times New Roman" w:cs="Times New Roman"/>
        </w:rPr>
      </w:pPr>
      <w:r w:rsidRPr="002154A6">
        <w:rPr>
          <w:rFonts w:ascii="Times New Roman" w:hAnsi="Times New Roman" w:cs="Times New Roman"/>
        </w:rPr>
        <w:t>Recruiting physicians to participate in research has been shown to be difficult for reasons related primarily to the time burden (</w:t>
      </w:r>
      <w:r w:rsidR="00574B6B">
        <w:rPr>
          <w:rFonts w:ascii="Times New Roman" w:hAnsi="Times New Roman" w:cs="Times New Roman"/>
        </w:rPr>
        <w:t>Asch et al. 2000</w:t>
      </w:r>
      <w:r w:rsidRPr="002154A6">
        <w:rPr>
          <w:rFonts w:ascii="Times New Roman" w:hAnsi="Times New Roman" w:cs="Times New Roman"/>
        </w:rPr>
        <w:t>)</w:t>
      </w:r>
      <w:r w:rsidRPr="002154A6" w:rsidR="00620129">
        <w:rPr>
          <w:rFonts w:ascii="Times New Roman" w:hAnsi="Times New Roman" w:cs="Times New Roman"/>
        </w:rPr>
        <w:t xml:space="preserve">.  </w:t>
      </w:r>
      <w:r w:rsidRPr="002154A6">
        <w:rPr>
          <w:rFonts w:ascii="Times New Roman" w:hAnsi="Times New Roman" w:cs="Times New Roman"/>
        </w:rPr>
        <w:t>Physicians’ time is limited and, thus, quite valuable</w:t>
      </w:r>
      <w:r w:rsidRPr="002154A6" w:rsidR="00620129">
        <w:rPr>
          <w:rFonts w:ascii="Times New Roman" w:hAnsi="Times New Roman" w:cs="Times New Roman"/>
        </w:rPr>
        <w:t>.  Cash incentives</w:t>
      </w:r>
      <w:r w:rsidRPr="002154A6">
        <w:rPr>
          <w:rFonts w:ascii="Times New Roman" w:hAnsi="Times New Roman" w:cs="Times New Roman"/>
        </w:rPr>
        <w:t xml:space="preserve"> rather than nonmonetary gifts or lottery entries can help improve response rates and survey completion rates (</w:t>
      </w:r>
      <w:r w:rsidR="00574B6B">
        <w:rPr>
          <w:rFonts w:ascii="Times New Roman" w:hAnsi="Times New Roman" w:cs="Times New Roman"/>
        </w:rPr>
        <w:t xml:space="preserve">Epley </w:t>
      </w:r>
      <w:r w:rsidR="009777B5">
        <w:rPr>
          <w:rFonts w:ascii="Times New Roman" w:hAnsi="Times New Roman" w:cs="Times New Roman"/>
        </w:rPr>
        <w:t>and Gilovich</w:t>
      </w:r>
      <w:r w:rsidR="00574B6B">
        <w:rPr>
          <w:rFonts w:ascii="Times New Roman" w:hAnsi="Times New Roman" w:cs="Times New Roman"/>
        </w:rPr>
        <w:t xml:space="preserve"> 2006</w:t>
      </w:r>
      <w:r w:rsidR="00157D3A">
        <w:rPr>
          <w:rFonts w:ascii="Times New Roman" w:hAnsi="Times New Roman" w:cs="Times New Roman"/>
        </w:rPr>
        <w:t xml:space="preserve">; </w:t>
      </w:r>
      <w:r w:rsidRPr="009777B5" w:rsidR="009777B5">
        <w:rPr>
          <w:rFonts w:ascii="Times New Roman" w:hAnsi="Times New Roman" w:cs="Times New Roman"/>
        </w:rPr>
        <w:t>Höhne and Krebs 2017</w:t>
      </w:r>
      <w:r w:rsidR="00157D3A">
        <w:rPr>
          <w:rFonts w:ascii="Times New Roman" w:hAnsi="Times New Roman" w:cs="Times New Roman"/>
        </w:rPr>
        <w:t>;</w:t>
      </w:r>
      <w:r w:rsidR="009777B5">
        <w:rPr>
          <w:rFonts w:ascii="Times New Roman" w:hAnsi="Times New Roman" w:cs="Times New Roman"/>
        </w:rPr>
        <w:t xml:space="preserve"> Saris et al. 2010</w:t>
      </w:r>
      <w:r w:rsidR="00157D3A">
        <w:rPr>
          <w:rFonts w:ascii="Times New Roman" w:hAnsi="Times New Roman" w:cs="Times New Roman"/>
        </w:rPr>
        <w:t>;</w:t>
      </w:r>
      <w:r w:rsidR="009777B5">
        <w:rPr>
          <w:rFonts w:ascii="Times New Roman" w:hAnsi="Times New Roman" w:cs="Times New Roman"/>
        </w:rPr>
        <w:t xml:space="preserve"> </w:t>
      </w:r>
      <w:r w:rsidRPr="009777B5" w:rsidR="009777B5">
        <w:rPr>
          <w:rFonts w:ascii="Times New Roman" w:hAnsi="Times New Roman" w:cs="Times New Roman"/>
        </w:rPr>
        <w:t>Krosnick and Presser 2009</w:t>
      </w:r>
      <w:r w:rsidRPr="002154A6">
        <w:rPr>
          <w:rFonts w:ascii="Times New Roman" w:hAnsi="Times New Roman" w:cs="Times New Roman"/>
        </w:rPr>
        <w:t>)</w:t>
      </w:r>
      <w:r w:rsidRPr="002154A6" w:rsidR="00620129">
        <w:rPr>
          <w:rFonts w:ascii="Times New Roman" w:hAnsi="Times New Roman" w:cs="Times New Roman"/>
        </w:rPr>
        <w:t xml:space="preserve">.  </w:t>
      </w:r>
      <w:r w:rsidRPr="002154A6">
        <w:rPr>
          <w:rFonts w:ascii="Times New Roman" w:hAnsi="Times New Roman" w:cs="Times New Roman"/>
        </w:rPr>
        <w:t>A meta-analysis on methodologies for improving response rates in physician surveys examined 21 studies published between 1981 and 2006 that investigated the effect of monetary incentives on response r</w:t>
      </w:r>
      <w:r w:rsidR="00140336">
        <w:rPr>
          <w:rFonts w:ascii="Times New Roman" w:hAnsi="Times New Roman" w:cs="Times New Roman"/>
        </w:rPr>
        <w:t>ates in surveys of physicians</w:t>
      </w:r>
      <w:r w:rsidR="009777B5">
        <w:rPr>
          <w:rFonts w:ascii="Times New Roman" w:hAnsi="Times New Roman" w:cs="Times New Roman"/>
        </w:rPr>
        <w:t xml:space="preserve">.  </w:t>
      </w:r>
      <w:r w:rsidRPr="002154A6">
        <w:rPr>
          <w:rFonts w:ascii="Times New Roman" w:hAnsi="Times New Roman" w:cs="Times New Roman"/>
        </w:rPr>
        <w:t>The authors found that the odds of responding to a survey with an incentive were 2.13 times greater than responding to a survey without incentives (</w:t>
      </w:r>
      <w:r w:rsidR="00567AA8">
        <w:rPr>
          <w:rFonts w:ascii="Times New Roman" w:hAnsi="Times New Roman" w:cs="Times New Roman"/>
        </w:rPr>
        <w:t>VanGeest et al. 2007</w:t>
      </w:r>
      <w:r w:rsidRPr="002154A6">
        <w:rPr>
          <w:rFonts w:ascii="Times New Roman" w:hAnsi="Times New Roman" w:cs="Times New Roman"/>
        </w:rPr>
        <w:t>)</w:t>
      </w:r>
      <w:r w:rsidRPr="002154A6" w:rsidR="00620129">
        <w:rPr>
          <w:rFonts w:ascii="Times New Roman" w:hAnsi="Times New Roman" w:cs="Times New Roman"/>
        </w:rPr>
        <w:t xml:space="preserve">.  </w:t>
      </w:r>
      <w:r w:rsidRPr="002154A6">
        <w:rPr>
          <w:rFonts w:ascii="Times New Roman" w:hAnsi="Times New Roman" w:cs="Times New Roman"/>
        </w:rPr>
        <w:t xml:space="preserve">Martins </w:t>
      </w:r>
      <w:r w:rsidR="007B689F">
        <w:rPr>
          <w:rFonts w:ascii="Times New Roman" w:hAnsi="Times New Roman" w:cs="Times New Roman"/>
        </w:rPr>
        <w:t xml:space="preserve">and colleagues </w:t>
      </w:r>
      <w:r w:rsidRPr="002154A6">
        <w:rPr>
          <w:rFonts w:ascii="Times New Roman" w:hAnsi="Times New Roman" w:cs="Times New Roman"/>
        </w:rPr>
        <w:t>conducted a review of published oncology-focused studies to investigate methods for improving response rates</w:t>
      </w:r>
      <w:r w:rsidRPr="002154A6" w:rsidR="00620129">
        <w:rPr>
          <w:rFonts w:ascii="Times New Roman" w:hAnsi="Times New Roman" w:cs="Times New Roman"/>
        </w:rPr>
        <w:t xml:space="preserve">.  </w:t>
      </w:r>
      <w:r w:rsidRPr="002154A6">
        <w:rPr>
          <w:rFonts w:ascii="Times New Roman" w:hAnsi="Times New Roman" w:cs="Times New Roman"/>
        </w:rPr>
        <w:t>Their meta-analysis also showed that monetary incentives were effective at increasing response rates (</w:t>
      </w:r>
      <w:r w:rsidR="00567AA8">
        <w:rPr>
          <w:rFonts w:ascii="Times New Roman" w:hAnsi="Times New Roman" w:cs="Times New Roman"/>
        </w:rPr>
        <w:t>Martins et al. 2012</w:t>
      </w:r>
      <w:r w:rsidRPr="002154A6">
        <w:rPr>
          <w:rFonts w:ascii="Times New Roman" w:hAnsi="Times New Roman" w:cs="Times New Roman"/>
        </w:rPr>
        <w:t>)</w:t>
      </w:r>
      <w:r w:rsidRPr="002154A6" w:rsidR="00620129">
        <w:rPr>
          <w:rFonts w:ascii="Times New Roman" w:hAnsi="Times New Roman" w:cs="Times New Roman"/>
        </w:rPr>
        <w:t xml:space="preserve">.  </w:t>
      </w:r>
      <w:r w:rsidRPr="002154A6" w:rsidR="00787854">
        <w:rPr>
          <w:rFonts w:ascii="Times New Roman" w:hAnsi="Times New Roman" w:cs="Times New Roman"/>
        </w:rPr>
        <w:t xml:space="preserve">Previous research also suggests that providing incentives may help reduce sampling bias by increasing rates among individuals who are typically less likely to participate in research (such as </w:t>
      </w:r>
      <w:r w:rsidR="0079417B">
        <w:rPr>
          <w:rFonts w:ascii="Times New Roman" w:hAnsi="Times New Roman" w:cs="Times New Roman"/>
        </w:rPr>
        <w:t>PCPs</w:t>
      </w:r>
      <w:r w:rsidRPr="002154A6" w:rsidR="00787854">
        <w:rPr>
          <w:rFonts w:ascii="Times New Roman" w:hAnsi="Times New Roman" w:cs="Times New Roman"/>
        </w:rPr>
        <w:t xml:space="preserve"> or physician specialists, e.g.,</w:t>
      </w:r>
      <w:r w:rsidR="00567AA8">
        <w:rPr>
          <w:rFonts w:ascii="Times New Roman" w:hAnsi="Times New Roman" w:cs="Times New Roman"/>
        </w:rPr>
        <w:t xml:space="preserve"> Converse and Presser 1986</w:t>
      </w:r>
      <w:r w:rsidR="00157D3A">
        <w:rPr>
          <w:rFonts w:ascii="Times New Roman" w:hAnsi="Times New Roman" w:cs="Times New Roman"/>
        </w:rPr>
        <w:t>;</w:t>
      </w:r>
      <w:r w:rsidR="00567AA8">
        <w:rPr>
          <w:rFonts w:ascii="Times New Roman" w:hAnsi="Times New Roman" w:cs="Times New Roman"/>
        </w:rPr>
        <w:t xml:space="preserve"> DeVellis 2016</w:t>
      </w:r>
      <w:r w:rsidRPr="002154A6" w:rsidR="00787854">
        <w:rPr>
          <w:rFonts w:ascii="Times New Roman" w:hAnsi="Times New Roman" w:cs="Times New Roman"/>
        </w:rPr>
        <w:t xml:space="preserve">) and </w:t>
      </w:r>
      <w:r w:rsidR="00E127C0">
        <w:rPr>
          <w:rFonts w:ascii="Times New Roman" w:hAnsi="Times New Roman" w:cs="Times New Roman"/>
        </w:rPr>
        <w:t xml:space="preserve">by </w:t>
      </w:r>
      <w:r w:rsidRPr="002154A6" w:rsidR="00787854">
        <w:rPr>
          <w:rFonts w:ascii="Times New Roman" w:hAnsi="Times New Roman" w:cs="Times New Roman"/>
        </w:rPr>
        <w:t xml:space="preserve">ensuring participation from a cross section of physicians, which will </w:t>
      </w:r>
      <w:r w:rsidR="00E127C0">
        <w:rPr>
          <w:rFonts w:ascii="Times New Roman" w:hAnsi="Times New Roman" w:cs="Times New Roman"/>
        </w:rPr>
        <w:t>help</w:t>
      </w:r>
      <w:r w:rsidRPr="002154A6" w:rsidR="00787854">
        <w:rPr>
          <w:rFonts w:ascii="Times New Roman" w:hAnsi="Times New Roman" w:cs="Times New Roman"/>
        </w:rPr>
        <w:t xml:space="preserve"> data quality by improving validity</w:t>
      </w:r>
      <w:r w:rsidR="00E127C0">
        <w:rPr>
          <w:rFonts w:ascii="Times New Roman" w:hAnsi="Times New Roman" w:cs="Times New Roman"/>
        </w:rPr>
        <w:t>,</w:t>
      </w:r>
      <w:r w:rsidRPr="002154A6" w:rsidR="00787854">
        <w:rPr>
          <w:rFonts w:ascii="Times New Roman" w:hAnsi="Times New Roman" w:cs="Times New Roman"/>
        </w:rPr>
        <w:t xml:space="preserve"> and reliability.</w:t>
      </w:r>
    </w:p>
    <w:p w:rsidR="00787854" w:rsidP="00793008" w:rsidRDefault="00787854" w14:paraId="10613063" w14:textId="77777777">
      <w:pPr>
        <w:pStyle w:val="ListParagraph"/>
      </w:pPr>
    </w:p>
    <w:p w:rsidR="00787854" w:rsidP="00793008" w:rsidRDefault="00B3555F" w14:paraId="68329E0E" w14:textId="45302A0E">
      <w:pPr>
        <w:pStyle w:val="ListParagraph"/>
      </w:pPr>
      <w:r>
        <w:t xml:space="preserve">In the </w:t>
      </w:r>
      <w:r w:rsidR="0045460B">
        <w:t xml:space="preserve">proposed </w:t>
      </w:r>
      <w:r>
        <w:t xml:space="preserve">study, we </w:t>
      </w:r>
      <w:r w:rsidR="0066030A">
        <w:t>will offer</w:t>
      </w:r>
      <w:r w:rsidR="00787854">
        <w:t xml:space="preserve"> incentives in the amount of</w:t>
      </w:r>
      <w:r w:rsidR="0066030A">
        <w:t xml:space="preserve"> </w:t>
      </w:r>
      <w:r w:rsidRPr="00EE79A7" w:rsidR="00EE79A7">
        <w:t>$2</w:t>
      </w:r>
      <w:r w:rsidR="0037785C">
        <w:t>50</w:t>
      </w:r>
      <w:r w:rsidRPr="00EE79A7" w:rsidR="00EE79A7">
        <w:t xml:space="preserve"> for PCPs for </w:t>
      </w:r>
      <w:r w:rsidR="007628D2">
        <w:t>1</w:t>
      </w:r>
      <w:r w:rsidRPr="00EE79A7" w:rsidR="00EE79A7">
        <w:t xml:space="preserve"> hour of interview time</w:t>
      </w:r>
      <w:r w:rsidRPr="00EE79A7" w:rsidR="00620129">
        <w:t xml:space="preserve">.  </w:t>
      </w:r>
      <w:r w:rsidR="0066030A">
        <w:t>The proposed incentive amounts are below typical market incentive rates</w:t>
      </w:r>
      <w:r w:rsidR="00620129">
        <w:t xml:space="preserve">.  </w:t>
      </w:r>
      <w:r w:rsidR="0066030A">
        <w:t xml:space="preserve">Although market incentive rates for physicians are approximately $250 to $350 for similar research activities, the flexibility </w:t>
      </w:r>
      <w:r w:rsidR="007628D2">
        <w:t xml:space="preserve">of our </w:t>
      </w:r>
      <w:r w:rsidR="0066030A">
        <w:t>interview methodology</w:t>
      </w:r>
      <w:r w:rsidR="001B4EFC">
        <w:t>—</w:t>
      </w:r>
      <w:r w:rsidR="007E5437">
        <w:t xml:space="preserve">remote interviews in which physicians can participate from their offices and conducted around </w:t>
      </w:r>
      <w:r w:rsidR="007023DB">
        <w:t>their</w:t>
      </w:r>
      <w:r w:rsidR="007E5437">
        <w:t xml:space="preserve"> schedules</w:t>
      </w:r>
      <w:r w:rsidR="0066030A">
        <w:t>—</w:t>
      </w:r>
      <w:r w:rsidR="007E7811">
        <w:t xml:space="preserve">helps </w:t>
      </w:r>
      <w:r w:rsidR="0066030A">
        <w:t xml:space="preserve">offset the lower </w:t>
      </w:r>
      <w:r w:rsidR="007E7811">
        <w:t>token of appreciation</w:t>
      </w:r>
      <w:r w:rsidR="0066030A">
        <w:t xml:space="preserve">. </w:t>
      </w:r>
    </w:p>
    <w:p w:rsidR="00DA31FF" w:rsidP="00793008" w:rsidRDefault="00DA31FF" w14:paraId="164489CE" w14:textId="77777777">
      <w:pPr>
        <w:pStyle w:val="ListParagraph"/>
      </w:pPr>
    </w:p>
    <w:p w:rsidR="0066030A" w:rsidP="00793008" w:rsidRDefault="0066030A" w14:paraId="5D1456D9" w14:textId="556B84D1">
      <w:pPr>
        <w:pStyle w:val="ListParagraph"/>
      </w:pPr>
      <w:r>
        <w:t>When applied in a reasonable manner, incentives are not an unjust inducement and are an approach that acknowledges respondents for their participation</w:t>
      </w:r>
      <w:r w:rsidR="00620129">
        <w:t xml:space="preserve">.  </w:t>
      </w:r>
      <w:r>
        <w:t>The use of incentives treats participants justly and with respect by recognizing and acknowledging the effort they expend to participate</w:t>
      </w:r>
      <w:r w:rsidR="00620129">
        <w:t xml:space="preserve">.  </w:t>
      </w:r>
      <w:r>
        <w:t xml:space="preserve">In this study, we are asking </w:t>
      </w:r>
      <w:r w:rsidR="00276513">
        <w:t xml:space="preserve">PCPs </w:t>
      </w:r>
      <w:r>
        <w:t>to provide thought-intensive, open-ended feedback on materials that require a high level of engagement.</w:t>
      </w:r>
    </w:p>
    <w:p w:rsidR="00DA31FF" w:rsidP="00793008" w:rsidRDefault="00DA31FF" w14:paraId="7054BC5D" w14:textId="77777777">
      <w:pPr>
        <w:pStyle w:val="ListParagraph"/>
      </w:pPr>
    </w:p>
    <w:p w:rsidR="0066030A" w:rsidP="00793008" w:rsidRDefault="0066030A" w14:paraId="471A10AD" w14:textId="18D325C3">
      <w:pPr>
        <w:pStyle w:val="ListParagraph"/>
      </w:pPr>
      <w:r>
        <w:t xml:space="preserve">To address below-market incentive rates and ensure successful recruitment and fielding, </w:t>
      </w:r>
      <w:r w:rsidR="007E7811">
        <w:t xml:space="preserve">Westat will </w:t>
      </w:r>
      <w:r>
        <w:t xml:space="preserve">coordinate closely </w:t>
      </w:r>
      <w:r w:rsidR="007023DB">
        <w:t xml:space="preserve">with </w:t>
      </w:r>
      <w:r>
        <w:t>FDA to monitor recruitment status</w:t>
      </w:r>
      <w:r w:rsidR="00620129">
        <w:t xml:space="preserve">.  </w:t>
      </w:r>
      <w:r>
        <w:t xml:space="preserve">Additionally, we will ensure that other considerations are in place to increase </w:t>
      </w:r>
      <w:r w:rsidR="007023DB">
        <w:t xml:space="preserve">the </w:t>
      </w:r>
      <w:r>
        <w:t>likelihood of participation, such as</w:t>
      </w:r>
      <w:r w:rsidR="007628D2">
        <w:t xml:space="preserve"> the following</w:t>
      </w:r>
      <w:r>
        <w:t xml:space="preserve">: </w:t>
      </w:r>
    </w:p>
    <w:p w:rsidR="00DA31FF" w:rsidP="0066030A" w:rsidRDefault="00DA31FF" w14:paraId="4DFE920A" w14:textId="77777777">
      <w:pPr>
        <w:pStyle w:val="ListParagraph"/>
        <w:ind w:left="0"/>
      </w:pPr>
    </w:p>
    <w:p w:rsidR="0066030A" w:rsidP="00157D3A" w:rsidRDefault="0066030A" w14:paraId="3A3577A1" w14:textId="1FC89A7C">
      <w:pPr>
        <w:pStyle w:val="ListParagraph"/>
        <w:numPr>
          <w:ilvl w:val="0"/>
          <w:numId w:val="29"/>
        </w:numPr>
        <w:ind w:left="1170" w:hanging="450"/>
      </w:pPr>
      <w:r>
        <w:lastRenderedPageBreak/>
        <w:t>Ensuring an adequate recruiting period before the start of fielding (as well as ongoing recruiting</w:t>
      </w:r>
      <w:r w:rsidR="007023DB">
        <w:t>,</w:t>
      </w:r>
      <w:r>
        <w:t xml:space="preserve"> as needed</w:t>
      </w:r>
      <w:r w:rsidR="007023DB">
        <w:t>,</w:t>
      </w:r>
      <w:r>
        <w:t xml:space="preserve"> during fielding period</w:t>
      </w:r>
      <w:r w:rsidR="007023DB">
        <w:t>)</w:t>
      </w:r>
      <w:r w:rsidR="007628D2">
        <w:t>.</w:t>
      </w:r>
      <w:r>
        <w:t xml:space="preserve"> </w:t>
      </w:r>
    </w:p>
    <w:p w:rsidR="00F81144" w:rsidP="00157D3A" w:rsidRDefault="00F81144" w14:paraId="303B27D7" w14:textId="77777777">
      <w:pPr>
        <w:pStyle w:val="ListParagraph"/>
        <w:ind w:left="0"/>
      </w:pPr>
    </w:p>
    <w:p w:rsidR="0066030A" w:rsidP="00157D3A" w:rsidRDefault="0066030A" w14:paraId="68744077" w14:textId="64EEF3F7">
      <w:pPr>
        <w:pStyle w:val="ListParagraph"/>
        <w:numPr>
          <w:ilvl w:val="0"/>
          <w:numId w:val="29"/>
        </w:numPr>
        <w:ind w:left="1170" w:hanging="450"/>
      </w:pPr>
      <w:r>
        <w:t xml:space="preserve">Availability of sessions at time slots that, in our experience, have been popular among </w:t>
      </w:r>
      <w:r w:rsidR="00276513">
        <w:t>physicians</w:t>
      </w:r>
      <w:r>
        <w:t>—for example, early morning, evenings, lunch</w:t>
      </w:r>
      <w:r w:rsidR="007628D2">
        <w:t>.</w:t>
      </w:r>
    </w:p>
    <w:p w:rsidR="00F81144" w:rsidP="00BA2411" w:rsidRDefault="00F81144" w14:paraId="4ED9FB82" w14:textId="77777777">
      <w:pPr>
        <w:pStyle w:val="ListParagraph"/>
        <w:ind w:left="0"/>
      </w:pPr>
    </w:p>
    <w:p w:rsidR="00833E4F" w:rsidP="00157D3A" w:rsidRDefault="0066030A" w14:paraId="1B9281BF" w14:textId="5FFC04D5">
      <w:pPr>
        <w:pStyle w:val="ListParagraph"/>
        <w:numPr>
          <w:ilvl w:val="0"/>
          <w:numId w:val="29"/>
        </w:numPr>
        <w:ind w:left="1170" w:hanging="450"/>
      </w:pPr>
      <w:r>
        <w:t xml:space="preserve">Having the flexibility and appropriate staff </w:t>
      </w:r>
      <w:r w:rsidR="007023DB">
        <w:t xml:space="preserve">available </w:t>
      </w:r>
      <w:r>
        <w:t>to run concurrent sessions to leverage popular session times.</w:t>
      </w:r>
    </w:p>
    <w:p w:rsidR="0037785C" w:rsidP="00BA2411" w:rsidRDefault="0037785C" w14:paraId="0BD957EF" w14:textId="77777777">
      <w:pPr>
        <w:pStyle w:val="ListParagraph"/>
        <w:ind w:left="0"/>
      </w:pPr>
    </w:p>
    <w:p w:rsidR="006F58E0" w:rsidP="00793008" w:rsidRDefault="001820CB" w14:paraId="3E66A239" w14:textId="233F471B">
      <w:pPr>
        <w:ind w:left="720"/>
      </w:pPr>
      <w:r w:rsidRPr="00264096">
        <w:rPr>
          <w:b/>
          <w:i/>
        </w:rPr>
        <w:t>Consumers</w:t>
      </w:r>
      <w:r w:rsidR="00DF6641">
        <w:t xml:space="preserve">.  </w:t>
      </w:r>
      <w:r>
        <w:t xml:space="preserve">To prepare for these focus groups, we consulted with </w:t>
      </w:r>
      <w:r w:rsidR="00D56DE8">
        <w:t xml:space="preserve">focus groups recruitment </w:t>
      </w:r>
      <w:r>
        <w:t xml:space="preserve">vendors to determine </w:t>
      </w:r>
      <w:r w:rsidR="009E6DC8">
        <w:t xml:space="preserve">an acceptable </w:t>
      </w:r>
      <w:r>
        <w:t>incentive rate</w:t>
      </w:r>
      <w:r w:rsidR="00DF6641">
        <w:t xml:space="preserve">.  </w:t>
      </w:r>
      <w:r w:rsidR="006F58E0">
        <w:t>Based on these consultations, we propose an incentive of $75 as a token of our appreciation to participants</w:t>
      </w:r>
      <w:r w:rsidR="00DF6641">
        <w:t xml:space="preserve">.  </w:t>
      </w:r>
      <w:r w:rsidR="006F58E0">
        <w:t>All focus group participants will receive thei</w:t>
      </w:r>
      <w:r w:rsidR="00AF2319">
        <w:t xml:space="preserve">r </w:t>
      </w:r>
      <w:r w:rsidR="00D56DE8">
        <w:t xml:space="preserve">incentives </w:t>
      </w:r>
      <w:r w:rsidR="00AF2319">
        <w:t xml:space="preserve">after </w:t>
      </w:r>
      <w:r w:rsidR="006F58E0">
        <w:t>groups have been completed</w:t>
      </w:r>
      <w:r w:rsidR="00DF6641">
        <w:t xml:space="preserve">.  </w:t>
      </w:r>
      <w:r w:rsidR="006F58E0">
        <w:t xml:space="preserve">This ensures that we </w:t>
      </w:r>
      <w:r w:rsidR="00CE6407">
        <w:t>can</w:t>
      </w:r>
      <w:r w:rsidR="006F58E0">
        <w:t xml:space="preserve"> attract participants who meet our screening requirements to participate in the online focus groups and improve the likelihood that they will log on and participate in the discussion. </w:t>
      </w:r>
    </w:p>
    <w:p w:rsidR="006F58E0" w:rsidP="00793008" w:rsidRDefault="006F58E0" w14:paraId="66981EFB" w14:textId="15622C7E">
      <w:pPr>
        <w:ind w:left="720"/>
      </w:pPr>
    </w:p>
    <w:p w:rsidR="00AF2319" w:rsidP="00793008" w:rsidRDefault="00322337" w14:paraId="1D126649" w14:textId="4B9625B3">
      <w:pPr>
        <w:ind w:left="720"/>
      </w:pPr>
      <w:r>
        <w:t>The proposed incentive amount is considered below</w:t>
      </w:r>
      <w:r w:rsidR="007628D2">
        <w:t>-</w:t>
      </w:r>
      <w:r>
        <w:t xml:space="preserve">market rate </w:t>
      </w:r>
      <w:r w:rsidR="00F75483">
        <w:t>for focus group</w:t>
      </w:r>
      <w:r w:rsidR="00AF2319">
        <w:t>s</w:t>
      </w:r>
      <w:r w:rsidR="00DF6641">
        <w:t xml:space="preserve">.  </w:t>
      </w:r>
      <w:r w:rsidR="006F58E0">
        <w:t xml:space="preserve">Vendors estimate that studies conducted with similar populations </w:t>
      </w:r>
      <w:r w:rsidR="00F75483">
        <w:t xml:space="preserve">and level of effort </w:t>
      </w:r>
      <w:r w:rsidR="006F58E0">
        <w:t>in this market in 2020</w:t>
      </w:r>
      <w:r w:rsidR="007628D2">
        <w:t xml:space="preserve"> to </w:t>
      </w:r>
      <w:r w:rsidR="006F58E0">
        <w:t>2021 provide incentives</w:t>
      </w:r>
      <w:r w:rsidR="00F75483">
        <w:t xml:space="preserve"> of $100</w:t>
      </w:r>
      <w:r w:rsidR="007628D2">
        <w:t xml:space="preserve"> to </w:t>
      </w:r>
      <w:r w:rsidR="006F58E0">
        <w:t>$1</w:t>
      </w:r>
      <w:r w:rsidR="00F75483">
        <w:t>50</w:t>
      </w:r>
      <w:r w:rsidR="00DF6641">
        <w:t xml:space="preserve">.  </w:t>
      </w:r>
      <w:r w:rsidR="006F58E0">
        <w:t xml:space="preserve">Our proposed incentive is based on </w:t>
      </w:r>
      <w:r w:rsidR="00F75483">
        <w:t xml:space="preserve">approximately 70 minutes of their time on this effort, which includes </w:t>
      </w:r>
      <w:r w:rsidR="006F58E0">
        <w:t>log</w:t>
      </w:r>
      <w:r>
        <w:t>ging</w:t>
      </w:r>
      <w:r w:rsidR="006F58E0">
        <w:t xml:space="preserve"> in early to confirm technical operation</w:t>
      </w:r>
      <w:r>
        <w:t xml:space="preserve">s (10 minutes) and time </w:t>
      </w:r>
      <w:r w:rsidR="006F58E0">
        <w:t>to participate in the focus group</w:t>
      </w:r>
      <w:r>
        <w:t xml:space="preserve"> discussion</w:t>
      </w:r>
      <w:r w:rsidR="006F58E0">
        <w:t xml:space="preserve"> (</w:t>
      </w:r>
      <w:r>
        <w:t>60</w:t>
      </w:r>
      <w:r w:rsidR="006F58E0">
        <w:t xml:space="preserve"> minutes)</w:t>
      </w:r>
      <w:r w:rsidR="00F75483">
        <w:t xml:space="preserve">. </w:t>
      </w:r>
      <w:r w:rsidR="00395A14">
        <w:t xml:space="preserve"> </w:t>
      </w:r>
      <w:r w:rsidR="00AF2319">
        <w:t xml:space="preserve">We </w:t>
      </w:r>
      <w:r w:rsidR="00D56DE8">
        <w:t xml:space="preserve">also </w:t>
      </w:r>
      <w:r w:rsidR="00AF2319">
        <w:t>note that participants are required to join the group from a quiet location where there are no distractions, which may require childcare or special accommodations during that time.</w:t>
      </w:r>
    </w:p>
    <w:p w:rsidR="00AF2319" w:rsidP="00793008" w:rsidRDefault="00AF2319" w14:paraId="554D126D" w14:textId="77777777">
      <w:pPr>
        <w:ind w:left="720"/>
      </w:pPr>
    </w:p>
    <w:p w:rsidR="00AF2319" w:rsidP="00793008" w:rsidRDefault="00AF2319" w14:paraId="6FC5E135" w14:textId="6F76BFBF">
      <w:pPr>
        <w:ind w:left="720"/>
      </w:pPr>
      <w:r>
        <w:t>Based on prior experience, offering lower or nonmonetary incentives will necessitate over-recruitment by higher percentages and may result in longer recruiting time as well as higher overall project costs to the government</w:t>
      </w:r>
      <w:r w:rsidR="00DF6641">
        <w:t xml:space="preserve">.  </w:t>
      </w:r>
      <w:r>
        <w:t>Low or nonmonetary incentives generally produce participation rates no better than the complete absence of any incentives (</w:t>
      </w:r>
      <w:r w:rsidR="00395A14">
        <w:t>Church 1993</w:t>
      </w:r>
      <w:r w:rsidR="00157D3A">
        <w:t>;</w:t>
      </w:r>
      <w:r w:rsidR="00395A14">
        <w:t xml:space="preserve"> Dykema et al. 2012</w:t>
      </w:r>
      <w:r w:rsidR="00157D3A">
        <w:t>;</w:t>
      </w:r>
      <w:r w:rsidR="00395A14">
        <w:t xml:space="preserve"> Singer and Kulka 2002</w:t>
      </w:r>
      <w:r>
        <w:t>)</w:t>
      </w:r>
      <w:r w:rsidR="00DF6641">
        <w:t xml:space="preserve">.  </w:t>
      </w:r>
      <w:r>
        <w:t xml:space="preserve">The consequences of offering an insufficient incentive include the following: </w:t>
      </w:r>
    </w:p>
    <w:p w:rsidR="00AF2319" w:rsidP="00AF2319" w:rsidRDefault="00AF2319" w14:paraId="155D967B" w14:textId="77777777">
      <w:pPr>
        <w:pStyle w:val="ListParagraph"/>
      </w:pPr>
      <w:r>
        <w:t xml:space="preserve"> </w:t>
      </w:r>
    </w:p>
    <w:p w:rsidR="00AF2319" w:rsidP="00157D3A" w:rsidRDefault="00AF2319" w14:paraId="4262B9A3" w14:textId="5B0AD46E">
      <w:pPr>
        <w:pStyle w:val="ListParagraph"/>
        <w:numPr>
          <w:ilvl w:val="0"/>
          <w:numId w:val="7"/>
        </w:numPr>
        <w:ind w:left="1260"/>
      </w:pPr>
      <w:r>
        <w:t>Increased time and cost of recruitment due to lower response and enrollment levels, and/or the need to schedule additional groups to achieve the overall number of participants.</w:t>
      </w:r>
    </w:p>
    <w:p w:rsidR="007628D2" w:rsidP="00157D3A" w:rsidRDefault="007628D2" w14:paraId="34861168" w14:textId="77777777">
      <w:pPr>
        <w:pStyle w:val="ListParagraph"/>
        <w:ind w:left="1260"/>
      </w:pPr>
    </w:p>
    <w:p w:rsidR="00AF2319" w:rsidP="00157D3A" w:rsidRDefault="00AF2319" w14:paraId="60786A98" w14:textId="1656A05F">
      <w:pPr>
        <w:pStyle w:val="ListParagraph"/>
        <w:numPr>
          <w:ilvl w:val="0"/>
          <w:numId w:val="7"/>
        </w:numPr>
        <w:ind w:left="1260"/>
      </w:pPr>
      <w:r>
        <w:t xml:space="preserve">Increased likelihood of “no-shows” (which may result in methodologically unsound focus groups with small numbers of participants). </w:t>
      </w:r>
    </w:p>
    <w:p w:rsidR="007628D2" w:rsidP="00157D3A" w:rsidRDefault="007628D2" w14:paraId="50D8973F" w14:textId="77777777">
      <w:pPr>
        <w:pStyle w:val="ListParagraph"/>
        <w:ind w:left="1260"/>
      </w:pPr>
    </w:p>
    <w:p w:rsidR="00AF2319" w:rsidP="00157D3A" w:rsidRDefault="00AF2319" w14:paraId="069E34E5" w14:textId="1D6A2616">
      <w:pPr>
        <w:pStyle w:val="ListParagraph"/>
        <w:numPr>
          <w:ilvl w:val="0"/>
          <w:numId w:val="7"/>
        </w:numPr>
        <w:ind w:left="1260"/>
      </w:pPr>
      <w:r>
        <w:t xml:space="preserve">Skewed participant demographics, with increased representation of participants with lower incomes and lower education levels. </w:t>
      </w:r>
    </w:p>
    <w:p w:rsidR="007628D2" w:rsidP="00157D3A" w:rsidRDefault="007628D2" w14:paraId="0C43D75D" w14:textId="77777777">
      <w:pPr>
        <w:pStyle w:val="ListParagraph"/>
        <w:ind w:left="1260"/>
      </w:pPr>
    </w:p>
    <w:p w:rsidR="00AF2319" w:rsidP="00157D3A" w:rsidRDefault="00AF2319" w14:paraId="7E5FE957" w14:textId="565D7523">
      <w:pPr>
        <w:pStyle w:val="ListParagraph"/>
        <w:numPr>
          <w:ilvl w:val="0"/>
          <w:numId w:val="7"/>
        </w:numPr>
        <w:ind w:left="1260"/>
      </w:pPr>
      <w:r>
        <w:t>Increased probability that a focus group may need to be cancelled or postponed due to insufficient numbers recruited by the scheduled date of the focus group</w:t>
      </w:r>
      <w:r w:rsidR="00DF6641">
        <w:t xml:space="preserve">.  </w:t>
      </w:r>
      <w:r>
        <w:t>This incurs additional costs and p</w:t>
      </w:r>
      <w:r w:rsidR="007628D2">
        <w:t>laces</w:t>
      </w:r>
      <w:r>
        <w:t xml:space="preserve"> additional burden on the recruited participants who </w:t>
      </w:r>
      <w:r w:rsidR="00DF6641">
        <w:t>must</w:t>
      </w:r>
      <w:r>
        <w:t xml:space="preserve"> reschedule their participation in the focus group.</w:t>
      </w:r>
    </w:p>
    <w:p w:rsidR="00AF2319" w:rsidP="002566C8" w:rsidRDefault="00AF2319" w14:paraId="56CE75C9" w14:textId="77777777">
      <w:pPr>
        <w:pStyle w:val="ListParagraph"/>
      </w:pPr>
    </w:p>
    <w:p w:rsidR="00140A0D" w:rsidP="00D70AEC" w:rsidRDefault="00140A0D" w14:paraId="2A86F89D" w14:textId="77777777">
      <w:pPr>
        <w:numPr>
          <w:ilvl w:val="0"/>
          <w:numId w:val="1"/>
        </w:numPr>
        <w:ind w:left="720"/>
        <w:rPr>
          <w:b/>
        </w:rPr>
      </w:pPr>
      <w:r>
        <w:rPr>
          <w:b/>
        </w:rPr>
        <w:lastRenderedPageBreak/>
        <w:t>Questions of a Sensitive Nature:</w:t>
      </w:r>
    </w:p>
    <w:p w:rsidR="009742AD" w:rsidP="009742AD" w:rsidRDefault="009742AD" w14:paraId="16FC61A6" w14:textId="77777777">
      <w:pPr>
        <w:pStyle w:val="ListParagraph"/>
      </w:pPr>
    </w:p>
    <w:p w:rsidRPr="00B57E8B" w:rsidR="003919D8" w:rsidP="00793008" w:rsidRDefault="003919D8" w14:paraId="6B3AE323" w14:textId="77777777">
      <w:pPr>
        <w:pStyle w:val="ListParagraph"/>
      </w:pPr>
      <w:r>
        <w:t>None.</w:t>
      </w:r>
    </w:p>
    <w:p w:rsidR="00140A0D" w:rsidP="00140A0D" w:rsidRDefault="00140A0D" w14:paraId="4D289AA5" w14:textId="77777777">
      <w:pPr>
        <w:pStyle w:val="ListParagraph"/>
      </w:pPr>
    </w:p>
    <w:p w:rsidR="00140A0D" w:rsidP="00D70AEC" w:rsidRDefault="00140A0D" w14:paraId="29C17932" w14:textId="5A63A385">
      <w:pPr>
        <w:numPr>
          <w:ilvl w:val="0"/>
          <w:numId w:val="1"/>
        </w:numPr>
        <w:ind w:left="720"/>
        <w:rPr>
          <w:b/>
        </w:rPr>
      </w:pPr>
      <w:r>
        <w:rPr>
          <w:b/>
        </w:rPr>
        <w:t>Description of Statistical Methods (</w:t>
      </w:r>
      <w:r w:rsidR="008A7B8B">
        <w:rPr>
          <w:b/>
        </w:rPr>
        <w:t>i</w:t>
      </w:r>
      <w:r w:rsidR="00E971FC">
        <w:rPr>
          <w:b/>
        </w:rPr>
        <w:t>.</w:t>
      </w:r>
      <w:r w:rsidR="008A7B8B">
        <w:rPr>
          <w:b/>
        </w:rPr>
        <w:t>e</w:t>
      </w:r>
      <w:r w:rsidR="00E971FC">
        <w:rPr>
          <w:b/>
        </w:rPr>
        <w:t xml:space="preserve">. </w:t>
      </w:r>
      <w:r>
        <w:rPr>
          <w:b/>
        </w:rPr>
        <w:t xml:space="preserve">Sample Size </w:t>
      </w:r>
      <w:r w:rsidR="00810D6E">
        <w:rPr>
          <w:b/>
        </w:rPr>
        <w:t xml:space="preserve">and </w:t>
      </w:r>
      <w:r>
        <w:rPr>
          <w:b/>
        </w:rPr>
        <w:t>Method of Selection):</w:t>
      </w:r>
    </w:p>
    <w:p w:rsidR="00DA31FF" w:rsidP="00793008" w:rsidRDefault="00DA31FF" w14:paraId="7E53310D" w14:textId="77777777">
      <w:pPr>
        <w:pStyle w:val="Heading2"/>
        <w:keepNext w:val="0"/>
        <w:jc w:val="left"/>
        <w:rPr>
          <w:b w:val="0"/>
          <w:bCs w:val="0"/>
        </w:rPr>
      </w:pPr>
      <w:bookmarkStart w:name="_Toc508302255" w:id="9"/>
    </w:p>
    <w:bookmarkEnd w:id="9"/>
    <w:p w:rsidR="00C975E4" w:rsidP="00157D3A" w:rsidRDefault="0063232F" w14:paraId="629B1E4B" w14:textId="38BCB1C8">
      <w:pPr>
        <w:ind w:left="720"/>
      </w:pPr>
      <w:r>
        <w:t>Stati</w:t>
      </w:r>
      <w:r w:rsidR="006613DD">
        <w:t xml:space="preserve">stical methods </w:t>
      </w:r>
      <w:r w:rsidR="00C975E4">
        <w:t xml:space="preserve">to recruit </w:t>
      </w:r>
      <w:r w:rsidR="006613DD">
        <w:t xml:space="preserve">representative samples will not be used </w:t>
      </w:r>
      <w:r>
        <w:t>in this study</w:t>
      </w:r>
      <w:r w:rsidR="00DF6641">
        <w:t xml:space="preserve">.  </w:t>
      </w:r>
      <w:r w:rsidRPr="0050277D" w:rsidR="00DE00B8">
        <w:t>This study</w:t>
      </w:r>
      <w:r w:rsidR="0093227E">
        <w:t xml:space="preserve"> </w:t>
      </w:r>
      <w:r w:rsidR="00DE00B8">
        <w:t>employs</w:t>
      </w:r>
      <w:r w:rsidR="00812A6C">
        <w:t xml:space="preserve"> </w:t>
      </w:r>
      <w:r w:rsidR="00DE00B8">
        <w:t>qualitative methods</w:t>
      </w:r>
      <w:r w:rsidR="0093227E">
        <w:t xml:space="preserve"> and uses convenien</w:t>
      </w:r>
      <w:r w:rsidR="0079417B">
        <w:t>ce</w:t>
      </w:r>
      <w:r w:rsidR="0093227E">
        <w:t xml:space="preserve"> sample</w:t>
      </w:r>
      <w:r w:rsidR="00305795">
        <w:t>s</w:t>
      </w:r>
      <w:r w:rsidR="00DF6641">
        <w:t xml:space="preserve">.  </w:t>
      </w:r>
      <w:r w:rsidR="0037785C">
        <w:t>P</w:t>
      </w:r>
      <w:r w:rsidR="00C975E4">
        <w:t xml:space="preserve">articipants </w:t>
      </w:r>
      <w:r w:rsidR="006613DD">
        <w:t xml:space="preserve">will be recruited </w:t>
      </w:r>
      <w:r w:rsidR="00C975E4">
        <w:t xml:space="preserve">from </w:t>
      </w:r>
      <w:r w:rsidR="002E64A0">
        <w:t xml:space="preserve">a </w:t>
      </w:r>
      <w:r w:rsidR="00864A34">
        <w:t xml:space="preserve">focus group </w:t>
      </w:r>
      <w:r w:rsidR="002E64A0">
        <w:t xml:space="preserve">recruitment </w:t>
      </w:r>
      <w:r w:rsidR="00864A34">
        <w:t xml:space="preserve">vendor </w:t>
      </w:r>
      <w:r w:rsidR="00C975E4">
        <w:t xml:space="preserve">using </w:t>
      </w:r>
      <w:r w:rsidR="002E64A0">
        <w:t xml:space="preserve">their in-house database and </w:t>
      </w:r>
      <w:r w:rsidR="00C975E4">
        <w:t>a screener</w:t>
      </w:r>
      <w:r w:rsidR="00DF6641">
        <w:t xml:space="preserve">.  </w:t>
      </w:r>
      <w:r w:rsidR="00C62353">
        <w:t xml:space="preserve">Recruitment staff will help ensure </w:t>
      </w:r>
      <w:r w:rsidR="006C4352">
        <w:t xml:space="preserve">that </w:t>
      </w:r>
      <w:r w:rsidR="00C62353">
        <w:t xml:space="preserve">eligible participants are recruited for the study and send reminder emails to reduce no-shows.  </w:t>
      </w:r>
    </w:p>
    <w:p w:rsidR="00796A56" w:rsidP="00C02610" w:rsidRDefault="00796A56" w14:paraId="3204E7EF" w14:textId="77777777"/>
    <w:p w:rsidRPr="00793008" w:rsidR="001F5155" w:rsidRDefault="003F1C7A" w14:paraId="3A0B705B" w14:textId="3F1E1D26">
      <w:pPr>
        <w:rPr>
          <w:iCs/>
        </w:rPr>
      </w:pPr>
      <w:r>
        <w:rPr>
          <w:b/>
        </w:rPr>
        <w:t>BURDEN HOUR COMPUTATION</w:t>
      </w:r>
      <w:r>
        <w:t xml:space="preserve"> </w:t>
      </w:r>
      <w:r>
        <w:rPr>
          <w:i/>
        </w:rPr>
        <w:t>(Number of responses</w:t>
      </w:r>
      <w:r w:rsidR="0049419A">
        <w:rPr>
          <w:i/>
        </w:rPr>
        <w:t xml:space="preserve"> </w:t>
      </w:r>
      <w:r>
        <w:rPr>
          <w:i/>
        </w:rPr>
        <w:t>(X) estimated response or participation time in minutes (/60) = annual burden hours):</w:t>
      </w:r>
    </w:p>
    <w:p w:rsidR="003554C9" w:rsidRDefault="003554C9" w14:paraId="4CAAA1A2" w14:textId="77777777">
      <w:pPr>
        <w:rPr>
          <w:i/>
        </w:rPr>
      </w:pPr>
    </w:p>
    <w:tbl>
      <w:tblPr>
        <w:tblW w:w="9193"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50"/>
        <w:gridCol w:w="1530"/>
        <w:gridCol w:w="1710"/>
        <w:gridCol w:w="1003"/>
      </w:tblGrid>
      <w:tr w:rsidRPr="00C019F5" w:rsidR="003554C9" w:rsidTr="003554C9" w14:paraId="041B01A6" w14:textId="77777777">
        <w:trPr>
          <w:trHeight w:val="274"/>
        </w:trPr>
        <w:tc>
          <w:tcPr>
            <w:tcW w:w="4950" w:type="dxa"/>
            <w:shd w:val="clear" w:color="auto" w:fill="E7E6E6"/>
          </w:tcPr>
          <w:p w:rsidRPr="00793008" w:rsidR="003554C9" w:rsidP="003554C9" w:rsidRDefault="003554C9" w14:paraId="0A109302" w14:textId="77777777">
            <w:pPr>
              <w:rPr>
                <w:b/>
                <w:iCs/>
              </w:rPr>
            </w:pPr>
            <w:r w:rsidRPr="00793008">
              <w:rPr>
                <w:b/>
                <w:iCs/>
              </w:rPr>
              <w:t xml:space="preserve">Type/Category of Respondent </w:t>
            </w:r>
          </w:p>
        </w:tc>
        <w:tc>
          <w:tcPr>
            <w:tcW w:w="1530" w:type="dxa"/>
            <w:shd w:val="clear" w:color="auto" w:fill="E7E6E6"/>
          </w:tcPr>
          <w:p w:rsidRPr="00793008" w:rsidR="003554C9" w:rsidP="003554C9" w:rsidRDefault="003554C9" w14:paraId="38E467F4" w14:textId="77777777">
            <w:pPr>
              <w:rPr>
                <w:b/>
                <w:iCs/>
              </w:rPr>
            </w:pPr>
            <w:r w:rsidRPr="00793008">
              <w:rPr>
                <w:b/>
                <w:iCs/>
              </w:rPr>
              <w:t>No. of Respondents</w:t>
            </w:r>
          </w:p>
        </w:tc>
        <w:tc>
          <w:tcPr>
            <w:tcW w:w="1710" w:type="dxa"/>
            <w:shd w:val="clear" w:color="auto" w:fill="E7E6E6"/>
          </w:tcPr>
          <w:p w:rsidRPr="00793008" w:rsidR="003554C9" w:rsidP="003554C9" w:rsidRDefault="003554C9" w14:paraId="2D74C645" w14:textId="3DEF57FF">
            <w:pPr>
              <w:rPr>
                <w:b/>
                <w:iCs/>
              </w:rPr>
            </w:pPr>
            <w:r w:rsidRPr="00793008">
              <w:rPr>
                <w:b/>
                <w:iCs/>
              </w:rPr>
              <w:t>Participation Time (minutes)</w:t>
            </w:r>
            <w:r w:rsidR="001F5155">
              <w:rPr>
                <w:b/>
                <w:iCs/>
              </w:rPr>
              <w:t>*</w:t>
            </w:r>
          </w:p>
        </w:tc>
        <w:tc>
          <w:tcPr>
            <w:tcW w:w="1003" w:type="dxa"/>
            <w:shd w:val="clear" w:color="auto" w:fill="E7E6E6"/>
          </w:tcPr>
          <w:p w:rsidRPr="00793008" w:rsidR="003554C9" w:rsidP="003554C9" w:rsidRDefault="003554C9" w14:paraId="73E71B9B" w14:textId="77777777">
            <w:pPr>
              <w:rPr>
                <w:b/>
                <w:iCs/>
              </w:rPr>
            </w:pPr>
            <w:r w:rsidRPr="00793008">
              <w:rPr>
                <w:b/>
                <w:iCs/>
              </w:rPr>
              <w:t>Burden (hours)</w:t>
            </w:r>
          </w:p>
        </w:tc>
      </w:tr>
      <w:tr w:rsidRPr="00C019F5" w:rsidR="003554C9" w:rsidTr="003554C9" w14:paraId="1ABD14B8" w14:textId="77777777">
        <w:trPr>
          <w:trHeight w:val="274"/>
        </w:trPr>
        <w:tc>
          <w:tcPr>
            <w:tcW w:w="4950" w:type="dxa"/>
          </w:tcPr>
          <w:p w:rsidR="003554C9" w:rsidP="003554C9" w:rsidRDefault="003554C9" w14:paraId="5511F646" w14:textId="589E4201">
            <w:pPr>
              <w:rPr>
                <w:iCs/>
              </w:rPr>
            </w:pPr>
            <w:r w:rsidRPr="00793008">
              <w:rPr>
                <w:iCs/>
              </w:rPr>
              <w:t>Screening (</w:t>
            </w:r>
            <w:r w:rsidR="00E77C96">
              <w:rPr>
                <w:iCs/>
              </w:rPr>
              <w:t>Physicians</w:t>
            </w:r>
            <w:r w:rsidRPr="00793008">
              <w:rPr>
                <w:iCs/>
              </w:rPr>
              <w:t>)</w:t>
            </w:r>
          </w:p>
          <w:p w:rsidRPr="00793008" w:rsidR="001F5155" w:rsidP="003554C9" w:rsidRDefault="001F5155" w14:paraId="1B1AE5FE" w14:textId="4777AC18">
            <w:pPr>
              <w:rPr>
                <w:iCs/>
              </w:rPr>
            </w:pPr>
          </w:p>
        </w:tc>
        <w:tc>
          <w:tcPr>
            <w:tcW w:w="1530" w:type="dxa"/>
          </w:tcPr>
          <w:p w:rsidRPr="00793008" w:rsidR="003554C9" w:rsidP="003554C9" w:rsidRDefault="003554C9" w14:paraId="71F60CF3" w14:textId="77777777">
            <w:pPr>
              <w:rPr>
                <w:iCs/>
              </w:rPr>
            </w:pPr>
            <w:r w:rsidRPr="00793008">
              <w:rPr>
                <w:iCs/>
              </w:rPr>
              <w:t>100</w:t>
            </w:r>
          </w:p>
        </w:tc>
        <w:tc>
          <w:tcPr>
            <w:tcW w:w="1710" w:type="dxa"/>
          </w:tcPr>
          <w:p w:rsidRPr="00793008" w:rsidR="003554C9" w:rsidP="003554C9" w:rsidRDefault="003554C9" w14:paraId="075BB1A7" w14:textId="77777777">
            <w:pPr>
              <w:rPr>
                <w:iCs/>
              </w:rPr>
            </w:pPr>
            <w:r w:rsidRPr="00793008">
              <w:rPr>
                <w:iCs/>
              </w:rPr>
              <w:t>5/60</w:t>
            </w:r>
          </w:p>
        </w:tc>
        <w:tc>
          <w:tcPr>
            <w:tcW w:w="1003" w:type="dxa"/>
          </w:tcPr>
          <w:p w:rsidRPr="00793008" w:rsidR="003554C9" w:rsidP="003554C9" w:rsidRDefault="003554C9" w14:paraId="63BB1262" w14:textId="77777777">
            <w:pPr>
              <w:rPr>
                <w:iCs/>
              </w:rPr>
            </w:pPr>
            <w:r w:rsidRPr="00793008">
              <w:rPr>
                <w:iCs/>
              </w:rPr>
              <w:t>8</w:t>
            </w:r>
          </w:p>
        </w:tc>
      </w:tr>
      <w:tr w:rsidRPr="00C019F5" w:rsidR="003554C9" w:rsidTr="003554C9" w14:paraId="2F4941E6" w14:textId="77777777">
        <w:trPr>
          <w:trHeight w:val="274"/>
        </w:trPr>
        <w:tc>
          <w:tcPr>
            <w:tcW w:w="4950" w:type="dxa"/>
          </w:tcPr>
          <w:p w:rsidR="003554C9" w:rsidP="003554C9" w:rsidRDefault="001F5155" w14:paraId="040E08E5" w14:textId="130EEA98">
            <w:pPr>
              <w:rPr>
                <w:iCs/>
              </w:rPr>
            </w:pPr>
            <w:r>
              <w:rPr>
                <w:iCs/>
              </w:rPr>
              <w:t>Focus Groups</w:t>
            </w:r>
            <w:r w:rsidRPr="001F5155" w:rsidR="003554C9">
              <w:rPr>
                <w:iCs/>
              </w:rPr>
              <w:t xml:space="preserve"> (</w:t>
            </w:r>
            <w:r w:rsidR="00E77C96">
              <w:rPr>
                <w:iCs/>
              </w:rPr>
              <w:t>Physicians</w:t>
            </w:r>
            <w:r w:rsidRPr="001F5155" w:rsidR="003554C9">
              <w:rPr>
                <w:iCs/>
              </w:rPr>
              <w:t>)</w:t>
            </w:r>
          </w:p>
          <w:p w:rsidRPr="001F5155" w:rsidR="001F5155" w:rsidP="003554C9" w:rsidRDefault="001F5155" w14:paraId="62D08586" w14:textId="2D21C84D">
            <w:pPr>
              <w:rPr>
                <w:iCs/>
              </w:rPr>
            </w:pPr>
          </w:p>
        </w:tc>
        <w:tc>
          <w:tcPr>
            <w:tcW w:w="1530" w:type="dxa"/>
          </w:tcPr>
          <w:p w:rsidRPr="001F5155" w:rsidR="003554C9" w:rsidP="003554C9" w:rsidRDefault="001F5155" w14:paraId="749F45BC" w14:textId="3E4A8ADB">
            <w:pPr>
              <w:rPr>
                <w:iCs/>
              </w:rPr>
            </w:pPr>
            <w:r>
              <w:rPr>
                <w:iCs/>
              </w:rPr>
              <w:t>18</w:t>
            </w:r>
          </w:p>
        </w:tc>
        <w:tc>
          <w:tcPr>
            <w:tcW w:w="1710" w:type="dxa"/>
          </w:tcPr>
          <w:p w:rsidRPr="001F5155" w:rsidR="003554C9" w:rsidP="003554C9" w:rsidRDefault="001F5155" w14:paraId="1D433842" w14:textId="4CBDD1E5">
            <w:pPr>
              <w:rPr>
                <w:iCs/>
              </w:rPr>
            </w:pPr>
            <w:r>
              <w:rPr>
                <w:iCs/>
              </w:rPr>
              <w:t>70</w:t>
            </w:r>
          </w:p>
        </w:tc>
        <w:tc>
          <w:tcPr>
            <w:tcW w:w="1003" w:type="dxa"/>
          </w:tcPr>
          <w:p w:rsidRPr="001F5155" w:rsidR="003554C9" w:rsidP="003554C9" w:rsidRDefault="001F5155" w14:paraId="36D1F24D" w14:textId="292A0BF8">
            <w:pPr>
              <w:rPr>
                <w:iCs/>
              </w:rPr>
            </w:pPr>
            <w:r>
              <w:rPr>
                <w:iCs/>
              </w:rPr>
              <w:t>21</w:t>
            </w:r>
          </w:p>
        </w:tc>
      </w:tr>
      <w:tr w:rsidRPr="00C019F5" w:rsidR="001F5155" w:rsidTr="003554C9" w14:paraId="5BCA3F08" w14:textId="77777777">
        <w:trPr>
          <w:trHeight w:val="274"/>
        </w:trPr>
        <w:tc>
          <w:tcPr>
            <w:tcW w:w="4950" w:type="dxa"/>
          </w:tcPr>
          <w:p w:rsidR="001F5155" w:rsidP="003554C9" w:rsidRDefault="001F5155" w14:paraId="770A4173" w14:textId="77777777">
            <w:pPr>
              <w:rPr>
                <w:iCs/>
              </w:rPr>
            </w:pPr>
            <w:r>
              <w:rPr>
                <w:iCs/>
              </w:rPr>
              <w:t>Screening (Consumers)</w:t>
            </w:r>
          </w:p>
          <w:p w:rsidRPr="001F5155" w:rsidR="001F5155" w:rsidP="003554C9" w:rsidRDefault="001F5155" w14:paraId="50160753" w14:textId="2977E148">
            <w:pPr>
              <w:rPr>
                <w:iCs/>
              </w:rPr>
            </w:pPr>
          </w:p>
        </w:tc>
        <w:tc>
          <w:tcPr>
            <w:tcW w:w="1530" w:type="dxa"/>
          </w:tcPr>
          <w:p w:rsidRPr="001F5155" w:rsidR="001F5155" w:rsidDel="001F5155" w:rsidP="003554C9" w:rsidRDefault="001F5155" w14:paraId="7823EAA4" w14:textId="302F0B91">
            <w:pPr>
              <w:rPr>
                <w:iCs/>
              </w:rPr>
            </w:pPr>
            <w:r>
              <w:rPr>
                <w:iCs/>
              </w:rPr>
              <w:t>50</w:t>
            </w:r>
          </w:p>
        </w:tc>
        <w:tc>
          <w:tcPr>
            <w:tcW w:w="1710" w:type="dxa"/>
          </w:tcPr>
          <w:p w:rsidRPr="001F5155" w:rsidR="001F5155" w:rsidP="003554C9" w:rsidRDefault="001F5155" w14:paraId="14EDA093" w14:textId="7744EC12">
            <w:pPr>
              <w:rPr>
                <w:iCs/>
              </w:rPr>
            </w:pPr>
            <w:r>
              <w:rPr>
                <w:iCs/>
              </w:rPr>
              <w:t>5/60</w:t>
            </w:r>
          </w:p>
        </w:tc>
        <w:tc>
          <w:tcPr>
            <w:tcW w:w="1003" w:type="dxa"/>
          </w:tcPr>
          <w:p w:rsidRPr="001F5155" w:rsidR="001F5155" w:rsidP="003554C9" w:rsidRDefault="001F5155" w14:paraId="7B35D8C7" w14:textId="31FECD58">
            <w:pPr>
              <w:rPr>
                <w:iCs/>
              </w:rPr>
            </w:pPr>
            <w:r>
              <w:rPr>
                <w:iCs/>
              </w:rPr>
              <w:t>4</w:t>
            </w:r>
          </w:p>
        </w:tc>
      </w:tr>
      <w:tr w:rsidRPr="00C019F5" w:rsidR="001F5155" w:rsidTr="003554C9" w14:paraId="1FF0CDD2" w14:textId="77777777">
        <w:trPr>
          <w:trHeight w:val="274"/>
        </w:trPr>
        <w:tc>
          <w:tcPr>
            <w:tcW w:w="4950" w:type="dxa"/>
          </w:tcPr>
          <w:p w:rsidR="001F5155" w:rsidP="003554C9" w:rsidRDefault="001F5155" w14:paraId="760BD431" w14:textId="77777777">
            <w:pPr>
              <w:rPr>
                <w:iCs/>
              </w:rPr>
            </w:pPr>
            <w:r>
              <w:rPr>
                <w:iCs/>
              </w:rPr>
              <w:t>Focus Groups (Consumers)</w:t>
            </w:r>
          </w:p>
          <w:p w:rsidRPr="001F5155" w:rsidR="001F5155" w:rsidP="003554C9" w:rsidRDefault="001F5155" w14:paraId="6C5AB669" w14:textId="5F7DBEC1">
            <w:pPr>
              <w:rPr>
                <w:iCs/>
              </w:rPr>
            </w:pPr>
          </w:p>
        </w:tc>
        <w:tc>
          <w:tcPr>
            <w:tcW w:w="1530" w:type="dxa"/>
          </w:tcPr>
          <w:p w:rsidRPr="001F5155" w:rsidR="001F5155" w:rsidDel="001F5155" w:rsidP="003554C9" w:rsidRDefault="001F5155" w14:paraId="6F14CD4F" w14:textId="63B2A172">
            <w:pPr>
              <w:rPr>
                <w:iCs/>
              </w:rPr>
            </w:pPr>
            <w:r>
              <w:rPr>
                <w:iCs/>
              </w:rPr>
              <w:t>18</w:t>
            </w:r>
          </w:p>
        </w:tc>
        <w:tc>
          <w:tcPr>
            <w:tcW w:w="1710" w:type="dxa"/>
          </w:tcPr>
          <w:p w:rsidRPr="001F5155" w:rsidR="001F5155" w:rsidP="003554C9" w:rsidRDefault="001F5155" w14:paraId="0C153096" w14:textId="601C6F86">
            <w:pPr>
              <w:rPr>
                <w:iCs/>
              </w:rPr>
            </w:pPr>
            <w:r>
              <w:rPr>
                <w:iCs/>
              </w:rPr>
              <w:t>70</w:t>
            </w:r>
          </w:p>
        </w:tc>
        <w:tc>
          <w:tcPr>
            <w:tcW w:w="1003" w:type="dxa"/>
          </w:tcPr>
          <w:p w:rsidRPr="001F5155" w:rsidR="001F5155" w:rsidP="003554C9" w:rsidRDefault="001F5155" w14:paraId="23F598BA" w14:textId="4269E687">
            <w:pPr>
              <w:rPr>
                <w:iCs/>
              </w:rPr>
            </w:pPr>
            <w:r>
              <w:rPr>
                <w:iCs/>
              </w:rPr>
              <w:t>21</w:t>
            </w:r>
          </w:p>
        </w:tc>
      </w:tr>
      <w:tr w:rsidRPr="004A5B3B" w:rsidR="003554C9" w:rsidTr="003554C9" w14:paraId="353A3072" w14:textId="77777777">
        <w:trPr>
          <w:trHeight w:val="289"/>
        </w:trPr>
        <w:tc>
          <w:tcPr>
            <w:tcW w:w="4950" w:type="dxa"/>
          </w:tcPr>
          <w:p w:rsidRPr="004A5B3B" w:rsidR="003554C9" w:rsidP="003554C9" w:rsidRDefault="003554C9" w14:paraId="0BF8536E" w14:textId="77777777">
            <w:pPr>
              <w:rPr>
                <w:bCs/>
                <w:iCs/>
              </w:rPr>
            </w:pPr>
            <w:r w:rsidRPr="004A5B3B">
              <w:rPr>
                <w:bCs/>
                <w:iCs/>
              </w:rPr>
              <w:t>Totals</w:t>
            </w:r>
          </w:p>
          <w:p w:rsidRPr="00793008" w:rsidR="001F5155" w:rsidP="003554C9" w:rsidRDefault="001F5155" w14:paraId="2871EACD" w14:textId="3ED85316">
            <w:pPr>
              <w:rPr>
                <w:b/>
                <w:iCs/>
              </w:rPr>
            </w:pPr>
          </w:p>
        </w:tc>
        <w:tc>
          <w:tcPr>
            <w:tcW w:w="1530" w:type="dxa"/>
          </w:tcPr>
          <w:p w:rsidRPr="00793008" w:rsidR="003554C9" w:rsidP="003554C9" w:rsidRDefault="003554C9" w14:paraId="35497092" w14:textId="77777777">
            <w:pPr>
              <w:rPr>
                <w:b/>
                <w:iCs/>
              </w:rPr>
            </w:pPr>
          </w:p>
        </w:tc>
        <w:tc>
          <w:tcPr>
            <w:tcW w:w="1710" w:type="dxa"/>
          </w:tcPr>
          <w:p w:rsidRPr="00793008" w:rsidR="003554C9" w:rsidP="003554C9" w:rsidRDefault="003554C9" w14:paraId="5D70706C" w14:textId="77777777">
            <w:pPr>
              <w:rPr>
                <w:iCs/>
              </w:rPr>
            </w:pPr>
          </w:p>
        </w:tc>
        <w:tc>
          <w:tcPr>
            <w:tcW w:w="1003" w:type="dxa"/>
          </w:tcPr>
          <w:p w:rsidRPr="004A5B3B" w:rsidR="003554C9" w:rsidP="003554C9" w:rsidRDefault="001F5155" w14:paraId="3D95C1D7" w14:textId="4D19F166">
            <w:pPr>
              <w:rPr>
                <w:bCs/>
                <w:iCs/>
              </w:rPr>
            </w:pPr>
            <w:r w:rsidRPr="004A5B3B">
              <w:rPr>
                <w:bCs/>
                <w:iCs/>
              </w:rPr>
              <w:t>54</w:t>
            </w:r>
          </w:p>
        </w:tc>
      </w:tr>
    </w:tbl>
    <w:p w:rsidRPr="00B72392" w:rsidR="001F5155" w:rsidP="00157D3A" w:rsidRDefault="001F5155" w14:paraId="1A3933E7" w14:textId="01510E0E">
      <w:pPr>
        <w:ind w:left="450"/>
        <w:rPr>
          <w:iCs/>
        </w:rPr>
      </w:pPr>
      <w:r>
        <w:rPr>
          <w:bCs/>
          <w:sz w:val="20"/>
          <w:szCs w:val="20"/>
        </w:rPr>
        <w:t>*</w:t>
      </w:r>
      <w:r w:rsidRPr="00BC6F29">
        <w:rPr>
          <w:bCs/>
          <w:sz w:val="20"/>
          <w:szCs w:val="20"/>
        </w:rPr>
        <w:t xml:space="preserve">Participation time for the focus groups includes </w:t>
      </w:r>
      <w:r>
        <w:rPr>
          <w:bCs/>
          <w:sz w:val="20"/>
          <w:szCs w:val="20"/>
        </w:rPr>
        <w:t>10</w:t>
      </w:r>
      <w:r w:rsidRPr="00BC6F29">
        <w:rPr>
          <w:bCs/>
          <w:sz w:val="20"/>
          <w:szCs w:val="20"/>
        </w:rPr>
        <w:t xml:space="preserve"> minutes for participants to log</w:t>
      </w:r>
      <w:r>
        <w:rPr>
          <w:bCs/>
          <w:sz w:val="20"/>
          <w:szCs w:val="20"/>
        </w:rPr>
        <w:t xml:space="preserve"> on and test</w:t>
      </w:r>
      <w:r w:rsidRPr="00BC6F29">
        <w:rPr>
          <w:bCs/>
          <w:sz w:val="20"/>
          <w:szCs w:val="20"/>
        </w:rPr>
        <w:t xml:space="preserve"> the online platform and </w:t>
      </w:r>
      <w:r>
        <w:rPr>
          <w:bCs/>
          <w:sz w:val="20"/>
          <w:szCs w:val="20"/>
        </w:rPr>
        <w:t>60</w:t>
      </w:r>
      <w:r w:rsidRPr="00BC6F29">
        <w:rPr>
          <w:bCs/>
          <w:sz w:val="20"/>
          <w:szCs w:val="20"/>
        </w:rPr>
        <w:t xml:space="preserve"> minutes for </w:t>
      </w:r>
      <w:r>
        <w:rPr>
          <w:bCs/>
          <w:sz w:val="20"/>
          <w:szCs w:val="20"/>
        </w:rPr>
        <w:t xml:space="preserve">participation </w:t>
      </w:r>
      <w:r w:rsidRPr="00BC6F29">
        <w:rPr>
          <w:bCs/>
          <w:sz w:val="20"/>
          <w:szCs w:val="20"/>
        </w:rPr>
        <w:t>in the focus group</w:t>
      </w:r>
      <w:r>
        <w:rPr>
          <w:bCs/>
          <w:sz w:val="20"/>
          <w:szCs w:val="20"/>
        </w:rPr>
        <w:t xml:space="preserve"> discussion</w:t>
      </w:r>
      <w:r w:rsidRPr="00BC6F29">
        <w:rPr>
          <w:bCs/>
          <w:sz w:val="20"/>
          <w:szCs w:val="20"/>
        </w:rPr>
        <w:t>.</w:t>
      </w:r>
    </w:p>
    <w:p w:rsidRPr="00D70AEC" w:rsidR="00DA31FF" w:rsidP="005E6CFD" w:rsidRDefault="00DA31FF" w14:paraId="33C12A31" w14:textId="77777777">
      <w:pPr>
        <w:pStyle w:val="ListParagraph"/>
        <w:ind w:left="0"/>
        <w:rPr>
          <w:bCs/>
        </w:rPr>
      </w:pPr>
    </w:p>
    <w:p w:rsidR="003F1C7A" w:rsidP="005E6CFD" w:rsidRDefault="003F1C7A" w14:paraId="147C652E" w14:textId="45E964FE">
      <w:pPr>
        <w:pStyle w:val="ListParagraph"/>
        <w:ind w:left="0"/>
      </w:pPr>
      <w:r>
        <w:rPr>
          <w:b/>
        </w:rPr>
        <w:t xml:space="preserve">REQUESTED APPROVAL DATE:  </w:t>
      </w:r>
      <w:r w:rsidR="00396C31">
        <w:t>January 31</w:t>
      </w:r>
      <w:r w:rsidR="00F95A48">
        <w:t>, 20</w:t>
      </w:r>
      <w:r w:rsidR="00CD47D4">
        <w:t>2</w:t>
      </w:r>
      <w:r w:rsidR="00396C31">
        <w:t>2</w:t>
      </w:r>
    </w:p>
    <w:p w:rsidR="00F85B56" w:rsidP="005E6CFD" w:rsidRDefault="00F85B56" w14:paraId="03426537" w14:textId="77777777">
      <w:pPr>
        <w:pStyle w:val="ListParagraph"/>
        <w:ind w:left="0"/>
        <w:rPr>
          <w:b/>
        </w:rPr>
      </w:pPr>
    </w:p>
    <w:p w:rsidR="00140A0D" w:rsidP="00140A0D" w:rsidRDefault="00140A0D" w14:paraId="253197BE" w14:textId="77777777">
      <w:pPr>
        <w:rPr>
          <w:b/>
        </w:rPr>
      </w:pPr>
      <w:r>
        <w:rPr>
          <w:b/>
        </w:rPr>
        <w:t xml:space="preserve">NAME OF PRA ANALYST &amp; PROGRAM CONTACT:   </w:t>
      </w:r>
    </w:p>
    <w:p w:rsidR="003E0D11" w:rsidP="00140A0D" w:rsidRDefault="003E0D11" w14:paraId="7A9726AB" w14:textId="77777777">
      <w:pPr>
        <w:rPr>
          <w:b/>
        </w:rPr>
      </w:pPr>
    </w:p>
    <w:p w:rsidRPr="003035B8" w:rsidR="003E0D11" w:rsidP="003E0D11" w:rsidRDefault="00F85B56" w14:paraId="13B36C61" w14:textId="152F061D">
      <w:r>
        <w:t xml:space="preserve">Ila </w:t>
      </w:r>
      <w:r w:rsidR="00B07FE5">
        <w:t xml:space="preserve">S. </w:t>
      </w:r>
      <w:r>
        <w:t>Mizrachi</w:t>
      </w:r>
    </w:p>
    <w:p w:rsidRPr="003035B8" w:rsidR="003E0D11" w:rsidP="003E0D11" w:rsidRDefault="003E0D11" w14:paraId="65517B42" w14:textId="77777777">
      <w:r w:rsidRPr="003035B8">
        <w:t>Paperwork Reduction Act Staff</w:t>
      </w:r>
    </w:p>
    <w:p w:rsidRPr="003035B8" w:rsidR="003E0D11" w:rsidP="003E0D11" w:rsidRDefault="007D2FC7" w14:paraId="01F291C2" w14:textId="77777777">
      <w:hyperlink w:history="1" r:id="rId8">
        <w:r w:rsidR="00F85B56">
          <w:rPr>
            <w:rStyle w:val="Hyperlink"/>
          </w:rPr>
          <w:t>ila.mizrachi@fda.hhs.gov</w:t>
        </w:r>
      </w:hyperlink>
    </w:p>
    <w:p w:rsidRPr="003035B8" w:rsidR="003E0D11" w:rsidP="003E0D11" w:rsidRDefault="003E0D11" w14:paraId="51CE7FD7" w14:textId="23F998FB">
      <w:r w:rsidRPr="003035B8">
        <w:t>301</w:t>
      </w:r>
      <w:r w:rsidR="00B07FE5">
        <w:t xml:space="preserve"> -</w:t>
      </w:r>
      <w:r w:rsidRPr="003035B8">
        <w:t>796-</w:t>
      </w:r>
      <w:r w:rsidR="00F85B56">
        <w:t>7726</w:t>
      </w:r>
    </w:p>
    <w:p w:rsidR="003E0D11" w:rsidP="003E0D11" w:rsidRDefault="003E0D11" w14:paraId="7A0B3611" w14:textId="77777777"/>
    <w:p w:rsidR="003E0D11" w:rsidP="003E0D11" w:rsidRDefault="00296C69" w14:paraId="1B262EA7" w14:textId="47E26644">
      <w:r>
        <w:t>Amie O’Donoghue</w:t>
      </w:r>
      <w:r w:rsidR="005E6CFD">
        <w:t>, Ph.D.</w:t>
      </w:r>
    </w:p>
    <w:p w:rsidR="00614F6F" w:rsidP="003E0D11" w:rsidRDefault="00614F6F" w14:paraId="22D8758A" w14:textId="77777777">
      <w:r>
        <w:t>Social Science Analyst</w:t>
      </w:r>
    </w:p>
    <w:p w:rsidR="003E0D11" w:rsidP="003E0D11" w:rsidRDefault="007D2FC7" w14:paraId="64F8B30D" w14:textId="655AB49C">
      <w:hyperlink w:history="1" r:id="rId9">
        <w:r w:rsidRPr="00E83BDA" w:rsidR="00D40D83">
          <w:rPr>
            <w:rStyle w:val="Hyperlink"/>
          </w:rPr>
          <w:t>amie.odonoghue@fda.hhs.gov</w:t>
        </w:r>
      </w:hyperlink>
    </w:p>
    <w:p w:rsidR="007E7811" w:rsidP="003E0D11" w:rsidRDefault="007E7811" w14:paraId="4D3879C4" w14:textId="4019E475">
      <w:pPr>
        <w:rPr>
          <w:bCs/>
        </w:rPr>
      </w:pPr>
      <w:r>
        <w:rPr>
          <w:bCs/>
        </w:rPr>
        <w:t>301-796-0569</w:t>
      </w:r>
    </w:p>
    <w:p w:rsidR="00140A0D" w:rsidP="00140A0D" w:rsidRDefault="00140A0D" w14:paraId="33F9E2EC" w14:textId="77777777">
      <w:pPr>
        <w:tabs>
          <w:tab w:val="left" w:pos="5670"/>
        </w:tabs>
        <w:suppressAutoHyphens/>
        <w:rPr>
          <w:b/>
        </w:rPr>
      </w:pPr>
    </w:p>
    <w:p w:rsidR="003F1C7A" w:rsidP="00140A0D" w:rsidRDefault="00140A0D" w14:paraId="1483527A" w14:textId="30849675">
      <w:pPr>
        <w:tabs>
          <w:tab w:val="left" w:pos="5670"/>
        </w:tabs>
        <w:suppressAutoHyphens/>
      </w:pPr>
      <w:r>
        <w:rPr>
          <w:b/>
        </w:rPr>
        <w:t xml:space="preserve">FDA CENTER:  </w:t>
      </w:r>
      <w:r w:rsidR="005F13A2">
        <w:t xml:space="preserve">Center for Drug Evaluation and Research, </w:t>
      </w:r>
      <w:r w:rsidR="00614F6F">
        <w:t>Office of Prescription Drug Promotion</w:t>
      </w:r>
    </w:p>
    <w:p w:rsidR="00796A56" w:rsidRDefault="00796A56" w14:paraId="2BDCF359" w14:textId="56705CA5">
      <w:r>
        <w:br w:type="page"/>
      </w:r>
    </w:p>
    <w:p w:rsidR="00CD5F69" w:rsidP="00157D3A" w:rsidRDefault="00CD5F69" w14:paraId="7D293084" w14:textId="1D94DAFF">
      <w:pPr>
        <w:tabs>
          <w:tab w:val="left" w:pos="5670"/>
        </w:tabs>
        <w:suppressAutoHyphens/>
        <w:jc w:val="center"/>
      </w:pPr>
      <w:r w:rsidRPr="006F137A">
        <w:rPr>
          <w:b/>
        </w:rPr>
        <w:lastRenderedPageBreak/>
        <w:t>REFERENCES</w:t>
      </w:r>
    </w:p>
    <w:p w:rsidR="007F1409" w:rsidP="007F1409" w:rsidRDefault="007F1409" w14:paraId="4A6740FB" w14:textId="77777777">
      <w:pPr>
        <w:autoSpaceDE w:val="0"/>
        <w:autoSpaceDN w:val="0"/>
      </w:pPr>
    </w:p>
    <w:p w:rsidR="007F1409" w:rsidP="007F1409" w:rsidRDefault="007F1409" w14:paraId="1505C1B6" w14:textId="0A5F2EE4">
      <w:pPr>
        <w:autoSpaceDE w:val="0"/>
        <w:autoSpaceDN w:val="0"/>
      </w:pPr>
      <w:r>
        <w:t>Asch, S, SE Connor,</w:t>
      </w:r>
      <w:r w:rsidRPr="00FD7148">
        <w:t xml:space="preserve"> </w:t>
      </w:r>
      <w:r>
        <w:t>EG Hamilton, and SA Fox,</w:t>
      </w:r>
      <w:r w:rsidRPr="00FD7148">
        <w:t xml:space="preserve"> </w:t>
      </w:r>
      <w:r>
        <w:t xml:space="preserve">2000, Problems in </w:t>
      </w:r>
      <w:r w:rsidR="00E42931">
        <w:t>R</w:t>
      </w:r>
      <w:r>
        <w:t xml:space="preserve">ecruiting </w:t>
      </w:r>
      <w:r w:rsidR="00E42931">
        <w:t>C</w:t>
      </w:r>
      <w:r>
        <w:t>ommunity-</w:t>
      </w:r>
      <w:r w:rsidR="00E42931">
        <w:t>B</w:t>
      </w:r>
      <w:r>
        <w:t xml:space="preserve">ased </w:t>
      </w:r>
      <w:r w:rsidR="00E42931">
        <w:t>P</w:t>
      </w:r>
      <w:r>
        <w:t xml:space="preserve">hysicians for </w:t>
      </w:r>
      <w:r w:rsidR="00E42931">
        <w:t>H</w:t>
      </w:r>
      <w:r>
        <w:t xml:space="preserve">ealth </w:t>
      </w:r>
      <w:r w:rsidR="00E42931">
        <w:t>S</w:t>
      </w:r>
      <w:r>
        <w:t xml:space="preserve">ervices </w:t>
      </w:r>
      <w:r w:rsidR="00E42931">
        <w:t>R</w:t>
      </w:r>
      <w:r>
        <w:t xml:space="preserve">esearch, </w:t>
      </w:r>
      <w:r w:rsidRPr="00481C21">
        <w:t>J Gen</w:t>
      </w:r>
      <w:r>
        <w:t xml:space="preserve"> </w:t>
      </w:r>
      <w:r w:rsidRPr="00481C21">
        <w:t>Intern</w:t>
      </w:r>
      <w:r>
        <w:t xml:space="preserve"> </w:t>
      </w:r>
      <w:r w:rsidRPr="00481C21">
        <w:t>Med</w:t>
      </w:r>
      <w:r>
        <w:t>, 15(8):591-599.</w:t>
      </w:r>
    </w:p>
    <w:p w:rsidR="007F1409" w:rsidP="006F137A" w:rsidRDefault="007F1409" w14:paraId="6D150FB0" w14:textId="530C7F27">
      <w:pPr>
        <w:autoSpaceDE w:val="0"/>
        <w:autoSpaceDN w:val="0"/>
      </w:pPr>
    </w:p>
    <w:p w:rsidR="00E42931" w:rsidP="00157D3A" w:rsidRDefault="00E42931" w14:paraId="2176ECE9" w14:textId="638CEBC5">
      <w:pPr>
        <w:tabs>
          <w:tab w:val="left" w:pos="5670"/>
        </w:tabs>
        <w:suppressAutoHyphens/>
      </w:pPr>
      <w:r w:rsidRPr="00817F91">
        <w:t>Church, AH</w:t>
      </w:r>
      <w:r>
        <w:t xml:space="preserve">, </w:t>
      </w:r>
      <w:r w:rsidRPr="00817F91">
        <w:t>1993</w:t>
      </w:r>
      <w:r>
        <w:t xml:space="preserve">, </w:t>
      </w:r>
      <w:r w:rsidRPr="00817F91">
        <w:t xml:space="preserve">Estimating </w:t>
      </w:r>
      <w:r>
        <w:t>t</w:t>
      </w:r>
      <w:r w:rsidRPr="00817F91">
        <w:t xml:space="preserve">he Effect </w:t>
      </w:r>
      <w:r>
        <w:t>o</w:t>
      </w:r>
      <w:r w:rsidRPr="00817F91">
        <w:t xml:space="preserve">f Incentives </w:t>
      </w:r>
      <w:r>
        <w:t>o</w:t>
      </w:r>
      <w:r w:rsidRPr="00817F91">
        <w:t xml:space="preserve">n Mail Survey Response Rates: A </w:t>
      </w:r>
      <w:r>
        <w:t>M</w:t>
      </w:r>
      <w:r w:rsidRPr="00817F91">
        <w:t>eta-</w:t>
      </w:r>
      <w:r>
        <w:t>A</w:t>
      </w:r>
      <w:r w:rsidRPr="00817F91">
        <w:t>nalysis</w:t>
      </w:r>
      <w:r>
        <w:t xml:space="preserve">, </w:t>
      </w:r>
      <w:r w:rsidRPr="00826C94">
        <w:t>Public Opinion Quarterly</w:t>
      </w:r>
      <w:r w:rsidRPr="00817F91">
        <w:t>, 57</w:t>
      </w:r>
      <w:r>
        <w:t>:</w:t>
      </w:r>
      <w:r w:rsidRPr="00817F91">
        <w:t>62-79</w:t>
      </w:r>
      <w:r>
        <w:t>.</w:t>
      </w:r>
      <w:r w:rsidRPr="00817F91">
        <w:t xml:space="preserve"> </w:t>
      </w:r>
    </w:p>
    <w:p w:rsidR="00E42931" w:rsidP="006F137A" w:rsidRDefault="00E42931" w14:paraId="37A03891" w14:textId="77777777">
      <w:pPr>
        <w:autoSpaceDE w:val="0"/>
        <w:autoSpaceDN w:val="0"/>
      </w:pPr>
    </w:p>
    <w:p w:rsidR="00BB636A" w:rsidP="00BB636A" w:rsidRDefault="00BB636A" w14:paraId="6256F8D8" w14:textId="5BD1BE39">
      <w:pPr>
        <w:autoSpaceDE w:val="0"/>
        <w:autoSpaceDN w:val="0"/>
        <w:rPr>
          <w:shd w:val="clear" w:color="auto" w:fill="FFFFFF"/>
        </w:rPr>
      </w:pPr>
      <w:r>
        <w:rPr>
          <w:shd w:val="clear" w:color="auto" w:fill="FFFFFF"/>
        </w:rPr>
        <w:t>Converse, JM and S Presser,</w:t>
      </w:r>
      <w:r w:rsidDel="00380B40">
        <w:rPr>
          <w:shd w:val="clear" w:color="auto" w:fill="FFFFFF"/>
        </w:rPr>
        <w:t xml:space="preserve"> </w:t>
      </w:r>
      <w:r>
        <w:rPr>
          <w:shd w:val="clear" w:color="auto" w:fill="FFFFFF"/>
        </w:rPr>
        <w:t xml:space="preserve">1986, </w:t>
      </w:r>
      <w:r w:rsidRPr="00826C94">
        <w:rPr>
          <w:shd w:val="clear" w:color="auto" w:fill="FFFFFF"/>
        </w:rPr>
        <w:t>Survey Questions: Handcrafting the Standardized Questionnaire</w:t>
      </w:r>
      <w:r>
        <w:rPr>
          <w:shd w:val="clear" w:color="auto" w:fill="FFFFFF"/>
        </w:rPr>
        <w:t>. In: Series: Quantitative Applications in the Social Sciences,</w:t>
      </w:r>
      <w:r>
        <w:rPr>
          <w:rStyle w:val="apple-converted-space"/>
          <w:shd w:val="clear" w:color="auto" w:fill="FFFFFF"/>
        </w:rPr>
        <w:t> </w:t>
      </w:r>
      <w:r>
        <w:rPr>
          <w:shd w:val="clear" w:color="auto" w:fill="FFFFFF"/>
        </w:rPr>
        <w:t>Thousand Oaks (CA): SAGE Publications, Inc.</w:t>
      </w:r>
    </w:p>
    <w:p w:rsidR="00BB636A" w:rsidP="00BB636A" w:rsidRDefault="00BB636A" w14:paraId="187B654E" w14:textId="50EA1795">
      <w:pPr>
        <w:autoSpaceDE w:val="0"/>
        <w:autoSpaceDN w:val="0"/>
        <w:rPr>
          <w:shd w:val="clear" w:color="auto" w:fill="FFFFFF"/>
        </w:rPr>
      </w:pPr>
    </w:p>
    <w:p w:rsidR="00BB636A" w:rsidP="00BB636A" w:rsidRDefault="00BB636A" w14:paraId="23FA19FB" w14:textId="303DCF31">
      <w:pPr>
        <w:tabs>
          <w:tab w:val="left" w:pos="5670"/>
        </w:tabs>
        <w:suppressAutoHyphens/>
        <w:rPr>
          <w:shd w:val="clear" w:color="auto" w:fill="FFFFFF"/>
        </w:rPr>
      </w:pPr>
      <w:r>
        <w:rPr>
          <w:shd w:val="clear" w:color="auto" w:fill="FFFFFF"/>
        </w:rPr>
        <w:t xml:space="preserve">DeVellis, RF, 2016, </w:t>
      </w:r>
      <w:r w:rsidRPr="00826C94">
        <w:rPr>
          <w:shd w:val="clear" w:color="auto" w:fill="FFFFFF"/>
        </w:rPr>
        <w:t>Scale Development: Theory and Applications,</w:t>
      </w:r>
      <w:r>
        <w:rPr>
          <w:rStyle w:val="apple-converted-space"/>
          <w:shd w:val="clear" w:color="auto" w:fill="FFFFFF"/>
        </w:rPr>
        <w:t> </w:t>
      </w:r>
      <w:r>
        <w:rPr>
          <w:shd w:val="clear" w:color="auto" w:fill="FFFFFF"/>
        </w:rPr>
        <w:t>Thousand Oaks (CA): SAGE Publications, Inc.</w:t>
      </w:r>
      <w:r w:rsidRPr="006428C9">
        <w:rPr>
          <w:shd w:val="clear" w:color="auto" w:fill="FFFFFF"/>
        </w:rPr>
        <w:t xml:space="preserve"> </w:t>
      </w:r>
    </w:p>
    <w:p w:rsidR="00BB636A" w:rsidP="00BB636A" w:rsidRDefault="00BB636A" w14:paraId="2C7A8BD4" w14:textId="77777777">
      <w:pPr>
        <w:tabs>
          <w:tab w:val="left" w:pos="5670"/>
        </w:tabs>
        <w:suppressAutoHyphens/>
      </w:pPr>
    </w:p>
    <w:p w:rsidR="00BB636A" w:rsidP="00BB636A" w:rsidRDefault="00BB636A" w14:paraId="74532160" w14:textId="4E3B2682">
      <w:pPr>
        <w:tabs>
          <w:tab w:val="left" w:pos="5670"/>
        </w:tabs>
        <w:suppressAutoHyphens/>
      </w:pPr>
      <w:r w:rsidRPr="00817F91">
        <w:t>Dykema, J</w:t>
      </w:r>
      <w:r>
        <w:t>,</w:t>
      </w:r>
      <w:r w:rsidRPr="00817F91">
        <w:t xml:space="preserve"> </w:t>
      </w:r>
      <w:r w:rsidRPr="006428C9">
        <w:t>J</w:t>
      </w:r>
      <w:r>
        <w:t xml:space="preserve"> </w:t>
      </w:r>
      <w:r w:rsidRPr="006428C9">
        <w:t>Stevenson, C</w:t>
      </w:r>
      <w:r>
        <w:t xml:space="preserve"> </w:t>
      </w:r>
      <w:r w:rsidRPr="006428C9">
        <w:t>Kniss, K</w:t>
      </w:r>
      <w:r>
        <w:t xml:space="preserve"> </w:t>
      </w:r>
      <w:r w:rsidRPr="006428C9">
        <w:t>Kvale, K</w:t>
      </w:r>
      <w:r>
        <w:t xml:space="preserve"> </w:t>
      </w:r>
      <w:r w:rsidRPr="006428C9">
        <w:t xml:space="preserve">González, </w:t>
      </w:r>
      <w:r>
        <w:t xml:space="preserve">and E </w:t>
      </w:r>
      <w:r w:rsidRPr="006428C9">
        <w:t>Cautley</w:t>
      </w:r>
      <w:r>
        <w:t xml:space="preserve">, </w:t>
      </w:r>
      <w:r w:rsidRPr="00817F91">
        <w:t>2012</w:t>
      </w:r>
      <w:r>
        <w:t>,</w:t>
      </w:r>
      <w:r w:rsidRPr="00817F91">
        <w:t xml:space="preserve"> Use of </w:t>
      </w:r>
      <w:r w:rsidRPr="00817F91" w:rsidR="00E42931">
        <w:t xml:space="preserve">Monetary </w:t>
      </w:r>
      <w:r w:rsidR="00E42931">
        <w:t>a</w:t>
      </w:r>
      <w:r w:rsidRPr="00817F91" w:rsidR="00E42931">
        <w:t xml:space="preserve">nd Nonmonetary Incentives </w:t>
      </w:r>
      <w:r w:rsidR="00E42931">
        <w:t>t</w:t>
      </w:r>
      <w:r w:rsidRPr="00817F91" w:rsidR="00E42931">
        <w:t xml:space="preserve">o Increase Response Rates Among </w:t>
      </w:r>
      <w:r w:rsidRPr="00817F91">
        <w:t xml:space="preserve">African Americans </w:t>
      </w:r>
      <w:r w:rsidR="00E42931">
        <w:t>i</w:t>
      </w:r>
      <w:r w:rsidRPr="00817F91" w:rsidR="00E42931">
        <w:t xml:space="preserve">n </w:t>
      </w:r>
      <w:r w:rsidR="00E42931">
        <w:t>t</w:t>
      </w:r>
      <w:r w:rsidRPr="00817F91" w:rsidR="00E42931">
        <w:t xml:space="preserve">he </w:t>
      </w:r>
      <w:r w:rsidRPr="00817F91">
        <w:t xml:space="preserve">Wisconsin </w:t>
      </w:r>
      <w:r w:rsidRPr="00817F91" w:rsidR="00E42931">
        <w:t>Pregnancy Risk Assessment Monitoring System</w:t>
      </w:r>
      <w:r>
        <w:t>,</w:t>
      </w:r>
      <w:r w:rsidRPr="00817F91">
        <w:t xml:space="preserve"> </w:t>
      </w:r>
      <w:r w:rsidRPr="00826C94">
        <w:t>Matern Child Health J</w:t>
      </w:r>
      <w:r>
        <w:t>,</w:t>
      </w:r>
      <w:r w:rsidRPr="00826C94">
        <w:t xml:space="preserve"> </w:t>
      </w:r>
      <w:r w:rsidRPr="00817F91">
        <w:t>16(4)</w:t>
      </w:r>
      <w:r>
        <w:t>:</w:t>
      </w:r>
      <w:r w:rsidRPr="00817F91">
        <w:t>785-791</w:t>
      </w:r>
      <w:r>
        <w:t>.</w:t>
      </w:r>
      <w:r w:rsidRPr="00817F91">
        <w:t xml:space="preserve"> </w:t>
      </w:r>
    </w:p>
    <w:p w:rsidR="00BB636A" w:rsidP="00BB636A" w:rsidRDefault="00BB636A" w14:paraId="3F979C73" w14:textId="3659C224">
      <w:pPr>
        <w:autoSpaceDE w:val="0"/>
        <w:autoSpaceDN w:val="0"/>
        <w:rPr>
          <w:shd w:val="clear" w:color="auto" w:fill="FFFFFF"/>
        </w:rPr>
      </w:pPr>
    </w:p>
    <w:p w:rsidR="007B689F" w:rsidP="006F137A" w:rsidRDefault="007B689F" w14:paraId="349EE8F5" w14:textId="03340D77">
      <w:pPr>
        <w:autoSpaceDE w:val="0"/>
        <w:autoSpaceDN w:val="0"/>
      </w:pPr>
      <w:r>
        <w:t xml:space="preserve">Dykema, J, </w:t>
      </w:r>
      <w:r w:rsidR="00B20D02">
        <w:t xml:space="preserve">J </w:t>
      </w:r>
      <w:r>
        <w:t xml:space="preserve">Stevenson, </w:t>
      </w:r>
      <w:r w:rsidR="00B20D02">
        <w:t>B</w:t>
      </w:r>
      <w:r>
        <w:t xml:space="preserve"> Day, </w:t>
      </w:r>
      <w:r w:rsidR="00B20D02">
        <w:t>SL</w:t>
      </w:r>
      <w:r>
        <w:t xml:space="preserve"> Sellers, </w:t>
      </w:r>
      <w:r w:rsidR="00B20D02">
        <w:t>and VL</w:t>
      </w:r>
      <w:r>
        <w:t xml:space="preserve"> Bonham, 2011</w:t>
      </w:r>
      <w:r w:rsidR="00B20D02">
        <w:t xml:space="preserve">, </w:t>
      </w:r>
      <w:r>
        <w:t xml:space="preserve">Effects of </w:t>
      </w:r>
      <w:r w:rsidR="004A0496">
        <w:t>Incentives and Prenotification on Response Rates and Costs in a National Web Survey of Physicians</w:t>
      </w:r>
      <w:r w:rsidR="00B20D02">
        <w:t xml:space="preserve">, </w:t>
      </w:r>
      <w:r w:rsidRPr="00B72392">
        <w:t>Eval</w:t>
      </w:r>
      <w:r w:rsidR="00A62B4D">
        <w:t xml:space="preserve"> </w:t>
      </w:r>
      <w:r w:rsidRPr="00B72392">
        <w:t>Health Prof</w:t>
      </w:r>
      <w:r>
        <w:t>, 34(4</w:t>
      </w:r>
      <w:r w:rsidR="00B20D02">
        <w:t>):</w:t>
      </w:r>
      <w:r>
        <w:t>434-447.</w:t>
      </w:r>
    </w:p>
    <w:p w:rsidR="007B689F" w:rsidP="006F137A" w:rsidRDefault="007B689F" w14:paraId="670B85D4" w14:textId="609CA02C">
      <w:pPr>
        <w:autoSpaceDE w:val="0"/>
        <w:autoSpaceDN w:val="0"/>
      </w:pPr>
    </w:p>
    <w:p w:rsidR="007B689F" w:rsidP="007B689F" w:rsidRDefault="007B689F" w14:paraId="7FC2D2A9" w14:textId="1EF9A890">
      <w:pPr>
        <w:pStyle w:val="ReferenceCitation"/>
        <w:spacing w:after="0"/>
      </w:pPr>
      <w:r>
        <w:t>Epley, N</w:t>
      </w:r>
      <w:r w:rsidR="00194A7E">
        <w:t xml:space="preserve"> and T </w:t>
      </w:r>
      <w:r>
        <w:t>Gilovich,</w:t>
      </w:r>
      <w:r w:rsidR="00FD7148">
        <w:t xml:space="preserve"> 2006</w:t>
      </w:r>
      <w:r w:rsidR="00194A7E">
        <w:t xml:space="preserve">, </w:t>
      </w:r>
      <w:r>
        <w:t xml:space="preserve">The </w:t>
      </w:r>
      <w:r w:rsidR="004A0496">
        <w:t xml:space="preserve">Anchoring-and-Adjustment Heuristic: </w:t>
      </w:r>
      <w:r>
        <w:t xml:space="preserve">Why </w:t>
      </w:r>
      <w:r w:rsidR="004A0496">
        <w:t>the Adjustments are Insufficient</w:t>
      </w:r>
      <w:r w:rsidR="00194A7E">
        <w:t xml:space="preserve">, </w:t>
      </w:r>
      <w:r w:rsidRPr="00B72392">
        <w:t xml:space="preserve">Psychol </w:t>
      </w:r>
      <w:r w:rsidRPr="00B72392" w:rsidR="00194A7E">
        <w:t>Sci</w:t>
      </w:r>
      <w:r>
        <w:t>,</w:t>
      </w:r>
      <w:r>
        <w:rPr>
          <w:i/>
          <w:iCs/>
        </w:rPr>
        <w:t xml:space="preserve"> </w:t>
      </w:r>
      <w:r>
        <w:t>17(4</w:t>
      </w:r>
      <w:r w:rsidR="00194A7E">
        <w:t>):</w:t>
      </w:r>
      <w:r>
        <w:t>311-318.</w:t>
      </w:r>
    </w:p>
    <w:p w:rsidR="007B689F" w:rsidP="00B72392" w:rsidRDefault="007B689F" w14:paraId="70189AAC" w14:textId="77777777">
      <w:pPr>
        <w:pStyle w:val="ReferenceCitation"/>
        <w:spacing w:after="0"/>
      </w:pPr>
    </w:p>
    <w:p w:rsidR="007F1409" w:rsidP="007B689F" w:rsidRDefault="007B689F" w14:paraId="758230C4" w14:textId="51D64B28">
      <w:pPr>
        <w:autoSpaceDE w:val="0"/>
        <w:autoSpaceDN w:val="0"/>
      </w:pPr>
      <w:r>
        <w:t xml:space="preserve">Höhne, JK </w:t>
      </w:r>
      <w:r w:rsidR="00194A7E">
        <w:t xml:space="preserve">and D </w:t>
      </w:r>
      <w:r>
        <w:t>Krebs</w:t>
      </w:r>
      <w:r w:rsidR="00194A7E">
        <w:t xml:space="preserve">, </w:t>
      </w:r>
      <w:r w:rsidR="00FD7148">
        <w:t>2017</w:t>
      </w:r>
      <w:r w:rsidR="00194A7E">
        <w:t xml:space="preserve">, </w:t>
      </w:r>
      <w:r>
        <w:t xml:space="preserve">Scale </w:t>
      </w:r>
      <w:r w:rsidR="004A0496">
        <w:t xml:space="preserve">Direction Effects in Agree/Disagree and Item-Specific Questions: </w:t>
      </w:r>
      <w:r>
        <w:t xml:space="preserve">A </w:t>
      </w:r>
      <w:r w:rsidR="004A0496">
        <w:t>Comparison of Question Formats</w:t>
      </w:r>
      <w:r>
        <w:t xml:space="preserve">, </w:t>
      </w:r>
      <w:r w:rsidRPr="00B72392">
        <w:t>Int J Soc Res Meth</w:t>
      </w:r>
      <w:r>
        <w:t>,</w:t>
      </w:r>
      <w:r w:rsidR="00FD7148">
        <w:t xml:space="preserve"> </w:t>
      </w:r>
      <w:r>
        <w:t>21(1</w:t>
      </w:r>
      <w:r w:rsidR="00194A7E">
        <w:t>):</w:t>
      </w:r>
      <w:r>
        <w:t>91-103.</w:t>
      </w:r>
    </w:p>
    <w:p w:rsidR="007F1409" w:rsidP="007B689F" w:rsidRDefault="007F1409" w14:paraId="75790C8F" w14:textId="77777777">
      <w:pPr>
        <w:autoSpaceDE w:val="0"/>
        <w:autoSpaceDN w:val="0"/>
      </w:pPr>
    </w:p>
    <w:p w:rsidR="007F1409" w:rsidP="007F1409" w:rsidRDefault="007F1409" w14:paraId="3FE3B998" w14:textId="5B9FA914">
      <w:pPr>
        <w:autoSpaceDE w:val="0"/>
        <w:autoSpaceDN w:val="0"/>
      </w:pPr>
      <w:r>
        <w:t xml:space="preserve">Keating, NL, AM Zaslavsky, J Goldstein, DW West, and JZ Ayanian, 2008, Randomized </w:t>
      </w:r>
      <w:r w:rsidR="004A0496">
        <w:t>Trial of $20 Versus $50 Incentives to Increase Physician Survey Response Rates</w:t>
      </w:r>
      <w:r>
        <w:t xml:space="preserve">, </w:t>
      </w:r>
      <w:r w:rsidRPr="00826C94">
        <w:t>Med Care</w:t>
      </w:r>
      <w:r>
        <w:rPr>
          <w:i/>
          <w:iCs/>
        </w:rPr>
        <w:t>,</w:t>
      </w:r>
      <w:r>
        <w:rPr>
          <w:iCs/>
        </w:rPr>
        <w:t xml:space="preserve"> 46(8)</w:t>
      </w:r>
      <w:r>
        <w:t>:878-881.</w:t>
      </w:r>
    </w:p>
    <w:p w:rsidR="007B689F" w:rsidP="007F1409" w:rsidRDefault="007B689F" w14:paraId="4AEF1D57" w14:textId="309DF6D0">
      <w:pPr>
        <w:autoSpaceDE w:val="0"/>
        <w:autoSpaceDN w:val="0"/>
      </w:pPr>
    </w:p>
    <w:p w:rsidR="00BB636A" w:rsidP="00BB636A" w:rsidRDefault="00BB636A" w14:paraId="799340F4" w14:textId="3A7F0CB5">
      <w:pPr>
        <w:autoSpaceDE w:val="0"/>
        <w:autoSpaceDN w:val="0"/>
      </w:pPr>
      <w:r>
        <w:t xml:space="preserve">Krosnick, JA and S Presser, 2009, Question and </w:t>
      </w:r>
      <w:r w:rsidR="004A0496">
        <w:t>Q</w:t>
      </w:r>
      <w:r>
        <w:t xml:space="preserve">uestionnaire </w:t>
      </w:r>
      <w:r w:rsidR="004A0496">
        <w:t>D</w:t>
      </w:r>
      <w:r>
        <w:t xml:space="preserve">esign. In: </w:t>
      </w:r>
      <w:r w:rsidRPr="002F7893">
        <w:t>Handbook of Survey Research, Bingley</w:t>
      </w:r>
      <w:r>
        <w:t xml:space="preserve"> (UK): Emerald Group Publishing Limited, 263‒314.</w:t>
      </w:r>
    </w:p>
    <w:p w:rsidR="00BB636A" w:rsidP="00B72392" w:rsidRDefault="00BB636A" w14:paraId="37125F35" w14:textId="77777777">
      <w:pPr>
        <w:autoSpaceDE w:val="0"/>
        <w:autoSpaceDN w:val="0"/>
      </w:pPr>
    </w:p>
    <w:p w:rsidR="00BB636A" w:rsidP="00BB636A" w:rsidRDefault="00BB636A" w14:paraId="03EFDADC" w14:textId="2644F313">
      <w:pPr>
        <w:pStyle w:val="CommentText"/>
        <w:rPr>
          <w:rStyle w:val="cit-last-page"/>
          <w:sz w:val="24"/>
          <w:szCs w:val="24"/>
          <w:bdr w:val="none" w:color="auto" w:sz="0" w:space="0" w:frame="1"/>
          <w:shd w:val="clear" w:color="auto" w:fill="FFFFFF"/>
        </w:rPr>
      </w:pPr>
      <w:r>
        <w:rPr>
          <w:rStyle w:val="cit-last-page"/>
          <w:sz w:val="24"/>
          <w:szCs w:val="24"/>
          <w:bdr w:val="none" w:color="auto" w:sz="0" w:space="0" w:frame="1"/>
          <w:shd w:val="clear" w:color="auto" w:fill="FFFFFF"/>
        </w:rPr>
        <w:t xml:space="preserve">Martins, Y, RI Lederman, CL Lowenstein, S Joff, BA Neville, BT Hastings, and GA Abel, 2012, Increasing </w:t>
      </w:r>
      <w:r w:rsidR="004A0496">
        <w:rPr>
          <w:rStyle w:val="cit-last-page"/>
          <w:sz w:val="24"/>
          <w:szCs w:val="24"/>
          <w:bdr w:val="none" w:color="auto" w:sz="0" w:space="0" w:frame="1"/>
          <w:shd w:val="clear" w:color="auto" w:fill="FFFFFF"/>
        </w:rPr>
        <w:t xml:space="preserve">Response Rates From Physicians in Oncology Research: </w:t>
      </w:r>
      <w:r>
        <w:rPr>
          <w:rStyle w:val="cit-last-page"/>
          <w:sz w:val="24"/>
          <w:szCs w:val="24"/>
          <w:bdr w:val="none" w:color="auto" w:sz="0" w:space="0" w:frame="1"/>
          <w:shd w:val="clear" w:color="auto" w:fill="FFFFFF"/>
        </w:rPr>
        <w:t xml:space="preserve">A </w:t>
      </w:r>
      <w:r w:rsidR="004A0496">
        <w:rPr>
          <w:rStyle w:val="cit-last-page"/>
          <w:sz w:val="24"/>
          <w:szCs w:val="24"/>
          <w:bdr w:val="none" w:color="auto" w:sz="0" w:space="0" w:frame="1"/>
          <w:shd w:val="clear" w:color="auto" w:fill="FFFFFF"/>
        </w:rPr>
        <w:t>Structured Literature Review and Data From a Recent Physician Survey</w:t>
      </w:r>
      <w:r>
        <w:rPr>
          <w:rStyle w:val="cit-last-page"/>
          <w:sz w:val="24"/>
          <w:szCs w:val="24"/>
          <w:bdr w:val="none" w:color="auto" w:sz="0" w:space="0" w:frame="1"/>
          <w:shd w:val="clear" w:color="auto" w:fill="FFFFFF"/>
        </w:rPr>
        <w:t xml:space="preserve">, </w:t>
      </w:r>
      <w:r w:rsidRPr="00206136">
        <w:rPr>
          <w:rStyle w:val="cit-last-page"/>
          <w:iCs/>
          <w:sz w:val="24"/>
          <w:szCs w:val="24"/>
          <w:bdr w:val="none" w:color="auto" w:sz="0" w:space="0" w:frame="1"/>
          <w:shd w:val="clear" w:color="auto" w:fill="FFFFFF"/>
        </w:rPr>
        <w:t>Br J Cancer</w:t>
      </w:r>
      <w:r w:rsidRPr="00380B40">
        <w:rPr>
          <w:rStyle w:val="cit-last-page"/>
          <w:iCs/>
          <w:sz w:val="24"/>
          <w:szCs w:val="24"/>
          <w:bdr w:val="none" w:color="auto" w:sz="0" w:space="0" w:frame="1"/>
          <w:shd w:val="clear" w:color="auto" w:fill="FFFFFF"/>
        </w:rPr>
        <w:t>,</w:t>
      </w:r>
      <w:r>
        <w:rPr>
          <w:rStyle w:val="cit-last-page"/>
          <w:sz w:val="24"/>
          <w:szCs w:val="24"/>
          <w:bdr w:val="none" w:color="auto" w:sz="0" w:space="0" w:frame="1"/>
          <w:shd w:val="clear" w:color="auto" w:fill="FFFFFF"/>
        </w:rPr>
        <w:t xml:space="preserve"> 106(6):1021-1026.</w:t>
      </w:r>
    </w:p>
    <w:p w:rsidR="00BB636A" w:rsidDel="007F1409" w:rsidRDefault="00BB636A" w14:paraId="4254C140" w14:textId="77777777">
      <w:pPr>
        <w:autoSpaceDE w:val="0"/>
        <w:autoSpaceDN w:val="0"/>
      </w:pPr>
    </w:p>
    <w:p w:rsidR="007B689F" w:rsidP="007B689F" w:rsidRDefault="007B689F" w14:paraId="52457FA0" w14:textId="229A495C">
      <w:pPr>
        <w:autoSpaceDE w:val="0"/>
        <w:autoSpaceDN w:val="0"/>
      </w:pPr>
      <w:r>
        <w:t xml:space="preserve">Saris, WE, </w:t>
      </w:r>
      <w:r w:rsidR="00194A7E">
        <w:t xml:space="preserve">M </w:t>
      </w:r>
      <w:r>
        <w:t xml:space="preserve">Revilla, </w:t>
      </w:r>
      <w:r w:rsidR="00194A7E">
        <w:t>JA</w:t>
      </w:r>
      <w:r w:rsidR="00FD7148">
        <w:t xml:space="preserve"> </w:t>
      </w:r>
      <w:r>
        <w:t xml:space="preserve">Krosnick, </w:t>
      </w:r>
      <w:r w:rsidR="00194A7E">
        <w:t>and EM</w:t>
      </w:r>
      <w:r>
        <w:t xml:space="preserve"> Shaeffer,</w:t>
      </w:r>
      <w:r w:rsidR="00FD7148">
        <w:t xml:space="preserve"> 2010</w:t>
      </w:r>
      <w:r w:rsidR="00194A7E">
        <w:t xml:space="preserve">, </w:t>
      </w:r>
      <w:r>
        <w:t xml:space="preserve">Comparing </w:t>
      </w:r>
      <w:r w:rsidR="004A0496">
        <w:t>Questions with Agree/Disagree Response Options to Questions with Item-Specific Response Options</w:t>
      </w:r>
      <w:r w:rsidR="00194A7E">
        <w:t xml:space="preserve">, </w:t>
      </w:r>
      <w:r w:rsidRPr="00D70AEC">
        <w:t>Survey Research Methods</w:t>
      </w:r>
      <w:r w:rsidRPr="00D70AEC" w:rsidR="00B85354">
        <w:t xml:space="preserve">, </w:t>
      </w:r>
      <w:r>
        <w:t>4</w:t>
      </w:r>
      <w:r w:rsidR="00B85354">
        <w:t>(1)</w:t>
      </w:r>
      <w:r w:rsidR="00194A7E">
        <w:t>:</w:t>
      </w:r>
      <w:r>
        <w:t>61–79.</w:t>
      </w:r>
    </w:p>
    <w:p w:rsidR="00BB636A" w:rsidP="007B689F" w:rsidRDefault="00BB636A" w14:paraId="047538A4" w14:textId="200A9DA2">
      <w:pPr>
        <w:autoSpaceDE w:val="0"/>
        <w:autoSpaceDN w:val="0"/>
      </w:pPr>
    </w:p>
    <w:p w:rsidR="00BB636A" w:rsidP="00BB636A" w:rsidRDefault="00BB636A" w14:paraId="3AEEECFC" w14:textId="715EAAD4">
      <w:r w:rsidRPr="00817F91">
        <w:t xml:space="preserve">Singer, E </w:t>
      </w:r>
      <w:r>
        <w:t xml:space="preserve">and RA </w:t>
      </w:r>
      <w:r w:rsidRPr="00817F91">
        <w:t>Kulka</w:t>
      </w:r>
      <w:r>
        <w:t xml:space="preserve">, </w:t>
      </w:r>
      <w:r w:rsidRPr="00817F91">
        <w:t>2002</w:t>
      </w:r>
      <w:r>
        <w:t xml:space="preserve">, </w:t>
      </w:r>
      <w:r w:rsidRPr="00817F91">
        <w:t xml:space="preserve">Paying </w:t>
      </w:r>
      <w:r w:rsidR="004A0496">
        <w:t>R</w:t>
      </w:r>
      <w:r w:rsidRPr="00817F91">
        <w:t xml:space="preserve">espondents for </w:t>
      </w:r>
      <w:r w:rsidR="004A0496">
        <w:t>S</w:t>
      </w:r>
      <w:r w:rsidRPr="00817F91">
        <w:t xml:space="preserve">urvey </w:t>
      </w:r>
      <w:r w:rsidR="004A0496">
        <w:t>P</w:t>
      </w:r>
      <w:r w:rsidRPr="00817F91">
        <w:t>articipation</w:t>
      </w:r>
      <w:r>
        <w:t>.</w:t>
      </w:r>
      <w:r w:rsidRPr="00817F91">
        <w:t xml:space="preserve"> In: </w:t>
      </w:r>
      <w:r w:rsidRPr="00DF1E5A">
        <w:t>Studies of Welfare Populations: Data Collection and Research Issues</w:t>
      </w:r>
      <w:r>
        <w:t>,</w:t>
      </w:r>
      <w:r w:rsidRPr="00817F91">
        <w:t xml:space="preserve"> </w:t>
      </w:r>
      <w:r w:rsidRPr="007732C5">
        <w:t>Washington</w:t>
      </w:r>
      <w:r>
        <w:t xml:space="preserve"> (</w:t>
      </w:r>
      <w:r w:rsidRPr="007732C5">
        <w:t>DC</w:t>
      </w:r>
      <w:r>
        <w:t>)</w:t>
      </w:r>
      <w:r w:rsidRPr="007732C5">
        <w:t>: The National Academies</w:t>
      </w:r>
      <w:r>
        <w:t xml:space="preserve">, </w:t>
      </w:r>
      <w:r w:rsidRPr="00817F91">
        <w:t>105-128.</w:t>
      </w:r>
    </w:p>
    <w:p w:rsidR="007B689F" w:rsidP="007B689F" w:rsidRDefault="007B689F" w14:paraId="4F3E01FA" w14:textId="77777777">
      <w:pPr>
        <w:autoSpaceDE w:val="0"/>
        <w:autoSpaceDN w:val="0"/>
      </w:pPr>
    </w:p>
    <w:p w:rsidR="00CD5F69" w:rsidP="006F137A" w:rsidRDefault="00CD5F69" w14:paraId="23BB4443" w14:textId="7F06A31E">
      <w:pPr>
        <w:autoSpaceDE w:val="0"/>
        <w:autoSpaceDN w:val="0"/>
      </w:pPr>
      <w:r>
        <w:lastRenderedPageBreak/>
        <w:t xml:space="preserve">VanGeest, J, </w:t>
      </w:r>
      <w:r w:rsidR="008517B0">
        <w:t xml:space="preserve">T </w:t>
      </w:r>
      <w:r>
        <w:t xml:space="preserve">Johnson, </w:t>
      </w:r>
      <w:r w:rsidR="008517B0">
        <w:t>and V</w:t>
      </w:r>
      <w:r>
        <w:t xml:space="preserve"> Welch</w:t>
      </w:r>
      <w:r w:rsidR="008517B0">
        <w:t xml:space="preserve">, </w:t>
      </w:r>
      <w:r w:rsidR="00FD7148">
        <w:t>2007</w:t>
      </w:r>
      <w:r w:rsidR="008517B0">
        <w:t xml:space="preserve">, </w:t>
      </w:r>
      <w:r>
        <w:t xml:space="preserve">Methodologies for </w:t>
      </w:r>
      <w:r w:rsidR="004A0496">
        <w:t>Improving R</w:t>
      </w:r>
      <w:r>
        <w:t xml:space="preserve">esponse </w:t>
      </w:r>
      <w:r w:rsidR="004A0496">
        <w:t>R</w:t>
      </w:r>
      <w:r>
        <w:t xml:space="preserve">ates in </w:t>
      </w:r>
      <w:r w:rsidR="004A0496">
        <w:t>S</w:t>
      </w:r>
      <w:r>
        <w:t xml:space="preserve">urveys of </w:t>
      </w:r>
      <w:r w:rsidR="004A0496">
        <w:t>Physicians</w:t>
      </w:r>
      <w:r>
        <w:t xml:space="preserve">: A </w:t>
      </w:r>
      <w:r w:rsidR="004A0496">
        <w:t>Systematic Review</w:t>
      </w:r>
      <w:r w:rsidR="008517B0">
        <w:t xml:space="preserve">, </w:t>
      </w:r>
      <w:r w:rsidRPr="00B72392">
        <w:t>Eval Health Prof</w:t>
      </w:r>
      <w:r>
        <w:t>, 30</w:t>
      </w:r>
      <w:r w:rsidR="00380B40">
        <w:t>(4):</w:t>
      </w:r>
      <w:r>
        <w:t>303-321.</w:t>
      </w:r>
    </w:p>
    <w:p w:rsidR="00CD5F69" w:rsidP="006F137A" w:rsidRDefault="00CD5F69" w14:paraId="388FE9DC" w14:textId="77777777">
      <w:pPr>
        <w:autoSpaceDE w:val="0"/>
        <w:autoSpaceDN w:val="0"/>
      </w:pPr>
    </w:p>
    <w:p w:rsidR="007F1409" w:rsidP="00DD3E26" w:rsidRDefault="007F1409" w14:paraId="49871E16" w14:textId="5C6C3D80">
      <w:pPr>
        <w:rPr>
          <w:b/>
        </w:rPr>
      </w:pPr>
      <w:bookmarkStart w:name="Recruitment_Screener_and_Focus_Group_Inv" w:id="10"/>
      <w:bookmarkStart w:name="OMB_No:_XXXX-XXXX_______Expiration_Date:" w:id="11"/>
      <w:bookmarkEnd w:id="10"/>
      <w:bookmarkEnd w:id="11"/>
      <w:r>
        <w:t xml:space="preserve">Ziegenfuss, JY, K Burmeister, KM James, L Haas, JC Tilburt, and TJ Beebe, 2012, Getting </w:t>
      </w:r>
      <w:r w:rsidR="004A0496">
        <w:t xml:space="preserve">Physicians to Open the Survey: </w:t>
      </w:r>
      <w:r>
        <w:t xml:space="preserve">Little </w:t>
      </w:r>
      <w:r w:rsidR="004A0496">
        <w:t>Evidence That an Envelope Teaser Increases Response Rates</w:t>
      </w:r>
      <w:r>
        <w:t xml:space="preserve">, </w:t>
      </w:r>
      <w:r w:rsidRPr="00826C94">
        <w:t>BMC Medical Research Methodology</w:t>
      </w:r>
      <w:r>
        <w:t>, 12(1):41.</w:t>
      </w:r>
    </w:p>
    <w:sectPr w:rsidR="007F1409" w:rsidSect="00D70AEC">
      <w:headerReference w:type="default" r:id="rId10"/>
      <w:footerReference w:type="default" r:id="rId11"/>
      <w:pgSz w:w="12240" w:h="15840"/>
      <w:pgMar w:top="1152" w:right="1440" w:bottom="1152"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AA7D79" w14:textId="77777777" w:rsidR="00623AF6" w:rsidRDefault="00623AF6">
      <w:r>
        <w:separator/>
      </w:r>
    </w:p>
  </w:endnote>
  <w:endnote w:type="continuationSeparator" w:id="0">
    <w:p w14:paraId="3BB6F913" w14:textId="77777777" w:rsidR="00623AF6" w:rsidRDefault="00623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TUR">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_thai">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9502662"/>
      <w:docPartObj>
        <w:docPartGallery w:val="Page Numbers (Bottom of Page)"/>
        <w:docPartUnique/>
      </w:docPartObj>
    </w:sdtPr>
    <w:sdtEndPr>
      <w:rPr>
        <w:noProof/>
      </w:rPr>
    </w:sdtEndPr>
    <w:sdtContent>
      <w:p w14:paraId="69D25AB7" w14:textId="0139B418" w:rsidR="00194A7E" w:rsidRDefault="00194A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E6C98F" w14:textId="77777777" w:rsidR="00194A7E" w:rsidRDefault="00194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63C26" w14:textId="77777777" w:rsidR="00623AF6" w:rsidRDefault="00623AF6">
      <w:r>
        <w:separator/>
      </w:r>
    </w:p>
  </w:footnote>
  <w:footnote w:type="continuationSeparator" w:id="0">
    <w:p w14:paraId="4DD8E449" w14:textId="77777777" w:rsidR="00623AF6" w:rsidRDefault="00623AF6">
      <w:r>
        <w:continuationSeparator/>
      </w:r>
    </w:p>
  </w:footnote>
  <w:footnote w:id="1">
    <w:p w14:paraId="7AE3D610" w14:textId="396E9CAA" w:rsidR="00194A7E" w:rsidRDefault="00194A7E" w:rsidP="00D70AEC">
      <w:pPr>
        <w:pStyle w:val="CommentText"/>
      </w:pPr>
      <w:r w:rsidRPr="007543D5">
        <w:rPr>
          <w:rStyle w:val="FootnoteReference"/>
          <w:vertAlign w:val="superscript"/>
        </w:rPr>
        <w:footnoteRef/>
      </w:r>
      <w:r w:rsidRPr="007224B8">
        <w:t>For example, actual labeling language: “It is not known if ABILIFY MYCITE can improve how well you take your aripiprazole (patient compliance) or for changing your dose of aripiprazole.”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EFEE6" w14:textId="77777777" w:rsidR="00194A7E" w:rsidRDefault="00194A7E">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Times New Roman TUR" w:hAnsi="Times New Roman TUR" w:cs="Times New Roman TUR"/>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CC0009"/>
    <w:multiLevelType w:val="hybridMultilevel"/>
    <w:tmpl w:val="26E0E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25800"/>
    <w:multiLevelType w:val="hybridMultilevel"/>
    <w:tmpl w:val="9A24EC06"/>
    <w:lvl w:ilvl="0" w:tplc="0A1296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1C28A7"/>
    <w:multiLevelType w:val="hybridMultilevel"/>
    <w:tmpl w:val="8F8EE272"/>
    <w:lvl w:ilvl="0" w:tplc="BD561C0E">
      <w:numFmt w:val="bullet"/>
      <w:lvlText w:val=""/>
      <w:lvlJc w:val="left"/>
      <w:pPr>
        <w:ind w:left="1680" w:hanging="360"/>
      </w:pPr>
      <w:rPr>
        <w:rFonts w:ascii="Symbol" w:eastAsia="Symbol" w:hAnsi="Symbol" w:cs="Symbol" w:hint="default"/>
        <w:b w:val="0"/>
        <w:bCs w:val="0"/>
        <w:i w:val="0"/>
        <w:iCs w:val="0"/>
        <w:w w:val="100"/>
        <w:sz w:val="24"/>
        <w:szCs w:val="24"/>
      </w:rPr>
    </w:lvl>
    <w:lvl w:ilvl="1" w:tplc="CC3837C4">
      <w:numFmt w:val="bullet"/>
      <w:lvlText w:val=""/>
      <w:lvlJc w:val="left"/>
      <w:pPr>
        <w:ind w:left="2040" w:hanging="360"/>
      </w:pPr>
      <w:rPr>
        <w:rFonts w:ascii="Wingdings" w:eastAsia="Wingdings" w:hAnsi="Wingdings" w:cs="Wingdings" w:hint="default"/>
        <w:b w:val="0"/>
        <w:bCs w:val="0"/>
        <w:i w:val="0"/>
        <w:iCs w:val="0"/>
        <w:w w:val="100"/>
        <w:sz w:val="16"/>
        <w:szCs w:val="16"/>
      </w:rPr>
    </w:lvl>
    <w:lvl w:ilvl="2" w:tplc="CE145DA8">
      <w:numFmt w:val="bullet"/>
      <w:lvlText w:val="•"/>
      <w:lvlJc w:val="left"/>
      <w:pPr>
        <w:ind w:left="3057" w:hanging="360"/>
      </w:pPr>
      <w:rPr>
        <w:rFonts w:hint="default"/>
      </w:rPr>
    </w:lvl>
    <w:lvl w:ilvl="3" w:tplc="878EBA5C">
      <w:numFmt w:val="bullet"/>
      <w:lvlText w:val="•"/>
      <w:lvlJc w:val="left"/>
      <w:pPr>
        <w:ind w:left="4075" w:hanging="360"/>
      </w:pPr>
      <w:rPr>
        <w:rFonts w:hint="default"/>
      </w:rPr>
    </w:lvl>
    <w:lvl w:ilvl="4" w:tplc="066008A4">
      <w:numFmt w:val="bullet"/>
      <w:lvlText w:val="•"/>
      <w:lvlJc w:val="left"/>
      <w:pPr>
        <w:ind w:left="5093" w:hanging="360"/>
      </w:pPr>
      <w:rPr>
        <w:rFonts w:hint="default"/>
      </w:rPr>
    </w:lvl>
    <w:lvl w:ilvl="5" w:tplc="EEF275CE">
      <w:numFmt w:val="bullet"/>
      <w:lvlText w:val="•"/>
      <w:lvlJc w:val="left"/>
      <w:pPr>
        <w:ind w:left="6111" w:hanging="360"/>
      </w:pPr>
      <w:rPr>
        <w:rFonts w:hint="default"/>
      </w:rPr>
    </w:lvl>
    <w:lvl w:ilvl="6" w:tplc="C11AAAB4">
      <w:numFmt w:val="bullet"/>
      <w:lvlText w:val="•"/>
      <w:lvlJc w:val="left"/>
      <w:pPr>
        <w:ind w:left="7128" w:hanging="360"/>
      </w:pPr>
      <w:rPr>
        <w:rFonts w:hint="default"/>
      </w:rPr>
    </w:lvl>
    <w:lvl w:ilvl="7" w:tplc="4B4C369C">
      <w:numFmt w:val="bullet"/>
      <w:lvlText w:val="•"/>
      <w:lvlJc w:val="left"/>
      <w:pPr>
        <w:ind w:left="8146" w:hanging="360"/>
      </w:pPr>
      <w:rPr>
        <w:rFonts w:hint="default"/>
      </w:rPr>
    </w:lvl>
    <w:lvl w:ilvl="8" w:tplc="8FA092F2">
      <w:numFmt w:val="bullet"/>
      <w:lvlText w:val="•"/>
      <w:lvlJc w:val="left"/>
      <w:pPr>
        <w:ind w:left="9164" w:hanging="360"/>
      </w:pPr>
      <w:rPr>
        <w:rFonts w:hint="default"/>
      </w:rPr>
    </w:lvl>
  </w:abstractNum>
  <w:abstractNum w:abstractNumId="4" w15:restartNumberingAfterBreak="0">
    <w:nsid w:val="1982476F"/>
    <w:multiLevelType w:val="hybridMultilevel"/>
    <w:tmpl w:val="427E6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83DF1"/>
    <w:multiLevelType w:val="hybridMultilevel"/>
    <w:tmpl w:val="1BA04566"/>
    <w:lvl w:ilvl="0" w:tplc="0409000F">
      <w:start w:val="1"/>
      <w:numFmt w:val="decimal"/>
      <w:lvlText w:val="%1."/>
      <w:lvlJc w:val="left"/>
      <w:pPr>
        <w:ind w:left="780" w:hanging="360"/>
      </w:pPr>
      <w:rPr>
        <w:rFont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C8310F5"/>
    <w:multiLevelType w:val="hybridMultilevel"/>
    <w:tmpl w:val="69427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E835CC"/>
    <w:multiLevelType w:val="hybridMultilevel"/>
    <w:tmpl w:val="1CAA2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F85ED1"/>
    <w:multiLevelType w:val="hybridMultilevel"/>
    <w:tmpl w:val="4E86C03E"/>
    <w:lvl w:ilvl="0" w:tplc="BFF25332">
      <w:start w:val="1"/>
      <w:numFmt w:val="decimal"/>
      <w:lvlText w:val="%1."/>
      <w:lvlJc w:val="left"/>
      <w:pPr>
        <w:ind w:left="1679" w:hanging="361"/>
      </w:pPr>
      <w:rPr>
        <w:rFonts w:ascii="Calibri" w:eastAsia="Calibri" w:hAnsi="Calibri" w:cs="Calibri" w:hint="default"/>
        <w:b w:val="0"/>
        <w:bCs w:val="0"/>
        <w:i w:val="0"/>
        <w:iCs w:val="0"/>
        <w:w w:val="100"/>
        <w:sz w:val="22"/>
        <w:szCs w:val="22"/>
      </w:rPr>
    </w:lvl>
    <w:lvl w:ilvl="1" w:tplc="20F84FE0">
      <w:numFmt w:val="bullet"/>
      <w:lvlText w:val=""/>
      <w:lvlJc w:val="left"/>
      <w:pPr>
        <w:ind w:left="2040" w:hanging="360"/>
      </w:pPr>
      <w:rPr>
        <w:rFonts w:ascii="Wingdings" w:eastAsia="Wingdings" w:hAnsi="Wingdings" w:cs="Wingdings" w:hint="default"/>
        <w:b w:val="0"/>
        <w:bCs w:val="0"/>
        <w:i w:val="0"/>
        <w:iCs w:val="0"/>
        <w:w w:val="100"/>
        <w:sz w:val="16"/>
        <w:szCs w:val="16"/>
      </w:rPr>
    </w:lvl>
    <w:lvl w:ilvl="2" w:tplc="B3425D3E">
      <w:numFmt w:val="bullet"/>
      <w:lvlText w:val="•"/>
      <w:lvlJc w:val="left"/>
      <w:pPr>
        <w:ind w:left="3057" w:hanging="360"/>
      </w:pPr>
      <w:rPr>
        <w:rFonts w:hint="default"/>
      </w:rPr>
    </w:lvl>
    <w:lvl w:ilvl="3" w:tplc="8146E49C">
      <w:numFmt w:val="bullet"/>
      <w:lvlText w:val="•"/>
      <w:lvlJc w:val="left"/>
      <w:pPr>
        <w:ind w:left="4075" w:hanging="360"/>
      </w:pPr>
      <w:rPr>
        <w:rFonts w:hint="default"/>
      </w:rPr>
    </w:lvl>
    <w:lvl w:ilvl="4" w:tplc="C75836D8">
      <w:numFmt w:val="bullet"/>
      <w:lvlText w:val="•"/>
      <w:lvlJc w:val="left"/>
      <w:pPr>
        <w:ind w:left="5093" w:hanging="360"/>
      </w:pPr>
      <w:rPr>
        <w:rFonts w:hint="default"/>
      </w:rPr>
    </w:lvl>
    <w:lvl w:ilvl="5" w:tplc="6ED0A76E">
      <w:numFmt w:val="bullet"/>
      <w:lvlText w:val="•"/>
      <w:lvlJc w:val="left"/>
      <w:pPr>
        <w:ind w:left="6111" w:hanging="360"/>
      </w:pPr>
      <w:rPr>
        <w:rFonts w:hint="default"/>
      </w:rPr>
    </w:lvl>
    <w:lvl w:ilvl="6" w:tplc="C04A90D0">
      <w:numFmt w:val="bullet"/>
      <w:lvlText w:val="•"/>
      <w:lvlJc w:val="left"/>
      <w:pPr>
        <w:ind w:left="7128" w:hanging="360"/>
      </w:pPr>
      <w:rPr>
        <w:rFonts w:hint="default"/>
      </w:rPr>
    </w:lvl>
    <w:lvl w:ilvl="7" w:tplc="0A54A244">
      <w:numFmt w:val="bullet"/>
      <w:lvlText w:val="•"/>
      <w:lvlJc w:val="left"/>
      <w:pPr>
        <w:ind w:left="8146" w:hanging="360"/>
      </w:pPr>
      <w:rPr>
        <w:rFonts w:hint="default"/>
      </w:rPr>
    </w:lvl>
    <w:lvl w:ilvl="8" w:tplc="A11656B2">
      <w:numFmt w:val="bullet"/>
      <w:lvlText w:val="•"/>
      <w:lvlJc w:val="left"/>
      <w:pPr>
        <w:ind w:left="9164" w:hanging="360"/>
      </w:pPr>
      <w:rPr>
        <w:rFonts w:hint="default"/>
      </w:rPr>
    </w:lvl>
  </w:abstractNum>
  <w:abstractNum w:abstractNumId="9" w15:restartNumberingAfterBreak="0">
    <w:nsid w:val="2CE2078F"/>
    <w:multiLevelType w:val="hybridMultilevel"/>
    <w:tmpl w:val="6E76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74FB7"/>
    <w:multiLevelType w:val="hybridMultilevel"/>
    <w:tmpl w:val="F0907162"/>
    <w:lvl w:ilvl="0" w:tplc="67F8F97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D43DC7"/>
    <w:multiLevelType w:val="hybridMultilevel"/>
    <w:tmpl w:val="EF6459C8"/>
    <w:lvl w:ilvl="0" w:tplc="20F84FE0">
      <w:numFmt w:val="bullet"/>
      <w:lvlText w:val=""/>
      <w:lvlJc w:val="left"/>
      <w:pPr>
        <w:ind w:left="2400" w:hanging="361"/>
      </w:pPr>
      <w:rPr>
        <w:rFonts w:ascii="Wingdings" w:eastAsia="Wingdings" w:hAnsi="Wingdings" w:cs="Wingdings" w:hint="default"/>
        <w:b w:val="0"/>
        <w:bCs w:val="0"/>
        <w:i w:val="0"/>
        <w:iCs w:val="0"/>
        <w:w w:val="100"/>
        <w:sz w:val="16"/>
        <w:szCs w:val="16"/>
      </w:rPr>
    </w:lvl>
    <w:lvl w:ilvl="1" w:tplc="D9EE1A48">
      <w:numFmt w:val="bullet"/>
      <w:lvlText w:val="•"/>
      <w:lvlJc w:val="left"/>
      <w:pPr>
        <w:ind w:left="3280" w:hanging="361"/>
      </w:pPr>
      <w:rPr>
        <w:rFonts w:hint="default"/>
      </w:rPr>
    </w:lvl>
    <w:lvl w:ilvl="2" w:tplc="B1CE9D90">
      <w:numFmt w:val="bullet"/>
      <w:lvlText w:val="•"/>
      <w:lvlJc w:val="left"/>
      <w:pPr>
        <w:ind w:left="4160" w:hanging="361"/>
      </w:pPr>
      <w:rPr>
        <w:rFonts w:hint="default"/>
      </w:rPr>
    </w:lvl>
    <w:lvl w:ilvl="3" w:tplc="22185C58">
      <w:numFmt w:val="bullet"/>
      <w:lvlText w:val="•"/>
      <w:lvlJc w:val="left"/>
      <w:pPr>
        <w:ind w:left="5040" w:hanging="361"/>
      </w:pPr>
      <w:rPr>
        <w:rFonts w:hint="default"/>
      </w:rPr>
    </w:lvl>
    <w:lvl w:ilvl="4" w:tplc="08260FC0">
      <w:numFmt w:val="bullet"/>
      <w:lvlText w:val="•"/>
      <w:lvlJc w:val="left"/>
      <w:pPr>
        <w:ind w:left="5920" w:hanging="361"/>
      </w:pPr>
      <w:rPr>
        <w:rFonts w:hint="default"/>
      </w:rPr>
    </w:lvl>
    <w:lvl w:ilvl="5" w:tplc="88B4FCF2">
      <w:numFmt w:val="bullet"/>
      <w:lvlText w:val="•"/>
      <w:lvlJc w:val="left"/>
      <w:pPr>
        <w:ind w:left="6800" w:hanging="361"/>
      </w:pPr>
      <w:rPr>
        <w:rFonts w:hint="default"/>
      </w:rPr>
    </w:lvl>
    <w:lvl w:ilvl="6" w:tplc="66D67EDA">
      <w:numFmt w:val="bullet"/>
      <w:lvlText w:val="•"/>
      <w:lvlJc w:val="left"/>
      <w:pPr>
        <w:ind w:left="7680" w:hanging="361"/>
      </w:pPr>
      <w:rPr>
        <w:rFonts w:hint="default"/>
      </w:rPr>
    </w:lvl>
    <w:lvl w:ilvl="7" w:tplc="150CE814">
      <w:numFmt w:val="bullet"/>
      <w:lvlText w:val="•"/>
      <w:lvlJc w:val="left"/>
      <w:pPr>
        <w:ind w:left="8560" w:hanging="361"/>
      </w:pPr>
      <w:rPr>
        <w:rFonts w:hint="default"/>
      </w:rPr>
    </w:lvl>
    <w:lvl w:ilvl="8" w:tplc="E9B08876">
      <w:numFmt w:val="bullet"/>
      <w:lvlText w:val="•"/>
      <w:lvlJc w:val="left"/>
      <w:pPr>
        <w:ind w:left="9440" w:hanging="361"/>
      </w:pPr>
      <w:rPr>
        <w:rFonts w:hint="default"/>
      </w:rPr>
    </w:lvl>
  </w:abstractNum>
  <w:abstractNum w:abstractNumId="12" w15:restartNumberingAfterBreak="0">
    <w:nsid w:val="4176181B"/>
    <w:multiLevelType w:val="hybridMultilevel"/>
    <w:tmpl w:val="FF108E4C"/>
    <w:lvl w:ilvl="0" w:tplc="20F84FE0">
      <w:numFmt w:val="bullet"/>
      <w:lvlText w:val=""/>
      <w:lvlJc w:val="left"/>
      <w:pPr>
        <w:ind w:left="2400" w:hanging="361"/>
      </w:pPr>
      <w:rPr>
        <w:rFonts w:ascii="Wingdings" w:eastAsia="Wingdings" w:hAnsi="Wingdings" w:cs="Wingdings" w:hint="default"/>
        <w:b w:val="0"/>
        <w:bCs w:val="0"/>
        <w:i w:val="0"/>
        <w:iCs w:val="0"/>
        <w:w w:val="100"/>
        <w:sz w:val="16"/>
        <w:szCs w:val="16"/>
      </w:rPr>
    </w:lvl>
    <w:lvl w:ilvl="1" w:tplc="C40EEFB4">
      <w:numFmt w:val="bullet"/>
      <w:lvlText w:val="•"/>
      <w:lvlJc w:val="left"/>
      <w:pPr>
        <w:ind w:left="3280" w:hanging="361"/>
      </w:pPr>
      <w:rPr>
        <w:rFonts w:hint="default"/>
      </w:rPr>
    </w:lvl>
    <w:lvl w:ilvl="2" w:tplc="9224D974">
      <w:numFmt w:val="bullet"/>
      <w:lvlText w:val="•"/>
      <w:lvlJc w:val="left"/>
      <w:pPr>
        <w:ind w:left="4160" w:hanging="361"/>
      </w:pPr>
      <w:rPr>
        <w:rFonts w:hint="default"/>
      </w:rPr>
    </w:lvl>
    <w:lvl w:ilvl="3" w:tplc="BEA8C118">
      <w:numFmt w:val="bullet"/>
      <w:lvlText w:val="•"/>
      <w:lvlJc w:val="left"/>
      <w:pPr>
        <w:ind w:left="5040" w:hanging="361"/>
      </w:pPr>
      <w:rPr>
        <w:rFonts w:hint="default"/>
      </w:rPr>
    </w:lvl>
    <w:lvl w:ilvl="4" w:tplc="6B5AF2A8">
      <w:numFmt w:val="bullet"/>
      <w:lvlText w:val="•"/>
      <w:lvlJc w:val="left"/>
      <w:pPr>
        <w:ind w:left="5920" w:hanging="361"/>
      </w:pPr>
      <w:rPr>
        <w:rFonts w:hint="default"/>
      </w:rPr>
    </w:lvl>
    <w:lvl w:ilvl="5" w:tplc="B9662A18">
      <w:numFmt w:val="bullet"/>
      <w:lvlText w:val="•"/>
      <w:lvlJc w:val="left"/>
      <w:pPr>
        <w:ind w:left="6800" w:hanging="361"/>
      </w:pPr>
      <w:rPr>
        <w:rFonts w:hint="default"/>
      </w:rPr>
    </w:lvl>
    <w:lvl w:ilvl="6" w:tplc="5CE42ED6">
      <w:numFmt w:val="bullet"/>
      <w:lvlText w:val="•"/>
      <w:lvlJc w:val="left"/>
      <w:pPr>
        <w:ind w:left="7680" w:hanging="361"/>
      </w:pPr>
      <w:rPr>
        <w:rFonts w:hint="default"/>
      </w:rPr>
    </w:lvl>
    <w:lvl w:ilvl="7" w:tplc="4C048C9E">
      <w:numFmt w:val="bullet"/>
      <w:lvlText w:val="•"/>
      <w:lvlJc w:val="left"/>
      <w:pPr>
        <w:ind w:left="8560" w:hanging="361"/>
      </w:pPr>
      <w:rPr>
        <w:rFonts w:hint="default"/>
      </w:rPr>
    </w:lvl>
    <w:lvl w:ilvl="8" w:tplc="073A78DA">
      <w:numFmt w:val="bullet"/>
      <w:lvlText w:val="•"/>
      <w:lvlJc w:val="left"/>
      <w:pPr>
        <w:ind w:left="9440" w:hanging="361"/>
      </w:pPr>
      <w:rPr>
        <w:rFonts w:hint="default"/>
      </w:rPr>
    </w:lvl>
  </w:abstractNum>
  <w:abstractNum w:abstractNumId="13" w15:restartNumberingAfterBreak="0">
    <w:nsid w:val="45FB5F93"/>
    <w:multiLevelType w:val="hybridMultilevel"/>
    <w:tmpl w:val="40569DC8"/>
    <w:lvl w:ilvl="0" w:tplc="20F84FE0">
      <w:numFmt w:val="bullet"/>
      <w:lvlText w:val=""/>
      <w:lvlJc w:val="left"/>
      <w:pPr>
        <w:ind w:left="2039" w:hanging="361"/>
      </w:pPr>
      <w:rPr>
        <w:rFonts w:ascii="Wingdings" w:eastAsia="Wingdings" w:hAnsi="Wingdings" w:cs="Wingdings" w:hint="default"/>
        <w:b w:val="0"/>
        <w:bCs w:val="0"/>
        <w:i w:val="0"/>
        <w:iCs w:val="0"/>
        <w:w w:val="100"/>
        <w:sz w:val="16"/>
        <w:szCs w:val="16"/>
      </w:rPr>
    </w:lvl>
    <w:lvl w:ilvl="1" w:tplc="7334F312">
      <w:numFmt w:val="bullet"/>
      <w:lvlText w:val="•"/>
      <w:lvlJc w:val="left"/>
      <w:pPr>
        <w:ind w:left="2956" w:hanging="361"/>
      </w:pPr>
      <w:rPr>
        <w:rFonts w:hint="default"/>
      </w:rPr>
    </w:lvl>
    <w:lvl w:ilvl="2" w:tplc="A9D4B492">
      <w:numFmt w:val="bullet"/>
      <w:lvlText w:val="•"/>
      <w:lvlJc w:val="left"/>
      <w:pPr>
        <w:ind w:left="3872" w:hanging="361"/>
      </w:pPr>
      <w:rPr>
        <w:rFonts w:hint="default"/>
      </w:rPr>
    </w:lvl>
    <w:lvl w:ilvl="3" w:tplc="F97247B2">
      <w:numFmt w:val="bullet"/>
      <w:lvlText w:val="•"/>
      <w:lvlJc w:val="left"/>
      <w:pPr>
        <w:ind w:left="4788" w:hanging="361"/>
      </w:pPr>
      <w:rPr>
        <w:rFonts w:hint="default"/>
      </w:rPr>
    </w:lvl>
    <w:lvl w:ilvl="4" w:tplc="FCD2BBDC">
      <w:numFmt w:val="bullet"/>
      <w:lvlText w:val="•"/>
      <w:lvlJc w:val="left"/>
      <w:pPr>
        <w:ind w:left="5704" w:hanging="361"/>
      </w:pPr>
      <w:rPr>
        <w:rFonts w:hint="default"/>
      </w:rPr>
    </w:lvl>
    <w:lvl w:ilvl="5" w:tplc="980CAF86">
      <w:numFmt w:val="bullet"/>
      <w:lvlText w:val="•"/>
      <w:lvlJc w:val="left"/>
      <w:pPr>
        <w:ind w:left="6620" w:hanging="361"/>
      </w:pPr>
      <w:rPr>
        <w:rFonts w:hint="default"/>
      </w:rPr>
    </w:lvl>
    <w:lvl w:ilvl="6" w:tplc="15E09B44">
      <w:numFmt w:val="bullet"/>
      <w:lvlText w:val="•"/>
      <w:lvlJc w:val="left"/>
      <w:pPr>
        <w:ind w:left="7536" w:hanging="361"/>
      </w:pPr>
      <w:rPr>
        <w:rFonts w:hint="default"/>
      </w:rPr>
    </w:lvl>
    <w:lvl w:ilvl="7" w:tplc="2E8C1328">
      <w:numFmt w:val="bullet"/>
      <w:lvlText w:val="•"/>
      <w:lvlJc w:val="left"/>
      <w:pPr>
        <w:ind w:left="8452" w:hanging="361"/>
      </w:pPr>
      <w:rPr>
        <w:rFonts w:hint="default"/>
      </w:rPr>
    </w:lvl>
    <w:lvl w:ilvl="8" w:tplc="5DAE75C6">
      <w:numFmt w:val="bullet"/>
      <w:lvlText w:val="•"/>
      <w:lvlJc w:val="left"/>
      <w:pPr>
        <w:ind w:left="9368" w:hanging="361"/>
      </w:pPr>
      <w:rPr>
        <w:rFonts w:hint="default"/>
      </w:rPr>
    </w:lvl>
  </w:abstractNum>
  <w:abstractNum w:abstractNumId="14" w15:restartNumberingAfterBreak="0">
    <w:nsid w:val="473D2275"/>
    <w:multiLevelType w:val="hybridMultilevel"/>
    <w:tmpl w:val="9D6CC4E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063063"/>
    <w:multiLevelType w:val="hybridMultilevel"/>
    <w:tmpl w:val="9D6CC4E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D143E7"/>
    <w:multiLevelType w:val="hybridMultilevel"/>
    <w:tmpl w:val="4F42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360B6E"/>
    <w:multiLevelType w:val="hybridMultilevel"/>
    <w:tmpl w:val="4E86C03E"/>
    <w:lvl w:ilvl="0" w:tplc="BFF25332">
      <w:start w:val="1"/>
      <w:numFmt w:val="decimal"/>
      <w:lvlText w:val="%1."/>
      <w:lvlJc w:val="left"/>
      <w:pPr>
        <w:ind w:left="1679" w:hanging="361"/>
      </w:pPr>
      <w:rPr>
        <w:rFonts w:ascii="Calibri" w:eastAsia="Calibri" w:hAnsi="Calibri" w:cs="Calibri" w:hint="default"/>
        <w:b w:val="0"/>
        <w:bCs w:val="0"/>
        <w:i w:val="0"/>
        <w:iCs w:val="0"/>
        <w:w w:val="100"/>
        <w:sz w:val="22"/>
        <w:szCs w:val="22"/>
      </w:rPr>
    </w:lvl>
    <w:lvl w:ilvl="1" w:tplc="20F84FE0">
      <w:numFmt w:val="bullet"/>
      <w:lvlText w:val=""/>
      <w:lvlJc w:val="left"/>
      <w:pPr>
        <w:ind w:left="2040" w:hanging="360"/>
      </w:pPr>
      <w:rPr>
        <w:rFonts w:ascii="Wingdings" w:eastAsia="Wingdings" w:hAnsi="Wingdings" w:cs="Wingdings" w:hint="default"/>
        <w:b w:val="0"/>
        <w:bCs w:val="0"/>
        <w:i w:val="0"/>
        <w:iCs w:val="0"/>
        <w:w w:val="100"/>
        <w:sz w:val="16"/>
        <w:szCs w:val="16"/>
      </w:rPr>
    </w:lvl>
    <w:lvl w:ilvl="2" w:tplc="B3425D3E">
      <w:numFmt w:val="bullet"/>
      <w:lvlText w:val="•"/>
      <w:lvlJc w:val="left"/>
      <w:pPr>
        <w:ind w:left="3057" w:hanging="360"/>
      </w:pPr>
      <w:rPr>
        <w:rFonts w:hint="default"/>
      </w:rPr>
    </w:lvl>
    <w:lvl w:ilvl="3" w:tplc="8146E49C">
      <w:numFmt w:val="bullet"/>
      <w:lvlText w:val="•"/>
      <w:lvlJc w:val="left"/>
      <w:pPr>
        <w:ind w:left="4075" w:hanging="360"/>
      </w:pPr>
      <w:rPr>
        <w:rFonts w:hint="default"/>
      </w:rPr>
    </w:lvl>
    <w:lvl w:ilvl="4" w:tplc="C75836D8">
      <w:numFmt w:val="bullet"/>
      <w:lvlText w:val="•"/>
      <w:lvlJc w:val="left"/>
      <w:pPr>
        <w:ind w:left="5093" w:hanging="360"/>
      </w:pPr>
      <w:rPr>
        <w:rFonts w:hint="default"/>
      </w:rPr>
    </w:lvl>
    <w:lvl w:ilvl="5" w:tplc="6ED0A76E">
      <w:numFmt w:val="bullet"/>
      <w:lvlText w:val="•"/>
      <w:lvlJc w:val="left"/>
      <w:pPr>
        <w:ind w:left="6111" w:hanging="360"/>
      </w:pPr>
      <w:rPr>
        <w:rFonts w:hint="default"/>
      </w:rPr>
    </w:lvl>
    <w:lvl w:ilvl="6" w:tplc="C04A90D0">
      <w:numFmt w:val="bullet"/>
      <w:lvlText w:val="•"/>
      <w:lvlJc w:val="left"/>
      <w:pPr>
        <w:ind w:left="7128" w:hanging="360"/>
      </w:pPr>
      <w:rPr>
        <w:rFonts w:hint="default"/>
      </w:rPr>
    </w:lvl>
    <w:lvl w:ilvl="7" w:tplc="0A54A244">
      <w:numFmt w:val="bullet"/>
      <w:lvlText w:val="•"/>
      <w:lvlJc w:val="left"/>
      <w:pPr>
        <w:ind w:left="8146" w:hanging="360"/>
      </w:pPr>
      <w:rPr>
        <w:rFonts w:hint="default"/>
      </w:rPr>
    </w:lvl>
    <w:lvl w:ilvl="8" w:tplc="A11656B2">
      <w:numFmt w:val="bullet"/>
      <w:lvlText w:val="•"/>
      <w:lvlJc w:val="left"/>
      <w:pPr>
        <w:ind w:left="9164" w:hanging="360"/>
      </w:pPr>
      <w:rPr>
        <w:rFonts w:hint="default"/>
      </w:rPr>
    </w:lvl>
  </w:abstractNum>
  <w:abstractNum w:abstractNumId="18" w15:restartNumberingAfterBreak="0">
    <w:nsid w:val="5B255C2D"/>
    <w:multiLevelType w:val="hybridMultilevel"/>
    <w:tmpl w:val="F194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3A6A03"/>
    <w:multiLevelType w:val="hybridMultilevel"/>
    <w:tmpl w:val="AEA47E56"/>
    <w:lvl w:ilvl="0" w:tplc="ADB0EE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C30820"/>
    <w:multiLevelType w:val="hybridMultilevel"/>
    <w:tmpl w:val="BC12B1A6"/>
    <w:lvl w:ilvl="0" w:tplc="20F84FE0">
      <w:numFmt w:val="bullet"/>
      <w:lvlText w:val=""/>
      <w:lvlJc w:val="left"/>
      <w:pPr>
        <w:ind w:left="2039" w:hanging="361"/>
      </w:pPr>
      <w:rPr>
        <w:rFonts w:ascii="Wingdings" w:eastAsia="Wingdings" w:hAnsi="Wingdings" w:cs="Wingdings" w:hint="default"/>
        <w:b w:val="0"/>
        <w:bCs w:val="0"/>
        <w:i w:val="0"/>
        <w:iCs w:val="0"/>
        <w:w w:val="100"/>
        <w:sz w:val="16"/>
        <w:szCs w:val="16"/>
      </w:rPr>
    </w:lvl>
    <w:lvl w:ilvl="1" w:tplc="0B003C14">
      <w:numFmt w:val="bullet"/>
      <w:lvlText w:val="•"/>
      <w:lvlJc w:val="left"/>
      <w:pPr>
        <w:ind w:left="2956" w:hanging="361"/>
      </w:pPr>
      <w:rPr>
        <w:rFonts w:hint="default"/>
      </w:rPr>
    </w:lvl>
    <w:lvl w:ilvl="2" w:tplc="55CA97EE">
      <w:numFmt w:val="bullet"/>
      <w:lvlText w:val="•"/>
      <w:lvlJc w:val="left"/>
      <w:pPr>
        <w:ind w:left="3872" w:hanging="361"/>
      </w:pPr>
      <w:rPr>
        <w:rFonts w:hint="default"/>
      </w:rPr>
    </w:lvl>
    <w:lvl w:ilvl="3" w:tplc="EEF847F6">
      <w:numFmt w:val="bullet"/>
      <w:lvlText w:val="•"/>
      <w:lvlJc w:val="left"/>
      <w:pPr>
        <w:ind w:left="4788" w:hanging="361"/>
      </w:pPr>
      <w:rPr>
        <w:rFonts w:hint="default"/>
      </w:rPr>
    </w:lvl>
    <w:lvl w:ilvl="4" w:tplc="3EB4D294">
      <w:numFmt w:val="bullet"/>
      <w:lvlText w:val="•"/>
      <w:lvlJc w:val="left"/>
      <w:pPr>
        <w:ind w:left="5704" w:hanging="361"/>
      </w:pPr>
      <w:rPr>
        <w:rFonts w:hint="default"/>
      </w:rPr>
    </w:lvl>
    <w:lvl w:ilvl="5" w:tplc="05F4B490">
      <w:numFmt w:val="bullet"/>
      <w:lvlText w:val="•"/>
      <w:lvlJc w:val="left"/>
      <w:pPr>
        <w:ind w:left="6620" w:hanging="361"/>
      </w:pPr>
      <w:rPr>
        <w:rFonts w:hint="default"/>
      </w:rPr>
    </w:lvl>
    <w:lvl w:ilvl="6" w:tplc="842037EE">
      <w:numFmt w:val="bullet"/>
      <w:lvlText w:val="•"/>
      <w:lvlJc w:val="left"/>
      <w:pPr>
        <w:ind w:left="7536" w:hanging="361"/>
      </w:pPr>
      <w:rPr>
        <w:rFonts w:hint="default"/>
      </w:rPr>
    </w:lvl>
    <w:lvl w:ilvl="7" w:tplc="1A604D60">
      <w:numFmt w:val="bullet"/>
      <w:lvlText w:val="•"/>
      <w:lvlJc w:val="left"/>
      <w:pPr>
        <w:ind w:left="8452" w:hanging="361"/>
      </w:pPr>
      <w:rPr>
        <w:rFonts w:hint="default"/>
      </w:rPr>
    </w:lvl>
    <w:lvl w:ilvl="8" w:tplc="B7B4F980">
      <w:numFmt w:val="bullet"/>
      <w:lvlText w:val="•"/>
      <w:lvlJc w:val="left"/>
      <w:pPr>
        <w:ind w:left="9368" w:hanging="361"/>
      </w:pPr>
      <w:rPr>
        <w:rFonts w:hint="default"/>
      </w:rPr>
    </w:lvl>
  </w:abstractNum>
  <w:abstractNum w:abstractNumId="21" w15:restartNumberingAfterBreak="0">
    <w:nsid w:val="6C0D07D9"/>
    <w:multiLevelType w:val="hybridMultilevel"/>
    <w:tmpl w:val="1A766FF6"/>
    <w:lvl w:ilvl="0" w:tplc="A04ACB32">
      <w:start w:val="1"/>
      <w:numFmt w:val="decimal"/>
      <w:lvlText w:val="%1."/>
      <w:lvlJc w:val="left"/>
      <w:pPr>
        <w:tabs>
          <w:tab w:val="num" w:pos="1350"/>
        </w:tabs>
        <w:ind w:left="1350" w:hanging="360"/>
      </w:pPr>
      <w:rPr>
        <w:b/>
        <w:bCs/>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2" w15:restartNumberingAfterBreak="0">
    <w:nsid w:val="6DDA1291"/>
    <w:multiLevelType w:val="hybridMultilevel"/>
    <w:tmpl w:val="2286C66E"/>
    <w:lvl w:ilvl="0" w:tplc="7E74BB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127204"/>
    <w:multiLevelType w:val="hybridMultilevel"/>
    <w:tmpl w:val="0BFC39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4348B1"/>
    <w:multiLevelType w:val="hybridMultilevel"/>
    <w:tmpl w:val="C324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DE0E30"/>
    <w:multiLevelType w:val="hybridMultilevel"/>
    <w:tmpl w:val="997233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596402C">
      <w:start w:val="1"/>
      <w:numFmt w:val="lowerLetter"/>
      <w:pStyle w:val="2ndlevellist"/>
      <w:lvlText w:val="%4."/>
      <w:lvlJc w:val="left"/>
      <w:pPr>
        <w:ind w:left="144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9F37B1"/>
    <w:multiLevelType w:val="hybridMultilevel"/>
    <w:tmpl w:val="9D6CC4E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627A5C"/>
    <w:multiLevelType w:val="hybridMultilevel"/>
    <w:tmpl w:val="6F744E5E"/>
    <w:lvl w:ilvl="0" w:tplc="744277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A7475E"/>
    <w:multiLevelType w:val="multilevel"/>
    <w:tmpl w:val="64D84B56"/>
    <w:lvl w:ilvl="0">
      <w:start w:val="3"/>
      <w:numFmt w:val="decimal"/>
      <w:lvlText w:val="%1"/>
      <w:lvlJc w:val="left"/>
      <w:pPr>
        <w:ind w:left="1867" w:hanging="908"/>
      </w:pPr>
      <w:rPr>
        <w:rFonts w:hint="default"/>
      </w:rPr>
    </w:lvl>
    <w:lvl w:ilvl="1">
      <w:start w:val="1"/>
      <w:numFmt w:val="decimal"/>
      <w:lvlText w:val="%1.%2"/>
      <w:lvlJc w:val="left"/>
      <w:pPr>
        <w:ind w:left="1867" w:hanging="908"/>
      </w:pPr>
      <w:rPr>
        <w:rFonts w:ascii="Calibri" w:eastAsia="Calibri" w:hAnsi="Calibri" w:cs="Calibri" w:hint="default"/>
        <w:b/>
        <w:bCs/>
        <w:i w:val="0"/>
        <w:iCs w:val="0"/>
        <w:color w:val="00467E"/>
        <w:w w:val="100"/>
        <w:sz w:val="24"/>
        <w:szCs w:val="24"/>
      </w:rPr>
    </w:lvl>
    <w:lvl w:ilvl="2">
      <w:start w:val="1"/>
      <w:numFmt w:val="decimal"/>
      <w:lvlText w:val="%3."/>
      <w:lvlJc w:val="left"/>
      <w:pPr>
        <w:ind w:left="1679" w:hanging="361"/>
      </w:pPr>
      <w:rPr>
        <w:rFonts w:ascii="Calibri" w:eastAsia="Calibri" w:hAnsi="Calibri" w:cs="Calibri" w:hint="default"/>
        <w:b w:val="0"/>
        <w:bCs w:val="0"/>
        <w:i w:val="0"/>
        <w:iCs w:val="0"/>
        <w:w w:val="100"/>
        <w:sz w:val="22"/>
        <w:szCs w:val="22"/>
      </w:rPr>
    </w:lvl>
    <w:lvl w:ilvl="3">
      <w:numFmt w:val="bullet"/>
      <w:lvlText w:val=""/>
      <w:lvlJc w:val="left"/>
      <w:pPr>
        <w:ind w:left="2040" w:hanging="360"/>
      </w:pPr>
      <w:rPr>
        <w:rFonts w:ascii="Wingdings" w:eastAsia="Wingdings" w:hAnsi="Wingdings" w:cs="Wingdings" w:hint="default"/>
        <w:b w:val="0"/>
        <w:bCs w:val="0"/>
        <w:i w:val="0"/>
        <w:iCs w:val="0"/>
        <w:w w:val="100"/>
        <w:sz w:val="16"/>
        <w:szCs w:val="16"/>
      </w:rPr>
    </w:lvl>
    <w:lvl w:ilvl="4">
      <w:numFmt w:val="bullet"/>
      <w:lvlText w:val="•"/>
      <w:lvlJc w:val="left"/>
      <w:pPr>
        <w:ind w:left="4330" w:hanging="360"/>
      </w:pPr>
      <w:rPr>
        <w:rFonts w:hint="default"/>
      </w:rPr>
    </w:lvl>
    <w:lvl w:ilvl="5">
      <w:numFmt w:val="bullet"/>
      <w:lvlText w:val="•"/>
      <w:lvlJc w:val="left"/>
      <w:pPr>
        <w:ind w:left="5475" w:hanging="360"/>
      </w:pPr>
      <w:rPr>
        <w:rFonts w:hint="default"/>
      </w:rPr>
    </w:lvl>
    <w:lvl w:ilvl="6">
      <w:numFmt w:val="bullet"/>
      <w:lvlText w:val="•"/>
      <w:lvlJc w:val="left"/>
      <w:pPr>
        <w:ind w:left="6620" w:hanging="360"/>
      </w:pPr>
      <w:rPr>
        <w:rFonts w:hint="default"/>
      </w:rPr>
    </w:lvl>
    <w:lvl w:ilvl="7">
      <w:numFmt w:val="bullet"/>
      <w:lvlText w:val="•"/>
      <w:lvlJc w:val="left"/>
      <w:pPr>
        <w:ind w:left="7765" w:hanging="360"/>
      </w:pPr>
      <w:rPr>
        <w:rFonts w:hint="default"/>
      </w:rPr>
    </w:lvl>
    <w:lvl w:ilvl="8">
      <w:numFmt w:val="bullet"/>
      <w:lvlText w:val="•"/>
      <w:lvlJc w:val="left"/>
      <w:pPr>
        <w:ind w:left="8910" w:hanging="360"/>
      </w:pPr>
      <w:rPr>
        <w:rFonts w:hint="default"/>
      </w:rPr>
    </w:lvl>
  </w:abstractNum>
  <w:num w:numId="1">
    <w:abstractNumId w:val="21"/>
  </w:num>
  <w:num w:numId="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7"/>
  </w:num>
  <w:num w:numId="4">
    <w:abstractNumId w:val="7"/>
  </w:num>
  <w:num w:numId="5">
    <w:abstractNumId w:val="10"/>
  </w:num>
  <w:num w:numId="6">
    <w:abstractNumId w:val="3"/>
  </w:num>
  <w:num w:numId="7">
    <w:abstractNumId w:val="9"/>
  </w:num>
  <w:num w:numId="8">
    <w:abstractNumId w:val="11"/>
  </w:num>
  <w:num w:numId="9">
    <w:abstractNumId w:val="13"/>
  </w:num>
  <w:num w:numId="10">
    <w:abstractNumId w:val="17"/>
  </w:num>
  <w:num w:numId="11">
    <w:abstractNumId w:val="28"/>
  </w:num>
  <w:num w:numId="12">
    <w:abstractNumId w:val="12"/>
  </w:num>
  <w:num w:numId="13">
    <w:abstractNumId w:val="20"/>
  </w:num>
  <w:num w:numId="14">
    <w:abstractNumId w:val="8"/>
  </w:num>
  <w:num w:numId="15">
    <w:abstractNumId w:val="4"/>
  </w:num>
  <w:num w:numId="16">
    <w:abstractNumId w:val="1"/>
  </w:num>
  <w:num w:numId="17">
    <w:abstractNumId w:val="6"/>
  </w:num>
  <w:num w:numId="18">
    <w:abstractNumId w:val="18"/>
  </w:num>
  <w:num w:numId="19">
    <w:abstractNumId w:val="24"/>
  </w:num>
  <w:num w:numId="20">
    <w:abstractNumId w:val="16"/>
  </w:num>
  <w:num w:numId="21">
    <w:abstractNumId w:val="25"/>
  </w:num>
  <w:num w:numId="22">
    <w:abstractNumId w:val="5"/>
  </w:num>
  <w:num w:numId="23">
    <w:abstractNumId w:val="15"/>
  </w:num>
  <w:num w:numId="24">
    <w:abstractNumId w:val="19"/>
  </w:num>
  <w:num w:numId="25">
    <w:abstractNumId w:val="26"/>
  </w:num>
  <w:num w:numId="26">
    <w:abstractNumId w:val="23"/>
  </w:num>
  <w:num w:numId="27">
    <w:abstractNumId w:val="14"/>
  </w:num>
  <w:num w:numId="28">
    <w:abstractNumId w:val="2"/>
  </w:num>
  <w:num w:numId="29">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1"/>
  <w:proofState w:spelling="clean" w:grammar="clean"/>
  <w:defaultTabStop w:val="720"/>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F5B"/>
    <w:rsid w:val="00002746"/>
    <w:rsid w:val="00005D48"/>
    <w:rsid w:val="00012CA9"/>
    <w:rsid w:val="00014929"/>
    <w:rsid w:val="000240EA"/>
    <w:rsid w:val="00035B5C"/>
    <w:rsid w:val="0003694C"/>
    <w:rsid w:val="00036E57"/>
    <w:rsid w:val="00040BFF"/>
    <w:rsid w:val="00041BD0"/>
    <w:rsid w:val="0004305D"/>
    <w:rsid w:val="000443DD"/>
    <w:rsid w:val="00064802"/>
    <w:rsid w:val="00072447"/>
    <w:rsid w:val="000751A7"/>
    <w:rsid w:val="00076513"/>
    <w:rsid w:val="000950A5"/>
    <w:rsid w:val="000A355C"/>
    <w:rsid w:val="000A41AE"/>
    <w:rsid w:val="000A4959"/>
    <w:rsid w:val="000A525C"/>
    <w:rsid w:val="000A5F6A"/>
    <w:rsid w:val="000A65F7"/>
    <w:rsid w:val="000B0E6B"/>
    <w:rsid w:val="000B51E3"/>
    <w:rsid w:val="000B5D2E"/>
    <w:rsid w:val="000C2D62"/>
    <w:rsid w:val="000C386B"/>
    <w:rsid w:val="000D2C2A"/>
    <w:rsid w:val="000D4CD0"/>
    <w:rsid w:val="000D69FA"/>
    <w:rsid w:val="000E061B"/>
    <w:rsid w:val="000E3587"/>
    <w:rsid w:val="000E48F4"/>
    <w:rsid w:val="000E5347"/>
    <w:rsid w:val="000E66EB"/>
    <w:rsid w:val="000F153D"/>
    <w:rsid w:val="000F1CDA"/>
    <w:rsid w:val="000F2F28"/>
    <w:rsid w:val="000F41EA"/>
    <w:rsid w:val="000F6CD9"/>
    <w:rsid w:val="000F7400"/>
    <w:rsid w:val="00103BFE"/>
    <w:rsid w:val="00125255"/>
    <w:rsid w:val="00126D06"/>
    <w:rsid w:val="00130ADF"/>
    <w:rsid w:val="00132EF8"/>
    <w:rsid w:val="00134435"/>
    <w:rsid w:val="001344FF"/>
    <w:rsid w:val="0013785C"/>
    <w:rsid w:val="00140336"/>
    <w:rsid w:val="00140343"/>
    <w:rsid w:val="00140A0D"/>
    <w:rsid w:val="0014292C"/>
    <w:rsid w:val="00143294"/>
    <w:rsid w:val="00144DF8"/>
    <w:rsid w:val="0014636B"/>
    <w:rsid w:val="0014771B"/>
    <w:rsid w:val="001563A2"/>
    <w:rsid w:val="00157D3A"/>
    <w:rsid w:val="00157EA7"/>
    <w:rsid w:val="00161690"/>
    <w:rsid w:val="00162EF7"/>
    <w:rsid w:val="001676F9"/>
    <w:rsid w:val="00172A6E"/>
    <w:rsid w:val="00173494"/>
    <w:rsid w:val="0017395A"/>
    <w:rsid w:val="001807FD"/>
    <w:rsid w:val="001820CB"/>
    <w:rsid w:val="00185D8E"/>
    <w:rsid w:val="00190AA2"/>
    <w:rsid w:val="00192B10"/>
    <w:rsid w:val="001930E6"/>
    <w:rsid w:val="00193E9C"/>
    <w:rsid w:val="00194A7E"/>
    <w:rsid w:val="00194E0A"/>
    <w:rsid w:val="001A090E"/>
    <w:rsid w:val="001A22C0"/>
    <w:rsid w:val="001A324E"/>
    <w:rsid w:val="001A68F4"/>
    <w:rsid w:val="001B1D37"/>
    <w:rsid w:val="001B4EFC"/>
    <w:rsid w:val="001C0117"/>
    <w:rsid w:val="001C126F"/>
    <w:rsid w:val="001D19B4"/>
    <w:rsid w:val="001D29E3"/>
    <w:rsid w:val="001D2E38"/>
    <w:rsid w:val="001D56B4"/>
    <w:rsid w:val="001F09C0"/>
    <w:rsid w:val="001F3220"/>
    <w:rsid w:val="001F4032"/>
    <w:rsid w:val="001F4497"/>
    <w:rsid w:val="001F5155"/>
    <w:rsid w:val="002009DF"/>
    <w:rsid w:val="002041C4"/>
    <w:rsid w:val="0021293B"/>
    <w:rsid w:val="002154A6"/>
    <w:rsid w:val="0021754E"/>
    <w:rsid w:val="0021757E"/>
    <w:rsid w:val="00223970"/>
    <w:rsid w:val="002263CB"/>
    <w:rsid w:val="0022730D"/>
    <w:rsid w:val="00227CEB"/>
    <w:rsid w:val="0023140C"/>
    <w:rsid w:val="002423C2"/>
    <w:rsid w:val="00243BAE"/>
    <w:rsid w:val="00243F05"/>
    <w:rsid w:val="00250CB7"/>
    <w:rsid w:val="00250F0E"/>
    <w:rsid w:val="00251AEB"/>
    <w:rsid w:val="002542D8"/>
    <w:rsid w:val="00255B16"/>
    <w:rsid w:val="002566C8"/>
    <w:rsid w:val="00256D4E"/>
    <w:rsid w:val="0026032F"/>
    <w:rsid w:val="002623BC"/>
    <w:rsid w:val="00264096"/>
    <w:rsid w:val="002648C3"/>
    <w:rsid w:val="002659BE"/>
    <w:rsid w:val="00265E86"/>
    <w:rsid w:val="00272D81"/>
    <w:rsid w:val="00273FF2"/>
    <w:rsid w:val="00275102"/>
    <w:rsid w:val="00276513"/>
    <w:rsid w:val="002854FB"/>
    <w:rsid w:val="00290007"/>
    <w:rsid w:val="00290FBC"/>
    <w:rsid w:val="00296C69"/>
    <w:rsid w:val="002A0A62"/>
    <w:rsid w:val="002A55E6"/>
    <w:rsid w:val="002A6942"/>
    <w:rsid w:val="002B0E17"/>
    <w:rsid w:val="002B1DFB"/>
    <w:rsid w:val="002C54F8"/>
    <w:rsid w:val="002C778E"/>
    <w:rsid w:val="002D14D9"/>
    <w:rsid w:val="002D2DB9"/>
    <w:rsid w:val="002D3089"/>
    <w:rsid w:val="002D4277"/>
    <w:rsid w:val="002E0119"/>
    <w:rsid w:val="002E64A0"/>
    <w:rsid w:val="002F639A"/>
    <w:rsid w:val="00305795"/>
    <w:rsid w:val="00310E51"/>
    <w:rsid w:val="00316BBA"/>
    <w:rsid w:val="00322337"/>
    <w:rsid w:val="00322795"/>
    <w:rsid w:val="003227ED"/>
    <w:rsid w:val="00322E46"/>
    <w:rsid w:val="003259FA"/>
    <w:rsid w:val="00330AA3"/>
    <w:rsid w:val="00332323"/>
    <w:rsid w:val="00340279"/>
    <w:rsid w:val="00346E57"/>
    <w:rsid w:val="00350C25"/>
    <w:rsid w:val="00353E0B"/>
    <w:rsid w:val="003554C9"/>
    <w:rsid w:val="00356056"/>
    <w:rsid w:val="00364051"/>
    <w:rsid w:val="00364622"/>
    <w:rsid w:val="00370B7B"/>
    <w:rsid w:val="00372A83"/>
    <w:rsid w:val="00373C8F"/>
    <w:rsid w:val="00373E08"/>
    <w:rsid w:val="00374184"/>
    <w:rsid w:val="0037785C"/>
    <w:rsid w:val="00380B40"/>
    <w:rsid w:val="00390A48"/>
    <w:rsid w:val="003919D8"/>
    <w:rsid w:val="00392D62"/>
    <w:rsid w:val="00395A14"/>
    <w:rsid w:val="00396C31"/>
    <w:rsid w:val="003A62D5"/>
    <w:rsid w:val="003A6CD8"/>
    <w:rsid w:val="003B1708"/>
    <w:rsid w:val="003B1B68"/>
    <w:rsid w:val="003B4ABD"/>
    <w:rsid w:val="003D00F1"/>
    <w:rsid w:val="003D120C"/>
    <w:rsid w:val="003D24BF"/>
    <w:rsid w:val="003D6574"/>
    <w:rsid w:val="003D7850"/>
    <w:rsid w:val="003E014C"/>
    <w:rsid w:val="003E0C0B"/>
    <w:rsid w:val="003E0D11"/>
    <w:rsid w:val="003F031C"/>
    <w:rsid w:val="003F1C7A"/>
    <w:rsid w:val="003F4508"/>
    <w:rsid w:val="003F4691"/>
    <w:rsid w:val="003F6C7E"/>
    <w:rsid w:val="003F7133"/>
    <w:rsid w:val="0040342B"/>
    <w:rsid w:val="00406870"/>
    <w:rsid w:val="00411149"/>
    <w:rsid w:val="00411FD1"/>
    <w:rsid w:val="00415897"/>
    <w:rsid w:val="00415B1D"/>
    <w:rsid w:val="00421BAD"/>
    <w:rsid w:val="004277AA"/>
    <w:rsid w:val="00433998"/>
    <w:rsid w:val="00441299"/>
    <w:rsid w:val="004415EF"/>
    <w:rsid w:val="0045460B"/>
    <w:rsid w:val="004575C0"/>
    <w:rsid w:val="00463B4D"/>
    <w:rsid w:val="00467E1F"/>
    <w:rsid w:val="00471CFA"/>
    <w:rsid w:val="004722D6"/>
    <w:rsid w:val="00476673"/>
    <w:rsid w:val="00482510"/>
    <w:rsid w:val="00490966"/>
    <w:rsid w:val="0049419A"/>
    <w:rsid w:val="0049514F"/>
    <w:rsid w:val="00497AAA"/>
    <w:rsid w:val="004A0496"/>
    <w:rsid w:val="004A049C"/>
    <w:rsid w:val="004A32E2"/>
    <w:rsid w:val="004A5201"/>
    <w:rsid w:val="004A5B3B"/>
    <w:rsid w:val="004B1C5E"/>
    <w:rsid w:val="004B694D"/>
    <w:rsid w:val="004D0E0E"/>
    <w:rsid w:val="004D1B5D"/>
    <w:rsid w:val="004D62CB"/>
    <w:rsid w:val="004E04E3"/>
    <w:rsid w:val="004E27B5"/>
    <w:rsid w:val="004E2A5A"/>
    <w:rsid w:val="004E5C97"/>
    <w:rsid w:val="004E7521"/>
    <w:rsid w:val="004F125B"/>
    <w:rsid w:val="004F7310"/>
    <w:rsid w:val="00500E29"/>
    <w:rsid w:val="00505804"/>
    <w:rsid w:val="00523DDD"/>
    <w:rsid w:val="005254C6"/>
    <w:rsid w:val="0053047E"/>
    <w:rsid w:val="005458E9"/>
    <w:rsid w:val="0055484A"/>
    <w:rsid w:val="0056293F"/>
    <w:rsid w:val="005662FF"/>
    <w:rsid w:val="00567AA8"/>
    <w:rsid w:val="00570E5B"/>
    <w:rsid w:val="00573DBF"/>
    <w:rsid w:val="00574B6B"/>
    <w:rsid w:val="00577001"/>
    <w:rsid w:val="00580940"/>
    <w:rsid w:val="0058292D"/>
    <w:rsid w:val="0058679B"/>
    <w:rsid w:val="00591DB2"/>
    <w:rsid w:val="00592DB2"/>
    <w:rsid w:val="00595B0F"/>
    <w:rsid w:val="005A0A5F"/>
    <w:rsid w:val="005A18A4"/>
    <w:rsid w:val="005A1ADE"/>
    <w:rsid w:val="005A6808"/>
    <w:rsid w:val="005A77C0"/>
    <w:rsid w:val="005B4048"/>
    <w:rsid w:val="005B4464"/>
    <w:rsid w:val="005B6796"/>
    <w:rsid w:val="005C00D1"/>
    <w:rsid w:val="005C1472"/>
    <w:rsid w:val="005C189B"/>
    <w:rsid w:val="005C47CD"/>
    <w:rsid w:val="005C646A"/>
    <w:rsid w:val="005C7A09"/>
    <w:rsid w:val="005D6152"/>
    <w:rsid w:val="005E23BA"/>
    <w:rsid w:val="005E4981"/>
    <w:rsid w:val="005E5B8E"/>
    <w:rsid w:val="005E6CFD"/>
    <w:rsid w:val="005E7315"/>
    <w:rsid w:val="005F13A2"/>
    <w:rsid w:val="005F2D97"/>
    <w:rsid w:val="006023B1"/>
    <w:rsid w:val="006026AB"/>
    <w:rsid w:val="00606A1C"/>
    <w:rsid w:val="00607815"/>
    <w:rsid w:val="00612C3A"/>
    <w:rsid w:val="00614F6F"/>
    <w:rsid w:val="006153B9"/>
    <w:rsid w:val="00616F2A"/>
    <w:rsid w:val="00620129"/>
    <w:rsid w:val="00623AF6"/>
    <w:rsid w:val="00623DE0"/>
    <w:rsid w:val="0063232F"/>
    <w:rsid w:val="0063239E"/>
    <w:rsid w:val="006334E3"/>
    <w:rsid w:val="006335D2"/>
    <w:rsid w:val="00636DEA"/>
    <w:rsid w:val="006428C9"/>
    <w:rsid w:val="0064337A"/>
    <w:rsid w:val="00644104"/>
    <w:rsid w:val="00652D47"/>
    <w:rsid w:val="0066030A"/>
    <w:rsid w:val="006613DD"/>
    <w:rsid w:val="00662360"/>
    <w:rsid w:val="00670664"/>
    <w:rsid w:val="006722F6"/>
    <w:rsid w:val="00674881"/>
    <w:rsid w:val="00682BB9"/>
    <w:rsid w:val="00685B85"/>
    <w:rsid w:val="00694C7C"/>
    <w:rsid w:val="00696B03"/>
    <w:rsid w:val="006970B6"/>
    <w:rsid w:val="006A48E5"/>
    <w:rsid w:val="006A73AA"/>
    <w:rsid w:val="006A795B"/>
    <w:rsid w:val="006B3563"/>
    <w:rsid w:val="006C4352"/>
    <w:rsid w:val="006C5905"/>
    <w:rsid w:val="006D3B31"/>
    <w:rsid w:val="006D3BE6"/>
    <w:rsid w:val="006F137A"/>
    <w:rsid w:val="006F243C"/>
    <w:rsid w:val="006F303C"/>
    <w:rsid w:val="006F46E3"/>
    <w:rsid w:val="006F58E0"/>
    <w:rsid w:val="00700FB3"/>
    <w:rsid w:val="007023DB"/>
    <w:rsid w:val="00703400"/>
    <w:rsid w:val="0070497C"/>
    <w:rsid w:val="0071182B"/>
    <w:rsid w:val="00712663"/>
    <w:rsid w:val="0071297F"/>
    <w:rsid w:val="00713F4D"/>
    <w:rsid w:val="00715678"/>
    <w:rsid w:val="00720484"/>
    <w:rsid w:val="00722474"/>
    <w:rsid w:val="007224B8"/>
    <w:rsid w:val="007224EB"/>
    <w:rsid w:val="007232E9"/>
    <w:rsid w:val="00735060"/>
    <w:rsid w:val="0074463A"/>
    <w:rsid w:val="00744B51"/>
    <w:rsid w:val="00744F5B"/>
    <w:rsid w:val="007474ED"/>
    <w:rsid w:val="00751CFC"/>
    <w:rsid w:val="007543D5"/>
    <w:rsid w:val="00755192"/>
    <w:rsid w:val="007628D2"/>
    <w:rsid w:val="007657CD"/>
    <w:rsid w:val="007732C5"/>
    <w:rsid w:val="00780821"/>
    <w:rsid w:val="00787854"/>
    <w:rsid w:val="00791C0E"/>
    <w:rsid w:val="007921F9"/>
    <w:rsid w:val="00793008"/>
    <w:rsid w:val="0079417B"/>
    <w:rsid w:val="007941C8"/>
    <w:rsid w:val="00796A56"/>
    <w:rsid w:val="007A4331"/>
    <w:rsid w:val="007B045B"/>
    <w:rsid w:val="007B2DD9"/>
    <w:rsid w:val="007B42F8"/>
    <w:rsid w:val="007B689F"/>
    <w:rsid w:val="007B774A"/>
    <w:rsid w:val="007C7DF4"/>
    <w:rsid w:val="007D2FC7"/>
    <w:rsid w:val="007D61D7"/>
    <w:rsid w:val="007D6BA1"/>
    <w:rsid w:val="007E5437"/>
    <w:rsid w:val="007E726C"/>
    <w:rsid w:val="007E7466"/>
    <w:rsid w:val="007E7811"/>
    <w:rsid w:val="007F1409"/>
    <w:rsid w:val="007F2536"/>
    <w:rsid w:val="007F3D57"/>
    <w:rsid w:val="007F5C87"/>
    <w:rsid w:val="00802075"/>
    <w:rsid w:val="0081056A"/>
    <w:rsid w:val="00810D6E"/>
    <w:rsid w:val="00812A6C"/>
    <w:rsid w:val="008211EE"/>
    <w:rsid w:val="00825E0D"/>
    <w:rsid w:val="00826568"/>
    <w:rsid w:val="00833E4F"/>
    <w:rsid w:val="008352E0"/>
    <w:rsid w:val="008408F2"/>
    <w:rsid w:val="00846967"/>
    <w:rsid w:val="008517B0"/>
    <w:rsid w:val="00863221"/>
    <w:rsid w:val="008648B5"/>
    <w:rsid w:val="00864A34"/>
    <w:rsid w:val="0086633F"/>
    <w:rsid w:val="00871A9F"/>
    <w:rsid w:val="00872602"/>
    <w:rsid w:val="00872A38"/>
    <w:rsid w:val="0087647F"/>
    <w:rsid w:val="00881089"/>
    <w:rsid w:val="00882AE4"/>
    <w:rsid w:val="008863D0"/>
    <w:rsid w:val="00890941"/>
    <w:rsid w:val="00894F96"/>
    <w:rsid w:val="008974A2"/>
    <w:rsid w:val="008A2B03"/>
    <w:rsid w:val="008A31FF"/>
    <w:rsid w:val="008A3CBF"/>
    <w:rsid w:val="008A5C2C"/>
    <w:rsid w:val="008A7B8B"/>
    <w:rsid w:val="008B034B"/>
    <w:rsid w:val="008B2F4F"/>
    <w:rsid w:val="008C6290"/>
    <w:rsid w:val="008D308E"/>
    <w:rsid w:val="008E09D0"/>
    <w:rsid w:val="008E292E"/>
    <w:rsid w:val="008E6145"/>
    <w:rsid w:val="008F6E91"/>
    <w:rsid w:val="008F7A94"/>
    <w:rsid w:val="00900FD5"/>
    <w:rsid w:val="00903ACA"/>
    <w:rsid w:val="00904E89"/>
    <w:rsid w:val="00905496"/>
    <w:rsid w:val="00910A48"/>
    <w:rsid w:val="009125CB"/>
    <w:rsid w:val="0092346A"/>
    <w:rsid w:val="0092462E"/>
    <w:rsid w:val="0093227E"/>
    <w:rsid w:val="00934280"/>
    <w:rsid w:val="0093515A"/>
    <w:rsid w:val="00937131"/>
    <w:rsid w:val="009404FA"/>
    <w:rsid w:val="00950C70"/>
    <w:rsid w:val="0095325B"/>
    <w:rsid w:val="00953B70"/>
    <w:rsid w:val="00953C4D"/>
    <w:rsid w:val="00955C1E"/>
    <w:rsid w:val="009742AD"/>
    <w:rsid w:val="0097580E"/>
    <w:rsid w:val="00975B24"/>
    <w:rsid w:val="00976F2C"/>
    <w:rsid w:val="009777B5"/>
    <w:rsid w:val="009820CC"/>
    <w:rsid w:val="009A311E"/>
    <w:rsid w:val="009A31DA"/>
    <w:rsid w:val="009A3299"/>
    <w:rsid w:val="009B29CD"/>
    <w:rsid w:val="009B5758"/>
    <w:rsid w:val="009B7454"/>
    <w:rsid w:val="009C08DD"/>
    <w:rsid w:val="009C5DFD"/>
    <w:rsid w:val="009C7CA1"/>
    <w:rsid w:val="009D0231"/>
    <w:rsid w:val="009D0571"/>
    <w:rsid w:val="009D3F18"/>
    <w:rsid w:val="009D5D67"/>
    <w:rsid w:val="009E24D8"/>
    <w:rsid w:val="009E2773"/>
    <w:rsid w:val="009E6DC8"/>
    <w:rsid w:val="00A00E39"/>
    <w:rsid w:val="00A01575"/>
    <w:rsid w:val="00A037AF"/>
    <w:rsid w:val="00A14DD0"/>
    <w:rsid w:val="00A208D0"/>
    <w:rsid w:val="00A20ADD"/>
    <w:rsid w:val="00A22304"/>
    <w:rsid w:val="00A25894"/>
    <w:rsid w:val="00A25F10"/>
    <w:rsid w:val="00A26BA5"/>
    <w:rsid w:val="00A35084"/>
    <w:rsid w:val="00A37346"/>
    <w:rsid w:val="00A42B43"/>
    <w:rsid w:val="00A43A42"/>
    <w:rsid w:val="00A44BF9"/>
    <w:rsid w:val="00A50011"/>
    <w:rsid w:val="00A52497"/>
    <w:rsid w:val="00A62B4D"/>
    <w:rsid w:val="00A66CB6"/>
    <w:rsid w:val="00A767BF"/>
    <w:rsid w:val="00A82DCC"/>
    <w:rsid w:val="00A83A0F"/>
    <w:rsid w:val="00A84AE3"/>
    <w:rsid w:val="00A93411"/>
    <w:rsid w:val="00A94F71"/>
    <w:rsid w:val="00AA140A"/>
    <w:rsid w:val="00AB6FF3"/>
    <w:rsid w:val="00AC0806"/>
    <w:rsid w:val="00AC2833"/>
    <w:rsid w:val="00AD0B3E"/>
    <w:rsid w:val="00AD6A38"/>
    <w:rsid w:val="00AD75DC"/>
    <w:rsid w:val="00AE212C"/>
    <w:rsid w:val="00AE665D"/>
    <w:rsid w:val="00AF0F4B"/>
    <w:rsid w:val="00AF2319"/>
    <w:rsid w:val="00B0376C"/>
    <w:rsid w:val="00B04957"/>
    <w:rsid w:val="00B07FE5"/>
    <w:rsid w:val="00B13C57"/>
    <w:rsid w:val="00B17570"/>
    <w:rsid w:val="00B20195"/>
    <w:rsid w:val="00B20D02"/>
    <w:rsid w:val="00B26472"/>
    <w:rsid w:val="00B30BF2"/>
    <w:rsid w:val="00B349C8"/>
    <w:rsid w:val="00B3555F"/>
    <w:rsid w:val="00B40690"/>
    <w:rsid w:val="00B44C69"/>
    <w:rsid w:val="00B46E5B"/>
    <w:rsid w:val="00B5761A"/>
    <w:rsid w:val="00B57FBA"/>
    <w:rsid w:val="00B63DD4"/>
    <w:rsid w:val="00B713D3"/>
    <w:rsid w:val="00B71516"/>
    <w:rsid w:val="00B72392"/>
    <w:rsid w:val="00B777C3"/>
    <w:rsid w:val="00B82843"/>
    <w:rsid w:val="00B85354"/>
    <w:rsid w:val="00B8560D"/>
    <w:rsid w:val="00B859B1"/>
    <w:rsid w:val="00B93841"/>
    <w:rsid w:val="00B974E7"/>
    <w:rsid w:val="00BA18D8"/>
    <w:rsid w:val="00BA2411"/>
    <w:rsid w:val="00BA2E39"/>
    <w:rsid w:val="00BA5C32"/>
    <w:rsid w:val="00BB4ED1"/>
    <w:rsid w:val="00BB636A"/>
    <w:rsid w:val="00BD0866"/>
    <w:rsid w:val="00BD1545"/>
    <w:rsid w:val="00BD4731"/>
    <w:rsid w:val="00BE23E8"/>
    <w:rsid w:val="00C019F5"/>
    <w:rsid w:val="00C02610"/>
    <w:rsid w:val="00C04278"/>
    <w:rsid w:val="00C102CF"/>
    <w:rsid w:val="00C12993"/>
    <w:rsid w:val="00C13B38"/>
    <w:rsid w:val="00C1408C"/>
    <w:rsid w:val="00C15524"/>
    <w:rsid w:val="00C2065F"/>
    <w:rsid w:val="00C23DF8"/>
    <w:rsid w:val="00C36B8F"/>
    <w:rsid w:val="00C415F6"/>
    <w:rsid w:val="00C41977"/>
    <w:rsid w:val="00C45973"/>
    <w:rsid w:val="00C461F0"/>
    <w:rsid w:val="00C4752A"/>
    <w:rsid w:val="00C6064A"/>
    <w:rsid w:val="00C62353"/>
    <w:rsid w:val="00C71703"/>
    <w:rsid w:val="00C8501F"/>
    <w:rsid w:val="00C967BD"/>
    <w:rsid w:val="00C975E4"/>
    <w:rsid w:val="00CA1AF7"/>
    <w:rsid w:val="00CB0BB1"/>
    <w:rsid w:val="00CB0EB1"/>
    <w:rsid w:val="00CB547A"/>
    <w:rsid w:val="00CB5812"/>
    <w:rsid w:val="00CC0116"/>
    <w:rsid w:val="00CD47D4"/>
    <w:rsid w:val="00CD5F69"/>
    <w:rsid w:val="00CE1DB1"/>
    <w:rsid w:val="00CE57C2"/>
    <w:rsid w:val="00CE5ABC"/>
    <w:rsid w:val="00CE6407"/>
    <w:rsid w:val="00CE6C63"/>
    <w:rsid w:val="00CF0774"/>
    <w:rsid w:val="00CF10F4"/>
    <w:rsid w:val="00CF56C7"/>
    <w:rsid w:val="00CF613E"/>
    <w:rsid w:val="00D07819"/>
    <w:rsid w:val="00D14713"/>
    <w:rsid w:val="00D16FF2"/>
    <w:rsid w:val="00D2593F"/>
    <w:rsid w:val="00D3046C"/>
    <w:rsid w:val="00D340AB"/>
    <w:rsid w:val="00D34146"/>
    <w:rsid w:val="00D344A0"/>
    <w:rsid w:val="00D40D83"/>
    <w:rsid w:val="00D4272F"/>
    <w:rsid w:val="00D4709A"/>
    <w:rsid w:val="00D501BC"/>
    <w:rsid w:val="00D50B96"/>
    <w:rsid w:val="00D542D4"/>
    <w:rsid w:val="00D54558"/>
    <w:rsid w:val="00D54C11"/>
    <w:rsid w:val="00D56DE8"/>
    <w:rsid w:val="00D60020"/>
    <w:rsid w:val="00D60AF1"/>
    <w:rsid w:val="00D61B83"/>
    <w:rsid w:val="00D63174"/>
    <w:rsid w:val="00D67FB3"/>
    <w:rsid w:val="00D70AEC"/>
    <w:rsid w:val="00D71FCA"/>
    <w:rsid w:val="00D72838"/>
    <w:rsid w:val="00D8539F"/>
    <w:rsid w:val="00D965B3"/>
    <w:rsid w:val="00DA31FF"/>
    <w:rsid w:val="00DA793F"/>
    <w:rsid w:val="00DB33B8"/>
    <w:rsid w:val="00DB794E"/>
    <w:rsid w:val="00DC258F"/>
    <w:rsid w:val="00DC76EE"/>
    <w:rsid w:val="00DD1057"/>
    <w:rsid w:val="00DD1C2D"/>
    <w:rsid w:val="00DD27E7"/>
    <w:rsid w:val="00DD3E26"/>
    <w:rsid w:val="00DD6106"/>
    <w:rsid w:val="00DE00B8"/>
    <w:rsid w:val="00DE6EE1"/>
    <w:rsid w:val="00DE76C6"/>
    <w:rsid w:val="00DF0378"/>
    <w:rsid w:val="00DF1389"/>
    <w:rsid w:val="00DF1580"/>
    <w:rsid w:val="00DF6641"/>
    <w:rsid w:val="00E0046D"/>
    <w:rsid w:val="00E0571D"/>
    <w:rsid w:val="00E057D0"/>
    <w:rsid w:val="00E0717A"/>
    <w:rsid w:val="00E127C0"/>
    <w:rsid w:val="00E13D5C"/>
    <w:rsid w:val="00E16841"/>
    <w:rsid w:val="00E17768"/>
    <w:rsid w:val="00E17870"/>
    <w:rsid w:val="00E17AA9"/>
    <w:rsid w:val="00E215FA"/>
    <w:rsid w:val="00E26798"/>
    <w:rsid w:val="00E330DE"/>
    <w:rsid w:val="00E33A1C"/>
    <w:rsid w:val="00E3682B"/>
    <w:rsid w:val="00E371C5"/>
    <w:rsid w:val="00E40A32"/>
    <w:rsid w:val="00E42931"/>
    <w:rsid w:val="00E4311B"/>
    <w:rsid w:val="00E43F19"/>
    <w:rsid w:val="00E44489"/>
    <w:rsid w:val="00E456A0"/>
    <w:rsid w:val="00E45BA0"/>
    <w:rsid w:val="00E466FF"/>
    <w:rsid w:val="00E54132"/>
    <w:rsid w:val="00E629FF"/>
    <w:rsid w:val="00E662BE"/>
    <w:rsid w:val="00E66FF7"/>
    <w:rsid w:val="00E72206"/>
    <w:rsid w:val="00E72752"/>
    <w:rsid w:val="00E74943"/>
    <w:rsid w:val="00E77C96"/>
    <w:rsid w:val="00E81EC6"/>
    <w:rsid w:val="00E90EB3"/>
    <w:rsid w:val="00E942BD"/>
    <w:rsid w:val="00E971FC"/>
    <w:rsid w:val="00EA0586"/>
    <w:rsid w:val="00EA7710"/>
    <w:rsid w:val="00EA7CFE"/>
    <w:rsid w:val="00ED0EE3"/>
    <w:rsid w:val="00ED1F8A"/>
    <w:rsid w:val="00ED4681"/>
    <w:rsid w:val="00EE1177"/>
    <w:rsid w:val="00EE1D7E"/>
    <w:rsid w:val="00EE7334"/>
    <w:rsid w:val="00EE7500"/>
    <w:rsid w:val="00EE79A7"/>
    <w:rsid w:val="00EF741A"/>
    <w:rsid w:val="00F02B0C"/>
    <w:rsid w:val="00F0302C"/>
    <w:rsid w:val="00F06939"/>
    <w:rsid w:val="00F12AEE"/>
    <w:rsid w:val="00F12B48"/>
    <w:rsid w:val="00F135E3"/>
    <w:rsid w:val="00F16A50"/>
    <w:rsid w:val="00F17245"/>
    <w:rsid w:val="00F262A1"/>
    <w:rsid w:val="00F3017F"/>
    <w:rsid w:val="00F34DCB"/>
    <w:rsid w:val="00F3704A"/>
    <w:rsid w:val="00F37C4F"/>
    <w:rsid w:val="00F410DF"/>
    <w:rsid w:val="00F41FA5"/>
    <w:rsid w:val="00F44EAB"/>
    <w:rsid w:val="00F649C3"/>
    <w:rsid w:val="00F6560F"/>
    <w:rsid w:val="00F66BBF"/>
    <w:rsid w:val="00F702FD"/>
    <w:rsid w:val="00F73D94"/>
    <w:rsid w:val="00F7463A"/>
    <w:rsid w:val="00F75483"/>
    <w:rsid w:val="00F77AEC"/>
    <w:rsid w:val="00F80D4E"/>
    <w:rsid w:val="00F81144"/>
    <w:rsid w:val="00F83A1F"/>
    <w:rsid w:val="00F85B56"/>
    <w:rsid w:val="00F867F7"/>
    <w:rsid w:val="00F8730A"/>
    <w:rsid w:val="00F90FAA"/>
    <w:rsid w:val="00F911A2"/>
    <w:rsid w:val="00F95007"/>
    <w:rsid w:val="00F95A48"/>
    <w:rsid w:val="00FA2EBC"/>
    <w:rsid w:val="00FB5503"/>
    <w:rsid w:val="00FC6B4E"/>
    <w:rsid w:val="00FD40E6"/>
    <w:rsid w:val="00FD7148"/>
    <w:rsid w:val="00FE4666"/>
    <w:rsid w:val="00FE5A00"/>
    <w:rsid w:val="00FF63F1"/>
    <w:rsid w:val="00FF6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C48F004"/>
  <w15:docId w15:val="{1AAA901B-5D16-460E-81E6-275967855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1"/>
    <w:qFormat/>
    <w:pPr>
      <w:keepNext/>
      <w:ind w:right="-360"/>
      <w:outlineLvl w:val="0"/>
    </w:pPr>
    <w:rPr>
      <w:b/>
      <w:bCs/>
    </w:rPr>
  </w:style>
  <w:style w:type="paragraph" w:styleId="Heading2">
    <w:name w:val="heading 2"/>
    <w:basedOn w:val="Normal"/>
    <w:next w:val="Normal"/>
    <w:link w:val="Heading2Char"/>
    <w:uiPriority w:val="1"/>
    <w:qFormat/>
    <w:pPr>
      <w:keepNext/>
      <w:jc w:val="center"/>
      <w:outlineLvl w:val="1"/>
    </w:pPr>
    <w:rPr>
      <w:b/>
      <w:bCs/>
    </w:rPr>
  </w:style>
  <w:style w:type="paragraph" w:styleId="Heading3">
    <w:name w:val="heading 3"/>
    <w:basedOn w:val="Normal"/>
    <w:next w:val="Normal"/>
    <w:link w:val="Heading3Char"/>
    <w:uiPriority w:val="1"/>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link w:val="BodyTextChar"/>
    <w:uiPriority w:val="1"/>
    <w:qFormat/>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link w:val="BalloonTextChar"/>
    <w:uiPriority w:val="99"/>
    <w:semiHidden/>
    <w:rPr>
      <w:rFonts w:ascii="Tahoma" w:hAnsi="Tahoma" w:cs="Tahoma"/>
      <w:sz w:val="16"/>
      <w:szCs w:val="16"/>
    </w:rPr>
  </w:style>
  <w:style w:type="character" w:styleId="Hyperlink">
    <w:name w:val="Hyperlink"/>
    <w:uiPriority w:val="99"/>
    <w:rPr>
      <w:color w:val="0000FF"/>
      <w:u w:val="single"/>
    </w:rPr>
  </w:style>
  <w:style w:type="paragraph" w:styleId="ListParagraph">
    <w:name w:val="List Paragraph"/>
    <w:aliases w:val="CH Bullets (square),3,POCG Table Text,Bulleted List Level 1,DAI 2,3 heading,Call Out Bullets,List-Bullets,List Paragraph1,Normal Bullet,Bullets,DODEA_Bullet List Box,FooterText,Bullet List,numbered,Paragraphe de liste1,列出段落,列出段落1,リスト段落1"/>
    <w:basedOn w:val="Normal"/>
    <w:link w:val="ListParagraphChar"/>
    <w:qFormat/>
    <w:rsid w:val="00E26798"/>
    <w:pPr>
      <w:ind w:left="720"/>
    </w:pPr>
  </w:style>
  <w:style w:type="paragraph" w:customStyle="1" w:styleId="Level1">
    <w:name w:val="Level 1"/>
    <w:basedOn w:val="Normal"/>
    <w:rsid w:val="0017395A"/>
    <w:pPr>
      <w:widowControl w:val="0"/>
      <w:numPr>
        <w:numId w:val="2"/>
      </w:numPr>
      <w:autoSpaceDE w:val="0"/>
      <w:autoSpaceDN w:val="0"/>
      <w:adjustRightInd w:val="0"/>
      <w:outlineLvl w:val="0"/>
    </w:pPr>
    <w:rPr>
      <w:sz w:val="20"/>
    </w:rPr>
  </w:style>
  <w:style w:type="character" w:styleId="FootnoteReference">
    <w:name w:val="footnote reference"/>
    <w:rsid w:val="00833E4F"/>
  </w:style>
  <w:style w:type="paragraph" w:styleId="FootnoteText">
    <w:name w:val="footnote text"/>
    <w:aliases w:val="F1"/>
    <w:basedOn w:val="Normal"/>
    <w:link w:val="FootnoteTextChar"/>
    <w:rsid w:val="00833E4F"/>
    <w:pPr>
      <w:widowControl w:val="0"/>
    </w:pPr>
    <w:rPr>
      <w:snapToGrid w:val="0"/>
      <w:sz w:val="20"/>
      <w:szCs w:val="20"/>
    </w:rPr>
  </w:style>
  <w:style w:type="character" w:customStyle="1" w:styleId="FootnoteTextChar">
    <w:name w:val="Footnote Text Char"/>
    <w:aliases w:val="F1 Char"/>
    <w:link w:val="FootnoteText"/>
    <w:rsid w:val="00833E4F"/>
    <w:rPr>
      <w:snapToGrid w:val="0"/>
    </w:rPr>
  </w:style>
  <w:style w:type="character" w:customStyle="1" w:styleId="apple-converted-space">
    <w:name w:val="apple-converted-space"/>
    <w:rsid w:val="00833E4F"/>
  </w:style>
  <w:style w:type="character" w:customStyle="1" w:styleId="cit-title">
    <w:name w:val="cit-title"/>
    <w:rsid w:val="00833E4F"/>
  </w:style>
  <w:style w:type="character" w:styleId="HTMLCite">
    <w:name w:val="HTML Cite"/>
    <w:uiPriority w:val="99"/>
    <w:semiHidden/>
    <w:unhideWhenUsed/>
    <w:rsid w:val="00833E4F"/>
    <w:rPr>
      <w:i/>
      <w:iCs/>
    </w:rPr>
  </w:style>
  <w:style w:type="character" w:customStyle="1" w:styleId="cit-vol">
    <w:name w:val="cit-vol"/>
    <w:rsid w:val="00833E4F"/>
  </w:style>
  <w:style w:type="character" w:customStyle="1" w:styleId="cit-sep">
    <w:name w:val="cit-sep"/>
    <w:rsid w:val="00833E4F"/>
  </w:style>
  <w:style w:type="character" w:customStyle="1" w:styleId="cit-first-page">
    <w:name w:val="cit-first-page"/>
    <w:rsid w:val="00833E4F"/>
  </w:style>
  <w:style w:type="character" w:customStyle="1" w:styleId="cit-last-page">
    <w:name w:val="cit-last-page"/>
    <w:rsid w:val="00833E4F"/>
  </w:style>
  <w:style w:type="paragraph" w:customStyle="1" w:styleId="Heading11">
    <w:name w:val="Heading 11"/>
    <w:basedOn w:val="Heading1"/>
    <w:link w:val="HEADING1Char0"/>
    <w:qFormat/>
    <w:rsid w:val="002041C4"/>
    <w:pPr>
      <w:autoSpaceDE w:val="0"/>
      <w:autoSpaceDN w:val="0"/>
      <w:adjustRightInd w:val="0"/>
      <w:spacing w:line="276" w:lineRule="auto"/>
      <w:ind w:right="0"/>
      <w:jc w:val="center"/>
    </w:pPr>
    <w:rPr>
      <w:rFonts w:ascii="Franklin Gothic Book" w:hAnsi="Franklin Gothic Book"/>
      <w:bCs w:val="0"/>
      <w:color w:val="071D8B"/>
      <w:sz w:val="40"/>
      <w:szCs w:val="40"/>
    </w:rPr>
  </w:style>
  <w:style w:type="character" w:customStyle="1" w:styleId="HEADING1Char0">
    <w:name w:val="HEADING 1 Char"/>
    <w:link w:val="Heading11"/>
    <w:rsid w:val="002041C4"/>
    <w:rPr>
      <w:rFonts w:ascii="Franklin Gothic Book" w:hAnsi="Franklin Gothic Book"/>
      <w:b/>
      <w:color w:val="071D8B"/>
      <w:sz w:val="40"/>
      <w:szCs w:val="40"/>
    </w:rPr>
  </w:style>
  <w:style w:type="character" w:customStyle="1" w:styleId="ListParagraphChar">
    <w:name w:val="List Paragraph Char"/>
    <w:aliases w:val="CH Bullets (square) Char,3 Char,POCG Table Text Char,Bulleted List Level 1 Char,DAI 2 Char,3 heading Char,Call Out Bullets Char,List-Bullets Char,List Paragraph1 Char,Normal Bullet Char,Bullets Char,DODEA_Bullet List Box Char"/>
    <w:link w:val="ListParagraph"/>
    <w:locked/>
    <w:rsid w:val="00825E0D"/>
    <w:rPr>
      <w:sz w:val="24"/>
      <w:szCs w:val="24"/>
    </w:rPr>
  </w:style>
  <w:style w:type="character" w:styleId="CommentReference">
    <w:name w:val="annotation reference"/>
    <w:uiPriority w:val="99"/>
    <w:unhideWhenUsed/>
    <w:rsid w:val="00825E0D"/>
    <w:rPr>
      <w:sz w:val="16"/>
      <w:szCs w:val="16"/>
    </w:rPr>
  </w:style>
  <w:style w:type="paragraph" w:styleId="CommentText">
    <w:name w:val="annotation text"/>
    <w:basedOn w:val="Normal"/>
    <w:link w:val="CommentTextChar"/>
    <w:uiPriority w:val="99"/>
    <w:unhideWhenUsed/>
    <w:rsid w:val="00825E0D"/>
    <w:rPr>
      <w:sz w:val="20"/>
      <w:szCs w:val="20"/>
    </w:rPr>
  </w:style>
  <w:style w:type="character" w:customStyle="1" w:styleId="CommentTextChar">
    <w:name w:val="Comment Text Char"/>
    <w:basedOn w:val="DefaultParagraphFont"/>
    <w:link w:val="CommentText"/>
    <w:uiPriority w:val="99"/>
    <w:rsid w:val="00825E0D"/>
  </w:style>
  <w:style w:type="paragraph" w:styleId="CommentSubject">
    <w:name w:val="annotation subject"/>
    <w:basedOn w:val="CommentText"/>
    <w:next w:val="CommentText"/>
    <w:link w:val="CommentSubjectChar"/>
    <w:uiPriority w:val="99"/>
    <w:semiHidden/>
    <w:unhideWhenUsed/>
    <w:rsid w:val="00825E0D"/>
    <w:rPr>
      <w:b/>
      <w:bCs/>
    </w:rPr>
  </w:style>
  <w:style w:type="character" w:customStyle="1" w:styleId="CommentSubjectChar">
    <w:name w:val="Comment Subject Char"/>
    <w:link w:val="CommentSubject"/>
    <w:uiPriority w:val="99"/>
    <w:semiHidden/>
    <w:rsid w:val="00825E0D"/>
    <w:rPr>
      <w:b/>
      <w:bCs/>
    </w:rPr>
  </w:style>
  <w:style w:type="paragraph" w:customStyle="1" w:styleId="Default">
    <w:name w:val="Default"/>
    <w:link w:val="DefaultChar"/>
    <w:rsid w:val="006F243C"/>
    <w:pPr>
      <w:autoSpaceDE w:val="0"/>
      <w:autoSpaceDN w:val="0"/>
      <w:adjustRightInd w:val="0"/>
    </w:pPr>
    <w:rPr>
      <w:rFonts w:ascii="Trebuchet MS" w:eastAsia="Calibri" w:hAnsi="Trebuchet MS" w:cs="Trebuchet MS"/>
      <w:color w:val="000000"/>
      <w:sz w:val="24"/>
      <w:szCs w:val="24"/>
    </w:rPr>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r"/>
    <w:basedOn w:val="Normal"/>
    <w:rsid w:val="005F2D97"/>
    <w:pPr>
      <w:spacing w:after="240" w:line="300" w:lineRule="exact"/>
      <w:ind w:firstLine="720"/>
    </w:pPr>
    <w:rPr>
      <w:sz w:val="22"/>
      <w:szCs w:val="20"/>
    </w:rPr>
  </w:style>
  <w:style w:type="table" w:customStyle="1" w:styleId="TableGrid1">
    <w:name w:val="Table Grid1"/>
    <w:basedOn w:val="TableNormal"/>
    <w:next w:val="TableGrid"/>
    <w:uiPriority w:val="59"/>
    <w:rsid w:val="00660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Value Add Box,pptablecells right columns"/>
    <w:basedOn w:val="TableNormal"/>
    <w:uiPriority w:val="59"/>
    <w:rsid w:val="00660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E72206"/>
    <w:rPr>
      <w:b/>
      <w:bCs/>
      <w:sz w:val="24"/>
      <w:szCs w:val="24"/>
    </w:rPr>
  </w:style>
  <w:style w:type="character" w:customStyle="1" w:styleId="Heading3Char">
    <w:name w:val="Heading 3 Char"/>
    <w:basedOn w:val="DefaultParagraphFont"/>
    <w:link w:val="Heading3"/>
    <w:uiPriority w:val="1"/>
    <w:rsid w:val="00E72206"/>
    <w:rPr>
      <w:b/>
      <w:bCs/>
      <w:sz w:val="24"/>
      <w:szCs w:val="24"/>
    </w:rPr>
  </w:style>
  <w:style w:type="table" w:customStyle="1" w:styleId="TableGrid3">
    <w:name w:val="Table Grid3"/>
    <w:basedOn w:val="TableNormal"/>
    <w:next w:val="TableGrid"/>
    <w:uiPriority w:val="59"/>
    <w:rsid w:val="00E72206"/>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E7811"/>
    <w:rPr>
      <w:color w:val="605E5C"/>
      <w:shd w:val="clear" w:color="auto" w:fill="E1DFDD"/>
    </w:rPr>
  </w:style>
  <w:style w:type="character" w:styleId="FollowedHyperlink">
    <w:name w:val="FollowedHyperlink"/>
    <w:basedOn w:val="DefaultParagraphFont"/>
    <w:uiPriority w:val="99"/>
    <w:semiHidden/>
    <w:unhideWhenUsed/>
    <w:rsid w:val="00662360"/>
    <w:rPr>
      <w:color w:val="919191" w:themeColor="followedHyperlink"/>
      <w:u w:val="single"/>
    </w:rPr>
  </w:style>
  <w:style w:type="paragraph" w:styleId="BlockText">
    <w:name w:val="Block Text"/>
    <w:basedOn w:val="Normal"/>
    <w:rsid w:val="005C47CD"/>
    <w:pPr>
      <w:ind w:left="-288" w:right="-288"/>
      <w:jc w:val="both"/>
    </w:pPr>
    <w:rPr>
      <w:sz w:val="22"/>
      <w:szCs w:val="20"/>
    </w:rPr>
  </w:style>
  <w:style w:type="paragraph" w:customStyle="1" w:styleId="HTMLBody">
    <w:name w:val="HTML Body"/>
    <w:rsid w:val="005C47CD"/>
    <w:pPr>
      <w:autoSpaceDE w:val="0"/>
      <w:autoSpaceDN w:val="0"/>
      <w:adjustRightInd w:val="0"/>
    </w:pPr>
    <w:rPr>
      <w:rFonts w:ascii="Arial" w:hAnsi="Arial"/>
    </w:rPr>
  </w:style>
  <w:style w:type="character" w:customStyle="1" w:styleId="QuickFormat3">
    <w:name w:val="QuickFormat3"/>
    <w:uiPriority w:val="99"/>
    <w:rsid w:val="005C47CD"/>
    <w:rPr>
      <w:rFonts w:ascii="r_thai" w:hAnsi="r_thai" w:cs="r_thai"/>
      <w:b/>
      <w:bCs/>
      <w:i/>
      <w:iCs/>
      <w:color w:val="000000"/>
      <w:sz w:val="20"/>
      <w:szCs w:val="20"/>
    </w:rPr>
  </w:style>
  <w:style w:type="paragraph" w:styleId="NoSpacing">
    <w:name w:val="No Spacing"/>
    <w:uiPriority w:val="1"/>
    <w:qFormat/>
    <w:rsid w:val="005C47CD"/>
    <w:rPr>
      <w:rFonts w:eastAsia="Calibri"/>
      <w:sz w:val="24"/>
      <w:szCs w:val="22"/>
    </w:rPr>
  </w:style>
  <w:style w:type="character" w:customStyle="1" w:styleId="DefaultChar">
    <w:name w:val="Default Char"/>
    <w:basedOn w:val="DefaultParagraphFont"/>
    <w:link w:val="Default"/>
    <w:locked/>
    <w:rsid w:val="002D2DB9"/>
    <w:rPr>
      <w:rFonts w:ascii="Trebuchet MS" w:eastAsia="Calibri" w:hAnsi="Trebuchet MS" w:cs="Trebuchet MS"/>
      <w:color w:val="000000"/>
      <w:sz w:val="24"/>
      <w:szCs w:val="24"/>
    </w:rPr>
  </w:style>
  <w:style w:type="paragraph" w:customStyle="1" w:styleId="ReferenceCitation">
    <w:name w:val="Reference Citation"/>
    <w:basedOn w:val="Normal"/>
    <w:rsid w:val="00CD5F69"/>
    <w:pPr>
      <w:spacing w:after="240"/>
    </w:pPr>
    <w:rPr>
      <w:rFonts w:eastAsiaTheme="minorHAnsi"/>
    </w:rPr>
  </w:style>
  <w:style w:type="paragraph" w:customStyle="1" w:styleId="L1-FlLSp12">
    <w:name w:val="L1-FlL Sp&amp;1/2"/>
    <w:basedOn w:val="Normal"/>
    <w:link w:val="L1-FlLSp12Char"/>
    <w:rsid w:val="00AD75DC"/>
    <w:pPr>
      <w:tabs>
        <w:tab w:val="left" w:pos="1152"/>
      </w:tabs>
      <w:spacing w:line="360" w:lineRule="atLeast"/>
    </w:pPr>
    <w:rPr>
      <w:rFonts w:ascii="Garamond" w:hAnsi="Garamond"/>
      <w:szCs w:val="20"/>
    </w:rPr>
  </w:style>
  <w:style w:type="character" w:customStyle="1" w:styleId="L1-FlLSp12Char">
    <w:name w:val="L1-FlL Sp&amp;1/2 Char"/>
    <w:basedOn w:val="DefaultParagraphFont"/>
    <w:link w:val="L1-FlLSp12"/>
    <w:rsid w:val="00AD75DC"/>
    <w:rPr>
      <w:rFonts w:ascii="Garamond" w:hAnsi="Garamond"/>
      <w:sz w:val="24"/>
    </w:rPr>
  </w:style>
  <w:style w:type="character" w:customStyle="1" w:styleId="UnresolvedMention2">
    <w:name w:val="Unresolved Mention2"/>
    <w:basedOn w:val="DefaultParagraphFont"/>
    <w:uiPriority w:val="99"/>
    <w:semiHidden/>
    <w:unhideWhenUsed/>
    <w:rsid w:val="00D40D83"/>
    <w:rPr>
      <w:color w:val="605E5C"/>
      <w:shd w:val="clear" w:color="auto" w:fill="E1DFDD"/>
    </w:rPr>
  </w:style>
  <w:style w:type="character" w:customStyle="1" w:styleId="Heading1Char">
    <w:name w:val="Heading 1 Char"/>
    <w:basedOn w:val="DefaultParagraphFont"/>
    <w:link w:val="Heading1"/>
    <w:uiPriority w:val="1"/>
    <w:rsid w:val="00E54132"/>
    <w:rPr>
      <w:b/>
      <w:bCs/>
      <w:sz w:val="24"/>
      <w:szCs w:val="24"/>
    </w:rPr>
  </w:style>
  <w:style w:type="character" w:customStyle="1" w:styleId="BodyTextChar">
    <w:name w:val="Body Text Char"/>
    <w:basedOn w:val="DefaultParagraphFont"/>
    <w:link w:val="BodyText"/>
    <w:uiPriority w:val="1"/>
    <w:rsid w:val="00E54132"/>
    <w:rPr>
      <w:i/>
      <w:iCs/>
      <w:snapToGrid w:val="0"/>
    </w:rPr>
  </w:style>
  <w:style w:type="paragraph" w:styleId="Title">
    <w:name w:val="Title"/>
    <w:basedOn w:val="Normal"/>
    <w:link w:val="TitleChar"/>
    <w:uiPriority w:val="10"/>
    <w:qFormat/>
    <w:rsid w:val="00E54132"/>
    <w:pPr>
      <w:widowControl w:val="0"/>
      <w:autoSpaceDE w:val="0"/>
      <w:autoSpaceDN w:val="0"/>
      <w:spacing w:before="115"/>
      <w:ind w:left="811" w:right="886"/>
    </w:pPr>
    <w:rPr>
      <w:rFonts w:ascii="Franklin Gothic Medium" w:eastAsia="Franklin Gothic Medium" w:hAnsi="Franklin Gothic Medium" w:cs="Franklin Gothic Medium"/>
      <w:sz w:val="44"/>
      <w:szCs w:val="44"/>
    </w:rPr>
  </w:style>
  <w:style w:type="character" w:customStyle="1" w:styleId="TitleChar">
    <w:name w:val="Title Char"/>
    <w:basedOn w:val="DefaultParagraphFont"/>
    <w:link w:val="Title"/>
    <w:uiPriority w:val="10"/>
    <w:rsid w:val="00E54132"/>
    <w:rPr>
      <w:rFonts w:ascii="Franklin Gothic Medium" w:eastAsia="Franklin Gothic Medium" w:hAnsi="Franklin Gothic Medium" w:cs="Franklin Gothic Medium"/>
      <w:sz w:val="44"/>
      <w:szCs w:val="44"/>
    </w:rPr>
  </w:style>
  <w:style w:type="paragraph" w:customStyle="1" w:styleId="TableParagraph">
    <w:name w:val="Table Paragraph"/>
    <w:basedOn w:val="Normal"/>
    <w:uiPriority w:val="1"/>
    <w:qFormat/>
    <w:rsid w:val="00E54132"/>
    <w:pPr>
      <w:widowControl w:val="0"/>
      <w:autoSpaceDE w:val="0"/>
      <w:autoSpaceDN w:val="0"/>
    </w:pPr>
    <w:rPr>
      <w:rFonts w:ascii="Calibri" w:eastAsia="Calibri" w:hAnsi="Calibri" w:cs="Calibri"/>
      <w:sz w:val="22"/>
      <w:szCs w:val="22"/>
    </w:rPr>
  </w:style>
  <w:style w:type="character" w:customStyle="1" w:styleId="HeaderChar">
    <w:name w:val="Header Char"/>
    <w:basedOn w:val="DefaultParagraphFont"/>
    <w:link w:val="Header"/>
    <w:uiPriority w:val="99"/>
    <w:rsid w:val="00E54132"/>
    <w:rPr>
      <w:snapToGrid w:val="0"/>
      <w:sz w:val="24"/>
      <w:szCs w:val="24"/>
    </w:rPr>
  </w:style>
  <w:style w:type="character" w:customStyle="1" w:styleId="FooterChar">
    <w:name w:val="Footer Char"/>
    <w:basedOn w:val="DefaultParagraphFont"/>
    <w:link w:val="Footer"/>
    <w:uiPriority w:val="99"/>
    <w:rsid w:val="00E54132"/>
    <w:rPr>
      <w:sz w:val="24"/>
      <w:szCs w:val="24"/>
    </w:rPr>
  </w:style>
  <w:style w:type="character" w:customStyle="1" w:styleId="BalloonTextChar">
    <w:name w:val="Balloon Text Char"/>
    <w:basedOn w:val="DefaultParagraphFont"/>
    <w:link w:val="BalloonText"/>
    <w:uiPriority w:val="99"/>
    <w:semiHidden/>
    <w:rsid w:val="00E54132"/>
    <w:rPr>
      <w:rFonts w:ascii="Tahoma" w:hAnsi="Tahoma" w:cs="Tahoma"/>
      <w:sz w:val="16"/>
      <w:szCs w:val="16"/>
    </w:rPr>
  </w:style>
  <w:style w:type="paragraph" w:customStyle="1" w:styleId="2ndlevellist">
    <w:name w:val="2nd level list"/>
    <w:basedOn w:val="ListParagraph"/>
    <w:link w:val="2ndlevellistChar"/>
    <w:qFormat/>
    <w:rsid w:val="00D60020"/>
    <w:pPr>
      <w:numPr>
        <w:ilvl w:val="3"/>
        <w:numId w:val="21"/>
      </w:numPr>
      <w:contextualSpacing/>
    </w:pPr>
    <w:rPr>
      <w:rFonts w:eastAsia="Calibri"/>
      <w:sz w:val="22"/>
      <w:szCs w:val="22"/>
    </w:rPr>
  </w:style>
  <w:style w:type="character" w:customStyle="1" w:styleId="2ndlevellistChar">
    <w:name w:val="2nd level list Char"/>
    <w:link w:val="2ndlevellist"/>
    <w:rsid w:val="00D60020"/>
    <w:rPr>
      <w:rFonts w:eastAsia="Calibri"/>
      <w:sz w:val="22"/>
      <w:szCs w:val="22"/>
    </w:rPr>
  </w:style>
  <w:style w:type="paragraph" w:customStyle="1" w:styleId="ModeratorInstructions">
    <w:name w:val="Moderator Instructions"/>
    <w:basedOn w:val="Normal"/>
    <w:link w:val="ModeratorInstructionsChar"/>
    <w:qFormat/>
    <w:rsid w:val="00D60020"/>
    <w:pPr>
      <w:spacing w:before="120" w:after="200" w:line="276" w:lineRule="auto"/>
    </w:pPr>
    <w:rPr>
      <w:rFonts w:ascii="Arial" w:eastAsia="Calibri" w:hAnsi="Arial"/>
      <w:caps/>
      <w:color w:val="4F81BD"/>
      <w:sz w:val="22"/>
      <w:szCs w:val="22"/>
    </w:rPr>
  </w:style>
  <w:style w:type="character" w:customStyle="1" w:styleId="ModeratorInstructionsChar">
    <w:name w:val="Moderator Instructions Char"/>
    <w:link w:val="ModeratorInstructions"/>
    <w:rsid w:val="00D60020"/>
    <w:rPr>
      <w:rFonts w:ascii="Arial" w:eastAsia="Calibri" w:hAnsi="Arial"/>
      <w:caps/>
      <w:color w:val="4F81BD"/>
      <w:sz w:val="22"/>
      <w:szCs w:val="22"/>
    </w:rPr>
  </w:style>
  <w:style w:type="paragraph" w:styleId="Revision">
    <w:name w:val="Revision"/>
    <w:hidden/>
    <w:uiPriority w:val="99"/>
    <w:semiHidden/>
    <w:rsid w:val="00C019F5"/>
    <w:rPr>
      <w:sz w:val="24"/>
      <w:szCs w:val="24"/>
    </w:rPr>
  </w:style>
  <w:style w:type="character" w:styleId="UnresolvedMention">
    <w:name w:val="Unresolved Mention"/>
    <w:basedOn w:val="DefaultParagraphFont"/>
    <w:uiPriority w:val="99"/>
    <w:semiHidden/>
    <w:unhideWhenUsed/>
    <w:rsid w:val="00E17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650549">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587273355">
      <w:bodyDiv w:val="1"/>
      <w:marLeft w:val="0"/>
      <w:marRight w:val="0"/>
      <w:marTop w:val="0"/>
      <w:marBottom w:val="0"/>
      <w:divBdr>
        <w:top w:val="none" w:sz="0" w:space="0" w:color="auto"/>
        <w:left w:val="none" w:sz="0" w:space="0" w:color="auto"/>
        <w:bottom w:val="none" w:sz="0" w:space="0" w:color="auto"/>
        <w:right w:val="none" w:sz="0" w:space="0" w:color="auto"/>
      </w:divBdr>
    </w:div>
    <w:div w:id="800654607">
      <w:bodyDiv w:val="1"/>
      <w:marLeft w:val="0"/>
      <w:marRight w:val="0"/>
      <w:marTop w:val="0"/>
      <w:marBottom w:val="0"/>
      <w:divBdr>
        <w:top w:val="none" w:sz="0" w:space="0" w:color="auto"/>
        <w:left w:val="none" w:sz="0" w:space="0" w:color="auto"/>
        <w:bottom w:val="none" w:sz="0" w:space="0" w:color="auto"/>
        <w:right w:val="none" w:sz="0" w:space="0" w:color="auto"/>
      </w:divBdr>
    </w:div>
    <w:div w:id="1056009222">
      <w:bodyDiv w:val="1"/>
      <w:marLeft w:val="0"/>
      <w:marRight w:val="0"/>
      <w:marTop w:val="0"/>
      <w:marBottom w:val="0"/>
      <w:divBdr>
        <w:top w:val="none" w:sz="0" w:space="0" w:color="auto"/>
        <w:left w:val="none" w:sz="0" w:space="0" w:color="auto"/>
        <w:bottom w:val="none" w:sz="0" w:space="0" w:color="auto"/>
        <w:right w:val="none" w:sz="0" w:space="0" w:color="auto"/>
      </w:divBdr>
      <w:divsChild>
        <w:div w:id="1503006566">
          <w:marLeft w:val="0"/>
          <w:marRight w:val="0"/>
          <w:marTop w:val="0"/>
          <w:marBottom w:val="0"/>
          <w:divBdr>
            <w:top w:val="none" w:sz="0" w:space="0" w:color="auto"/>
            <w:left w:val="none" w:sz="0" w:space="0" w:color="auto"/>
            <w:bottom w:val="none" w:sz="0" w:space="0" w:color="auto"/>
            <w:right w:val="none" w:sz="0" w:space="0" w:color="auto"/>
          </w:divBdr>
          <w:divsChild>
            <w:div w:id="1093235999">
              <w:marLeft w:val="0"/>
              <w:marRight w:val="0"/>
              <w:marTop w:val="0"/>
              <w:marBottom w:val="0"/>
              <w:divBdr>
                <w:top w:val="none" w:sz="0" w:space="0" w:color="auto"/>
                <w:left w:val="none" w:sz="0" w:space="0" w:color="auto"/>
                <w:bottom w:val="none" w:sz="0" w:space="0" w:color="auto"/>
                <w:right w:val="none" w:sz="0" w:space="0" w:color="auto"/>
              </w:divBdr>
              <w:divsChild>
                <w:div w:id="1605653114">
                  <w:marLeft w:val="0"/>
                  <w:marRight w:val="0"/>
                  <w:marTop w:val="0"/>
                  <w:marBottom w:val="0"/>
                  <w:divBdr>
                    <w:top w:val="single" w:sz="6" w:space="0" w:color="CCCCCC"/>
                    <w:left w:val="single" w:sz="6" w:space="0" w:color="CCCCCC"/>
                    <w:bottom w:val="single" w:sz="6" w:space="0" w:color="CCCCCC"/>
                    <w:right w:val="single" w:sz="6" w:space="0" w:color="CCCCCC"/>
                  </w:divBdr>
                  <w:divsChild>
                    <w:div w:id="671027914">
                      <w:marLeft w:val="0"/>
                      <w:marRight w:val="0"/>
                      <w:marTop w:val="0"/>
                      <w:marBottom w:val="0"/>
                      <w:divBdr>
                        <w:top w:val="none" w:sz="0" w:space="0" w:color="auto"/>
                        <w:left w:val="none" w:sz="0" w:space="0" w:color="auto"/>
                        <w:bottom w:val="none" w:sz="0" w:space="0" w:color="auto"/>
                        <w:right w:val="none" w:sz="0" w:space="0" w:color="auto"/>
                      </w:divBdr>
                      <w:divsChild>
                        <w:div w:id="409736461">
                          <w:marLeft w:val="0"/>
                          <w:marRight w:val="0"/>
                          <w:marTop w:val="0"/>
                          <w:marBottom w:val="0"/>
                          <w:divBdr>
                            <w:top w:val="none" w:sz="0" w:space="0" w:color="auto"/>
                            <w:left w:val="none" w:sz="0" w:space="0" w:color="auto"/>
                            <w:bottom w:val="none" w:sz="0" w:space="0" w:color="auto"/>
                            <w:right w:val="none" w:sz="0" w:space="0" w:color="auto"/>
                          </w:divBdr>
                          <w:divsChild>
                            <w:div w:id="317391369">
                              <w:marLeft w:val="0"/>
                              <w:marRight w:val="0"/>
                              <w:marTop w:val="0"/>
                              <w:marBottom w:val="0"/>
                              <w:divBdr>
                                <w:top w:val="none" w:sz="0" w:space="0" w:color="auto"/>
                                <w:left w:val="none" w:sz="0" w:space="0" w:color="auto"/>
                                <w:bottom w:val="none" w:sz="0" w:space="0" w:color="auto"/>
                                <w:right w:val="none" w:sz="0" w:space="0" w:color="auto"/>
                              </w:divBdr>
                              <w:divsChild>
                                <w:div w:id="59436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378645">
      <w:bodyDiv w:val="1"/>
      <w:marLeft w:val="0"/>
      <w:marRight w:val="0"/>
      <w:marTop w:val="0"/>
      <w:marBottom w:val="0"/>
      <w:divBdr>
        <w:top w:val="none" w:sz="0" w:space="0" w:color="auto"/>
        <w:left w:val="none" w:sz="0" w:space="0" w:color="auto"/>
        <w:bottom w:val="none" w:sz="0" w:space="0" w:color="auto"/>
        <w:right w:val="none" w:sz="0" w:space="0" w:color="auto"/>
      </w:divBdr>
    </w:div>
    <w:div w:id="1650865265">
      <w:bodyDiv w:val="1"/>
      <w:marLeft w:val="0"/>
      <w:marRight w:val="0"/>
      <w:marTop w:val="0"/>
      <w:marBottom w:val="0"/>
      <w:divBdr>
        <w:top w:val="none" w:sz="0" w:space="0" w:color="auto"/>
        <w:left w:val="none" w:sz="0" w:space="0" w:color="auto"/>
        <w:bottom w:val="none" w:sz="0" w:space="0" w:color="auto"/>
        <w:right w:val="none" w:sz="0" w:space="0" w:color="auto"/>
      </w:divBdr>
    </w:div>
    <w:div w:id="1735156523">
      <w:bodyDiv w:val="1"/>
      <w:marLeft w:val="0"/>
      <w:marRight w:val="0"/>
      <w:marTop w:val="0"/>
      <w:marBottom w:val="0"/>
      <w:divBdr>
        <w:top w:val="none" w:sz="0" w:space="0" w:color="auto"/>
        <w:left w:val="none" w:sz="0" w:space="0" w:color="auto"/>
        <w:bottom w:val="none" w:sz="0" w:space="0" w:color="auto"/>
        <w:right w:val="none" w:sz="0" w:space="0" w:color="auto"/>
      </w:divBdr>
    </w:div>
    <w:div w:id="197429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ini.Bean@fda.hh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mie.odonoghue@fda.hhs.gov"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893E28C-B66D-4DEF-A419-CC1A6682D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3223</Words>
  <Characters>18532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21712</CharactersWithSpaces>
  <SharedDoc>false</SharedDoc>
  <HLinks>
    <vt:vector size="12" baseType="variant">
      <vt:variant>
        <vt:i4>2949125</vt:i4>
      </vt:variant>
      <vt:variant>
        <vt:i4>3</vt:i4>
      </vt:variant>
      <vt:variant>
        <vt:i4>0</vt:i4>
      </vt:variant>
      <vt:variant>
        <vt:i4>5</vt:i4>
      </vt:variant>
      <vt:variant>
        <vt:lpwstr>mailto:Domini.Bean@fda.hhs.gov</vt:lpwstr>
      </vt:variant>
      <vt:variant>
        <vt:lpwstr/>
      </vt:variant>
      <vt:variant>
        <vt:i4>655431</vt:i4>
      </vt:variant>
      <vt:variant>
        <vt:i4>0</vt:i4>
      </vt:variant>
      <vt:variant>
        <vt:i4>0</vt:i4>
      </vt:variant>
      <vt:variant>
        <vt:i4>5</vt:i4>
      </vt:variant>
      <vt:variant>
        <vt:lpwstr>http://factfinder.census.gov/faces/nav/jsf/pages/index.xhtml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dc:description/>
  <cp:lastModifiedBy>Mizrachi, Ila</cp:lastModifiedBy>
  <cp:revision>3</cp:revision>
  <cp:lastPrinted>2010-11-01T17:07:00Z</cp:lastPrinted>
  <dcterms:created xsi:type="dcterms:W3CDTF">2021-12-14T16:10:00Z</dcterms:created>
  <dcterms:modified xsi:type="dcterms:W3CDTF">2021-12-14T16:12:00Z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