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5E91" w:rsidR="006E08B5" w:rsidP="006E08B5" w:rsidRDefault="006E08B5" w14:paraId="677BCD38" w14:textId="77777777">
      <w:pPr>
        <w:pStyle w:val="Heading2"/>
        <w:tabs>
          <w:tab w:val="left" w:pos="900"/>
        </w:tabs>
        <w:ind w:right="-180"/>
      </w:pPr>
      <w:r w:rsidRPr="00DF5E91">
        <w:t>FDA DOCUMENTATION FOR THE GENERIC CLEARANCE</w:t>
      </w:r>
    </w:p>
    <w:p w:rsidRPr="00DF5E91" w:rsidR="006E08B5" w:rsidP="006E08B5" w:rsidRDefault="006E08B5" w14:paraId="137CDDB3" w14:textId="77777777">
      <w:pPr>
        <w:jc w:val="center"/>
      </w:pPr>
      <w:r w:rsidRPr="00DF5E91">
        <w:rPr>
          <w:b/>
        </w:rPr>
        <w:t>OF COMMUNICATION TESTING FOR DRUG PRODUCTS (0910-0695)</w:t>
      </w:r>
    </w:p>
    <w:p w:rsidRPr="007732BF" w:rsidR="006F243C" w:rsidP="006F243C" w:rsidRDefault="006F243C" w14:paraId="7D389E2B" w14:textId="1CA5F0C8">
      <w:pPr>
        <w:jc w:val="center"/>
        <w:rPr>
          <w:color w:val="000000" w:themeColor="text1"/>
        </w:rPr>
      </w:pPr>
    </w:p>
    <w:p w:rsidRPr="007732BF" w:rsidR="003F1C7A" w:rsidRDefault="009D0571" w14:paraId="0018C4B9" w14:textId="77777777">
      <w:pPr>
        <w:rPr>
          <w:color w:val="000000" w:themeColor="text1"/>
        </w:rPr>
      </w:pPr>
      <w:r w:rsidRPr="007732BF">
        <w:rPr>
          <w:noProof/>
          <w:color w:val="000000" w:themeColor="text1"/>
          <w:sz w:val="18"/>
          <w:szCs w:val="18"/>
        </w:rPr>
        <mc:AlternateContent>
          <mc:Choice Requires="wps">
            <w:drawing>
              <wp:anchor distT="0" distB="0" distL="114300" distR="114300" simplePos="0" relativeHeight="251657728" behindDoc="0" locked="0" layoutInCell="1" allowOverlap="1" wp14:editId="4B2316FB" wp14:anchorId="0CFFC487">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9pt,3.8pt" to="459pt,3.8pt" w14:anchorId="7C1B7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w:pict>
          </mc:Fallback>
        </mc:AlternateContent>
      </w:r>
    </w:p>
    <w:p w:rsidRPr="007732BF" w:rsidR="00310E51" w:rsidP="005E23BA" w:rsidRDefault="00310E51" w14:paraId="513F8C4D" w14:textId="77777777">
      <w:pPr>
        <w:spacing w:before="120"/>
        <w:rPr>
          <w:b/>
          <w:color w:val="000000" w:themeColor="text1"/>
        </w:rPr>
      </w:pPr>
    </w:p>
    <w:p w:rsidRPr="007732BF" w:rsidR="00614F6F" w:rsidP="002009DF" w:rsidRDefault="003F1C7A" w14:paraId="3D2B74A7" w14:textId="498F9D98">
      <w:pPr>
        <w:rPr>
          <w:color w:val="000000" w:themeColor="text1"/>
        </w:rPr>
      </w:pPr>
      <w:r w:rsidRPr="007732BF">
        <w:rPr>
          <w:b/>
          <w:color w:val="000000" w:themeColor="text1"/>
        </w:rPr>
        <w:t>TITLE OF INFORMATION COLLECTION:</w:t>
      </w:r>
      <w:r w:rsidRPr="007732BF">
        <w:rPr>
          <w:color w:val="000000" w:themeColor="text1"/>
        </w:rPr>
        <w:t xml:space="preserve"> </w:t>
      </w:r>
      <w:r w:rsidR="002F2BEA">
        <w:rPr>
          <w:color w:val="000000" w:themeColor="text1"/>
        </w:rPr>
        <w:t xml:space="preserve">One-on-One Interviews: </w:t>
      </w:r>
      <w:r w:rsidRPr="007732BF" w:rsidR="00EB28D4">
        <w:rPr>
          <w:color w:val="000000" w:themeColor="text1"/>
        </w:rPr>
        <w:t xml:space="preserve">Tradeoff Analysis of Risk, Benefit, and Adherence Claims in DTC and HCP Promotion </w:t>
      </w:r>
      <w:r w:rsidR="00B80793">
        <w:rPr>
          <w:color w:val="000000" w:themeColor="text1"/>
        </w:rPr>
        <w:t xml:space="preserve"> </w:t>
      </w:r>
    </w:p>
    <w:p w:rsidRPr="007732BF" w:rsidR="003F1C7A" w:rsidRDefault="003F1C7A" w14:paraId="47270854" w14:textId="77777777">
      <w:pPr>
        <w:rPr>
          <w:color w:val="000000" w:themeColor="text1"/>
        </w:rPr>
      </w:pPr>
    </w:p>
    <w:p w:rsidRPr="007732BF" w:rsidR="003F1C7A" w:rsidRDefault="003F1C7A" w14:paraId="3F775A4E" w14:textId="77777777">
      <w:pPr>
        <w:spacing w:after="120"/>
        <w:rPr>
          <w:color w:val="000000" w:themeColor="text1"/>
        </w:rPr>
      </w:pPr>
      <w:r w:rsidRPr="007732BF">
        <w:rPr>
          <w:b/>
          <w:color w:val="000000" w:themeColor="text1"/>
        </w:rPr>
        <w:t>DESCRIPTION OF THIS SPECIFIC COLLECTION</w:t>
      </w:r>
      <w:r w:rsidRPr="007732BF">
        <w:rPr>
          <w:color w:val="000000" w:themeColor="text1"/>
        </w:rPr>
        <w:t xml:space="preserve"> </w:t>
      </w:r>
    </w:p>
    <w:p w:rsidRPr="007732BF" w:rsidR="003F1C7A" w:rsidP="00A002E2" w:rsidRDefault="0049419A" w14:paraId="60D0295E" w14:textId="77777777">
      <w:pPr>
        <w:numPr>
          <w:ilvl w:val="0"/>
          <w:numId w:val="1"/>
        </w:numPr>
        <w:tabs>
          <w:tab w:val="num" w:pos="720"/>
        </w:tabs>
        <w:ind w:left="360" w:firstLine="0"/>
        <w:rPr>
          <w:color w:val="000000" w:themeColor="text1"/>
        </w:rPr>
      </w:pPr>
      <w:r w:rsidRPr="007732BF">
        <w:rPr>
          <w:b/>
          <w:color w:val="000000" w:themeColor="text1"/>
        </w:rPr>
        <w:t>Statement of n</w:t>
      </w:r>
      <w:r w:rsidRPr="007732BF" w:rsidR="00F12AEE">
        <w:rPr>
          <w:b/>
          <w:color w:val="000000" w:themeColor="text1"/>
        </w:rPr>
        <w:t>eed</w:t>
      </w:r>
      <w:r w:rsidRPr="007732BF" w:rsidR="003F1C7A">
        <w:rPr>
          <w:b/>
          <w:color w:val="000000" w:themeColor="text1"/>
        </w:rPr>
        <w:t>:</w:t>
      </w:r>
      <w:r w:rsidRPr="007732BF" w:rsidR="003F1C7A">
        <w:rPr>
          <w:color w:val="000000" w:themeColor="text1"/>
        </w:rPr>
        <w:t xml:space="preserve">  </w:t>
      </w:r>
    </w:p>
    <w:p w:rsidRPr="007732BF" w:rsidR="00BA5C32" w:rsidP="00BA5C32" w:rsidRDefault="00BA5C32" w14:paraId="2CCFDC7B" w14:textId="77777777">
      <w:pPr>
        <w:ind w:left="360"/>
        <w:rPr>
          <w:color w:val="000000" w:themeColor="text1"/>
        </w:rPr>
      </w:pPr>
    </w:p>
    <w:p w:rsidRPr="007732BF" w:rsidR="00EF39A3" w:rsidP="00EF39A3" w:rsidRDefault="00EF39A3" w14:paraId="0BB0E46C" w14:textId="616B40D0">
      <w:pPr>
        <w:ind w:left="720"/>
        <w:rPr>
          <w:color w:val="000000" w:themeColor="text1"/>
        </w:rPr>
      </w:pPr>
      <w:r w:rsidRPr="007732BF">
        <w:rPr>
          <w:color w:val="000000" w:themeColor="text1"/>
        </w:rPr>
        <w:t xml:space="preserve">People tend to make choices </w:t>
      </w:r>
      <w:r w:rsidRPr="007732BF" w:rsidR="0011534C">
        <w:rPr>
          <w:color w:val="000000" w:themeColor="text1"/>
        </w:rPr>
        <w:t xml:space="preserve">about their health and </w:t>
      </w:r>
      <w:r w:rsidRPr="007732BF" w:rsidR="00E73901">
        <w:rPr>
          <w:color w:val="000000" w:themeColor="text1"/>
        </w:rPr>
        <w:t xml:space="preserve">medical </w:t>
      </w:r>
      <w:r w:rsidRPr="007732BF" w:rsidR="0011534C">
        <w:rPr>
          <w:color w:val="000000" w:themeColor="text1"/>
        </w:rPr>
        <w:t>trea</w:t>
      </w:r>
      <w:r w:rsidRPr="007732BF" w:rsidR="00E73901">
        <w:rPr>
          <w:color w:val="000000" w:themeColor="text1"/>
        </w:rPr>
        <w:t xml:space="preserve">tments </w:t>
      </w:r>
      <w:r w:rsidRPr="007732BF">
        <w:rPr>
          <w:color w:val="000000" w:themeColor="text1"/>
        </w:rPr>
        <w:t xml:space="preserve">that reflect tradeoffs in their preferences for features of the options available to them. </w:t>
      </w:r>
      <w:r w:rsidR="0047456D">
        <w:rPr>
          <w:color w:val="000000" w:themeColor="text1"/>
        </w:rPr>
        <w:t xml:space="preserve">Information about product attributes, characteristics, expected beneficial and undesirable effects, and promotional claims </w:t>
      </w:r>
      <w:r w:rsidRPr="007732BF" w:rsidR="0047456D">
        <w:rPr>
          <w:color w:val="000000" w:themeColor="text1"/>
        </w:rPr>
        <w:t>ha</w:t>
      </w:r>
      <w:r w:rsidR="0047456D">
        <w:rPr>
          <w:color w:val="000000" w:themeColor="text1"/>
        </w:rPr>
        <w:t>ve the</w:t>
      </w:r>
      <w:r w:rsidRPr="007732BF" w:rsidR="0047456D">
        <w:rPr>
          <w:color w:val="000000" w:themeColor="text1"/>
        </w:rPr>
        <w:t xml:space="preserve"> </w:t>
      </w:r>
      <w:r w:rsidRPr="007732BF">
        <w:rPr>
          <w:color w:val="000000" w:themeColor="text1"/>
        </w:rPr>
        <w:t>potential to influence consumer and health care provider (HCP) perceptions and preferences for different treatment options.</w:t>
      </w:r>
    </w:p>
    <w:p w:rsidRPr="007732BF" w:rsidR="00EF39A3" w:rsidP="00EF39A3" w:rsidRDefault="00EF39A3" w14:paraId="1C37B6B6" w14:textId="77777777">
      <w:pPr>
        <w:ind w:left="720"/>
        <w:rPr>
          <w:color w:val="000000" w:themeColor="text1"/>
        </w:rPr>
      </w:pPr>
    </w:p>
    <w:p w:rsidRPr="007732BF" w:rsidR="00EF39A3" w:rsidP="00EF39A3" w:rsidRDefault="00EF39A3" w14:paraId="206935CB" w14:textId="0870F940">
      <w:pPr>
        <w:ind w:left="720"/>
        <w:rPr>
          <w:rFonts w:eastAsia="SimSun"/>
          <w:color w:val="000000" w:themeColor="text1"/>
          <w:szCs w:val="22"/>
          <w:lang w:eastAsia="zh-CN"/>
        </w:rPr>
      </w:pPr>
      <w:r w:rsidRPr="007732BF">
        <w:rPr>
          <w:color w:val="000000" w:themeColor="text1"/>
        </w:rPr>
        <w:t xml:space="preserve">Understanding how patients make tradeoffs among drug product characteristics—and how these tradeoffs differ from physician preferences—will provide valuable insight into the relevance and impact of various product </w:t>
      </w:r>
      <w:r w:rsidR="0047456D">
        <w:rPr>
          <w:color w:val="000000" w:themeColor="text1"/>
        </w:rPr>
        <w:t xml:space="preserve">attributes and </w:t>
      </w:r>
      <w:r w:rsidRPr="007732BF">
        <w:rPr>
          <w:color w:val="000000" w:themeColor="text1"/>
        </w:rPr>
        <w:t>promotion</w:t>
      </w:r>
      <w:r w:rsidR="0047456D">
        <w:rPr>
          <w:color w:val="000000" w:themeColor="text1"/>
        </w:rPr>
        <w:t>al</w:t>
      </w:r>
      <w:r w:rsidRPr="007732BF">
        <w:rPr>
          <w:color w:val="000000" w:themeColor="text1"/>
        </w:rPr>
        <w:t xml:space="preserve"> claims on treatment decisions and informed choice.</w:t>
      </w:r>
      <w:r w:rsidRPr="007732BF">
        <w:rPr>
          <w:rFonts w:eastAsia="SimSun"/>
          <w:color w:val="000000" w:themeColor="text1"/>
          <w:szCs w:val="22"/>
          <w:lang w:eastAsia="zh-CN"/>
        </w:rPr>
        <w:t xml:space="preserve"> </w:t>
      </w:r>
    </w:p>
    <w:p w:rsidRPr="007732BF" w:rsidR="00EF39A3" w:rsidP="00EF39A3" w:rsidRDefault="00EF39A3" w14:paraId="7F415FC5" w14:textId="77777777">
      <w:pPr>
        <w:ind w:left="720"/>
        <w:rPr>
          <w:rFonts w:eastAsia="SimSun"/>
          <w:color w:val="000000" w:themeColor="text1"/>
          <w:szCs w:val="22"/>
          <w:lang w:eastAsia="zh-CN"/>
        </w:rPr>
      </w:pPr>
    </w:p>
    <w:p w:rsidRPr="007732BF" w:rsidR="00EF39A3" w:rsidP="00EF39A3" w:rsidRDefault="00E73901" w14:paraId="0A03FD29" w14:textId="4DF8F296">
      <w:pPr>
        <w:ind w:left="720"/>
        <w:rPr>
          <w:color w:val="000000" w:themeColor="text1"/>
        </w:rPr>
      </w:pPr>
      <w:r w:rsidRPr="007732BF">
        <w:rPr>
          <w:color w:val="000000" w:themeColor="text1"/>
        </w:rPr>
        <w:t xml:space="preserve">The Food and Drug Administration’s (FDA) Center for Drug Evaluation and Research (CDER), in collaboration with RTI International, is conducting research on </w:t>
      </w:r>
      <w:r w:rsidR="00345028">
        <w:rPr>
          <w:color w:val="000000" w:themeColor="text1"/>
        </w:rPr>
        <w:t>physician</w:t>
      </w:r>
      <w:r w:rsidRPr="007732BF" w:rsidR="00345028">
        <w:rPr>
          <w:color w:val="000000" w:themeColor="text1"/>
        </w:rPr>
        <w:t xml:space="preserve"> </w:t>
      </w:r>
      <w:r w:rsidRPr="007732BF">
        <w:rPr>
          <w:color w:val="000000" w:themeColor="text1"/>
        </w:rPr>
        <w:t>and consumer p</w:t>
      </w:r>
      <w:r w:rsidRPr="007732BF">
        <w:rPr>
          <w:bCs/>
          <w:color w:val="000000" w:themeColor="text1"/>
        </w:rPr>
        <w:t xml:space="preserve">references for treatment options related to two chronic medical conditions. </w:t>
      </w:r>
      <w:r w:rsidRPr="007732BF" w:rsidR="00EF39A3">
        <w:rPr>
          <w:color w:val="000000" w:themeColor="text1"/>
        </w:rPr>
        <w:t>We will conduct remote one-on-one video interviews with</w:t>
      </w:r>
      <w:r w:rsidR="00E372AD">
        <w:rPr>
          <w:color w:val="000000" w:themeColor="text1"/>
        </w:rPr>
        <w:t>:</w:t>
      </w:r>
      <w:r w:rsidRPr="007732BF" w:rsidR="00EF39A3">
        <w:rPr>
          <w:color w:val="000000" w:themeColor="text1"/>
        </w:rPr>
        <w:t xml:space="preserve"> </w:t>
      </w:r>
      <w:r w:rsidRPr="007732BF" w:rsidR="00670302">
        <w:rPr>
          <w:color w:val="000000" w:themeColor="text1"/>
        </w:rPr>
        <w:t xml:space="preserve">(1) </w:t>
      </w:r>
      <w:r w:rsidR="00345028">
        <w:rPr>
          <w:color w:val="000000" w:themeColor="text1"/>
        </w:rPr>
        <w:t>physician</w:t>
      </w:r>
      <w:r w:rsidRPr="007732BF" w:rsidR="00345028">
        <w:rPr>
          <w:color w:val="000000" w:themeColor="text1"/>
        </w:rPr>
        <w:t xml:space="preserve">s </w:t>
      </w:r>
      <w:r w:rsidRPr="007732BF" w:rsidR="00EF39A3">
        <w:rPr>
          <w:color w:val="000000" w:themeColor="text1"/>
        </w:rPr>
        <w:t xml:space="preserve">who self-identify as treating patients with psoriasis and/or </w:t>
      </w:r>
      <w:r w:rsidRPr="007732BF" w:rsidR="00C60048">
        <w:rPr>
          <w:color w:val="000000" w:themeColor="text1"/>
        </w:rPr>
        <w:t>t</w:t>
      </w:r>
      <w:r w:rsidRPr="007732BF" w:rsidR="00EF39A3">
        <w:rPr>
          <w:color w:val="000000" w:themeColor="text1"/>
        </w:rPr>
        <w:t>ype 2 diabetes</w:t>
      </w:r>
      <w:r w:rsidR="00E372AD">
        <w:rPr>
          <w:color w:val="000000" w:themeColor="text1"/>
        </w:rPr>
        <w:t>;</w:t>
      </w:r>
      <w:r w:rsidRPr="007732BF" w:rsidR="00EF39A3">
        <w:rPr>
          <w:color w:val="000000" w:themeColor="text1"/>
        </w:rPr>
        <w:t xml:space="preserve"> and</w:t>
      </w:r>
      <w:r w:rsidRPr="007732BF" w:rsidR="00670302">
        <w:rPr>
          <w:color w:val="000000" w:themeColor="text1"/>
        </w:rPr>
        <w:t xml:space="preserve"> (2) </w:t>
      </w:r>
      <w:r w:rsidRPr="007732BF" w:rsidR="00EF39A3">
        <w:rPr>
          <w:color w:val="000000" w:themeColor="text1"/>
        </w:rPr>
        <w:t xml:space="preserve">consumers who self-report being diagnosed with either condition. Interviews will be designed to elicit information from participants about the factors that influence </w:t>
      </w:r>
      <w:r w:rsidRPr="007732BF" w:rsidR="00670302">
        <w:rPr>
          <w:color w:val="000000" w:themeColor="text1"/>
        </w:rPr>
        <w:t xml:space="preserve">their </w:t>
      </w:r>
      <w:r w:rsidRPr="007732BF" w:rsidR="00EF39A3">
        <w:rPr>
          <w:color w:val="000000" w:themeColor="text1"/>
        </w:rPr>
        <w:t xml:space="preserve">opinions, decisions, and preferences about treatments for </w:t>
      </w:r>
      <w:r w:rsidRPr="007732BF" w:rsidR="00670302">
        <w:rPr>
          <w:color w:val="000000" w:themeColor="text1"/>
        </w:rPr>
        <w:t xml:space="preserve">the respective </w:t>
      </w:r>
      <w:r w:rsidRPr="007732BF" w:rsidR="00EF39A3">
        <w:rPr>
          <w:color w:val="000000" w:themeColor="text1"/>
        </w:rPr>
        <w:t xml:space="preserve">medical conditions, with a focus on how each group </w:t>
      </w:r>
      <w:r w:rsidRPr="007732BF" w:rsidR="00670302">
        <w:rPr>
          <w:color w:val="000000" w:themeColor="text1"/>
        </w:rPr>
        <w:t>makes</w:t>
      </w:r>
      <w:r w:rsidRPr="007732BF" w:rsidR="00EF39A3">
        <w:rPr>
          <w:color w:val="000000" w:themeColor="text1"/>
        </w:rPr>
        <w:t xml:space="preserve"> tradeoffs</w:t>
      </w:r>
      <w:r w:rsidRPr="007732BF" w:rsidR="00670302">
        <w:rPr>
          <w:color w:val="000000" w:themeColor="text1"/>
        </w:rPr>
        <w:t xml:space="preserve"> among</w:t>
      </w:r>
      <w:r w:rsidRPr="007732BF" w:rsidR="00EF39A3">
        <w:rPr>
          <w:color w:val="000000" w:themeColor="text1"/>
        </w:rPr>
        <w:t xml:space="preserve"> </w:t>
      </w:r>
      <w:r w:rsidRPr="007732BF" w:rsidR="00670302">
        <w:rPr>
          <w:color w:val="000000" w:themeColor="text1"/>
          <w:szCs w:val="20"/>
        </w:rPr>
        <w:t xml:space="preserve">several dimensions, including </w:t>
      </w:r>
      <w:r w:rsidRPr="007732BF" w:rsidR="00670302">
        <w:rPr>
          <w:color w:val="000000" w:themeColor="text1"/>
        </w:rPr>
        <w:t xml:space="preserve">efficacy, risks and side effects, dosage and administration, adherence, and marketing claims. </w:t>
      </w:r>
      <w:r w:rsidRPr="007732BF" w:rsidR="00EF39A3">
        <w:rPr>
          <w:color w:val="000000" w:themeColor="text1"/>
        </w:rPr>
        <w:t xml:space="preserve">Findings will be used to identify the most relevant treatment attributes that will be included in a future conjoint analysis study to quantify the tradeoffs that consumers and </w:t>
      </w:r>
      <w:r w:rsidR="00345028">
        <w:rPr>
          <w:color w:val="000000" w:themeColor="text1"/>
        </w:rPr>
        <w:t>physician</w:t>
      </w:r>
      <w:r w:rsidRPr="007732BF" w:rsidR="00EF39A3">
        <w:rPr>
          <w:color w:val="000000" w:themeColor="text1"/>
        </w:rPr>
        <w:t>s make when determining preferences for prescription drug products.</w:t>
      </w:r>
      <w:r w:rsidRPr="007732BF" w:rsidR="00EF39A3">
        <w:rPr>
          <w:rFonts w:eastAsia="SimSun"/>
          <w:color w:val="000000" w:themeColor="text1"/>
          <w:szCs w:val="22"/>
          <w:shd w:val="clear" w:color="auto" w:fill="FFFFFF"/>
          <w:lang w:eastAsia="zh-CN"/>
        </w:rPr>
        <w:t xml:space="preserve"> </w:t>
      </w:r>
    </w:p>
    <w:p w:rsidRPr="007732BF" w:rsidR="00C13B38" w:rsidP="005E6CFD" w:rsidRDefault="00C13B38" w14:paraId="6285ED95" w14:textId="77777777">
      <w:pPr>
        <w:pStyle w:val="BodyText1"/>
        <w:spacing w:after="0" w:line="276" w:lineRule="auto"/>
        <w:ind w:firstLine="0"/>
        <w:rPr>
          <w:color w:val="000000" w:themeColor="text1"/>
          <w:sz w:val="24"/>
          <w:szCs w:val="24"/>
        </w:rPr>
      </w:pPr>
    </w:p>
    <w:p w:rsidRPr="007732BF" w:rsidR="003F1C7A" w:rsidP="00A002E2" w:rsidRDefault="0049419A" w14:paraId="46F860D1" w14:textId="77777777">
      <w:pPr>
        <w:numPr>
          <w:ilvl w:val="0"/>
          <w:numId w:val="1"/>
        </w:numPr>
        <w:tabs>
          <w:tab w:val="num" w:pos="720"/>
        </w:tabs>
        <w:ind w:left="720"/>
        <w:rPr>
          <w:color w:val="000000" w:themeColor="text1"/>
        </w:rPr>
      </w:pPr>
      <w:r w:rsidRPr="007732BF">
        <w:rPr>
          <w:b/>
          <w:color w:val="000000" w:themeColor="text1"/>
        </w:rPr>
        <w:t>Intended u</w:t>
      </w:r>
      <w:r w:rsidRPr="007732BF" w:rsidR="00F12AEE">
        <w:rPr>
          <w:b/>
          <w:color w:val="000000" w:themeColor="text1"/>
        </w:rPr>
        <w:t>se</w:t>
      </w:r>
      <w:r w:rsidRPr="007732BF">
        <w:rPr>
          <w:b/>
          <w:color w:val="000000" w:themeColor="text1"/>
        </w:rPr>
        <w:t xml:space="preserve"> of information</w:t>
      </w:r>
      <w:r w:rsidRPr="007732BF" w:rsidR="003F1C7A">
        <w:rPr>
          <w:b/>
          <w:color w:val="000000" w:themeColor="text1"/>
        </w:rPr>
        <w:t>:</w:t>
      </w:r>
      <w:r w:rsidRPr="007732BF" w:rsidR="003F1C7A">
        <w:rPr>
          <w:color w:val="000000" w:themeColor="text1"/>
        </w:rPr>
        <w:t xml:space="preserve">  </w:t>
      </w:r>
    </w:p>
    <w:p w:rsidRPr="007732BF" w:rsidR="002623BC" w:rsidP="002623BC" w:rsidRDefault="002623BC" w14:paraId="41A71D26" w14:textId="77777777">
      <w:pPr>
        <w:rPr>
          <w:color w:val="000000" w:themeColor="text1"/>
        </w:rPr>
      </w:pPr>
    </w:p>
    <w:p w:rsidRPr="007732BF" w:rsidR="00EF39A3" w:rsidP="00EF39A3" w:rsidRDefault="00EF39A3" w14:paraId="7BDD7649" w14:textId="77777777">
      <w:pPr>
        <w:pStyle w:val="Default"/>
        <w:ind w:left="720"/>
        <w:rPr>
          <w:rFonts w:ascii="Times New Roman" w:hAnsi="Times New Roman" w:cs="Times New Roman"/>
          <w:snapToGrid w:val="0"/>
          <w:color w:val="000000" w:themeColor="text1"/>
          <w:highlight w:val="yellow"/>
        </w:rPr>
      </w:pPr>
      <w:r w:rsidRPr="007732BF">
        <w:rPr>
          <w:rFonts w:ascii="Times New Roman" w:hAnsi="Times New Roman" w:cs="Times New Roman"/>
          <w:snapToGrid w:val="0"/>
          <w:color w:val="000000" w:themeColor="text1"/>
        </w:rPr>
        <w:t xml:space="preserve">We will use the results of this research to: (1) better understand how HCPs choose prescription drug treatments for their patients, (2) better understand what treatment factors matter to patients, and (3) inform future quantitative phases of this research project.  </w:t>
      </w:r>
    </w:p>
    <w:p w:rsidR="003F1C7A" w:rsidP="00F12AEE" w:rsidRDefault="002D14D9" w14:paraId="40B87466" w14:textId="3648942D">
      <w:pPr>
        <w:ind w:left="360"/>
        <w:rPr>
          <w:color w:val="000000" w:themeColor="text1"/>
        </w:rPr>
      </w:pPr>
      <w:r w:rsidRPr="007732BF">
        <w:rPr>
          <w:color w:val="000000" w:themeColor="text1"/>
        </w:rPr>
        <w:tab/>
      </w:r>
    </w:p>
    <w:p w:rsidR="00344218" w:rsidP="00F12AEE" w:rsidRDefault="00344218" w14:paraId="19694C74" w14:textId="77A6CA44">
      <w:pPr>
        <w:ind w:left="360"/>
        <w:rPr>
          <w:color w:val="000000" w:themeColor="text1"/>
        </w:rPr>
      </w:pPr>
    </w:p>
    <w:p w:rsidR="00344218" w:rsidP="00F12AEE" w:rsidRDefault="00344218" w14:paraId="54AA8185" w14:textId="2C37BE08">
      <w:pPr>
        <w:ind w:left="360"/>
        <w:rPr>
          <w:color w:val="000000" w:themeColor="text1"/>
        </w:rPr>
      </w:pPr>
    </w:p>
    <w:p w:rsidR="00344218" w:rsidP="00F12AEE" w:rsidRDefault="00344218" w14:paraId="71821644" w14:textId="269D14FB">
      <w:pPr>
        <w:ind w:left="360"/>
        <w:rPr>
          <w:color w:val="000000" w:themeColor="text1"/>
        </w:rPr>
      </w:pPr>
    </w:p>
    <w:p w:rsidR="00344218" w:rsidP="00F12AEE" w:rsidRDefault="00344218" w14:paraId="733AB8C6" w14:textId="2ECF6ABC">
      <w:pPr>
        <w:ind w:left="360"/>
        <w:rPr>
          <w:color w:val="000000" w:themeColor="text1"/>
        </w:rPr>
      </w:pPr>
    </w:p>
    <w:p w:rsidRPr="007732BF" w:rsidR="00344218" w:rsidP="00F12AEE" w:rsidRDefault="00344218" w14:paraId="663E69DD" w14:textId="77777777">
      <w:pPr>
        <w:ind w:left="360"/>
        <w:rPr>
          <w:color w:val="000000" w:themeColor="text1"/>
        </w:rPr>
      </w:pPr>
    </w:p>
    <w:p w:rsidRPr="007732BF" w:rsidR="003F1C7A" w:rsidP="00A002E2" w:rsidRDefault="0049419A" w14:paraId="7F564577" w14:textId="77777777">
      <w:pPr>
        <w:numPr>
          <w:ilvl w:val="0"/>
          <w:numId w:val="1"/>
        </w:numPr>
        <w:tabs>
          <w:tab w:val="num" w:pos="720"/>
        </w:tabs>
        <w:ind w:left="720"/>
        <w:rPr>
          <w:color w:val="000000" w:themeColor="text1"/>
        </w:rPr>
      </w:pPr>
      <w:r w:rsidRPr="007732BF">
        <w:rPr>
          <w:b/>
          <w:color w:val="000000" w:themeColor="text1"/>
        </w:rPr>
        <w:lastRenderedPageBreak/>
        <w:t>Description of r</w:t>
      </w:r>
      <w:r w:rsidRPr="007732BF" w:rsidR="00F12AEE">
        <w:rPr>
          <w:b/>
          <w:color w:val="000000" w:themeColor="text1"/>
        </w:rPr>
        <w:t>espondents</w:t>
      </w:r>
      <w:r w:rsidRPr="007732BF" w:rsidR="003F1C7A">
        <w:rPr>
          <w:b/>
          <w:color w:val="000000" w:themeColor="text1"/>
        </w:rPr>
        <w:t>:</w:t>
      </w:r>
      <w:r w:rsidRPr="007732BF" w:rsidR="003F1C7A">
        <w:rPr>
          <w:color w:val="000000" w:themeColor="text1"/>
        </w:rPr>
        <w:t xml:space="preserve">  </w:t>
      </w:r>
    </w:p>
    <w:p w:rsidRPr="007732BF" w:rsidR="00467E1F" w:rsidP="00467E1F" w:rsidRDefault="00467E1F" w14:paraId="2BB3F352" w14:textId="77777777">
      <w:pPr>
        <w:ind w:left="360"/>
        <w:rPr>
          <w:color w:val="000000" w:themeColor="text1"/>
          <w:highlight w:val="yellow"/>
        </w:rPr>
      </w:pPr>
    </w:p>
    <w:p w:rsidRPr="007732BF" w:rsidR="00442EFF" w:rsidP="00442EFF" w:rsidRDefault="00345028" w14:paraId="26130A58" w14:textId="76FB814C">
      <w:pPr>
        <w:pStyle w:val="ListParagraph"/>
        <w:rPr>
          <w:b/>
          <w:bCs/>
          <w:i/>
          <w:iCs/>
          <w:color w:val="000000" w:themeColor="text1"/>
        </w:rPr>
      </w:pPr>
      <w:r>
        <w:rPr>
          <w:b/>
          <w:bCs/>
          <w:i/>
          <w:iCs/>
          <w:color w:val="000000" w:themeColor="text1"/>
        </w:rPr>
        <w:t>Physicians</w:t>
      </w:r>
    </w:p>
    <w:p w:rsidR="00E372AD" w:rsidP="00EF39A3" w:rsidRDefault="00E372AD" w14:paraId="455F01DF" w14:textId="77777777">
      <w:pPr>
        <w:pStyle w:val="ListParagraph"/>
        <w:rPr>
          <w:color w:val="000000" w:themeColor="text1"/>
        </w:rPr>
      </w:pPr>
    </w:p>
    <w:p w:rsidRPr="007732BF" w:rsidR="00EF39A3" w:rsidP="00EF39A3" w:rsidRDefault="00EF39A3" w14:paraId="0C4FC134" w14:textId="627F369D">
      <w:pPr>
        <w:pStyle w:val="ListParagraph"/>
        <w:rPr>
          <w:color w:val="000000" w:themeColor="text1"/>
        </w:rPr>
      </w:pPr>
      <w:r w:rsidRPr="007732BF">
        <w:rPr>
          <w:color w:val="000000" w:themeColor="text1"/>
        </w:rPr>
        <w:t xml:space="preserve">We will conduct 35 individual, in-depth interviews with a nationwide sample of </w:t>
      </w:r>
      <w:r w:rsidR="00345028">
        <w:rPr>
          <w:color w:val="000000" w:themeColor="text1"/>
        </w:rPr>
        <w:t>physician</w:t>
      </w:r>
      <w:r w:rsidRPr="007732BF">
        <w:rPr>
          <w:color w:val="000000" w:themeColor="text1"/>
        </w:rPr>
        <w:t xml:space="preserve">s (general practitioners or specialists) who care for patients with </w:t>
      </w:r>
      <w:r w:rsidRPr="007732BF" w:rsidR="00C60048">
        <w:rPr>
          <w:color w:val="000000" w:themeColor="text1"/>
        </w:rPr>
        <w:t xml:space="preserve">psoriasis </w:t>
      </w:r>
      <w:r w:rsidRPr="007732BF">
        <w:rPr>
          <w:color w:val="000000" w:themeColor="text1"/>
        </w:rPr>
        <w:t xml:space="preserve">and/or </w:t>
      </w:r>
      <w:r w:rsidRPr="007732BF" w:rsidR="00C60048">
        <w:rPr>
          <w:color w:val="000000" w:themeColor="text1"/>
        </w:rPr>
        <w:t>type 2 diabetes</w:t>
      </w:r>
      <w:r w:rsidRPr="007732BF">
        <w:rPr>
          <w:color w:val="000000" w:themeColor="text1"/>
        </w:rPr>
        <w:t xml:space="preserve">. </w:t>
      </w:r>
      <w:bookmarkStart w:name="_Hlk69286538" w:id="0"/>
      <w:r w:rsidRPr="007732BF">
        <w:rPr>
          <w:color w:val="000000" w:themeColor="text1"/>
        </w:rPr>
        <w:t>General inclusion and exclusion requirements built into the screening protocol will ensure that all</w:t>
      </w:r>
      <w:bookmarkEnd w:id="0"/>
      <w:r w:rsidRPr="007732BF">
        <w:rPr>
          <w:color w:val="000000" w:themeColor="text1"/>
        </w:rPr>
        <w:t xml:space="preserve"> </w:t>
      </w:r>
      <w:r w:rsidR="00345028">
        <w:rPr>
          <w:color w:val="000000" w:themeColor="text1"/>
        </w:rPr>
        <w:t>physician</w:t>
      </w:r>
      <w:r w:rsidRPr="007732BF">
        <w:rPr>
          <w:color w:val="000000" w:themeColor="text1"/>
        </w:rPr>
        <w:t xml:space="preserve">s are currently practicing, spend at least half of their time on direct patient care, and have not participated in </w:t>
      </w:r>
      <w:r w:rsidRPr="007732BF" w:rsidR="00F40DE1">
        <w:rPr>
          <w:color w:val="000000" w:themeColor="text1"/>
        </w:rPr>
        <w:t>a focus group or research interview within the last three months</w:t>
      </w:r>
      <w:r w:rsidRPr="007732BF">
        <w:rPr>
          <w:color w:val="000000" w:themeColor="text1"/>
        </w:rPr>
        <w:t xml:space="preserve">. </w:t>
      </w:r>
      <w:r w:rsidR="00891FEB">
        <w:rPr>
          <w:color w:val="000000" w:themeColor="text1"/>
        </w:rPr>
        <w:t xml:space="preserve">Physicians will also need to have access to a computer with high speed Internet and a webcam for the interview, and agree to have the interview audio recorded and livestreamed. </w:t>
      </w:r>
      <w:r w:rsidRPr="007732BF">
        <w:rPr>
          <w:color w:val="000000" w:themeColor="text1"/>
        </w:rPr>
        <w:t xml:space="preserve">We will exclude </w:t>
      </w:r>
      <w:r w:rsidR="00345028">
        <w:rPr>
          <w:color w:val="000000" w:themeColor="text1"/>
        </w:rPr>
        <w:t>physician</w:t>
      </w:r>
      <w:r w:rsidRPr="007732BF">
        <w:rPr>
          <w:color w:val="000000" w:themeColor="text1"/>
        </w:rPr>
        <w:t xml:space="preserve">s who work in the marketing, advertising, or pharmaceutical industries and those who work for the Department of Health and Human Services or RTI International because they may have specialized knowledge of FDA regulatory policies. </w:t>
      </w:r>
    </w:p>
    <w:p w:rsidRPr="007732BF" w:rsidR="00EF39A3" w:rsidP="00EF39A3" w:rsidRDefault="00EF39A3" w14:paraId="6AB3A45B" w14:textId="77777777">
      <w:pPr>
        <w:rPr>
          <w:color w:val="000000" w:themeColor="text1"/>
        </w:rPr>
      </w:pPr>
    </w:p>
    <w:p w:rsidRPr="007732BF" w:rsidR="00EF39A3" w:rsidP="00F40DE1" w:rsidRDefault="00556B3E" w14:paraId="28B1928F" w14:textId="6C179691">
      <w:pPr>
        <w:ind w:left="720"/>
        <w:rPr>
          <w:b/>
          <w:bCs/>
          <w:i/>
          <w:color w:val="000000" w:themeColor="text1"/>
        </w:rPr>
      </w:pPr>
      <w:r w:rsidRPr="007732BF">
        <w:rPr>
          <w:b/>
          <w:bCs/>
          <w:i/>
          <w:color w:val="000000" w:themeColor="text1"/>
        </w:rPr>
        <w:t xml:space="preserve">Diagnosed </w:t>
      </w:r>
      <w:r w:rsidRPr="007732BF" w:rsidR="00EF39A3">
        <w:rPr>
          <w:b/>
          <w:bCs/>
          <w:i/>
          <w:color w:val="000000" w:themeColor="text1"/>
        </w:rPr>
        <w:t>Consumers</w:t>
      </w:r>
    </w:p>
    <w:p w:rsidR="001F5943" w:rsidP="00EF39A3" w:rsidRDefault="001F5943" w14:paraId="38357782" w14:textId="77777777">
      <w:pPr>
        <w:ind w:left="720"/>
        <w:rPr>
          <w:color w:val="000000" w:themeColor="text1"/>
        </w:rPr>
      </w:pPr>
    </w:p>
    <w:p w:rsidRPr="007732BF" w:rsidR="00EF39A3" w:rsidP="00EF39A3" w:rsidRDefault="00EF39A3" w14:paraId="3F504CC5" w14:textId="4DCFCE98">
      <w:pPr>
        <w:ind w:left="720"/>
        <w:rPr>
          <w:color w:val="000000" w:themeColor="text1"/>
        </w:rPr>
      </w:pPr>
      <w:r w:rsidRPr="007732BF">
        <w:rPr>
          <w:color w:val="000000" w:themeColor="text1"/>
        </w:rPr>
        <w:t xml:space="preserve">We will conduct 70 individual, in-depth interviews with a nationwide sample of </w:t>
      </w:r>
      <w:r w:rsidRPr="007732BF" w:rsidR="00F40DE1">
        <w:rPr>
          <w:color w:val="000000" w:themeColor="text1"/>
        </w:rPr>
        <w:t xml:space="preserve">U.S. adults aged 18 years or older </w:t>
      </w:r>
      <w:r w:rsidRPr="007732BF">
        <w:rPr>
          <w:color w:val="000000" w:themeColor="text1"/>
        </w:rPr>
        <w:t xml:space="preserve">who self-report as </w:t>
      </w:r>
      <w:r w:rsidRPr="007732BF" w:rsidR="00F40DE1">
        <w:rPr>
          <w:color w:val="000000" w:themeColor="text1"/>
        </w:rPr>
        <w:t xml:space="preserve">having </w:t>
      </w:r>
      <w:r w:rsidRPr="007732BF">
        <w:rPr>
          <w:color w:val="000000" w:themeColor="text1"/>
        </w:rPr>
        <w:t>be</w:t>
      </w:r>
      <w:r w:rsidRPr="007732BF" w:rsidR="00F40DE1">
        <w:rPr>
          <w:color w:val="000000" w:themeColor="text1"/>
        </w:rPr>
        <w:t>en</w:t>
      </w:r>
      <w:r w:rsidRPr="007732BF">
        <w:rPr>
          <w:color w:val="000000" w:themeColor="text1"/>
        </w:rPr>
        <w:t xml:space="preserve"> diagnosed by a</w:t>
      </w:r>
      <w:r w:rsidRPr="007732BF" w:rsidR="009C563C">
        <w:rPr>
          <w:color w:val="000000" w:themeColor="text1"/>
        </w:rPr>
        <w:t>n</w:t>
      </w:r>
      <w:r w:rsidRPr="007732BF">
        <w:rPr>
          <w:color w:val="000000" w:themeColor="text1"/>
        </w:rPr>
        <w:t xml:space="preserve"> HCP with either </w:t>
      </w:r>
      <w:r w:rsidRPr="007732BF" w:rsidR="00F40DE1">
        <w:rPr>
          <w:color w:val="000000" w:themeColor="text1"/>
        </w:rPr>
        <w:t>psoriasis</w:t>
      </w:r>
      <w:r w:rsidRPr="007732BF">
        <w:rPr>
          <w:color w:val="000000" w:themeColor="text1"/>
        </w:rPr>
        <w:t xml:space="preserve"> or </w:t>
      </w:r>
      <w:r w:rsidRPr="007732BF" w:rsidR="00F40DE1">
        <w:rPr>
          <w:color w:val="000000" w:themeColor="text1"/>
        </w:rPr>
        <w:t xml:space="preserve">type 2 diabetes </w:t>
      </w:r>
      <w:r w:rsidRPr="007732BF">
        <w:rPr>
          <w:color w:val="000000" w:themeColor="text1"/>
        </w:rPr>
        <w:t xml:space="preserve">(35 consumers per </w:t>
      </w:r>
      <w:r w:rsidR="00051B1B">
        <w:rPr>
          <w:color w:val="000000" w:themeColor="text1"/>
        </w:rPr>
        <w:t xml:space="preserve">medical </w:t>
      </w:r>
      <w:r w:rsidRPr="007732BF">
        <w:rPr>
          <w:color w:val="000000" w:themeColor="text1"/>
        </w:rPr>
        <w:t xml:space="preserve">condition). </w:t>
      </w:r>
      <w:r w:rsidR="00891FEB">
        <w:rPr>
          <w:color w:val="000000" w:themeColor="text1"/>
        </w:rPr>
        <w:t xml:space="preserve">Diagnosed consumers will also need to be able to read and speak English fluently, have access to a computer with high speed Internet and a webcam for the interview, and agree to have the interview audio recorded and livestreamed. </w:t>
      </w:r>
      <w:r w:rsidRPr="007732BF">
        <w:rPr>
          <w:color w:val="000000" w:themeColor="text1"/>
        </w:rPr>
        <w:t xml:space="preserve">General inclusion and exclusion requirements built into the screening protocol will ensure that consumers have not participated in </w:t>
      </w:r>
      <w:r w:rsidRPr="007732BF" w:rsidR="00F40DE1">
        <w:rPr>
          <w:color w:val="000000" w:themeColor="text1"/>
        </w:rPr>
        <w:t>a focus group or research interview within the last three months,</w:t>
      </w:r>
      <w:r w:rsidRPr="007732BF">
        <w:rPr>
          <w:color w:val="000000" w:themeColor="text1"/>
        </w:rPr>
        <w:t xml:space="preserve"> </w:t>
      </w:r>
      <w:r w:rsidR="00222B06">
        <w:rPr>
          <w:color w:val="000000" w:themeColor="text1"/>
        </w:rPr>
        <w:t xml:space="preserve">and do not </w:t>
      </w:r>
      <w:r w:rsidRPr="007732BF">
        <w:rPr>
          <w:color w:val="000000" w:themeColor="text1"/>
        </w:rPr>
        <w:t>work for the Department of Health and Human Services, RTI International, or a pharmaceutical company or market research firm.</w:t>
      </w:r>
    </w:p>
    <w:p w:rsidRPr="007732BF" w:rsidR="00EF39A3" w:rsidP="00EF39A3" w:rsidRDefault="00EF39A3" w14:paraId="069DECB9" w14:textId="77777777">
      <w:pPr>
        <w:ind w:left="720"/>
        <w:rPr>
          <w:color w:val="000000" w:themeColor="text1"/>
        </w:rPr>
      </w:pPr>
    </w:p>
    <w:p w:rsidRPr="007732BF" w:rsidR="00EF39A3" w:rsidP="00442EFF" w:rsidRDefault="00EF39A3" w14:paraId="40CEE94D" w14:textId="408DFDC2">
      <w:pPr>
        <w:ind w:left="720"/>
        <w:rPr>
          <w:b/>
          <w:bCs/>
          <w:i/>
          <w:color w:val="000000" w:themeColor="text1"/>
        </w:rPr>
      </w:pPr>
      <w:r w:rsidRPr="007732BF">
        <w:rPr>
          <w:b/>
          <w:bCs/>
          <w:i/>
          <w:color w:val="000000" w:themeColor="text1"/>
        </w:rPr>
        <w:t xml:space="preserve">Demographics </w:t>
      </w:r>
    </w:p>
    <w:p w:rsidR="001F5943" w:rsidP="00EF39A3" w:rsidRDefault="001F5943" w14:paraId="258C95FF" w14:textId="77777777">
      <w:pPr>
        <w:pStyle w:val="ListParagraph"/>
        <w:rPr>
          <w:color w:val="000000" w:themeColor="text1"/>
        </w:rPr>
      </w:pPr>
    </w:p>
    <w:p w:rsidRPr="007732BF" w:rsidR="00EF39A3" w:rsidP="00EF39A3" w:rsidRDefault="00EF39A3" w14:paraId="5CD9121A" w14:textId="76368B58">
      <w:pPr>
        <w:pStyle w:val="ListParagraph"/>
        <w:rPr>
          <w:color w:val="000000" w:themeColor="text1"/>
        </w:rPr>
      </w:pPr>
      <w:r w:rsidRPr="007732BF">
        <w:rPr>
          <w:color w:val="000000" w:themeColor="text1"/>
        </w:rPr>
        <w:t xml:space="preserve">Within each respondent group, we will aim to recruit individuals with diverse demographic characteristics (e.g., age, gender, race/ethnicity) to ensure that we hear from individuals with different backgrounds and perspectives. For </w:t>
      </w:r>
      <w:r w:rsidR="00345028">
        <w:rPr>
          <w:color w:val="000000" w:themeColor="text1"/>
        </w:rPr>
        <w:t>physician</w:t>
      </w:r>
      <w:r w:rsidRPr="007732BF">
        <w:rPr>
          <w:color w:val="000000" w:themeColor="text1"/>
        </w:rPr>
        <w:t>s, we will</w:t>
      </w:r>
      <w:r w:rsidR="00354481">
        <w:rPr>
          <w:color w:val="000000" w:themeColor="text1"/>
        </w:rPr>
        <w:t xml:space="preserve"> </w:t>
      </w:r>
      <w:r w:rsidR="00211B57">
        <w:rPr>
          <w:color w:val="000000" w:themeColor="text1"/>
        </w:rPr>
        <w:t>apply</w:t>
      </w:r>
      <w:r w:rsidR="00B6556D">
        <w:rPr>
          <w:color w:val="000000" w:themeColor="text1"/>
        </w:rPr>
        <w:t xml:space="preserve"> soft quotas </w:t>
      </w:r>
      <w:r w:rsidR="00211B57">
        <w:rPr>
          <w:color w:val="000000" w:themeColor="text1"/>
        </w:rPr>
        <w:t>during screening so</w:t>
      </w:r>
      <w:r w:rsidR="00354481">
        <w:rPr>
          <w:color w:val="000000" w:themeColor="text1"/>
        </w:rPr>
        <w:t xml:space="preserve"> </w:t>
      </w:r>
      <w:r w:rsidRPr="007732BF">
        <w:rPr>
          <w:color w:val="000000" w:themeColor="text1"/>
        </w:rPr>
        <w:t xml:space="preserve">that </w:t>
      </w:r>
      <w:r w:rsidR="00335293">
        <w:rPr>
          <w:color w:val="000000" w:themeColor="text1"/>
        </w:rPr>
        <w:t xml:space="preserve">the </w:t>
      </w:r>
      <w:r w:rsidRPr="007732BF">
        <w:rPr>
          <w:color w:val="000000" w:themeColor="text1"/>
        </w:rPr>
        <w:t>demographics of respondents are reflective of the composition of the American Medical Association.</w:t>
      </w:r>
      <w:r w:rsidRPr="00354481" w:rsidR="00354481">
        <w:rPr>
          <w:rStyle w:val="FootnoteReference"/>
          <w:color w:val="000000" w:themeColor="text1"/>
          <w:vertAlign w:val="superscript"/>
        </w:rPr>
        <w:footnoteReference w:id="1"/>
      </w:r>
      <w:r w:rsidRPr="007732BF">
        <w:rPr>
          <w:color w:val="000000" w:themeColor="text1"/>
        </w:rPr>
        <w:t xml:space="preserve"> For consumers, we will ensure diversity in health literacy by setting a 20% quota for</w:t>
      </w:r>
      <w:r w:rsidRPr="007732BF" w:rsidR="007166AE">
        <w:rPr>
          <w:color w:val="000000" w:themeColor="text1"/>
        </w:rPr>
        <w:t xml:space="preserve"> low-literacy</w:t>
      </w:r>
      <w:r w:rsidRPr="007732BF">
        <w:rPr>
          <w:color w:val="000000" w:themeColor="text1"/>
        </w:rPr>
        <w:t xml:space="preserve"> respondents using </w:t>
      </w:r>
      <w:r w:rsidRPr="007732BF" w:rsidR="00C0591F">
        <w:rPr>
          <w:color w:val="000000" w:themeColor="text1"/>
        </w:rPr>
        <w:t xml:space="preserve">a </w:t>
      </w:r>
      <w:r w:rsidRPr="007732BF">
        <w:rPr>
          <w:color w:val="000000" w:themeColor="text1"/>
        </w:rPr>
        <w:t>validated</w:t>
      </w:r>
      <w:r w:rsidRPr="007732BF" w:rsidR="00C0591F">
        <w:rPr>
          <w:color w:val="000000" w:themeColor="text1"/>
        </w:rPr>
        <w:t>, singl</w:t>
      </w:r>
      <w:r w:rsidRPr="007732BF" w:rsidR="007166AE">
        <w:rPr>
          <w:color w:val="000000" w:themeColor="text1"/>
        </w:rPr>
        <w:t>e</w:t>
      </w:r>
      <w:r w:rsidRPr="007732BF" w:rsidR="00C0591F">
        <w:rPr>
          <w:color w:val="000000" w:themeColor="text1"/>
        </w:rPr>
        <w:t>-</w:t>
      </w:r>
      <w:r w:rsidRPr="007732BF">
        <w:rPr>
          <w:color w:val="000000" w:themeColor="text1"/>
        </w:rPr>
        <w:t>item</w:t>
      </w:r>
      <w:r w:rsidRPr="007732BF" w:rsidR="00C0591F">
        <w:rPr>
          <w:color w:val="000000" w:themeColor="text1"/>
        </w:rPr>
        <w:t xml:space="preserve"> screener</w:t>
      </w:r>
      <w:r w:rsidRPr="007732BF">
        <w:rPr>
          <w:color w:val="000000" w:themeColor="text1"/>
        </w:rPr>
        <w:t>.</w:t>
      </w:r>
      <w:r w:rsidRPr="003F7090" w:rsidR="008C17CB">
        <w:rPr>
          <w:rStyle w:val="FootnoteReference"/>
          <w:color w:val="000000" w:themeColor="text1"/>
          <w:vertAlign w:val="superscript"/>
        </w:rPr>
        <w:footnoteReference w:id="2"/>
      </w:r>
      <w:r w:rsidRPr="007732BF">
        <w:rPr>
          <w:color w:val="000000" w:themeColor="text1"/>
        </w:rPr>
        <w:t xml:space="preserve"> For screening purposes, we will </w:t>
      </w:r>
      <w:r w:rsidRPr="007732BF" w:rsidR="003E77A1">
        <w:rPr>
          <w:color w:val="000000" w:themeColor="text1"/>
        </w:rPr>
        <w:t>set a</w:t>
      </w:r>
      <w:r w:rsidRPr="007732BF">
        <w:rPr>
          <w:color w:val="000000" w:themeColor="text1"/>
        </w:rPr>
        <w:t xml:space="preserve"> </w:t>
      </w:r>
      <w:r w:rsidRPr="007732BF" w:rsidR="002623BE">
        <w:rPr>
          <w:color w:val="000000" w:themeColor="text1"/>
        </w:rPr>
        <w:t>score</w:t>
      </w:r>
      <w:r w:rsidRPr="007732BF">
        <w:rPr>
          <w:color w:val="000000" w:themeColor="text1"/>
        </w:rPr>
        <w:t xml:space="preserve"> </w:t>
      </w:r>
      <w:r w:rsidRPr="007732BF" w:rsidR="008604AA">
        <w:rPr>
          <w:color w:val="000000" w:themeColor="text1"/>
        </w:rPr>
        <w:t>3</w:t>
      </w:r>
      <w:r w:rsidRPr="007732BF" w:rsidR="002623BE">
        <w:rPr>
          <w:color w:val="000000" w:themeColor="text1"/>
        </w:rPr>
        <w:t xml:space="preserve"> on </w:t>
      </w:r>
      <w:r w:rsidRPr="007732BF" w:rsidR="00C0591F">
        <w:rPr>
          <w:color w:val="000000" w:themeColor="text1"/>
        </w:rPr>
        <w:t>the</w:t>
      </w:r>
      <w:r w:rsidRPr="007732BF" w:rsidR="002623BE">
        <w:rPr>
          <w:color w:val="000000" w:themeColor="text1"/>
        </w:rPr>
        <w:t xml:space="preserve"> </w:t>
      </w:r>
      <w:r w:rsidRPr="007732BF" w:rsidR="008604AA">
        <w:rPr>
          <w:color w:val="000000" w:themeColor="text1"/>
        </w:rPr>
        <w:t>5</w:t>
      </w:r>
      <w:r w:rsidRPr="007732BF" w:rsidR="002623BE">
        <w:rPr>
          <w:color w:val="000000" w:themeColor="text1"/>
        </w:rPr>
        <w:t xml:space="preserve">-point scale </w:t>
      </w:r>
      <w:r w:rsidRPr="007732BF" w:rsidR="003E77A1">
        <w:rPr>
          <w:color w:val="000000" w:themeColor="text1"/>
        </w:rPr>
        <w:t>as the threshold for</w:t>
      </w:r>
      <w:r w:rsidRPr="007732BF" w:rsidR="002623BE">
        <w:rPr>
          <w:color w:val="000000" w:themeColor="text1"/>
        </w:rPr>
        <w:t xml:space="preserve"> lower health literacy.</w:t>
      </w:r>
    </w:p>
    <w:p w:rsidRPr="007732BF" w:rsidR="007B2DD9" w:rsidP="007B2DD9" w:rsidRDefault="007B2DD9" w14:paraId="0ABF86E3" w14:textId="77777777">
      <w:pPr>
        <w:rPr>
          <w:color w:val="000000" w:themeColor="text1"/>
        </w:rPr>
      </w:pPr>
    </w:p>
    <w:p w:rsidRPr="007732BF" w:rsidR="003F1C7A" w:rsidP="00A002E2" w:rsidRDefault="003F1C7A" w14:paraId="70A677EC" w14:textId="77777777">
      <w:pPr>
        <w:numPr>
          <w:ilvl w:val="0"/>
          <w:numId w:val="1"/>
        </w:numPr>
        <w:tabs>
          <w:tab w:val="num" w:pos="720"/>
        </w:tabs>
        <w:ind w:left="720"/>
        <w:rPr>
          <w:color w:val="000000" w:themeColor="text1"/>
        </w:rPr>
      </w:pPr>
      <w:r w:rsidRPr="007732BF">
        <w:rPr>
          <w:b/>
          <w:color w:val="000000" w:themeColor="text1"/>
        </w:rPr>
        <w:t xml:space="preserve">Date(s) </w:t>
      </w:r>
      <w:r w:rsidRPr="007732BF" w:rsidR="009404FA">
        <w:rPr>
          <w:b/>
          <w:color w:val="000000" w:themeColor="text1"/>
        </w:rPr>
        <w:t xml:space="preserve">to be conducted </w:t>
      </w:r>
      <w:r w:rsidRPr="007732BF">
        <w:rPr>
          <w:b/>
          <w:color w:val="000000" w:themeColor="text1"/>
        </w:rPr>
        <w:t>and location(s)</w:t>
      </w:r>
      <w:r w:rsidRPr="007732BF" w:rsidR="0049419A">
        <w:rPr>
          <w:b/>
          <w:color w:val="000000" w:themeColor="text1"/>
        </w:rPr>
        <w:t>:</w:t>
      </w:r>
      <w:r w:rsidRPr="007732BF">
        <w:rPr>
          <w:b/>
          <w:color w:val="000000" w:themeColor="text1"/>
        </w:rPr>
        <w:t xml:space="preserve">  </w:t>
      </w:r>
    </w:p>
    <w:p w:rsidRPr="007732BF" w:rsidR="00467E1F" w:rsidP="00467E1F" w:rsidRDefault="00467E1F" w14:paraId="3D53812F" w14:textId="77777777">
      <w:pPr>
        <w:rPr>
          <w:color w:val="000000" w:themeColor="text1"/>
        </w:rPr>
      </w:pPr>
    </w:p>
    <w:p w:rsidRPr="007732BF" w:rsidR="00EF39A3" w:rsidP="00EF39A3" w:rsidRDefault="00EF39A3" w14:paraId="177BCC0F" w14:textId="7BB69304">
      <w:pPr>
        <w:spacing w:line="276" w:lineRule="auto"/>
        <w:ind w:left="720"/>
        <w:rPr>
          <w:color w:val="000000" w:themeColor="text1"/>
        </w:rPr>
      </w:pPr>
      <w:r w:rsidRPr="007732BF">
        <w:rPr>
          <w:color w:val="000000" w:themeColor="text1"/>
        </w:rPr>
        <w:t xml:space="preserve">We plan to conduct interviews between </w:t>
      </w:r>
      <w:r w:rsidRPr="007732BF" w:rsidR="00B36A65">
        <w:rPr>
          <w:color w:val="000000" w:themeColor="text1"/>
        </w:rPr>
        <w:t>July</w:t>
      </w:r>
      <w:r w:rsidRPr="007732BF">
        <w:rPr>
          <w:color w:val="000000" w:themeColor="text1"/>
        </w:rPr>
        <w:t xml:space="preserve"> and October 2021. Interviews will be conducted remotely.</w:t>
      </w:r>
    </w:p>
    <w:p w:rsidR="00467E1F" w:rsidP="00DC17F9" w:rsidRDefault="00467E1F" w14:paraId="724571B6" w14:textId="1D632830">
      <w:pPr>
        <w:rPr>
          <w:color w:val="000000" w:themeColor="text1"/>
        </w:rPr>
      </w:pPr>
    </w:p>
    <w:p w:rsidR="001F5943" w:rsidP="00DC17F9" w:rsidRDefault="001F5943" w14:paraId="00097708" w14:textId="06282D39">
      <w:pPr>
        <w:rPr>
          <w:color w:val="000000" w:themeColor="text1"/>
        </w:rPr>
      </w:pPr>
    </w:p>
    <w:p w:rsidRPr="007732BF" w:rsidR="001F5943" w:rsidP="00DC17F9" w:rsidRDefault="001F5943" w14:paraId="59E981CD" w14:textId="77777777">
      <w:pPr>
        <w:rPr>
          <w:color w:val="000000" w:themeColor="text1"/>
        </w:rPr>
      </w:pPr>
    </w:p>
    <w:p w:rsidRPr="007732BF" w:rsidR="00E26798" w:rsidP="00A002E2" w:rsidRDefault="00140A0D" w14:paraId="6D283BCA" w14:textId="77777777">
      <w:pPr>
        <w:numPr>
          <w:ilvl w:val="0"/>
          <w:numId w:val="1"/>
        </w:numPr>
        <w:tabs>
          <w:tab w:val="num" w:pos="720"/>
        </w:tabs>
        <w:ind w:left="720"/>
        <w:rPr>
          <w:color w:val="000000" w:themeColor="text1"/>
        </w:rPr>
      </w:pPr>
      <w:r w:rsidRPr="007732BF">
        <w:rPr>
          <w:b/>
          <w:color w:val="000000" w:themeColor="text1"/>
        </w:rPr>
        <w:t>How the Information is being collected</w:t>
      </w:r>
      <w:r w:rsidRPr="007732BF" w:rsidR="0049419A">
        <w:rPr>
          <w:b/>
          <w:color w:val="000000" w:themeColor="text1"/>
        </w:rPr>
        <w:t>:</w:t>
      </w:r>
    </w:p>
    <w:p w:rsidRPr="007732BF" w:rsidR="00825E0D" w:rsidP="00825E0D" w:rsidRDefault="00825E0D" w14:paraId="3B8AAB25" w14:textId="77777777">
      <w:pPr>
        <w:pStyle w:val="Heading11"/>
        <w:jc w:val="left"/>
        <w:rPr>
          <w:rFonts w:ascii="Times New Roman" w:hAnsi="Times New Roman"/>
          <w:color w:val="000000" w:themeColor="text1"/>
          <w:sz w:val="24"/>
          <w:szCs w:val="24"/>
        </w:rPr>
      </w:pPr>
      <w:bookmarkStart w:name="_Toc432670992" w:id="1"/>
    </w:p>
    <w:p w:rsidRPr="007732BF" w:rsidR="00825E0D" w:rsidP="005B0D6D" w:rsidRDefault="00825E0D" w14:paraId="51D48089" w14:textId="77777777">
      <w:pPr>
        <w:pStyle w:val="Heading11"/>
        <w:ind w:left="720"/>
        <w:jc w:val="left"/>
        <w:rPr>
          <w:rFonts w:ascii="Times New Roman" w:hAnsi="Times New Roman"/>
          <w:bCs/>
          <w:i/>
          <w:iCs/>
          <w:color w:val="000000" w:themeColor="text1"/>
          <w:sz w:val="24"/>
          <w:szCs w:val="24"/>
        </w:rPr>
      </w:pPr>
      <w:r w:rsidRPr="007732BF">
        <w:rPr>
          <w:rFonts w:ascii="Times New Roman" w:hAnsi="Times New Roman"/>
          <w:bCs/>
          <w:i/>
          <w:iCs/>
          <w:color w:val="000000" w:themeColor="text1"/>
          <w:sz w:val="24"/>
          <w:szCs w:val="24"/>
        </w:rPr>
        <w:t>Recruitment Procedures</w:t>
      </w:r>
      <w:bookmarkEnd w:id="1"/>
      <w:r w:rsidRPr="007732BF" w:rsidR="00C4752A">
        <w:rPr>
          <w:rFonts w:ascii="Times New Roman" w:hAnsi="Times New Roman"/>
          <w:bCs/>
          <w:i/>
          <w:iCs/>
          <w:color w:val="000000" w:themeColor="text1"/>
          <w:sz w:val="24"/>
          <w:szCs w:val="24"/>
        </w:rPr>
        <w:t xml:space="preserve"> </w:t>
      </w:r>
    </w:p>
    <w:p w:rsidRPr="007732BF" w:rsidR="00E72206" w:rsidP="005B0D6D" w:rsidRDefault="00E72206" w14:paraId="6053D64B" w14:textId="2BCD1FF3">
      <w:pPr>
        <w:pStyle w:val="Heading2"/>
        <w:ind w:left="720"/>
        <w:jc w:val="left"/>
        <w:rPr>
          <w:rStyle w:val="Heading3Char"/>
          <w:rFonts w:ascii="Franklin Gothic Book" w:hAnsi="Franklin Gothic Book" w:eastAsiaTheme="minorHAnsi"/>
          <w:bCs/>
          <w:color w:val="000000" w:themeColor="text1"/>
          <w:sz w:val="28"/>
        </w:rPr>
      </w:pPr>
      <w:bookmarkStart w:name="_Toc432670827" w:id="2"/>
      <w:bookmarkStart w:name="_Toc432670993" w:id="3"/>
    </w:p>
    <w:p w:rsidRPr="007732BF" w:rsidR="002C3495" w:rsidP="007246E8" w:rsidRDefault="00345028" w14:paraId="4957C320" w14:textId="55768CA4">
      <w:pPr>
        <w:ind w:left="720"/>
        <w:rPr>
          <w:rFonts w:eastAsiaTheme="minorHAnsi"/>
          <w:b/>
          <w:bCs/>
          <w:color w:val="000000" w:themeColor="text1"/>
        </w:rPr>
      </w:pPr>
      <w:r>
        <w:rPr>
          <w:color w:val="000000" w:themeColor="text1"/>
          <w:lang w:eastAsia="zh-CN"/>
        </w:rPr>
        <w:t>Physician</w:t>
      </w:r>
      <w:r w:rsidRPr="007732BF">
        <w:rPr>
          <w:color w:val="000000" w:themeColor="text1"/>
          <w:lang w:eastAsia="zh-CN"/>
        </w:rPr>
        <w:t xml:space="preserve">s </w:t>
      </w:r>
      <w:r w:rsidRPr="007732BF" w:rsidR="002C3495">
        <w:rPr>
          <w:color w:val="000000" w:themeColor="text1"/>
          <w:lang w:eastAsia="zh-CN"/>
        </w:rPr>
        <w:t xml:space="preserve">will be recruited through L&amp;E Research’s healthcare professional panel. The healthcare professional panel consists of thousands of physicians, nurse practitioners, physician assistants, nurses, and other healthcare professionals nationwide. When joining the panel healthcare providers complete a short screener with information about themselves (medical degree, type of practice, demographics, etc.) and agree to receive invitations to participate in studies. L&amp;E Research will use this proprietary panel to identify </w:t>
      </w:r>
      <w:r>
        <w:rPr>
          <w:color w:val="000000" w:themeColor="text1"/>
        </w:rPr>
        <w:t>physician</w:t>
      </w:r>
      <w:r w:rsidRPr="007732BF" w:rsidR="002C3495">
        <w:rPr>
          <w:color w:val="000000" w:themeColor="text1"/>
          <w:lang w:eastAsia="zh-CN"/>
        </w:rPr>
        <w:t>s based on the panelists’ profile information to invite for further screening.</w:t>
      </w:r>
    </w:p>
    <w:p w:rsidRPr="007732BF" w:rsidR="002C3495" w:rsidP="002C3495" w:rsidRDefault="002C3495" w14:paraId="06E4D3F1" w14:textId="0DC8BC9C">
      <w:pPr>
        <w:rPr>
          <w:rFonts w:eastAsiaTheme="minorHAnsi"/>
          <w:i/>
          <w:iCs/>
          <w:color w:val="000000" w:themeColor="text1"/>
        </w:rPr>
      </w:pPr>
    </w:p>
    <w:p w:rsidRPr="007732BF" w:rsidR="002C3495" w:rsidP="00B8376B" w:rsidRDefault="002C3495" w14:paraId="793971BC" w14:textId="10FF98B9">
      <w:pPr>
        <w:ind w:left="720"/>
        <w:rPr>
          <w:rFonts w:eastAsiaTheme="minorHAnsi"/>
          <w:b/>
          <w:bCs/>
          <w:color w:val="000000" w:themeColor="text1"/>
        </w:rPr>
      </w:pPr>
      <w:bookmarkStart w:name="_Toc508302237" w:id="4"/>
      <w:r w:rsidRPr="007732BF">
        <w:rPr>
          <w:color w:val="000000" w:themeColor="text1"/>
        </w:rPr>
        <w:t>Consumers will be recruited from L&amp;E Research’s consumer panel. Consumers join the panel by going to L&amp;E</w:t>
      </w:r>
      <w:r w:rsidRPr="007732BF" w:rsidR="003A29BC">
        <w:rPr>
          <w:color w:val="000000" w:themeColor="text1"/>
        </w:rPr>
        <w:t xml:space="preserve"> Research’s </w:t>
      </w:r>
      <w:r w:rsidRPr="007732BF">
        <w:rPr>
          <w:color w:val="000000" w:themeColor="text1"/>
        </w:rPr>
        <w:t>website or responding to ads on social media. Participants complete a</w:t>
      </w:r>
      <w:r w:rsidRPr="007732BF" w:rsidR="003A29BC">
        <w:rPr>
          <w:color w:val="000000" w:themeColor="text1"/>
        </w:rPr>
        <w:t xml:space="preserve"> short screener with information about themselves (demographics, health conditions, etc.)</w:t>
      </w:r>
      <w:r w:rsidRPr="007732BF">
        <w:rPr>
          <w:color w:val="000000" w:themeColor="text1"/>
        </w:rPr>
        <w:t xml:space="preserve"> </w:t>
      </w:r>
      <w:r w:rsidRPr="007732BF" w:rsidR="003A29BC">
        <w:rPr>
          <w:color w:val="000000" w:themeColor="text1"/>
        </w:rPr>
        <w:t>that L&amp;E Research uses to identify consumers for further screening.</w:t>
      </w:r>
    </w:p>
    <w:p w:rsidRPr="007732BF" w:rsidR="00F3481A" w:rsidP="00F3481A" w:rsidRDefault="00F3481A" w14:paraId="606438EA" w14:textId="09F0BC2F">
      <w:pPr>
        <w:tabs>
          <w:tab w:val="left" w:pos="360"/>
        </w:tabs>
        <w:autoSpaceDE w:val="0"/>
        <w:autoSpaceDN w:val="0"/>
        <w:adjustRightInd w:val="0"/>
        <w:rPr>
          <w:color w:val="000000" w:themeColor="text1"/>
        </w:rPr>
      </w:pPr>
    </w:p>
    <w:p w:rsidRPr="007732BF" w:rsidR="007023DB" w:rsidP="00F1559D" w:rsidRDefault="005D42A3" w14:paraId="4E275BD6" w14:textId="466D00BF">
      <w:pPr>
        <w:tabs>
          <w:tab w:val="left" w:pos="360"/>
        </w:tabs>
        <w:autoSpaceDE w:val="0"/>
        <w:autoSpaceDN w:val="0"/>
        <w:adjustRightInd w:val="0"/>
        <w:ind w:left="720"/>
        <w:rPr>
          <w:color w:val="000000" w:themeColor="text1"/>
        </w:rPr>
      </w:pPr>
      <w:r w:rsidRPr="007732BF">
        <w:rPr>
          <w:color w:val="000000" w:themeColor="text1"/>
        </w:rPr>
        <w:t xml:space="preserve">Potential participants will be contacted by phone to complete the screening process or they will receive an email to complete an online screener that will include a subset of the screening questions (a recruiter from L&amp;E will then call participants who appear eligible to complete the full screener by phone). </w:t>
      </w:r>
      <w:r w:rsidRPr="007732BF" w:rsidR="00C23DF8">
        <w:rPr>
          <w:color w:val="000000" w:themeColor="text1"/>
        </w:rPr>
        <w:t>A copy of the</w:t>
      </w:r>
      <w:r w:rsidRPr="007732BF" w:rsidR="00666496">
        <w:rPr>
          <w:color w:val="000000" w:themeColor="text1"/>
        </w:rPr>
        <w:t xml:space="preserve"> </w:t>
      </w:r>
      <w:r w:rsidRPr="007732BF">
        <w:rPr>
          <w:color w:val="000000" w:themeColor="text1"/>
        </w:rPr>
        <w:t>screener with introductory text</w:t>
      </w:r>
      <w:r w:rsidRPr="007732BF" w:rsidR="00ED4681">
        <w:rPr>
          <w:color w:val="000000" w:themeColor="text1"/>
        </w:rPr>
        <w:t xml:space="preserve"> </w:t>
      </w:r>
      <w:r w:rsidRPr="007732BF" w:rsidR="00C23DF8">
        <w:rPr>
          <w:color w:val="000000" w:themeColor="text1"/>
        </w:rPr>
        <w:t xml:space="preserve">is </w:t>
      </w:r>
      <w:r w:rsidRPr="007732BF" w:rsidR="00703400">
        <w:rPr>
          <w:color w:val="000000" w:themeColor="text1"/>
        </w:rPr>
        <w:t xml:space="preserve">included in </w:t>
      </w:r>
      <w:r w:rsidRPr="007732BF" w:rsidR="00C23DF8">
        <w:rPr>
          <w:color w:val="000000" w:themeColor="text1"/>
        </w:rPr>
        <w:t xml:space="preserve">Appendix A. </w:t>
      </w:r>
    </w:p>
    <w:p w:rsidRPr="007732BF" w:rsidR="006026AB" w:rsidP="007023DB" w:rsidRDefault="006026AB" w14:paraId="3FC22E9A" w14:textId="29FA855E">
      <w:pPr>
        <w:pStyle w:val="ListParagraph"/>
        <w:tabs>
          <w:tab w:val="left" w:pos="360"/>
        </w:tabs>
        <w:autoSpaceDE w:val="0"/>
        <w:autoSpaceDN w:val="0"/>
        <w:adjustRightInd w:val="0"/>
        <w:ind w:left="0"/>
        <w:rPr>
          <w:color w:val="000000" w:themeColor="text1"/>
        </w:rPr>
      </w:pPr>
    </w:p>
    <w:p w:rsidRPr="007732BF" w:rsidR="000D69FA" w:rsidP="005B0D6D" w:rsidRDefault="007023DB" w14:paraId="3D27BF20" w14:textId="263A9637">
      <w:pPr>
        <w:pStyle w:val="ListParagraph"/>
        <w:tabs>
          <w:tab w:val="left" w:pos="360"/>
        </w:tabs>
        <w:autoSpaceDE w:val="0"/>
        <w:autoSpaceDN w:val="0"/>
        <w:adjustRightInd w:val="0"/>
        <w:rPr>
          <w:color w:val="000000" w:themeColor="text1"/>
        </w:rPr>
      </w:pPr>
      <w:r w:rsidRPr="007732BF">
        <w:rPr>
          <w:color w:val="000000" w:themeColor="text1"/>
        </w:rPr>
        <w:t xml:space="preserve">Once </w:t>
      </w:r>
      <w:r w:rsidRPr="007732BF" w:rsidR="006026AB">
        <w:rPr>
          <w:color w:val="000000" w:themeColor="text1"/>
        </w:rPr>
        <w:t>the interview ha</w:t>
      </w:r>
      <w:r w:rsidRPr="007732BF" w:rsidR="00607815">
        <w:rPr>
          <w:color w:val="000000" w:themeColor="text1"/>
        </w:rPr>
        <w:t xml:space="preserve">s </w:t>
      </w:r>
      <w:r w:rsidRPr="007732BF" w:rsidR="006026AB">
        <w:rPr>
          <w:color w:val="000000" w:themeColor="text1"/>
        </w:rPr>
        <w:t>been scheduled</w:t>
      </w:r>
      <w:r w:rsidRPr="007732BF" w:rsidR="00607815">
        <w:rPr>
          <w:color w:val="000000" w:themeColor="text1"/>
        </w:rPr>
        <w:t xml:space="preserve"> by phone, a</w:t>
      </w:r>
      <w:r w:rsidRPr="007732BF" w:rsidR="006026AB">
        <w:rPr>
          <w:color w:val="000000" w:themeColor="text1"/>
        </w:rPr>
        <w:t xml:space="preserve"> </w:t>
      </w:r>
      <w:r w:rsidRPr="007732BF">
        <w:rPr>
          <w:color w:val="000000" w:themeColor="text1"/>
        </w:rPr>
        <w:t xml:space="preserve">confirmation email letter </w:t>
      </w:r>
      <w:r w:rsidRPr="007732BF" w:rsidR="006026AB">
        <w:rPr>
          <w:color w:val="000000" w:themeColor="text1"/>
        </w:rPr>
        <w:t xml:space="preserve">will be sent to </w:t>
      </w:r>
      <w:r w:rsidRPr="007732BF">
        <w:rPr>
          <w:color w:val="000000" w:themeColor="text1"/>
        </w:rPr>
        <w:t xml:space="preserve">the </w:t>
      </w:r>
      <w:r w:rsidRPr="007732BF" w:rsidR="0021757E">
        <w:rPr>
          <w:color w:val="000000" w:themeColor="text1"/>
        </w:rPr>
        <w:t>recruited</w:t>
      </w:r>
      <w:r w:rsidRPr="007732BF" w:rsidR="005D42A3">
        <w:rPr>
          <w:color w:val="000000" w:themeColor="text1"/>
        </w:rPr>
        <w:t xml:space="preserve"> participant</w:t>
      </w:r>
      <w:r w:rsidRPr="007732BF" w:rsidR="00577001">
        <w:rPr>
          <w:color w:val="000000" w:themeColor="text1"/>
        </w:rPr>
        <w:t xml:space="preserve"> </w:t>
      </w:r>
      <w:r w:rsidRPr="007732BF" w:rsidR="006026AB">
        <w:rPr>
          <w:color w:val="000000" w:themeColor="text1"/>
        </w:rPr>
        <w:t>(</w:t>
      </w:r>
      <w:r w:rsidRPr="007732BF" w:rsidR="00D62B9B">
        <w:rPr>
          <w:color w:val="000000" w:themeColor="text1"/>
        </w:rPr>
        <w:t xml:space="preserve">see </w:t>
      </w:r>
      <w:r w:rsidRPr="007732BF" w:rsidR="006026AB">
        <w:rPr>
          <w:color w:val="000000" w:themeColor="text1"/>
        </w:rPr>
        <w:t xml:space="preserve">Appendix </w:t>
      </w:r>
      <w:r w:rsidRPr="007732BF" w:rsidR="005D42A3">
        <w:rPr>
          <w:color w:val="000000" w:themeColor="text1"/>
        </w:rPr>
        <w:t>B</w:t>
      </w:r>
      <w:r w:rsidRPr="007732BF" w:rsidR="006026AB">
        <w:rPr>
          <w:color w:val="000000" w:themeColor="text1"/>
        </w:rPr>
        <w:t xml:space="preserve">) </w:t>
      </w:r>
      <w:r w:rsidRPr="007732BF">
        <w:rPr>
          <w:color w:val="000000" w:themeColor="text1"/>
        </w:rPr>
        <w:t xml:space="preserve">outlining the overall purpose of the research, </w:t>
      </w:r>
      <w:r w:rsidRPr="007732BF" w:rsidR="00607815">
        <w:rPr>
          <w:color w:val="000000" w:themeColor="text1"/>
        </w:rPr>
        <w:t>confirm</w:t>
      </w:r>
      <w:r w:rsidRPr="007732BF" w:rsidR="0093515A">
        <w:rPr>
          <w:color w:val="000000" w:themeColor="text1"/>
        </w:rPr>
        <w:t>ing</w:t>
      </w:r>
      <w:r w:rsidRPr="007732BF" w:rsidR="00607815">
        <w:rPr>
          <w:color w:val="000000" w:themeColor="text1"/>
        </w:rPr>
        <w:t xml:space="preserve"> the date and time for the interview, and </w:t>
      </w:r>
      <w:r w:rsidRPr="007732BF" w:rsidR="00D62B9B">
        <w:rPr>
          <w:color w:val="000000" w:themeColor="text1"/>
        </w:rPr>
        <w:t>the Zoom</w:t>
      </w:r>
      <w:r w:rsidRPr="007732BF" w:rsidR="00607815">
        <w:rPr>
          <w:color w:val="000000" w:themeColor="text1"/>
        </w:rPr>
        <w:t xml:space="preserve"> </w:t>
      </w:r>
      <w:r w:rsidRPr="007732BF" w:rsidR="00D62B9B">
        <w:rPr>
          <w:color w:val="000000" w:themeColor="text1"/>
        </w:rPr>
        <w:t xml:space="preserve">link </w:t>
      </w:r>
      <w:r w:rsidRPr="007732BF" w:rsidR="00607815">
        <w:rPr>
          <w:color w:val="000000" w:themeColor="text1"/>
        </w:rPr>
        <w:t>for the interview</w:t>
      </w:r>
      <w:r w:rsidRPr="007732BF" w:rsidR="00D4709A">
        <w:rPr>
          <w:color w:val="000000" w:themeColor="text1"/>
        </w:rPr>
        <w:t xml:space="preserve">. </w:t>
      </w:r>
      <w:r w:rsidRPr="007732BF" w:rsidR="002A6942">
        <w:rPr>
          <w:color w:val="000000" w:themeColor="text1"/>
        </w:rPr>
        <w:t xml:space="preserve">An </w:t>
      </w:r>
      <w:r w:rsidRPr="007732BF" w:rsidR="008B2F4F">
        <w:rPr>
          <w:color w:val="000000" w:themeColor="text1"/>
        </w:rPr>
        <w:t xml:space="preserve">informed consent document (see </w:t>
      </w:r>
      <w:r w:rsidRPr="007732BF" w:rsidR="004E5C97">
        <w:rPr>
          <w:color w:val="000000" w:themeColor="text1"/>
        </w:rPr>
        <w:t>Appendix</w:t>
      </w:r>
      <w:r w:rsidRPr="007732BF" w:rsidR="006026AB">
        <w:rPr>
          <w:color w:val="000000" w:themeColor="text1"/>
        </w:rPr>
        <w:t xml:space="preserve"> </w:t>
      </w:r>
      <w:r w:rsidRPr="007732BF" w:rsidR="00D62B9B">
        <w:rPr>
          <w:color w:val="000000" w:themeColor="text1"/>
        </w:rPr>
        <w:t>C</w:t>
      </w:r>
      <w:r w:rsidRPr="007732BF" w:rsidR="008B2F4F">
        <w:rPr>
          <w:color w:val="000000" w:themeColor="text1"/>
        </w:rPr>
        <w:t xml:space="preserve">) will also be </w:t>
      </w:r>
      <w:r w:rsidRPr="007732BF" w:rsidR="00607815">
        <w:rPr>
          <w:color w:val="000000" w:themeColor="text1"/>
        </w:rPr>
        <w:t xml:space="preserve">attached </w:t>
      </w:r>
      <w:r w:rsidRPr="007732BF" w:rsidR="00975B24">
        <w:rPr>
          <w:color w:val="000000" w:themeColor="text1"/>
        </w:rPr>
        <w:t xml:space="preserve">to </w:t>
      </w:r>
      <w:r w:rsidRPr="007732BF" w:rsidR="00607815">
        <w:rPr>
          <w:color w:val="000000" w:themeColor="text1"/>
        </w:rPr>
        <w:t>the confirmation email letter</w:t>
      </w:r>
      <w:r w:rsidRPr="007732BF" w:rsidR="000D69FA">
        <w:rPr>
          <w:color w:val="000000" w:themeColor="text1"/>
        </w:rPr>
        <w:t>.</w:t>
      </w:r>
    </w:p>
    <w:p w:rsidRPr="007732BF" w:rsidR="00580940" w:rsidP="005B0D6D" w:rsidRDefault="00580940" w14:paraId="08E0FC1A" w14:textId="2204C328">
      <w:pPr>
        <w:pStyle w:val="ListParagraph"/>
        <w:tabs>
          <w:tab w:val="left" w:pos="360"/>
        </w:tabs>
        <w:autoSpaceDE w:val="0"/>
        <w:autoSpaceDN w:val="0"/>
        <w:adjustRightInd w:val="0"/>
        <w:rPr>
          <w:color w:val="000000" w:themeColor="text1"/>
        </w:rPr>
      </w:pPr>
    </w:p>
    <w:p w:rsidRPr="007732BF" w:rsidR="007023DB" w:rsidP="005B0D6D" w:rsidRDefault="00D62B9B" w14:paraId="0EBDA9B4" w14:textId="305D1098">
      <w:pPr>
        <w:pStyle w:val="ListParagraph"/>
        <w:tabs>
          <w:tab w:val="left" w:pos="360"/>
        </w:tabs>
        <w:autoSpaceDE w:val="0"/>
        <w:autoSpaceDN w:val="0"/>
        <w:adjustRightInd w:val="0"/>
        <w:rPr>
          <w:color w:val="000000" w:themeColor="text1"/>
        </w:rPr>
      </w:pPr>
      <w:r w:rsidRPr="007732BF">
        <w:rPr>
          <w:color w:val="000000" w:themeColor="text1"/>
        </w:rPr>
        <w:t>L&amp;E Research</w:t>
      </w:r>
      <w:r w:rsidRPr="007732BF" w:rsidR="00607815">
        <w:rPr>
          <w:color w:val="000000" w:themeColor="text1"/>
        </w:rPr>
        <w:t xml:space="preserve"> </w:t>
      </w:r>
      <w:r w:rsidRPr="007732BF" w:rsidR="007023DB">
        <w:rPr>
          <w:color w:val="000000" w:themeColor="text1"/>
        </w:rPr>
        <w:t xml:space="preserve">will send </w:t>
      </w:r>
      <w:r w:rsidRPr="007732BF" w:rsidR="005A77C0">
        <w:rPr>
          <w:color w:val="000000" w:themeColor="text1"/>
        </w:rPr>
        <w:t xml:space="preserve">recruited </w:t>
      </w:r>
      <w:r w:rsidR="00345028">
        <w:rPr>
          <w:color w:val="000000" w:themeColor="text1"/>
        </w:rPr>
        <w:t>physician</w:t>
      </w:r>
      <w:r w:rsidR="000947CE">
        <w:rPr>
          <w:color w:val="000000" w:themeColor="text1"/>
        </w:rPr>
        <w:t>’</w:t>
      </w:r>
      <w:r w:rsidRPr="007732BF" w:rsidR="00580940">
        <w:rPr>
          <w:color w:val="000000" w:themeColor="text1"/>
        </w:rPr>
        <w:t>s</w:t>
      </w:r>
      <w:r w:rsidRPr="007732BF" w:rsidR="007023DB">
        <w:rPr>
          <w:color w:val="000000" w:themeColor="text1"/>
        </w:rPr>
        <w:t xml:space="preserve"> </w:t>
      </w:r>
      <w:r w:rsidRPr="007732BF">
        <w:rPr>
          <w:color w:val="000000" w:themeColor="text1"/>
        </w:rPr>
        <w:t xml:space="preserve">and consumer’s </w:t>
      </w:r>
      <w:r w:rsidRPr="007732BF" w:rsidR="007023DB">
        <w:rPr>
          <w:color w:val="000000" w:themeColor="text1"/>
        </w:rPr>
        <w:t>first name</w:t>
      </w:r>
      <w:r w:rsidRPr="007732BF" w:rsidR="007C7DF4">
        <w:rPr>
          <w:color w:val="000000" w:themeColor="text1"/>
        </w:rPr>
        <w:t>s</w:t>
      </w:r>
      <w:r w:rsidRPr="007732BF">
        <w:rPr>
          <w:color w:val="000000" w:themeColor="text1"/>
        </w:rPr>
        <w:t xml:space="preserve">, </w:t>
      </w:r>
      <w:r w:rsidRPr="007732BF" w:rsidR="00580940">
        <w:rPr>
          <w:color w:val="000000" w:themeColor="text1"/>
        </w:rPr>
        <w:t>scheduled</w:t>
      </w:r>
      <w:r w:rsidRPr="007732BF">
        <w:rPr>
          <w:color w:val="000000" w:themeColor="text1"/>
        </w:rPr>
        <w:t xml:space="preserve"> interview times, and responses to screener questions</w:t>
      </w:r>
      <w:r w:rsidRPr="007732BF" w:rsidR="00580940">
        <w:rPr>
          <w:color w:val="000000" w:themeColor="text1"/>
        </w:rPr>
        <w:t xml:space="preserve"> </w:t>
      </w:r>
      <w:r w:rsidRPr="007732BF">
        <w:rPr>
          <w:color w:val="000000" w:themeColor="text1"/>
        </w:rPr>
        <w:t>to RTI</w:t>
      </w:r>
      <w:r w:rsidRPr="007732BF" w:rsidR="00580940">
        <w:rPr>
          <w:color w:val="000000" w:themeColor="text1"/>
        </w:rPr>
        <w:t xml:space="preserve">. </w:t>
      </w:r>
      <w:r w:rsidRPr="007732BF">
        <w:rPr>
          <w:color w:val="000000" w:themeColor="text1"/>
        </w:rPr>
        <w:t>RTI</w:t>
      </w:r>
      <w:r w:rsidRPr="007732BF" w:rsidR="007023DB">
        <w:rPr>
          <w:color w:val="000000" w:themeColor="text1"/>
        </w:rPr>
        <w:t xml:space="preserve"> will </w:t>
      </w:r>
      <w:r w:rsidRPr="007732BF" w:rsidR="00580940">
        <w:rPr>
          <w:color w:val="000000" w:themeColor="text1"/>
        </w:rPr>
        <w:t xml:space="preserve">provide periodic </w:t>
      </w:r>
      <w:r w:rsidRPr="007732BF" w:rsidR="007023DB">
        <w:rPr>
          <w:color w:val="000000" w:themeColor="text1"/>
        </w:rPr>
        <w:t>updates</w:t>
      </w:r>
      <w:r w:rsidRPr="007732BF" w:rsidR="00580940">
        <w:rPr>
          <w:color w:val="000000" w:themeColor="text1"/>
        </w:rPr>
        <w:t xml:space="preserve"> </w:t>
      </w:r>
      <w:r w:rsidRPr="007732BF" w:rsidR="007023DB">
        <w:rPr>
          <w:color w:val="000000" w:themeColor="text1"/>
        </w:rPr>
        <w:t>about scheduled interviews</w:t>
      </w:r>
      <w:r w:rsidRPr="007732BF" w:rsidR="00580940">
        <w:rPr>
          <w:color w:val="000000" w:themeColor="text1"/>
        </w:rPr>
        <w:t xml:space="preserve"> to FDA. </w:t>
      </w:r>
      <w:r w:rsidRPr="007732BF">
        <w:rPr>
          <w:color w:val="000000" w:themeColor="text1"/>
        </w:rPr>
        <w:t>One to t</w:t>
      </w:r>
      <w:r w:rsidRPr="007732BF" w:rsidR="00E17768">
        <w:rPr>
          <w:color w:val="000000" w:themeColor="text1"/>
        </w:rPr>
        <w:t>wo days prior</w:t>
      </w:r>
      <w:r w:rsidRPr="007732BF" w:rsidR="007023DB">
        <w:rPr>
          <w:color w:val="000000" w:themeColor="text1"/>
        </w:rPr>
        <w:t xml:space="preserve"> to the </w:t>
      </w:r>
      <w:r w:rsidRPr="007732BF" w:rsidR="00607815">
        <w:rPr>
          <w:color w:val="000000" w:themeColor="text1"/>
        </w:rPr>
        <w:t xml:space="preserve">scheduled </w:t>
      </w:r>
      <w:r w:rsidRPr="007732BF" w:rsidR="007023DB">
        <w:rPr>
          <w:color w:val="000000" w:themeColor="text1"/>
        </w:rPr>
        <w:t>interview,</w:t>
      </w:r>
      <w:r w:rsidRPr="007732BF" w:rsidR="00D4709A">
        <w:rPr>
          <w:color w:val="000000" w:themeColor="text1"/>
        </w:rPr>
        <w:t xml:space="preserve"> </w:t>
      </w:r>
      <w:r w:rsidRPr="007732BF" w:rsidR="00607815">
        <w:rPr>
          <w:color w:val="000000" w:themeColor="text1"/>
        </w:rPr>
        <w:t xml:space="preserve">recruited </w:t>
      </w:r>
      <w:r w:rsidRPr="007732BF">
        <w:rPr>
          <w:color w:val="000000" w:themeColor="text1"/>
        </w:rPr>
        <w:t>participants</w:t>
      </w:r>
      <w:r w:rsidRPr="007732BF" w:rsidR="00580940">
        <w:rPr>
          <w:color w:val="000000" w:themeColor="text1"/>
        </w:rPr>
        <w:t xml:space="preserve"> </w:t>
      </w:r>
      <w:r w:rsidRPr="007732BF" w:rsidR="00D4709A">
        <w:rPr>
          <w:color w:val="000000" w:themeColor="text1"/>
        </w:rPr>
        <w:t xml:space="preserve">will </w:t>
      </w:r>
      <w:r w:rsidRPr="007732BF">
        <w:rPr>
          <w:color w:val="000000" w:themeColor="text1"/>
        </w:rPr>
        <w:t>receive a reminder call</w:t>
      </w:r>
      <w:r w:rsidRPr="007732BF" w:rsidR="00206B55">
        <w:rPr>
          <w:color w:val="000000" w:themeColor="text1"/>
        </w:rPr>
        <w:t xml:space="preserve"> and </w:t>
      </w:r>
      <w:r w:rsidRPr="007732BF" w:rsidR="00725611">
        <w:rPr>
          <w:color w:val="000000" w:themeColor="text1"/>
        </w:rPr>
        <w:t xml:space="preserve">participants who do </w:t>
      </w:r>
      <w:r w:rsidRPr="007732BF" w:rsidR="00206B55">
        <w:rPr>
          <w:color w:val="000000" w:themeColor="text1"/>
        </w:rPr>
        <w:t xml:space="preserve">not log in for their interview will also receive a follow-up call </w:t>
      </w:r>
      <w:r w:rsidRPr="007732BF" w:rsidR="00D4709A">
        <w:rPr>
          <w:color w:val="000000" w:themeColor="text1"/>
        </w:rPr>
        <w:t>(</w:t>
      </w:r>
      <w:r w:rsidRPr="007732BF" w:rsidR="00725611">
        <w:rPr>
          <w:color w:val="000000" w:themeColor="text1"/>
        </w:rPr>
        <w:t xml:space="preserve">see </w:t>
      </w:r>
      <w:r w:rsidRPr="007732BF" w:rsidR="004E5C97">
        <w:rPr>
          <w:color w:val="000000" w:themeColor="text1"/>
        </w:rPr>
        <w:t>Appendix</w:t>
      </w:r>
      <w:r w:rsidRPr="007732BF" w:rsidR="00D4709A">
        <w:rPr>
          <w:color w:val="000000" w:themeColor="text1"/>
        </w:rPr>
        <w:t xml:space="preserve"> </w:t>
      </w:r>
      <w:r w:rsidRPr="007732BF">
        <w:rPr>
          <w:color w:val="000000" w:themeColor="text1"/>
        </w:rPr>
        <w:t>D</w:t>
      </w:r>
      <w:r w:rsidRPr="007732BF" w:rsidR="00D4709A">
        <w:rPr>
          <w:color w:val="000000" w:themeColor="text1"/>
        </w:rPr>
        <w:t>)</w:t>
      </w:r>
      <w:r w:rsidRPr="007732BF" w:rsidR="007023DB">
        <w:rPr>
          <w:color w:val="000000" w:themeColor="text1"/>
        </w:rPr>
        <w:t>.  </w:t>
      </w:r>
    </w:p>
    <w:p w:rsidRPr="007732BF" w:rsidR="007B774A" w:rsidP="00E72206" w:rsidRDefault="007B774A" w14:paraId="03861BC9" w14:textId="77777777">
      <w:pPr>
        <w:pStyle w:val="ListParagraph"/>
        <w:tabs>
          <w:tab w:val="left" w:pos="360"/>
        </w:tabs>
        <w:autoSpaceDE w:val="0"/>
        <w:autoSpaceDN w:val="0"/>
        <w:adjustRightInd w:val="0"/>
        <w:ind w:left="0"/>
        <w:rPr>
          <w:color w:val="000000" w:themeColor="text1"/>
        </w:rPr>
      </w:pPr>
      <w:bookmarkStart w:name="_Toc432670831" w:id="5"/>
      <w:bookmarkStart w:name="_Toc432670997" w:id="6"/>
      <w:bookmarkEnd w:id="2"/>
      <w:bookmarkEnd w:id="3"/>
      <w:bookmarkEnd w:id="4"/>
    </w:p>
    <w:p w:rsidRPr="007732BF" w:rsidR="007B774A" w:rsidP="005B0D6D" w:rsidRDefault="007B774A" w14:paraId="4AE49043" w14:textId="77777777">
      <w:pPr>
        <w:pStyle w:val="Heading11"/>
        <w:ind w:left="720"/>
        <w:jc w:val="left"/>
        <w:rPr>
          <w:rFonts w:ascii="Times New Roman" w:hAnsi="Times New Roman"/>
          <w:bCs/>
          <w:i/>
          <w:iCs/>
          <w:color w:val="000000" w:themeColor="text1"/>
          <w:sz w:val="24"/>
          <w:szCs w:val="24"/>
        </w:rPr>
      </w:pPr>
      <w:r w:rsidRPr="007732BF">
        <w:rPr>
          <w:rFonts w:ascii="Times New Roman" w:hAnsi="Times New Roman"/>
          <w:bCs/>
          <w:i/>
          <w:iCs/>
          <w:color w:val="000000" w:themeColor="text1"/>
          <w:sz w:val="24"/>
          <w:szCs w:val="24"/>
        </w:rPr>
        <w:t>Data Collection Procedures</w:t>
      </w:r>
    </w:p>
    <w:p w:rsidRPr="007732BF" w:rsidR="007B774A" w:rsidP="005B0D6D" w:rsidRDefault="007B774A" w14:paraId="3D7F348E" w14:textId="77777777">
      <w:pPr>
        <w:pStyle w:val="Heading11"/>
        <w:ind w:left="720"/>
        <w:jc w:val="left"/>
        <w:rPr>
          <w:rFonts w:ascii="Times New Roman" w:hAnsi="Times New Roman"/>
          <w:b w:val="0"/>
          <w:color w:val="000000" w:themeColor="text1"/>
          <w:sz w:val="24"/>
          <w:szCs w:val="24"/>
          <w:u w:val="single"/>
        </w:rPr>
      </w:pPr>
    </w:p>
    <w:p w:rsidRPr="007732BF" w:rsidR="00F41FA5" w:rsidP="005B0D6D" w:rsidRDefault="007E5437" w14:paraId="4533A2BA" w14:textId="7D5276C0">
      <w:pPr>
        <w:autoSpaceDE w:val="0"/>
        <w:autoSpaceDN w:val="0"/>
        <w:adjustRightInd w:val="0"/>
        <w:ind w:left="720"/>
        <w:jc w:val="both"/>
        <w:rPr>
          <w:color w:val="000000" w:themeColor="text1"/>
        </w:rPr>
      </w:pPr>
      <w:bookmarkStart w:name="_Hlk17379782" w:id="7"/>
      <w:r w:rsidRPr="007732BF">
        <w:rPr>
          <w:color w:val="000000" w:themeColor="text1"/>
        </w:rPr>
        <w:t xml:space="preserve">Data collection will be conducted </w:t>
      </w:r>
      <w:r w:rsidRPr="007732BF" w:rsidR="00D4709A">
        <w:rPr>
          <w:color w:val="000000" w:themeColor="text1"/>
        </w:rPr>
        <w:t xml:space="preserve">remotely using </w:t>
      </w:r>
      <w:r w:rsidRPr="007732BF" w:rsidR="00FA73EB">
        <w:rPr>
          <w:color w:val="000000" w:themeColor="text1"/>
        </w:rPr>
        <w:t>Zoom</w:t>
      </w:r>
      <w:r w:rsidRPr="007732BF">
        <w:rPr>
          <w:color w:val="000000" w:themeColor="text1"/>
        </w:rPr>
        <w:t>.</w:t>
      </w:r>
      <w:r w:rsidRPr="007732BF" w:rsidR="00682BB9">
        <w:rPr>
          <w:bCs/>
          <w:color w:val="000000" w:themeColor="text1"/>
        </w:rPr>
        <w:t xml:space="preserve"> </w:t>
      </w:r>
      <w:r w:rsidRPr="007732BF" w:rsidR="00C04278">
        <w:rPr>
          <w:bCs/>
          <w:color w:val="000000" w:themeColor="text1"/>
        </w:rPr>
        <w:t xml:space="preserve">Trained interviewers from </w:t>
      </w:r>
      <w:r w:rsidRPr="007732BF" w:rsidR="00FA73EB">
        <w:rPr>
          <w:bCs/>
          <w:color w:val="000000" w:themeColor="text1"/>
        </w:rPr>
        <w:t xml:space="preserve">RTI International </w:t>
      </w:r>
      <w:r w:rsidRPr="007732BF" w:rsidR="00C04278">
        <w:rPr>
          <w:bCs/>
          <w:color w:val="000000" w:themeColor="text1"/>
        </w:rPr>
        <w:t>will conduct individual in-depth interviews</w:t>
      </w:r>
      <w:r w:rsidRPr="007732BF" w:rsidR="00F41FA5">
        <w:rPr>
          <w:bCs/>
          <w:color w:val="000000" w:themeColor="text1"/>
        </w:rPr>
        <w:t xml:space="preserve"> with </w:t>
      </w:r>
      <w:r w:rsidR="00345028">
        <w:rPr>
          <w:color w:val="000000" w:themeColor="text1"/>
        </w:rPr>
        <w:t>physician</w:t>
      </w:r>
      <w:r w:rsidRPr="007732BF" w:rsidR="00FA73EB">
        <w:rPr>
          <w:bCs/>
          <w:color w:val="000000" w:themeColor="text1"/>
        </w:rPr>
        <w:t>s and consumers</w:t>
      </w:r>
      <w:r w:rsidRPr="007732BF" w:rsidR="00FF63F1">
        <w:rPr>
          <w:bCs/>
          <w:color w:val="000000" w:themeColor="text1"/>
        </w:rPr>
        <w:t xml:space="preserve">. </w:t>
      </w:r>
      <w:r w:rsidRPr="007732BF" w:rsidR="00F41FA5">
        <w:rPr>
          <w:color w:val="000000" w:themeColor="text1"/>
        </w:rPr>
        <w:t>Prior to starting interview</w:t>
      </w:r>
      <w:r w:rsidRPr="007732BF" w:rsidR="00FF63F1">
        <w:rPr>
          <w:color w:val="000000" w:themeColor="text1"/>
        </w:rPr>
        <w:t>s</w:t>
      </w:r>
      <w:r w:rsidRPr="007732BF" w:rsidR="00F41FA5">
        <w:rPr>
          <w:color w:val="000000" w:themeColor="text1"/>
        </w:rPr>
        <w:t>, interviewer</w:t>
      </w:r>
      <w:r w:rsidRPr="007732BF" w:rsidR="0021293B">
        <w:rPr>
          <w:color w:val="000000" w:themeColor="text1"/>
        </w:rPr>
        <w:t>s</w:t>
      </w:r>
      <w:r w:rsidRPr="007732BF" w:rsidR="00F41FA5">
        <w:rPr>
          <w:color w:val="000000" w:themeColor="text1"/>
        </w:rPr>
        <w:t xml:space="preserve"> will review the informed</w:t>
      </w:r>
      <w:r w:rsidRPr="007732BF" w:rsidR="00A50011">
        <w:rPr>
          <w:color w:val="000000" w:themeColor="text1"/>
        </w:rPr>
        <w:t xml:space="preserve"> </w:t>
      </w:r>
      <w:r w:rsidRPr="007732BF" w:rsidR="00F41FA5">
        <w:rPr>
          <w:color w:val="000000" w:themeColor="text1"/>
        </w:rPr>
        <w:t xml:space="preserve">consent document </w:t>
      </w:r>
      <w:r w:rsidRPr="007732BF" w:rsidR="000978A1">
        <w:rPr>
          <w:color w:val="000000" w:themeColor="text1"/>
        </w:rPr>
        <w:t xml:space="preserve">sent </w:t>
      </w:r>
      <w:r w:rsidRPr="000A71DC" w:rsidR="000978A1">
        <w:rPr>
          <w:iCs/>
          <w:color w:val="000000" w:themeColor="text1"/>
        </w:rPr>
        <w:t>in advance to partici</w:t>
      </w:r>
      <w:r w:rsidR="000978A1">
        <w:rPr>
          <w:iCs/>
          <w:color w:val="000000" w:themeColor="text1"/>
        </w:rPr>
        <w:t>pa</w:t>
      </w:r>
      <w:r w:rsidRPr="000A71DC" w:rsidR="000978A1">
        <w:rPr>
          <w:iCs/>
          <w:color w:val="000000" w:themeColor="text1"/>
        </w:rPr>
        <w:t>nts with the confirmation email</w:t>
      </w:r>
      <w:r w:rsidRPr="007732BF" w:rsidR="00FF63F1">
        <w:rPr>
          <w:color w:val="000000" w:themeColor="text1"/>
        </w:rPr>
        <w:t xml:space="preserve"> and </w:t>
      </w:r>
      <w:r w:rsidRPr="007732BF" w:rsidR="004D0E0E">
        <w:rPr>
          <w:color w:val="000000" w:themeColor="text1"/>
        </w:rPr>
        <w:t>r</w:t>
      </w:r>
      <w:r w:rsidRPr="007732BF" w:rsidR="00F41FA5">
        <w:rPr>
          <w:color w:val="000000" w:themeColor="text1"/>
        </w:rPr>
        <w:t xml:space="preserve">equest </w:t>
      </w:r>
      <w:r w:rsidRPr="007732BF" w:rsidR="0021293B">
        <w:rPr>
          <w:color w:val="000000" w:themeColor="text1"/>
        </w:rPr>
        <w:t xml:space="preserve">their </w:t>
      </w:r>
      <w:r w:rsidRPr="007732BF" w:rsidR="00FF63F1">
        <w:rPr>
          <w:color w:val="000000" w:themeColor="text1"/>
        </w:rPr>
        <w:t xml:space="preserve">verbal </w:t>
      </w:r>
      <w:r w:rsidRPr="007732BF" w:rsidR="00FF63F1">
        <w:rPr>
          <w:iCs/>
          <w:color w:val="000000" w:themeColor="text1"/>
        </w:rPr>
        <w:t xml:space="preserve">consent to participate in the study and record </w:t>
      </w:r>
      <w:r w:rsidRPr="007732BF" w:rsidR="00FA73EB">
        <w:rPr>
          <w:iCs/>
          <w:color w:val="000000" w:themeColor="text1"/>
        </w:rPr>
        <w:t xml:space="preserve">and livestream </w:t>
      </w:r>
      <w:r w:rsidRPr="007732BF" w:rsidR="00FF63F1">
        <w:rPr>
          <w:iCs/>
          <w:color w:val="000000" w:themeColor="text1"/>
        </w:rPr>
        <w:t xml:space="preserve">the interview. </w:t>
      </w:r>
      <w:r w:rsidRPr="007732BF" w:rsidR="00FF63F1">
        <w:rPr>
          <w:color w:val="000000" w:themeColor="text1"/>
        </w:rPr>
        <w:t xml:space="preserve"> </w:t>
      </w:r>
    </w:p>
    <w:p w:rsidRPr="007732BF" w:rsidR="00FF63F1" w:rsidP="005B0D6D" w:rsidRDefault="00FF63F1" w14:paraId="3DFC73AF" w14:textId="77777777">
      <w:pPr>
        <w:ind w:left="720"/>
        <w:rPr>
          <w:color w:val="000000" w:themeColor="text1"/>
        </w:rPr>
      </w:pPr>
    </w:p>
    <w:p w:rsidRPr="007732BF" w:rsidR="007E5437" w:rsidP="005B0D6D" w:rsidRDefault="007E5437" w14:paraId="79D58297" w14:textId="1C677E60">
      <w:pPr>
        <w:ind w:left="720"/>
        <w:rPr>
          <w:color w:val="000000" w:themeColor="text1"/>
        </w:rPr>
      </w:pPr>
      <w:r w:rsidRPr="007732BF">
        <w:rPr>
          <w:color w:val="000000" w:themeColor="text1"/>
        </w:rPr>
        <w:lastRenderedPageBreak/>
        <w:t>Using a semi-structured guide</w:t>
      </w:r>
      <w:r w:rsidRPr="007732BF" w:rsidR="00E17768">
        <w:rPr>
          <w:color w:val="000000" w:themeColor="text1"/>
        </w:rPr>
        <w:t xml:space="preserve"> (</w:t>
      </w:r>
      <w:r w:rsidRPr="007732BF" w:rsidR="00206B55">
        <w:rPr>
          <w:color w:val="000000" w:themeColor="text1"/>
        </w:rPr>
        <w:t xml:space="preserve">see </w:t>
      </w:r>
      <w:r w:rsidRPr="007732BF" w:rsidR="00E17768">
        <w:rPr>
          <w:color w:val="000000" w:themeColor="text1"/>
        </w:rPr>
        <w:t>Appendi</w:t>
      </w:r>
      <w:r w:rsidR="00CE3A96">
        <w:rPr>
          <w:color w:val="000000" w:themeColor="text1"/>
        </w:rPr>
        <w:t>c</w:t>
      </w:r>
      <w:r w:rsidRPr="007732BF" w:rsidR="00206B55">
        <w:rPr>
          <w:color w:val="000000" w:themeColor="text1"/>
        </w:rPr>
        <w:t>es</w:t>
      </w:r>
      <w:r w:rsidRPr="007732BF" w:rsidR="00E17768">
        <w:rPr>
          <w:color w:val="000000" w:themeColor="text1"/>
        </w:rPr>
        <w:t xml:space="preserve"> </w:t>
      </w:r>
      <w:r w:rsidRPr="007732BF" w:rsidR="00206B55">
        <w:rPr>
          <w:color w:val="000000" w:themeColor="text1"/>
        </w:rPr>
        <w:t xml:space="preserve">E and F for the consumer and </w:t>
      </w:r>
      <w:r w:rsidR="00345028">
        <w:rPr>
          <w:color w:val="000000" w:themeColor="text1"/>
        </w:rPr>
        <w:t>physician</w:t>
      </w:r>
      <w:r w:rsidRPr="007732BF" w:rsidR="00206B55">
        <w:rPr>
          <w:color w:val="000000" w:themeColor="text1"/>
        </w:rPr>
        <w:t xml:space="preserve"> interview guides, respectively</w:t>
      </w:r>
      <w:r w:rsidRPr="007732BF" w:rsidR="007023DB">
        <w:rPr>
          <w:color w:val="000000" w:themeColor="text1"/>
        </w:rPr>
        <w:t>)</w:t>
      </w:r>
      <w:r w:rsidRPr="007732BF">
        <w:rPr>
          <w:color w:val="000000" w:themeColor="text1"/>
        </w:rPr>
        <w:t>, the interviewer will</w:t>
      </w:r>
      <w:r w:rsidRPr="007732BF" w:rsidR="006E15E9">
        <w:rPr>
          <w:color w:val="000000" w:themeColor="text1"/>
        </w:rPr>
        <w:t xml:space="preserve"> ask</w:t>
      </w:r>
      <w:r w:rsidRPr="007732BF">
        <w:rPr>
          <w:color w:val="000000" w:themeColor="text1"/>
        </w:rPr>
        <w:t xml:space="preserve"> </w:t>
      </w:r>
      <w:r w:rsidRPr="007732BF" w:rsidR="00580940">
        <w:rPr>
          <w:color w:val="000000" w:themeColor="text1"/>
        </w:rPr>
        <w:t>participant</w:t>
      </w:r>
      <w:r w:rsidRPr="007732BF" w:rsidR="006E15E9">
        <w:rPr>
          <w:color w:val="000000" w:themeColor="text1"/>
        </w:rPr>
        <w:t>s</w:t>
      </w:r>
      <w:r w:rsidRPr="007732BF">
        <w:rPr>
          <w:color w:val="000000" w:themeColor="text1"/>
        </w:rPr>
        <w:t xml:space="preserve"> </w:t>
      </w:r>
      <w:r w:rsidRPr="007732BF" w:rsidR="006E15E9">
        <w:rPr>
          <w:color w:val="000000" w:themeColor="text1"/>
        </w:rPr>
        <w:t>about how they make decisions about medical treatments (</w:t>
      </w:r>
      <w:r w:rsidRPr="007732BF" w:rsidR="00206B55">
        <w:rPr>
          <w:color w:val="000000" w:themeColor="text1"/>
        </w:rPr>
        <w:t xml:space="preserve">consumers for themselves and </w:t>
      </w:r>
      <w:r w:rsidR="00345028">
        <w:rPr>
          <w:color w:val="000000" w:themeColor="text1"/>
        </w:rPr>
        <w:t>physician</w:t>
      </w:r>
      <w:r w:rsidRPr="007732BF" w:rsidR="006E15E9">
        <w:rPr>
          <w:color w:val="000000" w:themeColor="text1"/>
        </w:rPr>
        <w:t xml:space="preserve">s for their patients). </w:t>
      </w:r>
      <w:r w:rsidRPr="007732BF">
        <w:rPr>
          <w:color w:val="000000" w:themeColor="text1"/>
        </w:rPr>
        <w:t>No sensitive questions will be asked of</w:t>
      </w:r>
      <w:r w:rsidRPr="007732BF" w:rsidR="006E15E9">
        <w:rPr>
          <w:color w:val="000000" w:themeColor="text1"/>
        </w:rPr>
        <w:t xml:space="preserve"> </w:t>
      </w:r>
      <w:r w:rsidRPr="007732BF">
        <w:rPr>
          <w:color w:val="000000" w:themeColor="text1"/>
        </w:rPr>
        <w:t>participants.</w:t>
      </w:r>
      <w:r w:rsidRPr="007732BF" w:rsidR="00682BB9">
        <w:rPr>
          <w:color w:val="000000" w:themeColor="text1"/>
        </w:rPr>
        <w:t xml:space="preserve"> The expected length of </w:t>
      </w:r>
      <w:r w:rsidRPr="007732BF" w:rsidR="001344FF">
        <w:rPr>
          <w:color w:val="000000" w:themeColor="text1"/>
        </w:rPr>
        <w:t xml:space="preserve">each </w:t>
      </w:r>
      <w:r w:rsidRPr="007732BF" w:rsidR="00682BB9">
        <w:rPr>
          <w:color w:val="000000" w:themeColor="text1"/>
        </w:rPr>
        <w:t>interview is approximately 60 minutes.</w:t>
      </w:r>
    </w:p>
    <w:p w:rsidRPr="007732BF" w:rsidR="007E5437" w:rsidP="007E5437" w:rsidRDefault="007E5437" w14:paraId="0EFFD645" w14:textId="77777777">
      <w:pPr>
        <w:contextualSpacing/>
        <w:rPr>
          <w:color w:val="000000" w:themeColor="text1"/>
        </w:rPr>
      </w:pPr>
    </w:p>
    <w:p w:rsidRPr="007732BF" w:rsidR="000D69FA" w:rsidP="006E15E9" w:rsidRDefault="006E15E9" w14:paraId="3230DE87" w14:textId="42A24855">
      <w:pPr>
        <w:autoSpaceDE w:val="0"/>
        <w:autoSpaceDN w:val="0"/>
        <w:adjustRightInd w:val="0"/>
        <w:ind w:left="720"/>
        <w:rPr>
          <w:color w:val="000000" w:themeColor="text1"/>
        </w:rPr>
      </w:pPr>
      <w:r w:rsidRPr="007732BF">
        <w:rPr>
          <w:color w:val="000000" w:themeColor="text1"/>
        </w:rPr>
        <w:t>RTI International</w:t>
      </w:r>
      <w:r w:rsidRPr="007732BF" w:rsidR="007E5437">
        <w:rPr>
          <w:color w:val="000000" w:themeColor="text1"/>
        </w:rPr>
        <w:t xml:space="preserve"> will </w:t>
      </w:r>
      <w:r w:rsidRPr="007732BF" w:rsidR="007023DB">
        <w:rPr>
          <w:color w:val="000000" w:themeColor="text1"/>
        </w:rPr>
        <w:t>audio</w:t>
      </w:r>
      <w:r w:rsidR="008B7E49">
        <w:rPr>
          <w:color w:val="000000" w:themeColor="text1"/>
        </w:rPr>
        <w:t xml:space="preserve"> </w:t>
      </w:r>
      <w:r w:rsidRPr="007732BF" w:rsidR="007E5437">
        <w:rPr>
          <w:color w:val="000000" w:themeColor="text1"/>
        </w:rPr>
        <w:t>record all interview sessions</w:t>
      </w:r>
      <w:r w:rsidRPr="007732BF">
        <w:rPr>
          <w:color w:val="000000" w:themeColor="text1"/>
        </w:rPr>
        <w:t xml:space="preserve">. </w:t>
      </w:r>
      <w:r w:rsidRPr="007732BF" w:rsidR="007E5437">
        <w:rPr>
          <w:color w:val="000000" w:themeColor="text1"/>
        </w:rPr>
        <w:t xml:space="preserve">Observers </w:t>
      </w:r>
      <w:r w:rsidRPr="007732BF">
        <w:rPr>
          <w:color w:val="000000" w:themeColor="text1"/>
        </w:rPr>
        <w:t xml:space="preserve">from FDA will be able to watch the interviews live. Observers </w:t>
      </w:r>
      <w:r w:rsidRPr="007732BF" w:rsidR="007E5437">
        <w:rPr>
          <w:color w:val="000000" w:themeColor="text1"/>
        </w:rPr>
        <w:t>will be muted once they log into the session,</w:t>
      </w:r>
      <w:r w:rsidRPr="007732BF" w:rsidR="00D63174">
        <w:rPr>
          <w:color w:val="000000" w:themeColor="text1"/>
        </w:rPr>
        <w:t xml:space="preserve"> and</w:t>
      </w:r>
      <w:r w:rsidRPr="007732BF" w:rsidR="007E5437">
        <w:rPr>
          <w:color w:val="000000" w:themeColor="text1"/>
        </w:rPr>
        <w:t xml:space="preserve"> thus only the </w:t>
      </w:r>
      <w:r w:rsidRPr="007732BF">
        <w:rPr>
          <w:color w:val="000000" w:themeColor="text1"/>
        </w:rPr>
        <w:t>RTI</w:t>
      </w:r>
      <w:r w:rsidRPr="007732BF" w:rsidR="007E5437">
        <w:rPr>
          <w:color w:val="000000" w:themeColor="text1"/>
        </w:rPr>
        <w:t xml:space="preserve"> interviewer</w:t>
      </w:r>
      <w:r w:rsidRPr="007732BF">
        <w:rPr>
          <w:color w:val="000000" w:themeColor="text1"/>
        </w:rPr>
        <w:t xml:space="preserve"> and notetaker</w:t>
      </w:r>
      <w:r w:rsidRPr="007732BF" w:rsidR="007E5437">
        <w:rPr>
          <w:color w:val="000000" w:themeColor="text1"/>
        </w:rPr>
        <w:t xml:space="preserve"> will be able to interact with the participant. </w:t>
      </w:r>
      <w:r w:rsidRPr="007732BF">
        <w:rPr>
          <w:color w:val="000000" w:themeColor="text1"/>
        </w:rPr>
        <w:t>RTI</w:t>
      </w:r>
      <w:r w:rsidRPr="007732BF" w:rsidR="007E5437">
        <w:rPr>
          <w:color w:val="000000" w:themeColor="text1"/>
        </w:rPr>
        <w:t xml:space="preserve"> will comply with safeguards for ensuring participant information is kept </w:t>
      </w:r>
      <w:r w:rsidRPr="007732BF" w:rsidR="00A95F64">
        <w:rPr>
          <w:color w:val="000000" w:themeColor="text1"/>
        </w:rPr>
        <w:t xml:space="preserve">secure </w:t>
      </w:r>
      <w:r w:rsidRPr="007732BF" w:rsidR="007E5437">
        <w:rPr>
          <w:color w:val="000000" w:themeColor="text1"/>
        </w:rPr>
        <w:t>to the extent permitted by law. The last names of the participants will not appear on any materials. Verbatim quotes included in the final report will not be attributed to any individual.</w:t>
      </w:r>
      <w:r w:rsidRPr="007732BF" w:rsidR="009820CC">
        <w:rPr>
          <w:color w:val="000000" w:themeColor="text1"/>
        </w:rPr>
        <w:t xml:space="preserve"> </w:t>
      </w:r>
    </w:p>
    <w:p w:rsidRPr="007732BF" w:rsidR="006E15E9" w:rsidP="006E15E9" w:rsidRDefault="006E15E9" w14:paraId="3A8A607E" w14:textId="755F5404">
      <w:pPr>
        <w:autoSpaceDE w:val="0"/>
        <w:autoSpaceDN w:val="0"/>
        <w:adjustRightInd w:val="0"/>
        <w:ind w:left="720"/>
        <w:rPr>
          <w:color w:val="000000" w:themeColor="text1"/>
        </w:rPr>
      </w:pPr>
    </w:p>
    <w:p w:rsidRPr="007732BF" w:rsidR="006E15E9" w:rsidP="006E15E9" w:rsidRDefault="006E15E9" w14:paraId="65270B99" w14:textId="5BC7F76B">
      <w:pPr>
        <w:autoSpaceDE w:val="0"/>
        <w:autoSpaceDN w:val="0"/>
        <w:adjustRightInd w:val="0"/>
        <w:ind w:left="720"/>
        <w:rPr>
          <w:color w:val="000000" w:themeColor="text1"/>
        </w:rPr>
      </w:pPr>
      <w:r w:rsidRPr="007732BF">
        <w:rPr>
          <w:color w:val="000000" w:themeColor="text1"/>
        </w:rPr>
        <w:t xml:space="preserve">Upon completing the interview, participants will </w:t>
      </w:r>
      <w:r w:rsidR="007C18BF">
        <w:rPr>
          <w:color w:val="000000" w:themeColor="text1"/>
        </w:rPr>
        <w:t>be offered</w:t>
      </w:r>
      <w:r w:rsidRPr="007732BF" w:rsidR="007C18BF">
        <w:rPr>
          <w:color w:val="000000" w:themeColor="text1"/>
        </w:rPr>
        <w:t xml:space="preserve"> </w:t>
      </w:r>
      <w:r w:rsidRPr="007732BF">
        <w:rPr>
          <w:color w:val="000000" w:themeColor="text1"/>
        </w:rPr>
        <w:t>a</w:t>
      </w:r>
      <w:r w:rsidR="009B3D8D">
        <w:rPr>
          <w:color w:val="000000" w:themeColor="text1"/>
        </w:rPr>
        <w:t xml:space="preserve">n </w:t>
      </w:r>
      <w:r w:rsidR="0054612D">
        <w:rPr>
          <w:color w:val="000000" w:themeColor="text1"/>
        </w:rPr>
        <w:t>incentive</w:t>
      </w:r>
      <w:r w:rsidRPr="007732BF">
        <w:rPr>
          <w:color w:val="000000" w:themeColor="text1"/>
        </w:rPr>
        <w:t xml:space="preserve"> from L&amp;E Research</w:t>
      </w:r>
      <w:r w:rsidR="009B3D8D">
        <w:rPr>
          <w:color w:val="000000" w:themeColor="text1"/>
        </w:rPr>
        <w:t xml:space="preserve">. </w:t>
      </w:r>
      <w:r w:rsidR="0054612D">
        <w:rPr>
          <w:color w:val="000000" w:themeColor="text1"/>
        </w:rPr>
        <w:t xml:space="preserve">L&amp;E Research uses a </w:t>
      </w:r>
      <w:r w:rsidR="009B3D8D">
        <w:rPr>
          <w:color w:val="000000" w:themeColor="text1"/>
        </w:rPr>
        <w:t xml:space="preserve">vendor platform where participants </w:t>
      </w:r>
      <w:r w:rsidR="00E47C58">
        <w:rPr>
          <w:color w:val="000000" w:themeColor="text1"/>
        </w:rPr>
        <w:t>can</w:t>
      </w:r>
      <w:r w:rsidR="009B3D8D">
        <w:rPr>
          <w:color w:val="000000" w:themeColor="text1"/>
        </w:rPr>
        <w:t xml:space="preserve"> choose </w:t>
      </w:r>
      <w:r w:rsidR="0054612D">
        <w:rPr>
          <w:color w:val="000000" w:themeColor="text1"/>
        </w:rPr>
        <w:t xml:space="preserve">a gift </w:t>
      </w:r>
      <w:r w:rsidR="009B3D8D">
        <w:rPr>
          <w:color w:val="000000" w:themeColor="text1"/>
        </w:rPr>
        <w:t>card</w:t>
      </w:r>
      <w:r w:rsidR="0054612D">
        <w:rPr>
          <w:color w:val="000000" w:themeColor="text1"/>
        </w:rPr>
        <w:t xml:space="preserve"> from a variety of merchants</w:t>
      </w:r>
      <w:r w:rsidR="009B3D8D">
        <w:rPr>
          <w:color w:val="000000" w:themeColor="text1"/>
        </w:rPr>
        <w:t xml:space="preserve"> or a visa</w:t>
      </w:r>
      <w:r w:rsidR="0054612D">
        <w:rPr>
          <w:color w:val="000000" w:themeColor="text1"/>
        </w:rPr>
        <w:t xml:space="preserve"> gift</w:t>
      </w:r>
      <w:r w:rsidR="009B3D8D">
        <w:rPr>
          <w:color w:val="000000" w:themeColor="text1"/>
        </w:rPr>
        <w:t xml:space="preserve"> </w:t>
      </w:r>
      <w:r w:rsidR="0054612D">
        <w:rPr>
          <w:color w:val="000000" w:themeColor="text1"/>
        </w:rPr>
        <w:t xml:space="preserve">card, which can be delivered in either a physical or electronic format. </w:t>
      </w:r>
      <w:r w:rsidR="009B3D8D">
        <w:rPr>
          <w:color w:val="000000" w:themeColor="text1"/>
        </w:rPr>
        <w:t>Consumers will be offered</w:t>
      </w:r>
      <w:r w:rsidR="00B8376B">
        <w:rPr>
          <w:color w:val="000000" w:themeColor="text1"/>
        </w:rPr>
        <w:t xml:space="preserve"> an incentive valued at</w:t>
      </w:r>
      <w:r w:rsidR="009B3D8D">
        <w:rPr>
          <w:color w:val="000000" w:themeColor="text1"/>
        </w:rPr>
        <w:t xml:space="preserve"> $50, with the possibility of offering</w:t>
      </w:r>
      <w:r w:rsidR="00E47C58">
        <w:rPr>
          <w:color w:val="000000" w:themeColor="text1"/>
        </w:rPr>
        <w:t xml:space="preserve"> </w:t>
      </w:r>
      <w:r w:rsidRPr="007732BF" w:rsidR="00206B55">
        <w:rPr>
          <w:color w:val="000000" w:themeColor="text1"/>
        </w:rPr>
        <w:t xml:space="preserve">$75 </w:t>
      </w:r>
      <w:r w:rsidR="009B3D8D">
        <w:rPr>
          <w:color w:val="000000" w:themeColor="text1"/>
        </w:rPr>
        <w:t>if we struggle to recruit</w:t>
      </w:r>
      <w:r w:rsidR="00B8376B">
        <w:rPr>
          <w:color w:val="000000" w:themeColor="text1"/>
        </w:rPr>
        <w:t xml:space="preserve"> enough participants</w:t>
      </w:r>
      <w:r w:rsidR="0021568C">
        <w:rPr>
          <w:color w:val="000000" w:themeColor="text1"/>
        </w:rPr>
        <w:t>,</w:t>
      </w:r>
      <w:r w:rsidRPr="007732BF" w:rsidR="00206B55">
        <w:rPr>
          <w:color w:val="000000" w:themeColor="text1"/>
        </w:rPr>
        <w:t xml:space="preserve"> and</w:t>
      </w:r>
      <w:r w:rsidR="009B3D8D">
        <w:rPr>
          <w:color w:val="000000" w:themeColor="text1"/>
        </w:rPr>
        <w:t xml:space="preserve"> physicians will be offered</w:t>
      </w:r>
      <w:r w:rsidRPr="007732BF" w:rsidR="00206B55">
        <w:rPr>
          <w:color w:val="000000" w:themeColor="text1"/>
        </w:rPr>
        <w:t xml:space="preserve"> </w:t>
      </w:r>
      <w:r w:rsidR="00B8376B">
        <w:rPr>
          <w:color w:val="000000" w:themeColor="text1"/>
        </w:rPr>
        <w:t xml:space="preserve">an incentive valued at </w:t>
      </w:r>
      <w:r w:rsidRPr="007732BF">
        <w:rPr>
          <w:color w:val="000000" w:themeColor="text1"/>
        </w:rPr>
        <w:t>$200.</w:t>
      </w:r>
    </w:p>
    <w:bookmarkEnd w:id="5"/>
    <w:bookmarkEnd w:id="6"/>
    <w:bookmarkEnd w:id="7"/>
    <w:p w:rsidRPr="007732BF" w:rsidR="00353E0B" w:rsidP="00272D81" w:rsidRDefault="00353E0B" w14:paraId="75CC8449" w14:textId="77777777">
      <w:pPr>
        <w:rPr>
          <w:color w:val="000000" w:themeColor="text1"/>
        </w:rPr>
      </w:pPr>
    </w:p>
    <w:p w:rsidRPr="007732BF" w:rsidR="003F1C7A" w:rsidP="00A002E2" w:rsidRDefault="006F243C" w14:paraId="41FBCC98" w14:textId="6770C61F">
      <w:pPr>
        <w:numPr>
          <w:ilvl w:val="0"/>
          <w:numId w:val="1"/>
        </w:numPr>
        <w:tabs>
          <w:tab w:val="num" w:pos="720"/>
        </w:tabs>
        <w:ind w:left="720"/>
        <w:rPr>
          <w:color w:val="000000" w:themeColor="text1"/>
        </w:rPr>
      </w:pPr>
      <w:r w:rsidRPr="007732BF">
        <w:rPr>
          <w:b/>
          <w:color w:val="000000" w:themeColor="text1"/>
        </w:rPr>
        <w:t>Confidentiality of Respondents</w:t>
      </w:r>
      <w:r w:rsidRPr="007732BF" w:rsidR="0049419A">
        <w:rPr>
          <w:b/>
          <w:color w:val="000000" w:themeColor="text1"/>
        </w:rPr>
        <w:t>:</w:t>
      </w:r>
    </w:p>
    <w:p w:rsidRPr="007732BF" w:rsidR="0049419A" w:rsidP="00C13B38" w:rsidRDefault="0049419A" w14:paraId="73E4C898" w14:textId="77777777">
      <w:pPr>
        <w:rPr>
          <w:color w:val="000000" w:themeColor="text1"/>
        </w:rPr>
      </w:pPr>
    </w:p>
    <w:p w:rsidRPr="007732BF" w:rsidR="00C13B38" w:rsidP="005B0D6D" w:rsidRDefault="00C13B38" w14:paraId="2AF06635" w14:textId="77777777">
      <w:pPr>
        <w:ind w:left="720"/>
        <w:rPr>
          <w:b/>
          <w:bCs/>
          <w:i/>
          <w:color w:val="000000" w:themeColor="text1"/>
        </w:rPr>
      </w:pPr>
      <w:r w:rsidRPr="007732BF">
        <w:rPr>
          <w:b/>
          <w:bCs/>
          <w:i/>
          <w:color w:val="000000" w:themeColor="text1"/>
        </w:rPr>
        <w:t xml:space="preserve">Assurance of Privacy Provided to Participants </w:t>
      </w:r>
    </w:p>
    <w:p w:rsidRPr="007732BF" w:rsidR="0021293B" w:rsidP="005B0D6D" w:rsidRDefault="0021293B" w14:paraId="6ED9D4DC" w14:textId="77777777">
      <w:pPr>
        <w:ind w:left="720"/>
        <w:rPr>
          <w:color w:val="000000" w:themeColor="text1"/>
        </w:rPr>
      </w:pPr>
      <w:bookmarkStart w:name="_Hlk17379924" w:id="8"/>
    </w:p>
    <w:p w:rsidRPr="007732BF" w:rsidR="0021293B" w:rsidP="005B0D6D" w:rsidRDefault="006613DD" w14:paraId="710BCE70" w14:textId="5F1DEF3D">
      <w:pPr>
        <w:ind w:left="720"/>
        <w:rPr>
          <w:color w:val="000000" w:themeColor="text1"/>
        </w:rPr>
      </w:pPr>
      <w:r w:rsidRPr="007732BF">
        <w:rPr>
          <w:color w:val="000000" w:themeColor="text1"/>
        </w:rPr>
        <w:t>R</w:t>
      </w:r>
      <w:r w:rsidRPr="007732BF" w:rsidR="000D69FA">
        <w:rPr>
          <w:color w:val="000000" w:themeColor="text1"/>
        </w:rPr>
        <w:t xml:space="preserve">ecruited </w:t>
      </w:r>
      <w:r w:rsidRPr="007732BF" w:rsidR="0082774F">
        <w:rPr>
          <w:color w:val="000000" w:themeColor="text1"/>
        </w:rPr>
        <w:t>participants</w:t>
      </w:r>
      <w:r w:rsidRPr="007732BF" w:rsidR="00AE212C">
        <w:rPr>
          <w:color w:val="000000" w:themeColor="text1"/>
        </w:rPr>
        <w:t xml:space="preserve"> </w:t>
      </w:r>
      <w:r w:rsidRPr="007732BF" w:rsidR="00577001">
        <w:rPr>
          <w:color w:val="000000" w:themeColor="text1"/>
        </w:rPr>
        <w:t>w</w:t>
      </w:r>
      <w:r w:rsidRPr="007732BF" w:rsidR="004A5201">
        <w:rPr>
          <w:color w:val="000000" w:themeColor="text1"/>
        </w:rPr>
        <w:t xml:space="preserve">ill </w:t>
      </w:r>
      <w:r w:rsidRPr="007732BF" w:rsidR="00D07819">
        <w:rPr>
          <w:color w:val="000000" w:themeColor="text1"/>
        </w:rPr>
        <w:t>receive</w:t>
      </w:r>
      <w:r w:rsidRPr="007732BF" w:rsidR="00A50011">
        <w:rPr>
          <w:color w:val="000000" w:themeColor="text1"/>
        </w:rPr>
        <w:t xml:space="preserve"> an </w:t>
      </w:r>
      <w:r w:rsidRPr="007732BF" w:rsidR="004A5201">
        <w:rPr>
          <w:color w:val="000000" w:themeColor="text1"/>
        </w:rPr>
        <w:t xml:space="preserve">informed consent </w:t>
      </w:r>
      <w:r w:rsidRPr="007732BF" w:rsidR="001344FF">
        <w:rPr>
          <w:color w:val="000000" w:themeColor="text1"/>
        </w:rPr>
        <w:t>document</w:t>
      </w:r>
      <w:r w:rsidRPr="007732BF" w:rsidR="0021293B">
        <w:rPr>
          <w:color w:val="000000" w:themeColor="text1"/>
        </w:rPr>
        <w:t xml:space="preserve"> (</w:t>
      </w:r>
      <w:r w:rsidRPr="007732BF" w:rsidR="004B7090">
        <w:rPr>
          <w:color w:val="000000" w:themeColor="text1"/>
        </w:rPr>
        <w:t xml:space="preserve">see </w:t>
      </w:r>
      <w:r w:rsidRPr="007732BF">
        <w:rPr>
          <w:color w:val="000000" w:themeColor="text1"/>
        </w:rPr>
        <w:t xml:space="preserve">Appendix </w:t>
      </w:r>
      <w:r w:rsidRPr="007732BF" w:rsidR="0082774F">
        <w:rPr>
          <w:color w:val="000000" w:themeColor="text1"/>
        </w:rPr>
        <w:t>C</w:t>
      </w:r>
      <w:r w:rsidRPr="007732BF" w:rsidR="0021293B">
        <w:rPr>
          <w:color w:val="000000" w:themeColor="text1"/>
        </w:rPr>
        <w:t xml:space="preserve">) </w:t>
      </w:r>
      <w:r w:rsidRPr="007732BF" w:rsidR="00A50011">
        <w:rPr>
          <w:color w:val="000000" w:themeColor="text1"/>
        </w:rPr>
        <w:t xml:space="preserve">in advance of the interview. The document </w:t>
      </w:r>
      <w:r w:rsidRPr="007732BF" w:rsidR="004A5201">
        <w:rPr>
          <w:iCs/>
          <w:color w:val="000000" w:themeColor="text1"/>
        </w:rPr>
        <w:t xml:space="preserve">explains the </w:t>
      </w:r>
      <w:r w:rsidRPr="007732BF" w:rsidR="00E942BD">
        <w:rPr>
          <w:iCs/>
          <w:color w:val="000000" w:themeColor="text1"/>
        </w:rPr>
        <w:t xml:space="preserve">study’s </w:t>
      </w:r>
      <w:r w:rsidRPr="007732BF" w:rsidR="004A5201">
        <w:rPr>
          <w:iCs/>
          <w:color w:val="000000" w:themeColor="text1"/>
        </w:rPr>
        <w:t xml:space="preserve">purpose, </w:t>
      </w:r>
      <w:r w:rsidRPr="007732BF" w:rsidR="00040BFF">
        <w:rPr>
          <w:iCs/>
          <w:color w:val="000000" w:themeColor="text1"/>
        </w:rPr>
        <w:t xml:space="preserve">participant </w:t>
      </w:r>
      <w:r w:rsidRPr="007732BF" w:rsidR="004A5201">
        <w:rPr>
          <w:iCs/>
          <w:color w:val="000000" w:themeColor="text1"/>
        </w:rPr>
        <w:t>rights, benefits and risks (minimal) of the study</w:t>
      </w:r>
      <w:r w:rsidRPr="007732BF" w:rsidR="000C2D62">
        <w:rPr>
          <w:iCs/>
          <w:color w:val="000000" w:themeColor="text1"/>
        </w:rPr>
        <w:t xml:space="preserve">, and </w:t>
      </w:r>
      <w:r w:rsidRPr="007732BF" w:rsidR="008E09D0">
        <w:rPr>
          <w:iCs/>
          <w:color w:val="000000" w:themeColor="text1"/>
        </w:rPr>
        <w:t>provides them with a contact</w:t>
      </w:r>
      <w:r w:rsidRPr="007732BF" w:rsidR="003D00F1">
        <w:rPr>
          <w:iCs/>
          <w:color w:val="000000" w:themeColor="text1"/>
        </w:rPr>
        <w:t xml:space="preserve"> name</w:t>
      </w:r>
      <w:r w:rsidRPr="007732BF" w:rsidR="00D63174">
        <w:rPr>
          <w:iCs/>
          <w:color w:val="000000" w:themeColor="text1"/>
        </w:rPr>
        <w:t xml:space="preserve">, </w:t>
      </w:r>
      <w:r w:rsidRPr="007732BF" w:rsidR="003D00F1">
        <w:rPr>
          <w:iCs/>
          <w:color w:val="000000" w:themeColor="text1"/>
        </w:rPr>
        <w:t>email</w:t>
      </w:r>
      <w:r w:rsidRPr="007732BF" w:rsidR="00D63174">
        <w:rPr>
          <w:iCs/>
          <w:color w:val="000000" w:themeColor="text1"/>
        </w:rPr>
        <w:t>,</w:t>
      </w:r>
      <w:r w:rsidRPr="007732BF" w:rsidR="003D00F1">
        <w:rPr>
          <w:iCs/>
          <w:color w:val="000000" w:themeColor="text1"/>
        </w:rPr>
        <w:t xml:space="preserve"> and phone number should </w:t>
      </w:r>
      <w:r w:rsidRPr="007732BF" w:rsidR="008E09D0">
        <w:rPr>
          <w:iCs/>
          <w:color w:val="000000" w:themeColor="text1"/>
        </w:rPr>
        <w:t>they have questions about the stud</w:t>
      </w:r>
      <w:r w:rsidRPr="007732BF" w:rsidR="00040BFF">
        <w:rPr>
          <w:iCs/>
          <w:color w:val="000000" w:themeColor="text1"/>
        </w:rPr>
        <w:t xml:space="preserve">y. </w:t>
      </w:r>
      <w:r w:rsidRPr="007732BF" w:rsidR="00C41977">
        <w:rPr>
          <w:color w:val="000000" w:themeColor="text1"/>
        </w:rPr>
        <w:t xml:space="preserve">The </w:t>
      </w:r>
      <w:r w:rsidRPr="007732BF" w:rsidR="002154A6">
        <w:rPr>
          <w:color w:val="000000" w:themeColor="text1"/>
        </w:rPr>
        <w:t>document</w:t>
      </w:r>
      <w:r w:rsidRPr="007732BF" w:rsidR="00C41977">
        <w:rPr>
          <w:color w:val="000000" w:themeColor="text1"/>
        </w:rPr>
        <w:t xml:space="preserve"> </w:t>
      </w:r>
      <w:r w:rsidRPr="007732BF" w:rsidR="00755192">
        <w:rPr>
          <w:color w:val="000000" w:themeColor="text1"/>
        </w:rPr>
        <w:t xml:space="preserve">also </w:t>
      </w:r>
      <w:r w:rsidRPr="007732BF" w:rsidR="00C41977">
        <w:rPr>
          <w:color w:val="000000" w:themeColor="text1"/>
        </w:rPr>
        <w:t xml:space="preserve">notifies participants </w:t>
      </w:r>
      <w:r w:rsidRPr="007732BF" w:rsidR="00577001">
        <w:rPr>
          <w:color w:val="000000" w:themeColor="text1"/>
        </w:rPr>
        <w:t xml:space="preserve">that interviews will be </w:t>
      </w:r>
      <w:r w:rsidRPr="007732BF" w:rsidR="00C41977">
        <w:rPr>
          <w:color w:val="000000" w:themeColor="text1"/>
        </w:rPr>
        <w:t>audio</w:t>
      </w:r>
      <w:r w:rsidR="008B7E49">
        <w:rPr>
          <w:color w:val="000000" w:themeColor="text1"/>
        </w:rPr>
        <w:t xml:space="preserve"> </w:t>
      </w:r>
      <w:r w:rsidRPr="007732BF" w:rsidR="00C41977">
        <w:rPr>
          <w:color w:val="000000" w:themeColor="text1"/>
        </w:rPr>
        <w:t>record</w:t>
      </w:r>
      <w:r w:rsidRPr="007732BF" w:rsidR="00577001">
        <w:rPr>
          <w:color w:val="000000" w:themeColor="text1"/>
        </w:rPr>
        <w:t xml:space="preserve">ed </w:t>
      </w:r>
      <w:r w:rsidRPr="007732BF" w:rsidR="00C41977">
        <w:rPr>
          <w:color w:val="000000" w:themeColor="text1"/>
        </w:rPr>
        <w:t xml:space="preserve">and </w:t>
      </w:r>
      <w:r w:rsidRPr="007732BF" w:rsidR="00577001">
        <w:rPr>
          <w:color w:val="000000" w:themeColor="text1"/>
        </w:rPr>
        <w:t xml:space="preserve">observers will be </w:t>
      </w:r>
      <w:r w:rsidRPr="007732BF">
        <w:rPr>
          <w:color w:val="000000" w:themeColor="text1"/>
        </w:rPr>
        <w:t>viewing t</w:t>
      </w:r>
      <w:r w:rsidRPr="007732BF" w:rsidR="00577001">
        <w:rPr>
          <w:color w:val="000000" w:themeColor="text1"/>
        </w:rPr>
        <w:t>he interviews</w:t>
      </w:r>
      <w:r w:rsidRPr="007732BF">
        <w:rPr>
          <w:color w:val="000000" w:themeColor="text1"/>
        </w:rPr>
        <w:t xml:space="preserve"> remotely</w:t>
      </w:r>
      <w:r w:rsidRPr="007732BF" w:rsidR="00577001">
        <w:rPr>
          <w:color w:val="000000" w:themeColor="text1"/>
        </w:rPr>
        <w:t xml:space="preserve">. </w:t>
      </w:r>
      <w:r w:rsidRPr="007732BF" w:rsidR="00755192">
        <w:rPr>
          <w:color w:val="000000" w:themeColor="text1"/>
        </w:rPr>
        <w:t xml:space="preserve"> </w:t>
      </w:r>
    </w:p>
    <w:p w:rsidRPr="007732BF" w:rsidR="0021293B" w:rsidP="005B0D6D" w:rsidRDefault="0021293B" w14:paraId="025AE883" w14:textId="77777777">
      <w:pPr>
        <w:ind w:left="720"/>
        <w:rPr>
          <w:color w:val="000000" w:themeColor="text1"/>
        </w:rPr>
      </w:pPr>
    </w:p>
    <w:p w:rsidRPr="007732BF" w:rsidR="007232E9" w:rsidP="005B0D6D" w:rsidRDefault="0021293B" w14:paraId="2801E006" w14:textId="0FA26952">
      <w:pPr>
        <w:ind w:left="720"/>
        <w:rPr>
          <w:color w:val="000000" w:themeColor="text1"/>
        </w:rPr>
      </w:pPr>
      <w:r w:rsidRPr="007732BF">
        <w:rPr>
          <w:iCs/>
          <w:color w:val="000000" w:themeColor="text1"/>
        </w:rPr>
        <w:t>T</w:t>
      </w:r>
      <w:r w:rsidRPr="007732BF" w:rsidR="008E09D0">
        <w:rPr>
          <w:iCs/>
          <w:color w:val="000000" w:themeColor="text1"/>
        </w:rPr>
        <w:t xml:space="preserve">he interviewer will review the key elements </w:t>
      </w:r>
      <w:r w:rsidRPr="007732BF" w:rsidR="00A50011">
        <w:rPr>
          <w:iCs/>
          <w:color w:val="000000" w:themeColor="text1"/>
        </w:rPr>
        <w:t xml:space="preserve">of the informed consent document </w:t>
      </w:r>
      <w:r w:rsidRPr="007732BF" w:rsidR="00FF63F1">
        <w:rPr>
          <w:iCs/>
          <w:color w:val="000000" w:themeColor="text1"/>
        </w:rPr>
        <w:t xml:space="preserve">(e.g., study purpose, participant rights, potential risks and benefits, presence of observers) </w:t>
      </w:r>
      <w:r w:rsidRPr="007732BF" w:rsidR="008E09D0">
        <w:rPr>
          <w:iCs/>
          <w:color w:val="000000" w:themeColor="text1"/>
        </w:rPr>
        <w:t>wit</w:t>
      </w:r>
      <w:r w:rsidRPr="007732BF" w:rsidR="00FF63F1">
        <w:rPr>
          <w:iCs/>
          <w:color w:val="000000" w:themeColor="text1"/>
        </w:rPr>
        <w:t xml:space="preserve">h participants at the beginning of the interview. </w:t>
      </w:r>
      <w:r w:rsidRPr="007732BF" w:rsidR="001F1DA0">
        <w:rPr>
          <w:iCs/>
          <w:color w:val="000000" w:themeColor="text1"/>
        </w:rPr>
        <w:t>P</w:t>
      </w:r>
      <w:r w:rsidRPr="007732BF" w:rsidR="00FF63F1">
        <w:rPr>
          <w:iCs/>
          <w:color w:val="000000" w:themeColor="text1"/>
        </w:rPr>
        <w:t>articipants</w:t>
      </w:r>
      <w:r w:rsidRPr="007732BF" w:rsidR="00AE212C">
        <w:rPr>
          <w:iCs/>
          <w:color w:val="000000" w:themeColor="text1"/>
        </w:rPr>
        <w:t xml:space="preserve"> </w:t>
      </w:r>
      <w:r w:rsidRPr="007732BF" w:rsidR="00040BFF">
        <w:rPr>
          <w:iCs/>
          <w:color w:val="000000" w:themeColor="text1"/>
        </w:rPr>
        <w:t>will then be asked to provide their verbal consent to participate in the study and record the interview.</w:t>
      </w:r>
      <w:r w:rsidRPr="007732BF" w:rsidR="007232E9">
        <w:rPr>
          <w:iCs/>
          <w:color w:val="000000" w:themeColor="text1"/>
        </w:rPr>
        <w:t xml:space="preserve"> </w:t>
      </w:r>
      <w:r w:rsidRPr="007732BF" w:rsidR="007232E9">
        <w:rPr>
          <w:color w:val="000000" w:themeColor="text1"/>
        </w:rPr>
        <w:t xml:space="preserve"> </w:t>
      </w:r>
      <w:r w:rsidRPr="007732BF" w:rsidR="002154A6">
        <w:rPr>
          <w:color w:val="000000" w:themeColor="text1"/>
        </w:rPr>
        <w:t>I</w:t>
      </w:r>
      <w:r w:rsidRPr="007732BF" w:rsidR="007232E9">
        <w:rPr>
          <w:color w:val="000000" w:themeColor="text1"/>
        </w:rPr>
        <w:t>n the event verbal consent for the audio</w:t>
      </w:r>
      <w:r w:rsidR="008B7E49">
        <w:rPr>
          <w:color w:val="000000" w:themeColor="text1"/>
        </w:rPr>
        <w:t xml:space="preserve"> </w:t>
      </w:r>
      <w:r w:rsidRPr="007732BF" w:rsidR="007232E9">
        <w:rPr>
          <w:color w:val="000000" w:themeColor="text1"/>
        </w:rPr>
        <w:t xml:space="preserve">recording is not given, the interview will not proceed and efforts will be made to schedule a replacement interview. </w:t>
      </w:r>
    </w:p>
    <w:p w:rsidRPr="007732BF" w:rsidR="003D00F1" w:rsidP="005B0D6D" w:rsidRDefault="003D00F1" w14:paraId="132961B3" w14:textId="77777777">
      <w:pPr>
        <w:ind w:left="720"/>
        <w:rPr>
          <w:iCs/>
          <w:color w:val="000000" w:themeColor="text1"/>
        </w:rPr>
      </w:pPr>
    </w:p>
    <w:p w:rsidRPr="007732BF" w:rsidR="00C13B38" w:rsidP="005B0D6D" w:rsidRDefault="00C13B38" w14:paraId="54453FC5" w14:textId="560C1FFE">
      <w:pPr>
        <w:ind w:left="720"/>
        <w:rPr>
          <w:color w:val="000000" w:themeColor="text1"/>
        </w:rPr>
      </w:pPr>
      <w:r w:rsidRPr="007732BF">
        <w:rPr>
          <w:color w:val="000000" w:themeColor="text1"/>
        </w:rPr>
        <w:t xml:space="preserve">All data will be collected with an assurance that responses will remain </w:t>
      </w:r>
      <w:r w:rsidR="00EC6232">
        <w:rPr>
          <w:color w:val="000000" w:themeColor="text1"/>
        </w:rPr>
        <w:t xml:space="preserve">secure </w:t>
      </w:r>
      <w:r w:rsidRPr="007732BF">
        <w:rPr>
          <w:color w:val="000000" w:themeColor="text1"/>
        </w:rPr>
        <w:t xml:space="preserve">to the extent </w:t>
      </w:r>
      <w:r w:rsidR="0002315D">
        <w:rPr>
          <w:color w:val="000000" w:themeColor="text1"/>
        </w:rPr>
        <w:t>permitted</w:t>
      </w:r>
      <w:r w:rsidRPr="007732BF" w:rsidR="0002315D">
        <w:rPr>
          <w:color w:val="000000" w:themeColor="text1"/>
        </w:rPr>
        <w:t xml:space="preserve"> </w:t>
      </w:r>
      <w:r w:rsidRPr="007732BF">
        <w:rPr>
          <w:color w:val="000000" w:themeColor="text1"/>
        </w:rPr>
        <w:t xml:space="preserve">by law. Both the </w:t>
      </w:r>
      <w:r w:rsidRPr="007732BF" w:rsidR="00040BFF">
        <w:rPr>
          <w:color w:val="000000" w:themeColor="text1"/>
        </w:rPr>
        <w:t xml:space="preserve">informed </w:t>
      </w:r>
      <w:r w:rsidRPr="007732BF">
        <w:rPr>
          <w:color w:val="000000" w:themeColor="text1"/>
        </w:rPr>
        <w:t xml:space="preserve">consent </w:t>
      </w:r>
      <w:r w:rsidRPr="007732BF" w:rsidR="003D00F1">
        <w:rPr>
          <w:color w:val="000000" w:themeColor="text1"/>
        </w:rPr>
        <w:t xml:space="preserve">document </w:t>
      </w:r>
      <w:r w:rsidRPr="007732BF">
        <w:rPr>
          <w:color w:val="000000" w:themeColor="text1"/>
        </w:rPr>
        <w:t xml:space="preserve">and the </w:t>
      </w:r>
      <w:r w:rsidRPr="007732BF" w:rsidR="007E5437">
        <w:rPr>
          <w:color w:val="000000" w:themeColor="text1"/>
        </w:rPr>
        <w:t xml:space="preserve">interview </w:t>
      </w:r>
      <w:r w:rsidRPr="007732BF">
        <w:rPr>
          <w:color w:val="000000" w:themeColor="text1"/>
        </w:rPr>
        <w:t xml:space="preserve">guide contain a statement emphasizing that no one will be able to link a participant’s identity to </w:t>
      </w:r>
      <w:r w:rsidRPr="007732BF" w:rsidR="001F1DA0">
        <w:rPr>
          <w:color w:val="000000" w:themeColor="text1"/>
        </w:rPr>
        <w:t>their</w:t>
      </w:r>
      <w:r w:rsidRPr="007732BF">
        <w:rPr>
          <w:color w:val="000000" w:themeColor="text1"/>
        </w:rPr>
        <w:t xml:space="preserve"> responses. </w:t>
      </w:r>
      <w:r w:rsidRPr="007732BF" w:rsidR="00040BFF">
        <w:rPr>
          <w:color w:val="000000" w:themeColor="text1"/>
        </w:rPr>
        <w:t>I</w:t>
      </w:r>
      <w:r w:rsidRPr="007732BF" w:rsidR="007E5437">
        <w:rPr>
          <w:color w:val="000000" w:themeColor="text1"/>
        </w:rPr>
        <w:t xml:space="preserve">nterviewers </w:t>
      </w:r>
      <w:r w:rsidRPr="007732BF">
        <w:rPr>
          <w:color w:val="000000" w:themeColor="text1"/>
        </w:rPr>
        <w:t>will not ask participants to provide identifying information</w:t>
      </w:r>
      <w:r w:rsidRPr="007732BF" w:rsidR="007232E9">
        <w:rPr>
          <w:color w:val="000000" w:themeColor="text1"/>
        </w:rPr>
        <w:t xml:space="preserve"> </w:t>
      </w:r>
      <w:r w:rsidRPr="007732BF" w:rsidR="003D00F1">
        <w:rPr>
          <w:color w:val="000000" w:themeColor="text1"/>
        </w:rPr>
        <w:t>beyond their first name</w:t>
      </w:r>
      <w:r w:rsidRPr="007732BF" w:rsidR="00040BFF">
        <w:rPr>
          <w:color w:val="000000" w:themeColor="text1"/>
        </w:rPr>
        <w:t>s</w:t>
      </w:r>
      <w:r w:rsidRPr="007732BF" w:rsidR="007232E9">
        <w:rPr>
          <w:color w:val="000000" w:themeColor="text1"/>
        </w:rPr>
        <w:t>. In addition, a</w:t>
      </w:r>
      <w:r w:rsidRPr="007732BF" w:rsidR="008B2F4F">
        <w:rPr>
          <w:color w:val="000000" w:themeColor="text1"/>
        </w:rPr>
        <w:t xml:space="preserve">ny quotations used in </w:t>
      </w:r>
      <w:r w:rsidRPr="007732BF" w:rsidR="007232E9">
        <w:rPr>
          <w:color w:val="000000" w:themeColor="text1"/>
        </w:rPr>
        <w:t xml:space="preserve">a </w:t>
      </w:r>
      <w:r w:rsidRPr="007732BF" w:rsidR="008B2F4F">
        <w:rPr>
          <w:color w:val="000000" w:themeColor="text1"/>
        </w:rPr>
        <w:t>report will not be linked to individual respondents</w:t>
      </w:r>
      <w:r w:rsidRPr="007732BF">
        <w:rPr>
          <w:color w:val="000000" w:themeColor="text1"/>
        </w:rPr>
        <w:t xml:space="preserve">. Further, no identifying information will be included in the data files delivered by </w:t>
      </w:r>
      <w:r w:rsidRPr="007732BF" w:rsidR="001F1DA0">
        <w:rPr>
          <w:color w:val="000000" w:themeColor="text1"/>
        </w:rPr>
        <w:t>RTI</w:t>
      </w:r>
      <w:r w:rsidRPr="007732BF">
        <w:rPr>
          <w:color w:val="000000" w:themeColor="text1"/>
        </w:rPr>
        <w:t xml:space="preserve"> to FDA. </w:t>
      </w:r>
    </w:p>
    <w:p w:rsidR="00040BFF" w:rsidP="005B0D6D" w:rsidRDefault="00040BFF" w14:paraId="345E3B22" w14:textId="03702CA3">
      <w:pPr>
        <w:ind w:left="720"/>
        <w:rPr>
          <w:color w:val="000000" w:themeColor="text1"/>
        </w:rPr>
      </w:pPr>
    </w:p>
    <w:p w:rsidR="00344218" w:rsidP="005B0D6D" w:rsidRDefault="00344218" w14:paraId="016D2B88" w14:textId="542BAA5D">
      <w:pPr>
        <w:ind w:left="720"/>
        <w:rPr>
          <w:color w:val="000000" w:themeColor="text1"/>
        </w:rPr>
      </w:pPr>
    </w:p>
    <w:p w:rsidRPr="007732BF" w:rsidR="00344218" w:rsidP="005B0D6D" w:rsidRDefault="00344218" w14:paraId="59B2517A" w14:textId="77777777">
      <w:pPr>
        <w:ind w:left="720"/>
        <w:rPr>
          <w:color w:val="000000" w:themeColor="text1"/>
        </w:rPr>
      </w:pPr>
    </w:p>
    <w:p w:rsidRPr="007732BF" w:rsidR="007232E9" w:rsidP="005B0D6D" w:rsidRDefault="00C13B38" w14:paraId="102A62DA" w14:textId="25D37FBE">
      <w:pPr>
        <w:ind w:left="720"/>
        <w:rPr>
          <w:color w:val="000000" w:themeColor="text1"/>
        </w:rPr>
      </w:pPr>
      <w:r w:rsidRPr="007732BF">
        <w:rPr>
          <w:color w:val="000000" w:themeColor="text1"/>
        </w:rPr>
        <w:lastRenderedPageBreak/>
        <w:t xml:space="preserve">All </w:t>
      </w:r>
      <w:r w:rsidRPr="007732BF" w:rsidR="00040BFF">
        <w:rPr>
          <w:color w:val="000000" w:themeColor="text1"/>
        </w:rPr>
        <w:t xml:space="preserve">interviews </w:t>
      </w:r>
      <w:r w:rsidRPr="007732BF">
        <w:rPr>
          <w:color w:val="000000" w:themeColor="text1"/>
        </w:rPr>
        <w:t>will be audio</w:t>
      </w:r>
      <w:r w:rsidR="008B7E49">
        <w:rPr>
          <w:color w:val="000000" w:themeColor="text1"/>
        </w:rPr>
        <w:t xml:space="preserve"> </w:t>
      </w:r>
      <w:r w:rsidRPr="007732BF">
        <w:rPr>
          <w:color w:val="000000" w:themeColor="text1"/>
        </w:rPr>
        <w:t>recorded for reporting purposes</w:t>
      </w:r>
      <w:r w:rsidRPr="007732BF" w:rsidR="00040BFF">
        <w:rPr>
          <w:color w:val="000000" w:themeColor="text1"/>
        </w:rPr>
        <w:t xml:space="preserve"> and </w:t>
      </w:r>
      <w:r w:rsidRPr="007732BF">
        <w:rPr>
          <w:color w:val="000000" w:themeColor="text1"/>
        </w:rPr>
        <w:t xml:space="preserve">will be livestreamed for observers. </w:t>
      </w:r>
      <w:r w:rsidRPr="007732BF" w:rsidR="007232E9">
        <w:rPr>
          <w:color w:val="000000" w:themeColor="text1"/>
        </w:rPr>
        <w:t xml:space="preserve">Both livestreamed and recorded interviews will only be viewed by FDA and </w:t>
      </w:r>
      <w:r w:rsidRPr="007732BF" w:rsidR="001F1DA0">
        <w:rPr>
          <w:color w:val="000000" w:themeColor="text1"/>
        </w:rPr>
        <w:t>RTI</w:t>
      </w:r>
      <w:r w:rsidRPr="007732BF" w:rsidR="007232E9">
        <w:rPr>
          <w:color w:val="000000" w:themeColor="text1"/>
        </w:rPr>
        <w:t xml:space="preserve"> </w:t>
      </w:r>
      <w:r w:rsidRPr="007732BF" w:rsidR="000E48F4">
        <w:rPr>
          <w:color w:val="000000" w:themeColor="text1"/>
        </w:rPr>
        <w:t xml:space="preserve">project </w:t>
      </w:r>
      <w:r w:rsidRPr="007732BF" w:rsidR="007232E9">
        <w:rPr>
          <w:color w:val="000000" w:themeColor="text1"/>
        </w:rPr>
        <w:t xml:space="preserve">staff. </w:t>
      </w:r>
      <w:r w:rsidRPr="007732BF">
        <w:rPr>
          <w:color w:val="000000" w:themeColor="text1"/>
        </w:rPr>
        <w:t>Livestreaming connections will be secure, using industry-standard firewalls and security practices. All data will be encrypted in transit using HTTPS. All equipment will be operated and maintained according to industry-standard practices, and all software validated using industry-standard quality assurance practices.</w:t>
      </w:r>
      <w:r w:rsidRPr="007732BF" w:rsidR="00ED0EE3">
        <w:rPr>
          <w:rFonts w:hint="eastAsia" w:ascii="MS Mincho" w:hAnsi="MS Mincho" w:eastAsia="MS Mincho" w:cs="MS Mincho"/>
          <w:color w:val="000000" w:themeColor="text1"/>
        </w:rPr>
        <w:t xml:space="preserve"> </w:t>
      </w:r>
      <w:r w:rsidRPr="007732BF" w:rsidR="00301E38">
        <w:rPr>
          <w:color w:val="000000" w:themeColor="text1"/>
        </w:rPr>
        <w:t>R</w:t>
      </w:r>
      <w:r w:rsidRPr="007732BF">
        <w:rPr>
          <w:color w:val="000000" w:themeColor="text1"/>
        </w:rPr>
        <w:t xml:space="preserve">ecordings will be used to create transcriptions of the interview sessions for reporting purposes and destroyed </w:t>
      </w:r>
      <w:r w:rsidRPr="007732BF" w:rsidR="00C41977">
        <w:rPr>
          <w:color w:val="000000" w:themeColor="text1"/>
        </w:rPr>
        <w:t xml:space="preserve">within three years after project completion. </w:t>
      </w:r>
      <w:r w:rsidRPr="007732BF">
        <w:rPr>
          <w:color w:val="000000" w:themeColor="text1"/>
        </w:rPr>
        <w:t xml:space="preserve"> </w:t>
      </w:r>
    </w:p>
    <w:p w:rsidRPr="007732BF" w:rsidR="007232E9" w:rsidP="00C13B38" w:rsidRDefault="007232E9" w14:paraId="7AF3C297" w14:textId="77777777">
      <w:pPr>
        <w:rPr>
          <w:color w:val="000000" w:themeColor="text1"/>
        </w:rPr>
      </w:pPr>
    </w:p>
    <w:p w:rsidRPr="007732BF" w:rsidR="00C13B38" w:rsidP="005B0D6D" w:rsidRDefault="00C13B38" w14:paraId="07F956DF" w14:textId="2FD48EDF">
      <w:pPr>
        <w:ind w:left="720"/>
        <w:rPr>
          <w:color w:val="000000" w:themeColor="text1"/>
        </w:rPr>
      </w:pPr>
      <w:r w:rsidRPr="007732BF">
        <w:rPr>
          <w:color w:val="000000" w:themeColor="text1"/>
        </w:rPr>
        <w:t xml:space="preserve">After data collection is completed, </w:t>
      </w:r>
      <w:r w:rsidRPr="007732BF" w:rsidR="001F1DA0">
        <w:rPr>
          <w:color w:val="000000" w:themeColor="text1"/>
        </w:rPr>
        <w:t>RTI</w:t>
      </w:r>
      <w:r w:rsidRPr="007732BF" w:rsidR="004A5201">
        <w:rPr>
          <w:color w:val="000000" w:themeColor="text1"/>
        </w:rPr>
        <w:t xml:space="preserve"> will provide </w:t>
      </w:r>
      <w:r w:rsidRPr="007732BF">
        <w:rPr>
          <w:color w:val="000000" w:themeColor="text1"/>
        </w:rPr>
        <w:t xml:space="preserve">FDA </w:t>
      </w:r>
      <w:r w:rsidRPr="007732BF" w:rsidR="004A5201">
        <w:rPr>
          <w:color w:val="000000" w:themeColor="text1"/>
        </w:rPr>
        <w:t>with</w:t>
      </w:r>
      <w:r w:rsidRPr="007732BF">
        <w:rPr>
          <w:color w:val="000000" w:themeColor="text1"/>
        </w:rPr>
        <w:t xml:space="preserve"> copies of transcripts of all</w:t>
      </w:r>
      <w:r w:rsidRPr="007732BF" w:rsidR="00301E38">
        <w:rPr>
          <w:color w:val="000000" w:themeColor="text1"/>
        </w:rPr>
        <w:t xml:space="preserve"> </w:t>
      </w:r>
      <w:r w:rsidRPr="007732BF">
        <w:rPr>
          <w:color w:val="000000" w:themeColor="text1"/>
        </w:rPr>
        <w:t xml:space="preserve">interviews. These transcripts will be provided to FDA </w:t>
      </w:r>
      <w:r w:rsidRPr="007732BF" w:rsidR="002154A6">
        <w:rPr>
          <w:color w:val="000000" w:themeColor="text1"/>
        </w:rPr>
        <w:t>as</w:t>
      </w:r>
      <w:r w:rsidRPr="007732BF">
        <w:rPr>
          <w:color w:val="000000" w:themeColor="text1"/>
        </w:rPr>
        <w:t xml:space="preserve"> a written record of the sessions. To ensure participant privacy, all PII</w:t>
      </w:r>
      <w:r w:rsidRPr="007732BF" w:rsidR="00E330DE">
        <w:rPr>
          <w:color w:val="000000" w:themeColor="text1"/>
        </w:rPr>
        <w:t xml:space="preserve"> other than first names </w:t>
      </w:r>
      <w:r w:rsidRPr="007732BF">
        <w:rPr>
          <w:color w:val="000000" w:themeColor="text1"/>
        </w:rPr>
        <w:t>will be redacted from the transcripts before delivery to FDA.</w:t>
      </w:r>
    </w:p>
    <w:p w:rsidRPr="007732BF" w:rsidR="00C13B38" w:rsidP="00C13B38" w:rsidRDefault="00C13B38" w14:paraId="03866F99" w14:textId="77777777">
      <w:pPr>
        <w:rPr>
          <w:color w:val="000000" w:themeColor="text1"/>
        </w:rPr>
      </w:pPr>
    </w:p>
    <w:p w:rsidRPr="007732BF" w:rsidR="00C13B38" w:rsidP="005B0D6D" w:rsidRDefault="00C13B38" w14:paraId="5773F81A" w14:textId="77777777">
      <w:pPr>
        <w:ind w:left="720"/>
        <w:rPr>
          <w:b/>
          <w:bCs/>
          <w:i/>
          <w:color w:val="000000" w:themeColor="text1"/>
        </w:rPr>
      </w:pPr>
      <w:r w:rsidRPr="007732BF">
        <w:rPr>
          <w:b/>
          <w:bCs/>
          <w:i/>
          <w:color w:val="000000" w:themeColor="text1"/>
        </w:rPr>
        <w:t xml:space="preserve">Record Keeping and Confidentiality </w:t>
      </w:r>
    </w:p>
    <w:p w:rsidRPr="007732BF" w:rsidR="00C13B38" w:rsidP="005B0D6D" w:rsidRDefault="00C13B38" w14:paraId="1701EE24" w14:textId="77777777">
      <w:pPr>
        <w:ind w:left="720"/>
        <w:rPr>
          <w:color w:val="000000" w:themeColor="text1"/>
        </w:rPr>
      </w:pPr>
    </w:p>
    <w:p w:rsidRPr="007732BF" w:rsidR="007E5437" w:rsidP="005B0D6D" w:rsidRDefault="007E5437" w14:paraId="63D46000" w14:textId="77777777">
      <w:pPr>
        <w:ind w:left="720"/>
        <w:rPr>
          <w:color w:val="000000" w:themeColor="text1"/>
        </w:rPr>
      </w:pPr>
      <w:r w:rsidRPr="007732BF">
        <w:rPr>
          <w:color w:val="000000" w:themeColor="text1"/>
        </w:rPr>
        <w:t xml:space="preserve">The following procedures will be used to ensure participant confidentiality before, during, and after fielding: </w:t>
      </w:r>
    </w:p>
    <w:p w:rsidRPr="007732BF" w:rsidR="007E5437" w:rsidP="005B0D6D" w:rsidRDefault="007E5437" w14:paraId="6573DEC7" w14:textId="77777777">
      <w:pPr>
        <w:ind w:left="360"/>
        <w:rPr>
          <w:color w:val="000000" w:themeColor="text1"/>
        </w:rPr>
      </w:pPr>
    </w:p>
    <w:p w:rsidRPr="007732BF" w:rsidR="007E5437" w:rsidP="00A002E2" w:rsidRDefault="001F1DA0" w14:paraId="29365F05" w14:textId="3356E583">
      <w:pPr>
        <w:numPr>
          <w:ilvl w:val="0"/>
          <w:numId w:val="5"/>
        </w:numPr>
        <w:ind w:left="1080"/>
        <w:rPr>
          <w:color w:val="000000" w:themeColor="text1"/>
        </w:rPr>
      </w:pPr>
      <w:r w:rsidRPr="007732BF">
        <w:rPr>
          <w:color w:val="000000" w:themeColor="text1"/>
        </w:rPr>
        <w:t>L&amp;E Research will recruit participants from their opt-in panels (HCP panel and consumer panel)</w:t>
      </w:r>
      <w:r w:rsidRPr="007732BF" w:rsidR="00E330DE">
        <w:rPr>
          <w:color w:val="000000" w:themeColor="text1"/>
        </w:rPr>
        <w:t xml:space="preserve">. </w:t>
      </w:r>
      <w:r w:rsidRPr="007732BF" w:rsidR="001563A2">
        <w:rPr>
          <w:color w:val="000000" w:themeColor="text1"/>
        </w:rPr>
        <w:t>O</w:t>
      </w:r>
      <w:r w:rsidRPr="007732BF" w:rsidR="00E330DE">
        <w:rPr>
          <w:color w:val="000000" w:themeColor="text1"/>
        </w:rPr>
        <w:t xml:space="preserve">nly first names of </w:t>
      </w:r>
      <w:r w:rsidRPr="007732BF" w:rsidR="003F4691">
        <w:rPr>
          <w:color w:val="000000" w:themeColor="text1"/>
        </w:rPr>
        <w:t xml:space="preserve">participants that </w:t>
      </w:r>
      <w:r w:rsidRPr="007732BF" w:rsidR="00E330DE">
        <w:rPr>
          <w:color w:val="000000" w:themeColor="text1"/>
        </w:rPr>
        <w:t>have been scheduled for interviews</w:t>
      </w:r>
      <w:r w:rsidRPr="007732BF" w:rsidR="00373C8F">
        <w:rPr>
          <w:color w:val="000000" w:themeColor="text1"/>
        </w:rPr>
        <w:t xml:space="preserve"> will be provided to </w:t>
      </w:r>
      <w:r w:rsidRPr="007732BF">
        <w:rPr>
          <w:color w:val="000000" w:themeColor="text1"/>
        </w:rPr>
        <w:t>RTI</w:t>
      </w:r>
      <w:r w:rsidRPr="007732BF" w:rsidR="00E330DE">
        <w:rPr>
          <w:color w:val="000000" w:themeColor="text1"/>
        </w:rPr>
        <w:t xml:space="preserve">. Any interview materials </w:t>
      </w:r>
      <w:r w:rsidRPr="007732BF">
        <w:rPr>
          <w:color w:val="000000" w:themeColor="text1"/>
        </w:rPr>
        <w:t>RTI</w:t>
      </w:r>
      <w:r w:rsidRPr="007732BF" w:rsidR="00E330DE">
        <w:rPr>
          <w:color w:val="000000" w:themeColor="text1"/>
        </w:rPr>
        <w:t xml:space="preserve"> shares with FDA will only c</w:t>
      </w:r>
      <w:r w:rsidRPr="007732BF">
        <w:rPr>
          <w:color w:val="000000" w:themeColor="text1"/>
        </w:rPr>
        <w:t>ontain answers to screener questions (not first names).</w:t>
      </w:r>
    </w:p>
    <w:p w:rsidRPr="007732BF" w:rsidR="00373E08" w:rsidP="005B0D6D" w:rsidRDefault="00373E08" w14:paraId="7274A9DA" w14:textId="433BA213">
      <w:pPr>
        <w:ind w:left="1080"/>
        <w:rPr>
          <w:color w:val="000000" w:themeColor="text1"/>
        </w:rPr>
      </w:pPr>
    </w:p>
    <w:p w:rsidRPr="007732BF" w:rsidR="007B42F8" w:rsidP="00A002E2" w:rsidRDefault="007E5437" w14:paraId="4B102E7E" w14:textId="315ED0FC">
      <w:pPr>
        <w:pStyle w:val="ListParagraph"/>
        <w:numPr>
          <w:ilvl w:val="0"/>
          <w:numId w:val="5"/>
        </w:numPr>
        <w:ind w:left="1080"/>
        <w:rPr>
          <w:color w:val="000000" w:themeColor="text1"/>
        </w:rPr>
      </w:pPr>
      <w:r w:rsidRPr="007732BF">
        <w:rPr>
          <w:color w:val="000000" w:themeColor="text1"/>
        </w:rPr>
        <w:t>During the interviews, participants will be addressed only</w:t>
      </w:r>
      <w:r w:rsidRPr="007732BF" w:rsidR="00E330DE">
        <w:rPr>
          <w:color w:val="000000" w:themeColor="text1"/>
        </w:rPr>
        <w:t xml:space="preserve"> by their first names. Any PII (beyond the first name) </w:t>
      </w:r>
      <w:r w:rsidRPr="007732BF">
        <w:rPr>
          <w:color w:val="000000" w:themeColor="text1"/>
        </w:rPr>
        <w:t xml:space="preserve">shared </w:t>
      </w:r>
      <w:r w:rsidRPr="007732BF" w:rsidR="004B7090">
        <w:rPr>
          <w:color w:val="000000" w:themeColor="text1"/>
        </w:rPr>
        <w:t xml:space="preserve">by participants </w:t>
      </w:r>
      <w:r w:rsidRPr="007732BF">
        <w:rPr>
          <w:color w:val="000000" w:themeColor="text1"/>
        </w:rPr>
        <w:t>during the interview will be redacted from transcripts</w:t>
      </w:r>
      <w:r w:rsidRPr="007732BF" w:rsidR="006613DD">
        <w:rPr>
          <w:color w:val="000000" w:themeColor="text1"/>
        </w:rPr>
        <w:t xml:space="preserve">. </w:t>
      </w:r>
      <w:r w:rsidRPr="007732BF">
        <w:rPr>
          <w:color w:val="000000" w:themeColor="text1"/>
        </w:rPr>
        <w:t xml:space="preserve"> </w:t>
      </w:r>
    </w:p>
    <w:p w:rsidRPr="007732BF" w:rsidR="00373E08" w:rsidP="005B0D6D" w:rsidRDefault="00373E08" w14:paraId="72122D4A" w14:textId="7FB53CA9">
      <w:pPr>
        <w:ind w:left="1080"/>
        <w:rPr>
          <w:color w:val="000000" w:themeColor="text1"/>
        </w:rPr>
      </w:pPr>
    </w:p>
    <w:p w:rsidRPr="007732BF" w:rsidR="007E5437" w:rsidP="005B0D6D" w:rsidRDefault="007E5437" w14:paraId="1A09BDED" w14:textId="4548C5A6">
      <w:pPr>
        <w:ind w:left="1080" w:hanging="360"/>
        <w:rPr>
          <w:color w:val="000000" w:themeColor="text1"/>
        </w:rPr>
      </w:pPr>
      <w:r w:rsidRPr="007732BF">
        <w:rPr>
          <w:color w:val="000000" w:themeColor="text1"/>
        </w:rPr>
        <w:t xml:space="preserve">3.   Respondent </w:t>
      </w:r>
      <w:r w:rsidRPr="007732BF" w:rsidR="00373E08">
        <w:rPr>
          <w:color w:val="000000" w:themeColor="text1"/>
        </w:rPr>
        <w:t>quotes used in report</w:t>
      </w:r>
      <w:r w:rsidRPr="007732BF" w:rsidR="002C54F8">
        <w:rPr>
          <w:color w:val="000000" w:themeColor="text1"/>
        </w:rPr>
        <w:t xml:space="preserve">s </w:t>
      </w:r>
      <w:r w:rsidRPr="007732BF">
        <w:rPr>
          <w:color w:val="000000" w:themeColor="text1"/>
        </w:rPr>
        <w:t xml:space="preserve">will not be </w:t>
      </w:r>
      <w:r w:rsidRPr="007732BF" w:rsidR="00373E08">
        <w:rPr>
          <w:color w:val="000000" w:themeColor="text1"/>
        </w:rPr>
        <w:t xml:space="preserve">associated with any names or attributed to specific </w:t>
      </w:r>
      <w:r w:rsidRPr="007732BF">
        <w:rPr>
          <w:color w:val="000000" w:themeColor="text1"/>
        </w:rPr>
        <w:t>participants.</w:t>
      </w:r>
    </w:p>
    <w:p w:rsidRPr="007732BF" w:rsidR="007E5437" w:rsidP="007E5437" w:rsidRDefault="007E5437" w14:paraId="02C7EA65" w14:textId="77777777">
      <w:pPr>
        <w:rPr>
          <w:color w:val="000000" w:themeColor="text1"/>
        </w:rPr>
      </w:pPr>
    </w:p>
    <w:p w:rsidRPr="007732BF" w:rsidR="007E5437" w:rsidP="005B0D6D" w:rsidRDefault="007E5437" w14:paraId="4A77C822" w14:textId="2ADFC8A9">
      <w:pPr>
        <w:ind w:left="720"/>
        <w:rPr>
          <w:color w:val="000000" w:themeColor="text1"/>
        </w:rPr>
      </w:pPr>
      <w:r w:rsidRPr="007732BF">
        <w:rPr>
          <w:color w:val="000000" w:themeColor="text1"/>
        </w:rPr>
        <w:t xml:space="preserve">Contractors will not share personal information regarding participants with any third party without participants’ permission unless it is required by law to protect their rights or to comply with judicial proceedings, court orders, or other legal processes. This possibility will be disclosed in the informed consent </w:t>
      </w:r>
      <w:r w:rsidRPr="007732BF" w:rsidR="00A25F10">
        <w:rPr>
          <w:color w:val="000000" w:themeColor="text1"/>
        </w:rPr>
        <w:t>document.</w:t>
      </w:r>
      <w:r w:rsidRPr="007732BF">
        <w:rPr>
          <w:color w:val="000000" w:themeColor="text1"/>
        </w:rPr>
        <w:t xml:space="preserve"> </w:t>
      </w:r>
    </w:p>
    <w:p w:rsidRPr="007732BF" w:rsidR="00A25F10" w:rsidP="005B0D6D" w:rsidRDefault="00A25F10" w14:paraId="1678AA6A" w14:textId="77C55B95">
      <w:pPr>
        <w:ind w:left="720"/>
        <w:rPr>
          <w:color w:val="000000" w:themeColor="text1"/>
        </w:rPr>
      </w:pPr>
    </w:p>
    <w:p w:rsidRPr="007732BF" w:rsidR="007E5437" w:rsidP="005B0D6D" w:rsidRDefault="007E5437" w14:paraId="38BD980A" w14:textId="39E1C7B1">
      <w:pPr>
        <w:ind w:left="720"/>
        <w:rPr>
          <w:color w:val="000000" w:themeColor="text1"/>
        </w:rPr>
      </w:pPr>
      <w:r w:rsidRPr="007732BF">
        <w:rPr>
          <w:color w:val="000000" w:themeColor="text1"/>
        </w:rPr>
        <w:t xml:space="preserve">All identifying information, including information collected during screening, will be kept on a separate password-protected computer and/or in locked cabinets for a period of </w:t>
      </w:r>
      <w:r w:rsidRPr="007732BF" w:rsidR="004E5C97">
        <w:rPr>
          <w:color w:val="000000" w:themeColor="text1"/>
        </w:rPr>
        <w:t xml:space="preserve">no longer than </w:t>
      </w:r>
      <w:r w:rsidRPr="007732BF">
        <w:rPr>
          <w:color w:val="000000" w:themeColor="text1"/>
        </w:rPr>
        <w:t>three years</w:t>
      </w:r>
      <w:r w:rsidRPr="007732BF" w:rsidR="00A25F10">
        <w:rPr>
          <w:color w:val="000000" w:themeColor="text1"/>
        </w:rPr>
        <w:t xml:space="preserve"> after the project is complete</w:t>
      </w:r>
      <w:r w:rsidRPr="007732BF" w:rsidR="00EE1D7E">
        <w:rPr>
          <w:color w:val="000000" w:themeColor="text1"/>
        </w:rPr>
        <w:t>,</w:t>
      </w:r>
      <w:r w:rsidRPr="007732BF">
        <w:rPr>
          <w:color w:val="000000" w:themeColor="text1"/>
        </w:rPr>
        <w:t xml:space="preserve"> after which they will be destroyed by securely shredding documents or permanently deleting electronic information. In the case of a breach of confidentiality, appropriate steps will be taken to notify participants. </w:t>
      </w:r>
    </w:p>
    <w:p w:rsidRPr="007732BF" w:rsidR="007E5437" w:rsidP="005B0D6D" w:rsidRDefault="007E5437" w14:paraId="5C7E797E" w14:textId="77777777">
      <w:pPr>
        <w:ind w:left="720"/>
        <w:rPr>
          <w:color w:val="000000" w:themeColor="text1"/>
        </w:rPr>
      </w:pPr>
    </w:p>
    <w:p w:rsidRPr="007732BF" w:rsidR="007E5437" w:rsidP="005B0D6D" w:rsidRDefault="007E5437" w14:paraId="7B07CA03" w14:textId="77777777">
      <w:pPr>
        <w:ind w:left="720"/>
        <w:rPr>
          <w:color w:val="000000" w:themeColor="text1"/>
        </w:rPr>
      </w:pPr>
      <w:r w:rsidRPr="007732BF">
        <w:rPr>
          <w:color w:val="000000" w:themeColor="text1"/>
        </w:rPr>
        <w:t>All data will also be maintained in consistency with the FDA Privacy Act &amp; Applicable System of Records Notices #09-10-0009 (Special Studies and Surveys on FDA Regulated Products).</w:t>
      </w:r>
    </w:p>
    <w:bookmarkEnd w:id="8"/>
    <w:p w:rsidR="006F243C" w:rsidP="00F12AEE" w:rsidRDefault="006F243C" w14:paraId="0566E21E" w14:textId="28EC899E">
      <w:pPr>
        <w:ind w:left="720"/>
        <w:rPr>
          <w:color w:val="000000" w:themeColor="text1"/>
        </w:rPr>
      </w:pPr>
    </w:p>
    <w:p w:rsidR="00344218" w:rsidP="00F12AEE" w:rsidRDefault="00344218" w14:paraId="15683324" w14:textId="597E9D28">
      <w:pPr>
        <w:ind w:left="720"/>
        <w:rPr>
          <w:color w:val="000000" w:themeColor="text1"/>
        </w:rPr>
      </w:pPr>
    </w:p>
    <w:p w:rsidR="00344218" w:rsidP="00F12AEE" w:rsidRDefault="00344218" w14:paraId="695FE065" w14:textId="1E306CDE">
      <w:pPr>
        <w:ind w:left="720"/>
        <w:rPr>
          <w:color w:val="000000" w:themeColor="text1"/>
        </w:rPr>
      </w:pPr>
    </w:p>
    <w:p w:rsidRPr="007732BF" w:rsidR="00344218" w:rsidP="00F12AEE" w:rsidRDefault="00344218" w14:paraId="42CD42E3" w14:textId="77777777">
      <w:pPr>
        <w:ind w:left="720"/>
        <w:rPr>
          <w:color w:val="000000" w:themeColor="text1"/>
        </w:rPr>
      </w:pPr>
    </w:p>
    <w:p w:rsidRPr="007732BF" w:rsidR="00E26798" w:rsidP="00A002E2" w:rsidRDefault="0049419A" w14:paraId="56FD421C" w14:textId="77777777">
      <w:pPr>
        <w:numPr>
          <w:ilvl w:val="0"/>
          <w:numId w:val="1"/>
        </w:numPr>
        <w:tabs>
          <w:tab w:val="num" w:pos="720"/>
        </w:tabs>
        <w:ind w:left="720"/>
        <w:rPr>
          <w:b/>
          <w:color w:val="000000" w:themeColor="text1"/>
        </w:rPr>
      </w:pPr>
      <w:r w:rsidRPr="007732BF">
        <w:rPr>
          <w:b/>
          <w:color w:val="000000" w:themeColor="text1"/>
        </w:rPr>
        <w:lastRenderedPageBreak/>
        <w:t>Amount and justification for any proposed incentive:</w:t>
      </w:r>
      <w:r w:rsidRPr="007732BF" w:rsidR="003F1C7A">
        <w:rPr>
          <w:color w:val="000000" w:themeColor="text1"/>
        </w:rPr>
        <w:t xml:space="preserve"> </w:t>
      </w:r>
    </w:p>
    <w:p w:rsidRPr="007732BF" w:rsidR="00370889" w:rsidP="00370889" w:rsidRDefault="00370889" w14:paraId="5445E760" w14:textId="77777777">
      <w:pPr>
        <w:rPr>
          <w:b/>
          <w:bCs/>
          <w:i/>
          <w:iCs/>
          <w:color w:val="000000" w:themeColor="text1"/>
        </w:rPr>
      </w:pPr>
    </w:p>
    <w:p w:rsidRPr="007732BF" w:rsidR="00C20693" w:rsidP="005B0D6D" w:rsidRDefault="00185136" w14:paraId="409F9D77" w14:textId="6159FCD8">
      <w:pPr>
        <w:pStyle w:val="ListParagraph"/>
        <w:rPr>
          <w:b/>
          <w:bCs/>
          <w:i/>
          <w:iCs/>
          <w:color w:val="000000" w:themeColor="text1"/>
        </w:rPr>
      </w:pPr>
      <w:r w:rsidRPr="007732BF">
        <w:rPr>
          <w:b/>
          <w:bCs/>
          <w:i/>
          <w:iCs/>
          <w:color w:val="000000" w:themeColor="text1"/>
        </w:rPr>
        <w:t xml:space="preserve">Diagnosed </w:t>
      </w:r>
      <w:r w:rsidRPr="007732BF" w:rsidR="00C20693">
        <w:rPr>
          <w:b/>
          <w:bCs/>
          <w:i/>
          <w:iCs/>
          <w:color w:val="000000" w:themeColor="text1"/>
        </w:rPr>
        <w:t>Consumers</w:t>
      </w:r>
    </w:p>
    <w:p w:rsidRPr="007732BF" w:rsidR="00C20693" w:rsidP="005B0D6D" w:rsidRDefault="00C20693" w14:paraId="2EBA23C0" w14:textId="35FA46B5">
      <w:pPr>
        <w:pStyle w:val="ListParagraph"/>
        <w:rPr>
          <w:color w:val="000000" w:themeColor="text1"/>
        </w:rPr>
      </w:pPr>
    </w:p>
    <w:p w:rsidRPr="007732BF" w:rsidR="00601CA9" w:rsidP="002755F6" w:rsidRDefault="00C20693" w14:paraId="0DD43AA3" w14:textId="6D61EAD4">
      <w:pPr>
        <w:ind w:left="720"/>
        <w:rPr>
          <w:color w:val="000000" w:themeColor="text1"/>
        </w:rPr>
      </w:pPr>
      <w:r w:rsidRPr="007732BF">
        <w:rPr>
          <w:color w:val="000000" w:themeColor="text1"/>
        </w:rPr>
        <w:t xml:space="preserve">For completing the </w:t>
      </w:r>
      <w:r w:rsidRPr="007732BF" w:rsidR="0046354C">
        <w:rPr>
          <w:color w:val="000000" w:themeColor="text1"/>
        </w:rPr>
        <w:t xml:space="preserve">60-minute remote </w:t>
      </w:r>
      <w:r w:rsidRPr="007732BF">
        <w:rPr>
          <w:color w:val="000000" w:themeColor="text1"/>
        </w:rPr>
        <w:t>interview</w:t>
      </w:r>
      <w:r w:rsidRPr="007732BF" w:rsidR="005917B4">
        <w:rPr>
          <w:color w:val="000000" w:themeColor="text1"/>
        </w:rPr>
        <w:t>s</w:t>
      </w:r>
      <w:r w:rsidRPr="007732BF">
        <w:rPr>
          <w:color w:val="000000" w:themeColor="text1"/>
        </w:rPr>
        <w:t xml:space="preserve">, </w:t>
      </w:r>
      <w:r w:rsidRPr="007732BF" w:rsidR="005917B4">
        <w:rPr>
          <w:color w:val="000000" w:themeColor="text1"/>
        </w:rPr>
        <w:t xml:space="preserve">diagnosed </w:t>
      </w:r>
      <w:r w:rsidRPr="007732BF">
        <w:rPr>
          <w:color w:val="000000" w:themeColor="text1"/>
        </w:rPr>
        <w:t xml:space="preserve">consumers will </w:t>
      </w:r>
      <w:r w:rsidR="00003428">
        <w:rPr>
          <w:color w:val="000000" w:themeColor="text1"/>
        </w:rPr>
        <w:t>be offered</w:t>
      </w:r>
      <w:r w:rsidRPr="007732BF" w:rsidR="00003428">
        <w:rPr>
          <w:color w:val="000000" w:themeColor="text1"/>
        </w:rPr>
        <w:t xml:space="preserve"> </w:t>
      </w:r>
      <w:r w:rsidR="004127C5">
        <w:rPr>
          <w:color w:val="000000" w:themeColor="text1"/>
        </w:rPr>
        <w:t xml:space="preserve">an incentive valued at </w:t>
      </w:r>
      <w:r w:rsidR="00862D6D">
        <w:rPr>
          <w:color w:val="000000" w:themeColor="text1"/>
        </w:rPr>
        <w:t xml:space="preserve">$50, with the possibility of offering </w:t>
      </w:r>
      <w:r w:rsidRPr="007732BF" w:rsidR="00862D6D">
        <w:rPr>
          <w:color w:val="000000" w:themeColor="text1"/>
        </w:rPr>
        <w:t xml:space="preserve">$75 </w:t>
      </w:r>
      <w:r w:rsidR="00862D6D">
        <w:rPr>
          <w:color w:val="000000" w:themeColor="text1"/>
        </w:rPr>
        <w:t>if we struggle to recruit enough participants</w:t>
      </w:r>
      <w:r w:rsidRPr="007732BF">
        <w:rPr>
          <w:color w:val="000000" w:themeColor="text1"/>
        </w:rPr>
        <w:t>.</w:t>
      </w:r>
      <w:r w:rsidR="002755F6">
        <w:rPr>
          <w:color w:val="000000" w:themeColor="text1"/>
        </w:rPr>
        <w:t xml:space="preserve"> </w:t>
      </w:r>
      <w:r w:rsidRPr="007732BF" w:rsidR="0046354C">
        <w:rPr>
          <w:color w:val="000000" w:themeColor="text1"/>
        </w:rPr>
        <w:t xml:space="preserve">The proposed incentive rate </w:t>
      </w:r>
      <w:r w:rsidRPr="007732BF" w:rsidR="008132C4">
        <w:rPr>
          <w:color w:val="000000" w:themeColor="text1"/>
        </w:rPr>
        <w:t>is</w:t>
      </w:r>
      <w:r w:rsidRPr="007732BF" w:rsidR="0046354C">
        <w:rPr>
          <w:color w:val="000000" w:themeColor="text1"/>
        </w:rPr>
        <w:t xml:space="preserve"> in accordance with standard practice and based on our experience with specific </w:t>
      </w:r>
      <w:r w:rsidRPr="007732BF" w:rsidR="00370889">
        <w:rPr>
          <w:color w:val="000000" w:themeColor="text1"/>
        </w:rPr>
        <w:t xml:space="preserve">patient </w:t>
      </w:r>
      <w:r w:rsidRPr="007732BF" w:rsidR="0046354C">
        <w:rPr>
          <w:color w:val="000000" w:themeColor="text1"/>
        </w:rPr>
        <w:t xml:space="preserve">populations, the amount of time the participant spends in the study, what is required of them, recent consultation with our recruiting vendor, and </w:t>
      </w:r>
      <w:bookmarkStart w:name="_Hlk11320427" w:id="9"/>
      <w:r w:rsidRPr="007732BF" w:rsidR="0046354C">
        <w:rPr>
          <w:color w:val="000000" w:themeColor="text1"/>
        </w:rPr>
        <w:t>OMB-approved incentives on recent FDA projects</w:t>
      </w:r>
      <w:bookmarkEnd w:id="9"/>
      <w:r w:rsidRPr="007732BF" w:rsidR="0046354C">
        <w:rPr>
          <w:color w:val="000000" w:themeColor="text1"/>
        </w:rPr>
        <w:t xml:space="preserve"> and projects for other clients. </w:t>
      </w:r>
      <w:r w:rsidRPr="007732BF" w:rsidR="00601CA9">
        <w:rPr>
          <w:color w:val="000000" w:themeColor="text1"/>
        </w:rPr>
        <w:t>This token of appreciation is intended to provide enough incentive to participate in the study rather than another activity, improve data quality, reduce the number of cancellations, recognize the burden of childcare costs, and convey appreciation for contributing to this important activity.</w:t>
      </w:r>
      <w:r w:rsidRPr="007732BF" w:rsidR="00370889">
        <w:rPr>
          <w:rStyle w:val="FootnoteReference"/>
          <w:color w:val="000000" w:themeColor="text1"/>
          <w:vertAlign w:val="superscript"/>
        </w:rPr>
        <w:footnoteReference w:id="3"/>
      </w:r>
      <w:r w:rsidRPr="007732BF" w:rsidR="00601CA9">
        <w:rPr>
          <w:color w:val="000000" w:themeColor="text1"/>
        </w:rPr>
        <w:t xml:space="preserve"> Incentives must be high enough to equalize the burden placed on respondents in respect to their time and cost of participation. </w:t>
      </w:r>
      <w:r w:rsidRPr="007732BF" w:rsidR="00D55159">
        <w:rPr>
          <w:color w:val="000000" w:themeColor="text1"/>
        </w:rPr>
        <w:t>Offering an incentive below these rates may result in increased costs exceeding the amount saved with a lower incentive. Consequences of insufficient incentives include increased time and cost of recruitment, and increased probability of cancelled or postponed interviews.</w:t>
      </w:r>
    </w:p>
    <w:p w:rsidRPr="007732BF" w:rsidR="003C1AE5" w:rsidP="005917B4" w:rsidRDefault="003C1AE5" w14:paraId="3414FEDF" w14:textId="24828A7A">
      <w:pPr>
        <w:pStyle w:val="BodyText"/>
        <w:ind w:left="720"/>
        <w:contextualSpacing/>
        <w:rPr>
          <w:color w:val="000000" w:themeColor="text1"/>
          <w:sz w:val="24"/>
          <w:szCs w:val="24"/>
        </w:rPr>
      </w:pPr>
    </w:p>
    <w:p w:rsidRPr="007732BF" w:rsidR="006C5643" w:rsidP="00013C68" w:rsidRDefault="003C1AE5" w14:paraId="01DEF20E" w14:textId="0AD9F38E">
      <w:pPr>
        <w:spacing w:after="120"/>
        <w:ind w:left="720"/>
        <w:contextualSpacing/>
        <w:rPr>
          <w:color w:val="000000" w:themeColor="text1"/>
        </w:rPr>
      </w:pPr>
      <w:r w:rsidRPr="007732BF">
        <w:rPr>
          <w:color w:val="000000" w:themeColor="text1"/>
        </w:rPr>
        <w:t>The proposed incentive amount</w:t>
      </w:r>
      <w:bookmarkStart w:name="_Hlk10624514" w:id="10"/>
      <w:r w:rsidRPr="007732BF">
        <w:rPr>
          <w:color w:val="000000" w:themeColor="text1"/>
        </w:rPr>
        <w:t xml:space="preserve"> </w:t>
      </w:r>
      <w:bookmarkEnd w:id="10"/>
      <w:r w:rsidRPr="007732BF">
        <w:rPr>
          <w:color w:val="000000" w:themeColor="text1"/>
        </w:rPr>
        <w:t xml:space="preserve">is </w:t>
      </w:r>
      <w:r w:rsidRPr="00344218">
        <w:rPr>
          <w:color w:val="000000" w:themeColor="text1"/>
        </w:rPr>
        <w:t>significantly below market rate</w:t>
      </w:r>
      <w:r w:rsidRPr="007732BF">
        <w:rPr>
          <w:b/>
          <w:bCs/>
          <w:color w:val="000000" w:themeColor="text1"/>
        </w:rPr>
        <w:t xml:space="preserve"> </w:t>
      </w:r>
      <w:r w:rsidRPr="007732BF">
        <w:rPr>
          <w:color w:val="000000" w:themeColor="text1"/>
        </w:rPr>
        <w:t xml:space="preserve">for an effort of this type. Recruiting firms determine market rates for research participation based on what other comparable studies in the field are offering and what rate will incentivize the required population to participate. L&amp;E Research and other vendors estimate that other studies being conducted with similar populations and levels of effort in this market at this time pay incentives of $100-$175. For example, it is not uncommon for companies to pay $150 for 45-minute remote </w:t>
      </w:r>
      <w:r w:rsidRPr="007732BF" w:rsidR="00892646">
        <w:rPr>
          <w:color w:val="000000" w:themeColor="text1"/>
        </w:rPr>
        <w:t xml:space="preserve">consumer </w:t>
      </w:r>
      <w:r w:rsidRPr="007732BF">
        <w:rPr>
          <w:color w:val="000000" w:themeColor="text1"/>
        </w:rPr>
        <w:t>interviews.</w:t>
      </w:r>
      <w:r w:rsidRPr="007732BF">
        <w:rPr>
          <w:rStyle w:val="FootnoteReference"/>
          <w:color w:val="000000" w:themeColor="text1"/>
          <w:vertAlign w:val="superscript"/>
        </w:rPr>
        <w:footnoteReference w:id="4"/>
      </w:r>
      <w:r w:rsidRPr="007732BF">
        <w:rPr>
          <w:color w:val="000000" w:themeColor="text1"/>
          <w:vertAlign w:val="superscript"/>
        </w:rPr>
        <w:t xml:space="preserve"> </w:t>
      </w:r>
      <w:r w:rsidRPr="007732BF">
        <w:rPr>
          <w:color w:val="000000" w:themeColor="text1"/>
        </w:rPr>
        <w:t>Online market research firms suggest paying people at least twice as much as their hourly rate to incentivize them to participate.</w:t>
      </w:r>
      <w:r w:rsidRPr="007732BF">
        <w:rPr>
          <w:color w:val="000000" w:themeColor="text1"/>
          <w:vertAlign w:val="superscript"/>
        </w:rPr>
        <w:footnoteReference w:id="5"/>
      </w:r>
      <w:r w:rsidRPr="007732BF">
        <w:rPr>
          <w:color w:val="000000" w:themeColor="text1"/>
        </w:rPr>
        <w:t xml:space="preserve"> </w:t>
      </w:r>
      <w:r w:rsidRPr="007732BF" w:rsidR="00892646">
        <w:rPr>
          <w:color w:val="000000" w:themeColor="text1"/>
        </w:rPr>
        <w:t>The Bureau of Labor Statistics (BLS) calculated that the average hourly wage of employees, including benefits, in March 202</w:t>
      </w:r>
      <w:r w:rsidR="000829B5">
        <w:rPr>
          <w:color w:val="000000" w:themeColor="text1"/>
        </w:rPr>
        <w:t>1</w:t>
      </w:r>
      <w:r w:rsidRPr="007732BF" w:rsidR="00892646">
        <w:rPr>
          <w:color w:val="000000" w:themeColor="text1"/>
        </w:rPr>
        <w:t xml:space="preserve"> was $3</w:t>
      </w:r>
      <w:r w:rsidR="000829B5">
        <w:rPr>
          <w:color w:val="000000" w:themeColor="text1"/>
        </w:rPr>
        <w:t>9</w:t>
      </w:r>
      <w:r w:rsidRPr="007732BF" w:rsidR="00892646">
        <w:rPr>
          <w:color w:val="000000" w:themeColor="text1"/>
        </w:rPr>
        <w:t>.</w:t>
      </w:r>
      <w:r w:rsidR="000829B5">
        <w:rPr>
          <w:color w:val="000000" w:themeColor="text1"/>
        </w:rPr>
        <w:t>01</w:t>
      </w:r>
      <w:r w:rsidRPr="007732BF" w:rsidR="00892646">
        <w:rPr>
          <w:color w:val="000000" w:themeColor="text1"/>
        </w:rPr>
        <w:t>.</w:t>
      </w:r>
      <w:r w:rsidRPr="007732BF" w:rsidR="00892646">
        <w:rPr>
          <w:rStyle w:val="FootnoteReference"/>
          <w:color w:val="000000" w:themeColor="text1"/>
          <w:vertAlign w:val="superscript"/>
        </w:rPr>
        <w:footnoteReference w:id="6"/>
      </w:r>
      <w:r w:rsidRPr="007732BF" w:rsidR="00892646">
        <w:rPr>
          <w:color w:val="000000" w:themeColor="text1"/>
        </w:rPr>
        <w:t xml:space="preserve"> At that rate, a minimum incentive for a 60-minute interview would be $7</w:t>
      </w:r>
      <w:r w:rsidR="000829B5">
        <w:rPr>
          <w:color w:val="000000" w:themeColor="text1"/>
        </w:rPr>
        <w:t>8</w:t>
      </w:r>
      <w:r w:rsidRPr="007732BF" w:rsidR="00892646">
        <w:rPr>
          <w:color w:val="000000" w:themeColor="text1"/>
        </w:rPr>
        <w:t>.</w:t>
      </w:r>
      <w:r w:rsidR="000829B5">
        <w:rPr>
          <w:color w:val="000000" w:themeColor="text1"/>
        </w:rPr>
        <w:t>02</w:t>
      </w:r>
      <w:r w:rsidRPr="007732BF" w:rsidR="00892646">
        <w:rPr>
          <w:color w:val="000000" w:themeColor="text1"/>
        </w:rPr>
        <w:t xml:space="preserve">. But that is not the only expense to consider. </w:t>
      </w:r>
    </w:p>
    <w:p w:rsidRPr="007732BF" w:rsidR="006C5643" w:rsidP="00013C68" w:rsidRDefault="006C5643" w14:paraId="47376D30" w14:textId="77777777">
      <w:pPr>
        <w:spacing w:after="120"/>
        <w:contextualSpacing/>
        <w:rPr>
          <w:color w:val="000000" w:themeColor="text1"/>
        </w:rPr>
      </w:pPr>
    </w:p>
    <w:p w:rsidRPr="007732BF" w:rsidR="003C1AE5" w:rsidP="00013C68" w:rsidRDefault="006C5643" w14:paraId="3F073F84" w14:textId="7CEDBC52">
      <w:pPr>
        <w:spacing w:after="120"/>
        <w:ind w:left="720"/>
        <w:contextualSpacing/>
        <w:rPr>
          <w:color w:val="000000" w:themeColor="text1"/>
        </w:rPr>
      </w:pPr>
      <w:r w:rsidRPr="007732BF">
        <w:rPr>
          <w:color w:val="000000" w:themeColor="text1"/>
        </w:rPr>
        <w:t xml:space="preserve">The interviews will be conducted </w:t>
      </w:r>
      <w:r w:rsidRPr="007732BF" w:rsidR="000947CE">
        <w:rPr>
          <w:color w:val="000000" w:themeColor="text1"/>
        </w:rPr>
        <w:t>online,</w:t>
      </w:r>
      <w:r w:rsidRPr="007732BF">
        <w:rPr>
          <w:color w:val="000000" w:themeColor="text1"/>
        </w:rPr>
        <w:t xml:space="preserve"> and participants must have a computer and broadband Internet to participate. Additionally, we estimate that participants will spend approximately </w:t>
      </w:r>
      <w:r w:rsidRPr="00782F2B">
        <w:rPr>
          <w:color w:val="000000" w:themeColor="text1"/>
        </w:rPr>
        <w:t>80 minutes of their time on this task</w:t>
      </w:r>
      <w:r w:rsidRPr="007732BF">
        <w:rPr>
          <w:color w:val="000000" w:themeColor="text1"/>
        </w:rPr>
        <w:t xml:space="preserve">, which includes time for screening (5 minutes), time for testing the Zoom platform (10 minutes), time to participate in the interview (60 minutes), and the time involved in logging in 5 minutes early to confirm the technology is operating correctly. It is worth emphasizing that during the current pandemic, all research is remote. Thus, the convenience typically associated with virtual (remote) sessions is no longer relevant, and participants do not derive any benefit or </w:t>
      </w:r>
      <w:r w:rsidRPr="007732BF">
        <w:rPr>
          <w:color w:val="000000" w:themeColor="text1"/>
        </w:rPr>
        <w:lastRenderedPageBreak/>
        <w:t>convenience from joining a remote (versus an in-person) interview. Participants are required to join the interview from a location where there are no distractions, which may require coordinating childcare, finding a private and quiet location, or special accommodations during that time. BLS calculated in May 20</w:t>
      </w:r>
      <w:r w:rsidR="000829B5">
        <w:rPr>
          <w:color w:val="000000" w:themeColor="text1"/>
        </w:rPr>
        <w:t>20</w:t>
      </w:r>
      <w:r w:rsidRPr="007732BF">
        <w:rPr>
          <w:color w:val="000000" w:themeColor="text1"/>
        </w:rPr>
        <w:t xml:space="preserve"> that the </w:t>
      </w:r>
      <w:r w:rsidR="000829B5">
        <w:rPr>
          <w:color w:val="000000" w:themeColor="text1"/>
        </w:rPr>
        <w:t>median</w:t>
      </w:r>
      <w:r w:rsidRPr="007732BF" w:rsidR="000829B5">
        <w:rPr>
          <w:color w:val="000000" w:themeColor="text1"/>
        </w:rPr>
        <w:t xml:space="preserve"> </w:t>
      </w:r>
      <w:r w:rsidRPr="007732BF">
        <w:rPr>
          <w:color w:val="000000" w:themeColor="text1"/>
        </w:rPr>
        <w:t>hourly wage of childcare workers is $1</w:t>
      </w:r>
      <w:r w:rsidR="000829B5">
        <w:rPr>
          <w:color w:val="000000" w:themeColor="text1"/>
        </w:rPr>
        <w:t>2</w:t>
      </w:r>
      <w:r w:rsidRPr="007732BF">
        <w:rPr>
          <w:color w:val="000000" w:themeColor="text1"/>
        </w:rPr>
        <w:t>.</w:t>
      </w:r>
      <w:r w:rsidR="000829B5">
        <w:rPr>
          <w:color w:val="000000" w:themeColor="text1"/>
        </w:rPr>
        <w:t>24</w:t>
      </w:r>
      <w:r w:rsidRPr="007732BF">
        <w:rPr>
          <w:color w:val="000000" w:themeColor="text1"/>
        </w:rPr>
        <w:t>, an additional expense for some participants that will be offset by the incentive.</w:t>
      </w:r>
      <w:r w:rsidRPr="007732BF">
        <w:rPr>
          <w:rStyle w:val="FootnoteReference"/>
          <w:color w:val="000000" w:themeColor="text1"/>
          <w:vertAlign w:val="superscript"/>
        </w:rPr>
        <w:footnoteReference w:id="7"/>
      </w:r>
    </w:p>
    <w:p w:rsidRPr="007732BF" w:rsidR="0046354C" w:rsidP="0046354C" w:rsidRDefault="0046354C" w14:paraId="68D61EED" w14:textId="1A51E132">
      <w:pPr>
        <w:ind w:left="720"/>
        <w:rPr>
          <w:color w:val="000000" w:themeColor="text1"/>
        </w:rPr>
      </w:pPr>
    </w:p>
    <w:p w:rsidRPr="007732BF" w:rsidR="00601CA9" w:rsidP="0046354C" w:rsidRDefault="00345028" w14:paraId="5239003F" w14:textId="01CC68EC">
      <w:pPr>
        <w:ind w:left="720"/>
        <w:rPr>
          <w:b/>
          <w:bCs/>
          <w:i/>
          <w:iCs/>
          <w:color w:val="000000" w:themeColor="text1"/>
        </w:rPr>
      </w:pPr>
      <w:r>
        <w:rPr>
          <w:b/>
          <w:bCs/>
          <w:i/>
          <w:iCs/>
          <w:color w:val="000000" w:themeColor="text1"/>
        </w:rPr>
        <w:t>Physician</w:t>
      </w:r>
      <w:r w:rsidRPr="007732BF">
        <w:rPr>
          <w:b/>
          <w:bCs/>
          <w:i/>
          <w:iCs/>
          <w:color w:val="000000" w:themeColor="text1"/>
        </w:rPr>
        <w:t>s</w:t>
      </w:r>
    </w:p>
    <w:p w:rsidRPr="007732BF" w:rsidR="00C20693" w:rsidP="00185136" w:rsidRDefault="00C20693" w14:paraId="380617C2" w14:textId="77777777">
      <w:pPr>
        <w:rPr>
          <w:color w:val="000000" w:themeColor="text1"/>
        </w:rPr>
      </w:pPr>
    </w:p>
    <w:p w:rsidRPr="007732BF" w:rsidR="00AD75DC" w:rsidP="005B0D6D" w:rsidRDefault="00AD75DC" w14:paraId="0DD9D035" w14:textId="62A2DE76">
      <w:pPr>
        <w:pStyle w:val="ListParagraph"/>
        <w:rPr>
          <w:color w:val="000000" w:themeColor="text1"/>
        </w:rPr>
      </w:pPr>
      <w:r w:rsidRPr="007732BF">
        <w:rPr>
          <w:color w:val="000000" w:themeColor="text1"/>
        </w:rPr>
        <w:t>Historically, physicians are one of the most difficult populations to survey, partly because of the demands on their professional time.  Consequently, incentives assume an even greater importance with this group. Several studies have discussed the challenges of conducting research with HCPs and have concluded that offering substantial incentives is necessary to attain high response rates.</w:t>
      </w:r>
      <w:r w:rsidRPr="007732BF" w:rsidR="00013C68">
        <w:rPr>
          <w:rStyle w:val="FootnoteReference"/>
          <w:color w:val="000000" w:themeColor="text1"/>
          <w:vertAlign w:val="superscript"/>
        </w:rPr>
        <w:footnoteReference w:id="8"/>
      </w:r>
      <w:r w:rsidRPr="007732BF" w:rsidR="00013C68">
        <w:rPr>
          <w:color w:val="000000" w:themeColor="text1"/>
          <w:vertAlign w:val="superscript"/>
        </w:rPr>
        <w:t>,</w:t>
      </w:r>
      <w:r w:rsidRPr="007732BF" w:rsidR="00013C68">
        <w:rPr>
          <w:rStyle w:val="FootnoteReference"/>
          <w:color w:val="000000" w:themeColor="text1"/>
          <w:vertAlign w:val="superscript"/>
        </w:rPr>
        <w:footnoteReference w:id="9"/>
      </w:r>
    </w:p>
    <w:p w:rsidRPr="007732BF" w:rsidR="00AD75DC" w:rsidP="005B0D6D" w:rsidRDefault="00AD75DC" w14:paraId="4F590174" w14:textId="18BBD5CF">
      <w:pPr>
        <w:pStyle w:val="ListParagraph"/>
        <w:rPr>
          <w:color w:val="000000" w:themeColor="text1"/>
        </w:rPr>
      </w:pPr>
    </w:p>
    <w:p w:rsidRPr="007732BF" w:rsidR="00787854" w:rsidP="005B0D6D" w:rsidRDefault="00AD75DC" w14:paraId="325C0CBB" w14:textId="3FAE8110">
      <w:pPr>
        <w:pStyle w:val="Default"/>
        <w:ind w:left="720"/>
        <w:rPr>
          <w:rFonts w:ascii="Times New Roman" w:hAnsi="Times New Roman" w:cs="Times New Roman"/>
          <w:color w:val="000000" w:themeColor="text1"/>
        </w:rPr>
      </w:pPr>
      <w:r w:rsidRPr="007732BF">
        <w:rPr>
          <w:rFonts w:ascii="Times New Roman" w:hAnsi="Times New Roman" w:cs="Times New Roman"/>
          <w:color w:val="000000" w:themeColor="text1"/>
        </w:rPr>
        <w:t>Recruiting physicians to participate in research has been shown to be difficult for reasons related primarily to the time burden.</w:t>
      </w:r>
      <w:r w:rsidRPr="007732BF" w:rsidR="00013C68">
        <w:rPr>
          <w:rStyle w:val="FootnoteReference"/>
          <w:rFonts w:ascii="Times New Roman" w:hAnsi="Times New Roman" w:cs="Times New Roman"/>
          <w:color w:val="000000" w:themeColor="text1"/>
          <w:vertAlign w:val="superscript"/>
        </w:rPr>
        <w:footnoteReference w:id="10"/>
      </w:r>
      <w:r w:rsidRPr="007732BF">
        <w:rPr>
          <w:rFonts w:ascii="Times New Roman" w:hAnsi="Times New Roman" w:cs="Times New Roman"/>
          <w:color w:val="000000" w:themeColor="text1"/>
        </w:rPr>
        <w:t xml:space="preserve"> Physicians’ time is limited and, thus, quite valuable. A meta-analysis on methodologies for improving response rates in physician surveys examined 21 studies published between 1981 and 2006 that investigated the effect of monetary incentives on response rates in surveys of physicians. The authors found that the odds of responding to a survey with an incentive were 2.13 times greater than responding to a survey without incentives.</w:t>
      </w:r>
      <w:r w:rsidRPr="007732BF" w:rsidR="00013C68">
        <w:rPr>
          <w:rStyle w:val="FootnoteReference"/>
          <w:rFonts w:ascii="Times New Roman" w:hAnsi="Times New Roman" w:cs="Times New Roman"/>
          <w:color w:val="000000" w:themeColor="text1"/>
          <w:vertAlign w:val="superscript"/>
        </w:rPr>
        <w:footnoteReference w:id="11"/>
      </w:r>
      <w:r w:rsidRPr="007732BF">
        <w:rPr>
          <w:rFonts w:ascii="Times New Roman" w:hAnsi="Times New Roman" w:cs="Times New Roman"/>
          <w:color w:val="000000" w:themeColor="text1"/>
        </w:rPr>
        <w:t xml:space="preserve"> Martins </w:t>
      </w:r>
      <w:r w:rsidRPr="007732BF" w:rsidR="007B689F">
        <w:rPr>
          <w:rFonts w:ascii="Times New Roman" w:hAnsi="Times New Roman" w:cs="Times New Roman"/>
          <w:color w:val="000000" w:themeColor="text1"/>
        </w:rPr>
        <w:t xml:space="preserve">and colleagues </w:t>
      </w:r>
      <w:r w:rsidRPr="007732BF">
        <w:rPr>
          <w:rFonts w:ascii="Times New Roman" w:hAnsi="Times New Roman" w:cs="Times New Roman"/>
          <w:color w:val="000000" w:themeColor="text1"/>
        </w:rPr>
        <w:t>conducted a review of published oncology-focused studies to investigate methods for improving response rates. Their meta-analysis also showed that monetary incentives were effective at increasing response rates.</w:t>
      </w:r>
      <w:r w:rsidRPr="007732BF" w:rsidR="00013C68">
        <w:rPr>
          <w:rStyle w:val="FootnoteReference"/>
          <w:rFonts w:ascii="Times New Roman" w:hAnsi="Times New Roman" w:cs="Times New Roman"/>
          <w:color w:val="000000" w:themeColor="text1"/>
          <w:vertAlign w:val="superscript"/>
        </w:rPr>
        <w:footnoteReference w:id="12"/>
      </w:r>
      <w:r w:rsidRPr="007732BF">
        <w:rPr>
          <w:rFonts w:ascii="Times New Roman" w:hAnsi="Times New Roman" w:cs="Times New Roman"/>
          <w:color w:val="000000" w:themeColor="text1"/>
        </w:rPr>
        <w:t xml:space="preserve"> </w:t>
      </w:r>
      <w:r w:rsidRPr="007732BF" w:rsidR="00787854">
        <w:rPr>
          <w:rFonts w:ascii="Times New Roman" w:hAnsi="Times New Roman" w:cs="Times New Roman"/>
          <w:color w:val="000000" w:themeColor="text1"/>
        </w:rPr>
        <w:t xml:space="preserve">Previous research also suggests that providing incentives may help reduce sampling bias by increasing rates among individuals who are typically less likely to participate in research (such as </w:t>
      </w:r>
      <w:r w:rsidRPr="007732BF" w:rsidR="0079417B">
        <w:rPr>
          <w:rFonts w:ascii="Times New Roman" w:hAnsi="Times New Roman" w:cs="Times New Roman"/>
          <w:color w:val="000000" w:themeColor="text1"/>
        </w:rPr>
        <w:t>PCPs</w:t>
      </w:r>
      <w:r w:rsidRPr="007732BF" w:rsidR="00787854">
        <w:rPr>
          <w:rFonts w:ascii="Times New Roman" w:hAnsi="Times New Roman" w:cs="Times New Roman"/>
          <w:color w:val="000000" w:themeColor="text1"/>
        </w:rPr>
        <w:t xml:space="preserve"> or physician specialists)</w:t>
      </w:r>
      <w:r w:rsidRPr="007732BF" w:rsidR="00013C68">
        <w:rPr>
          <w:rStyle w:val="FootnoteReference"/>
          <w:rFonts w:ascii="Times New Roman" w:hAnsi="Times New Roman" w:cs="Times New Roman"/>
          <w:color w:val="000000" w:themeColor="text1"/>
          <w:vertAlign w:val="superscript"/>
        </w:rPr>
        <w:footnoteReference w:id="13"/>
      </w:r>
      <w:r w:rsidRPr="007732BF" w:rsidR="00013C68">
        <w:rPr>
          <w:rFonts w:ascii="Times New Roman" w:hAnsi="Times New Roman" w:cs="Times New Roman"/>
          <w:color w:val="000000" w:themeColor="text1"/>
          <w:vertAlign w:val="superscript"/>
        </w:rPr>
        <w:t>,</w:t>
      </w:r>
      <w:r w:rsidRPr="007732BF" w:rsidR="00B060F1">
        <w:rPr>
          <w:rStyle w:val="FootnoteReference"/>
          <w:rFonts w:ascii="Times New Roman" w:hAnsi="Times New Roman" w:cs="Times New Roman"/>
          <w:color w:val="000000" w:themeColor="text1"/>
          <w:vertAlign w:val="superscript"/>
        </w:rPr>
        <w:footnoteReference w:id="14"/>
      </w:r>
      <w:r w:rsidRPr="007732BF" w:rsidR="00787854">
        <w:rPr>
          <w:rFonts w:ascii="Times New Roman" w:hAnsi="Times New Roman" w:cs="Times New Roman"/>
          <w:color w:val="000000" w:themeColor="text1"/>
        </w:rPr>
        <w:t xml:space="preserve"> and ensuring participation from a cross section of physicians, which will improve data quality by improving validity and reliability.</w:t>
      </w:r>
    </w:p>
    <w:p w:rsidRPr="007732BF" w:rsidR="00787854" w:rsidP="005B0D6D" w:rsidRDefault="00787854" w14:paraId="10613063" w14:textId="77777777">
      <w:pPr>
        <w:pStyle w:val="ListParagraph"/>
        <w:rPr>
          <w:color w:val="000000" w:themeColor="text1"/>
        </w:rPr>
      </w:pPr>
    </w:p>
    <w:p w:rsidRPr="007732BF" w:rsidR="00787854" w:rsidP="005B0D6D" w:rsidRDefault="00B3555F" w14:paraId="68329E0E" w14:textId="1191947D">
      <w:pPr>
        <w:pStyle w:val="ListParagraph"/>
        <w:rPr>
          <w:color w:val="000000" w:themeColor="text1"/>
        </w:rPr>
      </w:pPr>
      <w:r w:rsidRPr="007732BF">
        <w:rPr>
          <w:color w:val="000000" w:themeColor="text1"/>
        </w:rPr>
        <w:t xml:space="preserve">In the current study, we </w:t>
      </w:r>
      <w:r w:rsidRPr="007732BF" w:rsidR="0066030A">
        <w:rPr>
          <w:color w:val="000000" w:themeColor="text1"/>
        </w:rPr>
        <w:t>will offer</w:t>
      </w:r>
      <w:r w:rsidRPr="007732BF" w:rsidR="00787854">
        <w:rPr>
          <w:color w:val="000000" w:themeColor="text1"/>
        </w:rPr>
        <w:t xml:space="preserve"> </w:t>
      </w:r>
      <w:r w:rsidR="00C866E2">
        <w:rPr>
          <w:color w:val="000000" w:themeColor="text1"/>
        </w:rPr>
        <w:t>an incentive valued at</w:t>
      </w:r>
      <w:r w:rsidRPr="007732BF" w:rsidR="0066030A">
        <w:rPr>
          <w:color w:val="000000" w:themeColor="text1"/>
        </w:rPr>
        <w:t xml:space="preserve"> </w:t>
      </w:r>
      <w:r w:rsidRPr="007732BF" w:rsidR="00EE79A7">
        <w:rPr>
          <w:color w:val="000000" w:themeColor="text1"/>
        </w:rPr>
        <w:t xml:space="preserve">$200 for </w:t>
      </w:r>
      <w:r w:rsidR="00345028">
        <w:rPr>
          <w:color w:val="000000" w:themeColor="text1"/>
        </w:rPr>
        <w:t>physician</w:t>
      </w:r>
      <w:r w:rsidRPr="007732BF" w:rsidR="00601CA9">
        <w:rPr>
          <w:color w:val="000000" w:themeColor="text1"/>
        </w:rPr>
        <w:t>s</w:t>
      </w:r>
      <w:r w:rsidRPr="007732BF" w:rsidR="00EE79A7">
        <w:rPr>
          <w:color w:val="000000" w:themeColor="text1"/>
        </w:rPr>
        <w:t xml:space="preserve"> for one hour of interview time. </w:t>
      </w:r>
      <w:r w:rsidRPr="007732BF" w:rsidR="0066030A">
        <w:rPr>
          <w:color w:val="000000" w:themeColor="text1"/>
        </w:rPr>
        <w:t xml:space="preserve">The proposed incentive amount </w:t>
      </w:r>
      <w:r w:rsidR="00C866E2">
        <w:rPr>
          <w:color w:val="000000" w:themeColor="text1"/>
        </w:rPr>
        <w:t>is</w:t>
      </w:r>
      <w:r w:rsidRPr="007732BF" w:rsidR="00C866E2">
        <w:rPr>
          <w:color w:val="000000" w:themeColor="text1"/>
        </w:rPr>
        <w:t xml:space="preserve"> </w:t>
      </w:r>
      <w:r w:rsidRPr="007732BF" w:rsidR="0066030A">
        <w:rPr>
          <w:color w:val="000000" w:themeColor="text1"/>
        </w:rPr>
        <w:t>below typical market incentive rates</w:t>
      </w:r>
      <w:r w:rsidRPr="007732BF">
        <w:rPr>
          <w:color w:val="000000" w:themeColor="text1"/>
        </w:rPr>
        <w:t xml:space="preserve">. </w:t>
      </w:r>
      <w:r w:rsidRPr="007732BF" w:rsidR="00013C68">
        <w:rPr>
          <w:color w:val="000000" w:themeColor="text1"/>
        </w:rPr>
        <w:lastRenderedPageBreak/>
        <w:t>M</w:t>
      </w:r>
      <w:r w:rsidRPr="007732BF" w:rsidR="0066030A">
        <w:rPr>
          <w:color w:val="000000" w:themeColor="text1"/>
        </w:rPr>
        <w:t xml:space="preserve">arket incentive rates for physicians are approximately $250 to $350 for similar research activities, with higher rates for specialists. </w:t>
      </w:r>
    </w:p>
    <w:p w:rsidRPr="007732BF" w:rsidR="00DA31FF" w:rsidP="0066030A" w:rsidRDefault="00DA31FF" w14:paraId="164489CE" w14:textId="51770558">
      <w:pPr>
        <w:pStyle w:val="ListParagraph"/>
        <w:ind w:left="0"/>
        <w:rPr>
          <w:color w:val="000000" w:themeColor="text1"/>
        </w:rPr>
      </w:pPr>
    </w:p>
    <w:p w:rsidRPr="007732BF" w:rsidR="00013C68" w:rsidP="00013C68" w:rsidRDefault="00B060F1" w14:paraId="5A8496D2" w14:textId="5752E74F">
      <w:pPr>
        <w:ind w:left="720"/>
        <w:rPr>
          <w:b/>
          <w:bCs/>
          <w:i/>
          <w:iCs/>
          <w:color w:val="000000" w:themeColor="text1"/>
        </w:rPr>
      </w:pPr>
      <w:r w:rsidRPr="007732BF">
        <w:rPr>
          <w:b/>
          <w:bCs/>
          <w:i/>
          <w:iCs/>
          <w:color w:val="000000" w:themeColor="text1"/>
        </w:rPr>
        <w:t>Additional Considerations</w:t>
      </w:r>
    </w:p>
    <w:p w:rsidRPr="007732BF" w:rsidR="00013C68" w:rsidP="0066030A" w:rsidRDefault="00013C68" w14:paraId="5E14DFAD" w14:textId="61D5E077">
      <w:pPr>
        <w:pStyle w:val="ListParagraph"/>
        <w:ind w:left="0"/>
        <w:rPr>
          <w:color w:val="000000" w:themeColor="text1"/>
        </w:rPr>
      </w:pPr>
    </w:p>
    <w:p w:rsidRPr="007732BF" w:rsidR="00B060F1" w:rsidP="00B060F1" w:rsidRDefault="00B060F1" w14:paraId="62C68163" w14:textId="22809CE4">
      <w:pPr>
        <w:spacing w:after="120"/>
        <w:ind w:left="720"/>
        <w:contextualSpacing/>
        <w:rPr>
          <w:rFonts w:cstheme="minorHAnsi"/>
          <w:color w:val="000000" w:themeColor="text1"/>
        </w:rPr>
      </w:pPr>
      <w:r w:rsidRPr="007732BF">
        <w:rPr>
          <w:rFonts w:cstheme="minorHAnsi"/>
          <w:color w:val="000000" w:themeColor="text1"/>
        </w:rPr>
        <w:t xml:space="preserve">In </w:t>
      </w:r>
      <w:r w:rsidRPr="007732BF">
        <w:rPr>
          <w:color w:val="000000" w:themeColor="text1"/>
        </w:rPr>
        <w:t>reviewing</w:t>
      </w:r>
      <w:r w:rsidRPr="007732BF">
        <w:rPr>
          <w:rFonts w:cstheme="minorHAnsi"/>
          <w:color w:val="000000" w:themeColor="text1"/>
        </w:rPr>
        <w:t xml:space="preserve"> OMB’s guidance on the factors that may justify paying incentives to research participants, we have determined that the following principles apply:</w:t>
      </w:r>
    </w:p>
    <w:p w:rsidRPr="007732BF" w:rsidR="00B060F1" w:rsidP="00B060F1" w:rsidRDefault="00B060F1" w14:paraId="3B0F8C7A" w14:textId="5E8D0041">
      <w:pPr>
        <w:spacing w:after="120"/>
        <w:ind w:left="720"/>
        <w:contextualSpacing/>
        <w:rPr>
          <w:rFonts w:cstheme="minorHAnsi"/>
          <w:color w:val="000000" w:themeColor="text1"/>
        </w:rPr>
      </w:pPr>
    </w:p>
    <w:p w:rsidR="00B060F1" w:rsidP="00344218" w:rsidRDefault="00B060F1" w14:paraId="30CD7F94" w14:textId="564232CB">
      <w:pPr>
        <w:ind w:left="720"/>
        <w:rPr>
          <w:color w:val="000000" w:themeColor="text1"/>
        </w:rPr>
      </w:pPr>
      <w:r w:rsidRPr="007732BF">
        <w:rPr>
          <w:rFonts w:cstheme="minorHAnsi"/>
          <w:b/>
          <w:bCs/>
          <w:color w:val="000000" w:themeColor="text1"/>
        </w:rPr>
        <w:t xml:space="preserve">Incentives help reduce costs. </w:t>
      </w:r>
      <w:r w:rsidRPr="007732BF">
        <w:rPr>
          <w:color w:val="000000" w:themeColor="text1"/>
        </w:rPr>
        <w:t xml:space="preserve">OMB’s guidance states that “If prior or similar surveys have devoted considerable resources to </w:t>
      </w:r>
      <w:r w:rsidRPr="007732BF">
        <w:rPr>
          <w:rFonts w:cstheme="minorHAnsi"/>
          <w:color w:val="000000" w:themeColor="text1"/>
        </w:rPr>
        <w:t>nonresponse</w:t>
      </w:r>
      <w:r w:rsidRPr="007732BF">
        <w:rPr>
          <w:color w:val="000000" w:themeColor="text1"/>
        </w:rPr>
        <w:t xml:space="preserve"> follow-up, it may be possible to demonstrate that the cost of incentives will be less than the costs of extensive follow-up.”</w:t>
      </w:r>
      <w:r w:rsidRPr="007732BF">
        <w:rPr>
          <w:rStyle w:val="FootnoteReference"/>
          <w:color w:val="000000" w:themeColor="text1"/>
          <w:vertAlign w:val="superscript"/>
        </w:rPr>
        <w:footnoteReference w:id="15"/>
      </w:r>
    </w:p>
    <w:p w:rsidR="00344218" w:rsidP="00B060F1" w:rsidRDefault="00344218" w14:paraId="7501F82B" w14:textId="77777777">
      <w:pPr>
        <w:spacing w:after="120"/>
        <w:ind w:left="720"/>
        <w:rPr>
          <w:rFonts w:cstheme="minorHAnsi"/>
          <w:color w:val="000000" w:themeColor="text1"/>
        </w:rPr>
      </w:pPr>
    </w:p>
    <w:p w:rsidR="00B060F1" w:rsidP="00B060F1" w:rsidRDefault="00B060F1" w14:paraId="56A42F06" w14:textId="287D9676">
      <w:pPr>
        <w:spacing w:after="120"/>
        <w:ind w:left="720"/>
        <w:rPr>
          <w:color w:val="000000" w:themeColor="text1"/>
          <w:shd w:val="clear" w:color="auto" w:fill="FFFFFF"/>
        </w:rPr>
      </w:pPr>
      <w:r w:rsidRPr="007732BF">
        <w:rPr>
          <w:rFonts w:cstheme="minorHAnsi"/>
          <w:color w:val="000000" w:themeColor="text1"/>
        </w:rPr>
        <w:t>E</w:t>
      </w:r>
      <w:r w:rsidRPr="007732BF">
        <w:rPr>
          <w:color w:val="000000" w:themeColor="text1"/>
          <w:shd w:val="clear" w:color="auto" w:fill="FFFFFF"/>
        </w:rPr>
        <w:t xml:space="preserve">vidence demonstrates that monetary incentives have a positive effect on </w:t>
      </w:r>
      <w:r w:rsidRPr="007732BF">
        <w:rPr>
          <w:color w:val="000000" w:themeColor="text1"/>
        </w:rPr>
        <w:t>encouraging survey participation across different research modes and populations.</w:t>
      </w:r>
      <w:r w:rsidRPr="007732BF">
        <w:rPr>
          <w:rStyle w:val="FootnoteReference"/>
          <w:color w:val="000000" w:themeColor="text1"/>
          <w:vertAlign w:val="superscript"/>
        </w:rPr>
        <w:footnoteReference w:id="16"/>
      </w:r>
      <w:r w:rsidRPr="007732BF">
        <w:rPr>
          <w:color w:val="000000" w:themeColor="text1"/>
          <w:vertAlign w:val="superscript"/>
        </w:rPr>
        <w:t>,</w:t>
      </w:r>
      <w:r w:rsidRPr="007732BF">
        <w:rPr>
          <w:rStyle w:val="FootnoteReference"/>
          <w:color w:val="000000" w:themeColor="text1"/>
          <w:vertAlign w:val="superscript"/>
        </w:rPr>
        <w:footnoteReference w:id="17"/>
      </w:r>
      <w:r w:rsidRPr="007732BF">
        <w:rPr>
          <w:color w:val="000000" w:themeColor="text1"/>
          <w:vertAlign w:val="superscript"/>
        </w:rPr>
        <w:t>,</w:t>
      </w:r>
      <w:r w:rsidRPr="007732BF">
        <w:rPr>
          <w:rStyle w:val="FootnoteReference"/>
          <w:color w:val="000000" w:themeColor="text1"/>
          <w:vertAlign w:val="superscript"/>
        </w:rPr>
        <w:footnoteReference w:id="18"/>
      </w:r>
      <w:r w:rsidRPr="007732BF">
        <w:rPr>
          <w:color w:val="000000" w:themeColor="text1"/>
          <w:vertAlign w:val="superscript"/>
        </w:rPr>
        <w:t> </w:t>
      </w:r>
      <w:r w:rsidRPr="007732BF">
        <w:rPr>
          <w:color w:val="000000" w:themeColor="text1"/>
        </w:rPr>
        <w:t>Empirical studies have established that larger incentives (e.g., $100) result in significantly better response rates than smaller ones (e.g., $50, $20).</w:t>
      </w:r>
      <w:r w:rsidRPr="007732BF" w:rsidR="00E76F09">
        <w:rPr>
          <w:rStyle w:val="FootnoteReference"/>
          <w:color w:val="000000" w:themeColor="text1"/>
          <w:vertAlign w:val="superscript"/>
        </w:rPr>
        <w:t>1</w:t>
      </w:r>
      <w:r w:rsidRPr="007732BF" w:rsidR="00E76F09">
        <w:rPr>
          <w:color w:val="000000" w:themeColor="text1"/>
          <w:vertAlign w:val="superscript"/>
        </w:rPr>
        <w:t>7,</w:t>
      </w:r>
      <w:r w:rsidRPr="007732BF" w:rsidR="00E76F09">
        <w:rPr>
          <w:rStyle w:val="FootnoteReference"/>
          <w:color w:val="000000" w:themeColor="text1"/>
          <w:vertAlign w:val="superscript"/>
        </w:rPr>
        <w:footnoteReference w:id="19"/>
      </w:r>
      <w:r w:rsidRPr="007732BF">
        <w:rPr>
          <w:color w:val="000000" w:themeColor="text1"/>
        </w:rPr>
        <w:t xml:space="preserve"> Singer </w:t>
      </w:r>
      <w:r w:rsidRPr="007732BF" w:rsidR="00E76F09">
        <w:rPr>
          <w:color w:val="000000" w:themeColor="text1"/>
        </w:rPr>
        <w:t>and Ye</w:t>
      </w:r>
      <w:r w:rsidRPr="007732BF">
        <w:rPr>
          <w:color w:val="000000" w:themeColor="text1"/>
          <w:vertAlign w:val="superscript"/>
        </w:rPr>
        <w:t>1</w:t>
      </w:r>
      <w:r w:rsidRPr="007732BF" w:rsidR="00E76F09">
        <w:rPr>
          <w:color w:val="000000" w:themeColor="text1"/>
          <w:vertAlign w:val="superscript"/>
        </w:rPr>
        <w:t>6</w:t>
      </w:r>
      <w:r w:rsidRPr="007732BF">
        <w:rPr>
          <w:color w:val="000000" w:themeColor="text1"/>
          <w:vertAlign w:val="superscript"/>
        </w:rPr>
        <w:t xml:space="preserve"> </w:t>
      </w:r>
      <w:r w:rsidRPr="007732BF">
        <w:rPr>
          <w:color w:val="000000" w:themeColor="text1"/>
          <w:shd w:val="clear" w:color="auto" w:fill="FFFFFF"/>
        </w:rPr>
        <w:t>found that each dollar of incentive paid resulted in one-third of a percentage point increase in response rate compared with no incentive.</w:t>
      </w:r>
    </w:p>
    <w:p w:rsidRPr="007732BF" w:rsidR="008F2B08" w:rsidP="00B060F1" w:rsidRDefault="008F2B08" w14:paraId="3C38A29A" w14:textId="77777777">
      <w:pPr>
        <w:spacing w:after="120"/>
        <w:ind w:left="720"/>
        <w:rPr>
          <w:i/>
          <w:iCs/>
          <w:color w:val="000000" w:themeColor="text1"/>
        </w:rPr>
      </w:pPr>
    </w:p>
    <w:p w:rsidRPr="007732BF" w:rsidR="00B060F1" w:rsidP="00B060F1" w:rsidRDefault="00B060F1" w14:paraId="73ACE659" w14:textId="77777777">
      <w:pPr>
        <w:spacing w:after="120"/>
        <w:ind w:left="720"/>
        <w:rPr>
          <w:color w:val="000000" w:themeColor="text1"/>
        </w:rPr>
      </w:pPr>
      <w:r w:rsidRPr="007732BF">
        <w:rPr>
          <w:color w:val="000000" w:themeColor="text1"/>
        </w:rPr>
        <w:t xml:space="preserve">Consequences of insufficient incentives include increased time and cost of recruitment, increased “no-show” rates, and increased probability of cancelled or postponed interviews. </w:t>
      </w:r>
    </w:p>
    <w:p w:rsidR="005C10D9" w:rsidP="00B060F1" w:rsidRDefault="005C10D9" w14:paraId="55738743" w14:textId="77777777">
      <w:pPr>
        <w:spacing w:after="120"/>
        <w:ind w:left="720"/>
        <w:rPr>
          <w:color w:val="000000" w:themeColor="text1"/>
        </w:rPr>
      </w:pPr>
    </w:p>
    <w:p w:rsidR="00B060F1" w:rsidP="00B060F1" w:rsidRDefault="00B060F1" w14:paraId="4B0DD71F" w14:textId="058B8B81">
      <w:pPr>
        <w:spacing w:after="120"/>
        <w:ind w:left="720"/>
        <w:rPr>
          <w:color w:val="000000" w:themeColor="text1"/>
        </w:rPr>
      </w:pPr>
      <w:r w:rsidRPr="007732BF">
        <w:rPr>
          <w:color w:val="000000" w:themeColor="text1"/>
        </w:rPr>
        <w:t xml:space="preserve">During the current pandemic, many people are working from home and experiencing “Zoom fatigue” and getting them to participate in yet one more Zoom call can be difficult. For some health care </w:t>
      </w:r>
      <w:r w:rsidRPr="007732BF">
        <w:rPr>
          <w:rFonts w:cstheme="minorHAnsi"/>
          <w:color w:val="000000" w:themeColor="text1"/>
        </w:rPr>
        <w:t>providers</w:t>
      </w:r>
      <w:r w:rsidRPr="007732BF">
        <w:rPr>
          <w:color w:val="000000" w:themeColor="text1"/>
        </w:rPr>
        <w:t xml:space="preserve">, the pandemic brings additional guidelines for sanitization between patients, potentially reduced staff in the office due to school children being home or absences related to suspected COVID-19 infection and quarantine. </w:t>
      </w:r>
      <w:r w:rsidRPr="007732BF" w:rsidR="000947CE">
        <w:rPr>
          <w:color w:val="000000" w:themeColor="text1"/>
        </w:rPr>
        <w:t>All</w:t>
      </w:r>
      <w:r w:rsidRPr="007732BF">
        <w:rPr>
          <w:color w:val="000000" w:themeColor="text1"/>
        </w:rPr>
        <w:t xml:space="preserve"> these factors increase the workload for available staff. Thus, incentives may need to be higher, to encourage </w:t>
      </w:r>
      <w:r w:rsidR="009E451B">
        <w:rPr>
          <w:color w:val="000000" w:themeColor="text1"/>
        </w:rPr>
        <w:t>physicians</w:t>
      </w:r>
      <w:r w:rsidRPr="007732BF" w:rsidR="009E451B">
        <w:rPr>
          <w:color w:val="000000" w:themeColor="text1"/>
        </w:rPr>
        <w:t xml:space="preserve"> </w:t>
      </w:r>
      <w:r w:rsidRPr="007732BF">
        <w:rPr>
          <w:color w:val="000000" w:themeColor="text1"/>
        </w:rPr>
        <w:t>to set aside the time needed to participate.</w:t>
      </w:r>
    </w:p>
    <w:p w:rsidR="00D062A8" w:rsidP="00B060F1" w:rsidRDefault="00D062A8" w14:paraId="1AEADA69" w14:textId="1F55043E">
      <w:pPr>
        <w:spacing w:after="120"/>
        <w:ind w:left="720"/>
        <w:rPr>
          <w:color w:val="000000" w:themeColor="text1"/>
        </w:rPr>
      </w:pPr>
    </w:p>
    <w:p w:rsidR="00344218" w:rsidP="00B060F1" w:rsidRDefault="00344218" w14:paraId="1B908B7A" w14:textId="13438FB4">
      <w:pPr>
        <w:spacing w:after="120"/>
        <w:ind w:left="720"/>
        <w:rPr>
          <w:color w:val="000000" w:themeColor="text1"/>
        </w:rPr>
      </w:pPr>
    </w:p>
    <w:p w:rsidRPr="007732BF" w:rsidR="00344218" w:rsidP="00B060F1" w:rsidRDefault="00344218" w14:paraId="21ECB1B4" w14:textId="77777777">
      <w:pPr>
        <w:spacing w:after="120"/>
        <w:ind w:left="720"/>
        <w:rPr>
          <w:color w:val="000000" w:themeColor="text1"/>
        </w:rPr>
      </w:pPr>
    </w:p>
    <w:p w:rsidR="00D062A8" w:rsidP="00E76F09" w:rsidRDefault="00D062A8" w14:paraId="58BD1D42" w14:textId="77777777">
      <w:pPr>
        <w:spacing w:after="120"/>
        <w:ind w:left="810"/>
        <w:contextualSpacing/>
        <w:rPr>
          <w:color w:val="000000" w:themeColor="text1"/>
        </w:rPr>
      </w:pPr>
    </w:p>
    <w:p w:rsidR="00D062A8" w:rsidP="00E76F09" w:rsidRDefault="00E76F09" w14:paraId="07AE071B" w14:textId="475E81FC">
      <w:pPr>
        <w:spacing w:after="120"/>
        <w:ind w:left="810"/>
        <w:contextualSpacing/>
        <w:rPr>
          <w:b/>
          <w:bCs/>
          <w:color w:val="000000" w:themeColor="text1"/>
        </w:rPr>
      </w:pPr>
      <w:r w:rsidRPr="007732BF">
        <w:rPr>
          <w:b/>
          <w:bCs/>
          <w:color w:val="000000" w:themeColor="text1"/>
        </w:rPr>
        <w:t>Similar incentive</w:t>
      </w:r>
      <w:r w:rsidRPr="007732BF" w:rsidR="00182D4D">
        <w:rPr>
          <w:b/>
          <w:bCs/>
          <w:color w:val="000000" w:themeColor="text1"/>
        </w:rPr>
        <w:t>s</w:t>
      </w:r>
      <w:r w:rsidRPr="007732BF">
        <w:rPr>
          <w:b/>
          <w:bCs/>
          <w:color w:val="000000" w:themeColor="text1"/>
        </w:rPr>
        <w:t xml:space="preserve"> </w:t>
      </w:r>
      <w:r w:rsidRPr="007732BF" w:rsidR="00182D4D">
        <w:rPr>
          <w:b/>
          <w:bCs/>
          <w:color w:val="000000" w:themeColor="text1"/>
        </w:rPr>
        <w:t>have been</w:t>
      </w:r>
      <w:r w:rsidRPr="007732BF">
        <w:rPr>
          <w:b/>
          <w:bCs/>
          <w:color w:val="000000" w:themeColor="text1"/>
        </w:rPr>
        <w:t xml:space="preserve"> approved under recent OMB packages.</w:t>
      </w:r>
      <w:r w:rsidRPr="007732BF" w:rsidR="00182D4D">
        <w:rPr>
          <w:b/>
          <w:bCs/>
          <w:color w:val="000000" w:themeColor="text1"/>
        </w:rPr>
        <w:t xml:space="preserve"> </w:t>
      </w:r>
      <w:r w:rsidR="00D062A8">
        <w:rPr>
          <w:b/>
          <w:bCs/>
          <w:color w:val="000000" w:themeColor="text1"/>
        </w:rPr>
        <w:t xml:space="preserve"> </w:t>
      </w:r>
    </w:p>
    <w:p w:rsidR="00D062A8" w:rsidP="00E76F09" w:rsidRDefault="00D062A8" w14:paraId="278F4D1E" w14:textId="77777777">
      <w:pPr>
        <w:spacing w:after="120"/>
        <w:ind w:left="810"/>
        <w:contextualSpacing/>
        <w:rPr>
          <w:b/>
          <w:bCs/>
          <w:color w:val="000000" w:themeColor="text1"/>
        </w:rPr>
      </w:pPr>
    </w:p>
    <w:p w:rsidR="00E76F09" w:rsidP="00E76F09" w:rsidRDefault="00E76F09" w14:paraId="61DB05C7" w14:textId="3A53451D">
      <w:pPr>
        <w:spacing w:after="120"/>
        <w:ind w:left="810"/>
        <w:contextualSpacing/>
        <w:rPr>
          <w:color w:val="000000" w:themeColor="text1"/>
          <w:vertAlign w:val="superscript"/>
        </w:rPr>
      </w:pPr>
      <w:r w:rsidRPr="007732BF">
        <w:rPr>
          <w:rFonts w:cstheme="minorHAnsi"/>
          <w:color w:val="000000" w:themeColor="text1"/>
        </w:rPr>
        <w:t>According</w:t>
      </w:r>
      <w:r w:rsidRPr="007732BF">
        <w:rPr>
          <w:color w:val="000000" w:themeColor="text1"/>
        </w:rPr>
        <w:t xml:space="preserve"> to item 76 in the Memorandum for the President’s Management Council, past experience can be utilized to justify a more elevated honorarium: “Agencies may be able to justify the use of incentives by relating past survey experience, results from pretests or pilot tests, or findings from similar studies.</w:t>
      </w:r>
      <w:r w:rsidRPr="007732BF">
        <w:rPr>
          <w:color w:val="000000" w:themeColor="text1"/>
          <w:vertAlign w:val="superscript"/>
        </w:rPr>
        <w:t xml:space="preserve"> </w:t>
      </w:r>
      <w:r w:rsidRPr="007732BF">
        <w:rPr>
          <w:color w:val="000000" w:themeColor="text1"/>
        </w:rPr>
        <w:t>This is especially true where there is evidence of attrition and/or poor prior response rates”.</w:t>
      </w:r>
      <w:r w:rsidRPr="007732BF">
        <w:rPr>
          <w:color w:val="000000" w:themeColor="text1"/>
          <w:vertAlign w:val="superscript"/>
        </w:rPr>
        <w:t>14</w:t>
      </w:r>
    </w:p>
    <w:p w:rsidRPr="007732BF" w:rsidR="00D062A8" w:rsidP="00E76F09" w:rsidRDefault="00D062A8" w14:paraId="7779E143" w14:textId="77777777">
      <w:pPr>
        <w:spacing w:after="120"/>
        <w:ind w:left="810"/>
        <w:contextualSpacing/>
        <w:rPr>
          <w:color w:val="000000" w:themeColor="text1"/>
          <w:vertAlign w:val="superscript"/>
        </w:rPr>
      </w:pPr>
    </w:p>
    <w:p w:rsidRPr="007732BF" w:rsidR="00E76F09" w:rsidP="00E76F09" w:rsidRDefault="00E76F09" w14:paraId="28AC3268" w14:textId="0FAD857B">
      <w:pPr>
        <w:spacing w:after="120"/>
        <w:ind w:left="720"/>
        <w:contextualSpacing/>
        <w:rPr>
          <w:color w:val="000000" w:themeColor="text1"/>
        </w:rPr>
      </w:pPr>
      <w:r w:rsidRPr="007732BF">
        <w:rPr>
          <w:b/>
          <w:bCs/>
          <w:i/>
          <w:iCs/>
          <w:color w:val="000000" w:themeColor="text1"/>
        </w:rPr>
        <w:t>Comparable Approved Incentive Rates for Consumers.</w:t>
      </w:r>
      <w:r w:rsidRPr="007732BF">
        <w:rPr>
          <w:color w:val="000000" w:themeColor="text1"/>
        </w:rPr>
        <w:t xml:space="preserve"> Not only is the proposed incentive of </w:t>
      </w:r>
      <w:r w:rsidR="0054612D">
        <w:rPr>
          <w:color w:val="000000" w:themeColor="text1"/>
        </w:rPr>
        <w:t xml:space="preserve">$50, with the possibility of offering </w:t>
      </w:r>
      <w:r w:rsidRPr="007732BF">
        <w:rPr>
          <w:color w:val="000000" w:themeColor="text1"/>
        </w:rPr>
        <w:t>$75</w:t>
      </w:r>
      <w:r w:rsidR="0054612D">
        <w:rPr>
          <w:color w:val="000000" w:themeColor="text1"/>
        </w:rPr>
        <w:t>,</w:t>
      </w:r>
      <w:r w:rsidRPr="007732BF">
        <w:rPr>
          <w:color w:val="000000" w:themeColor="text1"/>
        </w:rPr>
        <w:t xml:space="preserve"> significantly lower than market rate, </w:t>
      </w:r>
      <w:r w:rsidRPr="007732BF" w:rsidR="000947CE">
        <w:rPr>
          <w:color w:val="000000" w:themeColor="text1"/>
        </w:rPr>
        <w:t>but it</w:t>
      </w:r>
      <w:r w:rsidRPr="007732BF">
        <w:rPr>
          <w:color w:val="000000" w:themeColor="text1"/>
        </w:rPr>
        <w:t xml:space="preserve"> is also consistent with what OMB approved in recent years for remote interviews or focus groups conducted by FDA and other agencies:</w:t>
      </w:r>
    </w:p>
    <w:p w:rsidRPr="007732BF" w:rsidR="00E76F09" w:rsidP="00756B47" w:rsidRDefault="00E76F09" w14:paraId="711676C7" w14:textId="77777777">
      <w:pPr>
        <w:pStyle w:val="ListParagraph"/>
        <w:numPr>
          <w:ilvl w:val="0"/>
          <w:numId w:val="11"/>
        </w:numPr>
        <w:contextualSpacing/>
        <w:rPr>
          <w:color w:val="000000" w:themeColor="text1"/>
        </w:rPr>
      </w:pPr>
      <w:r w:rsidRPr="007732BF">
        <w:rPr>
          <w:i/>
          <w:iCs/>
          <w:color w:val="000000" w:themeColor="text1"/>
        </w:rPr>
        <w:t>FDA Boxed Warnings Study</w:t>
      </w:r>
      <w:r w:rsidRPr="007732BF">
        <w:rPr>
          <w:color w:val="000000" w:themeColor="text1"/>
        </w:rPr>
        <w:t xml:space="preserve"> (OMB exempt because it falls under the 21</w:t>
      </w:r>
      <w:r w:rsidRPr="007732BF">
        <w:rPr>
          <w:color w:val="000000" w:themeColor="text1"/>
          <w:vertAlign w:val="superscript"/>
        </w:rPr>
        <w:t>st</w:t>
      </w:r>
      <w:r w:rsidRPr="007732BF">
        <w:rPr>
          <w:color w:val="000000" w:themeColor="text1"/>
        </w:rPr>
        <w:t xml:space="preserve"> Century Cures Act; 2020)</w:t>
      </w:r>
    </w:p>
    <w:p w:rsidRPr="007732BF" w:rsidR="00E76F09" w:rsidP="00756B47" w:rsidRDefault="00E76F09" w14:paraId="05D79693" w14:textId="77777777">
      <w:pPr>
        <w:pStyle w:val="ListParagraph"/>
        <w:numPr>
          <w:ilvl w:val="1"/>
          <w:numId w:val="11"/>
        </w:numPr>
        <w:ind w:left="2250"/>
        <w:contextualSpacing/>
        <w:rPr>
          <w:color w:val="000000" w:themeColor="text1"/>
        </w:rPr>
      </w:pPr>
      <w:r w:rsidRPr="007732BF">
        <w:rPr>
          <w:color w:val="000000" w:themeColor="text1"/>
        </w:rPr>
        <w:t>$50 incentive for 30-minute remote interviews (</w:t>
      </w:r>
      <w:r w:rsidRPr="007732BF">
        <w:rPr>
          <w:i/>
          <w:iCs/>
          <w:color w:val="000000" w:themeColor="text1"/>
        </w:rPr>
        <w:t>which would translate to $100 for 60-minute interview</w:t>
      </w:r>
      <w:r w:rsidRPr="007732BF">
        <w:rPr>
          <w:color w:val="000000" w:themeColor="text1"/>
        </w:rPr>
        <w:t xml:space="preserve">) </w:t>
      </w:r>
    </w:p>
    <w:p w:rsidRPr="007732BF" w:rsidR="00E76F09" w:rsidP="00756B47" w:rsidRDefault="00E76F09" w14:paraId="3AB836A2" w14:textId="6493B701">
      <w:pPr>
        <w:pStyle w:val="ListParagraph"/>
        <w:numPr>
          <w:ilvl w:val="0"/>
          <w:numId w:val="11"/>
        </w:numPr>
        <w:contextualSpacing/>
        <w:rPr>
          <w:color w:val="000000" w:themeColor="text1"/>
        </w:rPr>
      </w:pPr>
      <w:r w:rsidRPr="007732BF">
        <w:rPr>
          <w:i/>
          <w:color w:val="000000" w:themeColor="text1"/>
        </w:rPr>
        <w:t>Consumer Financial Protection</w:t>
      </w:r>
      <w:r w:rsidRPr="007732BF">
        <w:rPr>
          <w:iCs/>
          <w:color w:val="000000" w:themeColor="text1"/>
        </w:rPr>
        <w:t xml:space="preserve"> </w:t>
      </w:r>
      <w:r w:rsidRPr="007732BF">
        <w:rPr>
          <w:i/>
          <w:color w:val="000000" w:themeColor="text1"/>
        </w:rPr>
        <w:t>Bureau</w:t>
      </w:r>
      <w:r w:rsidRPr="007732BF">
        <w:rPr>
          <w:iCs/>
          <w:color w:val="000000" w:themeColor="text1"/>
        </w:rPr>
        <w:t xml:space="preserve"> </w:t>
      </w:r>
      <w:r w:rsidRPr="007732BF">
        <w:rPr>
          <w:i/>
          <w:iCs/>
          <w:color w:val="000000" w:themeColor="text1"/>
        </w:rPr>
        <w:t>Consumer Response Intake Form Improvement Study, Second Iteration (Intake Form Improvement Study II)</w:t>
      </w:r>
      <w:r w:rsidRPr="007732BF">
        <w:rPr>
          <w:color w:val="000000" w:themeColor="text1"/>
        </w:rPr>
        <w:t xml:space="preserve"> (OMB Control number 3170-0042; 2017)</w:t>
      </w:r>
    </w:p>
    <w:p w:rsidRPr="007732BF" w:rsidR="00E76F09" w:rsidP="00756B47" w:rsidRDefault="00E76F09" w14:paraId="4814A54A" w14:textId="77777777">
      <w:pPr>
        <w:pStyle w:val="ListParagraph"/>
        <w:numPr>
          <w:ilvl w:val="1"/>
          <w:numId w:val="11"/>
        </w:numPr>
        <w:spacing w:after="120"/>
        <w:ind w:left="2250"/>
        <w:contextualSpacing/>
        <w:rPr>
          <w:color w:val="000000" w:themeColor="text1"/>
        </w:rPr>
      </w:pPr>
      <w:r w:rsidRPr="007732BF">
        <w:rPr>
          <w:color w:val="000000" w:themeColor="text1"/>
        </w:rPr>
        <w:t>$75 for 60-minute remote interviews</w:t>
      </w:r>
    </w:p>
    <w:p w:rsidRPr="007732BF" w:rsidR="00E76F09" w:rsidP="00756B47" w:rsidRDefault="00E76F09" w14:paraId="5B15E9D0" w14:textId="14E2ADC4">
      <w:pPr>
        <w:pStyle w:val="ListParagraph"/>
        <w:numPr>
          <w:ilvl w:val="0"/>
          <w:numId w:val="11"/>
        </w:numPr>
        <w:contextualSpacing/>
        <w:rPr>
          <w:color w:val="000000" w:themeColor="text1"/>
        </w:rPr>
      </w:pPr>
      <w:r w:rsidRPr="007732BF">
        <w:rPr>
          <w:i/>
          <w:iCs/>
          <w:color w:val="000000" w:themeColor="text1"/>
        </w:rPr>
        <w:t>FDA Accelerated Approval Process</w:t>
      </w:r>
      <w:r w:rsidRPr="007732BF">
        <w:rPr>
          <w:b/>
          <w:bCs/>
          <w:i/>
          <w:iCs/>
          <w:color w:val="000000" w:themeColor="text1"/>
        </w:rPr>
        <w:t xml:space="preserve"> </w:t>
      </w:r>
      <w:r w:rsidRPr="007732BF">
        <w:rPr>
          <w:i/>
          <w:iCs/>
          <w:color w:val="000000" w:themeColor="text1"/>
        </w:rPr>
        <w:t>(under generic OMB Control Number 0910-049; 2018)</w:t>
      </w:r>
    </w:p>
    <w:p w:rsidR="00E76F09" w:rsidP="00CB6695" w:rsidRDefault="00E76F09" w14:paraId="48DC93F2" w14:textId="4D642343">
      <w:pPr>
        <w:pStyle w:val="ListParagraph"/>
        <w:numPr>
          <w:ilvl w:val="1"/>
          <w:numId w:val="11"/>
        </w:numPr>
        <w:spacing w:after="120"/>
        <w:ind w:left="2250"/>
        <w:contextualSpacing/>
        <w:rPr>
          <w:color w:val="000000" w:themeColor="text1"/>
        </w:rPr>
      </w:pPr>
      <w:r w:rsidRPr="007732BF">
        <w:rPr>
          <w:color w:val="000000" w:themeColor="text1"/>
        </w:rPr>
        <w:t xml:space="preserve">$75 for 60 minutes with general population consumers </w:t>
      </w:r>
    </w:p>
    <w:p w:rsidRPr="00A43203" w:rsidR="00CB6695" w:rsidP="00CB6695" w:rsidRDefault="00CB6695" w14:paraId="6CB23F35" w14:textId="77777777">
      <w:pPr>
        <w:pStyle w:val="ListParagraph"/>
        <w:numPr>
          <w:ilvl w:val="0"/>
          <w:numId w:val="11"/>
        </w:numPr>
        <w:spacing w:after="200" w:line="276" w:lineRule="auto"/>
        <w:contextualSpacing/>
      </w:pPr>
      <w:r w:rsidRPr="00A43203">
        <w:rPr>
          <w:i/>
          <w:iCs/>
        </w:rPr>
        <w:t>Study of Oncology Indications in Direct-to-Consumer Television Advertising</w:t>
      </w:r>
      <w:r w:rsidRPr="00A43203">
        <w:t xml:space="preserve"> </w:t>
      </w:r>
      <w:r w:rsidRPr="00A43203">
        <w:rPr>
          <w:rFonts w:eastAsiaTheme="minorHAnsi"/>
        </w:rPr>
        <w:t>(OMB control number 0910-0885; 2020)</w:t>
      </w:r>
    </w:p>
    <w:p w:rsidR="00CB6695" w:rsidP="002755F6" w:rsidRDefault="00CB6695" w14:paraId="0D2FD369" w14:textId="5AA2E292">
      <w:pPr>
        <w:pStyle w:val="ListParagraph"/>
        <w:numPr>
          <w:ilvl w:val="1"/>
          <w:numId w:val="11"/>
        </w:numPr>
        <w:spacing w:after="200" w:line="276" w:lineRule="auto"/>
        <w:ind w:left="2250"/>
        <w:contextualSpacing/>
      </w:pPr>
      <w:r w:rsidRPr="00A43203">
        <w:t>$50 for 60-minute remote cognitive interviews</w:t>
      </w:r>
    </w:p>
    <w:p w:rsidRPr="00B025BD" w:rsidR="00CB6695" w:rsidP="00CB6695" w:rsidRDefault="00CB6695" w14:paraId="6635503F" w14:textId="77777777">
      <w:pPr>
        <w:pStyle w:val="ListParagraph"/>
        <w:numPr>
          <w:ilvl w:val="0"/>
          <w:numId w:val="11"/>
        </w:numPr>
        <w:contextualSpacing/>
      </w:pPr>
      <w:r w:rsidRPr="00A43203">
        <w:rPr>
          <w:i/>
          <w:iCs/>
        </w:rPr>
        <w:t>FDA Biosimilars Patient Study</w:t>
      </w:r>
      <w:r w:rsidRPr="00B025BD">
        <w:t xml:space="preserve"> (OMB control number 0910-0695; 2019)</w:t>
      </w:r>
    </w:p>
    <w:p w:rsidRPr="00B025BD" w:rsidR="00CB6695" w:rsidP="00CB6695" w:rsidRDefault="00CB6695" w14:paraId="26545DF3" w14:textId="54E5907E">
      <w:pPr>
        <w:pStyle w:val="ListParagraph"/>
        <w:numPr>
          <w:ilvl w:val="1"/>
          <w:numId w:val="11"/>
        </w:numPr>
        <w:spacing w:after="120"/>
        <w:ind w:left="2250"/>
        <w:contextualSpacing/>
      </w:pPr>
      <w:r w:rsidRPr="00B025BD">
        <w:t>$75 incentive for 90-minute virtual focus groups</w:t>
      </w:r>
      <w:r>
        <w:t xml:space="preserve"> </w:t>
      </w:r>
      <w:r w:rsidRPr="00CB6695">
        <w:rPr>
          <w:i/>
          <w:iCs/>
        </w:rPr>
        <w:t>(</w:t>
      </w:r>
      <w:r>
        <w:rPr>
          <w:i/>
          <w:iCs/>
        </w:rPr>
        <w:t xml:space="preserve">which translates to </w:t>
      </w:r>
      <w:r w:rsidRPr="00CB6695">
        <w:rPr>
          <w:i/>
          <w:iCs/>
        </w:rPr>
        <w:t xml:space="preserve">$50 for 60-minute </w:t>
      </w:r>
      <w:r>
        <w:rPr>
          <w:i/>
          <w:iCs/>
        </w:rPr>
        <w:t>virtual focus group</w:t>
      </w:r>
      <w:r>
        <w:t>)</w:t>
      </w:r>
    </w:p>
    <w:p w:rsidRPr="00B025BD" w:rsidR="00CB6695" w:rsidP="00CB6695" w:rsidRDefault="00CB6695" w14:paraId="0DA4FDAF" w14:textId="77777777">
      <w:pPr>
        <w:pStyle w:val="ListParagraph"/>
        <w:numPr>
          <w:ilvl w:val="0"/>
          <w:numId w:val="11"/>
        </w:numPr>
        <w:contextualSpacing/>
      </w:pPr>
      <w:r w:rsidRPr="00B025BD">
        <w:rPr>
          <w:i/>
          <w:iCs/>
        </w:rPr>
        <w:t>Studies to Enhance FDA Communications Addressing Opioids and Other Potentially Addictive Pain Medications</w:t>
      </w:r>
      <w:r w:rsidRPr="00B025BD">
        <w:rPr>
          <w:b/>
          <w:bCs/>
        </w:rPr>
        <w:t xml:space="preserve"> </w:t>
      </w:r>
      <w:r w:rsidRPr="00B025BD">
        <w:t>(OMB control number 0910-0695; 2016)</w:t>
      </w:r>
    </w:p>
    <w:p w:rsidRPr="00B025BD" w:rsidR="00CB6695" w:rsidP="00CB6695" w:rsidRDefault="00CB6695" w14:paraId="0DA4E437" w14:textId="430A553F">
      <w:pPr>
        <w:pStyle w:val="ListParagraph"/>
        <w:numPr>
          <w:ilvl w:val="1"/>
          <w:numId w:val="11"/>
        </w:numPr>
        <w:spacing w:after="120"/>
        <w:ind w:left="2250"/>
        <w:contextualSpacing/>
      </w:pPr>
      <w:r w:rsidRPr="00B025BD">
        <w:t>$75 incentive for 90-minute virtual focus groups</w:t>
      </w:r>
      <w:r>
        <w:t xml:space="preserve"> </w:t>
      </w:r>
      <w:r w:rsidRPr="00CB6695">
        <w:rPr>
          <w:i/>
          <w:iCs/>
        </w:rPr>
        <w:t>(</w:t>
      </w:r>
      <w:r>
        <w:rPr>
          <w:i/>
          <w:iCs/>
        </w:rPr>
        <w:t xml:space="preserve">which translates to </w:t>
      </w:r>
      <w:r w:rsidRPr="00CB6695">
        <w:rPr>
          <w:i/>
          <w:iCs/>
        </w:rPr>
        <w:t xml:space="preserve">$50 for 60-minute </w:t>
      </w:r>
      <w:r>
        <w:rPr>
          <w:i/>
          <w:iCs/>
        </w:rPr>
        <w:t>virtual focus group</w:t>
      </w:r>
      <w:r>
        <w:t>)</w:t>
      </w:r>
    </w:p>
    <w:p w:rsidRPr="00B025BD" w:rsidR="00CB6695" w:rsidP="00CB6695" w:rsidRDefault="00CB6695" w14:paraId="07290922" w14:textId="77777777">
      <w:pPr>
        <w:spacing w:after="120"/>
        <w:ind w:left="720"/>
        <w:contextualSpacing/>
      </w:pPr>
      <w:r w:rsidRPr="00B025BD">
        <w:t>Examples of the tiered</w:t>
      </w:r>
      <w:r>
        <w:t xml:space="preserve"> </w:t>
      </w:r>
      <w:r w:rsidRPr="00B025BD">
        <w:t>strategy of using a lower incentive amount and increasing it if recruiting proves difficult:</w:t>
      </w:r>
    </w:p>
    <w:p w:rsidR="00CB6695" w:rsidP="0021568C" w:rsidRDefault="00CB6695" w14:paraId="4C501685" w14:textId="77777777">
      <w:pPr>
        <w:pStyle w:val="ListParagraph"/>
        <w:numPr>
          <w:ilvl w:val="0"/>
          <w:numId w:val="11"/>
        </w:numPr>
        <w:contextualSpacing/>
      </w:pPr>
      <w:r w:rsidRPr="00B025BD">
        <w:t xml:space="preserve">A similar tiered strategy was approved by OMB in 2017 for the Centers for Disease Control and Prevention’s </w:t>
      </w:r>
      <w:r w:rsidRPr="00B025BD">
        <w:rPr>
          <w:i/>
        </w:rPr>
        <w:t>Formative Research to Develop HIV Social Marketing Campaigns for Healthcare Providers</w:t>
      </w:r>
      <w:r w:rsidRPr="00B025BD">
        <w:t xml:space="preserve"> (OMB No. 0920-1182).</w:t>
      </w:r>
    </w:p>
    <w:p w:rsidRPr="0006607C" w:rsidR="00CB6695" w:rsidP="0021568C" w:rsidRDefault="00CB6695" w14:paraId="377CDCDC" w14:textId="77777777">
      <w:pPr>
        <w:pStyle w:val="ListParagraph"/>
        <w:numPr>
          <w:ilvl w:val="0"/>
          <w:numId w:val="11"/>
        </w:numPr>
        <w:contextualSpacing/>
      </w:pPr>
      <w:r w:rsidRPr="00B025BD">
        <w:t xml:space="preserve">A similar strategy was also used successfully in 2019 on the </w:t>
      </w:r>
      <w:r w:rsidRPr="00A215B4">
        <w:rPr>
          <w:i/>
          <w:iCs/>
        </w:rPr>
        <w:t>Health Care Providers’ Understanding of Opioid Analgesic Abuse-Deterrent Formulations: Focus Groups</w:t>
      </w:r>
      <w:r w:rsidRPr="00B025BD">
        <w:t xml:space="preserve"> (OMB control number-010-0847) for which iTracks was the recruiter.</w:t>
      </w:r>
    </w:p>
    <w:p w:rsidRPr="00CB6695" w:rsidR="00CB6695" w:rsidP="00CB6695" w:rsidRDefault="00CB6695" w14:paraId="15A9932A" w14:textId="77777777">
      <w:pPr>
        <w:spacing w:after="120"/>
        <w:contextualSpacing/>
        <w:rPr>
          <w:color w:val="000000" w:themeColor="text1"/>
        </w:rPr>
      </w:pPr>
    </w:p>
    <w:p w:rsidRPr="007732BF" w:rsidR="00E76F09" w:rsidP="00344218" w:rsidRDefault="00E76F09" w14:paraId="7DED97BD" w14:textId="76A25DDB">
      <w:pPr>
        <w:ind w:left="720"/>
        <w:contextualSpacing/>
        <w:rPr>
          <w:color w:val="000000" w:themeColor="text1"/>
        </w:rPr>
      </w:pPr>
      <w:r w:rsidRPr="007732BF">
        <w:rPr>
          <w:b/>
          <w:bCs/>
          <w:i/>
          <w:iCs/>
          <w:color w:val="000000" w:themeColor="text1"/>
        </w:rPr>
        <w:lastRenderedPageBreak/>
        <w:t xml:space="preserve">Comparable Approved Incentive Rates for </w:t>
      </w:r>
      <w:r w:rsidR="003F7090">
        <w:rPr>
          <w:b/>
          <w:bCs/>
          <w:i/>
          <w:iCs/>
          <w:color w:val="000000" w:themeColor="text1"/>
        </w:rPr>
        <w:t>Physician</w:t>
      </w:r>
      <w:r w:rsidRPr="007732BF" w:rsidR="003F7090">
        <w:rPr>
          <w:b/>
          <w:bCs/>
          <w:i/>
          <w:iCs/>
          <w:color w:val="000000" w:themeColor="text1"/>
        </w:rPr>
        <w:t>s</w:t>
      </w:r>
      <w:r w:rsidRPr="007732BF">
        <w:rPr>
          <w:b/>
          <w:bCs/>
          <w:i/>
          <w:iCs/>
          <w:color w:val="000000" w:themeColor="text1"/>
        </w:rPr>
        <w:t xml:space="preserve">. </w:t>
      </w:r>
      <w:r w:rsidRPr="007732BF">
        <w:rPr>
          <w:color w:val="000000" w:themeColor="text1"/>
        </w:rPr>
        <w:t xml:space="preserve">The proposed $200 incentive for </w:t>
      </w:r>
      <w:r w:rsidR="003F7090">
        <w:rPr>
          <w:color w:val="000000" w:themeColor="text1"/>
        </w:rPr>
        <w:t>physicians</w:t>
      </w:r>
      <w:r w:rsidRPr="007732BF">
        <w:rPr>
          <w:color w:val="000000" w:themeColor="text1"/>
        </w:rPr>
        <w:t xml:space="preserve"> is </w:t>
      </w:r>
      <w:r w:rsidR="00470297">
        <w:rPr>
          <w:color w:val="000000" w:themeColor="text1"/>
        </w:rPr>
        <w:t xml:space="preserve">less </w:t>
      </w:r>
      <w:r w:rsidRPr="007732BF">
        <w:rPr>
          <w:color w:val="000000" w:themeColor="text1"/>
        </w:rPr>
        <w:t>than has been offered on several other recent FDA studies with providers:</w:t>
      </w:r>
    </w:p>
    <w:p w:rsidRPr="007732BF" w:rsidR="00182D4D" w:rsidP="00756B47" w:rsidRDefault="00182D4D" w14:paraId="1B2A5B97" w14:textId="0864AF43">
      <w:pPr>
        <w:pStyle w:val="ListParagraph"/>
        <w:numPr>
          <w:ilvl w:val="0"/>
          <w:numId w:val="13"/>
        </w:numPr>
        <w:spacing w:after="200"/>
        <w:ind w:left="1800"/>
        <w:contextualSpacing/>
        <w:rPr>
          <w:color w:val="000000" w:themeColor="text1"/>
        </w:rPr>
      </w:pPr>
      <w:r w:rsidRPr="007732BF">
        <w:rPr>
          <w:i/>
          <w:iCs/>
          <w:color w:val="000000" w:themeColor="text1"/>
        </w:rPr>
        <w:t>FDA Multiple Indications</w:t>
      </w:r>
      <w:r w:rsidRPr="007732BF">
        <w:rPr>
          <w:color w:val="000000" w:themeColor="text1"/>
        </w:rPr>
        <w:t xml:space="preserve"> (OMB No. 0910-0695; 2019)</w:t>
      </w:r>
    </w:p>
    <w:p w:rsidRPr="007732BF" w:rsidR="00182D4D" w:rsidP="00756B47" w:rsidRDefault="00182D4D" w14:paraId="43085DF0" w14:textId="77777777">
      <w:pPr>
        <w:pStyle w:val="ListParagraph"/>
        <w:numPr>
          <w:ilvl w:val="1"/>
          <w:numId w:val="13"/>
        </w:numPr>
        <w:spacing w:after="200"/>
        <w:ind w:left="2160"/>
        <w:contextualSpacing/>
        <w:rPr>
          <w:color w:val="000000" w:themeColor="text1"/>
        </w:rPr>
      </w:pPr>
      <w:r w:rsidRPr="007732BF">
        <w:rPr>
          <w:color w:val="000000" w:themeColor="text1"/>
        </w:rPr>
        <w:t>Primary care providers received $200 and specialists $300 for participating in 60-minute interviews</w:t>
      </w:r>
    </w:p>
    <w:p w:rsidRPr="007732BF" w:rsidR="00E76F09" w:rsidP="00756B47" w:rsidRDefault="00182D4D" w14:paraId="1EE31823" w14:textId="6F1807CF">
      <w:pPr>
        <w:pStyle w:val="ListParagraph"/>
        <w:numPr>
          <w:ilvl w:val="0"/>
          <w:numId w:val="13"/>
        </w:numPr>
        <w:spacing w:after="200"/>
        <w:ind w:left="1800"/>
        <w:contextualSpacing/>
        <w:rPr>
          <w:color w:val="000000" w:themeColor="text1"/>
        </w:rPr>
      </w:pPr>
      <w:bookmarkStart w:name="_Hlk183766" w:id="11"/>
      <w:r w:rsidRPr="007732BF">
        <w:rPr>
          <w:i/>
          <w:iCs/>
          <w:color w:val="000000" w:themeColor="text1"/>
        </w:rPr>
        <w:t xml:space="preserve">FDA Testing Communications on Biological Products </w:t>
      </w:r>
      <w:r w:rsidRPr="007732BF" w:rsidR="00E76F09">
        <w:rPr>
          <w:color w:val="000000" w:themeColor="text1"/>
        </w:rPr>
        <w:t>(OMB No. 0910-0687</w:t>
      </w:r>
      <w:r w:rsidRPr="007732BF">
        <w:rPr>
          <w:color w:val="000000" w:themeColor="text1"/>
        </w:rPr>
        <w:t xml:space="preserve">; </w:t>
      </w:r>
      <w:r w:rsidRPr="007732BF" w:rsidR="00E76F09">
        <w:rPr>
          <w:color w:val="000000" w:themeColor="text1"/>
        </w:rPr>
        <w:t>2015)</w:t>
      </w:r>
      <w:bookmarkStart w:name="_Hlk184406" w:id="12"/>
      <w:bookmarkEnd w:id="11"/>
    </w:p>
    <w:p w:rsidRPr="007732BF" w:rsidR="00182D4D" w:rsidP="00756B47" w:rsidRDefault="00182D4D" w14:paraId="07F07C2D" w14:textId="543CF27A">
      <w:pPr>
        <w:pStyle w:val="ListParagraph"/>
        <w:numPr>
          <w:ilvl w:val="1"/>
          <w:numId w:val="13"/>
        </w:numPr>
        <w:spacing w:after="200"/>
        <w:ind w:left="2160"/>
        <w:contextualSpacing/>
        <w:rPr>
          <w:color w:val="000000" w:themeColor="text1"/>
        </w:rPr>
      </w:pPr>
      <w:r w:rsidRPr="007732BF">
        <w:rPr>
          <w:color w:val="000000" w:themeColor="text1"/>
        </w:rPr>
        <w:t xml:space="preserve">Specialists received incentives of $250 for participating in </w:t>
      </w:r>
      <w:r w:rsidRPr="007732BF" w:rsidR="00756B47">
        <w:rPr>
          <w:color w:val="000000" w:themeColor="text1"/>
        </w:rPr>
        <w:t xml:space="preserve">60-minute </w:t>
      </w:r>
      <w:r w:rsidRPr="007732BF">
        <w:rPr>
          <w:color w:val="000000" w:themeColor="text1"/>
        </w:rPr>
        <w:t>interviews</w:t>
      </w:r>
    </w:p>
    <w:p w:rsidRPr="007732BF" w:rsidR="00E76F09" w:rsidP="00756B47" w:rsidRDefault="00E76F09" w14:paraId="0921AE8A" w14:textId="1DD75ED4">
      <w:pPr>
        <w:pStyle w:val="ListParagraph"/>
        <w:numPr>
          <w:ilvl w:val="0"/>
          <w:numId w:val="13"/>
        </w:numPr>
        <w:spacing w:after="200"/>
        <w:ind w:left="1800"/>
        <w:contextualSpacing/>
        <w:rPr>
          <w:color w:val="000000" w:themeColor="text1"/>
        </w:rPr>
      </w:pPr>
      <w:r w:rsidRPr="007732BF">
        <w:rPr>
          <w:i/>
          <w:color w:val="000000" w:themeColor="text1"/>
        </w:rPr>
        <w:t xml:space="preserve">Generic Drug Substitution in Special Populations </w:t>
      </w:r>
      <w:r w:rsidRPr="007732BF">
        <w:rPr>
          <w:color w:val="000000" w:themeColor="text1"/>
        </w:rPr>
        <w:t>study</w:t>
      </w:r>
      <w:bookmarkEnd w:id="12"/>
      <w:r w:rsidRPr="007732BF">
        <w:rPr>
          <w:color w:val="000000" w:themeColor="text1"/>
        </w:rPr>
        <w:t xml:space="preserve"> (OMB No. 0910-0677; 2017)</w:t>
      </w:r>
    </w:p>
    <w:p w:rsidRPr="007732BF" w:rsidR="00182D4D" w:rsidP="00756B47" w:rsidRDefault="00182D4D" w14:paraId="1A4880E3" w14:textId="412F2051">
      <w:pPr>
        <w:pStyle w:val="ListParagraph"/>
        <w:numPr>
          <w:ilvl w:val="1"/>
          <w:numId w:val="13"/>
        </w:numPr>
        <w:spacing w:after="200"/>
        <w:ind w:left="2160"/>
        <w:contextualSpacing/>
        <w:rPr>
          <w:color w:val="000000" w:themeColor="text1"/>
        </w:rPr>
      </w:pPr>
      <w:r w:rsidRPr="007732BF">
        <w:rPr>
          <w:color w:val="000000" w:themeColor="text1"/>
        </w:rPr>
        <w:t>Specialists received $250 incentives for participating in a one-hour focus group</w:t>
      </w:r>
    </w:p>
    <w:p w:rsidRPr="007732BF" w:rsidR="00E76F09" w:rsidP="00756B47" w:rsidRDefault="00182D4D" w14:paraId="6C31A3F8" w14:textId="4D47DF29">
      <w:pPr>
        <w:pStyle w:val="ListParagraph"/>
        <w:numPr>
          <w:ilvl w:val="0"/>
          <w:numId w:val="13"/>
        </w:numPr>
        <w:spacing w:after="200"/>
        <w:ind w:left="1800"/>
        <w:contextualSpacing/>
        <w:rPr>
          <w:color w:val="000000" w:themeColor="text1"/>
        </w:rPr>
      </w:pPr>
      <w:r w:rsidRPr="007732BF">
        <w:rPr>
          <w:i/>
          <w:color w:val="000000" w:themeColor="text1"/>
        </w:rPr>
        <w:t xml:space="preserve">Studies to Enhance </w:t>
      </w:r>
      <w:r w:rsidRPr="007732BF" w:rsidR="00E76F09">
        <w:rPr>
          <w:i/>
          <w:color w:val="000000" w:themeColor="text1"/>
        </w:rPr>
        <w:t>FDA Communications Addressing Opioids and Other Potentially Addictive Pain Medications</w:t>
      </w:r>
      <w:r w:rsidRPr="007732BF" w:rsidR="00E76F09">
        <w:rPr>
          <w:color w:val="000000" w:themeColor="text1"/>
        </w:rPr>
        <w:t xml:space="preserve"> (OMB No. 0910-0695; 2016)</w:t>
      </w:r>
    </w:p>
    <w:p w:rsidRPr="007732BF" w:rsidR="00182D4D" w:rsidP="00756B47" w:rsidRDefault="00182D4D" w14:paraId="058B7EAA" w14:textId="5D6DC9AB">
      <w:pPr>
        <w:pStyle w:val="ListParagraph"/>
        <w:numPr>
          <w:ilvl w:val="1"/>
          <w:numId w:val="13"/>
        </w:numPr>
        <w:spacing w:after="200"/>
        <w:ind w:left="2160"/>
        <w:contextualSpacing/>
        <w:rPr>
          <w:color w:val="000000" w:themeColor="text1"/>
        </w:rPr>
      </w:pPr>
      <w:r w:rsidRPr="007732BF">
        <w:rPr>
          <w:color w:val="000000" w:themeColor="text1"/>
        </w:rPr>
        <w:t>Specialists received $250 for participating in 60-minute telephone interviews</w:t>
      </w:r>
    </w:p>
    <w:p w:rsidRPr="007732BF" w:rsidR="009542F7" w:rsidP="00344218" w:rsidRDefault="009542F7" w14:paraId="63BB003D" w14:textId="2F7277F3">
      <w:pPr>
        <w:spacing w:after="120"/>
        <w:ind w:left="720"/>
        <w:contextualSpacing/>
        <w:rPr>
          <w:color w:val="000000" w:themeColor="text1"/>
        </w:rPr>
      </w:pPr>
      <w:r w:rsidRPr="007732BF">
        <w:rPr>
          <w:b/>
          <w:bCs/>
          <w:color w:val="000000" w:themeColor="text1"/>
        </w:rPr>
        <w:t xml:space="preserve">Incentives improve data quality. </w:t>
      </w:r>
      <w:r w:rsidRPr="007732BF">
        <w:rPr>
          <w:color w:val="000000" w:themeColor="text1"/>
        </w:rPr>
        <w:t>OMB’s guidance states that a “justification for requesting use of an incentive is improvement in data quality. For example, agencies may be able to provide evidence that, because of an increase in response rates, an incentive will significantly improve validity and reliability to an extent beyond that possible through other means”.</w:t>
      </w:r>
      <w:r w:rsidRPr="007732BF">
        <w:rPr>
          <w:color w:val="000000" w:themeColor="text1"/>
          <w:vertAlign w:val="superscript"/>
        </w:rPr>
        <w:t>14</w:t>
      </w:r>
      <w:r w:rsidRPr="007732BF">
        <w:rPr>
          <w:color w:val="000000" w:themeColor="text1"/>
        </w:rPr>
        <w:t xml:space="preserve"> </w:t>
      </w:r>
    </w:p>
    <w:p w:rsidRPr="007732BF" w:rsidR="001D62E7" w:rsidP="001D62E7" w:rsidRDefault="001D62E7" w14:paraId="65E87378" w14:textId="77777777">
      <w:pPr>
        <w:spacing w:after="120"/>
        <w:ind w:left="720"/>
        <w:contextualSpacing/>
        <w:rPr>
          <w:color w:val="000000" w:themeColor="text1"/>
        </w:rPr>
      </w:pPr>
    </w:p>
    <w:p w:rsidRPr="007732BF" w:rsidR="009542F7" w:rsidP="001D62E7" w:rsidRDefault="009542F7" w14:paraId="163FED41" w14:textId="0376214F">
      <w:pPr>
        <w:spacing w:after="120"/>
        <w:ind w:left="720"/>
        <w:contextualSpacing/>
        <w:rPr>
          <w:color w:val="000000" w:themeColor="text1"/>
        </w:rPr>
      </w:pPr>
      <w:r w:rsidRPr="007732BF">
        <w:rPr>
          <w:color w:val="000000" w:themeColor="text1"/>
        </w:rPr>
        <w:t>Several studies have demonstrated that the use of gifts of gratitude are an effective method for increasing response rates, particularly among hard-to-reach populations.</w:t>
      </w:r>
      <w:r w:rsidRPr="007732BF">
        <w:rPr>
          <w:rStyle w:val="FootnoteReference"/>
          <w:color w:val="000000" w:themeColor="text1"/>
          <w:vertAlign w:val="superscript"/>
        </w:rPr>
        <w:footnoteReference w:id="20"/>
      </w:r>
      <w:r w:rsidRPr="007732BF">
        <w:rPr>
          <w:color w:val="000000" w:themeColor="text1"/>
          <w:vertAlign w:val="superscript"/>
        </w:rPr>
        <w:t xml:space="preserve"> </w:t>
      </w:r>
      <w:r w:rsidRPr="007732BF">
        <w:rPr>
          <w:color w:val="000000" w:themeColor="text1"/>
        </w:rPr>
        <w:t>Numerous empirical studies have established that providing incentives can significantly increase participation rates, and that larger incentives (e.g., $100, $150) perform significantly better than smaller incentives.</w:t>
      </w:r>
      <w:r w:rsidRPr="007732BF" w:rsidR="001D62E7">
        <w:rPr>
          <w:color w:val="000000" w:themeColor="text1"/>
          <w:vertAlign w:val="superscript"/>
        </w:rPr>
        <w:t>18</w:t>
      </w:r>
      <w:r w:rsidRPr="007732BF">
        <w:rPr>
          <w:color w:val="000000" w:themeColor="text1"/>
          <w:vertAlign w:val="superscript"/>
        </w:rPr>
        <w:t>,</w:t>
      </w:r>
      <w:r w:rsidRPr="007732BF">
        <w:rPr>
          <w:rStyle w:val="FootnoteReference"/>
          <w:color w:val="000000" w:themeColor="text1"/>
          <w:vertAlign w:val="superscript"/>
        </w:rPr>
        <w:footnoteReference w:id="21"/>
      </w:r>
      <w:r w:rsidRPr="007732BF">
        <w:rPr>
          <w:color w:val="000000" w:themeColor="text1"/>
          <w:vertAlign w:val="superscript"/>
        </w:rPr>
        <w:t>,</w:t>
      </w:r>
      <w:r w:rsidRPr="007732BF">
        <w:rPr>
          <w:rStyle w:val="FootnoteReference"/>
          <w:color w:val="000000" w:themeColor="text1"/>
          <w:vertAlign w:val="superscript"/>
        </w:rPr>
        <w:footnoteReference w:id="22"/>
      </w:r>
      <w:r w:rsidRPr="007732BF">
        <w:rPr>
          <w:color w:val="000000" w:themeColor="text1"/>
          <w:vertAlign w:val="superscript"/>
        </w:rPr>
        <w:t>,</w:t>
      </w:r>
      <w:r w:rsidRPr="007732BF">
        <w:rPr>
          <w:rStyle w:val="FootnoteReference"/>
          <w:color w:val="000000" w:themeColor="text1"/>
          <w:vertAlign w:val="superscript"/>
        </w:rPr>
        <w:footnoteReference w:id="23"/>
      </w:r>
      <w:r w:rsidRPr="007732BF">
        <w:rPr>
          <w:color w:val="000000" w:themeColor="text1"/>
          <w:vertAlign w:val="superscript"/>
        </w:rPr>
        <w:t xml:space="preserve"> </w:t>
      </w:r>
      <w:r w:rsidRPr="007732BF">
        <w:rPr>
          <w:color w:val="000000" w:themeColor="text1"/>
        </w:rPr>
        <w:t>If the incentive is not adequate, participants may agree to participate and then not show up or drop out early. Low participation may result in inadequate data collection or, in the worst cases, loss of government funds associated with recruitment and interviewer and observer time.</w:t>
      </w:r>
      <w:r w:rsidRPr="007732BF" w:rsidR="001D62E7">
        <w:rPr>
          <w:color w:val="000000" w:themeColor="text1"/>
          <w:vertAlign w:val="superscript"/>
        </w:rPr>
        <w:t>17</w:t>
      </w:r>
      <w:r w:rsidRPr="007732BF">
        <w:rPr>
          <w:color w:val="000000" w:themeColor="text1"/>
        </w:rPr>
        <w:t xml:space="preserve"> </w:t>
      </w:r>
    </w:p>
    <w:p w:rsidRPr="007732BF" w:rsidR="001D62E7" w:rsidP="001D62E7" w:rsidRDefault="001D62E7" w14:paraId="766F1EF5" w14:textId="77777777">
      <w:pPr>
        <w:spacing w:after="120"/>
        <w:ind w:left="720"/>
        <w:contextualSpacing/>
        <w:rPr>
          <w:iCs/>
          <w:color w:val="000000" w:themeColor="text1"/>
        </w:rPr>
      </w:pPr>
    </w:p>
    <w:p w:rsidRPr="007732BF" w:rsidR="009542F7" w:rsidP="001D62E7" w:rsidRDefault="009542F7" w14:paraId="2D7DA703" w14:textId="7668C583">
      <w:pPr>
        <w:spacing w:after="120"/>
        <w:ind w:left="720"/>
        <w:contextualSpacing/>
        <w:rPr>
          <w:color w:val="000000" w:themeColor="text1"/>
          <w:vertAlign w:val="superscript"/>
        </w:rPr>
      </w:pPr>
      <w:r w:rsidRPr="007732BF">
        <w:rPr>
          <w:iCs/>
          <w:color w:val="000000" w:themeColor="text1"/>
        </w:rPr>
        <w:t xml:space="preserve">As well </w:t>
      </w:r>
      <w:r w:rsidRPr="007732BF">
        <w:rPr>
          <w:color w:val="000000" w:themeColor="text1"/>
        </w:rPr>
        <w:t>as</w:t>
      </w:r>
      <w:r w:rsidRPr="007732BF">
        <w:rPr>
          <w:iCs/>
          <w:color w:val="000000" w:themeColor="text1"/>
        </w:rPr>
        <w:t xml:space="preserve"> preventing a low show rate, </w:t>
      </w:r>
      <w:r w:rsidRPr="007732BF">
        <w:rPr>
          <w:color w:val="000000" w:themeColor="text1"/>
        </w:rPr>
        <w:t>incentives are necessary to ensure adequate representation among harder-to-recruit populations and can help</w:t>
      </w:r>
      <w:r w:rsidRPr="007732BF">
        <w:rPr>
          <w:iCs/>
          <w:color w:val="000000" w:themeColor="text1"/>
        </w:rPr>
        <w:t xml:space="preserve"> attract a reasonable cross-section of participants, reflecting diversity in age, income, and education.</w:t>
      </w:r>
      <w:r w:rsidRPr="007732BF" w:rsidR="001D62E7">
        <w:rPr>
          <w:rStyle w:val="FootnoteReference"/>
          <w:iCs/>
          <w:color w:val="000000" w:themeColor="text1"/>
          <w:vertAlign w:val="superscript"/>
        </w:rPr>
        <w:footnoteReference w:id="24"/>
      </w:r>
      <w:r w:rsidRPr="007732BF" w:rsidR="001D62E7">
        <w:rPr>
          <w:iCs/>
          <w:color w:val="000000" w:themeColor="text1"/>
          <w:vertAlign w:val="superscript"/>
        </w:rPr>
        <w:t>,</w:t>
      </w:r>
      <w:r w:rsidRPr="007732BF" w:rsidR="001D62E7">
        <w:rPr>
          <w:rStyle w:val="FootnoteReference"/>
          <w:iCs/>
          <w:color w:val="000000" w:themeColor="text1"/>
          <w:vertAlign w:val="superscript"/>
        </w:rPr>
        <w:footnoteReference w:id="25"/>
      </w:r>
      <w:r w:rsidRPr="007732BF">
        <w:rPr>
          <w:iCs/>
          <w:color w:val="000000" w:themeColor="text1"/>
          <w:vertAlign w:val="superscript"/>
        </w:rPr>
        <w:t xml:space="preserve"> </w:t>
      </w:r>
      <w:r w:rsidRPr="007732BF">
        <w:rPr>
          <w:color w:val="000000" w:themeColor="text1"/>
        </w:rPr>
        <w:t xml:space="preserve">Numerous studies have shown that incentives can reduce nonresponse bias for key </w:t>
      </w:r>
      <w:r w:rsidRPr="007732BF">
        <w:rPr>
          <w:color w:val="000000" w:themeColor="text1"/>
        </w:rPr>
        <w:lastRenderedPageBreak/>
        <w:t>subgroups. Griffin et al.</w:t>
      </w:r>
      <w:r w:rsidRPr="007732BF" w:rsidR="001D62E7">
        <w:rPr>
          <w:rStyle w:val="FootnoteReference"/>
          <w:color w:val="000000" w:themeColor="text1"/>
          <w:vertAlign w:val="superscript"/>
        </w:rPr>
        <w:footnoteReference w:id="26"/>
      </w:r>
      <w:r w:rsidRPr="007732BF" w:rsidR="001D62E7">
        <w:rPr>
          <w:color w:val="000000" w:themeColor="text1"/>
          <w:vertAlign w:val="superscript"/>
        </w:rPr>
        <w:t xml:space="preserve"> </w:t>
      </w:r>
      <w:r w:rsidRPr="007732BF">
        <w:rPr>
          <w:color w:val="000000" w:themeColor="text1"/>
        </w:rPr>
        <w:t>and Lesser et al.</w:t>
      </w:r>
      <w:r w:rsidRPr="007732BF" w:rsidR="001D62E7">
        <w:rPr>
          <w:rStyle w:val="FootnoteReference"/>
          <w:color w:val="000000" w:themeColor="text1"/>
          <w:vertAlign w:val="superscript"/>
        </w:rPr>
        <w:footnoteReference w:id="27"/>
      </w:r>
      <w:r w:rsidRPr="007732BF">
        <w:rPr>
          <w:color w:val="000000" w:themeColor="text1"/>
          <w:vertAlign w:val="superscript"/>
        </w:rPr>
        <w:t xml:space="preserve"> </w:t>
      </w:r>
      <w:r w:rsidRPr="007732BF">
        <w:rPr>
          <w:color w:val="000000" w:themeColor="text1"/>
        </w:rPr>
        <w:t>found that incentives reduced nonresponse bias for gender. Incentives have also been effective in increasing participation from minority respondents.</w:t>
      </w:r>
      <w:r w:rsidRPr="007732BF" w:rsidR="001D62E7">
        <w:rPr>
          <w:rStyle w:val="FootnoteReference"/>
          <w:color w:val="000000" w:themeColor="text1"/>
          <w:vertAlign w:val="superscript"/>
        </w:rPr>
        <w:footnoteReference w:id="28"/>
      </w:r>
    </w:p>
    <w:p w:rsidRPr="007732BF" w:rsidR="001D62E7" w:rsidP="001D62E7" w:rsidRDefault="001D62E7" w14:paraId="46708377" w14:textId="77777777">
      <w:pPr>
        <w:spacing w:after="120"/>
        <w:ind w:left="720"/>
        <w:contextualSpacing/>
        <w:rPr>
          <w:color w:val="000000" w:themeColor="text1"/>
        </w:rPr>
      </w:pPr>
    </w:p>
    <w:p w:rsidRPr="007732BF" w:rsidR="00B060F1" w:rsidP="001D62E7" w:rsidRDefault="009542F7" w14:paraId="3C0E06FA" w14:textId="2DC32660">
      <w:pPr>
        <w:spacing w:after="120"/>
        <w:ind w:left="720"/>
        <w:contextualSpacing/>
        <w:rPr>
          <w:color w:val="000000" w:themeColor="text1"/>
          <w:vertAlign w:val="superscript"/>
        </w:rPr>
      </w:pPr>
      <w:r w:rsidRPr="007732BF">
        <w:rPr>
          <w:color w:val="000000" w:themeColor="text1"/>
        </w:rPr>
        <w:t>Leverage-salience theory argues that monetary incentives can help to recruit people who otherwise might not be motivated to respond (e.g., people who do not care about the topic,</w:t>
      </w:r>
      <w:r w:rsidRPr="007732BF" w:rsidR="007732BF">
        <w:rPr>
          <w:rStyle w:val="FootnoteReference"/>
          <w:color w:val="000000" w:themeColor="text1"/>
          <w:vertAlign w:val="superscript"/>
        </w:rPr>
        <w:footnoteReference w:id="29"/>
      </w:r>
      <w:r w:rsidRPr="007732BF">
        <w:rPr>
          <w:color w:val="000000" w:themeColor="text1"/>
        </w:rPr>
        <w:t xml:space="preserve"> lack altruistic motives for responding, have competing obligations</w:t>
      </w:r>
      <w:r w:rsidRPr="007732BF" w:rsidR="007732BF">
        <w:rPr>
          <w:color w:val="000000" w:themeColor="text1"/>
        </w:rPr>
        <w:t>,</w:t>
      </w:r>
      <w:r w:rsidRPr="007732BF" w:rsidR="007732BF">
        <w:rPr>
          <w:color w:val="000000" w:themeColor="text1"/>
          <w:vertAlign w:val="superscript"/>
        </w:rPr>
        <w:t>16</w:t>
      </w:r>
      <w:r w:rsidRPr="007732BF">
        <w:rPr>
          <w:color w:val="000000" w:themeColor="text1"/>
        </w:rPr>
        <w:t xml:space="preserve"> or are typically less likely to participate in research</w:t>
      </w:r>
      <w:r w:rsidRPr="007732BF" w:rsidR="007732BF">
        <w:rPr>
          <w:rStyle w:val="FootnoteReference"/>
          <w:color w:val="000000" w:themeColor="text1"/>
          <w:vertAlign w:val="superscript"/>
        </w:rPr>
        <w:footnoteReference w:id="30"/>
      </w:r>
      <w:r w:rsidRPr="007732BF" w:rsidR="007732BF">
        <w:rPr>
          <w:color w:val="000000" w:themeColor="text1"/>
        </w:rPr>
        <w:t>)</w:t>
      </w:r>
      <w:r w:rsidRPr="007732BF">
        <w:rPr>
          <w:color w:val="000000" w:themeColor="text1"/>
        </w:rPr>
        <w:t>. Using incentives to bring in a cross section of consumers can reduce nonresponse bias if these participants (those less interested in the topic, men, minorities, high income) have different responses and feedback than those who would participate without incentives.</w:t>
      </w:r>
      <w:r w:rsidRPr="007732BF" w:rsidR="007732BF">
        <w:rPr>
          <w:rStyle w:val="FootnoteReference"/>
          <w:color w:val="000000" w:themeColor="text1"/>
          <w:vertAlign w:val="superscript"/>
        </w:rPr>
        <w:footnoteReference w:id="31"/>
      </w:r>
      <w:r w:rsidRPr="007732BF">
        <w:rPr>
          <w:color w:val="000000" w:themeColor="text1"/>
          <w:vertAlign w:val="superscript"/>
        </w:rPr>
        <w:t xml:space="preserve"> </w:t>
      </w:r>
    </w:p>
    <w:p w:rsidRPr="007732BF" w:rsidR="00013C68" w:rsidP="001D62E7" w:rsidRDefault="00013C68" w14:paraId="65110F4B" w14:textId="77777777">
      <w:pPr>
        <w:ind w:left="720"/>
        <w:rPr>
          <w:color w:val="000000" w:themeColor="text1"/>
        </w:rPr>
      </w:pPr>
    </w:p>
    <w:p w:rsidRPr="007732BF" w:rsidR="0066030A" w:rsidP="001D62E7" w:rsidRDefault="0066030A" w14:paraId="5D1456D9" w14:textId="07C8DD99">
      <w:pPr>
        <w:pStyle w:val="ListParagraph"/>
        <w:rPr>
          <w:color w:val="000000" w:themeColor="text1"/>
        </w:rPr>
      </w:pPr>
      <w:r w:rsidRPr="007732BF">
        <w:rPr>
          <w:color w:val="000000" w:themeColor="text1"/>
        </w:rPr>
        <w:t xml:space="preserve">When applied in a reasonable manner, incentives are not an unjust inducement and are an approach that acknowledges respondents for their participation.  The use of incentives treats participants justly and with respect by recognizing and acknowledging the effort they expend to participate. In this particular study, we are asking </w:t>
      </w:r>
      <w:r w:rsidR="009E451B">
        <w:rPr>
          <w:color w:val="000000" w:themeColor="text1"/>
        </w:rPr>
        <w:t>physician respondents</w:t>
      </w:r>
      <w:r w:rsidRPr="007732BF">
        <w:rPr>
          <w:color w:val="000000" w:themeColor="text1"/>
        </w:rPr>
        <w:t xml:space="preserve"> to provide thought-intensive, open-ended feedback that require</w:t>
      </w:r>
      <w:r w:rsidR="009E451B">
        <w:rPr>
          <w:color w:val="000000" w:themeColor="text1"/>
        </w:rPr>
        <w:t>s</w:t>
      </w:r>
      <w:r w:rsidRPr="007732BF">
        <w:rPr>
          <w:color w:val="000000" w:themeColor="text1"/>
        </w:rPr>
        <w:t xml:space="preserve"> a high level of engagement.</w:t>
      </w:r>
    </w:p>
    <w:p w:rsidRPr="007732BF" w:rsidR="00DA31FF" w:rsidP="001D62E7" w:rsidRDefault="00DA31FF" w14:paraId="7054BC5D" w14:textId="77777777">
      <w:pPr>
        <w:pStyle w:val="ListParagraph"/>
        <w:rPr>
          <w:color w:val="000000" w:themeColor="text1"/>
        </w:rPr>
      </w:pPr>
    </w:p>
    <w:p w:rsidRPr="007732BF" w:rsidR="0066030A" w:rsidP="001D62E7" w:rsidRDefault="0066030A" w14:paraId="471A10AD" w14:textId="008A5776">
      <w:pPr>
        <w:pStyle w:val="ListParagraph"/>
        <w:rPr>
          <w:color w:val="000000" w:themeColor="text1"/>
        </w:rPr>
      </w:pPr>
      <w:r w:rsidRPr="007732BF">
        <w:rPr>
          <w:color w:val="000000" w:themeColor="text1"/>
        </w:rPr>
        <w:t xml:space="preserve">To address below-market incentive rates and ensure successful recruitment and fielding, </w:t>
      </w:r>
      <w:r w:rsidRPr="007732BF" w:rsidR="00F1559D">
        <w:rPr>
          <w:color w:val="000000" w:themeColor="text1"/>
        </w:rPr>
        <w:t>RTI</w:t>
      </w:r>
      <w:r w:rsidRPr="007732BF" w:rsidR="007E7811">
        <w:rPr>
          <w:color w:val="000000" w:themeColor="text1"/>
        </w:rPr>
        <w:t xml:space="preserve"> will </w:t>
      </w:r>
      <w:r w:rsidRPr="007732BF">
        <w:rPr>
          <w:color w:val="000000" w:themeColor="text1"/>
        </w:rPr>
        <w:t xml:space="preserve">coordinate closely </w:t>
      </w:r>
      <w:r w:rsidRPr="007732BF" w:rsidR="007023DB">
        <w:rPr>
          <w:color w:val="000000" w:themeColor="text1"/>
        </w:rPr>
        <w:t xml:space="preserve">with </w:t>
      </w:r>
      <w:r w:rsidRPr="007732BF">
        <w:rPr>
          <w:color w:val="000000" w:themeColor="text1"/>
        </w:rPr>
        <w:t xml:space="preserve">FDA to monitor recruitment status. Additionally, we will ensure that other considerations are in place to increase </w:t>
      </w:r>
      <w:r w:rsidRPr="007732BF" w:rsidR="007023DB">
        <w:rPr>
          <w:color w:val="000000" w:themeColor="text1"/>
        </w:rPr>
        <w:t xml:space="preserve">the </w:t>
      </w:r>
      <w:r w:rsidRPr="007732BF">
        <w:rPr>
          <w:color w:val="000000" w:themeColor="text1"/>
        </w:rPr>
        <w:t xml:space="preserve">likelihood of participation, such as: </w:t>
      </w:r>
    </w:p>
    <w:p w:rsidRPr="007732BF" w:rsidR="00DA31FF" w:rsidP="005B0D6D" w:rsidRDefault="00DA31FF" w14:paraId="4DFE920A" w14:textId="77777777">
      <w:pPr>
        <w:pStyle w:val="ListParagraph"/>
        <w:ind w:left="360"/>
        <w:rPr>
          <w:color w:val="000000" w:themeColor="text1"/>
        </w:rPr>
      </w:pPr>
    </w:p>
    <w:p w:rsidRPr="007732BF" w:rsidR="0066030A" w:rsidP="00A002E2" w:rsidRDefault="0066030A" w14:paraId="3A3577A1" w14:textId="448F743A">
      <w:pPr>
        <w:pStyle w:val="ListParagraph"/>
        <w:numPr>
          <w:ilvl w:val="0"/>
          <w:numId w:val="3"/>
        </w:numPr>
        <w:ind w:left="1440"/>
        <w:rPr>
          <w:color w:val="000000" w:themeColor="text1"/>
        </w:rPr>
      </w:pPr>
      <w:r w:rsidRPr="007732BF">
        <w:rPr>
          <w:color w:val="000000" w:themeColor="text1"/>
        </w:rPr>
        <w:t>Ensuring an adequate recruiting period before the start of fielding (as well as ongoing recruiting</w:t>
      </w:r>
      <w:r w:rsidRPr="007732BF" w:rsidR="007023DB">
        <w:rPr>
          <w:color w:val="000000" w:themeColor="text1"/>
        </w:rPr>
        <w:t>,</w:t>
      </w:r>
      <w:r w:rsidRPr="007732BF">
        <w:rPr>
          <w:color w:val="000000" w:themeColor="text1"/>
        </w:rPr>
        <w:t xml:space="preserve"> as needed</w:t>
      </w:r>
      <w:r w:rsidRPr="007732BF" w:rsidR="007023DB">
        <w:rPr>
          <w:color w:val="000000" w:themeColor="text1"/>
        </w:rPr>
        <w:t>,</w:t>
      </w:r>
      <w:r w:rsidRPr="007732BF">
        <w:rPr>
          <w:color w:val="000000" w:themeColor="text1"/>
        </w:rPr>
        <w:t xml:space="preserve"> during fielding period</w:t>
      </w:r>
      <w:r w:rsidRPr="007732BF" w:rsidR="007023DB">
        <w:rPr>
          <w:color w:val="000000" w:themeColor="text1"/>
        </w:rPr>
        <w:t>)</w:t>
      </w:r>
      <w:r w:rsidRPr="007732BF">
        <w:rPr>
          <w:color w:val="000000" w:themeColor="text1"/>
        </w:rPr>
        <w:t xml:space="preserve">; </w:t>
      </w:r>
    </w:p>
    <w:p w:rsidRPr="007732BF" w:rsidR="00F81144" w:rsidP="005B0D6D" w:rsidRDefault="00F81144" w14:paraId="303B27D7" w14:textId="77777777">
      <w:pPr>
        <w:pStyle w:val="ListParagraph"/>
        <w:ind w:left="1440"/>
        <w:rPr>
          <w:color w:val="000000" w:themeColor="text1"/>
        </w:rPr>
      </w:pPr>
    </w:p>
    <w:p w:rsidRPr="007732BF" w:rsidR="0066030A" w:rsidP="00A002E2" w:rsidRDefault="0066030A" w14:paraId="68744077" w14:textId="52D9FCF0">
      <w:pPr>
        <w:pStyle w:val="ListParagraph"/>
        <w:numPr>
          <w:ilvl w:val="0"/>
          <w:numId w:val="3"/>
        </w:numPr>
        <w:ind w:left="1440"/>
        <w:rPr>
          <w:color w:val="000000" w:themeColor="text1"/>
        </w:rPr>
      </w:pPr>
      <w:r w:rsidRPr="007732BF">
        <w:rPr>
          <w:color w:val="000000" w:themeColor="text1"/>
        </w:rPr>
        <w:t>Availability of sessions at time slots that, in our experience, have been popular among HCPs—for example, early morning, evenings, lunch; and</w:t>
      </w:r>
    </w:p>
    <w:p w:rsidRPr="007732BF" w:rsidR="00F81144" w:rsidP="005B0D6D" w:rsidRDefault="00F81144" w14:paraId="4ED9FB82" w14:textId="77777777">
      <w:pPr>
        <w:pStyle w:val="ListParagraph"/>
        <w:ind w:left="1080"/>
        <w:rPr>
          <w:color w:val="000000" w:themeColor="text1"/>
        </w:rPr>
      </w:pPr>
    </w:p>
    <w:p w:rsidRPr="007732BF" w:rsidR="00833E4F" w:rsidP="00A002E2" w:rsidRDefault="0066030A" w14:paraId="1B9281BF" w14:textId="46CFC034">
      <w:pPr>
        <w:pStyle w:val="ListParagraph"/>
        <w:numPr>
          <w:ilvl w:val="0"/>
          <w:numId w:val="3"/>
        </w:numPr>
        <w:ind w:left="1440"/>
        <w:rPr>
          <w:color w:val="000000" w:themeColor="text1"/>
        </w:rPr>
      </w:pPr>
      <w:r w:rsidRPr="007732BF">
        <w:rPr>
          <w:color w:val="000000" w:themeColor="text1"/>
        </w:rPr>
        <w:t xml:space="preserve">Having the flexibility and appropriate staff </w:t>
      </w:r>
      <w:r w:rsidRPr="007732BF" w:rsidR="007023DB">
        <w:rPr>
          <w:color w:val="000000" w:themeColor="text1"/>
        </w:rPr>
        <w:t xml:space="preserve">available </w:t>
      </w:r>
      <w:r w:rsidRPr="007732BF">
        <w:rPr>
          <w:color w:val="000000" w:themeColor="text1"/>
        </w:rPr>
        <w:t>to run concurrent sessions to leverage popular session times.</w:t>
      </w:r>
    </w:p>
    <w:p w:rsidR="00CB6695" w:rsidP="0066030A" w:rsidRDefault="00CB6695" w14:paraId="124B162A" w14:textId="1069FA8B">
      <w:pPr>
        <w:pStyle w:val="ListParagraph"/>
        <w:ind w:left="0"/>
        <w:rPr>
          <w:color w:val="000000" w:themeColor="text1"/>
        </w:rPr>
      </w:pPr>
    </w:p>
    <w:p w:rsidR="00344218" w:rsidP="0066030A" w:rsidRDefault="00344218" w14:paraId="4CBD6A28" w14:textId="199E5B32">
      <w:pPr>
        <w:pStyle w:val="ListParagraph"/>
        <w:ind w:left="0"/>
        <w:rPr>
          <w:color w:val="000000" w:themeColor="text1"/>
        </w:rPr>
      </w:pPr>
    </w:p>
    <w:p w:rsidRPr="007732BF" w:rsidR="00344218" w:rsidP="0066030A" w:rsidRDefault="00344218" w14:paraId="6B1D5EC2" w14:textId="77777777">
      <w:pPr>
        <w:pStyle w:val="ListParagraph"/>
        <w:ind w:left="0"/>
        <w:rPr>
          <w:color w:val="000000" w:themeColor="text1"/>
        </w:rPr>
      </w:pPr>
    </w:p>
    <w:p w:rsidRPr="007732BF" w:rsidR="00140A0D" w:rsidP="00A002E2" w:rsidRDefault="00140A0D" w14:paraId="2A86F89D" w14:textId="77777777">
      <w:pPr>
        <w:numPr>
          <w:ilvl w:val="0"/>
          <w:numId w:val="1"/>
        </w:numPr>
        <w:tabs>
          <w:tab w:val="num" w:pos="720"/>
          <w:tab w:val="num" w:pos="900"/>
        </w:tabs>
        <w:ind w:left="720"/>
        <w:rPr>
          <w:b/>
          <w:color w:val="000000" w:themeColor="text1"/>
        </w:rPr>
      </w:pPr>
      <w:r w:rsidRPr="007732BF">
        <w:rPr>
          <w:b/>
          <w:color w:val="000000" w:themeColor="text1"/>
        </w:rPr>
        <w:lastRenderedPageBreak/>
        <w:t>Questions of a Sensitive Nature:</w:t>
      </w:r>
    </w:p>
    <w:p w:rsidRPr="007732BF" w:rsidR="009742AD" w:rsidP="009742AD" w:rsidRDefault="009742AD" w14:paraId="16FC61A6" w14:textId="77777777">
      <w:pPr>
        <w:pStyle w:val="ListParagraph"/>
        <w:rPr>
          <w:color w:val="000000" w:themeColor="text1"/>
        </w:rPr>
      </w:pPr>
    </w:p>
    <w:p w:rsidRPr="007732BF" w:rsidR="003919D8" w:rsidP="005B0D6D" w:rsidRDefault="003919D8" w14:paraId="6B3AE323" w14:textId="77777777">
      <w:pPr>
        <w:pStyle w:val="ListParagraph"/>
        <w:ind w:left="0" w:firstLine="720"/>
        <w:rPr>
          <w:color w:val="000000" w:themeColor="text1"/>
        </w:rPr>
      </w:pPr>
      <w:r w:rsidRPr="007732BF">
        <w:rPr>
          <w:color w:val="000000" w:themeColor="text1"/>
        </w:rPr>
        <w:t>None.</w:t>
      </w:r>
    </w:p>
    <w:p w:rsidRPr="007732BF" w:rsidR="00140A0D" w:rsidP="00140A0D" w:rsidRDefault="00140A0D" w14:paraId="4D289AA5" w14:textId="77777777">
      <w:pPr>
        <w:pStyle w:val="ListParagraph"/>
        <w:rPr>
          <w:color w:val="000000" w:themeColor="text1"/>
        </w:rPr>
      </w:pPr>
    </w:p>
    <w:p w:rsidRPr="007732BF" w:rsidR="00140A0D" w:rsidP="00A002E2" w:rsidRDefault="00140A0D" w14:paraId="29C17932" w14:textId="2B0D6508">
      <w:pPr>
        <w:numPr>
          <w:ilvl w:val="0"/>
          <w:numId w:val="1"/>
        </w:numPr>
        <w:tabs>
          <w:tab w:val="num" w:pos="720"/>
          <w:tab w:val="num" w:pos="900"/>
        </w:tabs>
        <w:ind w:left="720"/>
        <w:rPr>
          <w:b/>
          <w:color w:val="000000" w:themeColor="text1"/>
        </w:rPr>
      </w:pPr>
      <w:r w:rsidRPr="007732BF">
        <w:rPr>
          <w:b/>
          <w:color w:val="000000" w:themeColor="text1"/>
        </w:rPr>
        <w:t>Description of Statistical Methods (</w:t>
      </w:r>
      <w:r w:rsidRPr="007732BF" w:rsidR="008A7B8B">
        <w:rPr>
          <w:b/>
          <w:color w:val="000000" w:themeColor="text1"/>
        </w:rPr>
        <w:t>i</w:t>
      </w:r>
      <w:r w:rsidRPr="007732BF" w:rsidR="00E971FC">
        <w:rPr>
          <w:b/>
          <w:color w:val="000000" w:themeColor="text1"/>
        </w:rPr>
        <w:t>.</w:t>
      </w:r>
      <w:r w:rsidRPr="007732BF" w:rsidR="008A7B8B">
        <w:rPr>
          <w:b/>
          <w:color w:val="000000" w:themeColor="text1"/>
        </w:rPr>
        <w:t>e</w:t>
      </w:r>
      <w:r w:rsidRPr="007732BF" w:rsidR="00E971FC">
        <w:rPr>
          <w:b/>
          <w:color w:val="000000" w:themeColor="text1"/>
        </w:rPr>
        <w:t xml:space="preserve">. </w:t>
      </w:r>
      <w:r w:rsidRPr="007732BF">
        <w:rPr>
          <w:b/>
          <w:color w:val="000000" w:themeColor="text1"/>
        </w:rPr>
        <w:t>Sample Size &amp; Method of Selection):</w:t>
      </w:r>
    </w:p>
    <w:p w:rsidRPr="007732BF" w:rsidR="00DA31FF" w:rsidP="00DA31FF" w:rsidRDefault="00DA31FF" w14:paraId="7E53310D" w14:textId="77777777">
      <w:pPr>
        <w:pStyle w:val="Heading2"/>
        <w:jc w:val="left"/>
        <w:rPr>
          <w:b w:val="0"/>
          <w:bCs w:val="0"/>
          <w:color w:val="000000" w:themeColor="text1"/>
        </w:rPr>
      </w:pPr>
      <w:bookmarkStart w:name="_Toc508302255" w:id="13"/>
    </w:p>
    <w:bookmarkEnd w:id="13"/>
    <w:p w:rsidRPr="007732BF" w:rsidR="00C62353" w:rsidP="005B0D6D" w:rsidRDefault="0063232F" w14:paraId="213D4DD8" w14:textId="18C4170A">
      <w:pPr>
        <w:ind w:left="720"/>
        <w:rPr>
          <w:color w:val="000000" w:themeColor="text1"/>
        </w:rPr>
      </w:pPr>
      <w:r w:rsidRPr="007732BF">
        <w:rPr>
          <w:color w:val="000000" w:themeColor="text1"/>
        </w:rPr>
        <w:t>Stati</w:t>
      </w:r>
      <w:r w:rsidRPr="007732BF" w:rsidR="006613DD">
        <w:rPr>
          <w:color w:val="000000" w:themeColor="text1"/>
        </w:rPr>
        <w:t xml:space="preserve">stical methods </w:t>
      </w:r>
      <w:r w:rsidRPr="007732BF" w:rsidR="00C975E4">
        <w:rPr>
          <w:color w:val="000000" w:themeColor="text1"/>
        </w:rPr>
        <w:t xml:space="preserve">to recruit </w:t>
      </w:r>
      <w:r w:rsidRPr="007732BF" w:rsidR="006613DD">
        <w:rPr>
          <w:color w:val="000000" w:themeColor="text1"/>
        </w:rPr>
        <w:t xml:space="preserve">representative samples will not be used </w:t>
      </w:r>
      <w:r w:rsidRPr="007732BF">
        <w:rPr>
          <w:color w:val="000000" w:themeColor="text1"/>
        </w:rPr>
        <w:t xml:space="preserve">in this study.  </w:t>
      </w:r>
      <w:r w:rsidRPr="007732BF" w:rsidR="00DE00B8">
        <w:rPr>
          <w:color w:val="000000" w:themeColor="text1"/>
        </w:rPr>
        <w:t>This study</w:t>
      </w:r>
      <w:r w:rsidRPr="007732BF" w:rsidR="0093227E">
        <w:rPr>
          <w:color w:val="000000" w:themeColor="text1"/>
        </w:rPr>
        <w:t xml:space="preserve"> </w:t>
      </w:r>
      <w:r w:rsidRPr="007732BF" w:rsidR="00DE00B8">
        <w:rPr>
          <w:color w:val="000000" w:themeColor="text1"/>
        </w:rPr>
        <w:t>employs</w:t>
      </w:r>
      <w:r w:rsidRPr="007732BF" w:rsidR="00812A6C">
        <w:rPr>
          <w:color w:val="000000" w:themeColor="text1"/>
        </w:rPr>
        <w:t xml:space="preserve"> </w:t>
      </w:r>
      <w:r w:rsidRPr="007732BF" w:rsidR="00DE00B8">
        <w:rPr>
          <w:color w:val="000000" w:themeColor="text1"/>
        </w:rPr>
        <w:t>qualitative methods</w:t>
      </w:r>
      <w:r w:rsidRPr="007732BF" w:rsidR="0093227E">
        <w:rPr>
          <w:color w:val="000000" w:themeColor="text1"/>
        </w:rPr>
        <w:t xml:space="preserve"> and uses convenien</w:t>
      </w:r>
      <w:r w:rsidRPr="007732BF" w:rsidR="0079417B">
        <w:rPr>
          <w:color w:val="000000" w:themeColor="text1"/>
        </w:rPr>
        <w:t>ce</w:t>
      </w:r>
      <w:r w:rsidRPr="007732BF" w:rsidR="0093227E">
        <w:rPr>
          <w:color w:val="000000" w:themeColor="text1"/>
        </w:rPr>
        <w:t xml:space="preserve"> sample</w:t>
      </w:r>
      <w:r w:rsidRPr="007732BF" w:rsidR="00305795">
        <w:rPr>
          <w:color w:val="000000" w:themeColor="text1"/>
        </w:rPr>
        <w:t>s</w:t>
      </w:r>
      <w:r w:rsidRPr="007732BF" w:rsidR="0093227E">
        <w:rPr>
          <w:color w:val="000000" w:themeColor="text1"/>
        </w:rPr>
        <w:t xml:space="preserve">. </w:t>
      </w:r>
      <w:r w:rsidRPr="007732BF" w:rsidR="000A19AD">
        <w:rPr>
          <w:color w:val="000000" w:themeColor="text1"/>
        </w:rPr>
        <w:t>P</w:t>
      </w:r>
      <w:r w:rsidRPr="007732BF" w:rsidR="00C975E4">
        <w:rPr>
          <w:color w:val="000000" w:themeColor="text1"/>
        </w:rPr>
        <w:t xml:space="preserve">articipants </w:t>
      </w:r>
      <w:r w:rsidRPr="007732BF" w:rsidR="006613DD">
        <w:rPr>
          <w:color w:val="000000" w:themeColor="text1"/>
        </w:rPr>
        <w:t xml:space="preserve">will be recruited </w:t>
      </w:r>
      <w:r w:rsidRPr="007732BF" w:rsidR="00C975E4">
        <w:rPr>
          <w:color w:val="000000" w:themeColor="text1"/>
        </w:rPr>
        <w:t xml:space="preserve">from opt-in panels using a screener. </w:t>
      </w:r>
      <w:r w:rsidRPr="007732BF" w:rsidR="00E90EB3">
        <w:rPr>
          <w:color w:val="000000" w:themeColor="text1"/>
        </w:rPr>
        <w:t xml:space="preserve"> </w:t>
      </w:r>
      <w:r w:rsidRPr="007732BF" w:rsidR="00C62353">
        <w:rPr>
          <w:color w:val="000000" w:themeColor="text1"/>
        </w:rPr>
        <w:t xml:space="preserve">Recruitment staff will help ensure eligible participants are recruited for the study and send reminder emails to reduce no-shows.  </w:t>
      </w:r>
    </w:p>
    <w:p w:rsidRPr="007732BF" w:rsidR="00C975E4" w:rsidP="00C02610" w:rsidRDefault="00C975E4" w14:paraId="5B650DA1" w14:textId="1132FFC6">
      <w:pPr>
        <w:rPr>
          <w:color w:val="000000" w:themeColor="text1"/>
        </w:rPr>
      </w:pPr>
    </w:p>
    <w:p w:rsidRPr="007732BF" w:rsidR="00BC0BB4" w:rsidRDefault="00C975E4" w14:paraId="0264F6F7" w14:textId="60C93142">
      <w:pPr>
        <w:rPr>
          <w:b/>
          <w:color w:val="000000" w:themeColor="text1"/>
        </w:rPr>
      </w:pPr>
      <w:r w:rsidRPr="007732BF">
        <w:rPr>
          <w:color w:val="000000" w:themeColor="text1"/>
        </w:rPr>
        <w:t xml:space="preserve"> </w:t>
      </w:r>
    </w:p>
    <w:p w:rsidRPr="007732BF" w:rsidR="00F15275" w:rsidRDefault="003F1C7A" w14:paraId="26856C2A" w14:textId="77777777">
      <w:pPr>
        <w:rPr>
          <w:color w:val="000000" w:themeColor="text1"/>
        </w:rPr>
      </w:pPr>
      <w:r w:rsidRPr="007732BF">
        <w:rPr>
          <w:b/>
          <w:color w:val="000000" w:themeColor="text1"/>
        </w:rPr>
        <w:t>BURDEN HOUR COMPUTATION</w:t>
      </w:r>
      <w:r w:rsidRPr="007732BF">
        <w:rPr>
          <w:color w:val="000000" w:themeColor="text1"/>
        </w:rPr>
        <w:t xml:space="preserve"> </w:t>
      </w:r>
    </w:p>
    <w:p w:rsidRPr="007732BF" w:rsidR="003F1C7A" w:rsidRDefault="003F1C7A" w14:paraId="5D5E90A2" w14:textId="0DB2FC4A">
      <w:pPr>
        <w:rPr>
          <w:i/>
          <w:color w:val="000000" w:themeColor="text1"/>
        </w:rPr>
      </w:pPr>
      <w:r w:rsidRPr="007732BF">
        <w:rPr>
          <w:i/>
          <w:color w:val="000000" w:themeColor="text1"/>
        </w:rPr>
        <w:t>(Number of responses</w:t>
      </w:r>
      <w:r w:rsidRPr="007732BF" w:rsidR="0049419A">
        <w:rPr>
          <w:i/>
          <w:color w:val="000000" w:themeColor="text1"/>
        </w:rPr>
        <w:t xml:space="preserve"> </w:t>
      </w:r>
      <w:r w:rsidRPr="007732BF">
        <w:rPr>
          <w:i/>
          <w:color w:val="000000" w:themeColor="text1"/>
        </w:rPr>
        <w:t>(X) estimated response or participation time in minutes (/60) = annual burden hours):</w:t>
      </w:r>
    </w:p>
    <w:p w:rsidRPr="007732BF" w:rsidR="007C7DF4" w:rsidRDefault="007C7DF4" w14:paraId="6E3872FA" w14:textId="28342F40">
      <w:pPr>
        <w:rPr>
          <w:i/>
          <w:color w:val="000000" w:themeColor="text1"/>
        </w:rPr>
      </w:pPr>
    </w:p>
    <w:tbl>
      <w:tblPr>
        <w:tblStyle w:val="TableGrid"/>
        <w:tblW w:w="0" w:type="auto"/>
        <w:tblInd w:w="100" w:type="dxa"/>
        <w:tblLook w:val="04A0" w:firstRow="1" w:lastRow="0" w:firstColumn="1" w:lastColumn="0" w:noHBand="0" w:noVBand="1"/>
      </w:tblPr>
      <w:tblGrid>
        <w:gridCol w:w="2542"/>
        <w:gridCol w:w="2366"/>
        <w:gridCol w:w="2907"/>
        <w:gridCol w:w="1435"/>
      </w:tblGrid>
      <w:tr w:rsidRPr="007732BF" w:rsidR="00A24B03" w:rsidTr="00344218" w14:paraId="2B2BB690" w14:textId="77777777">
        <w:tc>
          <w:tcPr>
            <w:tcW w:w="2542" w:type="dxa"/>
            <w:vAlign w:val="bottom"/>
          </w:tcPr>
          <w:p w:rsidRPr="007732BF" w:rsidR="00A24B03" w:rsidP="00293572" w:rsidRDefault="00A24B03" w14:paraId="514907B6" w14:textId="37F6F36C">
            <w:pPr>
              <w:keepNext/>
              <w:kinsoku w:val="0"/>
              <w:overflowPunct w:val="0"/>
              <w:autoSpaceDE w:val="0"/>
              <w:autoSpaceDN w:val="0"/>
              <w:adjustRightInd w:val="0"/>
              <w:contextualSpacing/>
              <w:jc w:val="center"/>
              <w:rPr>
                <w:b/>
                <w:color w:val="000000" w:themeColor="text1"/>
              </w:rPr>
            </w:pPr>
            <w:r>
              <w:rPr>
                <w:b/>
                <w:color w:val="000000" w:themeColor="text1"/>
                <w:spacing w:val="-1"/>
              </w:rPr>
              <w:t>Type/Category of Respondent</w:t>
            </w:r>
          </w:p>
        </w:tc>
        <w:tc>
          <w:tcPr>
            <w:tcW w:w="2366" w:type="dxa"/>
            <w:vAlign w:val="bottom"/>
          </w:tcPr>
          <w:p w:rsidRPr="007732BF" w:rsidR="00A24B03" w:rsidP="00293572" w:rsidRDefault="00A24B03" w14:paraId="79B9BF2F" w14:textId="77777777">
            <w:pPr>
              <w:keepNext/>
              <w:kinsoku w:val="0"/>
              <w:overflowPunct w:val="0"/>
              <w:autoSpaceDE w:val="0"/>
              <w:autoSpaceDN w:val="0"/>
              <w:adjustRightInd w:val="0"/>
              <w:contextualSpacing/>
              <w:jc w:val="center"/>
              <w:rPr>
                <w:b/>
                <w:color w:val="000000" w:themeColor="text1"/>
              </w:rPr>
            </w:pPr>
            <w:r w:rsidRPr="007732BF">
              <w:rPr>
                <w:b/>
                <w:color w:val="000000" w:themeColor="text1"/>
                <w:spacing w:val="-1"/>
              </w:rPr>
              <w:t>No.</w:t>
            </w:r>
            <w:r w:rsidRPr="007732BF">
              <w:rPr>
                <w:b/>
                <w:color w:val="000000" w:themeColor="text1"/>
                <w:spacing w:val="-4"/>
              </w:rPr>
              <w:t xml:space="preserve"> </w:t>
            </w:r>
            <w:r w:rsidRPr="007732BF">
              <w:rPr>
                <w:b/>
                <w:color w:val="000000" w:themeColor="text1"/>
                <w:spacing w:val="-1"/>
              </w:rPr>
              <w:t>of</w:t>
            </w:r>
            <w:r w:rsidRPr="007732BF">
              <w:rPr>
                <w:b/>
                <w:color w:val="000000" w:themeColor="text1"/>
                <w:spacing w:val="21"/>
              </w:rPr>
              <w:t xml:space="preserve"> </w:t>
            </w:r>
            <w:r w:rsidRPr="007732BF">
              <w:rPr>
                <w:b/>
                <w:color w:val="000000" w:themeColor="text1"/>
                <w:spacing w:val="-1"/>
              </w:rPr>
              <w:t>Respondents</w:t>
            </w:r>
          </w:p>
        </w:tc>
        <w:tc>
          <w:tcPr>
            <w:tcW w:w="2907" w:type="dxa"/>
            <w:vAlign w:val="bottom"/>
          </w:tcPr>
          <w:p w:rsidRPr="007732BF" w:rsidR="00A24B03" w:rsidP="00293572" w:rsidRDefault="00A24B03" w14:paraId="4733A4E8" w14:textId="0D8B86FD">
            <w:pPr>
              <w:keepNext/>
              <w:kinsoku w:val="0"/>
              <w:overflowPunct w:val="0"/>
              <w:autoSpaceDE w:val="0"/>
              <w:autoSpaceDN w:val="0"/>
              <w:adjustRightInd w:val="0"/>
              <w:contextualSpacing/>
              <w:jc w:val="center"/>
              <w:rPr>
                <w:b/>
                <w:color w:val="000000" w:themeColor="text1"/>
              </w:rPr>
            </w:pPr>
          </w:p>
          <w:p w:rsidRPr="007732BF" w:rsidR="00A24B03" w:rsidP="00293572" w:rsidRDefault="00A24B03" w14:paraId="22C89122" w14:textId="34371F6E">
            <w:pPr>
              <w:keepNext/>
              <w:kinsoku w:val="0"/>
              <w:overflowPunct w:val="0"/>
              <w:autoSpaceDE w:val="0"/>
              <w:autoSpaceDN w:val="0"/>
              <w:adjustRightInd w:val="0"/>
              <w:contextualSpacing/>
              <w:jc w:val="center"/>
              <w:rPr>
                <w:b/>
                <w:color w:val="000000" w:themeColor="text1"/>
              </w:rPr>
            </w:pPr>
            <w:r>
              <w:rPr>
                <w:b/>
                <w:color w:val="000000" w:themeColor="text1"/>
                <w:spacing w:val="-1"/>
              </w:rPr>
              <w:t>Participation Time (minutes)</w:t>
            </w:r>
          </w:p>
        </w:tc>
        <w:tc>
          <w:tcPr>
            <w:tcW w:w="1435" w:type="dxa"/>
            <w:vAlign w:val="bottom"/>
          </w:tcPr>
          <w:p w:rsidRPr="007732BF" w:rsidR="00A24B03" w:rsidP="00293572" w:rsidRDefault="00A24B03" w14:paraId="0374995A" w14:textId="41BD8D09">
            <w:pPr>
              <w:keepNext/>
              <w:kinsoku w:val="0"/>
              <w:overflowPunct w:val="0"/>
              <w:autoSpaceDE w:val="0"/>
              <w:autoSpaceDN w:val="0"/>
              <w:adjustRightInd w:val="0"/>
              <w:contextualSpacing/>
              <w:jc w:val="center"/>
              <w:rPr>
                <w:b/>
                <w:color w:val="000000" w:themeColor="text1"/>
              </w:rPr>
            </w:pPr>
            <w:r w:rsidRPr="007732BF">
              <w:rPr>
                <w:b/>
                <w:color w:val="000000" w:themeColor="text1"/>
                <w:spacing w:val="-1"/>
              </w:rPr>
              <w:t>Burden (hours)</w:t>
            </w:r>
          </w:p>
        </w:tc>
      </w:tr>
      <w:tr w:rsidRPr="007732BF" w:rsidR="007732BF" w:rsidTr="00344218" w14:paraId="5CEF302A" w14:textId="77777777">
        <w:tc>
          <w:tcPr>
            <w:tcW w:w="9250" w:type="dxa"/>
            <w:gridSpan w:val="4"/>
          </w:tcPr>
          <w:p w:rsidRPr="007732BF" w:rsidR="00293572" w:rsidP="00293572" w:rsidRDefault="00293572" w14:paraId="40C4E76E" w14:textId="56A52D9D">
            <w:pPr>
              <w:keepNext/>
              <w:kinsoku w:val="0"/>
              <w:overflowPunct w:val="0"/>
              <w:autoSpaceDE w:val="0"/>
              <w:autoSpaceDN w:val="0"/>
              <w:adjustRightInd w:val="0"/>
              <w:contextualSpacing/>
              <w:rPr>
                <w:b/>
                <w:i/>
                <w:iCs/>
                <w:color w:val="000000" w:themeColor="text1"/>
                <w:spacing w:val="-1"/>
              </w:rPr>
            </w:pPr>
            <w:r w:rsidRPr="007732BF">
              <w:rPr>
                <w:b/>
                <w:i/>
                <w:iCs/>
                <w:color w:val="000000" w:themeColor="text1"/>
                <w:spacing w:val="-1"/>
              </w:rPr>
              <w:t>Diagnosed Consumers (Psoriasis or Type 2 Diabetes)</w:t>
            </w:r>
          </w:p>
        </w:tc>
      </w:tr>
      <w:tr w:rsidRPr="007732BF" w:rsidR="00A24B03" w:rsidTr="00344218" w14:paraId="47C321B0" w14:textId="77777777">
        <w:tc>
          <w:tcPr>
            <w:tcW w:w="2542" w:type="dxa"/>
            <w:vAlign w:val="center"/>
          </w:tcPr>
          <w:p w:rsidRPr="007732BF" w:rsidR="00A24B03" w:rsidP="00293572" w:rsidRDefault="00A24B03" w14:paraId="70355DEB" w14:textId="25ED53E9">
            <w:pPr>
              <w:kinsoku w:val="0"/>
              <w:overflowPunct w:val="0"/>
              <w:autoSpaceDE w:val="0"/>
              <w:autoSpaceDN w:val="0"/>
              <w:adjustRightInd w:val="0"/>
              <w:contextualSpacing/>
              <w:rPr>
                <w:color w:val="000000" w:themeColor="text1"/>
              </w:rPr>
            </w:pPr>
            <w:r w:rsidRPr="007732BF">
              <w:rPr>
                <w:color w:val="000000" w:themeColor="text1"/>
                <w:spacing w:val="-1"/>
              </w:rPr>
              <w:t>Screener completes</w:t>
            </w:r>
          </w:p>
        </w:tc>
        <w:tc>
          <w:tcPr>
            <w:tcW w:w="2366" w:type="dxa"/>
            <w:vAlign w:val="center"/>
          </w:tcPr>
          <w:p w:rsidRPr="007732BF" w:rsidR="00A24B03" w:rsidP="00293572" w:rsidRDefault="00A24B03" w14:paraId="4A60EEAA" w14:textId="5EA48B3E">
            <w:pPr>
              <w:kinsoku w:val="0"/>
              <w:overflowPunct w:val="0"/>
              <w:autoSpaceDE w:val="0"/>
              <w:autoSpaceDN w:val="0"/>
              <w:adjustRightInd w:val="0"/>
              <w:contextualSpacing/>
              <w:jc w:val="center"/>
              <w:rPr>
                <w:color w:val="000000" w:themeColor="text1"/>
              </w:rPr>
            </w:pPr>
            <w:r w:rsidRPr="007732BF">
              <w:rPr>
                <w:color w:val="000000" w:themeColor="text1"/>
              </w:rPr>
              <w:t>140</w:t>
            </w:r>
          </w:p>
        </w:tc>
        <w:tc>
          <w:tcPr>
            <w:tcW w:w="2907" w:type="dxa"/>
            <w:vAlign w:val="center"/>
          </w:tcPr>
          <w:p w:rsidRPr="007732BF" w:rsidR="00A24B03" w:rsidP="00344218" w:rsidRDefault="00A24B03" w14:paraId="5B6F3602" w14:textId="5D9269A4">
            <w:pPr>
              <w:kinsoku w:val="0"/>
              <w:overflowPunct w:val="0"/>
              <w:autoSpaceDE w:val="0"/>
              <w:autoSpaceDN w:val="0"/>
              <w:adjustRightInd w:val="0"/>
              <w:contextualSpacing/>
              <w:jc w:val="center"/>
            </w:pPr>
            <w:r w:rsidRPr="007732BF">
              <w:t>0.08</w:t>
            </w:r>
          </w:p>
          <w:p w:rsidRPr="007732BF" w:rsidR="00A24B03" w:rsidP="00293572" w:rsidRDefault="00A24B03" w14:paraId="5477DA85" w14:textId="40A7BDDF">
            <w:pPr>
              <w:kinsoku w:val="0"/>
              <w:overflowPunct w:val="0"/>
              <w:autoSpaceDE w:val="0"/>
              <w:autoSpaceDN w:val="0"/>
              <w:adjustRightInd w:val="0"/>
              <w:contextualSpacing/>
              <w:jc w:val="center"/>
              <w:rPr>
                <w:color w:val="000000" w:themeColor="text1"/>
              </w:rPr>
            </w:pPr>
            <w:r w:rsidRPr="007732BF">
              <w:rPr>
                <w:color w:val="000000" w:themeColor="text1"/>
                <w:spacing w:val="-1"/>
              </w:rPr>
              <w:t>(5 min.)</w:t>
            </w:r>
          </w:p>
        </w:tc>
        <w:tc>
          <w:tcPr>
            <w:tcW w:w="1435" w:type="dxa"/>
            <w:vAlign w:val="center"/>
          </w:tcPr>
          <w:p w:rsidRPr="007732BF" w:rsidR="00A24B03" w:rsidP="00293572" w:rsidRDefault="00A24B03" w14:paraId="1506FA75" w14:textId="29B03853">
            <w:pPr>
              <w:kinsoku w:val="0"/>
              <w:overflowPunct w:val="0"/>
              <w:autoSpaceDE w:val="0"/>
              <w:autoSpaceDN w:val="0"/>
              <w:adjustRightInd w:val="0"/>
              <w:contextualSpacing/>
              <w:jc w:val="center"/>
              <w:rPr>
                <w:color w:val="000000" w:themeColor="text1"/>
              </w:rPr>
            </w:pPr>
            <w:r w:rsidRPr="007732BF">
              <w:rPr>
                <w:color w:val="000000" w:themeColor="text1"/>
              </w:rPr>
              <w:t>11</w:t>
            </w:r>
          </w:p>
        </w:tc>
      </w:tr>
      <w:tr w:rsidRPr="007732BF" w:rsidR="00A24B03" w:rsidTr="00344218" w14:paraId="3BDB6EC6" w14:textId="77777777">
        <w:trPr>
          <w:trHeight w:val="620"/>
        </w:trPr>
        <w:tc>
          <w:tcPr>
            <w:tcW w:w="2542" w:type="dxa"/>
            <w:vAlign w:val="center"/>
          </w:tcPr>
          <w:p w:rsidRPr="007732BF" w:rsidR="00A24B03" w:rsidP="00293572" w:rsidRDefault="00A24B03" w14:paraId="23F025D8" w14:textId="1CB8C68C">
            <w:pPr>
              <w:kinsoku w:val="0"/>
              <w:overflowPunct w:val="0"/>
              <w:autoSpaceDE w:val="0"/>
              <w:autoSpaceDN w:val="0"/>
              <w:adjustRightInd w:val="0"/>
              <w:contextualSpacing/>
              <w:rPr>
                <w:color w:val="000000" w:themeColor="text1"/>
              </w:rPr>
            </w:pPr>
            <w:r w:rsidRPr="007732BF">
              <w:rPr>
                <w:color w:val="000000" w:themeColor="text1"/>
                <w:spacing w:val="-1"/>
              </w:rPr>
              <w:t>Number of completes</w:t>
            </w:r>
          </w:p>
        </w:tc>
        <w:tc>
          <w:tcPr>
            <w:tcW w:w="2366" w:type="dxa"/>
            <w:vAlign w:val="center"/>
          </w:tcPr>
          <w:p w:rsidRPr="007732BF" w:rsidR="00A24B03" w:rsidP="00293572" w:rsidRDefault="00A24B03" w14:paraId="4EE89F31" w14:textId="6240733B">
            <w:pPr>
              <w:kinsoku w:val="0"/>
              <w:overflowPunct w:val="0"/>
              <w:autoSpaceDE w:val="0"/>
              <w:autoSpaceDN w:val="0"/>
              <w:adjustRightInd w:val="0"/>
              <w:contextualSpacing/>
              <w:jc w:val="center"/>
              <w:rPr>
                <w:color w:val="000000" w:themeColor="text1"/>
              </w:rPr>
            </w:pPr>
            <w:r w:rsidRPr="007732BF">
              <w:rPr>
                <w:color w:val="000000" w:themeColor="text1"/>
              </w:rPr>
              <w:t>70</w:t>
            </w:r>
          </w:p>
        </w:tc>
        <w:tc>
          <w:tcPr>
            <w:tcW w:w="2907" w:type="dxa"/>
            <w:vAlign w:val="center"/>
          </w:tcPr>
          <w:p w:rsidRPr="007732BF" w:rsidR="00A24B03" w:rsidP="00293572" w:rsidRDefault="00A24B03" w14:paraId="6E09AFF4" w14:textId="2A673BB6">
            <w:pPr>
              <w:kinsoku w:val="0"/>
              <w:overflowPunct w:val="0"/>
              <w:autoSpaceDE w:val="0"/>
              <w:autoSpaceDN w:val="0"/>
              <w:adjustRightInd w:val="0"/>
              <w:contextualSpacing/>
              <w:jc w:val="center"/>
              <w:rPr>
                <w:color w:val="000000" w:themeColor="text1"/>
                <w:spacing w:val="-1"/>
              </w:rPr>
            </w:pPr>
            <w:r w:rsidRPr="007732BF">
              <w:rPr>
                <w:color w:val="000000" w:themeColor="text1"/>
                <w:spacing w:val="-1"/>
              </w:rPr>
              <w:t>1</w:t>
            </w:r>
            <w:r w:rsidR="005C10D9">
              <w:rPr>
                <w:color w:val="000000" w:themeColor="text1"/>
                <w:spacing w:val="-1"/>
              </w:rPr>
              <w:t>.00</w:t>
            </w:r>
          </w:p>
          <w:p w:rsidRPr="007732BF" w:rsidR="00A24B03" w:rsidP="00293572" w:rsidRDefault="00A24B03" w14:paraId="27DCF6C5" w14:textId="2DC15D4F">
            <w:pPr>
              <w:kinsoku w:val="0"/>
              <w:overflowPunct w:val="0"/>
              <w:autoSpaceDE w:val="0"/>
              <w:autoSpaceDN w:val="0"/>
              <w:adjustRightInd w:val="0"/>
              <w:contextualSpacing/>
              <w:jc w:val="center"/>
              <w:rPr>
                <w:color w:val="000000" w:themeColor="text1"/>
              </w:rPr>
            </w:pPr>
            <w:r w:rsidRPr="007732BF">
              <w:rPr>
                <w:color w:val="000000" w:themeColor="text1"/>
                <w:spacing w:val="-1"/>
              </w:rPr>
              <w:t>(60 min.)</w:t>
            </w:r>
          </w:p>
        </w:tc>
        <w:tc>
          <w:tcPr>
            <w:tcW w:w="1435" w:type="dxa"/>
            <w:vAlign w:val="center"/>
          </w:tcPr>
          <w:p w:rsidRPr="007732BF" w:rsidR="00A24B03" w:rsidP="00293572" w:rsidRDefault="00A24B03" w14:paraId="62F3BE61" w14:textId="1CAF46F2">
            <w:pPr>
              <w:kinsoku w:val="0"/>
              <w:overflowPunct w:val="0"/>
              <w:autoSpaceDE w:val="0"/>
              <w:autoSpaceDN w:val="0"/>
              <w:adjustRightInd w:val="0"/>
              <w:contextualSpacing/>
              <w:jc w:val="center"/>
              <w:rPr>
                <w:color w:val="000000" w:themeColor="text1"/>
              </w:rPr>
            </w:pPr>
            <w:r w:rsidRPr="007732BF">
              <w:rPr>
                <w:color w:val="000000" w:themeColor="text1"/>
              </w:rPr>
              <w:t>70</w:t>
            </w:r>
          </w:p>
        </w:tc>
      </w:tr>
      <w:tr w:rsidRPr="007732BF" w:rsidR="007732BF" w:rsidTr="00344218" w14:paraId="65197DB6" w14:textId="77777777">
        <w:tc>
          <w:tcPr>
            <w:tcW w:w="9250" w:type="dxa"/>
            <w:gridSpan w:val="4"/>
            <w:vAlign w:val="center"/>
          </w:tcPr>
          <w:p w:rsidRPr="007732BF" w:rsidR="00293572" w:rsidP="00293572" w:rsidRDefault="00293572" w14:paraId="7807FA47" w14:textId="64DE3465">
            <w:pPr>
              <w:kinsoku w:val="0"/>
              <w:overflowPunct w:val="0"/>
              <w:autoSpaceDE w:val="0"/>
              <w:autoSpaceDN w:val="0"/>
              <w:adjustRightInd w:val="0"/>
              <w:contextualSpacing/>
              <w:rPr>
                <w:b/>
                <w:bCs/>
                <w:i/>
                <w:color w:val="000000" w:themeColor="text1"/>
              </w:rPr>
            </w:pPr>
            <w:r w:rsidRPr="007732BF">
              <w:rPr>
                <w:b/>
                <w:bCs/>
                <w:i/>
                <w:color w:val="000000" w:themeColor="text1"/>
              </w:rPr>
              <w:t>HCPs</w:t>
            </w:r>
          </w:p>
        </w:tc>
      </w:tr>
      <w:tr w:rsidRPr="007732BF" w:rsidR="00A24B03" w:rsidTr="00344218" w14:paraId="50443AEC" w14:textId="77777777">
        <w:trPr>
          <w:trHeight w:val="656"/>
        </w:trPr>
        <w:tc>
          <w:tcPr>
            <w:tcW w:w="2542" w:type="dxa"/>
            <w:vAlign w:val="center"/>
          </w:tcPr>
          <w:p w:rsidRPr="007732BF" w:rsidR="00A24B03" w:rsidP="00293572" w:rsidRDefault="00A24B03" w14:paraId="66394A26" w14:textId="77A5A579">
            <w:pPr>
              <w:kinsoku w:val="0"/>
              <w:overflowPunct w:val="0"/>
              <w:autoSpaceDE w:val="0"/>
              <w:autoSpaceDN w:val="0"/>
              <w:adjustRightInd w:val="0"/>
              <w:contextualSpacing/>
              <w:rPr>
                <w:color w:val="000000" w:themeColor="text1"/>
              </w:rPr>
            </w:pPr>
            <w:r w:rsidRPr="007732BF">
              <w:rPr>
                <w:color w:val="000000" w:themeColor="text1"/>
                <w:spacing w:val="-1"/>
              </w:rPr>
              <w:t>Screener completes</w:t>
            </w:r>
          </w:p>
        </w:tc>
        <w:tc>
          <w:tcPr>
            <w:tcW w:w="2366" w:type="dxa"/>
            <w:vAlign w:val="center"/>
          </w:tcPr>
          <w:p w:rsidRPr="007732BF" w:rsidR="00A24B03" w:rsidP="00293572" w:rsidRDefault="00A24B03" w14:paraId="3EDE83BF" w14:textId="77777777">
            <w:pPr>
              <w:kinsoku w:val="0"/>
              <w:overflowPunct w:val="0"/>
              <w:autoSpaceDE w:val="0"/>
              <w:autoSpaceDN w:val="0"/>
              <w:adjustRightInd w:val="0"/>
              <w:contextualSpacing/>
              <w:jc w:val="center"/>
              <w:rPr>
                <w:color w:val="000000" w:themeColor="text1"/>
              </w:rPr>
            </w:pPr>
            <w:r w:rsidRPr="007732BF">
              <w:rPr>
                <w:color w:val="000000" w:themeColor="text1"/>
                <w:spacing w:val="-1"/>
              </w:rPr>
              <w:t>104</w:t>
            </w:r>
          </w:p>
        </w:tc>
        <w:tc>
          <w:tcPr>
            <w:tcW w:w="2907" w:type="dxa"/>
            <w:vAlign w:val="center"/>
          </w:tcPr>
          <w:p w:rsidRPr="007732BF" w:rsidR="00A24B03" w:rsidP="00293572" w:rsidRDefault="00A24B03" w14:paraId="3E1DB3A4" w14:textId="74C0B260">
            <w:pPr>
              <w:pStyle w:val="BodyText"/>
              <w:kinsoku w:val="0"/>
              <w:overflowPunct w:val="0"/>
              <w:ind w:left="96"/>
              <w:contextualSpacing/>
              <w:jc w:val="center"/>
              <w:rPr>
                <w:i w:val="0"/>
                <w:iCs w:val="0"/>
                <w:color w:val="000000" w:themeColor="text1"/>
                <w:spacing w:val="-1"/>
                <w:sz w:val="24"/>
                <w:szCs w:val="24"/>
              </w:rPr>
            </w:pPr>
            <w:r w:rsidRPr="007732BF">
              <w:rPr>
                <w:i w:val="0"/>
                <w:iCs w:val="0"/>
                <w:color w:val="000000" w:themeColor="text1"/>
                <w:spacing w:val="-1"/>
                <w:sz w:val="24"/>
                <w:szCs w:val="24"/>
              </w:rPr>
              <w:t>0.08</w:t>
            </w:r>
          </w:p>
          <w:p w:rsidRPr="007732BF" w:rsidR="00A24B03" w:rsidP="00293572" w:rsidRDefault="00A24B03" w14:paraId="14816343" w14:textId="0A467687">
            <w:pPr>
              <w:kinsoku w:val="0"/>
              <w:overflowPunct w:val="0"/>
              <w:autoSpaceDE w:val="0"/>
              <w:autoSpaceDN w:val="0"/>
              <w:adjustRightInd w:val="0"/>
              <w:contextualSpacing/>
              <w:jc w:val="center"/>
              <w:rPr>
                <w:color w:val="000000" w:themeColor="text1"/>
              </w:rPr>
            </w:pPr>
            <w:r w:rsidRPr="007732BF">
              <w:rPr>
                <w:color w:val="000000" w:themeColor="text1"/>
                <w:spacing w:val="-1"/>
              </w:rPr>
              <w:t>(5 min.)</w:t>
            </w:r>
          </w:p>
        </w:tc>
        <w:tc>
          <w:tcPr>
            <w:tcW w:w="1435" w:type="dxa"/>
            <w:vAlign w:val="center"/>
          </w:tcPr>
          <w:p w:rsidRPr="007732BF" w:rsidR="00A24B03" w:rsidP="00293572" w:rsidRDefault="00A24B03" w14:paraId="42C9BC29" w14:textId="505125EE">
            <w:pPr>
              <w:kinsoku w:val="0"/>
              <w:overflowPunct w:val="0"/>
              <w:autoSpaceDE w:val="0"/>
              <w:autoSpaceDN w:val="0"/>
              <w:adjustRightInd w:val="0"/>
              <w:contextualSpacing/>
              <w:jc w:val="center"/>
              <w:rPr>
                <w:color w:val="000000" w:themeColor="text1"/>
              </w:rPr>
            </w:pPr>
            <w:r w:rsidRPr="007732BF">
              <w:rPr>
                <w:color w:val="000000" w:themeColor="text1"/>
              </w:rPr>
              <w:t>8</w:t>
            </w:r>
          </w:p>
        </w:tc>
      </w:tr>
      <w:tr w:rsidRPr="007732BF" w:rsidR="00A24B03" w:rsidTr="00344218" w14:paraId="1EAED78F" w14:textId="77777777">
        <w:trPr>
          <w:trHeight w:val="620"/>
        </w:trPr>
        <w:tc>
          <w:tcPr>
            <w:tcW w:w="2542" w:type="dxa"/>
            <w:vAlign w:val="center"/>
          </w:tcPr>
          <w:p w:rsidRPr="007732BF" w:rsidR="00A24B03" w:rsidP="00293572" w:rsidRDefault="00A24B03" w14:paraId="64955B41" w14:textId="3ECEC3F0">
            <w:pPr>
              <w:kinsoku w:val="0"/>
              <w:overflowPunct w:val="0"/>
              <w:autoSpaceDE w:val="0"/>
              <w:autoSpaceDN w:val="0"/>
              <w:adjustRightInd w:val="0"/>
              <w:contextualSpacing/>
              <w:rPr>
                <w:color w:val="000000" w:themeColor="text1"/>
              </w:rPr>
            </w:pPr>
            <w:r w:rsidRPr="007732BF">
              <w:rPr>
                <w:color w:val="000000" w:themeColor="text1"/>
                <w:spacing w:val="-1"/>
              </w:rPr>
              <w:t>Number of completes</w:t>
            </w:r>
          </w:p>
        </w:tc>
        <w:tc>
          <w:tcPr>
            <w:tcW w:w="2366" w:type="dxa"/>
            <w:vAlign w:val="center"/>
          </w:tcPr>
          <w:p w:rsidRPr="007732BF" w:rsidR="00A24B03" w:rsidP="00293572" w:rsidRDefault="00A24B03" w14:paraId="50DABF8D" w14:textId="6C10C07B">
            <w:pPr>
              <w:kinsoku w:val="0"/>
              <w:overflowPunct w:val="0"/>
              <w:autoSpaceDE w:val="0"/>
              <w:autoSpaceDN w:val="0"/>
              <w:adjustRightInd w:val="0"/>
              <w:contextualSpacing/>
              <w:jc w:val="center"/>
              <w:rPr>
                <w:color w:val="000000" w:themeColor="text1"/>
              </w:rPr>
            </w:pPr>
            <w:r w:rsidRPr="007732BF">
              <w:rPr>
                <w:color w:val="000000" w:themeColor="text1"/>
                <w:spacing w:val="-1"/>
              </w:rPr>
              <w:t>35</w:t>
            </w:r>
          </w:p>
        </w:tc>
        <w:tc>
          <w:tcPr>
            <w:tcW w:w="2907" w:type="dxa"/>
            <w:vAlign w:val="center"/>
          </w:tcPr>
          <w:p w:rsidRPr="007732BF" w:rsidR="00A24B03" w:rsidP="00293572" w:rsidRDefault="00A24B03" w14:paraId="2D3DB9F7" w14:textId="1C72C184">
            <w:pPr>
              <w:kinsoku w:val="0"/>
              <w:overflowPunct w:val="0"/>
              <w:autoSpaceDE w:val="0"/>
              <w:autoSpaceDN w:val="0"/>
              <w:adjustRightInd w:val="0"/>
              <w:contextualSpacing/>
              <w:jc w:val="center"/>
              <w:rPr>
                <w:color w:val="000000" w:themeColor="text1"/>
                <w:spacing w:val="-1"/>
              </w:rPr>
            </w:pPr>
            <w:r w:rsidRPr="007732BF">
              <w:rPr>
                <w:color w:val="000000" w:themeColor="text1"/>
                <w:spacing w:val="-1"/>
              </w:rPr>
              <w:t>1</w:t>
            </w:r>
            <w:r w:rsidR="005C10D9">
              <w:rPr>
                <w:color w:val="000000" w:themeColor="text1"/>
                <w:spacing w:val="-1"/>
              </w:rPr>
              <w:t>.00</w:t>
            </w:r>
          </w:p>
          <w:p w:rsidRPr="007732BF" w:rsidR="00A24B03" w:rsidP="00293572" w:rsidRDefault="00A24B03" w14:paraId="2EF60FCB" w14:textId="566F0C53">
            <w:pPr>
              <w:kinsoku w:val="0"/>
              <w:overflowPunct w:val="0"/>
              <w:autoSpaceDE w:val="0"/>
              <w:autoSpaceDN w:val="0"/>
              <w:adjustRightInd w:val="0"/>
              <w:contextualSpacing/>
              <w:jc w:val="center"/>
              <w:rPr>
                <w:color w:val="000000" w:themeColor="text1"/>
              </w:rPr>
            </w:pPr>
            <w:r w:rsidRPr="007732BF">
              <w:rPr>
                <w:color w:val="000000" w:themeColor="text1"/>
              </w:rPr>
              <w:t>(60 min.)</w:t>
            </w:r>
          </w:p>
        </w:tc>
        <w:tc>
          <w:tcPr>
            <w:tcW w:w="1435" w:type="dxa"/>
            <w:vAlign w:val="center"/>
          </w:tcPr>
          <w:p w:rsidRPr="007732BF" w:rsidR="00A24B03" w:rsidP="00293572" w:rsidRDefault="00A24B03" w14:paraId="30C8B404" w14:textId="55FDC4F2">
            <w:pPr>
              <w:kinsoku w:val="0"/>
              <w:overflowPunct w:val="0"/>
              <w:autoSpaceDE w:val="0"/>
              <w:autoSpaceDN w:val="0"/>
              <w:adjustRightInd w:val="0"/>
              <w:contextualSpacing/>
              <w:jc w:val="center"/>
              <w:rPr>
                <w:color w:val="000000" w:themeColor="text1"/>
              </w:rPr>
            </w:pPr>
            <w:r w:rsidRPr="007732BF">
              <w:rPr>
                <w:color w:val="000000" w:themeColor="text1"/>
              </w:rPr>
              <w:t>35</w:t>
            </w:r>
          </w:p>
        </w:tc>
      </w:tr>
      <w:tr w:rsidRPr="007732BF" w:rsidR="007732BF" w:rsidTr="00344218" w14:paraId="32890156" w14:textId="77777777">
        <w:trPr>
          <w:trHeight w:val="620"/>
        </w:trPr>
        <w:tc>
          <w:tcPr>
            <w:tcW w:w="7815" w:type="dxa"/>
            <w:gridSpan w:val="3"/>
            <w:tcBorders>
              <w:bottom w:val="single" w:color="auto" w:sz="4" w:space="0"/>
            </w:tcBorders>
            <w:vAlign w:val="center"/>
          </w:tcPr>
          <w:p w:rsidRPr="007732BF" w:rsidR="00774929" w:rsidP="00774929" w:rsidRDefault="00774929" w14:paraId="4131E090" w14:textId="0D2D0BD7">
            <w:pPr>
              <w:kinsoku w:val="0"/>
              <w:overflowPunct w:val="0"/>
              <w:autoSpaceDE w:val="0"/>
              <w:autoSpaceDN w:val="0"/>
              <w:adjustRightInd w:val="0"/>
              <w:contextualSpacing/>
              <w:rPr>
                <w:b/>
                <w:bCs/>
                <w:color w:val="000000" w:themeColor="text1"/>
                <w:spacing w:val="-1"/>
              </w:rPr>
            </w:pPr>
            <w:r w:rsidRPr="007732BF">
              <w:rPr>
                <w:b/>
                <w:bCs/>
                <w:color w:val="000000" w:themeColor="text1"/>
                <w:spacing w:val="-1"/>
              </w:rPr>
              <w:t>Total Hours</w:t>
            </w:r>
          </w:p>
        </w:tc>
        <w:tc>
          <w:tcPr>
            <w:tcW w:w="1435" w:type="dxa"/>
            <w:tcBorders>
              <w:bottom w:val="single" w:color="auto" w:sz="4" w:space="0"/>
            </w:tcBorders>
            <w:vAlign w:val="center"/>
          </w:tcPr>
          <w:p w:rsidRPr="007732BF" w:rsidR="00774929" w:rsidP="00293572" w:rsidRDefault="00774929" w14:paraId="3180BABF" w14:textId="3E2F4610">
            <w:pPr>
              <w:kinsoku w:val="0"/>
              <w:overflowPunct w:val="0"/>
              <w:autoSpaceDE w:val="0"/>
              <w:autoSpaceDN w:val="0"/>
              <w:adjustRightInd w:val="0"/>
              <w:contextualSpacing/>
              <w:jc w:val="center"/>
              <w:rPr>
                <w:color w:val="000000" w:themeColor="text1"/>
              </w:rPr>
            </w:pPr>
            <w:r w:rsidRPr="007732BF">
              <w:rPr>
                <w:color w:val="000000" w:themeColor="text1"/>
              </w:rPr>
              <w:t>126</w:t>
            </w:r>
          </w:p>
        </w:tc>
      </w:tr>
    </w:tbl>
    <w:p w:rsidRPr="007732BF" w:rsidR="007C7DF4" w:rsidRDefault="007C7DF4" w14:paraId="7505654A" w14:textId="147F71D9">
      <w:pPr>
        <w:rPr>
          <w:i/>
          <w:color w:val="000000" w:themeColor="text1"/>
        </w:rPr>
      </w:pPr>
    </w:p>
    <w:p w:rsidRPr="007732BF" w:rsidR="003F1C7A" w:rsidP="005E6CFD" w:rsidRDefault="003F1C7A" w14:paraId="147C652E" w14:textId="05B1B7B3">
      <w:pPr>
        <w:pStyle w:val="ListParagraph"/>
        <w:ind w:left="0"/>
        <w:rPr>
          <w:color w:val="000000" w:themeColor="text1"/>
        </w:rPr>
      </w:pPr>
      <w:r w:rsidRPr="007732BF">
        <w:rPr>
          <w:b/>
          <w:color w:val="000000" w:themeColor="text1"/>
        </w:rPr>
        <w:t xml:space="preserve">REQUESTED APPROVAL DATE:  </w:t>
      </w:r>
      <w:r w:rsidRPr="007732BF" w:rsidR="00F1559D">
        <w:rPr>
          <w:color w:val="000000" w:themeColor="text1"/>
        </w:rPr>
        <w:t>July</w:t>
      </w:r>
      <w:r w:rsidR="009E451B">
        <w:rPr>
          <w:color w:val="000000" w:themeColor="text1"/>
        </w:rPr>
        <w:t xml:space="preserve"> </w:t>
      </w:r>
      <w:r w:rsidR="00C0259F">
        <w:rPr>
          <w:color w:val="000000" w:themeColor="text1"/>
        </w:rPr>
        <w:t>23</w:t>
      </w:r>
      <w:r w:rsidRPr="007732BF" w:rsidR="00F95A48">
        <w:rPr>
          <w:color w:val="000000" w:themeColor="text1"/>
        </w:rPr>
        <w:t>, 20</w:t>
      </w:r>
      <w:r w:rsidRPr="007732BF" w:rsidR="00F1559D">
        <w:rPr>
          <w:color w:val="000000" w:themeColor="text1"/>
        </w:rPr>
        <w:t>21</w:t>
      </w:r>
    </w:p>
    <w:p w:rsidRPr="007732BF" w:rsidR="00F85B56" w:rsidP="005E6CFD" w:rsidRDefault="00F85B56" w14:paraId="03426537" w14:textId="77777777">
      <w:pPr>
        <w:pStyle w:val="ListParagraph"/>
        <w:ind w:left="0"/>
        <w:rPr>
          <w:b/>
          <w:color w:val="000000" w:themeColor="text1"/>
        </w:rPr>
      </w:pPr>
    </w:p>
    <w:p w:rsidRPr="007732BF" w:rsidR="00140A0D" w:rsidP="00140A0D" w:rsidRDefault="00140A0D" w14:paraId="253197BE" w14:textId="77777777">
      <w:pPr>
        <w:rPr>
          <w:b/>
          <w:color w:val="000000" w:themeColor="text1"/>
        </w:rPr>
      </w:pPr>
      <w:r w:rsidRPr="007732BF">
        <w:rPr>
          <w:b/>
          <w:color w:val="000000" w:themeColor="text1"/>
        </w:rPr>
        <w:t xml:space="preserve">NAME OF PRA ANALYST &amp; PROGRAM CONTACT:   </w:t>
      </w:r>
    </w:p>
    <w:p w:rsidRPr="007732BF" w:rsidR="003E0D11" w:rsidP="00140A0D" w:rsidRDefault="003E0D11" w14:paraId="7A9726AB" w14:textId="77777777">
      <w:pPr>
        <w:rPr>
          <w:b/>
          <w:color w:val="000000" w:themeColor="text1"/>
        </w:rPr>
      </w:pPr>
    </w:p>
    <w:p w:rsidRPr="007732BF" w:rsidR="003E0D11" w:rsidP="003E0D11" w:rsidRDefault="00F85B56" w14:paraId="13B36C61" w14:textId="1EF3C52A">
      <w:pPr>
        <w:rPr>
          <w:color w:val="000000" w:themeColor="text1"/>
        </w:rPr>
      </w:pPr>
      <w:r w:rsidRPr="007732BF">
        <w:rPr>
          <w:color w:val="000000" w:themeColor="text1"/>
        </w:rPr>
        <w:t xml:space="preserve">Ila </w:t>
      </w:r>
      <w:r w:rsidR="00E372AD">
        <w:rPr>
          <w:color w:val="000000" w:themeColor="text1"/>
        </w:rPr>
        <w:t xml:space="preserve">S. </w:t>
      </w:r>
      <w:r w:rsidRPr="007732BF">
        <w:rPr>
          <w:color w:val="000000" w:themeColor="text1"/>
        </w:rPr>
        <w:t>Mizrachi</w:t>
      </w:r>
    </w:p>
    <w:p w:rsidRPr="007732BF" w:rsidR="003E0D11" w:rsidP="003E0D11" w:rsidRDefault="003E0D11" w14:paraId="65517B42" w14:textId="77777777">
      <w:pPr>
        <w:rPr>
          <w:color w:val="000000" w:themeColor="text1"/>
        </w:rPr>
      </w:pPr>
      <w:r w:rsidRPr="007732BF">
        <w:rPr>
          <w:color w:val="000000" w:themeColor="text1"/>
        </w:rPr>
        <w:t>Paperwork Reduction Act Staff</w:t>
      </w:r>
    </w:p>
    <w:p w:rsidRPr="007732BF" w:rsidR="003E0D11" w:rsidP="003E0D11" w:rsidRDefault="00B80793" w14:paraId="01F291C2" w14:textId="77777777">
      <w:pPr>
        <w:rPr>
          <w:color w:val="000000" w:themeColor="text1"/>
        </w:rPr>
      </w:pPr>
      <w:hyperlink w:history="1" r:id="rId8">
        <w:r w:rsidRPr="007732BF" w:rsidR="00F85B56">
          <w:rPr>
            <w:rStyle w:val="Hyperlink"/>
            <w:color w:val="000000" w:themeColor="text1"/>
          </w:rPr>
          <w:t>ila.mizrachi@fda.hhs.gov</w:t>
        </w:r>
      </w:hyperlink>
    </w:p>
    <w:p w:rsidRPr="007732BF" w:rsidR="003E0D11" w:rsidP="003E0D11" w:rsidRDefault="003E0D11" w14:paraId="51CE7FD7" w14:textId="093B705A">
      <w:pPr>
        <w:rPr>
          <w:color w:val="000000" w:themeColor="text1"/>
        </w:rPr>
      </w:pPr>
      <w:r w:rsidRPr="007732BF">
        <w:rPr>
          <w:color w:val="000000" w:themeColor="text1"/>
        </w:rPr>
        <w:t>301</w:t>
      </w:r>
      <w:r w:rsidR="009E451B">
        <w:rPr>
          <w:color w:val="000000" w:themeColor="text1"/>
        </w:rPr>
        <w:t>-</w:t>
      </w:r>
      <w:r w:rsidRPr="007732BF">
        <w:rPr>
          <w:color w:val="000000" w:themeColor="text1"/>
        </w:rPr>
        <w:t>796-</w:t>
      </w:r>
      <w:r w:rsidRPr="007732BF" w:rsidR="00F85B56">
        <w:rPr>
          <w:color w:val="000000" w:themeColor="text1"/>
        </w:rPr>
        <w:t>7726</w:t>
      </w:r>
    </w:p>
    <w:p w:rsidRPr="007732BF" w:rsidR="003E0D11" w:rsidP="003E0D11" w:rsidRDefault="003E0D11" w14:paraId="7A0B3611" w14:textId="77777777">
      <w:pPr>
        <w:rPr>
          <w:color w:val="000000" w:themeColor="text1"/>
        </w:rPr>
      </w:pPr>
    </w:p>
    <w:p w:rsidRPr="007732BF" w:rsidR="003E0D11" w:rsidP="003E0D11" w:rsidRDefault="007E7811" w14:paraId="1B262EA7" w14:textId="47E3A7C2">
      <w:pPr>
        <w:rPr>
          <w:color w:val="000000" w:themeColor="text1"/>
        </w:rPr>
      </w:pPr>
      <w:r w:rsidRPr="007732BF">
        <w:rPr>
          <w:color w:val="000000" w:themeColor="text1"/>
        </w:rPr>
        <w:t>Kathryn Aikin</w:t>
      </w:r>
      <w:r w:rsidRPr="007732BF" w:rsidR="005E6CFD">
        <w:rPr>
          <w:color w:val="000000" w:themeColor="text1"/>
        </w:rPr>
        <w:t>, Ph.D.</w:t>
      </w:r>
    </w:p>
    <w:p w:rsidRPr="007732BF" w:rsidR="00614F6F" w:rsidP="003E0D11" w:rsidRDefault="009E451B" w14:paraId="22D8758A" w14:textId="61720139">
      <w:pPr>
        <w:rPr>
          <w:color w:val="000000" w:themeColor="text1"/>
        </w:rPr>
      </w:pPr>
      <w:r>
        <w:rPr>
          <w:color w:val="000000" w:themeColor="text1"/>
        </w:rPr>
        <w:t xml:space="preserve">Senior </w:t>
      </w:r>
      <w:r w:rsidRPr="007732BF" w:rsidR="00614F6F">
        <w:rPr>
          <w:color w:val="000000" w:themeColor="text1"/>
        </w:rPr>
        <w:t>Social Science Analyst</w:t>
      </w:r>
    </w:p>
    <w:p w:rsidRPr="007732BF" w:rsidR="003E0D11" w:rsidP="003E0D11" w:rsidRDefault="00B80793" w14:paraId="64F8B30D" w14:textId="3F9E7B1F">
      <w:pPr>
        <w:rPr>
          <w:color w:val="000000" w:themeColor="text1"/>
        </w:rPr>
      </w:pPr>
      <w:hyperlink w:history="1" r:id="rId9">
        <w:r w:rsidRPr="007732BF" w:rsidR="007E7811">
          <w:rPr>
            <w:rStyle w:val="Hyperlink"/>
            <w:color w:val="000000" w:themeColor="text1"/>
          </w:rPr>
          <w:t>Kathryn.Aikin@fda.hhs.gov</w:t>
        </w:r>
      </w:hyperlink>
    </w:p>
    <w:p w:rsidRPr="007732BF" w:rsidR="007E7811" w:rsidP="003E0D11" w:rsidRDefault="007E7811" w14:paraId="4D3879C4" w14:textId="4019E475">
      <w:pPr>
        <w:rPr>
          <w:bCs/>
          <w:color w:val="000000" w:themeColor="text1"/>
        </w:rPr>
      </w:pPr>
      <w:r w:rsidRPr="007732BF">
        <w:rPr>
          <w:bCs/>
          <w:color w:val="000000" w:themeColor="text1"/>
        </w:rPr>
        <w:t>301-796-0569</w:t>
      </w:r>
    </w:p>
    <w:p w:rsidRPr="007732BF" w:rsidR="00140A0D" w:rsidP="00140A0D" w:rsidRDefault="00140A0D" w14:paraId="33F9E2EC" w14:textId="77777777">
      <w:pPr>
        <w:tabs>
          <w:tab w:val="left" w:pos="5670"/>
        </w:tabs>
        <w:suppressAutoHyphens/>
        <w:rPr>
          <w:b/>
          <w:color w:val="000000" w:themeColor="text1"/>
        </w:rPr>
      </w:pPr>
    </w:p>
    <w:p w:rsidRPr="007732BF" w:rsidR="005C47CD" w:rsidP="00344218" w:rsidRDefault="00140A0D" w14:paraId="0E41B72D" w14:textId="759F131B">
      <w:pPr>
        <w:tabs>
          <w:tab w:val="left" w:pos="5670"/>
        </w:tabs>
        <w:suppressAutoHyphens/>
        <w:rPr>
          <w:b/>
          <w:color w:val="000000" w:themeColor="text1"/>
        </w:rPr>
      </w:pPr>
      <w:r w:rsidRPr="007732BF">
        <w:rPr>
          <w:b/>
          <w:color w:val="000000" w:themeColor="text1"/>
        </w:rPr>
        <w:t xml:space="preserve">FDA CENTER:  </w:t>
      </w:r>
      <w:r w:rsidRPr="007732BF" w:rsidR="005F13A2">
        <w:rPr>
          <w:color w:val="000000" w:themeColor="text1"/>
        </w:rPr>
        <w:t xml:space="preserve">Center for Drug Evaluation and Research, </w:t>
      </w:r>
      <w:r w:rsidRPr="007732BF" w:rsidR="00614F6F">
        <w:rPr>
          <w:color w:val="000000" w:themeColor="text1"/>
        </w:rPr>
        <w:t>Office of Prescription Drug Promotion</w:t>
      </w:r>
    </w:p>
    <w:sectPr w:rsidRPr="007732BF" w:rsidR="005C47CD">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91936" w14:textId="77777777" w:rsidR="00FE5E65" w:rsidRDefault="00FE5E65">
      <w:r>
        <w:separator/>
      </w:r>
    </w:p>
  </w:endnote>
  <w:endnote w:type="continuationSeparator" w:id="0">
    <w:p w14:paraId="413ECB8A" w14:textId="77777777" w:rsidR="00FE5E65" w:rsidRDefault="00FE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TUR">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_thai">
    <w:altName w:val="Calibri"/>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0E190" w14:textId="2CA5FCFB" w:rsidR="007A64E7" w:rsidRDefault="007A64E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7BDCA" w14:textId="77777777" w:rsidR="00FE5E65" w:rsidRDefault="00FE5E65">
      <w:r>
        <w:separator/>
      </w:r>
    </w:p>
  </w:footnote>
  <w:footnote w:type="continuationSeparator" w:id="0">
    <w:p w14:paraId="3C8BE53A" w14:textId="77777777" w:rsidR="00FE5E65" w:rsidRDefault="00FE5E65">
      <w:r>
        <w:continuationSeparator/>
      </w:r>
    </w:p>
  </w:footnote>
  <w:footnote w:id="1">
    <w:p w14:paraId="4267B2B9" w14:textId="6740B68D" w:rsidR="00354481" w:rsidRPr="00354481" w:rsidRDefault="00354481" w:rsidP="00354481">
      <w:pPr>
        <w:pStyle w:val="ResponseOption"/>
        <w:numPr>
          <w:ilvl w:val="0"/>
          <w:numId w:val="0"/>
        </w:numPr>
        <w:ind w:left="360" w:hanging="360"/>
        <w:rPr>
          <w:rFonts w:ascii="Times New Roman" w:hAnsi="Times New Roman" w:cs="Times New Roman"/>
          <w:b/>
          <w:bCs/>
          <w:sz w:val="20"/>
          <w:szCs w:val="20"/>
        </w:rPr>
      </w:pPr>
      <w:r w:rsidRPr="00354481">
        <w:rPr>
          <w:rStyle w:val="FootnoteReference"/>
          <w:rFonts w:ascii="Times New Roman" w:hAnsi="Times New Roman" w:cs="Times New Roman"/>
          <w:sz w:val="20"/>
          <w:szCs w:val="20"/>
          <w:vertAlign w:val="superscript"/>
        </w:rPr>
        <w:footnoteRef/>
      </w:r>
      <w:r w:rsidRPr="00354481">
        <w:rPr>
          <w:rFonts w:ascii="Times New Roman" w:hAnsi="Times New Roman" w:cs="Times New Roman"/>
          <w:color w:val="000000"/>
          <w:sz w:val="20"/>
          <w:szCs w:val="20"/>
          <w:shd w:val="clear" w:color="auto" w:fill="FFFFFF"/>
        </w:rPr>
        <w:t xml:space="preserve">AMA Physician Masterfile: American Medical Association; 2020. Accessed January 29, 2021. </w:t>
      </w:r>
      <w:hyperlink r:id="rId1" w:tgtFrame="_blank" w:history="1">
        <w:r w:rsidRPr="00354481">
          <w:rPr>
            <w:rStyle w:val="Hyperlink"/>
            <w:rFonts w:ascii="Times New Roman" w:hAnsi="Times New Roman" w:cs="Times New Roman"/>
            <w:color w:val="2F4A8B"/>
            <w:sz w:val="20"/>
            <w:szCs w:val="20"/>
            <w:shd w:val="clear" w:color="auto" w:fill="FFFFFF"/>
          </w:rPr>
          <w:t>https://www.ama-assn.org/life-career/ama-physician-masterfile</w:t>
        </w:r>
      </w:hyperlink>
      <w:r w:rsidRPr="00354481">
        <w:rPr>
          <w:rFonts w:ascii="Times New Roman" w:hAnsi="Times New Roman" w:cs="Times New Roman"/>
          <w:color w:val="000000"/>
          <w:sz w:val="20"/>
          <w:szCs w:val="20"/>
          <w:shd w:val="clear" w:color="auto" w:fill="FFFFFF"/>
        </w:rPr>
        <w:t>.</w:t>
      </w:r>
    </w:p>
  </w:footnote>
  <w:footnote w:id="2">
    <w:p w14:paraId="37FB4B80" w14:textId="334E8721" w:rsidR="008C17CB" w:rsidRPr="000947CE" w:rsidRDefault="008C17CB">
      <w:pPr>
        <w:pStyle w:val="FootnoteText"/>
      </w:pPr>
      <w:r w:rsidRPr="000947CE">
        <w:rPr>
          <w:rStyle w:val="FootnoteReference"/>
          <w:vertAlign w:val="superscript"/>
        </w:rPr>
        <w:footnoteRef/>
      </w:r>
      <w:r w:rsidRPr="000947CE">
        <w:rPr>
          <w:vertAlign w:val="superscript"/>
        </w:rPr>
        <w:t xml:space="preserve"> </w:t>
      </w:r>
      <w:r w:rsidRPr="000947CE">
        <w:t xml:space="preserve">Morris, N. S., MacLean, C. D., Chew, L. D., &amp; Littenberg, B. (2006). The single item literacy screener: Evaluation of a brief instrument to identify limited reading ability. </w:t>
      </w:r>
      <w:r w:rsidRPr="000947CE">
        <w:rPr>
          <w:i/>
        </w:rPr>
        <w:t>BMC Family Practice, 7</w:t>
      </w:r>
      <w:r w:rsidRPr="000947CE">
        <w:t>(21), 1-7.</w:t>
      </w:r>
    </w:p>
  </w:footnote>
  <w:footnote w:id="3">
    <w:p w14:paraId="6EBFB9D0" w14:textId="0DE104F4" w:rsidR="00370889" w:rsidRPr="00C00C53" w:rsidRDefault="00370889" w:rsidP="006C5643">
      <w:pPr>
        <w:autoSpaceDE w:val="0"/>
        <w:autoSpaceDN w:val="0"/>
        <w:rPr>
          <w:color w:val="000000" w:themeColor="text1"/>
          <w:sz w:val="20"/>
          <w:szCs w:val="20"/>
        </w:rPr>
      </w:pPr>
      <w:r w:rsidRPr="00C00C53">
        <w:rPr>
          <w:rStyle w:val="FootnoteReference"/>
          <w:color w:val="000000" w:themeColor="text1"/>
          <w:sz w:val="20"/>
          <w:szCs w:val="20"/>
          <w:vertAlign w:val="superscript"/>
        </w:rPr>
        <w:footnoteRef/>
      </w:r>
      <w:r w:rsidRPr="00C00C53">
        <w:rPr>
          <w:color w:val="000000" w:themeColor="text1"/>
          <w:sz w:val="20"/>
          <w:szCs w:val="20"/>
          <w:lang w:val="en"/>
        </w:rPr>
        <w:t>Russell, M</w:t>
      </w:r>
      <w:r w:rsidR="000947CE" w:rsidRPr="00C00C53">
        <w:rPr>
          <w:color w:val="000000" w:themeColor="text1"/>
          <w:sz w:val="20"/>
          <w:szCs w:val="20"/>
          <w:lang w:val="en"/>
        </w:rPr>
        <w:t xml:space="preserve">. </w:t>
      </w:r>
      <w:r w:rsidRPr="00C00C53">
        <w:rPr>
          <w:color w:val="000000" w:themeColor="text1"/>
          <w:sz w:val="20"/>
          <w:szCs w:val="20"/>
          <w:lang w:val="en"/>
        </w:rPr>
        <w:t>L., Moralejo, D</w:t>
      </w:r>
      <w:r w:rsidR="000947CE" w:rsidRPr="00C00C53">
        <w:rPr>
          <w:color w:val="000000" w:themeColor="text1"/>
          <w:sz w:val="20"/>
          <w:szCs w:val="20"/>
          <w:lang w:val="en"/>
        </w:rPr>
        <w:t xml:space="preserve">. </w:t>
      </w:r>
      <w:r w:rsidRPr="00C00C53">
        <w:rPr>
          <w:color w:val="000000" w:themeColor="text1"/>
          <w:sz w:val="20"/>
          <w:szCs w:val="20"/>
          <w:lang w:val="en"/>
        </w:rPr>
        <w:t>G., Burgess, E</w:t>
      </w:r>
      <w:r w:rsidR="000947CE" w:rsidRPr="00C00C53">
        <w:rPr>
          <w:color w:val="000000" w:themeColor="text1"/>
          <w:sz w:val="20"/>
          <w:szCs w:val="20"/>
          <w:lang w:val="en"/>
        </w:rPr>
        <w:t xml:space="preserve">. </w:t>
      </w:r>
      <w:r w:rsidRPr="00C00C53">
        <w:rPr>
          <w:color w:val="000000" w:themeColor="text1"/>
          <w:sz w:val="20"/>
          <w:szCs w:val="20"/>
          <w:lang w:val="en"/>
        </w:rPr>
        <w:t xml:space="preserve">D. (2000). Paying research subjects: Participants’ perspectives. </w:t>
      </w:r>
      <w:r w:rsidRPr="00C00C53">
        <w:rPr>
          <w:i/>
          <w:color w:val="000000" w:themeColor="text1"/>
          <w:sz w:val="20"/>
          <w:szCs w:val="20"/>
          <w:lang w:val="en"/>
        </w:rPr>
        <w:t>Journal of Medical Ethics, 26</w:t>
      </w:r>
      <w:r w:rsidRPr="00C00C53">
        <w:rPr>
          <w:color w:val="000000" w:themeColor="text1"/>
          <w:sz w:val="20"/>
          <w:szCs w:val="20"/>
          <w:lang w:val="en"/>
        </w:rPr>
        <w:t>(2), 126–130</w:t>
      </w:r>
    </w:p>
  </w:footnote>
  <w:footnote w:id="4">
    <w:p w14:paraId="2264B0D9" w14:textId="0C87BD97" w:rsidR="003C1AE5" w:rsidRPr="00C00C53" w:rsidRDefault="003C1AE5" w:rsidP="003C1AE5">
      <w:pPr>
        <w:pStyle w:val="FootnoteText"/>
        <w:rPr>
          <w:rFonts w:cstheme="minorHAnsi"/>
          <w:color w:val="000000" w:themeColor="text1"/>
        </w:rPr>
      </w:pPr>
      <w:r w:rsidRPr="00C00C53">
        <w:rPr>
          <w:rStyle w:val="FootnoteReference"/>
          <w:rFonts w:cstheme="minorHAnsi"/>
          <w:color w:val="000000" w:themeColor="text1"/>
          <w:vertAlign w:val="superscript"/>
        </w:rPr>
        <w:footnoteRef/>
      </w:r>
      <w:r w:rsidRPr="00C00C53">
        <w:rPr>
          <w:rFonts w:cstheme="minorHAnsi"/>
          <w:color w:val="000000" w:themeColor="text1"/>
          <w:shd w:val="clear" w:color="auto" w:fill="FFFFFF"/>
        </w:rPr>
        <w:t>Lai, H. C., &amp; Wirasinghe, R. (2017, May). Applied Research for Advertising Products: Tactics for Effective Research. In </w:t>
      </w:r>
      <w:r w:rsidRPr="00C00C53">
        <w:rPr>
          <w:rFonts w:cstheme="minorHAnsi"/>
          <w:i/>
          <w:iCs/>
          <w:color w:val="000000" w:themeColor="text1"/>
          <w:shd w:val="clear" w:color="auto" w:fill="FFFFFF"/>
        </w:rPr>
        <w:t>Proceedings of the 2017 CHI Conference Extended Abstracts on Human Factors in Computing Systems</w:t>
      </w:r>
      <w:r w:rsidRPr="00C00C53">
        <w:rPr>
          <w:rFonts w:cstheme="minorHAnsi"/>
          <w:color w:val="000000" w:themeColor="text1"/>
          <w:shd w:val="clear" w:color="auto" w:fill="FFFFFF"/>
        </w:rPr>
        <w:t> (pp. 1144-1151).</w:t>
      </w:r>
    </w:p>
  </w:footnote>
  <w:footnote w:id="5">
    <w:p w14:paraId="0BE12BD5" w14:textId="4E80FF21" w:rsidR="003C1AE5" w:rsidRPr="00C00C53" w:rsidRDefault="003C1AE5" w:rsidP="003C1AE5">
      <w:pPr>
        <w:pStyle w:val="FootnoteText"/>
        <w:rPr>
          <w:rFonts w:cstheme="minorHAnsi"/>
          <w:color w:val="000000" w:themeColor="text1"/>
        </w:rPr>
      </w:pPr>
      <w:r w:rsidRPr="00C00C53">
        <w:rPr>
          <w:rStyle w:val="FootnoteReference"/>
          <w:rFonts w:cstheme="minorHAnsi"/>
          <w:color w:val="000000" w:themeColor="text1"/>
          <w:vertAlign w:val="superscript"/>
        </w:rPr>
        <w:footnoteRef/>
      </w:r>
      <w:r w:rsidRPr="00C00C53">
        <w:rPr>
          <w:rFonts w:cstheme="minorHAnsi"/>
          <w:color w:val="000000" w:themeColor="text1"/>
        </w:rPr>
        <w:t xml:space="preserve">Ganon, R. </w:t>
      </w:r>
      <w:r w:rsidRPr="00C00C53">
        <w:rPr>
          <w:rFonts w:cstheme="minorHAnsi"/>
          <w:i/>
          <w:iCs/>
          <w:color w:val="000000" w:themeColor="text1"/>
        </w:rPr>
        <w:t>How to How to Set the Right Incentive</w:t>
      </w:r>
    </w:p>
    <w:p w14:paraId="585B4A4B" w14:textId="77777777" w:rsidR="003C1AE5" w:rsidRPr="00C00C53" w:rsidRDefault="003C1AE5" w:rsidP="003C1AE5">
      <w:pPr>
        <w:pStyle w:val="FootnoteText"/>
        <w:rPr>
          <w:rFonts w:cstheme="minorHAnsi"/>
          <w:color w:val="000000" w:themeColor="text1"/>
        </w:rPr>
      </w:pPr>
      <w:r w:rsidRPr="00C00C53">
        <w:rPr>
          <w:rFonts w:cstheme="minorHAnsi"/>
          <w:color w:val="000000" w:themeColor="text1"/>
        </w:rPr>
        <w:t xml:space="preserve"> </w:t>
      </w:r>
      <w:hyperlink r:id="rId2" w:history="1">
        <w:r w:rsidRPr="00C00C53">
          <w:rPr>
            <w:rStyle w:val="Hyperlink"/>
            <w:rFonts w:cstheme="minorHAnsi"/>
            <w:color w:val="000000" w:themeColor="text1"/>
          </w:rPr>
          <w:t>https://help.respondent.io/en/articles/1030301-how-to-set-the-right-incentive</w:t>
        </w:r>
      </w:hyperlink>
    </w:p>
  </w:footnote>
  <w:footnote w:id="6">
    <w:p w14:paraId="5A14B66A" w14:textId="3CD31B21" w:rsidR="00892646" w:rsidRPr="000871AB" w:rsidRDefault="00892646" w:rsidP="00892646">
      <w:pPr>
        <w:pStyle w:val="FootnoteText"/>
        <w:rPr>
          <w:rFonts w:cstheme="minorHAnsi"/>
        </w:rPr>
      </w:pPr>
      <w:r w:rsidRPr="00C00C53">
        <w:rPr>
          <w:rStyle w:val="FootnoteReference"/>
          <w:rFonts w:cstheme="minorHAnsi"/>
          <w:color w:val="000000" w:themeColor="text1"/>
          <w:vertAlign w:val="superscript"/>
        </w:rPr>
        <w:footnoteRef/>
      </w:r>
      <w:r w:rsidRPr="00C00C53">
        <w:rPr>
          <w:rFonts w:cstheme="minorHAnsi"/>
          <w:color w:val="000000" w:themeColor="text1"/>
        </w:rPr>
        <w:t>U.S. Bureau of Labor Statistics (BLS), “Civilian workers by occupational and industry group,” March, 2020, Table 2, total compensation for civilian workers: </w:t>
      </w:r>
      <w:hyperlink r:id="rId3" w:history="1">
        <w:r w:rsidRPr="00C00C53">
          <w:rPr>
            <w:rStyle w:val="Hyperlink"/>
            <w:rFonts w:cstheme="minorHAnsi"/>
            <w:color w:val="000000" w:themeColor="text1"/>
          </w:rPr>
          <w:t>http://www.bls.gov/​ncs/​</w:t>
        </w:r>
      </w:hyperlink>
      <w:r w:rsidRPr="00C00C53">
        <w:rPr>
          <w:rFonts w:cstheme="minorHAnsi"/>
          <w:color w:val="000000" w:themeColor="text1"/>
          <w:shd w:val="clear" w:color="auto" w:fill="F1F1F1"/>
        </w:rPr>
        <w:t xml:space="preserve"> </w:t>
      </w:r>
      <w:r w:rsidRPr="00C00C53">
        <w:rPr>
          <w:color w:val="000000" w:themeColor="text1"/>
        </w:rPr>
        <w:t>(visited </w:t>
      </w:r>
      <w:r w:rsidR="000829B5">
        <w:rPr>
          <w:color w:val="000000" w:themeColor="text1"/>
        </w:rPr>
        <w:t>June 17</w:t>
      </w:r>
      <w:r w:rsidRPr="00C00C53">
        <w:rPr>
          <w:color w:val="000000" w:themeColor="text1"/>
        </w:rPr>
        <w:t>, 202</w:t>
      </w:r>
      <w:r w:rsidR="000829B5">
        <w:rPr>
          <w:color w:val="000000" w:themeColor="text1"/>
        </w:rPr>
        <w:t>1</w:t>
      </w:r>
      <w:r w:rsidRPr="00C00C53">
        <w:rPr>
          <w:color w:val="000000" w:themeColor="text1"/>
        </w:rPr>
        <w:t>)</w:t>
      </w:r>
    </w:p>
  </w:footnote>
  <w:footnote w:id="7">
    <w:p w14:paraId="530F8656" w14:textId="69AA6688" w:rsidR="006C5643" w:rsidRPr="00B060F1" w:rsidRDefault="006C5643" w:rsidP="006C5643">
      <w:pPr>
        <w:rPr>
          <w:sz w:val="20"/>
          <w:szCs w:val="20"/>
        </w:rPr>
      </w:pPr>
      <w:r w:rsidRPr="00B060F1">
        <w:rPr>
          <w:sz w:val="20"/>
          <w:szCs w:val="20"/>
          <w:vertAlign w:val="superscript"/>
        </w:rPr>
        <w:footnoteRef/>
      </w:r>
      <w:r w:rsidRPr="00B060F1">
        <w:rPr>
          <w:sz w:val="20"/>
          <w:szCs w:val="20"/>
        </w:rPr>
        <w:t>BLS, Occupational Outlook Handbook, Childcare Workers, on the Internet at </w:t>
      </w:r>
      <w:hyperlink r:id="rId4" w:tgtFrame="_new" w:history="1">
        <w:r w:rsidRPr="00B060F1">
          <w:rPr>
            <w:rStyle w:val="Hyperlink"/>
            <w:sz w:val="20"/>
            <w:szCs w:val="20"/>
          </w:rPr>
          <w:t>https://www.bls.gov/ooh/personal-care-and-service/childcare-workers.htm</w:t>
        </w:r>
      </w:hyperlink>
      <w:r w:rsidRPr="00B060F1">
        <w:rPr>
          <w:sz w:val="20"/>
          <w:szCs w:val="20"/>
        </w:rPr>
        <w:t> (visited </w:t>
      </w:r>
      <w:r w:rsidR="000829B5" w:rsidRPr="00B060F1">
        <w:rPr>
          <w:sz w:val="20"/>
          <w:szCs w:val="20"/>
        </w:rPr>
        <w:t>Ju</w:t>
      </w:r>
      <w:r w:rsidR="000829B5">
        <w:rPr>
          <w:sz w:val="20"/>
          <w:szCs w:val="20"/>
        </w:rPr>
        <w:t>ne</w:t>
      </w:r>
      <w:r w:rsidR="000829B5" w:rsidRPr="00B060F1">
        <w:rPr>
          <w:sz w:val="20"/>
          <w:szCs w:val="20"/>
        </w:rPr>
        <w:t xml:space="preserve"> </w:t>
      </w:r>
      <w:r w:rsidR="000829B5">
        <w:rPr>
          <w:sz w:val="20"/>
          <w:szCs w:val="20"/>
        </w:rPr>
        <w:t>17</w:t>
      </w:r>
      <w:r w:rsidRPr="00B060F1">
        <w:rPr>
          <w:sz w:val="20"/>
          <w:szCs w:val="20"/>
        </w:rPr>
        <w:t xml:space="preserve">, </w:t>
      </w:r>
      <w:r w:rsidR="000829B5" w:rsidRPr="00B060F1">
        <w:rPr>
          <w:sz w:val="20"/>
          <w:szCs w:val="20"/>
        </w:rPr>
        <w:t>202</w:t>
      </w:r>
      <w:r w:rsidR="000829B5">
        <w:rPr>
          <w:sz w:val="20"/>
          <w:szCs w:val="20"/>
        </w:rPr>
        <w:t>1</w:t>
      </w:r>
      <w:r w:rsidRPr="00B060F1">
        <w:rPr>
          <w:sz w:val="20"/>
          <w:szCs w:val="20"/>
        </w:rPr>
        <w:t>).</w:t>
      </w:r>
    </w:p>
  </w:footnote>
  <w:footnote w:id="8">
    <w:p w14:paraId="7BC63585" w14:textId="492C5A07" w:rsidR="00013C68" w:rsidRPr="00B060F1" w:rsidRDefault="00013C68" w:rsidP="00013C68">
      <w:pPr>
        <w:autoSpaceDE w:val="0"/>
        <w:autoSpaceDN w:val="0"/>
        <w:rPr>
          <w:sz w:val="20"/>
          <w:szCs w:val="20"/>
        </w:rPr>
      </w:pPr>
      <w:r w:rsidRPr="00B060F1">
        <w:rPr>
          <w:rStyle w:val="FootnoteReference"/>
          <w:sz w:val="20"/>
          <w:szCs w:val="20"/>
          <w:vertAlign w:val="superscript"/>
        </w:rPr>
        <w:footnoteRef/>
      </w:r>
      <w:r w:rsidRPr="00B060F1">
        <w:rPr>
          <w:sz w:val="20"/>
          <w:szCs w:val="20"/>
        </w:rPr>
        <w:t>Dykema, J., Stevenson, J., Day, B., Sellers, S.</w:t>
      </w:r>
      <w:r w:rsidR="000947CE">
        <w:rPr>
          <w:sz w:val="20"/>
          <w:szCs w:val="20"/>
        </w:rPr>
        <w:t xml:space="preserve"> </w:t>
      </w:r>
      <w:r w:rsidRPr="00B060F1">
        <w:rPr>
          <w:sz w:val="20"/>
          <w:szCs w:val="20"/>
        </w:rPr>
        <w:t>L., &amp; Bonham, V.</w:t>
      </w:r>
      <w:r w:rsidR="000947CE">
        <w:rPr>
          <w:sz w:val="20"/>
          <w:szCs w:val="20"/>
        </w:rPr>
        <w:t xml:space="preserve"> </w:t>
      </w:r>
      <w:r w:rsidRPr="00B060F1">
        <w:rPr>
          <w:sz w:val="20"/>
          <w:szCs w:val="20"/>
        </w:rPr>
        <w:t xml:space="preserve">L. (2011). Effects of incentives and prenotification on response rates and costs in a national web survey of physicians. </w:t>
      </w:r>
      <w:r w:rsidRPr="00B060F1">
        <w:rPr>
          <w:i/>
          <w:iCs/>
          <w:sz w:val="20"/>
          <w:szCs w:val="20"/>
        </w:rPr>
        <w:t>Evaluation &amp; the Health Professions</w:t>
      </w:r>
      <w:r w:rsidRPr="00B060F1">
        <w:rPr>
          <w:sz w:val="20"/>
          <w:szCs w:val="20"/>
        </w:rPr>
        <w:t xml:space="preserve">, </w:t>
      </w:r>
      <w:r w:rsidRPr="00B060F1">
        <w:rPr>
          <w:i/>
          <w:iCs/>
          <w:sz w:val="20"/>
          <w:szCs w:val="20"/>
        </w:rPr>
        <w:t>34</w:t>
      </w:r>
      <w:r w:rsidRPr="00B060F1">
        <w:rPr>
          <w:sz w:val="20"/>
          <w:szCs w:val="20"/>
        </w:rPr>
        <w:t>(4), 434-447.</w:t>
      </w:r>
    </w:p>
  </w:footnote>
  <w:footnote w:id="9">
    <w:p w14:paraId="1D3D4B1B" w14:textId="4586AA97" w:rsidR="00013C68" w:rsidRPr="00B060F1" w:rsidRDefault="00013C68" w:rsidP="00013C68">
      <w:pPr>
        <w:autoSpaceDE w:val="0"/>
        <w:autoSpaceDN w:val="0"/>
        <w:rPr>
          <w:sz w:val="20"/>
          <w:szCs w:val="20"/>
        </w:rPr>
      </w:pPr>
      <w:r w:rsidRPr="00B060F1">
        <w:rPr>
          <w:rStyle w:val="FootnoteReference"/>
          <w:sz w:val="20"/>
          <w:szCs w:val="20"/>
          <w:vertAlign w:val="superscript"/>
        </w:rPr>
        <w:footnoteRef/>
      </w:r>
      <w:r w:rsidRPr="00B060F1">
        <w:rPr>
          <w:sz w:val="20"/>
          <w:szCs w:val="20"/>
        </w:rPr>
        <w:t>Ziegenfuss, J.</w:t>
      </w:r>
      <w:r w:rsidR="000947CE">
        <w:rPr>
          <w:sz w:val="20"/>
          <w:szCs w:val="20"/>
        </w:rPr>
        <w:t xml:space="preserve"> </w:t>
      </w:r>
      <w:r w:rsidRPr="00B060F1">
        <w:rPr>
          <w:sz w:val="20"/>
          <w:szCs w:val="20"/>
        </w:rPr>
        <w:t>Y., Burmeister, K., James, K.</w:t>
      </w:r>
      <w:r w:rsidR="000947CE">
        <w:rPr>
          <w:sz w:val="20"/>
          <w:szCs w:val="20"/>
        </w:rPr>
        <w:t xml:space="preserve"> </w:t>
      </w:r>
      <w:r w:rsidRPr="00B060F1">
        <w:rPr>
          <w:sz w:val="20"/>
          <w:szCs w:val="20"/>
        </w:rPr>
        <w:t>M., Haas, L., Tilburt, J.</w:t>
      </w:r>
      <w:r w:rsidR="000947CE">
        <w:rPr>
          <w:sz w:val="20"/>
          <w:szCs w:val="20"/>
        </w:rPr>
        <w:t xml:space="preserve"> </w:t>
      </w:r>
      <w:r w:rsidRPr="00B060F1">
        <w:rPr>
          <w:sz w:val="20"/>
          <w:szCs w:val="20"/>
        </w:rPr>
        <w:t>C., &amp; Beebe, T.</w:t>
      </w:r>
      <w:r w:rsidR="000947CE">
        <w:rPr>
          <w:sz w:val="20"/>
          <w:szCs w:val="20"/>
        </w:rPr>
        <w:t xml:space="preserve"> </w:t>
      </w:r>
      <w:r w:rsidRPr="00B060F1">
        <w:rPr>
          <w:sz w:val="20"/>
          <w:szCs w:val="20"/>
        </w:rPr>
        <w:t xml:space="preserve">J. (2012). Getting physicians to open the survey: Little evidence that an envelope teaser increases response rates. </w:t>
      </w:r>
      <w:r w:rsidRPr="00B060F1">
        <w:rPr>
          <w:i/>
          <w:iCs/>
          <w:sz w:val="20"/>
          <w:szCs w:val="20"/>
        </w:rPr>
        <w:t>BMC Medical Research Methodology</w:t>
      </w:r>
      <w:r w:rsidRPr="00B060F1">
        <w:rPr>
          <w:sz w:val="20"/>
          <w:szCs w:val="20"/>
        </w:rPr>
        <w:t xml:space="preserve">, </w:t>
      </w:r>
      <w:r w:rsidRPr="00B060F1">
        <w:rPr>
          <w:i/>
          <w:iCs/>
          <w:sz w:val="20"/>
          <w:szCs w:val="20"/>
        </w:rPr>
        <w:t>12</w:t>
      </w:r>
      <w:r w:rsidRPr="00B060F1">
        <w:rPr>
          <w:sz w:val="20"/>
          <w:szCs w:val="20"/>
        </w:rPr>
        <w:t>(1), 41.</w:t>
      </w:r>
    </w:p>
  </w:footnote>
  <w:footnote w:id="10">
    <w:p w14:paraId="5990F5D6" w14:textId="5A4B39D9" w:rsidR="00013C68" w:rsidRPr="00B060F1" w:rsidRDefault="00013C68" w:rsidP="00013C68">
      <w:pPr>
        <w:autoSpaceDE w:val="0"/>
        <w:autoSpaceDN w:val="0"/>
        <w:rPr>
          <w:sz w:val="20"/>
          <w:szCs w:val="20"/>
        </w:rPr>
      </w:pPr>
      <w:r w:rsidRPr="00B060F1">
        <w:rPr>
          <w:rStyle w:val="FootnoteReference"/>
          <w:sz w:val="20"/>
          <w:szCs w:val="20"/>
          <w:vertAlign w:val="superscript"/>
        </w:rPr>
        <w:footnoteRef/>
      </w:r>
      <w:r w:rsidRPr="00B060F1">
        <w:rPr>
          <w:sz w:val="20"/>
          <w:szCs w:val="20"/>
        </w:rPr>
        <w:t>Asch, S., Connor, S.</w:t>
      </w:r>
      <w:r w:rsidR="000947CE">
        <w:rPr>
          <w:sz w:val="20"/>
          <w:szCs w:val="20"/>
        </w:rPr>
        <w:t xml:space="preserve"> </w:t>
      </w:r>
      <w:r w:rsidRPr="00B060F1">
        <w:rPr>
          <w:sz w:val="20"/>
          <w:szCs w:val="20"/>
        </w:rPr>
        <w:t>E., Hamilton, E.</w:t>
      </w:r>
      <w:r w:rsidR="000947CE">
        <w:rPr>
          <w:sz w:val="20"/>
          <w:szCs w:val="20"/>
        </w:rPr>
        <w:t xml:space="preserve"> </w:t>
      </w:r>
      <w:r w:rsidRPr="00B060F1">
        <w:rPr>
          <w:sz w:val="20"/>
          <w:szCs w:val="20"/>
        </w:rPr>
        <w:t>G., &amp; Fox, S.</w:t>
      </w:r>
      <w:r w:rsidR="000947CE">
        <w:rPr>
          <w:sz w:val="20"/>
          <w:szCs w:val="20"/>
        </w:rPr>
        <w:t xml:space="preserve"> </w:t>
      </w:r>
      <w:r w:rsidRPr="00B060F1">
        <w:rPr>
          <w:sz w:val="20"/>
          <w:szCs w:val="20"/>
        </w:rPr>
        <w:t xml:space="preserve">A. (2000). Problems in recruiting community-based physicians for health services research, </w:t>
      </w:r>
      <w:r w:rsidRPr="00B060F1">
        <w:rPr>
          <w:i/>
          <w:iCs/>
          <w:sz w:val="20"/>
          <w:szCs w:val="20"/>
        </w:rPr>
        <w:t>Journal of General Internal Medicine</w:t>
      </w:r>
      <w:r w:rsidRPr="00B060F1">
        <w:rPr>
          <w:sz w:val="20"/>
          <w:szCs w:val="20"/>
        </w:rPr>
        <w:t>, 15(8), 591-599.</w:t>
      </w:r>
    </w:p>
  </w:footnote>
  <w:footnote w:id="11">
    <w:p w14:paraId="547C7FFA" w14:textId="12F70F41" w:rsidR="00013C68" w:rsidRPr="00B060F1" w:rsidRDefault="00013C68" w:rsidP="00013C68">
      <w:pPr>
        <w:autoSpaceDE w:val="0"/>
        <w:autoSpaceDN w:val="0"/>
        <w:rPr>
          <w:sz w:val="20"/>
          <w:szCs w:val="20"/>
        </w:rPr>
      </w:pPr>
      <w:r w:rsidRPr="00B060F1">
        <w:rPr>
          <w:rStyle w:val="FootnoteReference"/>
          <w:sz w:val="20"/>
          <w:szCs w:val="20"/>
          <w:vertAlign w:val="superscript"/>
        </w:rPr>
        <w:footnoteRef/>
      </w:r>
      <w:r w:rsidR="00B060F1" w:rsidRPr="00B060F1">
        <w:rPr>
          <w:sz w:val="20"/>
          <w:szCs w:val="20"/>
        </w:rPr>
        <w:t xml:space="preserve">VanGeest, J., Johnson, T. &amp; Welch, V. (2007). Methodologies for improving response rates in surveys of physicians: A systematic review. </w:t>
      </w:r>
      <w:r w:rsidR="00B060F1" w:rsidRPr="00B060F1">
        <w:rPr>
          <w:i/>
          <w:iCs/>
          <w:sz w:val="20"/>
          <w:szCs w:val="20"/>
        </w:rPr>
        <w:t>Evaluation and the Health Professions</w:t>
      </w:r>
      <w:r w:rsidR="00B060F1" w:rsidRPr="00B060F1">
        <w:rPr>
          <w:sz w:val="20"/>
          <w:szCs w:val="20"/>
        </w:rPr>
        <w:t xml:space="preserve">, </w:t>
      </w:r>
      <w:r w:rsidR="00B060F1" w:rsidRPr="00B060F1">
        <w:rPr>
          <w:i/>
          <w:iCs/>
          <w:sz w:val="20"/>
          <w:szCs w:val="20"/>
        </w:rPr>
        <w:t>30</w:t>
      </w:r>
      <w:r w:rsidR="00B060F1" w:rsidRPr="00B060F1">
        <w:rPr>
          <w:sz w:val="20"/>
          <w:szCs w:val="20"/>
        </w:rPr>
        <w:t>, 303-321.</w:t>
      </w:r>
    </w:p>
  </w:footnote>
  <w:footnote w:id="12">
    <w:p w14:paraId="4FBBD303" w14:textId="2B10E6CA" w:rsidR="00013C68" w:rsidRPr="00B060F1" w:rsidRDefault="00013C68" w:rsidP="00B060F1">
      <w:pPr>
        <w:pStyle w:val="CommentText"/>
        <w:rPr>
          <w:bdr w:val="none" w:sz="0" w:space="0" w:color="auto" w:frame="1"/>
          <w:shd w:val="clear" w:color="auto" w:fill="FFFFFF"/>
        </w:rPr>
      </w:pPr>
      <w:r w:rsidRPr="00B060F1">
        <w:rPr>
          <w:rStyle w:val="FootnoteReference"/>
          <w:vertAlign w:val="superscript"/>
        </w:rPr>
        <w:footnoteRef/>
      </w:r>
      <w:r w:rsidR="00B060F1" w:rsidRPr="00B060F1">
        <w:rPr>
          <w:rStyle w:val="cit-last-page"/>
          <w:bdr w:val="none" w:sz="0" w:space="0" w:color="auto" w:frame="1"/>
          <w:shd w:val="clear" w:color="auto" w:fill="FFFFFF"/>
        </w:rPr>
        <w:t xml:space="preserve">Martins, Y., Lederman, R. Lowenstein, C. et al. (2012). Increasing response rates from physicians in oncology research: A structured literature review and data from a recent physician survey. </w:t>
      </w:r>
      <w:r w:rsidR="00B060F1" w:rsidRPr="00B060F1">
        <w:rPr>
          <w:rStyle w:val="cit-last-page"/>
          <w:i/>
          <w:bdr w:val="none" w:sz="0" w:space="0" w:color="auto" w:frame="1"/>
          <w:shd w:val="clear" w:color="auto" w:fill="FFFFFF"/>
        </w:rPr>
        <w:t>British Journal of Cancer</w:t>
      </w:r>
      <w:r w:rsidR="00B060F1" w:rsidRPr="00B060F1">
        <w:rPr>
          <w:rStyle w:val="cit-last-page"/>
          <w:bdr w:val="none" w:sz="0" w:space="0" w:color="auto" w:frame="1"/>
          <w:shd w:val="clear" w:color="auto" w:fill="FFFFFF"/>
        </w:rPr>
        <w:t xml:space="preserve">, </w:t>
      </w:r>
      <w:r w:rsidR="00B060F1" w:rsidRPr="00B060F1">
        <w:rPr>
          <w:rStyle w:val="cit-last-page"/>
          <w:i/>
          <w:iCs/>
          <w:bdr w:val="none" w:sz="0" w:space="0" w:color="auto" w:frame="1"/>
          <w:shd w:val="clear" w:color="auto" w:fill="FFFFFF"/>
        </w:rPr>
        <w:t>106</w:t>
      </w:r>
      <w:r w:rsidR="00B060F1" w:rsidRPr="00B060F1">
        <w:rPr>
          <w:rStyle w:val="cit-last-page"/>
          <w:bdr w:val="none" w:sz="0" w:space="0" w:color="auto" w:frame="1"/>
          <w:shd w:val="clear" w:color="auto" w:fill="FFFFFF"/>
        </w:rPr>
        <w:t>(6), 1021-6.</w:t>
      </w:r>
    </w:p>
  </w:footnote>
  <w:footnote w:id="13">
    <w:p w14:paraId="5E53DB5D" w14:textId="4272935F" w:rsidR="00013C68" w:rsidRPr="00B060F1" w:rsidRDefault="00013C68" w:rsidP="00B060F1">
      <w:pPr>
        <w:autoSpaceDE w:val="0"/>
        <w:autoSpaceDN w:val="0"/>
        <w:rPr>
          <w:sz w:val="20"/>
          <w:szCs w:val="20"/>
          <w:shd w:val="clear" w:color="auto" w:fill="FFFFFF"/>
        </w:rPr>
      </w:pPr>
      <w:r w:rsidRPr="00B060F1">
        <w:rPr>
          <w:rStyle w:val="FootnoteReference"/>
          <w:sz w:val="20"/>
          <w:szCs w:val="20"/>
          <w:vertAlign w:val="superscript"/>
        </w:rPr>
        <w:footnoteRef/>
      </w:r>
      <w:r w:rsidR="00B060F1" w:rsidRPr="00B060F1">
        <w:rPr>
          <w:sz w:val="20"/>
          <w:szCs w:val="20"/>
          <w:shd w:val="clear" w:color="auto" w:fill="FFFFFF"/>
        </w:rPr>
        <w:t>Converse, J.</w:t>
      </w:r>
      <w:r w:rsidR="000947CE">
        <w:rPr>
          <w:sz w:val="20"/>
          <w:szCs w:val="20"/>
          <w:shd w:val="clear" w:color="auto" w:fill="FFFFFF"/>
        </w:rPr>
        <w:t xml:space="preserve"> </w:t>
      </w:r>
      <w:r w:rsidR="00B060F1" w:rsidRPr="00B060F1">
        <w:rPr>
          <w:sz w:val="20"/>
          <w:szCs w:val="20"/>
          <w:shd w:val="clear" w:color="auto" w:fill="FFFFFF"/>
        </w:rPr>
        <w:t xml:space="preserve">M. &amp; Presser, S. (1986). </w:t>
      </w:r>
      <w:r w:rsidR="00B060F1" w:rsidRPr="00B060F1">
        <w:rPr>
          <w:i/>
          <w:iCs/>
          <w:sz w:val="20"/>
          <w:szCs w:val="20"/>
          <w:shd w:val="clear" w:color="auto" w:fill="FFFFFF"/>
        </w:rPr>
        <w:t>Survey questions: Handcrafting the standardized questionnaire</w:t>
      </w:r>
      <w:r w:rsidR="00B060F1" w:rsidRPr="00B060F1">
        <w:rPr>
          <w:rStyle w:val="apple-converted-space"/>
          <w:sz w:val="20"/>
          <w:szCs w:val="20"/>
          <w:shd w:val="clear" w:color="auto" w:fill="FFFFFF"/>
        </w:rPr>
        <w:t> </w:t>
      </w:r>
      <w:r w:rsidR="00B060F1" w:rsidRPr="00B060F1">
        <w:rPr>
          <w:sz w:val="20"/>
          <w:szCs w:val="20"/>
          <w:shd w:val="clear" w:color="auto" w:fill="FFFFFF"/>
        </w:rPr>
        <w:t>(No. 63). Thousand Oaks, CA: Sage.</w:t>
      </w:r>
    </w:p>
  </w:footnote>
  <w:footnote w:id="14">
    <w:p w14:paraId="249A080C" w14:textId="408C81FF" w:rsidR="00B060F1" w:rsidRDefault="00B060F1" w:rsidP="00B060F1">
      <w:pPr>
        <w:tabs>
          <w:tab w:val="left" w:pos="5670"/>
        </w:tabs>
        <w:suppressAutoHyphens/>
      </w:pPr>
      <w:r w:rsidRPr="00B060F1">
        <w:rPr>
          <w:rStyle w:val="FootnoteReference"/>
          <w:sz w:val="20"/>
          <w:szCs w:val="20"/>
          <w:vertAlign w:val="superscript"/>
        </w:rPr>
        <w:footnoteRef/>
      </w:r>
      <w:r w:rsidRPr="00B060F1">
        <w:rPr>
          <w:sz w:val="20"/>
          <w:szCs w:val="20"/>
          <w:shd w:val="clear" w:color="auto" w:fill="FFFFFF"/>
        </w:rPr>
        <w:t>DeVellis, R.</w:t>
      </w:r>
      <w:r w:rsidR="000947CE">
        <w:rPr>
          <w:sz w:val="20"/>
          <w:szCs w:val="20"/>
          <w:shd w:val="clear" w:color="auto" w:fill="FFFFFF"/>
        </w:rPr>
        <w:t xml:space="preserve"> </w:t>
      </w:r>
      <w:r w:rsidRPr="00B060F1">
        <w:rPr>
          <w:sz w:val="20"/>
          <w:szCs w:val="20"/>
          <w:shd w:val="clear" w:color="auto" w:fill="FFFFFF"/>
        </w:rPr>
        <w:t xml:space="preserve">F. (2016). </w:t>
      </w:r>
      <w:r w:rsidRPr="00B060F1">
        <w:rPr>
          <w:i/>
          <w:iCs/>
          <w:sz w:val="20"/>
          <w:szCs w:val="20"/>
          <w:shd w:val="clear" w:color="auto" w:fill="FFFFFF"/>
        </w:rPr>
        <w:t>Scale development: Theory and applications (Vol. 26)</w:t>
      </w:r>
      <w:r w:rsidRPr="00B060F1">
        <w:rPr>
          <w:sz w:val="20"/>
          <w:szCs w:val="20"/>
          <w:shd w:val="clear" w:color="auto" w:fill="FFFFFF"/>
        </w:rPr>
        <w:t>. Thousand Oaks, CA: Sage.</w:t>
      </w:r>
    </w:p>
  </w:footnote>
  <w:footnote w:id="15">
    <w:p w14:paraId="08CE2A3E" w14:textId="6963EF59" w:rsidR="00B060F1" w:rsidRPr="000947CE" w:rsidRDefault="00B060F1" w:rsidP="00B060F1">
      <w:pPr>
        <w:pStyle w:val="FootnoteText"/>
        <w:rPr>
          <w:color w:val="000000" w:themeColor="text1"/>
        </w:rPr>
      </w:pPr>
      <w:r w:rsidRPr="000947CE">
        <w:rPr>
          <w:rStyle w:val="FootnoteReference"/>
          <w:color w:val="000000" w:themeColor="text1"/>
          <w:vertAlign w:val="superscript"/>
        </w:rPr>
        <w:footnoteRef/>
      </w:r>
      <w:r w:rsidRPr="000947CE">
        <w:rPr>
          <w:rFonts w:cstheme="minorHAnsi"/>
          <w:color w:val="000000" w:themeColor="text1"/>
        </w:rPr>
        <w:t xml:space="preserve">Office of Management and Budget. (2006). </w:t>
      </w:r>
      <w:r w:rsidRPr="000947CE">
        <w:rPr>
          <w:rFonts w:cstheme="minorHAnsi"/>
          <w:i/>
          <w:iCs/>
          <w:color w:val="000000" w:themeColor="text1"/>
        </w:rPr>
        <w:t>Questions and Answers When Designing Surveys for Information Collections.</w:t>
      </w:r>
      <w:r w:rsidRPr="000947CE">
        <w:rPr>
          <w:color w:val="000000" w:themeColor="text1"/>
        </w:rPr>
        <w:t xml:space="preserve"> Washington, DC: Office of Information and Regulatory Affairs. OMB. Retrieved from: https://obamawhitehouse.archives.gov/sites/default/files/omb/inforeg/pmc_sur vey_guidance_2006.pdf  </w:t>
      </w:r>
    </w:p>
  </w:footnote>
  <w:footnote w:id="16">
    <w:p w14:paraId="68372F5D" w14:textId="39E20FC2" w:rsidR="00B060F1" w:rsidRPr="000947CE" w:rsidRDefault="00B060F1" w:rsidP="00B060F1">
      <w:pPr>
        <w:pStyle w:val="FootnoteText"/>
        <w:rPr>
          <w:rFonts w:cstheme="minorHAnsi"/>
          <w:color w:val="000000" w:themeColor="text1"/>
        </w:rPr>
      </w:pPr>
      <w:r w:rsidRPr="000947CE">
        <w:rPr>
          <w:rStyle w:val="FootnoteReference"/>
          <w:rFonts w:cstheme="minorHAnsi"/>
          <w:color w:val="000000" w:themeColor="text1"/>
          <w:vertAlign w:val="superscript"/>
        </w:rPr>
        <w:footnoteRef/>
      </w:r>
      <w:r w:rsidRPr="000947CE">
        <w:rPr>
          <w:rFonts w:cstheme="minorHAnsi"/>
          <w:color w:val="000000" w:themeColor="text1"/>
          <w:shd w:val="clear" w:color="auto" w:fill="FFFFFF"/>
        </w:rPr>
        <w:t>Singer, E., Van Hoewyk, J., Gebler, N., &amp; McGonagle, K. (1999). The effect of incentives on response rates in interviewer-mediated surveys. </w:t>
      </w:r>
      <w:r w:rsidRPr="000947CE">
        <w:rPr>
          <w:rFonts w:cstheme="minorHAnsi"/>
          <w:i/>
          <w:iCs/>
          <w:color w:val="000000" w:themeColor="text1"/>
          <w:shd w:val="clear" w:color="auto" w:fill="FFFFFF"/>
        </w:rPr>
        <w:t>Journal of Official Statistics</w:t>
      </w:r>
      <w:r w:rsidRPr="000947CE">
        <w:rPr>
          <w:rFonts w:cstheme="minorHAnsi"/>
          <w:color w:val="000000" w:themeColor="text1"/>
          <w:shd w:val="clear" w:color="auto" w:fill="FFFFFF"/>
        </w:rPr>
        <w:t>, </w:t>
      </w:r>
      <w:r w:rsidRPr="000947CE">
        <w:rPr>
          <w:rFonts w:cstheme="minorHAnsi"/>
          <w:i/>
          <w:iCs/>
          <w:color w:val="000000" w:themeColor="text1"/>
          <w:shd w:val="clear" w:color="auto" w:fill="FFFFFF"/>
        </w:rPr>
        <w:t>15</w:t>
      </w:r>
      <w:r w:rsidRPr="000947CE">
        <w:rPr>
          <w:rFonts w:cstheme="minorHAnsi"/>
          <w:color w:val="000000" w:themeColor="text1"/>
          <w:shd w:val="clear" w:color="auto" w:fill="FFFFFF"/>
        </w:rPr>
        <w:t>(2), 217.</w:t>
      </w:r>
    </w:p>
  </w:footnote>
  <w:footnote w:id="17">
    <w:p w14:paraId="2820EE62" w14:textId="30836AEE" w:rsidR="00B060F1" w:rsidRPr="000947CE" w:rsidRDefault="00B060F1" w:rsidP="00B060F1">
      <w:pPr>
        <w:pStyle w:val="FootnoteText"/>
        <w:rPr>
          <w:rFonts w:cstheme="minorHAnsi"/>
          <w:color w:val="000000" w:themeColor="text1"/>
        </w:rPr>
      </w:pPr>
      <w:r w:rsidRPr="000947CE">
        <w:rPr>
          <w:rStyle w:val="FootnoteReference"/>
          <w:rFonts w:cstheme="minorHAnsi"/>
          <w:color w:val="000000" w:themeColor="text1"/>
          <w:vertAlign w:val="superscript"/>
        </w:rPr>
        <w:footnoteRef/>
      </w:r>
      <w:r w:rsidRPr="000947CE">
        <w:rPr>
          <w:rFonts w:cstheme="minorHAnsi"/>
          <w:color w:val="000000" w:themeColor="text1"/>
        </w:rPr>
        <w:t xml:space="preserve">Singer, E., &amp; Ye, C. (2013) The Use and Effects of Incentives in Surveys. </w:t>
      </w:r>
      <w:r w:rsidRPr="000947CE">
        <w:rPr>
          <w:rFonts w:cstheme="minorHAnsi"/>
          <w:i/>
          <w:iCs/>
          <w:color w:val="000000" w:themeColor="text1"/>
        </w:rPr>
        <w:t>ANNALS of the American Academy of Political and Social Science 645</w:t>
      </w:r>
      <w:r w:rsidRPr="000947CE">
        <w:rPr>
          <w:rFonts w:cstheme="minorHAnsi"/>
          <w:color w:val="000000" w:themeColor="text1"/>
        </w:rPr>
        <w:t xml:space="preserve">, 112–41 </w:t>
      </w:r>
    </w:p>
  </w:footnote>
  <w:footnote w:id="18">
    <w:p w14:paraId="1265F926" w14:textId="3CAA040D" w:rsidR="00B060F1" w:rsidRPr="000947CE" w:rsidRDefault="00B060F1" w:rsidP="00B060F1">
      <w:pPr>
        <w:pStyle w:val="FootnoteText"/>
        <w:rPr>
          <w:rFonts w:cstheme="minorHAnsi"/>
          <w:color w:val="000000" w:themeColor="text1"/>
        </w:rPr>
      </w:pPr>
      <w:r w:rsidRPr="000947CE">
        <w:rPr>
          <w:rStyle w:val="FootnoteReference"/>
          <w:rFonts w:cstheme="minorHAnsi"/>
          <w:color w:val="000000" w:themeColor="text1"/>
          <w:vertAlign w:val="superscript"/>
        </w:rPr>
        <w:footnoteRef/>
      </w:r>
      <w:r w:rsidRPr="000947CE">
        <w:rPr>
          <w:rFonts w:cstheme="minorHAnsi"/>
          <w:color w:val="000000" w:themeColor="text1"/>
          <w:shd w:val="clear" w:color="auto" w:fill="FFFFFF"/>
        </w:rPr>
        <w:t>Church, A. H. (1993). Estimating the effect of incentives on mail survey response rates: A meta-analysis. </w:t>
      </w:r>
      <w:r w:rsidRPr="000947CE">
        <w:rPr>
          <w:rFonts w:cstheme="minorHAnsi"/>
          <w:i/>
          <w:iCs/>
          <w:color w:val="000000" w:themeColor="text1"/>
          <w:shd w:val="clear" w:color="auto" w:fill="FFFFFF"/>
        </w:rPr>
        <w:t>Public Opinion Quarterly</w:t>
      </w:r>
      <w:r w:rsidRPr="000947CE">
        <w:rPr>
          <w:rFonts w:cstheme="minorHAnsi"/>
          <w:color w:val="000000" w:themeColor="text1"/>
          <w:shd w:val="clear" w:color="auto" w:fill="FFFFFF"/>
        </w:rPr>
        <w:t>, </w:t>
      </w:r>
      <w:r w:rsidRPr="000947CE">
        <w:rPr>
          <w:rFonts w:cstheme="minorHAnsi"/>
          <w:i/>
          <w:iCs/>
          <w:color w:val="000000" w:themeColor="text1"/>
          <w:shd w:val="clear" w:color="auto" w:fill="FFFFFF"/>
        </w:rPr>
        <w:t>57</w:t>
      </w:r>
      <w:r w:rsidRPr="000947CE">
        <w:rPr>
          <w:rFonts w:cstheme="minorHAnsi"/>
          <w:color w:val="000000" w:themeColor="text1"/>
          <w:shd w:val="clear" w:color="auto" w:fill="FFFFFF"/>
        </w:rPr>
        <w:t>(1), 62-79.</w:t>
      </w:r>
    </w:p>
  </w:footnote>
  <w:footnote w:id="19">
    <w:p w14:paraId="757F4373" w14:textId="616A4D86" w:rsidR="00E76F09" w:rsidRPr="00FE7102" w:rsidRDefault="00E76F09" w:rsidP="00E76F09">
      <w:pPr>
        <w:pStyle w:val="FootnoteText"/>
        <w:rPr>
          <w:rFonts w:cstheme="minorHAnsi"/>
        </w:rPr>
      </w:pPr>
      <w:r w:rsidRPr="000947CE">
        <w:rPr>
          <w:rStyle w:val="FootnoteReference"/>
          <w:rFonts w:cstheme="minorHAnsi"/>
          <w:color w:val="000000" w:themeColor="text1"/>
          <w:vertAlign w:val="superscript"/>
        </w:rPr>
        <w:footnoteRef/>
      </w:r>
      <w:r w:rsidRPr="000947CE">
        <w:rPr>
          <w:rFonts w:cstheme="minorHAnsi"/>
          <w:color w:val="000000" w:themeColor="text1"/>
        </w:rPr>
        <w:t xml:space="preserve">Hsu, J. W., Schmeiser, M. D., Haggerty, C., &amp; Nelson, S. (2017). The effect of large monetary incentives on survey completion: Evidence from a randomized experiment with the survey of consumer finances. </w:t>
      </w:r>
      <w:r w:rsidRPr="000947CE">
        <w:rPr>
          <w:rFonts w:cstheme="minorHAnsi"/>
          <w:i/>
          <w:iCs/>
          <w:color w:val="000000" w:themeColor="text1"/>
        </w:rPr>
        <w:t>Public Opinion Quarterly, 81</w:t>
      </w:r>
      <w:r w:rsidRPr="000947CE">
        <w:rPr>
          <w:rFonts w:cstheme="minorHAnsi"/>
          <w:color w:val="000000" w:themeColor="text1"/>
        </w:rPr>
        <w:t>(3), 736-747.</w:t>
      </w:r>
    </w:p>
  </w:footnote>
  <w:footnote w:id="20">
    <w:p w14:paraId="58844B2A" w14:textId="462CEF9C" w:rsidR="009542F7" w:rsidRDefault="009542F7" w:rsidP="003F7090">
      <w:r w:rsidRPr="001D62E7">
        <w:rPr>
          <w:rStyle w:val="FootnoteReference"/>
          <w:sz w:val="20"/>
          <w:szCs w:val="20"/>
          <w:vertAlign w:val="superscript"/>
        </w:rPr>
        <w:footnoteRef/>
      </w:r>
      <w:r w:rsidRPr="001D62E7">
        <w:rPr>
          <w:sz w:val="20"/>
          <w:szCs w:val="20"/>
        </w:rPr>
        <w:t xml:space="preserve">Wiant, K., Geisen, E., Creel, D., Willis, G., Freeman, A., de Moor, J. &amp; Kablunde, C., (2018). Risks and rewards of using prepaid vs. postpaid incentive checks on a survey of physicians. </w:t>
      </w:r>
      <w:r w:rsidRPr="001D62E7">
        <w:rPr>
          <w:i/>
          <w:sz w:val="20"/>
          <w:szCs w:val="20"/>
        </w:rPr>
        <w:t>BMC Medical Research Methodology</w:t>
      </w:r>
      <w:r w:rsidRPr="001D62E7">
        <w:rPr>
          <w:sz w:val="20"/>
          <w:szCs w:val="20"/>
        </w:rPr>
        <w:t>, 18; 104.</w:t>
      </w:r>
    </w:p>
  </w:footnote>
  <w:footnote w:id="21">
    <w:p w14:paraId="1987C3AC" w14:textId="44F11D05" w:rsidR="009542F7" w:rsidRPr="001D62E7" w:rsidRDefault="009542F7" w:rsidP="001D62E7">
      <w:pPr>
        <w:rPr>
          <w:sz w:val="20"/>
          <w:szCs w:val="20"/>
        </w:rPr>
      </w:pPr>
      <w:r w:rsidRPr="001D62E7">
        <w:rPr>
          <w:rStyle w:val="FootnoteReference"/>
          <w:sz w:val="20"/>
          <w:szCs w:val="20"/>
          <w:vertAlign w:val="superscript"/>
        </w:rPr>
        <w:footnoteRef/>
      </w:r>
      <w:r w:rsidRPr="001D62E7">
        <w:rPr>
          <w:sz w:val="20"/>
          <w:szCs w:val="20"/>
        </w:rPr>
        <w:t xml:space="preserve">Martinez-Ebers V. (1997). Using Monetary Incentives with Hard-To-Reach Populations in Panel Surveys. </w:t>
      </w:r>
      <w:r w:rsidRPr="001D62E7">
        <w:rPr>
          <w:i/>
          <w:iCs/>
          <w:sz w:val="20"/>
          <w:szCs w:val="20"/>
        </w:rPr>
        <w:t>International Journal of Public Opinion Research</w:t>
      </w:r>
      <w:r w:rsidR="000947CE">
        <w:rPr>
          <w:sz w:val="20"/>
          <w:szCs w:val="20"/>
        </w:rPr>
        <w:t xml:space="preserve">, </w:t>
      </w:r>
      <w:r w:rsidRPr="000947CE">
        <w:rPr>
          <w:i/>
          <w:iCs/>
          <w:sz w:val="20"/>
          <w:szCs w:val="20"/>
        </w:rPr>
        <w:t>99</w:t>
      </w:r>
      <w:r w:rsidRPr="001D62E7">
        <w:rPr>
          <w:sz w:val="20"/>
          <w:szCs w:val="20"/>
        </w:rPr>
        <w:t>(1)</w:t>
      </w:r>
      <w:r w:rsidR="000947CE">
        <w:rPr>
          <w:sz w:val="20"/>
          <w:szCs w:val="20"/>
        </w:rPr>
        <w:t xml:space="preserve">, </w:t>
      </w:r>
      <w:r w:rsidRPr="001D62E7">
        <w:rPr>
          <w:sz w:val="20"/>
          <w:szCs w:val="20"/>
        </w:rPr>
        <w:t>77-86.</w:t>
      </w:r>
    </w:p>
  </w:footnote>
  <w:footnote w:id="22">
    <w:p w14:paraId="4BD13D2B" w14:textId="70F3317D" w:rsidR="009542F7" w:rsidRPr="001D62E7" w:rsidRDefault="009542F7" w:rsidP="001D62E7">
      <w:pPr>
        <w:autoSpaceDE w:val="0"/>
        <w:autoSpaceDN w:val="0"/>
        <w:adjustRightInd w:val="0"/>
        <w:rPr>
          <w:sz w:val="20"/>
          <w:szCs w:val="20"/>
        </w:rPr>
      </w:pPr>
      <w:r w:rsidRPr="001D62E7">
        <w:rPr>
          <w:rStyle w:val="FootnoteReference"/>
          <w:sz w:val="20"/>
          <w:szCs w:val="20"/>
          <w:vertAlign w:val="superscript"/>
        </w:rPr>
        <w:footnoteRef/>
      </w:r>
      <w:r w:rsidR="001D62E7" w:rsidRPr="001D62E7">
        <w:rPr>
          <w:sz w:val="20"/>
          <w:szCs w:val="20"/>
        </w:rPr>
        <w:t>Shaghagi A</w:t>
      </w:r>
      <w:r w:rsidR="000947CE">
        <w:rPr>
          <w:sz w:val="20"/>
          <w:szCs w:val="20"/>
        </w:rPr>
        <w:t>.</w:t>
      </w:r>
      <w:r w:rsidR="001D62E7" w:rsidRPr="001D62E7">
        <w:rPr>
          <w:sz w:val="20"/>
          <w:szCs w:val="20"/>
        </w:rPr>
        <w:t>, Bhopal R</w:t>
      </w:r>
      <w:r w:rsidR="000947CE">
        <w:rPr>
          <w:sz w:val="20"/>
          <w:szCs w:val="20"/>
        </w:rPr>
        <w:t xml:space="preserve">. </w:t>
      </w:r>
      <w:r w:rsidR="001D62E7" w:rsidRPr="001D62E7">
        <w:rPr>
          <w:sz w:val="20"/>
          <w:szCs w:val="20"/>
        </w:rPr>
        <w:t>S</w:t>
      </w:r>
      <w:r w:rsidR="000947CE">
        <w:rPr>
          <w:sz w:val="20"/>
          <w:szCs w:val="20"/>
        </w:rPr>
        <w:t>.</w:t>
      </w:r>
      <w:r w:rsidR="001D62E7" w:rsidRPr="001D62E7">
        <w:rPr>
          <w:sz w:val="20"/>
          <w:szCs w:val="20"/>
        </w:rPr>
        <w:t xml:space="preserve">, Sheikh A. </w:t>
      </w:r>
      <w:r w:rsidR="000947CE">
        <w:rPr>
          <w:sz w:val="20"/>
          <w:szCs w:val="20"/>
        </w:rPr>
        <w:t xml:space="preserve">(2011). </w:t>
      </w:r>
      <w:r w:rsidR="001D62E7" w:rsidRPr="001D62E7">
        <w:rPr>
          <w:sz w:val="20"/>
          <w:szCs w:val="20"/>
        </w:rPr>
        <w:t xml:space="preserve">Approaches to recruiting 'hard-to-reach' populations into research: A review of the literature. </w:t>
      </w:r>
      <w:r w:rsidR="001D62E7" w:rsidRPr="001D62E7">
        <w:rPr>
          <w:i/>
          <w:sz w:val="20"/>
          <w:szCs w:val="20"/>
        </w:rPr>
        <w:t>Health Promotion Perspectives</w:t>
      </w:r>
      <w:r w:rsidR="000947CE">
        <w:rPr>
          <w:i/>
          <w:sz w:val="20"/>
          <w:szCs w:val="20"/>
        </w:rPr>
        <w:t xml:space="preserve">, </w:t>
      </w:r>
      <w:r w:rsidR="001D62E7" w:rsidRPr="000947CE">
        <w:rPr>
          <w:i/>
          <w:iCs/>
          <w:sz w:val="20"/>
          <w:szCs w:val="20"/>
        </w:rPr>
        <w:t>1</w:t>
      </w:r>
      <w:r w:rsidR="001D62E7" w:rsidRPr="001D62E7">
        <w:rPr>
          <w:sz w:val="20"/>
          <w:szCs w:val="20"/>
        </w:rPr>
        <w:t>(2)</w:t>
      </w:r>
      <w:r w:rsidR="000947CE">
        <w:rPr>
          <w:sz w:val="20"/>
          <w:szCs w:val="20"/>
        </w:rPr>
        <w:t xml:space="preserve">, </w:t>
      </w:r>
      <w:r w:rsidR="001D62E7" w:rsidRPr="001D62E7">
        <w:rPr>
          <w:sz w:val="20"/>
          <w:szCs w:val="20"/>
        </w:rPr>
        <w:t>86-94.</w:t>
      </w:r>
    </w:p>
  </w:footnote>
  <w:footnote w:id="23">
    <w:p w14:paraId="26494C85" w14:textId="3CBE7F19" w:rsidR="009542F7" w:rsidRPr="001D62E7" w:rsidRDefault="009542F7" w:rsidP="001D62E7">
      <w:pPr>
        <w:rPr>
          <w:color w:val="222222"/>
          <w:sz w:val="20"/>
          <w:szCs w:val="20"/>
          <w:shd w:val="clear" w:color="auto" w:fill="FFFFFF"/>
        </w:rPr>
      </w:pPr>
      <w:r w:rsidRPr="001D62E7">
        <w:rPr>
          <w:rStyle w:val="FootnoteReference"/>
          <w:sz w:val="20"/>
          <w:szCs w:val="20"/>
          <w:vertAlign w:val="superscript"/>
        </w:rPr>
        <w:footnoteRef/>
      </w:r>
      <w:r w:rsidR="001D62E7" w:rsidRPr="001D62E7">
        <w:rPr>
          <w:sz w:val="20"/>
          <w:szCs w:val="20"/>
        </w:rPr>
        <w:t>Shettle, C., &amp; Mooney, G. (1999). Monetary incentives in US government surveys. </w:t>
      </w:r>
      <w:r w:rsidR="001D62E7" w:rsidRPr="001D62E7">
        <w:rPr>
          <w:i/>
          <w:iCs/>
          <w:sz w:val="20"/>
          <w:szCs w:val="20"/>
        </w:rPr>
        <w:t>Journal of Official Statistics</w:t>
      </w:r>
      <w:r w:rsidR="001D62E7" w:rsidRPr="001D62E7">
        <w:rPr>
          <w:sz w:val="20"/>
          <w:szCs w:val="20"/>
        </w:rPr>
        <w:t>, </w:t>
      </w:r>
      <w:r w:rsidR="001D62E7" w:rsidRPr="001D62E7">
        <w:rPr>
          <w:i/>
          <w:iCs/>
          <w:sz w:val="20"/>
          <w:szCs w:val="20"/>
        </w:rPr>
        <w:t>15</w:t>
      </w:r>
      <w:r w:rsidR="001D62E7" w:rsidRPr="001D62E7">
        <w:rPr>
          <w:sz w:val="20"/>
          <w:szCs w:val="20"/>
        </w:rPr>
        <w:t>(2), 231.</w:t>
      </w:r>
    </w:p>
  </w:footnote>
  <w:footnote w:id="24">
    <w:p w14:paraId="282B8244" w14:textId="731EB121" w:rsidR="001D62E7" w:rsidRDefault="001D62E7">
      <w:pPr>
        <w:pStyle w:val="FootnoteText"/>
      </w:pPr>
      <w:r w:rsidRPr="001D62E7">
        <w:rPr>
          <w:rStyle w:val="FootnoteReference"/>
          <w:vertAlign w:val="superscript"/>
        </w:rPr>
        <w:footnoteRef/>
      </w:r>
      <w:r w:rsidRPr="00FE7102">
        <w:t>Morgan, D</w:t>
      </w:r>
      <w:r w:rsidR="000947CE">
        <w:t xml:space="preserve">. </w:t>
      </w:r>
      <w:r w:rsidRPr="00FE7102">
        <w:t>L., Scannell, A</w:t>
      </w:r>
      <w:r w:rsidR="000947CE">
        <w:t xml:space="preserve">. </w:t>
      </w:r>
      <w:r w:rsidRPr="00FE7102">
        <w:t xml:space="preserve">U. (1998). </w:t>
      </w:r>
      <w:r w:rsidRPr="00FE7102">
        <w:rPr>
          <w:i/>
        </w:rPr>
        <w:t>Planning Focus Groups</w:t>
      </w:r>
      <w:r w:rsidRPr="00FE7102">
        <w:t>. Thousand Oaks, CA: Sage.</w:t>
      </w:r>
    </w:p>
  </w:footnote>
  <w:footnote w:id="25">
    <w:p w14:paraId="4A1C5F79" w14:textId="7B7E3107" w:rsidR="001D62E7" w:rsidRDefault="001D62E7">
      <w:pPr>
        <w:pStyle w:val="FootnoteText"/>
      </w:pPr>
      <w:r w:rsidRPr="001D62E7">
        <w:rPr>
          <w:rStyle w:val="FootnoteReference"/>
          <w:vertAlign w:val="superscript"/>
        </w:rPr>
        <w:footnoteRef/>
      </w:r>
      <w:r w:rsidRPr="00FE7102">
        <w:t>Groth, S</w:t>
      </w:r>
      <w:r w:rsidR="000947CE">
        <w:t xml:space="preserve">. </w:t>
      </w:r>
      <w:r w:rsidRPr="00FE7102">
        <w:t xml:space="preserve">W. (2010). Honorarium or coercion: use of incentives for participants in clinical research. </w:t>
      </w:r>
      <w:r w:rsidRPr="00FE7102">
        <w:rPr>
          <w:i/>
        </w:rPr>
        <w:t>Journal of the New York State Nurses Association</w:t>
      </w:r>
      <w:r>
        <w:t xml:space="preserve">, </w:t>
      </w:r>
      <w:r w:rsidRPr="000947CE">
        <w:rPr>
          <w:i/>
          <w:iCs/>
        </w:rPr>
        <w:t>41</w:t>
      </w:r>
      <w:r>
        <w:t>, 11-3</w:t>
      </w:r>
    </w:p>
  </w:footnote>
  <w:footnote w:id="26">
    <w:p w14:paraId="67ECDE56" w14:textId="332BC511" w:rsidR="001D62E7" w:rsidRDefault="001D62E7">
      <w:pPr>
        <w:pStyle w:val="FootnoteText"/>
      </w:pPr>
      <w:r w:rsidRPr="001D62E7">
        <w:rPr>
          <w:rStyle w:val="FootnoteReference"/>
          <w:vertAlign w:val="superscript"/>
        </w:rPr>
        <w:footnoteRef/>
      </w:r>
      <w:r w:rsidRPr="00FE7102">
        <w:t>Griffin, J. M., Simon, A. B., Hulbert, E., Stevenson, J., Grill, J. P., Noorbaloochi, S., &amp; Partin, M. R. (2011). A comparison of small monetary incentives to convert survey non-respondents: a randomized control trial. </w:t>
      </w:r>
      <w:r w:rsidRPr="00FE7102">
        <w:rPr>
          <w:i/>
          <w:iCs/>
        </w:rPr>
        <w:t>BMC Medical Research Methodology</w:t>
      </w:r>
      <w:r w:rsidRPr="00FE7102">
        <w:t>, </w:t>
      </w:r>
      <w:r w:rsidRPr="00FE7102">
        <w:rPr>
          <w:i/>
          <w:iCs/>
        </w:rPr>
        <w:t>11</w:t>
      </w:r>
      <w:r w:rsidRPr="00FE7102">
        <w:t>(1), 81.</w:t>
      </w:r>
    </w:p>
  </w:footnote>
  <w:footnote w:id="27">
    <w:p w14:paraId="79280D44" w14:textId="3133E9D4" w:rsidR="001D62E7" w:rsidRDefault="001D62E7">
      <w:pPr>
        <w:pStyle w:val="FootnoteText"/>
      </w:pPr>
      <w:r w:rsidRPr="001D62E7">
        <w:rPr>
          <w:rStyle w:val="FootnoteReference"/>
          <w:vertAlign w:val="superscript"/>
        </w:rPr>
        <w:footnoteRef/>
      </w:r>
      <w:r w:rsidRPr="00FE7102">
        <w:t>Lesser, V.</w:t>
      </w:r>
      <w:r w:rsidR="000947CE">
        <w:t xml:space="preserve"> </w:t>
      </w:r>
      <w:r w:rsidRPr="00FE7102">
        <w:t>M., Dillman, D.</w:t>
      </w:r>
      <w:r w:rsidR="000947CE">
        <w:t xml:space="preserve"> </w:t>
      </w:r>
      <w:r w:rsidRPr="00FE7102">
        <w:t>A., Carlson, J., Lorenz, F., Mason, R., and Willits, F. (2001) Quantifying the Influence of Incentives on Mail Survey Response Rates and Nonresponse Bias. Paper presented at the annual meeting of the American Statistical Association, Atlanta, GA.</w:t>
      </w:r>
    </w:p>
  </w:footnote>
  <w:footnote w:id="28">
    <w:p w14:paraId="2C6E2EE6" w14:textId="2F9E3CE3" w:rsidR="001D62E7" w:rsidRPr="001D62E7" w:rsidRDefault="001D62E7">
      <w:pPr>
        <w:pStyle w:val="FootnoteText"/>
        <w:rPr>
          <w:vertAlign w:val="superscript"/>
        </w:rPr>
      </w:pPr>
      <w:r w:rsidRPr="001D62E7">
        <w:rPr>
          <w:rStyle w:val="FootnoteReference"/>
          <w:vertAlign w:val="superscript"/>
        </w:rPr>
        <w:footnoteRef/>
      </w:r>
      <w:r w:rsidRPr="00FE7102">
        <w:t>Singer, E. &amp; Kulka, R. A. (2002). Paying Respondents for Survey Participation. In M. Ver Ploeg, R. A. Moffitt, &amp; C. F. Citro (Eds.), Studies of Welfare Populations: Data Collection and Research Issues, Washington, D.C.: National Academy Press.</w:t>
      </w:r>
    </w:p>
  </w:footnote>
  <w:footnote w:id="29">
    <w:p w14:paraId="36E58E86" w14:textId="6492A641" w:rsidR="007732BF" w:rsidRDefault="007732BF">
      <w:pPr>
        <w:pStyle w:val="FootnoteText"/>
      </w:pPr>
      <w:r w:rsidRPr="007732BF">
        <w:rPr>
          <w:rStyle w:val="FootnoteReference"/>
          <w:vertAlign w:val="superscript"/>
        </w:rPr>
        <w:footnoteRef/>
      </w:r>
      <w:r w:rsidRPr="00FE7102">
        <w:t>Groves, R. M., Presser, S., &amp; Dipko, S. (2004). The role of topic interest in survey participation decisions. </w:t>
      </w:r>
      <w:r w:rsidRPr="00FE7102">
        <w:rPr>
          <w:i/>
          <w:iCs/>
        </w:rPr>
        <w:t>Public Opinion Quarterly</w:t>
      </w:r>
      <w:r w:rsidRPr="00FE7102">
        <w:t>, </w:t>
      </w:r>
      <w:r w:rsidRPr="00FE7102">
        <w:rPr>
          <w:i/>
          <w:iCs/>
        </w:rPr>
        <w:t>68</w:t>
      </w:r>
      <w:r w:rsidRPr="00FE7102">
        <w:t>(1), 2-</w:t>
      </w:r>
      <w:r>
        <w:t>31</w:t>
      </w:r>
    </w:p>
  </w:footnote>
  <w:footnote w:id="30">
    <w:p w14:paraId="1967BF62" w14:textId="69010AFD" w:rsidR="007732BF" w:rsidRDefault="007732BF">
      <w:pPr>
        <w:pStyle w:val="FootnoteText"/>
      </w:pPr>
      <w:r w:rsidRPr="007732BF">
        <w:rPr>
          <w:rStyle w:val="FootnoteReference"/>
          <w:vertAlign w:val="superscript"/>
        </w:rPr>
        <w:footnoteRef/>
      </w:r>
      <w:r w:rsidRPr="00FE7102">
        <w:t>Guyll, M., Spoth, R., &amp; Redmond, C. (2003). The effects of incentives and research requirements on participation rates for a community-based preventive intervention research study. </w:t>
      </w:r>
      <w:r w:rsidRPr="00FE7102">
        <w:rPr>
          <w:i/>
          <w:iCs/>
        </w:rPr>
        <w:t>Journal of Primary Prevention</w:t>
      </w:r>
      <w:r w:rsidRPr="00FE7102">
        <w:t>, </w:t>
      </w:r>
      <w:r w:rsidRPr="00FE7102">
        <w:rPr>
          <w:i/>
          <w:iCs/>
        </w:rPr>
        <w:t>24</w:t>
      </w:r>
      <w:r w:rsidRPr="00FE7102">
        <w:t>(1), 25-41.</w:t>
      </w:r>
    </w:p>
  </w:footnote>
  <w:footnote w:id="31">
    <w:p w14:paraId="45B9C5A5" w14:textId="680F8405" w:rsidR="007732BF" w:rsidRDefault="007732BF">
      <w:pPr>
        <w:pStyle w:val="FootnoteText"/>
      </w:pPr>
      <w:r w:rsidRPr="007732BF">
        <w:rPr>
          <w:rStyle w:val="FootnoteReference"/>
          <w:vertAlign w:val="superscript"/>
        </w:rPr>
        <w:footnoteRef/>
      </w:r>
      <w:r w:rsidRPr="00FE7102">
        <w:t>Castiglioni</w:t>
      </w:r>
      <w:r w:rsidR="000947CE">
        <w:t>,</w:t>
      </w:r>
      <w:r w:rsidRPr="00FE7102">
        <w:t xml:space="preserve"> L</w:t>
      </w:r>
      <w:r w:rsidR="000947CE">
        <w:t>.</w:t>
      </w:r>
      <w:r w:rsidRPr="00FE7102">
        <w:t>, Pforr</w:t>
      </w:r>
      <w:r w:rsidR="000947CE">
        <w:t>,</w:t>
      </w:r>
      <w:r w:rsidRPr="00FE7102">
        <w:t xml:space="preserve"> K. </w:t>
      </w:r>
      <w:r w:rsidR="000947CE">
        <w:t>(2007</w:t>
      </w:r>
      <w:r w:rsidR="00C00C53">
        <w:t xml:space="preserve">). </w:t>
      </w:r>
      <w:r w:rsidRPr="00FE7102">
        <w:t xml:space="preserve">The effect of incentives in reducing non-response bias in a multi-actor survey. </w:t>
      </w:r>
      <w:r w:rsidRPr="00FE7102">
        <w:rPr>
          <w:i/>
          <w:iCs/>
        </w:rPr>
        <w:t>Presented at the 2</w:t>
      </w:r>
      <w:r w:rsidRPr="00FE7102">
        <w:rPr>
          <w:i/>
          <w:iCs/>
          <w:vertAlign w:val="superscript"/>
        </w:rPr>
        <w:t>nd</w:t>
      </w:r>
      <w:r w:rsidRPr="00FE7102">
        <w:rPr>
          <w:i/>
          <w:iCs/>
        </w:rPr>
        <w:t xml:space="preserve"> </w:t>
      </w:r>
      <w:r w:rsidR="00C00C53">
        <w:rPr>
          <w:i/>
          <w:iCs/>
        </w:rPr>
        <w:t>A</w:t>
      </w:r>
      <w:r w:rsidRPr="00FE7102">
        <w:rPr>
          <w:i/>
          <w:iCs/>
        </w:rPr>
        <w:t>nnual European Survey Research Association Conference</w:t>
      </w:r>
      <w:r w:rsidRPr="00FE7102">
        <w:t>, Prague, Czech Republic, June, 2007</w:t>
      </w:r>
      <w:r w:rsidR="00C00C5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C10410"/>
    <w:multiLevelType w:val="hybridMultilevel"/>
    <w:tmpl w:val="05AE60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511D6"/>
    <w:multiLevelType w:val="hybridMultilevel"/>
    <w:tmpl w:val="FAA42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45623E"/>
    <w:multiLevelType w:val="hybridMultilevel"/>
    <w:tmpl w:val="5E928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E5134"/>
    <w:multiLevelType w:val="hybridMultilevel"/>
    <w:tmpl w:val="1006F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0488E"/>
    <w:multiLevelType w:val="hybridMultilevel"/>
    <w:tmpl w:val="B5DE7EA6"/>
    <w:lvl w:ilvl="0" w:tplc="2DE039F8">
      <w:start w:val="1"/>
      <w:numFmt w:val="decimal"/>
      <w:pStyle w:val="ResponseOption"/>
      <w:lvlText w:val="[%1]"/>
      <w:lvlJc w:val="left"/>
      <w:pPr>
        <w:ind w:left="2160" w:hanging="360"/>
      </w:pPr>
      <w:rPr>
        <w:rFonts w:ascii="Times New Roman" w:hAnsi="Times New Roman" w:cs="Times New Roman" w:hint="default"/>
        <w:b w:val="0"/>
        <w:i w:val="0"/>
        <w:caps w:val="0"/>
        <w:strike w:val="0"/>
        <w:dstrike w:val="0"/>
        <w:vanish w:val="0"/>
        <w:color w:val="7F7F7F" w:themeColor="text1" w:themeTint="80"/>
        <w:w w:val="99"/>
        <w:sz w:val="20"/>
        <w:szCs w:val="2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086B6B"/>
    <w:multiLevelType w:val="hybridMultilevel"/>
    <w:tmpl w:val="3C5A966C"/>
    <w:lvl w:ilvl="0" w:tplc="28A842DC">
      <w:start w:val="1"/>
      <w:numFmt w:val="decimal"/>
      <w:lvlText w:val="%1."/>
      <w:lvlJc w:val="left"/>
      <w:pPr>
        <w:ind w:left="960" w:hanging="360"/>
      </w:pPr>
      <w:rPr>
        <w:rFonts w:hint="default"/>
        <w:b w:val="0"/>
        <w:i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3E835CC"/>
    <w:multiLevelType w:val="hybridMultilevel"/>
    <w:tmpl w:val="1CAA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24C04"/>
    <w:multiLevelType w:val="hybridMultilevel"/>
    <w:tmpl w:val="0EE6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36295"/>
    <w:multiLevelType w:val="hybridMultilevel"/>
    <w:tmpl w:val="992CB4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6844B22"/>
    <w:multiLevelType w:val="hybridMultilevel"/>
    <w:tmpl w:val="43C43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054F35"/>
    <w:multiLevelType w:val="hybridMultilevel"/>
    <w:tmpl w:val="AFEEDE0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36C80"/>
    <w:multiLevelType w:val="hybridMultilevel"/>
    <w:tmpl w:val="0EC4E902"/>
    <w:lvl w:ilvl="0" w:tplc="F9A4C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D07D9"/>
    <w:multiLevelType w:val="hybridMultilevel"/>
    <w:tmpl w:val="B12EE64E"/>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4" w15:restartNumberingAfterBreak="0">
    <w:nsid w:val="76F97BAE"/>
    <w:multiLevelType w:val="hybridMultilevel"/>
    <w:tmpl w:val="B36472B8"/>
    <w:lvl w:ilvl="0" w:tplc="AE8CDED8">
      <w:start w:val="1"/>
      <w:numFmt w:val="decimal"/>
      <w:lvlText w:val="%1."/>
      <w:lvlJc w:val="left"/>
      <w:pPr>
        <w:ind w:left="720" w:hanging="360"/>
      </w:pPr>
      <w:rPr>
        <w:rFonts w:cs="Times New Roman" w:hint="default"/>
        <w:b w:val="0"/>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5"/>
  </w:num>
  <w:num w:numId="4">
    <w:abstractNumId w:val="8"/>
  </w:num>
  <w:num w:numId="5">
    <w:abstractNumId w:val="7"/>
  </w:num>
  <w:num w:numId="6">
    <w:abstractNumId w:val="2"/>
  </w:num>
  <w:num w:numId="7">
    <w:abstractNumId w:val="10"/>
  </w:num>
  <w:num w:numId="8">
    <w:abstractNumId w:val="3"/>
  </w:num>
  <w:num w:numId="9">
    <w:abstractNumId w:val="12"/>
  </w:num>
  <w:num w:numId="10">
    <w:abstractNumId w:val="11"/>
  </w:num>
  <w:num w:numId="11">
    <w:abstractNumId w:val="1"/>
  </w:num>
  <w:num w:numId="12">
    <w:abstractNumId w:val="6"/>
  </w:num>
  <w:num w:numId="13">
    <w:abstractNumId w:val="9"/>
  </w:num>
  <w:num w:numId="14">
    <w:abstractNumId w:val="5"/>
  </w:num>
  <w:num w:numId="15">
    <w:abstractNumId w:val="14"/>
  </w:num>
  <w:num w:numId="1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2746"/>
    <w:rsid w:val="00003428"/>
    <w:rsid w:val="00005D48"/>
    <w:rsid w:val="00011809"/>
    <w:rsid w:val="00012CA9"/>
    <w:rsid w:val="00013C68"/>
    <w:rsid w:val="0002315D"/>
    <w:rsid w:val="000240EA"/>
    <w:rsid w:val="00035B5C"/>
    <w:rsid w:val="0003694C"/>
    <w:rsid w:val="00036E57"/>
    <w:rsid w:val="00040BFF"/>
    <w:rsid w:val="00041BD0"/>
    <w:rsid w:val="0004305D"/>
    <w:rsid w:val="00051B1B"/>
    <w:rsid w:val="00054B1B"/>
    <w:rsid w:val="00064802"/>
    <w:rsid w:val="00072447"/>
    <w:rsid w:val="00076513"/>
    <w:rsid w:val="000829B5"/>
    <w:rsid w:val="000947CE"/>
    <w:rsid w:val="000978A1"/>
    <w:rsid w:val="00097BFB"/>
    <w:rsid w:val="000A1177"/>
    <w:rsid w:val="000A19AD"/>
    <w:rsid w:val="000A355C"/>
    <w:rsid w:val="000A525C"/>
    <w:rsid w:val="000A5F6A"/>
    <w:rsid w:val="000B0E6B"/>
    <w:rsid w:val="000B51E3"/>
    <w:rsid w:val="000B5D2E"/>
    <w:rsid w:val="000C2D62"/>
    <w:rsid w:val="000C386B"/>
    <w:rsid w:val="000D2C2A"/>
    <w:rsid w:val="000D4CD0"/>
    <w:rsid w:val="000D69FA"/>
    <w:rsid w:val="000E061B"/>
    <w:rsid w:val="000E3587"/>
    <w:rsid w:val="000E48F4"/>
    <w:rsid w:val="000E66EB"/>
    <w:rsid w:val="000F1CDA"/>
    <w:rsid w:val="000F2F28"/>
    <w:rsid w:val="000F41EA"/>
    <w:rsid w:val="000F6CD9"/>
    <w:rsid w:val="000F7400"/>
    <w:rsid w:val="000F7AA6"/>
    <w:rsid w:val="00103BFE"/>
    <w:rsid w:val="00106EA5"/>
    <w:rsid w:val="0011534C"/>
    <w:rsid w:val="00125255"/>
    <w:rsid w:val="00126D06"/>
    <w:rsid w:val="00130ADF"/>
    <w:rsid w:val="00132EF8"/>
    <w:rsid w:val="00134435"/>
    <w:rsid w:val="001344FF"/>
    <w:rsid w:val="0013785C"/>
    <w:rsid w:val="00140343"/>
    <w:rsid w:val="00140A0D"/>
    <w:rsid w:val="0014292C"/>
    <w:rsid w:val="00143294"/>
    <w:rsid w:val="0014636B"/>
    <w:rsid w:val="0014771B"/>
    <w:rsid w:val="001563A2"/>
    <w:rsid w:val="0015793C"/>
    <w:rsid w:val="00172A6E"/>
    <w:rsid w:val="0017395A"/>
    <w:rsid w:val="001807FD"/>
    <w:rsid w:val="00182D4D"/>
    <w:rsid w:val="00185136"/>
    <w:rsid w:val="00185D8E"/>
    <w:rsid w:val="001905DE"/>
    <w:rsid w:val="00190AA2"/>
    <w:rsid w:val="00192B10"/>
    <w:rsid w:val="001930E6"/>
    <w:rsid w:val="00193E9C"/>
    <w:rsid w:val="001A090E"/>
    <w:rsid w:val="001A22C0"/>
    <w:rsid w:val="001A324E"/>
    <w:rsid w:val="001A68F4"/>
    <w:rsid w:val="001C0117"/>
    <w:rsid w:val="001C126F"/>
    <w:rsid w:val="001D19B4"/>
    <w:rsid w:val="001D29E3"/>
    <w:rsid w:val="001D2E38"/>
    <w:rsid w:val="001D56B4"/>
    <w:rsid w:val="001D62E7"/>
    <w:rsid w:val="001E3D6B"/>
    <w:rsid w:val="001E76BA"/>
    <w:rsid w:val="001F09C0"/>
    <w:rsid w:val="001F1DA0"/>
    <w:rsid w:val="001F4032"/>
    <w:rsid w:val="001F4497"/>
    <w:rsid w:val="001F5943"/>
    <w:rsid w:val="002009DF"/>
    <w:rsid w:val="002041C4"/>
    <w:rsid w:val="00206B55"/>
    <w:rsid w:val="00211B57"/>
    <w:rsid w:val="0021293B"/>
    <w:rsid w:val="002154A6"/>
    <w:rsid w:val="0021568C"/>
    <w:rsid w:val="0021754E"/>
    <w:rsid w:val="0021757E"/>
    <w:rsid w:val="00222B06"/>
    <w:rsid w:val="00223970"/>
    <w:rsid w:val="0022730D"/>
    <w:rsid w:val="00227CEB"/>
    <w:rsid w:val="0023140C"/>
    <w:rsid w:val="002423C2"/>
    <w:rsid w:val="00243BAE"/>
    <w:rsid w:val="00243F05"/>
    <w:rsid w:val="00255B16"/>
    <w:rsid w:val="002623BC"/>
    <w:rsid w:val="002623BE"/>
    <w:rsid w:val="002648C3"/>
    <w:rsid w:val="00265E86"/>
    <w:rsid w:val="00272D81"/>
    <w:rsid w:val="002755F6"/>
    <w:rsid w:val="00276790"/>
    <w:rsid w:val="00290007"/>
    <w:rsid w:val="00290FBC"/>
    <w:rsid w:val="00293572"/>
    <w:rsid w:val="002A6942"/>
    <w:rsid w:val="002B1DFB"/>
    <w:rsid w:val="002C3495"/>
    <w:rsid w:val="002C54F8"/>
    <w:rsid w:val="002C778E"/>
    <w:rsid w:val="002D14D9"/>
    <w:rsid w:val="002D2DB9"/>
    <w:rsid w:val="002D3089"/>
    <w:rsid w:val="002D4277"/>
    <w:rsid w:val="002E0119"/>
    <w:rsid w:val="002F2BEA"/>
    <w:rsid w:val="00301E38"/>
    <w:rsid w:val="00305795"/>
    <w:rsid w:val="00310E51"/>
    <w:rsid w:val="00315804"/>
    <w:rsid w:val="00316BBA"/>
    <w:rsid w:val="003227ED"/>
    <w:rsid w:val="003259FA"/>
    <w:rsid w:val="00332323"/>
    <w:rsid w:val="00335293"/>
    <w:rsid w:val="00340279"/>
    <w:rsid w:val="00341533"/>
    <w:rsid w:val="00341920"/>
    <w:rsid w:val="00344218"/>
    <w:rsid w:val="00345028"/>
    <w:rsid w:val="00346E57"/>
    <w:rsid w:val="00350C25"/>
    <w:rsid w:val="00353E0B"/>
    <w:rsid w:val="00354481"/>
    <w:rsid w:val="00356056"/>
    <w:rsid w:val="00364051"/>
    <w:rsid w:val="00370889"/>
    <w:rsid w:val="00370B7B"/>
    <w:rsid w:val="00372A83"/>
    <w:rsid w:val="00373C8F"/>
    <w:rsid w:val="00373E08"/>
    <w:rsid w:val="00374184"/>
    <w:rsid w:val="00390A48"/>
    <w:rsid w:val="003919D8"/>
    <w:rsid w:val="00392D62"/>
    <w:rsid w:val="003A29BC"/>
    <w:rsid w:val="003A62D5"/>
    <w:rsid w:val="003A6CD8"/>
    <w:rsid w:val="003B1708"/>
    <w:rsid w:val="003B4ABD"/>
    <w:rsid w:val="003C1AE5"/>
    <w:rsid w:val="003C1DBA"/>
    <w:rsid w:val="003D00F1"/>
    <w:rsid w:val="003D120C"/>
    <w:rsid w:val="003D24BF"/>
    <w:rsid w:val="003D41C7"/>
    <w:rsid w:val="003E014C"/>
    <w:rsid w:val="003E0C0B"/>
    <w:rsid w:val="003E0D11"/>
    <w:rsid w:val="003E77A1"/>
    <w:rsid w:val="003F031C"/>
    <w:rsid w:val="003F1943"/>
    <w:rsid w:val="003F1C7A"/>
    <w:rsid w:val="003F4508"/>
    <w:rsid w:val="003F4691"/>
    <w:rsid w:val="003F5C61"/>
    <w:rsid w:val="003F6C7E"/>
    <w:rsid w:val="003F7090"/>
    <w:rsid w:val="003F7133"/>
    <w:rsid w:val="0040342B"/>
    <w:rsid w:val="00411149"/>
    <w:rsid w:val="00411FD1"/>
    <w:rsid w:val="004127C5"/>
    <w:rsid w:val="00415897"/>
    <w:rsid w:val="00415B1D"/>
    <w:rsid w:val="00420523"/>
    <w:rsid w:val="00421BAD"/>
    <w:rsid w:val="00421E92"/>
    <w:rsid w:val="004277AA"/>
    <w:rsid w:val="00442EFF"/>
    <w:rsid w:val="00453D16"/>
    <w:rsid w:val="004575C0"/>
    <w:rsid w:val="0046354C"/>
    <w:rsid w:val="00463B4D"/>
    <w:rsid w:val="00465A40"/>
    <w:rsid w:val="00467E1F"/>
    <w:rsid w:val="00470297"/>
    <w:rsid w:val="00471CFA"/>
    <w:rsid w:val="004722D6"/>
    <w:rsid w:val="0047456D"/>
    <w:rsid w:val="00476673"/>
    <w:rsid w:val="00482510"/>
    <w:rsid w:val="00490966"/>
    <w:rsid w:val="0049419A"/>
    <w:rsid w:val="00497AAA"/>
    <w:rsid w:val="004A32E2"/>
    <w:rsid w:val="004A5201"/>
    <w:rsid w:val="004B694D"/>
    <w:rsid w:val="004B7090"/>
    <w:rsid w:val="004D0E0E"/>
    <w:rsid w:val="004D1B5D"/>
    <w:rsid w:val="004D62CB"/>
    <w:rsid w:val="004E04E3"/>
    <w:rsid w:val="004E2A5A"/>
    <w:rsid w:val="004E5C97"/>
    <w:rsid w:val="004E7521"/>
    <w:rsid w:val="004F125B"/>
    <w:rsid w:val="004F243C"/>
    <w:rsid w:val="004F7310"/>
    <w:rsid w:val="00500E29"/>
    <w:rsid w:val="00505804"/>
    <w:rsid w:val="00523DDD"/>
    <w:rsid w:val="005458E9"/>
    <w:rsid w:val="0054612D"/>
    <w:rsid w:val="00546502"/>
    <w:rsid w:val="00556B3E"/>
    <w:rsid w:val="0056293F"/>
    <w:rsid w:val="005662FF"/>
    <w:rsid w:val="00570E5B"/>
    <w:rsid w:val="00571523"/>
    <w:rsid w:val="00573DBF"/>
    <w:rsid w:val="00577001"/>
    <w:rsid w:val="00580940"/>
    <w:rsid w:val="0058679B"/>
    <w:rsid w:val="005917B4"/>
    <w:rsid w:val="00591DB2"/>
    <w:rsid w:val="00592DB2"/>
    <w:rsid w:val="00595B0F"/>
    <w:rsid w:val="00596479"/>
    <w:rsid w:val="005A0A5F"/>
    <w:rsid w:val="005A18A4"/>
    <w:rsid w:val="005A1ADE"/>
    <w:rsid w:val="005A6808"/>
    <w:rsid w:val="005A77C0"/>
    <w:rsid w:val="005B0D6D"/>
    <w:rsid w:val="005B33C1"/>
    <w:rsid w:val="005B3B60"/>
    <w:rsid w:val="005B4048"/>
    <w:rsid w:val="005B4464"/>
    <w:rsid w:val="005B6796"/>
    <w:rsid w:val="005C00D1"/>
    <w:rsid w:val="005C10D9"/>
    <w:rsid w:val="005C47CD"/>
    <w:rsid w:val="005C646A"/>
    <w:rsid w:val="005C7A09"/>
    <w:rsid w:val="005D42A3"/>
    <w:rsid w:val="005D6152"/>
    <w:rsid w:val="005D75AA"/>
    <w:rsid w:val="005E23BA"/>
    <w:rsid w:val="005E4981"/>
    <w:rsid w:val="005E5B8E"/>
    <w:rsid w:val="005E6CFD"/>
    <w:rsid w:val="005E7315"/>
    <w:rsid w:val="005F13A2"/>
    <w:rsid w:val="005F2D97"/>
    <w:rsid w:val="00601CA9"/>
    <w:rsid w:val="006023B1"/>
    <w:rsid w:val="006026AB"/>
    <w:rsid w:val="00606A1C"/>
    <w:rsid w:val="00607815"/>
    <w:rsid w:val="00614F6F"/>
    <w:rsid w:val="006153B9"/>
    <w:rsid w:val="00616F2A"/>
    <w:rsid w:val="00623DE0"/>
    <w:rsid w:val="0063232F"/>
    <w:rsid w:val="006334E3"/>
    <w:rsid w:val="006335D2"/>
    <w:rsid w:val="00640C35"/>
    <w:rsid w:val="00643360"/>
    <w:rsid w:val="00644104"/>
    <w:rsid w:val="0066030A"/>
    <w:rsid w:val="006613DD"/>
    <w:rsid w:val="00662360"/>
    <w:rsid w:val="00666496"/>
    <w:rsid w:val="00670302"/>
    <w:rsid w:val="006722F6"/>
    <w:rsid w:val="00682BB9"/>
    <w:rsid w:val="00685B85"/>
    <w:rsid w:val="00696B03"/>
    <w:rsid w:val="006970B6"/>
    <w:rsid w:val="006A48E5"/>
    <w:rsid w:val="006A73AA"/>
    <w:rsid w:val="006A795B"/>
    <w:rsid w:val="006B2455"/>
    <w:rsid w:val="006B3563"/>
    <w:rsid w:val="006C02CB"/>
    <w:rsid w:val="006C5643"/>
    <w:rsid w:val="006C5905"/>
    <w:rsid w:val="006D2107"/>
    <w:rsid w:val="006D3B31"/>
    <w:rsid w:val="006E08B5"/>
    <w:rsid w:val="006E15E9"/>
    <w:rsid w:val="006E7970"/>
    <w:rsid w:val="006F08A8"/>
    <w:rsid w:val="006F0E97"/>
    <w:rsid w:val="006F137A"/>
    <w:rsid w:val="006F243C"/>
    <w:rsid w:val="006F303C"/>
    <w:rsid w:val="006F46E3"/>
    <w:rsid w:val="00700FB3"/>
    <w:rsid w:val="007023DB"/>
    <w:rsid w:val="00703400"/>
    <w:rsid w:val="0071182B"/>
    <w:rsid w:val="00712663"/>
    <w:rsid w:val="0071297F"/>
    <w:rsid w:val="00713F4D"/>
    <w:rsid w:val="00715678"/>
    <w:rsid w:val="007166AE"/>
    <w:rsid w:val="00720484"/>
    <w:rsid w:val="00722474"/>
    <w:rsid w:val="007224EB"/>
    <w:rsid w:val="007232E9"/>
    <w:rsid w:val="007246E8"/>
    <w:rsid w:val="00725611"/>
    <w:rsid w:val="007320DC"/>
    <w:rsid w:val="00735060"/>
    <w:rsid w:val="0074463A"/>
    <w:rsid w:val="00744F5B"/>
    <w:rsid w:val="00751CFC"/>
    <w:rsid w:val="00755192"/>
    <w:rsid w:val="00756B47"/>
    <w:rsid w:val="007732BF"/>
    <w:rsid w:val="00774929"/>
    <w:rsid w:val="00780821"/>
    <w:rsid w:val="00782F2B"/>
    <w:rsid w:val="00787854"/>
    <w:rsid w:val="00791C0E"/>
    <w:rsid w:val="007921F9"/>
    <w:rsid w:val="0079417B"/>
    <w:rsid w:val="007941C8"/>
    <w:rsid w:val="007A4331"/>
    <w:rsid w:val="007A64E7"/>
    <w:rsid w:val="007B0167"/>
    <w:rsid w:val="007B045B"/>
    <w:rsid w:val="007B2DD9"/>
    <w:rsid w:val="007B42F8"/>
    <w:rsid w:val="007B689F"/>
    <w:rsid w:val="007B6D3E"/>
    <w:rsid w:val="007B774A"/>
    <w:rsid w:val="007C18BF"/>
    <w:rsid w:val="007C7DF4"/>
    <w:rsid w:val="007D61D7"/>
    <w:rsid w:val="007D6BA1"/>
    <w:rsid w:val="007E5437"/>
    <w:rsid w:val="007E726C"/>
    <w:rsid w:val="007E7466"/>
    <w:rsid w:val="007E7811"/>
    <w:rsid w:val="007F1D57"/>
    <w:rsid w:val="007F2536"/>
    <w:rsid w:val="007F3D57"/>
    <w:rsid w:val="0081056A"/>
    <w:rsid w:val="00812A6C"/>
    <w:rsid w:val="008132C4"/>
    <w:rsid w:val="00813863"/>
    <w:rsid w:val="008211EE"/>
    <w:rsid w:val="00825E0D"/>
    <w:rsid w:val="00826568"/>
    <w:rsid w:val="0082774F"/>
    <w:rsid w:val="00833E4F"/>
    <w:rsid w:val="008352E0"/>
    <w:rsid w:val="008408F2"/>
    <w:rsid w:val="00846967"/>
    <w:rsid w:val="008604AA"/>
    <w:rsid w:val="00862D6D"/>
    <w:rsid w:val="008648B5"/>
    <w:rsid w:val="00871A9F"/>
    <w:rsid w:val="00872602"/>
    <w:rsid w:val="00872A38"/>
    <w:rsid w:val="0087647F"/>
    <w:rsid w:val="00881089"/>
    <w:rsid w:val="00882AE4"/>
    <w:rsid w:val="008863D0"/>
    <w:rsid w:val="00891FEB"/>
    <w:rsid w:val="00892646"/>
    <w:rsid w:val="00894F96"/>
    <w:rsid w:val="008974A2"/>
    <w:rsid w:val="008A186B"/>
    <w:rsid w:val="008A3CBF"/>
    <w:rsid w:val="008A7B8B"/>
    <w:rsid w:val="008B034B"/>
    <w:rsid w:val="008B09A6"/>
    <w:rsid w:val="008B2F4F"/>
    <w:rsid w:val="008B7E49"/>
    <w:rsid w:val="008C17CB"/>
    <w:rsid w:val="008C6290"/>
    <w:rsid w:val="008D308E"/>
    <w:rsid w:val="008E09D0"/>
    <w:rsid w:val="008E6145"/>
    <w:rsid w:val="008F2B08"/>
    <w:rsid w:val="008F6E91"/>
    <w:rsid w:val="00900FD5"/>
    <w:rsid w:val="00903ACA"/>
    <w:rsid w:val="00904E89"/>
    <w:rsid w:val="00905496"/>
    <w:rsid w:val="0092462E"/>
    <w:rsid w:val="00926D2B"/>
    <w:rsid w:val="0093227E"/>
    <w:rsid w:val="0093515A"/>
    <w:rsid w:val="009404FA"/>
    <w:rsid w:val="00950C70"/>
    <w:rsid w:val="0095325B"/>
    <w:rsid w:val="009542F7"/>
    <w:rsid w:val="00955C1E"/>
    <w:rsid w:val="009742AD"/>
    <w:rsid w:val="00975B24"/>
    <w:rsid w:val="00976F2C"/>
    <w:rsid w:val="00981413"/>
    <w:rsid w:val="009820CC"/>
    <w:rsid w:val="00982A41"/>
    <w:rsid w:val="00984D93"/>
    <w:rsid w:val="009A31DA"/>
    <w:rsid w:val="009A3299"/>
    <w:rsid w:val="009B3D8D"/>
    <w:rsid w:val="009B5758"/>
    <w:rsid w:val="009C08DD"/>
    <w:rsid w:val="009C563C"/>
    <w:rsid w:val="009C7CA1"/>
    <w:rsid w:val="009C7EAC"/>
    <w:rsid w:val="009D0231"/>
    <w:rsid w:val="009D0571"/>
    <w:rsid w:val="009D3F18"/>
    <w:rsid w:val="009D5D67"/>
    <w:rsid w:val="009E451B"/>
    <w:rsid w:val="00A002E2"/>
    <w:rsid w:val="00A037AF"/>
    <w:rsid w:val="00A208D0"/>
    <w:rsid w:val="00A20ADD"/>
    <w:rsid w:val="00A225AB"/>
    <w:rsid w:val="00A24B03"/>
    <w:rsid w:val="00A25894"/>
    <w:rsid w:val="00A25F10"/>
    <w:rsid w:val="00A26BA5"/>
    <w:rsid w:val="00A3290C"/>
    <w:rsid w:val="00A35084"/>
    <w:rsid w:val="00A42B43"/>
    <w:rsid w:val="00A43A42"/>
    <w:rsid w:val="00A44BF9"/>
    <w:rsid w:val="00A50011"/>
    <w:rsid w:val="00A52497"/>
    <w:rsid w:val="00A66CB6"/>
    <w:rsid w:val="00A767BF"/>
    <w:rsid w:val="00A82DCC"/>
    <w:rsid w:val="00A83A0F"/>
    <w:rsid w:val="00A8555D"/>
    <w:rsid w:val="00A95F64"/>
    <w:rsid w:val="00AA140A"/>
    <w:rsid w:val="00AB6FF3"/>
    <w:rsid w:val="00AC0806"/>
    <w:rsid w:val="00AD6A38"/>
    <w:rsid w:val="00AD75DC"/>
    <w:rsid w:val="00AE212C"/>
    <w:rsid w:val="00AF0F4B"/>
    <w:rsid w:val="00B060F1"/>
    <w:rsid w:val="00B17EBE"/>
    <w:rsid w:val="00B20195"/>
    <w:rsid w:val="00B327B2"/>
    <w:rsid w:val="00B349C8"/>
    <w:rsid w:val="00B3555F"/>
    <w:rsid w:val="00B36A65"/>
    <w:rsid w:val="00B44C69"/>
    <w:rsid w:val="00B46E5B"/>
    <w:rsid w:val="00B5761A"/>
    <w:rsid w:val="00B57FBA"/>
    <w:rsid w:val="00B63DD4"/>
    <w:rsid w:val="00B6556D"/>
    <w:rsid w:val="00B713D3"/>
    <w:rsid w:val="00B72615"/>
    <w:rsid w:val="00B777C3"/>
    <w:rsid w:val="00B80793"/>
    <w:rsid w:val="00B81A00"/>
    <w:rsid w:val="00B82843"/>
    <w:rsid w:val="00B83325"/>
    <w:rsid w:val="00B8376B"/>
    <w:rsid w:val="00B8560D"/>
    <w:rsid w:val="00B859B1"/>
    <w:rsid w:val="00B93841"/>
    <w:rsid w:val="00B974E7"/>
    <w:rsid w:val="00BA2E39"/>
    <w:rsid w:val="00BA5C32"/>
    <w:rsid w:val="00BB1AFA"/>
    <w:rsid w:val="00BB4ED1"/>
    <w:rsid w:val="00BC0BB4"/>
    <w:rsid w:val="00BD0866"/>
    <w:rsid w:val="00BD4731"/>
    <w:rsid w:val="00BE23E8"/>
    <w:rsid w:val="00C00C53"/>
    <w:rsid w:val="00C0259F"/>
    <w:rsid w:val="00C02610"/>
    <w:rsid w:val="00C04278"/>
    <w:rsid w:val="00C0591F"/>
    <w:rsid w:val="00C102CF"/>
    <w:rsid w:val="00C12993"/>
    <w:rsid w:val="00C13B38"/>
    <w:rsid w:val="00C1408C"/>
    <w:rsid w:val="00C2065F"/>
    <w:rsid w:val="00C20693"/>
    <w:rsid w:val="00C23DF8"/>
    <w:rsid w:val="00C36B8F"/>
    <w:rsid w:val="00C41977"/>
    <w:rsid w:val="00C45973"/>
    <w:rsid w:val="00C461F0"/>
    <w:rsid w:val="00C4752A"/>
    <w:rsid w:val="00C60048"/>
    <w:rsid w:val="00C6064A"/>
    <w:rsid w:val="00C62353"/>
    <w:rsid w:val="00C866E2"/>
    <w:rsid w:val="00C975E4"/>
    <w:rsid w:val="00CB0BB1"/>
    <w:rsid w:val="00CB547A"/>
    <w:rsid w:val="00CB6695"/>
    <w:rsid w:val="00CD347D"/>
    <w:rsid w:val="00CD5F69"/>
    <w:rsid w:val="00CE1DB1"/>
    <w:rsid w:val="00CE3A96"/>
    <w:rsid w:val="00CE57C2"/>
    <w:rsid w:val="00CE6C63"/>
    <w:rsid w:val="00CF0774"/>
    <w:rsid w:val="00CF10F4"/>
    <w:rsid w:val="00CF56C7"/>
    <w:rsid w:val="00CF613E"/>
    <w:rsid w:val="00D062A8"/>
    <w:rsid w:val="00D07819"/>
    <w:rsid w:val="00D16FF2"/>
    <w:rsid w:val="00D22E65"/>
    <w:rsid w:val="00D2593F"/>
    <w:rsid w:val="00D340AB"/>
    <w:rsid w:val="00D34146"/>
    <w:rsid w:val="00D42388"/>
    <w:rsid w:val="00D4709A"/>
    <w:rsid w:val="00D501BC"/>
    <w:rsid w:val="00D50B96"/>
    <w:rsid w:val="00D542D4"/>
    <w:rsid w:val="00D54558"/>
    <w:rsid w:val="00D54C11"/>
    <w:rsid w:val="00D55159"/>
    <w:rsid w:val="00D60AF1"/>
    <w:rsid w:val="00D60CED"/>
    <w:rsid w:val="00D62B9B"/>
    <w:rsid w:val="00D63174"/>
    <w:rsid w:val="00D67399"/>
    <w:rsid w:val="00D67FB3"/>
    <w:rsid w:val="00D71FCA"/>
    <w:rsid w:val="00D965B3"/>
    <w:rsid w:val="00DA31FF"/>
    <w:rsid w:val="00DB33B8"/>
    <w:rsid w:val="00DB794E"/>
    <w:rsid w:val="00DC17F9"/>
    <w:rsid w:val="00DC258F"/>
    <w:rsid w:val="00DC76EE"/>
    <w:rsid w:val="00DD06C9"/>
    <w:rsid w:val="00DD1057"/>
    <w:rsid w:val="00DD27E7"/>
    <w:rsid w:val="00DD6106"/>
    <w:rsid w:val="00DE00B8"/>
    <w:rsid w:val="00DE76C6"/>
    <w:rsid w:val="00DF0378"/>
    <w:rsid w:val="00DF1389"/>
    <w:rsid w:val="00E0046D"/>
    <w:rsid w:val="00E0571D"/>
    <w:rsid w:val="00E057D0"/>
    <w:rsid w:val="00E0641A"/>
    <w:rsid w:val="00E0717A"/>
    <w:rsid w:val="00E13D5C"/>
    <w:rsid w:val="00E16841"/>
    <w:rsid w:val="00E17768"/>
    <w:rsid w:val="00E17870"/>
    <w:rsid w:val="00E215FA"/>
    <w:rsid w:val="00E26798"/>
    <w:rsid w:val="00E30487"/>
    <w:rsid w:val="00E330DE"/>
    <w:rsid w:val="00E371C5"/>
    <w:rsid w:val="00E372AD"/>
    <w:rsid w:val="00E4311B"/>
    <w:rsid w:val="00E43F19"/>
    <w:rsid w:val="00E44489"/>
    <w:rsid w:val="00E456A0"/>
    <w:rsid w:val="00E45BA0"/>
    <w:rsid w:val="00E466FF"/>
    <w:rsid w:val="00E47C58"/>
    <w:rsid w:val="00E629FF"/>
    <w:rsid w:val="00E634CC"/>
    <w:rsid w:val="00E662BE"/>
    <w:rsid w:val="00E66FF7"/>
    <w:rsid w:val="00E72206"/>
    <w:rsid w:val="00E72752"/>
    <w:rsid w:val="00E73901"/>
    <w:rsid w:val="00E74943"/>
    <w:rsid w:val="00E76ECB"/>
    <w:rsid w:val="00E76F09"/>
    <w:rsid w:val="00E81EC6"/>
    <w:rsid w:val="00E86FC7"/>
    <w:rsid w:val="00E90EB3"/>
    <w:rsid w:val="00E942BD"/>
    <w:rsid w:val="00E95BC1"/>
    <w:rsid w:val="00E971FC"/>
    <w:rsid w:val="00EA0586"/>
    <w:rsid w:val="00EA7710"/>
    <w:rsid w:val="00EA7CFE"/>
    <w:rsid w:val="00EB28D4"/>
    <w:rsid w:val="00EC6232"/>
    <w:rsid w:val="00ED0EE3"/>
    <w:rsid w:val="00ED1F8A"/>
    <w:rsid w:val="00ED4681"/>
    <w:rsid w:val="00EE1177"/>
    <w:rsid w:val="00EE1D7E"/>
    <w:rsid w:val="00EE7334"/>
    <w:rsid w:val="00EE7500"/>
    <w:rsid w:val="00EE79A7"/>
    <w:rsid w:val="00EF39A3"/>
    <w:rsid w:val="00EF741A"/>
    <w:rsid w:val="00F02163"/>
    <w:rsid w:val="00F02B0C"/>
    <w:rsid w:val="00F06939"/>
    <w:rsid w:val="00F12AEE"/>
    <w:rsid w:val="00F12B48"/>
    <w:rsid w:val="00F135E3"/>
    <w:rsid w:val="00F15275"/>
    <w:rsid w:val="00F1559D"/>
    <w:rsid w:val="00F16A50"/>
    <w:rsid w:val="00F17245"/>
    <w:rsid w:val="00F262A1"/>
    <w:rsid w:val="00F3481A"/>
    <w:rsid w:val="00F34DCB"/>
    <w:rsid w:val="00F3704A"/>
    <w:rsid w:val="00F37C4F"/>
    <w:rsid w:val="00F40DE1"/>
    <w:rsid w:val="00F410DF"/>
    <w:rsid w:val="00F41FA5"/>
    <w:rsid w:val="00F649C3"/>
    <w:rsid w:val="00F6560F"/>
    <w:rsid w:val="00F66BBF"/>
    <w:rsid w:val="00F73D94"/>
    <w:rsid w:val="00F7463A"/>
    <w:rsid w:val="00F77AEC"/>
    <w:rsid w:val="00F80D4E"/>
    <w:rsid w:val="00F81144"/>
    <w:rsid w:val="00F83A1F"/>
    <w:rsid w:val="00F85B56"/>
    <w:rsid w:val="00F867F7"/>
    <w:rsid w:val="00F8730A"/>
    <w:rsid w:val="00F90FAA"/>
    <w:rsid w:val="00F95A48"/>
    <w:rsid w:val="00FA2EBC"/>
    <w:rsid w:val="00FA73EB"/>
    <w:rsid w:val="00FD40E6"/>
    <w:rsid w:val="00FD7148"/>
    <w:rsid w:val="00FD7D1E"/>
    <w:rsid w:val="00FE5A00"/>
    <w:rsid w:val="00FE5E65"/>
    <w:rsid w:val="00FF63F1"/>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8F004"/>
  <w15:docId w15:val="{1164F789-EC5B-4156-A73D-F782DBF0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E26798"/>
    <w:pPr>
      <w:ind w:left="720"/>
    </w:pPr>
  </w:style>
  <w:style w:type="paragraph" w:customStyle="1" w:styleId="Level1">
    <w:name w:val="Level 1"/>
    <w:basedOn w:val="Normal"/>
    <w:rsid w:val="0017395A"/>
    <w:pPr>
      <w:widowControl w:val="0"/>
      <w:numPr>
        <w:numId w:val="2"/>
      </w:numPr>
      <w:autoSpaceDE w:val="0"/>
      <w:autoSpaceDN w:val="0"/>
      <w:adjustRightInd w:val="0"/>
      <w:outlineLvl w:val="0"/>
    </w:pPr>
    <w:rPr>
      <w:sz w:val="20"/>
    </w:rPr>
  </w:style>
  <w:style w:type="character" w:styleId="FootnoteReference">
    <w:name w:val="footnote reference"/>
    <w:uiPriority w:val="99"/>
    <w:rsid w:val="00833E4F"/>
  </w:style>
  <w:style w:type="paragraph" w:styleId="FootnoteText">
    <w:name w:val="footnote text"/>
    <w:aliases w:val="F1"/>
    <w:basedOn w:val="Normal"/>
    <w:link w:val="FootnoteTextChar"/>
    <w:uiPriority w:val="99"/>
    <w:rsid w:val="00833E4F"/>
    <w:pPr>
      <w:widowControl w:val="0"/>
    </w:pPr>
    <w:rPr>
      <w:snapToGrid w:val="0"/>
      <w:sz w:val="20"/>
      <w:szCs w:val="20"/>
    </w:rPr>
  </w:style>
  <w:style w:type="character" w:customStyle="1" w:styleId="FootnoteTextChar">
    <w:name w:val="Footnote Text Char"/>
    <w:aliases w:val="F1 Char"/>
    <w:link w:val="FootnoteText"/>
    <w:uiPriority w:val="99"/>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
    <w:qFormat/>
    <w:rsid w:val="002041C4"/>
    <w:pPr>
      <w:autoSpaceDE w:val="0"/>
      <w:autoSpaceDN w:val="0"/>
      <w:adjustRightInd w:val="0"/>
      <w:spacing w:line="276" w:lineRule="auto"/>
      <w:ind w:right="0"/>
      <w:jc w:val="center"/>
    </w:pPr>
    <w:rPr>
      <w:rFonts w:ascii="Franklin Gothic Book" w:hAnsi="Franklin Gothic Book"/>
      <w:bCs w:val="0"/>
      <w:color w:val="071D8B"/>
      <w:sz w:val="40"/>
      <w:szCs w:val="40"/>
    </w:rPr>
  </w:style>
  <w:style w:type="character" w:customStyle="1" w:styleId="HEADING1Char">
    <w:name w:val="HEADING 1 Char"/>
    <w:link w:val="Heading11"/>
    <w:rsid w:val="002041C4"/>
    <w:rPr>
      <w:rFonts w:ascii="Franklin Gothic Book" w:hAnsi="Franklin Gothic Book"/>
      <w:b/>
      <w:color w:val="071D8B"/>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825E0D"/>
    <w:rPr>
      <w:sz w:val="24"/>
      <w:szCs w:val="24"/>
    </w:rPr>
  </w:style>
  <w:style w:type="character" w:styleId="CommentReference">
    <w:name w:val="annotation reference"/>
    <w:uiPriority w:val="99"/>
    <w:unhideWhenUsed/>
    <w:rsid w:val="00825E0D"/>
    <w:rPr>
      <w:sz w:val="16"/>
      <w:szCs w:val="16"/>
    </w:rPr>
  </w:style>
  <w:style w:type="paragraph" w:styleId="CommentText">
    <w:name w:val="annotation text"/>
    <w:basedOn w:val="Normal"/>
    <w:link w:val="CommentTextChar"/>
    <w:uiPriority w:val="99"/>
    <w:unhideWhenUsed/>
    <w:rsid w:val="00825E0D"/>
    <w:rPr>
      <w:sz w:val="20"/>
      <w:szCs w:val="20"/>
    </w:rPr>
  </w:style>
  <w:style w:type="character" w:customStyle="1" w:styleId="CommentTextChar">
    <w:name w:val="Comment Text Char"/>
    <w:basedOn w:val="DefaultParagraphFont"/>
    <w:link w:val="CommentText"/>
    <w:uiPriority w:val="99"/>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link w:val="DefaultChar"/>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2206"/>
    <w:rPr>
      <w:b/>
      <w:bCs/>
      <w:sz w:val="24"/>
      <w:szCs w:val="24"/>
    </w:rPr>
  </w:style>
  <w:style w:type="character" w:customStyle="1" w:styleId="Heading3Char">
    <w:name w:val="Heading 3 Char"/>
    <w:basedOn w:val="DefaultParagraphFont"/>
    <w:link w:val="Heading3"/>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E7811"/>
    <w:rPr>
      <w:color w:val="605E5C"/>
      <w:shd w:val="clear" w:color="auto" w:fill="E1DFDD"/>
    </w:rPr>
  </w:style>
  <w:style w:type="character" w:styleId="FollowedHyperlink">
    <w:name w:val="FollowedHyperlink"/>
    <w:basedOn w:val="DefaultParagraphFont"/>
    <w:uiPriority w:val="99"/>
    <w:semiHidden/>
    <w:unhideWhenUsed/>
    <w:rsid w:val="00662360"/>
    <w:rPr>
      <w:color w:val="919191" w:themeColor="followedHyperlink"/>
      <w:u w:val="single"/>
    </w:rPr>
  </w:style>
  <w:style w:type="paragraph" w:styleId="BlockText">
    <w:name w:val="Block Text"/>
    <w:basedOn w:val="Normal"/>
    <w:rsid w:val="005C47CD"/>
    <w:pPr>
      <w:ind w:left="-288" w:right="-288"/>
      <w:jc w:val="both"/>
    </w:pPr>
    <w:rPr>
      <w:sz w:val="22"/>
      <w:szCs w:val="20"/>
    </w:rPr>
  </w:style>
  <w:style w:type="paragraph" w:customStyle="1" w:styleId="HTMLBody">
    <w:name w:val="HTML Body"/>
    <w:rsid w:val="005C47CD"/>
    <w:pPr>
      <w:autoSpaceDE w:val="0"/>
      <w:autoSpaceDN w:val="0"/>
      <w:adjustRightInd w:val="0"/>
    </w:pPr>
    <w:rPr>
      <w:rFonts w:ascii="Arial" w:hAnsi="Arial"/>
    </w:rPr>
  </w:style>
  <w:style w:type="character" w:customStyle="1" w:styleId="QuickFormat3">
    <w:name w:val="QuickFormat3"/>
    <w:uiPriority w:val="99"/>
    <w:rsid w:val="005C47CD"/>
    <w:rPr>
      <w:rFonts w:ascii="r_thai" w:hAnsi="r_thai" w:cs="r_thai"/>
      <w:b/>
      <w:bCs/>
      <w:i/>
      <w:iCs/>
      <w:color w:val="000000"/>
      <w:sz w:val="20"/>
      <w:szCs w:val="20"/>
    </w:rPr>
  </w:style>
  <w:style w:type="paragraph" w:styleId="NoSpacing">
    <w:name w:val="No Spacing"/>
    <w:uiPriority w:val="1"/>
    <w:qFormat/>
    <w:rsid w:val="005C47CD"/>
    <w:rPr>
      <w:rFonts w:eastAsia="Calibri"/>
      <w:sz w:val="24"/>
      <w:szCs w:val="22"/>
    </w:rPr>
  </w:style>
  <w:style w:type="character" w:customStyle="1" w:styleId="DefaultChar">
    <w:name w:val="Default Char"/>
    <w:basedOn w:val="DefaultParagraphFont"/>
    <w:link w:val="Default"/>
    <w:locked/>
    <w:rsid w:val="002D2DB9"/>
    <w:rPr>
      <w:rFonts w:ascii="Trebuchet MS" w:eastAsia="Calibri" w:hAnsi="Trebuchet MS" w:cs="Trebuchet MS"/>
      <w:color w:val="000000"/>
      <w:sz w:val="24"/>
      <w:szCs w:val="24"/>
    </w:rPr>
  </w:style>
  <w:style w:type="paragraph" w:customStyle="1" w:styleId="ReferenceCitation">
    <w:name w:val="Reference Citation"/>
    <w:basedOn w:val="Normal"/>
    <w:rsid w:val="00CD5F69"/>
    <w:pPr>
      <w:spacing w:after="240"/>
    </w:pPr>
    <w:rPr>
      <w:rFonts w:eastAsiaTheme="minorHAnsi"/>
    </w:rPr>
  </w:style>
  <w:style w:type="paragraph" w:customStyle="1" w:styleId="L1-FlLSp12">
    <w:name w:val="L1-FlL Sp&amp;1/2"/>
    <w:basedOn w:val="Normal"/>
    <w:link w:val="L1-FlLSp12Char"/>
    <w:rsid w:val="00AD75DC"/>
    <w:pPr>
      <w:tabs>
        <w:tab w:val="left" w:pos="1152"/>
      </w:tabs>
      <w:spacing w:line="360" w:lineRule="atLeast"/>
    </w:pPr>
    <w:rPr>
      <w:rFonts w:ascii="Garamond" w:hAnsi="Garamond"/>
      <w:szCs w:val="20"/>
    </w:rPr>
  </w:style>
  <w:style w:type="character" w:customStyle="1" w:styleId="L1-FlLSp12Char">
    <w:name w:val="L1-FlL Sp&amp;1/2 Char"/>
    <w:basedOn w:val="DefaultParagraphFont"/>
    <w:link w:val="L1-FlLSp12"/>
    <w:rsid w:val="00AD75DC"/>
    <w:rPr>
      <w:rFonts w:ascii="Garamond" w:hAnsi="Garamond"/>
      <w:sz w:val="24"/>
    </w:rPr>
  </w:style>
  <w:style w:type="character" w:styleId="UnresolvedMention">
    <w:name w:val="Unresolved Mention"/>
    <w:basedOn w:val="DefaultParagraphFont"/>
    <w:uiPriority w:val="99"/>
    <w:semiHidden/>
    <w:unhideWhenUsed/>
    <w:rsid w:val="006E7970"/>
    <w:rPr>
      <w:color w:val="605E5C"/>
      <w:shd w:val="clear" w:color="auto" w:fill="E1DFDD"/>
    </w:rPr>
  </w:style>
  <w:style w:type="paragraph" w:styleId="Revision">
    <w:name w:val="Revision"/>
    <w:hidden/>
    <w:uiPriority w:val="99"/>
    <w:semiHidden/>
    <w:rsid w:val="00BC0BB4"/>
    <w:rPr>
      <w:sz w:val="24"/>
      <w:szCs w:val="24"/>
    </w:rPr>
  </w:style>
  <w:style w:type="paragraph" w:customStyle="1" w:styleId="Source1">
    <w:name w:val="Source1"/>
    <w:basedOn w:val="Normal"/>
    <w:rsid w:val="00774929"/>
    <w:pPr>
      <w:keepLines/>
      <w:spacing w:before="120" w:after="400"/>
      <w:ind w:left="187" w:hanging="187"/>
    </w:pPr>
    <w:rPr>
      <w:rFonts w:ascii="Verdana" w:eastAsia="MS Mincho" w:hAnsi="Verdana"/>
      <w:sz w:val="18"/>
      <w:szCs w:val="20"/>
    </w:rPr>
  </w:style>
  <w:style w:type="paragraph" w:customStyle="1" w:styleId="ResponseOption">
    <w:name w:val="ResponseOption"/>
    <w:basedOn w:val="ListParagraph"/>
    <w:rsid w:val="00354481"/>
    <w:pPr>
      <w:numPr>
        <w:numId w:val="14"/>
      </w:numPr>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650549">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87273355">
      <w:bodyDiv w:val="1"/>
      <w:marLeft w:val="0"/>
      <w:marRight w:val="0"/>
      <w:marTop w:val="0"/>
      <w:marBottom w:val="0"/>
      <w:divBdr>
        <w:top w:val="none" w:sz="0" w:space="0" w:color="auto"/>
        <w:left w:val="none" w:sz="0" w:space="0" w:color="auto"/>
        <w:bottom w:val="none" w:sz="0" w:space="0" w:color="auto"/>
        <w:right w:val="none" w:sz="0" w:space="0" w:color="auto"/>
      </w:divBdr>
    </w:div>
    <w:div w:id="800654607">
      <w:bodyDiv w:val="1"/>
      <w:marLeft w:val="0"/>
      <w:marRight w:val="0"/>
      <w:marTop w:val="0"/>
      <w:marBottom w:val="0"/>
      <w:divBdr>
        <w:top w:val="none" w:sz="0" w:space="0" w:color="auto"/>
        <w:left w:val="none" w:sz="0" w:space="0" w:color="auto"/>
        <w:bottom w:val="none" w:sz="0" w:space="0" w:color="auto"/>
        <w:right w:val="none" w:sz="0" w:space="0" w:color="auto"/>
      </w:divBdr>
    </w:div>
    <w:div w:id="982662493">
      <w:bodyDiv w:val="1"/>
      <w:marLeft w:val="0"/>
      <w:marRight w:val="0"/>
      <w:marTop w:val="0"/>
      <w:marBottom w:val="0"/>
      <w:divBdr>
        <w:top w:val="none" w:sz="0" w:space="0" w:color="auto"/>
        <w:left w:val="none" w:sz="0" w:space="0" w:color="auto"/>
        <w:bottom w:val="none" w:sz="0" w:space="0" w:color="auto"/>
        <w:right w:val="none" w:sz="0" w:space="0" w:color="auto"/>
      </w:divBdr>
    </w:div>
    <w:div w:id="1056009222">
      <w:bodyDiv w:val="1"/>
      <w:marLeft w:val="0"/>
      <w:marRight w:val="0"/>
      <w:marTop w:val="0"/>
      <w:marBottom w:val="0"/>
      <w:divBdr>
        <w:top w:val="none" w:sz="0" w:space="0" w:color="auto"/>
        <w:left w:val="none" w:sz="0" w:space="0" w:color="auto"/>
        <w:bottom w:val="none" w:sz="0" w:space="0" w:color="auto"/>
        <w:right w:val="none" w:sz="0" w:space="0" w:color="auto"/>
      </w:divBdr>
      <w:divsChild>
        <w:div w:id="1503006566">
          <w:marLeft w:val="0"/>
          <w:marRight w:val="0"/>
          <w:marTop w:val="0"/>
          <w:marBottom w:val="0"/>
          <w:divBdr>
            <w:top w:val="none" w:sz="0" w:space="0" w:color="auto"/>
            <w:left w:val="none" w:sz="0" w:space="0" w:color="auto"/>
            <w:bottom w:val="none" w:sz="0" w:space="0" w:color="auto"/>
            <w:right w:val="none" w:sz="0" w:space="0" w:color="auto"/>
          </w:divBdr>
          <w:divsChild>
            <w:div w:id="1093235999">
              <w:marLeft w:val="0"/>
              <w:marRight w:val="0"/>
              <w:marTop w:val="0"/>
              <w:marBottom w:val="0"/>
              <w:divBdr>
                <w:top w:val="none" w:sz="0" w:space="0" w:color="auto"/>
                <w:left w:val="none" w:sz="0" w:space="0" w:color="auto"/>
                <w:bottom w:val="none" w:sz="0" w:space="0" w:color="auto"/>
                <w:right w:val="none" w:sz="0" w:space="0" w:color="auto"/>
              </w:divBdr>
              <w:divsChild>
                <w:div w:id="1605653114">
                  <w:marLeft w:val="0"/>
                  <w:marRight w:val="0"/>
                  <w:marTop w:val="0"/>
                  <w:marBottom w:val="0"/>
                  <w:divBdr>
                    <w:top w:val="single" w:sz="6" w:space="0" w:color="CCCCCC"/>
                    <w:left w:val="single" w:sz="6" w:space="0" w:color="CCCCCC"/>
                    <w:bottom w:val="single" w:sz="6" w:space="0" w:color="CCCCCC"/>
                    <w:right w:val="single" w:sz="6" w:space="0" w:color="CCCCCC"/>
                  </w:divBdr>
                  <w:divsChild>
                    <w:div w:id="671027914">
                      <w:marLeft w:val="0"/>
                      <w:marRight w:val="0"/>
                      <w:marTop w:val="0"/>
                      <w:marBottom w:val="0"/>
                      <w:divBdr>
                        <w:top w:val="none" w:sz="0" w:space="0" w:color="auto"/>
                        <w:left w:val="none" w:sz="0" w:space="0" w:color="auto"/>
                        <w:bottom w:val="none" w:sz="0" w:space="0" w:color="auto"/>
                        <w:right w:val="none" w:sz="0" w:space="0" w:color="auto"/>
                      </w:divBdr>
                      <w:divsChild>
                        <w:div w:id="409736461">
                          <w:marLeft w:val="0"/>
                          <w:marRight w:val="0"/>
                          <w:marTop w:val="0"/>
                          <w:marBottom w:val="0"/>
                          <w:divBdr>
                            <w:top w:val="none" w:sz="0" w:space="0" w:color="auto"/>
                            <w:left w:val="none" w:sz="0" w:space="0" w:color="auto"/>
                            <w:bottom w:val="none" w:sz="0" w:space="0" w:color="auto"/>
                            <w:right w:val="none" w:sz="0" w:space="0" w:color="auto"/>
                          </w:divBdr>
                          <w:divsChild>
                            <w:div w:id="317391369">
                              <w:marLeft w:val="0"/>
                              <w:marRight w:val="0"/>
                              <w:marTop w:val="0"/>
                              <w:marBottom w:val="0"/>
                              <w:divBdr>
                                <w:top w:val="none" w:sz="0" w:space="0" w:color="auto"/>
                                <w:left w:val="none" w:sz="0" w:space="0" w:color="auto"/>
                                <w:bottom w:val="none" w:sz="0" w:space="0" w:color="auto"/>
                                <w:right w:val="none" w:sz="0" w:space="0" w:color="auto"/>
                              </w:divBdr>
                              <w:divsChild>
                                <w:div w:id="5943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78645">
      <w:bodyDiv w:val="1"/>
      <w:marLeft w:val="0"/>
      <w:marRight w:val="0"/>
      <w:marTop w:val="0"/>
      <w:marBottom w:val="0"/>
      <w:divBdr>
        <w:top w:val="none" w:sz="0" w:space="0" w:color="auto"/>
        <w:left w:val="none" w:sz="0" w:space="0" w:color="auto"/>
        <w:bottom w:val="none" w:sz="0" w:space="0" w:color="auto"/>
        <w:right w:val="none" w:sz="0" w:space="0" w:color="auto"/>
      </w:divBdr>
    </w:div>
    <w:div w:id="1650865265">
      <w:bodyDiv w:val="1"/>
      <w:marLeft w:val="0"/>
      <w:marRight w:val="0"/>
      <w:marTop w:val="0"/>
      <w:marBottom w:val="0"/>
      <w:divBdr>
        <w:top w:val="none" w:sz="0" w:space="0" w:color="auto"/>
        <w:left w:val="none" w:sz="0" w:space="0" w:color="auto"/>
        <w:bottom w:val="none" w:sz="0" w:space="0" w:color="auto"/>
        <w:right w:val="none" w:sz="0" w:space="0" w:color="auto"/>
      </w:divBdr>
    </w:div>
    <w:div w:id="1735156523">
      <w:bodyDiv w:val="1"/>
      <w:marLeft w:val="0"/>
      <w:marRight w:val="0"/>
      <w:marTop w:val="0"/>
      <w:marBottom w:val="0"/>
      <w:divBdr>
        <w:top w:val="none" w:sz="0" w:space="0" w:color="auto"/>
        <w:left w:val="none" w:sz="0" w:space="0" w:color="auto"/>
        <w:bottom w:val="none" w:sz="0" w:space="0" w:color="auto"/>
        <w:right w:val="none" w:sz="0" w:space="0" w:color="auto"/>
      </w:divBdr>
    </w:div>
    <w:div w:id="1924142467">
      <w:bodyDiv w:val="1"/>
      <w:marLeft w:val="0"/>
      <w:marRight w:val="0"/>
      <w:marTop w:val="0"/>
      <w:marBottom w:val="0"/>
      <w:divBdr>
        <w:top w:val="none" w:sz="0" w:space="0" w:color="auto"/>
        <w:left w:val="none" w:sz="0" w:space="0" w:color="auto"/>
        <w:bottom w:val="none" w:sz="0" w:space="0" w:color="auto"/>
        <w:right w:val="none" w:sz="0" w:space="0" w:color="auto"/>
      </w:divBdr>
    </w:div>
    <w:div w:id="19742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ini.Bean@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thryn.Aikin@fda.h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cs/" TargetMode="External"/><Relationship Id="rId2" Type="http://schemas.openxmlformats.org/officeDocument/2006/relationships/hyperlink" Target="https://help.respondent.io/en/articles/1030301-how-to-set-the-right-incentive" TargetMode="External"/><Relationship Id="rId1" Type="http://schemas.openxmlformats.org/officeDocument/2006/relationships/hyperlink" Target="https://www.ama-assn.org/life-career/ama-physician-masterfile" TargetMode="External"/><Relationship Id="rId4" Type="http://schemas.openxmlformats.org/officeDocument/2006/relationships/hyperlink" Target="https://www.bls.gov/ooh/personal-care-and-service/childcare-workers.h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61F5C76-9436-407F-9EBE-ED43955A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4163</Words>
  <Characters>24365</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28472</CharactersWithSpaces>
  <SharedDoc>false</SharedDoc>
  <HLinks>
    <vt:vector size="12" baseType="variant">
      <vt:variant>
        <vt:i4>2949125</vt:i4>
      </vt:variant>
      <vt:variant>
        <vt:i4>3</vt:i4>
      </vt:variant>
      <vt:variant>
        <vt:i4>0</vt:i4>
      </vt:variant>
      <vt:variant>
        <vt:i4>5</vt:i4>
      </vt:variant>
      <vt:variant>
        <vt:lpwstr>mailto:Domini.Bean@fda.hhs.gov</vt:lpwstr>
      </vt:variant>
      <vt:variant>
        <vt:lpwstr/>
      </vt:variant>
      <vt:variant>
        <vt:i4>655431</vt:i4>
      </vt:variant>
      <vt:variant>
        <vt:i4>0</vt:i4>
      </vt:variant>
      <vt:variant>
        <vt:i4>0</vt:i4>
      </vt:variant>
      <vt:variant>
        <vt:i4>5</vt:i4>
      </vt:variant>
      <vt:variant>
        <vt:lpwstr>http://factfinder.census.gov/faces/nav/jsf/pages/index.xhtml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5</cp:revision>
  <cp:lastPrinted>2010-11-01T17:07:00Z</cp:lastPrinted>
  <dcterms:created xsi:type="dcterms:W3CDTF">2021-07-08T22:24:00Z</dcterms:created>
  <dcterms:modified xsi:type="dcterms:W3CDTF">2021-07-09T13:32:00Z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