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2D33" w:rsidP="00E12D33" w:rsidRDefault="00E12D33" w14:paraId="7CD5E68D" w14:textId="77777777">
      <w:pPr>
        <w:jc w:val="center"/>
        <w:rPr>
          <w:b/>
          <w:sz w:val="28"/>
        </w:rPr>
      </w:pPr>
      <w:r>
        <w:rPr>
          <w:b/>
          <w:sz w:val="28"/>
        </w:rPr>
        <w:t xml:space="preserve">FDA DOCUMENTATION FOR THE GENERIC CLEARANCE, </w:t>
      </w:r>
    </w:p>
    <w:p w:rsidRPr="00A63790" w:rsidR="00A63790" w:rsidP="00E12D33" w:rsidRDefault="00E12D33" w14:paraId="34FAADED" w14:textId="77777777">
      <w:pPr>
        <w:jc w:val="center"/>
        <w:rPr>
          <w:b/>
          <w:sz w:val="28"/>
        </w:rPr>
      </w:pPr>
      <w:r>
        <w:rPr>
          <w:b/>
          <w:sz w:val="28"/>
        </w:rPr>
        <w:t>“</w:t>
      </w:r>
      <w:r w:rsidR="00E670C1">
        <w:rPr>
          <w:b/>
          <w:sz w:val="28"/>
        </w:rPr>
        <w:t xml:space="preserve">TESTING </w:t>
      </w:r>
      <w:r w:rsidR="00EE2769">
        <w:rPr>
          <w:b/>
          <w:sz w:val="28"/>
        </w:rPr>
        <w:t>COMMUNICATI</w:t>
      </w:r>
      <w:r>
        <w:rPr>
          <w:b/>
          <w:sz w:val="28"/>
        </w:rPr>
        <w:t>ONS ON DRUGS PRODUCTS”</w:t>
      </w:r>
      <w:r w:rsidR="00E670C1">
        <w:rPr>
          <w:b/>
          <w:sz w:val="28"/>
        </w:rPr>
        <w:br/>
      </w:r>
      <w:r w:rsidR="00EE2769">
        <w:rPr>
          <w:b/>
          <w:sz w:val="28"/>
        </w:rPr>
        <w:t>(0910-0695</w:t>
      </w:r>
      <w:r w:rsidR="003D0EC1">
        <w:rPr>
          <w:b/>
          <w:sz w:val="28"/>
        </w:rPr>
        <w:t>)</w:t>
      </w:r>
    </w:p>
    <w:p w:rsidR="00A63790" w:rsidP="00A63790" w:rsidRDefault="00246B05" w14:paraId="0FEF3CEF" w14:textId="5D8FD210">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30F90DB6" wp14:anchorId="558288C1">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0BCBA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Qk8LqsABAABqAwAADgAAAAAAAAAAAAAAAAAuAgAAZHJz&#10;L2Uyb0RvYy54bWxQSwECLQAUAAYACAAAACEAkCIQ8NgAAAAEAQAADwAAAAAAAAAAAAAAAAAaBAAA&#10;ZHJzL2Rvd25yZXYueG1sUEsFBgAAAAAEAAQA8wAAAB8FAAAAAA==&#10;"/>
            </w:pict>
          </mc:Fallback>
        </mc:AlternateContent>
      </w:r>
    </w:p>
    <w:p w:rsidRPr="005418B5" w:rsidR="00B41016" w:rsidP="00A63790" w:rsidRDefault="00B41016" w14:paraId="68015C83" w14:textId="77777777">
      <w:pPr>
        <w:rPr>
          <w:sz w:val="20"/>
          <w:szCs w:val="20"/>
        </w:rPr>
      </w:pPr>
      <w:r w:rsidRPr="005418B5">
        <w:rPr>
          <w:sz w:val="20"/>
          <w:szCs w:val="20"/>
        </w:rPr>
        <w:t>.</w:t>
      </w:r>
    </w:p>
    <w:p w:rsidRPr="005E4981" w:rsidR="003F1C7A" w:rsidP="00674F13" w:rsidRDefault="003F1C7A" w14:paraId="1746F691" w14:textId="77777777">
      <w:pPr>
        <w:spacing w:before="120"/>
      </w:pPr>
      <w:r>
        <w:rPr>
          <w:b/>
        </w:rPr>
        <w:t>TITLE OF INFORMATION COLLECTION:</w:t>
      </w:r>
      <w:r>
        <w:t xml:space="preserve"> </w:t>
      </w:r>
      <w:r w:rsidRPr="000B6B87" w:rsidR="000B6B87">
        <w:t xml:space="preserve">Studies to Enhance FDA Communications Addressing Biosimilar Drug Products: Patient </w:t>
      </w:r>
      <w:r w:rsidR="00F4495F">
        <w:t xml:space="preserve">and Caregiver </w:t>
      </w:r>
      <w:r w:rsidR="000F02DF">
        <w:t>Interviews</w:t>
      </w:r>
    </w:p>
    <w:p w:rsidR="003F1C7A" w:rsidRDefault="003F1C7A" w14:paraId="186DDE83" w14:textId="77777777"/>
    <w:p w:rsidR="003F1C7A" w:rsidRDefault="003F1C7A" w14:paraId="49FE0628" w14:textId="77777777">
      <w:pPr>
        <w:spacing w:after="120"/>
      </w:pPr>
      <w:r>
        <w:rPr>
          <w:b/>
        </w:rPr>
        <w:t>DESCRIPTION OF THIS SPECIFIC COLLECTION</w:t>
      </w:r>
      <w:r>
        <w:t xml:space="preserve"> </w:t>
      </w:r>
    </w:p>
    <w:p w:rsidR="003F1C7A" w:rsidP="00F12AEE" w:rsidRDefault="0049419A" w14:paraId="313EF9B5" w14:textId="77777777">
      <w:pPr>
        <w:numPr>
          <w:ilvl w:val="0"/>
          <w:numId w:val="15"/>
        </w:numPr>
        <w:tabs>
          <w:tab w:val="num" w:pos="720"/>
        </w:tabs>
        <w:ind w:left="360" w:firstLine="0"/>
      </w:pPr>
      <w:r>
        <w:rPr>
          <w:b/>
        </w:rPr>
        <w:t xml:space="preserve">Statement of </w:t>
      </w:r>
      <w:r w:rsidR="00B4466D">
        <w:rPr>
          <w:b/>
        </w:rPr>
        <w:t>N</w:t>
      </w:r>
      <w:r w:rsidR="00F12AEE">
        <w:rPr>
          <w:b/>
        </w:rPr>
        <w:t>eed</w:t>
      </w:r>
      <w:r w:rsidRPr="00E26798" w:rsidR="003F1C7A">
        <w:rPr>
          <w:b/>
        </w:rPr>
        <w:t>:</w:t>
      </w:r>
      <w:r w:rsidR="003F1C7A">
        <w:t xml:space="preserve">  </w:t>
      </w:r>
    </w:p>
    <w:p w:rsidR="007A60CE" w:rsidP="00652485" w:rsidRDefault="007A60CE" w14:paraId="128F9D12" w14:textId="77777777">
      <w:pPr>
        <w:ind w:left="720"/>
        <w:rPr>
          <w:color w:val="000000"/>
        </w:rPr>
      </w:pPr>
    </w:p>
    <w:p w:rsidR="00652485" w:rsidP="00652485" w:rsidRDefault="00652485" w14:paraId="57FE720A" w14:textId="49A32357">
      <w:pPr>
        <w:ind w:left="720"/>
        <w:rPr>
          <w:color w:val="000000"/>
        </w:rPr>
      </w:pPr>
      <w:r w:rsidRPr="000B6B87">
        <w:rPr>
          <w:color w:val="000000"/>
        </w:rPr>
        <w:t>Biologic medications are an increasingly popular and expensive treatment option in the United States. However, biologics are considerably more expensive than synthetic drugs, which can limit patient access and reduce adherence. One strategy intended to increase patient access to biologics and reduce costs is the introduction of biosimilar biologic</w:t>
      </w:r>
      <w:r>
        <w:rPr>
          <w:color w:val="000000"/>
        </w:rPr>
        <w:t>al products</w:t>
      </w:r>
      <w:r w:rsidRPr="000B6B87">
        <w:rPr>
          <w:color w:val="000000"/>
        </w:rPr>
        <w:t>. Unlike originator biologics, biosimilars are approved by the U.S. Food and Drug Administration (FDA) via an abbreviated licensure pathway based on analytical similarity data and selected clinical data.</w:t>
      </w:r>
    </w:p>
    <w:p w:rsidR="00652485" w:rsidP="000B6B87" w:rsidRDefault="00652485" w14:paraId="5769C8F1" w14:textId="77777777">
      <w:pPr>
        <w:ind w:left="720"/>
        <w:rPr>
          <w:color w:val="000000"/>
        </w:rPr>
      </w:pPr>
    </w:p>
    <w:p w:rsidR="00652485" w:rsidP="000B6B87" w:rsidRDefault="000B6B87" w14:paraId="104EA131" w14:textId="77777777">
      <w:pPr>
        <w:ind w:left="720"/>
        <w:rPr>
          <w:color w:val="000000"/>
        </w:rPr>
      </w:pPr>
      <w:r w:rsidRPr="000B6B87">
        <w:rPr>
          <w:color w:val="000000"/>
        </w:rPr>
        <w:t xml:space="preserve">The purpose of this study is to conduct </w:t>
      </w:r>
      <w:r w:rsidRPr="003D5415" w:rsidR="003D5415">
        <w:rPr>
          <w:color w:val="000000"/>
        </w:rPr>
        <w:t>one-on-one interviews with</w:t>
      </w:r>
      <w:r w:rsidR="00F4495F">
        <w:rPr>
          <w:color w:val="000000"/>
        </w:rPr>
        <w:t xml:space="preserve"> </w:t>
      </w:r>
      <w:r w:rsidRPr="003D5415" w:rsidR="003D5415">
        <w:rPr>
          <w:color w:val="000000"/>
        </w:rPr>
        <w:t xml:space="preserve">patients and caregivers to obtain feedback on </w:t>
      </w:r>
      <w:r w:rsidR="00F4495F">
        <w:rPr>
          <w:color w:val="000000"/>
        </w:rPr>
        <w:t>revised</w:t>
      </w:r>
      <w:r w:rsidRPr="003D5415" w:rsidR="003D5415">
        <w:rPr>
          <w:color w:val="000000"/>
        </w:rPr>
        <w:t xml:space="preserve"> informational materials </w:t>
      </w:r>
      <w:r w:rsidR="00F4495F">
        <w:rPr>
          <w:color w:val="000000"/>
        </w:rPr>
        <w:t xml:space="preserve">(produced by FDA) </w:t>
      </w:r>
      <w:r w:rsidRPr="003D5415" w:rsidR="003D5415">
        <w:rPr>
          <w:color w:val="000000"/>
        </w:rPr>
        <w:t xml:space="preserve">about biosimilar biological products. </w:t>
      </w:r>
      <w:r w:rsidRPr="00652485" w:rsidR="00652485">
        <w:rPr>
          <w:color w:val="000000"/>
        </w:rPr>
        <w:t>These materials include the attached infographic</w:t>
      </w:r>
      <w:r w:rsidR="00652485">
        <w:rPr>
          <w:color w:val="000000"/>
        </w:rPr>
        <w:t xml:space="preserve"> and </w:t>
      </w:r>
      <w:r w:rsidRPr="00652485" w:rsidR="00652485">
        <w:rPr>
          <w:color w:val="000000"/>
        </w:rPr>
        <w:t>fact sheet</w:t>
      </w:r>
      <w:r w:rsidR="00652485">
        <w:rPr>
          <w:color w:val="000000"/>
        </w:rPr>
        <w:t>s</w:t>
      </w:r>
      <w:r w:rsidRPr="00652485" w:rsidR="00652485">
        <w:rPr>
          <w:color w:val="000000"/>
        </w:rPr>
        <w:t>, as well as</w:t>
      </w:r>
      <w:r w:rsidR="00652485">
        <w:rPr>
          <w:color w:val="000000"/>
        </w:rPr>
        <w:t xml:space="preserve"> a </w:t>
      </w:r>
      <w:r w:rsidRPr="00652485" w:rsidR="00652485">
        <w:rPr>
          <w:color w:val="000000"/>
        </w:rPr>
        <w:t xml:space="preserve">short </w:t>
      </w:r>
      <w:hyperlink w:history="1" r:id="rId8">
        <w:r w:rsidRPr="0072173B" w:rsidR="00652485">
          <w:rPr>
            <w:rStyle w:val="Hyperlink"/>
          </w:rPr>
          <w:t>video</w:t>
        </w:r>
      </w:hyperlink>
      <w:r w:rsidRPr="00652485" w:rsidR="00652485">
        <w:rPr>
          <w:color w:val="000000"/>
        </w:rPr>
        <w:t>.</w:t>
      </w:r>
      <w:r w:rsidR="00652485">
        <w:rPr>
          <w:color w:val="000000"/>
        </w:rPr>
        <w:t xml:space="preserve"> </w:t>
      </w:r>
      <w:r w:rsidRPr="001F11F4" w:rsidR="001F11F4">
        <w:rPr>
          <w:color w:val="000000"/>
        </w:rPr>
        <w:t xml:space="preserve">FDA developed </w:t>
      </w:r>
      <w:r w:rsidR="00F04678">
        <w:rPr>
          <w:color w:val="000000"/>
        </w:rPr>
        <w:t xml:space="preserve">these </w:t>
      </w:r>
      <w:r w:rsidRPr="001F11F4" w:rsidR="001F11F4">
        <w:rPr>
          <w:color w:val="000000"/>
        </w:rPr>
        <w:t xml:space="preserve">materials to help </w:t>
      </w:r>
      <w:r w:rsidRPr="00F04678" w:rsidR="00F04678">
        <w:rPr>
          <w:color w:val="000000"/>
        </w:rPr>
        <w:t xml:space="preserve">patients and caregivers </w:t>
      </w:r>
      <w:r w:rsidRPr="001F11F4" w:rsidR="001F11F4">
        <w:rPr>
          <w:color w:val="000000"/>
        </w:rPr>
        <w:t xml:space="preserve">understand biosimilars and to encourage them to ask their </w:t>
      </w:r>
      <w:r w:rsidRPr="00F04678" w:rsidR="00F04678">
        <w:rPr>
          <w:color w:val="000000"/>
        </w:rPr>
        <w:t xml:space="preserve">healthcare professionals </w:t>
      </w:r>
      <w:r w:rsidR="00F04678">
        <w:rPr>
          <w:color w:val="000000"/>
        </w:rPr>
        <w:t>(</w:t>
      </w:r>
      <w:r w:rsidRPr="001F11F4" w:rsidR="001F11F4">
        <w:rPr>
          <w:color w:val="000000"/>
        </w:rPr>
        <w:t>HCP</w:t>
      </w:r>
      <w:r w:rsidR="00F04678">
        <w:rPr>
          <w:color w:val="000000"/>
        </w:rPr>
        <w:t>s)</w:t>
      </w:r>
      <w:r w:rsidRPr="001F11F4" w:rsidR="001F11F4">
        <w:rPr>
          <w:color w:val="000000"/>
        </w:rPr>
        <w:t xml:space="preserve"> if they have questions about these</w:t>
      </w:r>
      <w:r w:rsidR="00F04678">
        <w:rPr>
          <w:color w:val="000000"/>
        </w:rPr>
        <w:t xml:space="preserve"> products</w:t>
      </w:r>
      <w:r w:rsidRPr="001F11F4" w:rsidR="001F11F4">
        <w:rPr>
          <w:color w:val="000000"/>
        </w:rPr>
        <w:t>.</w:t>
      </w:r>
      <w:r w:rsidR="001F11F4">
        <w:rPr>
          <w:color w:val="000000"/>
        </w:rPr>
        <w:t xml:space="preserve"> </w:t>
      </w:r>
    </w:p>
    <w:p w:rsidR="00652485" w:rsidP="000B6B87" w:rsidRDefault="00652485" w14:paraId="338A8DE6" w14:textId="77777777">
      <w:pPr>
        <w:ind w:left="720"/>
        <w:rPr>
          <w:color w:val="000000"/>
        </w:rPr>
      </w:pPr>
    </w:p>
    <w:p w:rsidR="00674F13" w:rsidP="000B6B87" w:rsidRDefault="003D5415" w14:paraId="657273C3" w14:textId="77777777">
      <w:pPr>
        <w:ind w:left="720"/>
        <w:rPr>
          <w:color w:val="000000"/>
        </w:rPr>
      </w:pPr>
      <w:r w:rsidRPr="003D5415">
        <w:rPr>
          <w:color w:val="000000"/>
        </w:rPr>
        <w:t>These interviews are a</w:t>
      </w:r>
      <w:r w:rsidR="000566ED">
        <w:rPr>
          <w:color w:val="000000"/>
        </w:rPr>
        <w:t>n extension</w:t>
      </w:r>
      <w:r w:rsidRPr="003D5415">
        <w:rPr>
          <w:color w:val="000000"/>
        </w:rPr>
        <w:t xml:space="preserve"> of </w:t>
      </w:r>
      <w:r w:rsidR="000566ED">
        <w:rPr>
          <w:color w:val="000000"/>
        </w:rPr>
        <w:t xml:space="preserve">related </w:t>
      </w:r>
      <w:r w:rsidR="00F4495F">
        <w:rPr>
          <w:color w:val="000000"/>
        </w:rPr>
        <w:t xml:space="preserve">focus groups </w:t>
      </w:r>
      <w:r w:rsidRPr="003D5415">
        <w:rPr>
          <w:color w:val="000000"/>
        </w:rPr>
        <w:t>conducted with the same target populations in 2020</w:t>
      </w:r>
      <w:r w:rsidR="00F4495F">
        <w:rPr>
          <w:color w:val="000000"/>
        </w:rPr>
        <w:t xml:space="preserve">, which OMB approved under control number 0910-0695 on </w:t>
      </w:r>
      <w:r w:rsidR="00740BF9">
        <w:rPr>
          <w:color w:val="000000"/>
        </w:rPr>
        <w:t>April 9, 2020</w:t>
      </w:r>
      <w:r w:rsidRPr="003D5415">
        <w:rPr>
          <w:color w:val="000000"/>
        </w:rPr>
        <w:t xml:space="preserve">. The </w:t>
      </w:r>
      <w:r w:rsidR="00F4495F">
        <w:rPr>
          <w:color w:val="000000"/>
        </w:rPr>
        <w:t>earlier focus groups</w:t>
      </w:r>
      <w:r w:rsidRPr="003D5415">
        <w:rPr>
          <w:color w:val="000000"/>
        </w:rPr>
        <w:t xml:space="preserve"> were used to inform revisions to the materials</w:t>
      </w:r>
      <w:r>
        <w:rPr>
          <w:color w:val="000000"/>
        </w:rPr>
        <w:t>.</w:t>
      </w:r>
      <w:r w:rsidRPr="003D5415">
        <w:rPr>
          <w:color w:val="000000"/>
        </w:rPr>
        <w:t xml:space="preserve"> </w:t>
      </w:r>
      <w:r w:rsidRPr="000B6B87" w:rsidR="000B6B87">
        <w:rPr>
          <w:color w:val="000000"/>
        </w:rPr>
        <w:t xml:space="preserve">The feedback </w:t>
      </w:r>
      <w:r w:rsidRPr="003D5415">
        <w:rPr>
          <w:color w:val="000000"/>
        </w:rPr>
        <w:t>gathered in the</w:t>
      </w:r>
      <w:r w:rsidR="00F4495F">
        <w:rPr>
          <w:color w:val="000000"/>
        </w:rPr>
        <w:t>se</w:t>
      </w:r>
      <w:r w:rsidRPr="003D5415">
        <w:rPr>
          <w:color w:val="000000"/>
        </w:rPr>
        <w:t xml:space="preserve"> interviews will help </w:t>
      </w:r>
      <w:r>
        <w:rPr>
          <w:color w:val="000000"/>
        </w:rPr>
        <w:t xml:space="preserve">to </w:t>
      </w:r>
      <w:r w:rsidRPr="003D5415">
        <w:rPr>
          <w:color w:val="000000"/>
        </w:rPr>
        <w:t>further</w:t>
      </w:r>
      <w:r>
        <w:rPr>
          <w:color w:val="000000"/>
        </w:rPr>
        <w:t xml:space="preserve"> </w:t>
      </w:r>
      <w:r w:rsidRPr="000B6B87" w:rsidR="000B6B87">
        <w:rPr>
          <w:color w:val="000000"/>
        </w:rPr>
        <w:t xml:space="preserve">ensure the materials meet audiences’ information needs and will help FDA to strengthen the materials’ relevance, </w:t>
      </w:r>
      <w:r w:rsidR="00501149">
        <w:rPr>
          <w:color w:val="000000"/>
        </w:rPr>
        <w:t>trustworthiness</w:t>
      </w:r>
      <w:r w:rsidRPr="000B6B87" w:rsidR="000B6B87">
        <w:rPr>
          <w:color w:val="000000"/>
        </w:rPr>
        <w:t>, clarity, and usefulness prior to dissemination.</w:t>
      </w:r>
      <w:r w:rsidR="007A1B5B">
        <w:rPr>
          <w:color w:val="000000"/>
        </w:rPr>
        <w:t xml:space="preserve"> </w:t>
      </w:r>
    </w:p>
    <w:p w:rsidR="000B6B87" w:rsidP="000B6B87" w:rsidRDefault="000B6B87" w14:paraId="72CFFD6B" w14:textId="77777777">
      <w:pPr>
        <w:ind w:left="720"/>
        <w:rPr>
          <w:color w:val="000000"/>
        </w:rPr>
      </w:pPr>
    </w:p>
    <w:p w:rsidR="003F1C7A" w:rsidP="00F12AEE" w:rsidRDefault="0049419A" w14:paraId="3039DC32" w14:textId="77777777">
      <w:pPr>
        <w:numPr>
          <w:ilvl w:val="0"/>
          <w:numId w:val="15"/>
        </w:numPr>
        <w:tabs>
          <w:tab w:val="num" w:pos="720"/>
        </w:tabs>
        <w:ind w:left="720"/>
      </w:pPr>
      <w:r>
        <w:rPr>
          <w:b/>
        </w:rPr>
        <w:t xml:space="preserve">Intended </w:t>
      </w:r>
      <w:r w:rsidR="00B4466D">
        <w:rPr>
          <w:b/>
        </w:rPr>
        <w:t>U</w:t>
      </w:r>
      <w:r w:rsidR="00F12AEE">
        <w:rPr>
          <w:b/>
        </w:rPr>
        <w:t>se</w:t>
      </w:r>
      <w:r>
        <w:rPr>
          <w:b/>
        </w:rPr>
        <w:t xml:space="preserve"> of </w:t>
      </w:r>
      <w:r w:rsidR="00B4466D">
        <w:rPr>
          <w:b/>
        </w:rPr>
        <w:t>I</w:t>
      </w:r>
      <w:r>
        <w:rPr>
          <w:b/>
        </w:rPr>
        <w:t>nformation</w:t>
      </w:r>
      <w:r w:rsidR="003F1C7A">
        <w:rPr>
          <w:b/>
        </w:rPr>
        <w:t>:</w:t>
      </w:r>
      <w:r w:rsidR="003F1C7A">
        <w:t xml:space="preserve">  </w:t>
      </w:r>
    </w:p>
    <w:p w:rsidR="00E73F3F" w:rsidP="003D5415" w:rsidRDefault="00E73F3F" w14:paraId="538D3960" w14:textId="77777777">
      <w:pPr>
        <w:ind w:left="720"/>
      </w:pPr>
    </w:p>
    <w:p w:rsidR="003C2858" w:rsidP="003D5415" w:rsidRDefault="00501319" w14:paraId="36C13A6A" w14:textId="200DFC1A">
      <w:pPr>
        <w:ind w:left="720"/>
      </w:pPr>
      <w:r>
        <w:t>FDA will use the results of this</w:t>
      </w:r>
      <w:r w:rsidR="00782D9F">
        <w:t xml:space="preserve"> qualitative</w:t>
      </w:r>
      <w:r>
        <w:t xml:space="preserve"> research to</w:t>
      </w:r>
      <w:r w:rsidR="003D5415">
        <w:t xml:space="preserve"> </w:t>
      </w:r>
      <w:r w:rsidR="00F4495F">
        <w:t>understand</w:t>
      </w:r>
      <w:r w:rsidR="003D5415">
        <w:t xml:space="preserve"> individual reactions to the informational materials, obtain feedback on modifications FDA made to the materials based on findings from the 2020 </w:t>
      </w:r>
      <w:r w:rsidR="00F4495F">
        <w:t>focus groups</w:t>
      </w:r>
      <w:r w:rsidR="003D5415">
        <w:t xml:space="preserve">, and help further refine the materials prior to dissemination. </w:t>
      </w:r>
      <w:r>
        <w:t xml:space="preserve">The study results will ensure that the </w:t>
      </w:r>
      <w:r w:rsidR="000B6B87">
        <w:t>materials</w:t>
      </w:r>
      <w:r>
        <w:t xml:space="preserve"> communicate key information</w:t>
      </w:r>
      <w:r w:rsidR="00AA356B">
        <w:t xml:space="preserve"> around </w:t>
      </w:r>
      <w:r w:rsidRPr="000B6B87" w:rsidR="00AA356B">
        <w:rPr>
          <w:color w:val="000000"/>
        </w:rPr>
        <w:t xml:space="preserve">biosimilars </w:t>
      </w:r>
      <w:r w:rsidR="000B6B87">
        <w:t xml:space="preserve">and </w:t>
      </w:r>
      <w:r>
        <w:t xml:space="preserve">address any misperceptions about </w:t>
      </w:r>
      <w:r w:rsidR="00C4304C">
        <w:t>them</w:t>
      </w:r>
      <w:r w:rsidR="000B6B87">
        <w:t>.</w:t>
      </w:r>
      <w:r w:rsidR="00AA356B">
        <w:t xml:space="preserve"> </w:t>
      </w:r>
      <w:r w:rsidRPr="003C2858" w:rsidR="003C2858">
        <w:t xml:space="preserve">FDA recognizes that the data collected will </w:t>
      </w:r>
      <w:r w:rsidR="009272C5">
        <w:t xml:space="preserve">only be representative of the participants and will </w:t>
      </w:r>
      <w:r w:rsidRPr="00BB23E4" w:rsidR="009272C5">
        <w:t xml:space="preserve">not </w:t>
      </w:r>
      <w:r w:rsidR="009272C5">
        <w:t>be generalizable to the</w:t>
      </w:r>
      <w:r w:rsidRPr="00BB23E4" w:rsidR="009272C5">
        <w:t xml:space="preserve"> population segments characterized by the </w:t>
      </w:r>
      <w:r w:rsidR="007A1B5B">
        <w:t>interviews</w:t>
      </w:r>
      <w:r w:rsidRPr="00BB23E4" w:rsidR="009272C5">
        <w:t>.</w:t>
      </w:r>
      <w:r w:rsidRPr="003C2858" w:rsidR="003C2858">
        <w:t xml:space="preserve"> The data will not be used for the purposes of making policy or regulatory decisions.</w:t>
      </w:r>
    </w:p>
    <w:p w:rsidR="003F1C7A" w:rsidP="00457C63" w:rsidRDefault="003F1C7A" w14:paraId="2DEABC97" w14:textId="77777777"/>
    <w:p w:rsidR="000B6B87" w:rsidP="002C48D5" w:rsidRDefault="0049419A" w14:paraId="2151BCA8" w14:textId="77777777">
      <w:pPr>
        <w:numPr>
          <w:ilvl w:val="0"/>
          <w:numId w:val="15"/>
        </w:numPr>
        <w:tabs>
          <w:tab w:val="num" w:pos="720"/>
        </w:tabs>
        <w:ind w:left="720"/>
      </w:pPr>
      <w:r>
        <w:rPr>
          <w:b/>
        </w:rPr>
        <w:t xml:space="preserve">Description of </w:t>
      </w:r>
      <w:r w:rsidR="00B4466D">
        <w:rPr>
          <w:b/>
        </w:rPr>
        <w:t>R</w:t>
      </w:r>
      <w:r w:rsidR="00F12AEE">
        <w:rPr>
          <w:b/>
        </w:rPr>
        <w:t>espondents</w:t>
      </w:r>
      <w:r w:rsidRPr="00E26798" w:rsidR="003F1C7A">
        <w:rPr>
          <w:b/>
        </w:rPr>
        <w:t>:</w:t>
      </w:r>
    </w:p>
    <w:p w:rsidR="00C717CD" w:rsidP="00C4304C" w:rsidRDefault="00C717CD" w14:paraId="3F2B5059" w14:textId="77777777">
      <w:pPr>
        <w:ind w:left="720"/>
        <w:rPr>
          <w:color w:val="000000"/>
        </w:rPr>
      </w:pPr>
    </w:p>
    <w:p w:rsidR="000B6B87" w:rsidP="00C4304C" w:rsidRDefault="00080E2D" w14:paraId="57BF3DAA" w14:textId="5E56B359">
      <w:pPr>
        <w:ind w:left="720"/>
        <w:rPr>
          <w:color w:val="000000"/>
        </w:rPr>
      </w:pPr>
      <w:r>
        <w:rPr>
          <w:color w:val="000000"/>
        </w:rPr>
        <w:t xml:space="preserve">In collaboration with FDA’s </w:t>
      </w:r>
      <w:r>
        <w:t>Center for Drug Evaluation and Research (CDER)</w:t>
      </w:r>
      <w:r>
        <w:rPr>
          <w:color w:val="000000"/>
        </w:rPr>
        <w:t xml:space="preserve">, </w:t>
      </w:r>
      <w:r w:rsidR="00B9418F">
        <w:rPr>
          <w:color w:val="000000"/>
        </w:rPr>
        <w:t xml:space="preserve">RTI </w:t>
      </w:r>
      <w:r w:rsidRPr="000B6B87" w:rsidR="000B6B87">
        <w:rPr>
          <w:color w:val="000000"/>
        </w:rPr>
        <w:t xml:space="preserve">will conduct </w:t>
      </w:r>
      <w:r w:rsidR="003D5415">
        <w:rPr>
          <w:color w:val="000000"/>
        </w:rPr>
        <w:t>thirty</w:t>
      </w:r>
      <w:r w:rsidRPr="000B6B87" w:rsidR="000B6B87">
        <w:rPr>
          <w:color w:val="000000"/>
        </w:rPr>
        <w:t xml:space="preserve"> 90-minute</w:t>
      </w:r>
      <w:r w:rsidR="00501149">
        <w:rPr>
          <w:color w:val="000000"/>
        </w:rPr>
        <w:t>,</w:t>
      </w:r>
      <w:r w:rsidRPr="000B6B87" w:rsidR="000B6B87">
        <w:rPr>
          <w:color w:val="000000"/>
        </w:rPr>
        <w:t xml:space="preserve"> web-based </w:t>
      </w:r>
      <w:r w:rsidR="003D5415">
        <w:rPr>
          <w:color w:val="000000"/>
        </w:rPr>
        <w:t>individual interviews</w:t>
      </w:r>
      <w:r w:rsidR="005039A7">
        <w:rPr>
          <w:color w:val="000000"/>
        </w:rPr>
        <w:t xml:space="preserve">. </w:t>
      </w:r>
      <w:r w:rsidRPr="00F4495F" w:rsidR="00F4495F">
        <w:rPr>
          <w:color w:val="000000"/>
        </w:rPr>
        <w:t xml:space="preserve">Participants will include </w:t>
      </w:r>
      <w:r w:rsidRPr="00F4495F" w:rsidR="00F4495F">
        <w:rPr>
          <w:color w:val="000000"/>
        </w:rPr>
        <w:lastRenderedPageBreak/>
        <w:t>individuals who</w:t>
      </w:r>
      <w:r w:rsidR="00E73F3F">
        <w:rPr>
          <w:color w:val="000000"/>
        </w:rPr>
        <w:t>:</w:t>
      </w:r>
      <w:r w:rsidRPr="00F4495F" w:rsidR="00F4495F">
        <w:rPr>
          <w:color w:val="000000"/>
        </w:rPr>
        <w:t xml:space="preserve"> (1) are currently or have recently taken a biologic</w:t>
      </w:r>
      <w:r w:rsidR="00E73F3F">
        <w:rPr>
          <w:color w:val="000000"/>
        </w:rPr>
        <w:t>;</w:t>
      </w:r>
      <w:r w:rsidRPr="00F4495F" w:rsidR="00F4495F">
        <w:rPr>
          <w:color w:val="000000"/>
        </w:rPr>
        <w:t xml:space="preserve"> or (2) are the primary caregiver for a child who is currently taking insulin. The patient population for this study will be identical to that used in the 2020 focus groups</w:t>
      </w:r>
      <w:r w:rsidR="00C4304C">
        <w:rPr>
          <w:color w:val="000000"/>
        </w:rPr>
        <w:t>,</w:t>
      </w:r>
      <w:r w:rsidRPr="00C4304C" w:rsidR="00C4304C">
        <w:rPr>
          <w:bCs/>
        </w:rPr>
        <w:t xml:space="preserve"> </w:t>
      </w:r>
      <w:r w:rsidR="00C4304C">
        <w:rPr>
          <w:bCs/>
        </w:rPr>
        <w:t>however interview participants will be different than those who participated in the focus groups</w:t>
      </w:r>
      <w:r w:rsidR="00F4495F">
        <w:rPr>
          <w:color w:val="000000"/>
        </w:rPr>
        <w:t>.</w:t>
      </w:r>
      <w:r w:rsidR="00C4304C">
        <w:rPr>
          <w:color w:val="000000"/>
        </w:rPr>
        <w:t xml:space="preserve"> </w:t>
      </w:r>
      <w:r w:rsidR="00501149">
        <w:rPr>
          <w:color w:val="000000"/>
        </w:rPr>
        <w:t xml:space="preserve">Specifically, </w:t>
      </w:r>
      <w:r w:rsidR="00B9418F">
        <w:rPr>
          <w:color w:val="000000"/>
        </w:rPr>
        <w:t>RTI</w:t>
      </w:r>
      <w:r w:rsidR="005039A7">
        <w:rPr>
          <w:color w:val="000000"/>
        </w:rPr>
        <w:t xml:space="preserve"> will conduct the </w:t>
      </w:r>
      <w:r w:rsidR="00DC740C">
        <w:rPr>
          <w:color w:val="000000"/>
        </w:rPr>
        <w:t>interview</w:t>
      </w:r>
      <w:r w:rsidR="005039A7">
        <w:rPr>
          <w:color w:val="000000"/>
        </w:rPr>
        <w:t>s with six different audience segments:</w:t>
      </w:r>
    </w:p>
    <w:p w:rsidR="00E73F3F" w:rsidP="00C4304C" w:rsidRDefault="00E73F3F" w14:paraId="6575D2D8" w14:textId="77777777">
      <w:pPr>
        <w:ind w:left="720"/>
        <w:rPr>
          <w:color w:val="000000"/>
        </w:rPr>
      </w:pPr>
    </w:p>
    <w:p w:rsidR="005039A7" w:rsidP="005039A7" w:rsidRDefault="00501149" w14:paraId="5EAD8B48" w14:textId="77777777">
      <w:pPr>
        <w:numPr>
          <w:ilvl w:val="0"/>
          <w:numId w:val="20"/>
        </w:numPr>
      </w:pPr>
      <w:r>
        <w:t>Inflammatory a</w:t>
      </w:r>
      <w:r w:rsidR="005039A7">
        <w:t>rthritis patients (</w:t>
      </w:r>
      <w:r w:rsidR="003D5415">
        <w:t>6 interviews</w:t>
      </w:r>
      <w:r w:rsidR="005039A7">
        <w:t>)</w:t>
      </w:r>
    </w:p>
    <w:p w:rsidR="005039A7" w:rsidP="005039A7" w:rsidRDefault="005039A7" w14:paraId="42C531E8" w14:textId="77777777">
      <w:pPr>
        <w:numPr>
          <w:ilvl w:val="0"/>
          <w:numId w:val="20"/>
        </w:numPr>
      </w:pPr>
      <w:r>
        <w:t>Cancer patients (</w:t>
      </w:r>
      <w:r w:rsidR="003D5415">
        <w:t>6 interviews</w:t>
      </w:r>
      <w:r>
        <w:t>)</w:t>
      </w:r>
    </w:p>
    <w:p w:rsidR="005039A7" w:rsidP="005039A7" w:rsidRDefault="005039A7" w14:paraId="22186893" w14:textId="77777777">
      <w:pPr>
        <w:numPr>
          <w:ilvl w:val="0"/>
          <w:numId w:val="20"/>
        </w:numPr>
      </w:pPr>
      <w:r>
        <w:t xml:space="preserve">Inflammatory </w:t>
      </w:r>
      <w:r w:rsidR="00501149">
        <w:t>b</w:t>
      </w:r>
      <w:r>
        <w:t xml:space="preserve">owel </w:t>
      </w:r>
      <w:r w:rsidR="00501149">
        <w:t>d</w:t>
      </w:r>
      <w:r>
        <w:t>isease patients (</w:t>
      </w:r>
      <w:r w:rsidR="003D5415">
        <w:t>6 interviews</w:t>
      </w:r>
      <w:r>
        <w:t>)</w:t>
      </w:r>
    </w:p>
    <w:p w:rsidR="005039A7" w:rsidP="005039A7" w:rsidRDefault="005039A7" w14:paraId="1D709A55" w14:textId="77777777">
      <w:pPr>
        <w:numPr>
          <w:ilvl w:val="0"/>
          <w:numId w:val="20"/>
        </w:numPr>
      </w:pPr>
      <w:r>
        <w:t xml:space="preserve">Skin </w:t>
      </w:r>
      <w:r w:rsidR="00501149">
        <w:t>c</w:t>
      </w:r>
      <w:r>
        <w:t>ondition patients (</w:t>
      </w:r>
      <w:r w:rsidR="003D5415">
        <w:t>6 interviews</w:t>
      </w:r>
      <w:r>
        <w:t>)</w:t>
      </w:r>
    </w:p>
    <w:p w:rsidR="005039A7" w:rsidP="005039A7" w:rsidRDefault="005039A7" w14:paraId="03DD7AEF" w14:textId="77777777">
      <w:pPr>
        <w:numPr>
          <w:ilvl w:val="0"/>
          <w:numId w:val="20"/>
        </w:numPr>
      </w:pPr>
      <w:r>
        <w:t xml:space="preserve">Diabetes </w:t>
      </w:r>
      <w:r w:rsidR="00501149">
        <w:t>p</w:t>
      </w:r>
      <w:r>
        <w:t>atients (</w:t>
      </w:r>
      <w:r w:rsidR="003D5415">
        <w:t>3 interviews</w:t>
      </w:r>
      <w:r>
        <w:t>)</w:t>
      </w:r>
    </w:p>
    <w:p w:rsidR="005039A7" w:rsidP="005039A7" w:rsidRDefault="005039A7" w14:paraId="62C1E44F" w14:textId="77777777">
      <w:pPr>
        <w:numPr>
          <w:ilvl w:val="0"/>
          <w:numId w:val="20"/>
        </w:numPr>
      </w:pPr>
      <w:r>
        <w:t xml:space="preserve">Parents/Caregivers of </w:t>
      </w:r>
      <w:r w:rsidR="00501149">
        <w:t>c</w:t>
      </w:r>
      <w:r>
        <w:t xml:space="preserve">hildren with </w:t>
      </w:r>
      <w:r w:rsidR="00501149">
        <w:t>d</w:t>
      </w:r>
      <w:r>
        <w:t>iabetes (</w:t>
      </w:r>
      <w:r w:rsidR="003D5415">
        <w:t>3 interviews</w:t>
      </w:r>
      <w:r>
        <w:t>)</w:t>
      </w:r>
    </w:p>
    <w:p w:rsidR="003130A5" w:rsidP="005039A7" w:rsidRDefault="003130A5" w14:paraId="4360A176" w14:textId="77777777"/>
    <w:p w:rsidR="005059BA" w:rsidP="000B033F" w:rsidRDefault="00DC740C" w14:paraId="6D1F01E2" w14:textId="77777777">
      <w:pPr>
        <w:ind w:left="720"/>
      </w:pPr>
      <w:r>
        <w:t>L&amp;E</w:t>
      </w:r>
      <w:r w:rsidR="003D5415">
        <w:t xml:space="preserve"> </w:t>
      </w:r>
      <w:r w:rsidR="00F4495F">
        <w:t>R</w:t>
      </w:r>
      <w:r w:rsidR="003D5415">
        <w:t>esearch</w:t>
      </w:r>
      <w:r w:rsidR="00F4495F">
        <w:t>,</w:t>
      </w:r>
      <w:r w:rsidRPr="000B033F" w:rsidR="000B033F">
        <w:t xml:space="preserve"> a</w:t>
      </w:r>
      <w:r w:rsidR="003D5415">
        <w:t xml:space="preserve"> nationwide</w:t>
      </w:r>
      <w:r w:rsidRPr="000B033F" w:rsidR="000B033F">
        <w:t xml:space="preserve"> market research firm</w:t>
      </w:r>
      <w:r w:rsidR="003D5415">
        <w:t xml:space="preserve">, </w:t>
      </w:r>
      <w:r w:rsidRPr="000B033F" w:rsidR="000B033F">
        <w:t xml:space="preserve">will recruit and screen participants. </w:t>
      </w:r>
      <w:r w:rsidR="005059BA">
        <w:t xml:space="preserve">For this study, </w:t>
      </w:r>
      <w:r w:rsidR="003D5415">
        <w:t>L&amp;E</w:t>
      </w:r>
      <w:r w:rsidR="005059BA">
        <w:t xml:space="preserve"> will recruit </w:t>
      </w:r>
      <w:r w:rsidR="00376039">
        <w:t xml:space="preserve">individuals with diagnosed medical conditions from a </w:t>
      </w:r>
      <w:r w:rsidR="00EE77CA">
        <w:t xml:space="preserve">robust </w:t>
      </w:r>
      <w:r w:rsidR="00376039">
        <w:t>participant pool that is diverse in terms of education, sex</w:t>
      </w:r>
      <w:r w:rsidRPr="00376039" w:rsidR="00376039">
        <w:t>, age, race/ethnicity, geography</w:t>
      </w:r>
      <w:r w:rsidR="00376039">
        <w:t>, health insurance coverage, and household income</w:t>
      </w:r>
      <w:r w:rsidRPr="00376039" w:rsidR="00376039">
        <w:t>.</w:t>
      </w:r>
      <w:r w:rsidR="001716F3">
        <w:t xml:space="preserve"> However, </w:t>
      </w:r>
      <w:r w:rsidRPr="001716F3" w:rsidR="001716F3">
        <w:t xml:space="preserve">because of </w:t>
      </w:r>
      <w:r w:rsidR="001716F3">
        <w:t xml:space="preserve">the </w:t>
      </w:r>
      <w:r w:rsidRPr="001716F3" w:rsidR="001716F3">
        <w:t>relatively small sample size of this qualitative study, the results will only represent the enrolled participants and will not be generalizable to a larger population.</w:t>
      </w:r>
    </w:p>
    <w:p w:rsidR="005059BA" w:rsidP="000B033F" w:rsidRDefault="005059BA" w14:paraId="59982905" w14:textId="77777777">
      <w:pPr>
        <w:ind w:left="720"/>
      </w:pPr>
    </w:p>
    <w:p w:rsidR="001F4214" w:rsidP="001F4214" w:rsidRDefault="000B033F" w14:paraId="3D6A90A4" w14:textId="77777777">
      <w:pPr>
        <w:ind w:left="720"/>
      </w:pPr>
      <w:r w:rsidRPr="000B033F">
        <w:t xml:space="preserve">Recruitment will be conducted via email and phone. For email recruitment, </w:t>
      </w:r>
      <w:r w:rsidR="003D5415">
        <w:t>L&amp;E</w:t>
      </w:r>
      <w:r w:rsidRPr="000B033F">
        <w:t xml:space="preserve"> will send potential participants an email </w:t>
      </w:r>
      <w:r w:rsidR="00EC0C7F">
        <w:t xml:space="preserve">(see </w:t>
      </w:r>
      <w:r w:rsidR="00C4304C">
        <w:t>Study</w:t>
      </w:r>
      <w:r w:rsidR="00EC0C7F">
        <w:t xml:space="preserve"> Invitation) </w:t>
      </w:r>
      <w:r w:rsidR="00F4495F">
        <w:t>introducing</w:t>
      </w:r>
      <w:r w:rsidRPr="000B033F" w:rsidR="00F4495F">
        <w:t xml:space="preserve"> </w:t>
      </w:r>
      <w:r w:rsidRPr="000B033F">
        <w:t xml:space="preserve">the study and inviting them to complete a brief online screener. </w:t>
      </w:r>
      <w:r w:rsidR="00EC0C7F">
        <w:t xml:space="preserve">Potential </w:t>
      </w:r>
      <w:r w:rsidR="00F4495F">
        <w:t xml:space="preserve">participants </w:t>
      </w:r>
      <w:r w:rsidR="00EC0C7F">
        <w:t xml:space="preserve">will be able to click on a link in the email to answer a number of initial screening questions (see Web Screener). </w:t>
      </w:r>
      <w:r w:rsidRPr="000B033F">
        <w:t>Individuals who are interested and appear to qualify will be contacted by phone to verify their responses and schedule their participation in a</w:t>
      </w:r>
      <w:r w:rsidR="00F4495F">
        <w:t>n</w:t>
      </w:r>
      <w:r w:rsidRPr="000B033F">
        <w:t xml:space="preserve"> </w:t>
      </w:r>
      <w:r w:rsidR="00DC740C">
        <w:t>interview</w:t>
      </w:r>
      <w:r w:rsidR="00EC0C7F">
        <w:t xml:space="preserve"> (see Confirmation Script)</w:t>
      </w:r>
      <w:r w:rsidRPr="000B033F">
        <w:t xml:space="preserve">. For telephone recruitment, </w:t>
      </w:r>
      <w:r w:rsidR="003D5415">
        <w:t>L&amp;E</w:t>
      </w:r>
      <w:r w:rsidRPr="000B033F">
        <w:t xml:space="preserve"> will call potential participants</w:t>
      </w:r>
      <w:r w:rsidR="00501149">
        <w:t>, screen them for eligibility</w:t>
      </w:r>
      <w:r w:rsidRPr="000B033F">
        <w:t>,</w:t>
      </w:r>
      <w:r w:rsidR="00501149">
        <w:t xml:space="preserve"> and</w:t>
      </w:r>
      <w:r w:rsidR="00B4466D">
        <w:t>—</w:t>
      </w:r>
      <w:r w:rsidR="00501149">
        <w:t>if eligible</w:t>
      </w:r>
      <w:r w:rsidR="00B4466D">
        <w:t>—</w:t>
      </w:r>
      <w:r w:rsidRPr="000B033F">
        <w:t>schedule them for a</w:t>
      </w:r>
      <w:r w:rsidR="00F4495F">
        <w:t>n</w:t>
      </w:r>
      <w:r w:rsidRPr="000B033F">
        <w:t xml:space="preserve"> </w:t>
      </w:r>
      <w:r w:rsidR="00DC740C">
        <w:t>interview</w:t>
      </w:r>
      <w:r w:rsidR="00EC0C7F">
        <w:t xml:space="preserve"> (see Phone Screener)</w:t>
      </w:r>
      <w:r w:rsidRPr="000B033F">
        <w:t>.</w:t>
      </w:r>
      <w:r w:rsidR="001F4214">
        <w:t xml:space="preserve"> </w:t>
      </w:r>
      <w:r w:rsidR="003D5415">
        <w:t>L&amp;E</w:t>
      </w:r>
      <w:r w:rsidR="001F4214">
        <w:t xml:space="preserve"> will schedule </w:t>
      </w:r>
      <w:r w:rsidR="003D5415">
        <w:t>interviews</w:t>
      </w:r>
      <w:r w:rsidR="001F4214">
        <w:t xml:space="preserve"> on days and times that are most likely to be convenient for participants, likely weekdays in the </w:t>
      </w:r>
      <w:r w:rsidR="00F4495F">
        <w:t xml:space="preserve">early </w:t>
      </w:r>
      <w:r w:rsidR="001F4214">
        <w:t>morning</w:t>
      </w:r>
      <w:r w:rsidR="00F4495F">
        <w:t>s</w:t>
      </w:r>
      <w:r w:rsidR="001F4214">
        <w:t xml:space="preserve"> (6:00–8:00 am) and evenings (6:00–10:00 pm), to accommodate participants’ work schedules.</w:t>
      </w:r>
    </w:p>
    <w:p w:rsidR="001F4214" w:rsidP="000B033F" w:rsidRDefault="001F4214" w14:paraId="3C3BA5AA" w14:textId="77777777">
      <w:pPr>
        <w:ind w:left="720"/>
      </w:pPr>
    </w:p>
    <w:p w:rsidR="00C17FBB" w:rsidP="00F74C93" w:rsidRDefault="00C17FBB" w14:paraId="574F4C8A" w14:textId="77777777">
      <w:pPr>
        <w:ind w:left="720"/>
      </w:pPr>
      <w:r w:rsidRPr="00C17FBB">
        <w:t>Respondents will be excluded if they have participated in a</w:t>
      </w:r>
      <w:r w:rsidR="00C4304C">
        <w:t xml:space="preserve"> focus group or</w:t>
      </w:r>
      <w:r w:rsidRPr="00C17FBB">
        <w:t xml:space="preserve"> </w:t>
      </w:r>
      <w:r w:rsidR="00DC740C">
        <w:t>interview</w:t>
      </w:r>
      <w:r w:rsidRPr="00C17FBB">
        <w:t xml:space="preserve"> in the </w:t>
      </w:r>
      <w:r>
        <w:t xml:space="preserve">past </w:t>
      </w:r>
      <w:r w:rsidR="00F4495F">
        <w:t>six</w:t>
      </w:r>
      <w:r w:rsidRPr="00C17FBB">
        <w:t xml:space="preserve"> months, </w:t>
      </w:r>
      <w:r w:rsidR="00C4304C">
        <w:t xml:space="preserve">if they participated in the related 2020 focus groups, </w:t>
      </w:r>
      <w:r>
        <w:t xml:space="preserve">if they have vision or hearing problems that would prevent </w:t>
      </w:r>
      <w:r w:rsidR="00F74C93">
        <w:t xml:space="preserve">them from </w:t>
      </w:r>
      <w:r>
        <w:t xml:space="preserve">commenting on </w:t>
      </w:r>
      <w:r w:rsidR="00F74C93">
        <w:t xml:space="preserve">the informational </w:t>
      </w:r>
      <w:r>
        <w:t>materials</w:t>
      </w:r>
      <w:r w:rsidR="00F74C93">
        <w:t>, or if they are currently employed by the federal government, a pharmaceutical company, a research company, or in the healthcare field.</w:t>
      </w:r>
    </w:p>
    <w:p w:rsidR="005524D9" w:rsidP="005524D9" w:rsidRDefault="005524D9" w14:paraId="1838258C" w14:textId="77777777"/>
    <w:p w:rsidRPr="00E215FA" w:rsidR="003F1C7A" w:rsidP="00F12AEE" w:rsidRDefault="000E7C99" w14:paraId="3D05366A" w14:textId="77777777">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Pr="00E26798" w:rsidR="003F1C7A">
        <w:rPr>
          <w:b/>
        </w:rPr>
        <w:t xml:space="preserve">  </w:t>
      </w:r>
    </w:p>
    <w:p w:rsidR="00C717CD" w:rsidP="002C48D5" w:rsidRDefault="00C717CD" w14:paraId="179C32D4" w14:textId="77777777">
      <w:pPr>
        <w:ind w:left="720"/>
      </w:pPr>
    </w:p>
    <w:p w:rsidR="00FB0B05" w:rsidP="002C48D5" w:rsidRDefault="00FB0B05" w14:paraId="0C055016" w14:textId="4AB83BD2">
      <w:pPr>
        <w:ind w:left="720"/>
      </w:pPr>
      <w:r>
        <w:t xml:space="preserve">The </w:t>
      </w:r>
      <w:r w:rsidR="003D5415">
        <w:t>interviews</w:t>
      </w:r>
      <w:r>
        <w:t xml:space="preserve"> will be conducted </w:t>
      </w:r>
      <w:r w:rsidR="00501149">
        <w:t xml:space="preserve">during </w:t>
      </w:r>
      <w:r>
        <w:t xml:space="preserve">a </w:t>
      </w:r>
      <w:r w:rsidR="003D5415">
        <w:t>six</w:t>
      </w:r>
      <w:r>
        <w:t>-week period after OMB and FDA IRB approvals have been obtained</w:t>
      </w:r>
      <w:r w:rsidR="00501149">
        <w:t xml:space="preserve">. The estimated timeframe for the </w:t>
      </w:r>
      <w:r w:rsidR="003D5415">
        <w:t>interviews</w:t>
      </w:r>
      <w:r w:rsidR="00501149">
        <w:t xml:space="preserve"> is </w:t>
      </w:r>
      <w:r w:rsidR="00DC740C">
        <w:t>July</w:t>
      </w:r>
      <w:r w:rsidR="00501149">
        <w:t xml:space="preserve"> </w:t>
      </w:r>
      <w:r w:rsidR="00F4495F">
        <w:t xml:space="preserve">and August </w:t>
      </w:r>
      <w:r w:rsidR="00501149">
        <w:t>202</w:t>
      </w:r>
      <w:r w:rsidR="00C717CD">
        <w:t>1</w:t>
      </w:r>
      <w:r>
        <w:t xml:space="preserve">. </w:t>
      </w:r>
    </w:p>
    <w:p w:rsidR="00190AA2" w:rsidP="00F12AEE" w:rsidRDefault="00190AA2" w14:paraId="42DE0BB9" w14:textId="77777777">
      <w:pPr>
        <w:ind w:left="360"/>
        <w:jc w:val="both"/>
      </w:pPr>
    </w:p>
    <w:p w:rsidRPr="00985610" w:rsidR="00E26798" w:rsidP="00F12AEE" w:rsidRDefault="000E7C99" w14:paraId="5B7486BB" w14:textId="77777777">
      <w:pPr>
        <w:numPr>
          <w:ilvl w:val="0"/>
          <w:numId w:val="15"/>
        </w:numPr>
        <w:tabs>
          <w:tab w:val="num" w:pos="720"/>
        </w:tabs>
        <w:ind w:left="720"/>
      </w:pPr>
      <w:r w:rsidRPr="00985610">
        <w:rPr>
          <w:b/>
        </w:rPr>
        <w:t xml:space="preserve">How the Information </w:t>
      </w:r>
      <w:r w:rsidR="00B4466D">
        <w:rPr>
          <w:b/>
        </w:rPr>
        <w:t>I</w:t>
      </w:r>
      <w:r w:rsidRPr="00985610">
        <w:rPr>
          <w:b/>
        </w:rPr>
        <w:t xml:space="preserve">s </w:t>
      </w:r>
      <w:r w:rsidR="00B4466D">
        <w:rPr>
          <w:b/>
        </w:rPr>
        <w:t>B</w:t>
      </w:r>
      <w:r w:rsidRPr="00985610">
        <w:rPr>
          <w:b/>
        </w:rPr>
        <w:t xml:space="preserve">eing </w:t>
      </w:r>
      <w:r w:rsidR="00B4466D">
        <w:rPr>
          <w:b/>
        </w:rPr>
        <w:t>C</w:t>
      </w:r>
      <w:r w:rsidRPr="00985610">
        <w:rPr>
          <w:b/>
        </w:rPr>
        <w:t>ollected</w:t>
      </w:r>
      <w:r w:rsidRPr="00985610" w:rsidR="0049419A">
        <w:rPr>
          <w:b/>
        </w:rPr>
        <w:t>:</w:t>
      </w:r>
    </w:p>
    <w:p w:rsidR="00C717CD" w:rsidP="00FB0B05" w:rsidRDefault="00C717CD" w14:paraId="646C9979" w14:textId="77777777">
      <w:pPr>
        <w:ind w:left="720"/>
      </w:pPr>
    </w:p>
    <w:p w:rsidR="00D241A2" w:rsidP="00FB0B05" w:rsidRDefault="00B9418F" w14:paraId="20619B90" w14:textId="328CF3AA">
      <w:pPr>
        <w:ind w:left="720"/>
      </w:pPr>
      <w:r>
        <w:t>RTI will conduct the</w:t>
      </w:r>
      <w:r w:rsidRPr="000B033F" w:rsidR="00AA356B">
        <w:t xml:space="preserve"> </w:t>
      </w:r>
      <w:r w:rsidR="00DC740C">
        <w:t>interview</w:t>
      </w:r>
      <w:r w:rsidRPr="000B033F" w:rsidR="00AA356B">
        <w:t xml:space="preserve">s online using </w:t>
      </w:r>
      <w:r w:rsidR="00DC740C">
        <w:t>Zoom</w:t>
      </w:r>
      <w:r w:rsidRPr="000B033F" w:rsidR="00AA356B">
        <w:t xml:space="preserve">, a </w:t>
      </w:r>
      <w:r w:rsidR="00DC740C">
        <w:t xml:space="preserve">web-based </w:t>
      </w:r>
      <w:r w:rsidRPr="000B033F" w:rsidR="00AA356B">
        <w:t>video and audio platform</w:t>
      </w:r>
      <w:r w:rsidR="00B4466D">
        <w:t>.</w:t>
      </w:r>
      <w:r w:rsidR="00DC740C">
        <w:t xml:space="preserve"> Interviews will be conducted using a secure, password-protected Zoom meeting.</w:t>
      </w:r>
    </w:p>
    <w:p w:rsidR="00D241A2" w:rsidP="00FB0B05" w:rsidRDefault="00D241A2" w14:paraId="5B999ECE" w14:textId="77777777">
      <w:pPr>
        <w:ind w:left="720"/>
      </w:pPr>
    </w:p>
    <w:p w:rsidR="00EB4AC2" w:rsidP="00FB0B05" w:rsidRDefault="00FB0B05" w14:paraId="2F6E2738" w14:textId="77777777">
      <w:pPr>
        <w:ind w:left="720"/>
      </w:pPr>
      <w:r w:rsidRPr="000B033F">
        <w:t xml:space="preserve">For each 90-minute </w:t>
      </w:r>
      <w:r w:rsidR="00DC740C">
        <w:t>interview</w:t>
      </w:r>
      <w:r w:rsidRPr="000B033F">
        <w:t xml:space="preserve">, a trained </w:t>
      </w:r>
      <w:r w:rsidR="00F4495F">
        <w:t>interviewer</w:t>
      </w:r>
      <w:r w:rsidRPr="000B033F" w:rsidR="00F4495F">
        <w:t xml:space="preserve"> </w:t>
      </w:r>
      <w:r w:rsidRPr="000B033F" w:rsidR="00AA356B">
        <w:t>will lead the discussion from his or her computer</w:t>
      </w:r>
      <w:r w:rsidR="00501149">
        <w:t>,</w:t>
      </w:r>
      <w:r w:rsidRPr="000B033F" w:rsidR="00AA356B">
        <w:t xml:space="preserve"> and a separate note-taker and logistics coordinator will assist. Once connected, the participant and </w:t>
      </w:r>
      <w:r w:rsidR="005A5EE3">
        <w:t>interviewer</w:t>
      </w:r>
      <w:r w:rsidRPr="000B033F" w:rsidR="005A5EE3">
        <w:t xml:space="preserve"> </w:t>
      </w:r>
      <w:r w:rsidRPr="000B033F" w:rsidR="00AA356B">
        <w:t>will be able to see one another</w:t>
      </w:r>
      <w:r w:rsidR="00501149">
        <w:t xml:space="preserve"> on screen</w:t>
      </w:r>
      <w:r w:rsidRPr="000B033F" w:rsidR="00AA356B">
        <w:t xml:space="preserve">, and the </w:t>
      </w:r>
      <w:r w:rsidR="005A5EE3">
        <w:t>interviewer</w:t>
      </w:r>
      <w:r w:rsidRPr="000B033F" w:rsidR="005A5EE3">
        <w:t xml:space="preserve"> </w:t>
      </w:r>
      <w:r w:rsidRPr="000B033F" w:rsidR="00AA356B">
        <w:t xml:space="preserve">will be able to share materials through screen sharing. The </w:t>
      </w:r>
      <w:r w:rsidR="005A5EE3">
        <w:t>interviewer</w:t>
      </w:r>
      <w:r w:rsidRPr="000B033F" w:rsidR="005A5EE3">
        <w:t xml:space="preserve"> </w:t>
      </w:r>
      <w:r w:rsidRPr="000B033F" w:rsidR="00AA356B">
        <w:t xml:space="preserve">will lead the </w:t>
      </w:r>
      <w:r w:rsidR="00B4466D">
        <w:t>discussion using a</w:t>
      </w:r>
      <w:r w:rsidRPr="000B033F" w:rsidR="00AA356B">
        <w:t xml:space="preserve"> semi-structured </w:t>
      </w:r>
      <w:r w:rsidR="005A5EE3">
        <w:t>interview</w:t>
      </w:r>
      <w:r w:rsidRPr="000B033F" w:rsidR="005A5EE3">
        <w:t xml:space="preserve"> </w:t>
      </w:r>
      <w:r w:rsidRPr="000B033F" w:rsidR="00AA356B">
        <w:t>guide</w:t>
      </w:r>
      <w:r w:rsidRPr="00D241A2" w:rsidR="00D241A2">
        <w:t xml:space="preserve"> that ensures consistency in major topics but allows flexibility in probing </w:t>
      </w:r>
      <w:r w:rsidR="000F02DF">
        <w:t>participa</w:t>
      </w:r>
      <w:r w:rsidR="005A5EE3">
        <w:t>n</w:t>
      </w:r>
      <w:r w:rsidR="000F02DF">
        <w:t>ts</w:t>
      </w:r>
      <w:r w:rsidRPr="00D241A2" w:rsidR="00DC740C">
        <w:t xml:space="preserve"> </w:t>
      </w:r>
      <w:r w:rsidRPr="00D241A2" w:rsidR="00D241A2">
        <w:t xml:space="preserve">depending on the discussion (see </w:t>
      </w:r>
      <w:r w:rsidR="005A5EE3">
        <w:t>Interview</w:t>
      </w:r>
      <w:r w:rsidRPr="00D241A2" w:rsidR="005A5EE3">
        <w:t xml:space="preserve"> </w:t>
      </w:r>
      <w:r w:rsidRPr="00D241A2" w:rsidR="00D241A2">
        <w:t>Guide)</w:t>
      </w:r>
      <w:r w:rsidRPr="000B033F" w:rsidR="00AA356B">
        <w:t>.</w:t>
      </w:r>
      <w:r w:rsidRPr="000B033F">
        <w:t xml:space="preserve"> </w:t>
      </w:r>
      <w:r w:rsidR="00B4466D">
        <w:t>FDA staff will be able to observe unobtrusively and will not be visible on screen.</w:t>
      </w:r>
    </w:p>
    <w:p w:rsidR="000B033F" w:rsidP="00FB0B05" w:rsidRDefault="000B033F" w14:paraId="2FE355C7" w14:textId="77777777">
      <w:pPr>
        <w:ind w:left="720"/>
      </w:pPr>
    </w:p>
    <w:p w:rsidRPr="00AA356B" w:rsidR="00B2159C" w:rsidP="00501149" w:rsidRDefault="000B033F" w14:paraId="3F5E833E" w14:textId="77777777">
      <w:pPr>
        <w:ind w:left="720"/>
        <w:rPr>
          <w:highlight w:val="yellow"/>
        </w:rPr>
      </w:pPr>
      <w:r w:rsidRPr="000B033F">
        <w:t xml:space="preserve">During the </w:t>
      </w:r>
      <w:r w:rsidR="00DC740C">
        <w:t>interviews</w:t>
      </w:r>
      <w:r w:rsidRPr="000B033F">
        <w:t>, a note</w:t>
      </w:r>
      <w:r w:rsidR="00D241A2">
        <w:t>-</w:t>
      </w:r>
      <w:r w:rsidRPr="000B033F">
        <w:t xml:space="preserve">taker will observe and document the major themes in each session. With the consent of participants, </w:t>
      </w:r>
      <w:r w:rsidR="00985610">
        <w:t>w</w:t>
      </w:r>
      <w:r>
        <w:t>e</w:t>
      </w:r>
      <w:r w:rsidRPr="000B033F">
        <w:t xml:space="preserve"> will audio record each session, produce a written transcript of the discussion, and use the transcript to supplement the team’s notes. </w:t>
      </w:r>
      <w:r w:rsidR="00DC740C">
        <w:t>L&amp;E</w:t>
      </w:r>
      <w:r w:rsidRPr="000B033F">
        <w:t xml:space="preserve"> will provide participants with </w:t>
      </w:r>
      <w:r w:rsidR="00DC740C">
        <w:t xml:space="preserve">a $75 </w:t>
      </w:r>
      <w:r w:rsidRPr="00BD3196" w:rsidR="00BD3196">
        <w:t xml:space="preserve">honorarium </w:t>
      </w:r>
      <w:r w:rsidRPr="000B033F" w:rsidR="00BD3196">
        <w:t xml:space="preserve">as a token of appreciation </w:t>
      </w:r>
      <w:r w:rsidR="00BD3196">
        <w:t>(</w:t>
      </w:r>
      <w:r w:rsidRPr="000B033F" w:rsidR="00BD3196">
        <w:t>see Section 7)</w:t>
      </w:r>
      <w:r w:rsidRPr="00BD3196" w:rsidR="00BD3196">
        <w:t xml:space="preserve">. Specific instructions for obtaining </w:t>
      </w:r>
      <w:r w:rsidR="00BD3196">
        <w:t>the</w:t>
      </w:r>
      <w:r w:rsidRPr="00BD3196" w:rsidR="00BD3196">
        <w:t xml:space="preserve"> honorarium will be sent to </w:t>
      </w:r>
      <w:r w:rsidR="00BD3196">
        <w:t>participants’</w:t>
      </w:r>
      <w:r w:rsidRPr="00BD3196" w:rsidR="00BD3196">
        <w:t xml:space="preserve"> email</w:t>
      </w:r>
      <w:r w:rsidR="00BD3196">
        <w:t xml:space="preserve"> addresses</w:t>
      </w:r>
      <w:r w:rsidRPr="00A3165B" w:rsidR="00A3165B">
        <w:t xml:space="preserve"> </w:t>
      </w:r>
      <w:r w:rsidR="00A3165B">
        <w:t xml:space="preserve">within </w:t>
      </w:r>
      <w:r w:rsidRPr="00BD3196" w:rsidR="00A3165B">
        <w:t>one business day after the interview concludes</w:t>
      </w:r>
      <w:r w:rsidRPr="00BD3196" w:rsidR="00BD3196">
        <w:t xml:space="preserve">. </w:t>
      </w:r>
      <w:r w:rsidR="00A3165B">
        <w:t>Participants</w:t>
      </w:r>
      <w:r w:rsidRPr="00BD3196" w:rsidR="00BD3196">
        <w:t xml:space="preserve"> will have the option to choose between a physical gift card or a</w:t>
      </w:r>
      <w:r w:rsidR="00A3165B">
        <w:t>n electronic gift card</w:t>
      </w:r>
      <w:r w:rsidRPr="00BD3196" w:rsidR="00BD3196">
        <w:t xml:space="preserve"> </w:t>
      </w:r>
      <w:r w:rsidR="00BD3196">
        <w:t>that can be used at multiple</w:t>
      </w:r>
      <w:r w:rsidRPr="00BD3196" w:rsidR="00BD3196">
        <w:t xml:space="preserve"> online vendor</w:t>
      </w:r>
      <w:r w:rsidR="00BD3196">
        <w:t>s.</w:t>
      </w:r>
      <w:r w:rsidRPr="000B033F">
        <w:t xml:space="preserve"> </w:t>
      </w:r>
    </w:p>
    <w:p w:rsidRPr="00AA356B" w:rsidR="00F12AEE" w:rsidP="00F12AEE" w:rsidRDefault="00F12AEE" w14:paraId="27DDB419" w14:textId="77777777">
      <w:pPr>
        <w:ind w:left="720"/>
        <w:rPr>
          <w:highlight w:val="yellow"/>
        </w:rPr>
      </w:pPr>
    </w:p>
    <w:p w:rsidRPr="002C48D5" w:rsidR="003F1C7A" w:rsidP="00F12AEE" w:rsidRDefault="00DD1CCA" w14:paraId="7F52DD00" w14:textId="77777777">
      <w:pPr>
        <w:numPr>
          <w:ilvl w:val="0"/>
          <w:numId w:val="15"/>
        </w:numPr>
        <w:tabs>
          <w:tab w:val="num" w:pos="720"/>
        </w:tabs>
        <w:ind w:left="720"/>
      </w:pPr>
      <w:r w:rsidRPr="002C48D5">
        <w:rPr>
          <w:b/>
        </w:rPr>
        <w:t>Confidentiality of Respondents</w:t>
      </w:r>
      <w:r w:rsidRPr="002C48D5" w:rsidR="0049419A">
        <w:rPr>
          <w:b/>
        </w:rPr>
        <w:t>:</w:t>
      </w:r>
    </w:p>
    <w:p w:rsidR="00961762" w:rsidP="00CA2A9F" w:rsidRDefault="00961762" w14:paraId="47249AA1" w14:textId="77777777">
      <w:pPr>
        <w:ind w:left="720"/>
      </w:pPr>
    </w:p>
    <w:p w:rsidR="00CA2A9F" w:rsidP="00CA2A9F" w:rsidRDefault="00841A9C" w14:paraId="28F53280" w14:textId="4BCB08FC">
      <w:pPr>
        <w:ind w:left="720"/>
      </w:pPr>
      <w:r>
        <w:t xml:space="preserve">Because the </w:t>
      </w:r>
      <w:r w:rsidR="00DC740C">
        <w:t>interview</w:t>
      </w:r>
      <w:r>
        <w:t>s will be conducted online</w:t>
      </w:r>
      <w:r w:rsidR="00CA2A9F">
        <w:t xml:space="preserve">, </w:t>
      </w:r>
      <w:r w:rsidR="00DC740C">
        <w:t>L&amp;</w:t>
      </w:r>
      <w:r w:rsidR="000F02DF">
        <w:t>E</w:t>
      </w:r>
      <w:r w:rsidR="00095139">
        <w:t xml:space="preserve"> will </w:t>
      </w:r>
      <w:r w:rsidRPr="00257CC4" w:rsidR="00257CC4">
        <w:t xml:space="preserve">send </w:t>
      </w:r>
      <w:r w:rsidR="00257CC4">
        <w:t>each participant</w:t>
      </w:r>
      <w:r w:rsidRPr="00257CC4" w:rsidR="00257CC4">
        <w:t xml:space="preserve"> a link to an electronic informed consent form</w:t>
      </w:r>
      <w:r w:rsidR="00CA2A9F">
        <w:t xml:space="preserve"> at the time of recruitment and scheduling</w:t>
      </w:r>
      <w:r w:rsidR="00C24880">
        <w:t xml:space="preserve"> (see Advance Email)</w:t>
      </w:r>
      <w:r w:rsidR="00CA2A9F">
        <w:t xml:space="preserve">. Participants will electronically sign a programmed version of the consent form so that </w:t>
      </w:r>
      <w:r w:rsidR="00B9418F">
        <w:t>a date/time stamp of consent</w:t>
      </w:r>
      <w:r w:rsidR="00CA2A9F">
        <w:t xml:space="preserve"> is collected in </w:t>
      </w:r>
      <w:r w:rsidR="000F02DF">
        <w:t>L&amp;E’s</w:t>
      </w:r>
      <w:r w:rsidR="00C04500">
        <w:t xml:space="preserve"> </w:t>
      </w:r>
      <w:r w:rsidR="00CA2A9F">
        <w:t>system</w:t>
      </w:r>
      <w:r w:rsidR="00C24880">
        <w:t xml:space="preserve"> (see Consent Form)</w:t>
      </w:r>
      <w:r w:rsidR="00C04500">
        <w:t xml:space="preserve">. </w:t>
      </w:r>
      <w:r w:rsidRPr="00A67E98" w:rsidR="00A67E98">
        <w:t>After</w:t>
      </w:r>
      <w:r w:rsidR="00A67E98">
        <w:t xml:space="preserve"> participants electronically sign</w:t>
      </w:r>
      <w:r w:rsidRPr="00A67E98" w:rsidR="00A67E98">
        <w:t xml:space="preserve"> the form,</w:t>
      </w:r>
      <w:r w:rsidR="00880AC3">
        <w:t xml:space="preserve"> </w:t>
      </w:r>
      <w:r w:rsidR="00DC740C">
        <w:t>L&amp;E</w:t>
      </w:r>
      <w:r w:rsidRPr="00A67E98" w:rsidR="00A67E98">
        <w:t xml:space="preserve"> will email </w:t>
      </w:r>
      <w:r w:rsidR="00A67E98">
        <w:t>each participant</w:t>
      </w:r>
      <w:r w:rsidRPr="00A67E98" w:rsidR="00A67E98">
        <w:t xml:space="preserve"> a downloadable copy </w:t>
      </w:r>
      <w:r w:rsidR="00A67E98">
        <w:t>of the</w:t>
      </w:r>
      <w:r w:rsidR="00A64521">
        <w:t>ir</w:t>
      </w:r>
      <w:r w:rsidR="00A67E98">
        <w:t xml:space="preserve"> form </w:t>
      </w:r>
      <w:r w:rsidRPr="00A67E98" w:rsidR="00A67E98">
        <w:t xml:space="preserve">for </w:t>
      </w:r>
      <w:r w:rsidR="00A67E98">
        <w:t>their</w:t>
      </w:r>
      <w:r w:rsidRPr="00A67E98" w:rsidR="00A67E98">
        <w:t xml:space="preserve"> records.</w:t>
      </w:r>
      <w:r w:rsidR="00A67E98">
        <w:t xml:space="preserve"> </w:t>
      </w:r>
      <w:r w:rsidR="00CA2A9F">
        <w:t>No participants will be allowed to participate without a signed consent form.</w:t>
      </w:r>
    </w:p>
    <w:p w:rsidR="00CA2A9F" w:rsidP="00CA2A9F" w:rsidRDefault="00CA2A9F" w14:paraId="619F28BF" w14:textId="77777777">
      <w:pPr>
        <w:ind w:left="720"/>
      </w:pPr>
    </w:p>
    <w:p w:rsidR="00B9418F" w:rsidP="00CA2A9F" w:rsidRDefault="00DC740C" w14:paraId="31EB15D5" w14:textId="77777777">
      <w:pPr>
        <w:ind w:left="720"/>
      </w:pPr>
      <w:r>
        <w:t>L&amp;E</w:t>
      </w:r>
      <w:r w:rsidR="00B9418F">
        <w:t xml:space="preserve"> </w:t>
      </w:r>
      <w:r w:rsidR="00CA2A9F">
        <w:t xml:space="preserve">will store </w:t>
      </w:r>
      <w:r w:rsidR="00B9418F">
        <w:t>screening and consent data</w:t>
      </w:r>
      <w:r w:rsidR="00CA2A9F">
        <w:t xml:space="preserve"> on a password-protected computer in order to invite respondents and send them reminder emails </w:t>
      </w:r>
      <w:r w:rsidR="00305934">
        <w:t>and</w:t>
      </w:r>
      <w:r w:rsidR="00CA2A9F">
        <w:t xml:space="preserve"> phone calls</w:t>
      </w:r>
      <w:r w:rsidR="00A64521">
        <w:t xml:space="preserve"> the day before their scheduled </w:t>
      </w:r>
      <w:r>
        <w:t>interview</w:t>
      </w:r>
      <w:r w:rsidR="00CA2A9F">
        <w:t xml:space="preserve">. Only </w:t>
      </w:r>
      <w:r>
        <w:t>L&amp;E</w:t>
      </w:r>
      <w:r w:rsidR="00B9418F">
        <w:t xml:space="preserve"> staff</w:t>
      </w:r>
      <w:r w:rsidR="00CA2A9F">
        <w:t xml:space="preserve"> assigned specifically to this project will have access to this information. Once the screening and recruitment process is complete, </w:t>
      </w:r>
      <w:r>
        <w:t>L&amp;E</w:t>
      </w:r>
      <w:r w:rsidR="00CA2A9F">
        <w:t xml:space="preserve"> will provide </w:t>
      </w:r>
      <w:r w:rsidR="007B34E0">
        <w:t>RTI</w:t>
      </w:r>
      <w:r w:rsidR="00CA2A9F">
        <w:t xml:space="preserve"> with the screening data for the participants, which will include first names and last initials, but no</w:t>
      </w:r>
      <w:r w:rsidR="00B9418F">
        <w:t xml:space="preserve"> full names,</w:t>
      </w:r>
      <w:r w:rsidR="00CA2A9F">
        <w:t xml:space="preserve"> contact information</w:t>
      </w:r>
      <w:r w:rsidR="00B9418F">
        <w:t>, or other personally identifying information (PII)</w:t>
      </w:r>
      <w:r w:rsidR="00CA2A9F">
        <w:t>.</w:t>
      </w:r>
    </w:p>
    <w:p w:rsidR="00B9418F" w:rsidP="00CA2A9F" w:rsidRDefault="00B9418F" w14:paraId="22B15C2E" w14:textId="77777777">
      <w:pPr>
        <w:ind w:left="720"/>
      </w:pPr>
    </w:p>
    <w:p w:rsidR="00CA2A9F" w:rsidP="00CA2A9F" w:rsidRDefault="00CA2A9F" w14:paraId="092A1559" w14:textId="77777777">
      <w:pPr>
        <w:ind w:left="720"/>
      </w:pPr>
      <w:r>
        <w:t xml:space="preserve">At the beginning of each </w:t>
      </w:r>
      <w:r w:rsidR="00DC740C">
        <w:t>interview</w:t>
      </w:r>
      <w:r>
        <w:t xml:space="preserve">, </w:t>
      </w:r>
      <w:r w:rsidR="007B34E0">
        <w:t>RTI</w:t>
      </w:r>
      <w:r>
        <w:t xml:space="preserve"> will reiterate the information contained in the informed consent that participants previously signed</w:t>
      </w:r>
      <w:r w:rsidR="00305934">
        <w:t xml:space="preserve"> (i.e., </w:t>
      </w:r>
      <w:r>
        <w:t>participation is voluntary and they do not have to answer any questions they do not want to and can stop participating at any time</w:t>
      </w:r>
      <w:r w:rsidR="00305934">
        <w:t>)</w:t>
      </w:r>
      <w:r>
        <w:t xml:space="preserve">. Participants will be instructed to use only their first names during the </w:t>
      </w:r>
      <w:r w:rsidR="00DC740C">
        <w:t>interview</w:t>
      </w:r>
      <w:r>
        <w:t xml:space="preserve">s. </w:t>
      </w:r>
      <w:r w:rsidR="007B34E0">
        <w:t>RTI</w:t>
      </w:r>
      <w:r>
        <w:t xml:space="preserve"> will also inform participants that no full names or any PII will be used in any notes, reports, or materials; that only anonymized information reported in aggregate will be provided to the FDA; and that their information will be kept </w:t>
      </w:r>
      <w:r w:rsidR="00086577">
        <w:t>secure</w:t>
      </w:r>
      <w:r>
        <w:t xml:space="preserve"> to the extent </w:t>
      </w:r>
      <w:r w:rsidR="00EF518E">
        <w:t>permitted by law</w:t>
      </w:r>
      <w:r>
        <w:t>.</w:t>
      </w:r>
    </w:p>
    <w:p w:rsidR="00CA2A9F" w:rsidP="00CA2A9F" w:rsidRDefault="00CA2A9F" w14:paraId="2E81B97F" w14:textId="77777777">
      <w:pPr>
        <w:ind w:left="720"/>
      </w:pPr>
    </w:p>
    <w:p w:rsidR="00CA2A9F" w:rsidP="00CA2A9F" w:rsidRDefault="00CA2A9F" w14:paraId="41B5FF86" w14:textId="77777777">
      <w:pPr>
        <w:pStyle w:val="ListParagraph"/>
      </w:pPr>
      <w:r>
        <w:t xml:space="preserve">FDA </w:t>
      </w:r>
      <w:r w:rsidR="00305934">
        <w:t xml:space="preserve">and RTI </w:t>
      </w:r>
      <w:r>
        <w:t>will not have the full names</w:t>
      </w:r>
      <w:r w:rsidR="00B9418F">
        <w:t>,</w:t>
      </w:r>
      <w:r>
        <w:t xml:space="preserve"> contact information</w:t>
      </w:r>
      <w:r w:rsidR="00B9418F">
        <w:t>, or PII</w:t>
      </w:r>
      <w:r>
        <w:t xml:space="preserve"> for any of the participants. Therefore, there will be no link between the data collected and the participants’ identities.</w:t>
      </w:r>
    </w:p>
    <w:p w:rsidR="00B9418F" w:rsidP="00CA2A9F" w:rsidRDefault="00B9418F" w14:paraId="7E188EF8" w14:textId="77777777">
      <w:pPr>
        <w:ind w:left="720"/>
      </w:pPr>
    </w:p>
    <w:p w:rsidR="00CA2A9F" w:rsidP="00CA2A9F" w:rsidRDefault="00CA2A9F" w14:paraId="0F31B163" w14:textId="77777777">
      <w:pPr>
        <w:ind w:left="720"/>
      </w:pPr>
      <w:r>
        <w:t xml:space="preserve">Recordings and electronic and written materials obtained during the </w:t>
      </w:r>
      <w:r w:rsidR="00DC740C">
        <w:t>interview</w:t>
      </w:r>
      <w:r>
        <w:t xml:space="preserve">s will be stored on a password-protected server that will be accessible only to the research team. </w:t>
      </w:r>
      <w:r w:rsidR="007B34E0">
        <w:t>RTI</w:t>
      </w:r>
      <w:r>
        <w:t xml:space="preserve"> will retain these files for </w:t>
      </w:r>
      <w:r w:rsidR="007B34E0">
        <w:t>10</w:t>
      </w:r>
      <w:r>
        <w:t xml:space="preserve"> years and then delete them. The information will be kept in a secured fashion that will permit access only by authorized project staff. </w:t>
      </w:r>
      <w:r w:rsidR="00305934">
        <w:t>RTI will check all</w:t>
      </w:r>
      <w:r>
        <w:t xml:space="preserve"> transcripts, audio/video files, reports, and other materials </w:t>
      </w:r>
      <w:r w:rsidR="00305934">
        <w:t xml:space="preserve">for PII </w:t>
      </w:r>
      <w:r>
        <w:t xml:space="preserve">before </w:t>
      </w:r>
      <w:r w:rsidR="00305934">
        <w:t>providing them</w:t>
      </w:r>
      <w:r>
        <w:t xml:space="preserve"> to the FDA. The FDA will store all study files and materials on password-protected computers for a period of </w:t>
      </w:r>
      <w:r w:rsidR="007B34E0">
        <w:t>10</w:t>
      </w:r>
      <w:r>
        <w:t xml:space="preserve"> years. These confidentiality methods will be approved by the FDA’s IRB prior to collecting any information.</w:t>
      </w:r>
    </w:p>
    <w:p w:rsidR="00E16AA2" w:rsidP="007B34E0" w:rsidRDefault="00E16AA2" w14:paraId="006EEF05" w14:textId="77777777">
      <w:pPr>
        <w:rPr>
          <w:highlight w:val="yellow"/>
        </w:rPr>
      </w:pPr>
    </w:p>
    <w:p w:rsidRPr="00EB05BD" w:rsidR="00DD1CCA" w:rsidP="00DD1CCA" w:rsidRDefault="0049419A" w14:paraId="3AD4544E" w14:textId="77777777">
      <w:pPr>
        <w:numPr>
          <w:ilvl w:val="0"/>
          <w:numId w:val="15"/>
        </w:numPr>
        <w:tabs>
          <w:tab w:val="num" w:pos="720"/>
        </w:tabs>
        <w:ind w:left="720"/>
        <w:rPr>
          <w:b/>
        </w:rPr>
      </w:pPr>
      <w:r w:rsidRPr="00EB05BD">
        <w:rPr>
          <w:b/>
        </w:rPr>
        <w:t xml:space="preserve">Amount and </w:t>
      </w:r>
      <w:r w:rsidR="00305934">
        <w:rPr>
          <w:b/>
        </w:rPr>
        <w:t>J</w:t>
      </w:r>
      <w:r w:rsidRPr="00EB05BD">
        <w:rPr>
          <w:b/>
        </w:rPr>
        <w:t xml:space="preserve">ustification for </w:t>
      </w:r>
      <w:r w:rsidR="00305934">
        <w:rPr>
          <w:b/>
        </w:rPr>
        <w:t>A</w:t>
      </w:r>
      <w:r w:rsidRPr="00EB05BD">
        <w:rPr>
          <w:b/>
        </w:rPr>
        <w:t xml:space="preserve">ny </w:t>
      </w:r>
      <w:r w:rsidR="00305934">
        <w:rPr>
          <w:b/>
        </w:rPr>
        <w:t>P</w:t>
      </w:r>
      <w:r w:rsidRPr="00EB05BD">
        <w:rPr>
          <w:b/>
        </w:rPr>
        <w:t xml:space="preserve">roposed </w:t>
      </w:r>
      <w:r w:rsidR="00305934">
        <w:rPr>
          <w:b/>
        </w:rPr>
        <w:t>I</w:t>
      </w:r>
      <w:r w:rsidRPr="00EB05BD">
        <w:rPr>
          <w:b/>
        </w:rPr>
        <w:t>ncentive</w:t>
      </w:r>
    </w:p>
    <w:p w:rsidR="00961762" w:rsidP="00FB0B05" w:rsidRDefault="00961762" w14:paraId="3AD4128B" w14:textId="77777777">
      <w:pPr>
        <w:pStyle w:val="ListParagraph"/>
      </w:pPr>
    </w:p>
    <w:p w:rsidR="00FB0B05" w:rsidP="00FB0B05" w:rsidRDefault="000B033F" w14:paraId="7EB304BB" w14:textId="624CE402">
      <w:pPr>
        <w:pStyle w:val="ListParagraph"/>
      </w:pPr>
      <w:r>
        <w:t xml:space="preserve">We propose an </w:t>
      </w:r>
      <w:r w:rsidR="00FB0B05">
        <w:t>incentive amount of $75 as a token of appreciation. This $75 will be the total amount paid to individuals for participation in this study, and it is not in addition to any incentive that participants otherwise receive for being part of the</w:t>
      </w:r>
      <w:r w:rsidR="00EB05BD">
        <w:t xml:space="preserve"> </w:t>
      </w:r>
      <w:r w:rsidR="00DC740C">
        <w:t>L&amp;E</w:t>
      </w:r>
      <w:r w:rsidR="00FB0B05">
        <w:t xml:space="preserve"> panel (e.g., points, money). All </w:t>
      </w:r>
      <w:r w:rsidR="00DC740C">
        <w:t>interview</w:t>
      </w:r>
      <w:r w:rsidR="00FB0B05">
        <w:t xml:space="preserve"> participants will receive their incentive</w:t>
      </w:r>
      <w:r w:rsidR="003454B1">
        <w:t xml:space="preserve"> from L&amp;E</w:t>
      </w:r>
      <w:r w:rsidR="00FB0B05">
        <w:t xml:space="preserve"> </w:t>
      </w:r>
      <w:r w:rsidR="003454B1">
        <w:t xml:space="preserve">as an electronic gift card </w:t>
      </w:r>
      <w:r w:rsidR="00FB0B05">
        <w:t xml:space="preserve">after </w:t>
      </w:r>
      <w:r w:rsidR="003454B1">
        <w:t xml:space="preserve">completing an interview. </w:t>
      </w:r>
    </w:p>
    <w:p w:rsidR="00FB0B05" w:rsidP="00FB0B05" w:rsidRDefault="00FB0B05" w14:paraId="34C981C8" w14:textId="77777777">
      <w:pPr>
        <w:pStyle w:val="ListParagraph"/>
      </w:pPr>
    </w:p>
    <w:p w:rsidR="00FB0B05" w:rsidP="00FB0B05" w:rsidRDefault="00FB0B05" w14:paraId="31849546" w14:textId="6B18EBE4">
      <w:pPr>
        <w:ind w:left="720"/>
      </w:pPr>
      <w:r>
        <w:t>The proposed incentive amount is</w:t>
      </w:r>
      <w:bookmarkStart w:name="_Hlk10624514" w:id="0"/>
      <w:r>
        <w:t xml:space="preserve"> </w:t>
      </w:r>
      <w:bookmarkEnd w:id="0"/>
      <w:r>
        <w:t xml:space="preserve">below market rate for an effort of this type. Recruiting firms and researchers determine market rates for research participation based on what other comparable studies in the field are offering and what rate will incentivize the required population to participate in the research. </w:t>
      </w:r>
      <w:r w:rsidR="00DC740C">
        <w:t>L&amp;E</w:t>
      </w:r>
      <w:r w:rsidR="00B9418F">
        <w:t xml:space="preserve"> and other vendors</w:t>
      </w:r>
      <w:r>
        <w:t xml:space="preserve"> estimate that other studies being conducted with similar populations and levels of effort in this market at this time pay incentives of $</w:t>
      </w:r>
      <w:r w:rsidR="00EB05BD">
        <w:t>100</w:t>
      </w:r>
      <w:r w:rsidR="00D257F7">
        <w:t>-$</w:t>
      </w:r>
      <w:r w:rsidR="00257CC4">
        <w:t>125</w:t>
      </w:r>
      <w:r>
        <w:t xml:space="preserve">. This estimate is based on participants spending </w:t>
      </w:r>
      <w:r w:rsidR="0049023A">
        <w:t xml:space="preserve">almost </w:t>
      </w:r>
      <w:r>
        <w:t>two hours of their time on this effort, which includes time for online and phone screening</w:t>
      </w:r>
      <w:r w:rsidR="00305934">
        <w:t xml:space="preserve"> (5 minutes)</w:t>
      </w:r>
      <w:r>
        <w:t xml:space="preserve">, </w:t>
      </w:r>
      <w:r w:rsidR="00305934">
        <w:t xml:space="preserve">time for testing the platform (10 minutes), time to participate in the </w:t>
      </w:r>
      <w:r w:rsidR="00DC740C">
        <w:t>interview</w:t>
      </w:r>
      <w:r w:rsidR="00305934">
        <w:t xml:space="preserve"> (</w:t>
      </w:r>
      <w:r>
        <w:t>90 minutes</w:t>
      </w:r>
      <w:r w:rsidR="00305934">
        <w:t>)</w:t>
      </w:r>
      <w:r>
        <w:t xml:space="preserve">, and the request to log in </w:t>
      </w:r>
      <w:r w:rsidR="005E2EFE">
        <w:t>10</w:t>
      </w:r>
      <w:r>
        <w:t xml:space="preserve"> minutes early to confirm technical operation. The Bureau of Labor Statistics (BLS) calculated that the average hourly wage of employees on private nonfarm payrolls in May </w:t>
      </w:r>
      <w:r w:rsidR="00632DA5">
        <w:t>2021</w:t>
      </w:r>
      <w:r>
        <w:t xml:space="preserve"> </w:t>
      </w:r>
      <w:r w:rsidRPr="002C48D5">
        <w:t>is $</w:t>
      </w:r>
      <w:r w:rsidR="00632DA5">
        <w:t>30.33</w:t>
      </w:r>
      <w:r w:rsidRPr="002C48D5" w:rsidR="002C48D5">
        <w:rPr>
          <w:vertAlign w:val="superscript"/>
        </w:rPr>
        <w:t xml:space="preserve"> </w:t>
      </w:r>
      <w:r w:rsidRPr="002C48D5" w:rsidR="002C48D5">
        <w:t xml:space="preserve">(Bureau of Labor Statistics, </w:t>
      </w:r>
      <w:r w:rsidR="00632DA5">
        <w:t>2021</w:t>
      </w:r>
      <w:r w:rsidRPr="002C48D5" w:rsidR="002C48D5">
        <w:t>).</w:t>
      </w:r>
      <w:r w:rsidRPr="002C48D5">
        <w:t xml:space="preserve"> At that hourly rate, compensation for two hours is</w:t>
      </w:r>
      <w:r>
        <w:t xml:space="preserve"> approximately $</w:t>
      </w:r>
      <w:r w:rsidR="00632DA5">
        <w:t>61</w:t>
      </w:r>
      <w:r>
        <w:t>. Additional factors requiring an incentive for this study that is higher than the BLS average hourly rate include:</w:t>
      </w:r>
    </w:p>
    <w:p w:rsidR="001B7007" w:rsidP="00FB0B05" w:rsidRDefault="001B7007" w14:paraId="4B11DD1C" w14:textId="77777777">
      <w:pPr>
        <w:ind w:left="720"/>
      </w:pPr>
    </w:p>
    <w:p w:rsidR="00FB0B05" w:rsidP="00FB0B05" w:rsidRDefault="00FB0B05" w14:paraId="465F5A13" w14:textId="0ED83B4D">
      <w:pPr>
        <w:numPr>
          <w:ilvl w:val="0"/>
          <w:numId w:val="22"/>
        </w:numPr>
      </w:pPr>
      <w:r>
        <w:t xml:space="preserve">Participants are required to join the </w:t>
      </w:r>
      <w:r w:rsidR="00DC740C">
        <w:t>interview</w:t>
      </w:r>
      <w:r>
        <w:t xml:space="preserve"> from a quiet location where there are no distractions, which may require childcare or special accommodations during that time. BLS calculated in May </w:t>
      </w:r>
      <w:r w:rsidR="00A36072">
        <w:t>2020</w:t>
      </w:r>
      <w:r>
        <w:t xml:space="preserve"> that the average hourly wage of childcare workers is $</w:t>
      </w:r>
      <w:r w:rsidR="00A36072">
        <w:t>12.88</w:t>
      </w:r>
      <w:r>
        <w:t xml:space="preserve">, making the average cost of two hours of childcare </w:t>
      </w:r>
      <w:r w:rsidRPr="002C48D5">
        <w:t>$</w:t>
      </w:r>
      <w:r w:rsidR="00A36072">
        <w:t>26</w:t>
      </w:r>
      <w:r w:rsidR="002C48D5">
        <w:t xml:space="preserve"> (Bureau of Labor Statistics, </w:t>
      </w:r>
      <w:r w:rsidR="00632DA5">
        <w:t>2020</w:t>
      </w:r>
      <w:r w:rsidR="002C48D5">
        <w:t>)</w:t>
      </w:r>
    </w:p>
    <w:p w:rsidR="00FB0B05" w:rsidP="00FB0B05" w:rsidRDefault="00FB0B05" w14:paraId="530F54DB" w14:textId="77777777">
      <w:pPr>
        <w:numPr>
          <w:ilvl w:val="0"/>
          <w:numId w:val="22"/>
        </w:numPr>
      </w:pPr>
      <w:r>
        <w:t xml:space="preserve">The </w:t>
      </w:r>
      <w:r w:rsidR="00DC740C">
        <w:t>interview</w:t>
      </w:r>
      <w:r>
        <w:t xml:space="preserve">s will be conducted online and participants must have a computer and broadband </w:t>
      </w:r>
      <w:r w:rsidR="00305934">
        <w:t>I</w:t>
      </w:r>
      <w:r>
        <w:t xml:space="preserve">nternet to participate in the </w:t>
      </w:r>
      <w:r w:rsidR="00DC740C">
        <w:t>interview</w:t>
      </w:r>
      <w:r>
        <w:t xml:space="preserve">s; participating will use approximately two hours of data on their </w:t>
      </w:r>
      <w:r w:rsidR="00305934">
        <w:t>I</w:t>
      </w:r>
      <w:r>
        <w:t>nternet plans.</w:t>
      </w:r>
    </w:p>
    <w:p w:rsidR="00FB0B05" w:rsidP="00FB0B05" w:rsidRDefault="00FB0B05" w14:paraId="0E373A1E" w14:textId="77777777">
      <w:pPr>
        <w:numPr>
          <w:ilvl w:val="0"/>
          <w:numId w:val="22"/>
        </w:numPr>
      </w:pPr>
      <w:r>
        <w:t>Each of the special medical conditions (e.g., cancer patients) constitutes a limited sub-category of the population with unique recruitment challenges</w:t>
      </w:r>
      <w:r w:rsidR="00D257F7">
        <w:t>, and many participants are likely to have significant medical issues</w:t>
      </w:r>
      <w:r>
        <w:t xml:space="preserve">. The incentive should demonstrate an appreciation and respect for the time and effort these unique patients give in talking to </w:t>
      </w:r>
      <w:r w:rsidR="00EB05BD">
        <w:t>researchers and</w:t>
      </w:r>
      <w:r>
        <w:t xml:space="preserve"> acknowledge any hardships they may experience while participating in the </w:t>
      </w:r>
      <w:r w:rsidR="00DC740C">
        <w:t>interview</w:t>
      </w:r>
      <w:r>
        <w:t xml:space="preserve">s (e.g., missed or postponed medical treatment, discomfort from pain or </w:t>
      </w:r>
      <w:r w:rsidR="00D257F7">
        <w:t>other symptoms</w:t>
      </w:r>
      <w:r>
        <w:t>, fatigue).</w:t>
      </w:r>
    </w:p>
    <w:p w:rsidR="00FB0B05" w:rsidP="00FB0B05" w:rsidRDefault="00FB0B05" w14:paraId="77BD3B3B" w14:textId="77777777">
      <w:pPr>
        <w:numPr>
          <w:ilvl w:val="0"/>
          <w:numId w:val="22"/>
        </w:numPr>
      </w:pPr>
      <w:r>
        <w:lastRenderedPageBreak/>
        <w:t xml:space="preserve">Participants will be asked to disclose some personal medical information to the </w:t>
      </w:r>
      <w:r w:rsidR="00257CC4">
        <w:t>interviewer</w:t>
      </w:r>
      <w:r>
        <w:t xml:space="preserve"> during the </w:t>
      </w:r>
      <w:r w:rsidR="00257CC4">
        <w:t>session</w:t>
      </w:r>
      <w:r>
        <w:t xml:space="preserve">. Webcams will be used for these </w:t>
      </w:r>
      <w:r w:rsidR="00DC740C">
        <w:t>interview</w:t>
      </w:r>
      <w:r>
        <w:t xml:space="preserve">s, requiring participants’ faces to be visible to </w:t>
      </w:r>
      <w:r w:rsidR="00257CC4">
        <w:t>the interviewer</w:t>
      </w:r>
      <w:r>
        <w:t xml:space="preserve">. Participants can often be wary of being on camera in online </w:t>
      </w:r>
      <w:r w:rsidR="00DC740C">
        <w:t>interview</w:t>
      </w:r>
      <w:r>
        <w:t xml:space="preserve">s like these, requiring a higher incentive to persuade them to participate. </w:t>
      </w:r>
    </w:p>
    <w:p w:rsidR="00FB0B05" w:rsidP="00FB0B05" w:rsidRDefault="00FB0B05" w14:paraId="31963853" w14:textId="77777777"/>
    <w:p w:rsidR="00FB0B05" w:rsidP="00FB0B05" w:rsidRDefault="00FB0B05" w14:paraId="6AFBA596" w14:textId="77777777">
      <w:pPr>
        <w:ind w:left="720"/>
      </w:pPr>
      <w:r>
        <w:t xml:space="preserve">Although the proposed incentive amount of $75 is lower than market rate, it is consistent with what OMB approved </w:t>
      </w:r>
      <w:r w:rsidR="00FB1514">
        <w:t xml:space="preserve">in recent </w:t>
      </w:r>
      <w:r>
        <w:t xml:space="preserve">years for online </w:t>
      </w:r>
      <w:r w:rsidR="00DC740C">
        <w:t>interview</w:t>
      </w:r>
      <w:r>
        <w:t xml:space="preserve"> participants in prior CDER/OCOMM research. </w:t>
      </w:r>
      <w:r w:rsidR="00FB1514">
        <w:t>U</w:t>
      </w:r>
      <w:r w:rsidRPr="00FB1514" w:rsidR="00FB1514">
        <w:rPr>
          <w:color w:val="000000"/>
        </w:rPr>
        <w:t>nder control number 0910-0695</w:t>
      </w:r>
      <w:r w:rsidR="00FB1514">
        <w:rPr>
          <w:color w:val="000000"/>
        </w:rPr>
        <w:t>, OMB has previously a</w:t>
      </w:r>
      <w:r w:rsidR="00321F61">
        <w:rPr>
          <w:color w:val="000000"/>
        </w:rPr>
        <w:t>llowed</w:t>
      </w:r>
      <w:r w:rsidR="00FB1514">
        <w:rPr>
          <w:color w:val="000000"/>
        </w:rPr>
        <w:t xml:space="preserve"> $75 </w:t>
      </w:r>
      <w:r w:rsidR="00321F61">
        <w:rPr>
          <w:color w:val="000000"/>
        </w:rPr>
        <w:t xml:space="preserve">incentives </w:t>
      </w:r>
      <w:r w:rsidR="00FB1514">
        <w:rPr>
          <w:color w:val="000000"/>
        </w:rPr>
        <w:t xml:space="preserve">for </w:t>
      </w:r>
      <w:r w:rsidR="005E2EFE">
        <w:rPr>
          <w:color w:val="000000"/>
        </w:rPr>
        <w:t xml:space="preserve">90-minute </w:t>
      </w:r>
      <w:r w:rsidR="00321F61">
        <w:rPr>
          <w:color w:val="000000"/>
        </w:rPr>
        <w:t xml:space="preserve">online </w:t>
      </w:r>
      <w:r w:rsidR="00257CC4">
        <w:rPr>
          <w:color w:val="000000"/>
        </w:rPr>
        <w:t>focus groups</w:t>
      </w:r>
      <w:r w:rsidR="00FB1514">
        <w:rPr>
          <w:color w:val="000000"/>
        </w:rPr>
        <w:t xml:space="preserve"> about biosimilars using the same patient population as this study (</w:t>
      </w:r>
      <w:r w:rsidR="00321F61">
        <w:rPr>
          <w:color w:val="000000"/>
        </w:rPr>
        <w:t xml:space="preserve">approved </w:t>
      </w:r>
      <w:r w:rsidR="00740BF9">
        <w:rPr>
          <w:color w:val="000000"/>
        </w:rPr>
        <w:t>April 9, 2020</w:t>
      </w:r>
      <w:r w:rsidR="00321F61">
        <w:rPr>
          <w:color w:val="000000"/>
        </w:rPr>
        <w:t>)</w:t>
      </w:r>
      <w:r>
        <w:t xml:space="preserve">. </w:t>
      </w:r>
      <w:r w:rsidR="00EB05BD">
        <w:t>RTI</w:t>
      </w:r>
      <w:r>
        <w:t xml:space="preserve"> anticipates successful data collection using $75 incentives and </w:t>
      </w:r>
      <w:r w:rsidR="00257CC4">
        <w:t xml:space="preserve">anticipates </w:t>
      </w:r>
      <w:r>
        <w:t xml:space="preserve">this amount will help ensure that respondents honor their commitment to participate in the </w:t>
      </w:r>
      <w:r w:rsidR="00DC740C">
        <w:t>interview</w:t>
      </w:r>
      <w:r>
        <w:t>s.</w:t>
      </w:r>
    </w:p>
    <w:p w:rsidR="00FB0B05" w:rsidP="00FB0B05" w:rsidRDefault="00FB0B05" w14:paraId="530C58BD" w14:textId="77777777">
      <w:pPr>
        <w:pStyle w:val="ListParagraph"/>
      </w:pPr>
    </w:p>
    <w:p w:rsidR="00FB0B05" w:rsidP="00FB0B05" w:rsidRDefault="00FB0B05" w14:paraId="1BB51E35" w14:textId="5963BB38">
      <w:pPr>
        <w:pStyle w:val="ListParagraph"/>
      </w:pPr>
      <w:r>
        <w:t xml:space="preserve">In </w:t>
      </w:r>
      <w:r w:rsidR="00EB05BD">
        <w:t>RTI</w:t>
      </w:r>
      <w:r>
        <w:t xml:space="preserve">’s and other researchers’ experiences, offering lower or nonmonetary incentives will necessitate over-recruitment by higher percentages and </w:t>
      </w:r>
      <w:r w:rsidR="00EB05BD">
        <w:t xml:space="preserve">may </w:t>
      </w:r>
      <w:r>
        <w:t xml:space="preserve">result in longer recruiting time as well as higher overall project costs to the government (for which additional funding is not available). Nonmonetary incentives generally produce participation rates no better than the complete absence of any </w:t>
      </w:r>
      <w:r w:rsidRPr="00305934">
        <w:t>incentives</w:t>
      </w:r>
      <w:r w:rsidRPr="00305934" w:rsidR="002C48D5">
        <w:t xml:space="preserve"> (Church, 1993)</w:t>
      </w:r>
      <w:r w:rsidRPr="00305934">
        <w:t xml:space="preserve">. </w:t>
      </w:r>
      <w:r w:rsidRPr="002A1460">
        <w:t>Th</w:t>
      </w:r>
      <w:r>
        <w:t>e consequences of an insufficient incentive include the following</w:t>
      </w:r>
      <w:r w:rsidR="00D257F7">
        <w:t>:</w:t>
      </w:r>
      <w:r>
        <w:t xml:space="preserve">  </w:t>
      </w:r>
    </w:p>
    <w:p w:rsidR="000A28D6" w:rsidP="00FB0B05" w:rsidRDefault="000A28D6" w14:paraId="621239FE" w14:textId="77777777">
      <w:pPr>
        <w:pStyle w:val="ListParagraph"/>
      </w:pPr>
    </w:p>
    <w:p w:rsidR="00FB0B05" w:rsidP="006070DD" w:rsidRDefault="00FB0B05" w14:paraId="0E549F0A" w14:textId="77777777">
      <w:pPr>
        <w:pStyle w:val="ListParagraph"/>
        <w:numPr>
          <w:ilvl w:val="0"/>
          <w:numId w:val="23"/>
        </w:numPr>
        <w:ind w:left="1080"/>
      </w:pPr>
      <w:r>
        <w:t xml:space="preserve">Increased time and cost of recruitment due to lower response and </w:t>
      </w:r>
      <w:r w:rsidR="00D257F7">
        <w:t>enrollment</w:t>
      </w:r>
      <w:r>
        <w:t xml:space="preserve"> levels, and/or the need to schedule additional </w:t>
      </w:r>
      <w:r w:rsidR="00DC740C">
        <w:t>interview</w:t>
      </w:r>
      <w:r>
        <w:t xml:space="preserve">s to </w:t>
      </w:r>
      <w:r w:rsidR="00D257F7">
        <w:t xml:space="preserve">achieve </w:t>
      </w:r>
      <w:r>
        <w:t>the overall number of participants.</w:t>
      </w:r>
    </w:p>
    <w:p w:rsidR="00FB0B05" w:rsidP="00FB0B05" w:rsidRDefault="00FB0B05" w14:paraId="5F65F68E" w14:textId="77777777">
      <w:pPr>
        <w:pStyle w:val="ListParagraph"/>
        <w:numPr>
          <w:ilvl w:val="0"/>
          <w:numId w:val="23"/>
        </w:numPr>
        <w:ind w:left="1080"/>
      </w:pPr>
      <w:r>
        <w:t>Skewed participant demographics, with increased representation of participants with lower incomes and lower education levels.</w:t>
      </w:r>
    </w:p>
    <w:p w:rsidR="00FB0B05" w:rsidP="00FB0B05" w:rsidRDefault="00FB0B05" w14:paraId="65B0A111" w14:textId="77777777">
      <w:pPr>
        <w:pStyle w:val="ListParagraph"/>
        <w:numPr>
          <w:ilvl w:val="0"/>
          <w:numId w:val="23"/>
        </w:numPr>
        <w:ind w:left="1080"/>
      </w:pPr>
      <w:r>
        <w:t>Increased probability that a</w:t>
      </w:r>
      <w:r w:rsidR="00257CC4">
        <w:t>n</w:t>
      </w:r>
      <w:r>
        <w:t xml:space="preserve"> </w:t>
      </w:r>
      <w:r w:rsidR="00DC740C">
        <w:t>interview</w:t>
      </w:r>
      <w:r>
        <w:t xml:space="preserve"> may need to be cancelled or postponed due to </w:t>
      </w:r>
      <w:r w:rsidR="00CC71B9">
        <w:t>participants who do not show up as scheduled</w:t>
      </w:r>
      <w:r>
        <w:t>. This incurs additional costs and puts additional burden on participants.</w:t>
      </w:r>
    </w:p>
    <w:p w:rsidR="00FB0B05" w:rsidP="00FB0B05" w:rsidRDefault="00FB0B05" w14:paraId="441FF034" w14:textId="77777777">
      <w:pPr>
        <w:pStyle w:val="ListParagraph"/>
        <w:numPr>
          <w:ilvl w:val="0"/>
          <w:numId w:val="23"/>
        </w:numPr>
        <w:ind w:left="1080"/>
      </w:pPr>
      <w:r>
        <w:t>Delays to the project, which is already on a tight timeline to finish before the contract ends.</w:t>
      </w:r>
    </w:p>
    <w:p w:rsidR="005524D9" w:rsidP="00DD1CCA" w:rsidRDefault="005524D9" w14:paraId="184ECB5E" w14:textId="77777777">
      <w:pPr>
        <w:pStyle w:val="ListParagraph"/>
        <w:rPr>
          <w:highlight w:val="yellow"/>
        </w:rPr>
      </w:pPr>
    </w:p>
    <w:p w:rsidRPr="00AA356B" w:rsidR="00DD1CCA" w:rsidP="00DD1CCA" w:rsidRDefault="00DD1CCA" w14:paraId="21DC8BC6" w14:textId="77777777">
      <w:pPr>
        <w:numPr>
          <w:ilvl w:val="0"/>
          <w:numId w:val="15"/>
        </w:numPr>
        <w:tabs>
          <w:tab w:val="num" w:pos="720"/>
        </w:tabs>
        <w:ind w:left="720"/>
        <w:rPr>
          <w:b/>
        </w:rPr>
      </w:pPr>
      <w:r w:rsidRPr="00AA356B">
        <w:rPr>
          <w:b/>
        </w:rPr>
        <w:t>Questions of a Sensitive Nature</w:t>
      </w:r>
    </w:p>
    <w:p w:rsidR="000A28D6" w:rsidP="00CA2A9F" w:rsidRDefault="000A28D6" w14:paraId="0B8F7515" w14:textId="77777777">
      <w:pPr>
        <w:pStyle w:val="ListParagraph"/>
      </w:pPr>
    </w:p>
    <w:p w:rsidR="00CA2A9F" w:rsidP="00CA2A9F" w:rsidRDefault="00CA2A9F" w14:paraId="24EAEE5E" w14:textId="7047BFA1">
      <w:pPr>
        <w:pStyle w:val="ListParagraph"/>
      </w:pPr>
      <w:r>
        <w:t xml:space="preserve">Participants will be asked to identify their medical condition, but the discussion will </w:t>
      </w:r>
      <w:r w:rsidR="00CC71B9">
        <w:t>largely focus on</w:t>
      </w:r>
      <w:r>
        <w:t xml:space="preserve"> their familiarity with biologic medicines and their impressions of the </w:t>
      </w:r>
      <w:r w:rsidR="00D257F7">
        <w:t xml:space="preserve">informational </w:t>
      </w:r>
      <w:r>
        <w:t>materials. Participants will know about these topics in advance and will have the opportunity to decline to participate. Furthermore, the screener will include an item to confirm that participants feel comfortable discussing in a</w:t>
      </w:r>
      <w:r w:rsidR="00CC71B9">
        <w:t>n</w:t>
      </w:r>
      <w:r>
        <w:t xml:space="preserve"> </w:t>
      </w:r>
      <w:r w:rsidR="00DC740C">
        <w:t>interview</w:t>
      </w:r>
      <w:r>
        <w:t xml:space="preserve"> the medicines they take. All participants will be told that they may skip any question that they do not want to answer or may stop participating at any time. They will also be informed that their responses will not be tied to them individually.</w:t>
      </w:r>
    </w:p>
    <w:p w:rsidRPr="00AA356B" w:rsidR="00DD1CCA" w:rsidP="00CA2A9F" w:rsidRDefault="00DD1CCA" w14:paraId="63C751E8" w14:textId="77777777">
      <w:pPr>
        <w:pStyle w:val="ListParagraph"/>
        <w:ind w:left="0"/>
        <w:rPr>
          <w:highlight w:val="yellow"/>
        </w:rPr>
      </w:pPr>
    </w:p>
    <w:p w:rsidRPr="00AA356B" w:rsidR="00DD1CCA" w:rsidP="00DD1CCA" w:rsidRDefault="00DD1CCA" w14:paraId="709E0F3D" w14:textId="77777777">
      <w:pPr>
        <w:numPr>
          <w:ilvl w:val="0"/>
          <w:numId w:val="15"/>
        </w:numPr>
        <w:tabs>
          <w:tab w:val="num" w:pos="720"/>
        </w:tabs>
        <w:ind w:left="720"/>
        <w:rPr>
          <w:b/>
        </w:rPr>
      </w:pPr>
      <w:r w:rsidRPr="00AA356B">
        <w:rPr>
          <w:b/>
        </w:rPr>
        <w:t>Description of Statistical Methods</w:t>
      </w:r>
    </w:p>
    <w:p w:rsidR="000A28D6" w:rsidP="00A32CEE" w:rsidRDefault="000A28D6" w14:paraId="1428F72C" w14:textId="77777777">
      <w:pPr>
        <w:pStyle w:val="ListParagraph"/>
      </w:pPr>
    </w:p>
    <w:p w:rsidRPr="00AA356B" w:rsidR="007550E5" w:rsidP="00A32CEE" w:rsidRDefault="007550E5" w14:paraId="7ABB8ED1" w14:textId="198B6832">
      <w:pPr>
        <w:pStyle w:val="ListParagraph"/>
      </w:pPr>
      <w:r w:rsidRPr="00AA356B">
        <w:t>We do not plan to use formal statistical methods in this study but rather qualitative analysis methods</w:t>
      </w:r>
      <w:r w:rsidR="0094547E">
        <w:t xml:space="preserve"> using NVivo 12 software</w:t>
      </w:r>
      <w:r w:rsidRPr="00AA356B">
        <w:t>.</w:t>
      </w:r>
      <w:r w:rsidR="00557644">
        <w:t xml:space="preserve"> </w:t>
      </w:r>
      <w:r w:rsidRPr="00AA356B">
        <w:t>Specifically, we will obtain verbatim transcripts of the sessions based on the audio recordings</w:t>
      </w:r>
      <w:r w:rsidR="00A32CEE">
        <w:t xml:space="preserve"> and develop organizational coding schemes</w:t>
      </w:r>
      <w:r w:rsidRPr="00AA356B">
        <w:t xml:space="preserve">. </w:t>
      </w:r>
      <w:r w:rsidR="00A32CEE">
        <w:t xml:space="preserve">Two team members will then calculate intercoder reliability across </w:t>
      </w:r>
      <w:r w:rsidR="005E2EFE">
        <w:t>six</w:t>
      </w:r>
      <w:r w:rsidR="00A32CEE">
        <w:t xml:space="preserve"> </w:t>
      </w:r>
      <w:r w:rsidR="00A32CEE">
        <w:lastRenderedPageBreak/>
        <w:t>double‐coded transcripts</w:t>
      </w:r>
      <w:r w:rsidR="00F43912">
        <w:t>.  Once</w:t>
      </w:r>
      <w:r w:rsidR="00A32CEE">
        <w:t xml:space="preserve"> reliability is</w:t>
      </w:r>
      <w:r w:rsidR="00F43912">
        <w:t xml:space="preserve"> established</w:t>
      </w:r>
      <w:r w:rsidR="00A32CEE">
        <w:t xml:space="preserve"> (i.e., </w:t>
      </w:r>
      <w:r w:rsidRPr="00F43912" w:rsidR="00F43912">
        <w:t>kappa coefficient of &gt; .</w:t>
      </w:r>
      <w:r w:rsidR="00CC71B9">
        <w:t>8</w:t>
      </w:r>
      <w:r w:rsidRPr="00F43912" w:rsidR="00F43912">
        <w:t>0</w:t>
      </w:r>
      <w:r w:rsidR="00A32CEE">
        <w:t>),</w:t>
      </w:r>
      <w:r w:rsidR="0094547E">
        <w:t xml:space="preserve"> the</w:t>
      </w:r>
      <w:r w:rsidRPr="00AA356B">
        <w:t xml:space="preserve"> two team members </w:t>
      </w:r>
      <w:r w:rsidR="0094547E">
        <w:t xml:space="preserve">will split up and </w:t>
      </w:r>
      <w:r w:rsidRPr="00AA356B">
        <w:t>independently code</w:t>
      </w:r>
      <w:r w:rsidR="0094547E">
        <w:t xml:space="preserve"> the remaining </w:t>
      </w:r>
      <w:r w:rsidR="005E2EFE">
        <w:t>24</w:t>
      </w:r>
      <w:r w:rsidR="00CC71B9">
        <w:t xml:space="preserve"> </w:t>
      </w:r>
      <w:r w:rsidR="0094547E">
        <w:t xml:space="preserve">transcripts </w:t>
      </w:r>
      <w:r w:rsidRPr="00AA356B">
        <w:t xml:space="preserve">and </w:t>
      </w:r>
      <w:r w:rsidR="0094547E">
        <w:t xml:space="preserve">then </w:t>
      </w:r>
      <w:r w:rsidR="00D257F7">
        <w:t>conduct thematic analysis</w:t>
      </w:r>
      <w:r w:rsidRPr="00AA356B">
        <w:t>.</w:t>
      </w:r>
    </w:p>
    <w:p w:rsidRPr="00AA356B" w:rsidR="007550E5" w:rsidP="007550E5" w:rsidRDefault="007550E5" w14:paraId="0862EB47" w14:textId="77777777">
      <w:pPr>
        <w:pStyle w:val="ListParagraph"/>
      </w:pPr>
    </w:p>
    <w:p w:rsidRPr="00AA356B" w:rsidR="007550E5" w:rsidP="007550E5" w:rsidRDefault="007550E5" w14:paraId="55E8C64D" w14:textId="77777777">
      <w:pPr>
        <w:pStyle w:val="ListParagraph"/>
      </w:pPr>
      <w:r w:rsidRPr="00AA356B">
        <w:t>At this point, the research team will note regularities, patterns, and other explanations in the data (</w:t>
      </w:r>
      <w:r w:rsidR="00D257F7">
        <w:t xml:space="preserve">Gale et al., 2013; </w:t>
      </w:r>
      <w:r w:rsidRPr="00AA356B">
        <w:t xml:space="preserve">Miles &amp; Huberman, 1994). This analytic approach will allow us to determine what knowledge, attitudes, perceptions, and decision processes are consistent across </w:t>
      </w:r>
      <w:r w:rsidR="00D257F7">
        <w:t>participants</w:t>
      </w:r>
      <w:r w:rsidRPr="00AA356B">
        <w:t xml:space="preserve"> and to identify whether any of these elements differ by </w:t>
      </w:r>
      <w:r w:rsidR="00D257F7">
        <w:t>audience segment</w:t>
      </w:r>
      <w:r w:rsidRPr="00AA356B">
        <w:t xml:space="preserve"> or other factors.</w:t>
      </w:r>
    </w:p>
    <w:p w:rsidRPr="00AA356B" w:rsidR="00700914" w:rsidP="007550E5" w:rsidRDefault="00700914" w14:paraId="5E0C6B10" w14:textId="77777777">
      <w:pPr>
        <w:pStyle w:val="ListParagraph"/>
        <w:rPr>
          <w:highlight w:val="yellow"/>
        </w:rPr>
      </w:pPr>
    </w:p>
    <w:p w:rsidRPr="00AA356B" w:rsidR="00160D64" w:rsidP="00DD1CCA" w:rsidRDefault="00160D64" w14:paraId="1D741EA7" w14:textId="77777777">
      <w:pPr>
        <w:pStyle w:val="ListParagraph"/>
        <w:rPr>
          <w:highlight w:val="yellow"/>
        </w:rPr>
      </w:pPr>
    </w:p>
    <w:p w:rsidRPr="002C48D5" w:rsidR="003F1C7A" w:rsidP="002F5329" w:rsidRDefault="003F1C7A" w14:paraId="0AC8BE58" w14:textId="77777777">
      <w:pPr>
        <w:rPr>
          <w:i/>
        </w:rPr>
      </w:pPr>
      <w:r w:rsidRPr="002C48D5">
        <w:rPr>
          <w:b/>
        </w:rPr>
        <w:t>BURDEN HOUR COMPUTATION</w:t>
      </w:r>
      <w:r w:rsidRPr="002C48D5">
        <w:t xml:space="preserve"> </w:t>
      </w:r>
      <w:r w:rsidRPr="002C48D5">
        <w:rPr>
          <w:i/>
        </w:rPr>
        <w:t>(Number of responses</w:t>
      </w:r>
      <w:r w:rsidRPr="002C48D5" w:rsidR="0049419A">
        <w:rPr>
          <w:i/>
        </w:rPr>
        <w:t xml:space="preserve"> </w:t>
      </w:r>
      <w:r w:rsidRPr="002C48D5">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6"/>
        <w:gridCol w:w="1880"/>
        <w:gridCol w:w="2676"/>
        <w:gridCol w:w="1840"/>
      </w:tblGrid>
      <w:tr w:rsidR="00324626" w:rsidTr="00457C63" w14:paraId="2C6C3A1B" w14:textId="77777777">
        <w:trPr>
          <w:trHeight w:val="274"/>
          <w:jc w:val="center"/>
        </w:trPr>
        <w:tc>
          <w:tcPr>
            <w:tcW w:w="2096" w:type="dxa"/>
            <w:tcBorders>
              <w:top w:val="single" w:color="auto" w:sz="4" w:space="0"/>
              <w:left w:val="single" w:color="auto" w:sz="4" w:space="0"/>
              <w:bottom w:val="single" w:color="auto" w:sz="4" w:space="0"/>
              <w:right w:val="single" w:color="auto" w:sz="4" w:space="0"/>
            </w:tcBorders>
            <w:shd w:val="clear" w:color="auto" w:fill="E0E0E0"/>
            <w:hideMark/>
          </w:tcPr>
          <w:p w:rsidR="00324626" w:rsidRDefault="00324626" w14:paraId="523AE8FE" w14:textId="77777777">
            <w:pPr>
              <w:jc w:val="center"/>
              <w:rPr>
                <w:b/>
              </w:rPr>
            </w:pPr>
            <w:r>
              <w:rPr>
                <w:b/>
              </w:rPr>
              <w:t>Type/Category of Respondent</w:t>
            </w:r>
          </w:p>
        </w:tc>
        <w:tc>
          <w:tcPr>
            <w:tcW w:w="1880" w:type="dxa"/>
            <w:tcBorders>
              <w:top w:val="single" w:color="auto" w:sz="4" w:space="0"/>
              <w:left w:val="single" w:color="auto" w:sz="4" w:space="0"/>
              <w:bottom w:val="single" w:color="auto" w:sz="4" w:space="0"/>
              <w:right w:val="single" w:color="auto" w:sz="4" w:space="0"/>
            </w:tcBorders>
            <w:shd w:val="clear" w:color="auto" w:fill="E0E0E0"/>
            <w:hideMark/>
          </w:tcPr>
          <w:p w:rsidR="00324626" w:rsidRDefault="00324626" w14:paraId="39094CDD" w14:textId="77777777">
            <w:pPr>
              <w:jc w:val="center"/>
              <w:rPr>
                <w:b/>
              </w:rPr>
            </w:pPr>
            <w:r>
              <w:rPr>
                <w:b/>
              </w:rPr>
              <w:t>No. of Respondents</w:t>
            </w:r>
          </w:p>
        </w:tc>
        <w:tc>
          <w:tcPr>
            <w:tcW w:w="2676" w:type="dxa"/>
            <w:tcBorders>
              <w:top w:val="single" w:color="auto" w:sz="4" w:space="0"/>
              <w:left w:val="single" w:color="auto" w:sz="4" w:space="0"/>
              <w:bottom w:val="single" w:color="auto" w:sz="4" w:space="0"/>
              <w:right w:val="single" w:color="auto" w:sz="4" w:space="0"/>
            </w:tcBorders>
            <w:shd w:val="clear" w:color="auto" w:fill="E0E0E0"/>
            <w:hideMark/>
          </w:tcPr>
          <w:p w:rsidR="00324626" w:rsidRDefault="00324626" w14:paraId="34D6860A" w14:textId="77777777">
            <w:pPr>
              <w:jc w:val="center"/>
              <w:rPr>
                <w:b/>
              </w:rPr>
            </w:pPr>
            <w:r>
              <w:rPr>
                <w:b/>
              </w:rPr>
              <w:t>Participation Time (minutes)</w:t>
            </w:r>
          </w:p>
        </w:tc>
        <w:tc>
          <w:tcPr>
            <w:tcW w:w="1840" w:type="dxa"/>
            <w:tcBorders>
              <w:top w:val="single" w:color="auto" w:sz="4" w:space="0"/>
              <w:left w:val="single" w:color="auto" w:sz="4" w:space="0"/>
              <w:bottom w:val="single" w:color="auto" w:sz="4" w:space="0"/>
              <w:right w:val="single" w:color="auto" w:sz="4" w:space="0"/>
            </w:tcBorders>
            <w:shd w:val="clear" w:color="auto" w:fill="E0E0E0"/>
            <w:vAlign w:val="bottom"/>
            <w:hideMark/>
          </w:tcPr>
          <w:p w:rsidR="00324626" w:rsidRDefault="00324626" w14:paraId="24E0F99D" w14:textId="77777777">
            <w:pPr>
              <w:jc w:val="center"/>
              <w:rPr>
                <w:b/>
              </w:rPr>
            </w:pPr>
            <w:r>
              <w:rPr>
                <w:b/>
              </w:rPr>
              <w:t>Burden</w:t>
            </w:r>
          </w:p>
          <w:p w:rsidR="00324626" w:rsidRDefault="00324626" w14:paraId="65D4B68D" w14:textId="77777777">
            <w:pPr>
              <w:jc w:val="center"/>
              <w:rPr>
                <w:b/>
              </w:rPr>
            </w:pPr>
            <w:r>
              <w:rPr>
                <w:b/>
              </w:rPr>
              <w:t>(hours)</w:t>
            </w:r>
          </w:p>
        </w:tc>
      </w:tr>
      <w:tr w:rsidR="00324626" w:rsidTr="00457C63" w14:paraId="30E30A6E" w14:textId="77777777">
        <w:trPr>
          <w:trHeight w:val="274"/>
          <w:jc w:val="center"/>
        </w:trPr>
        <w:tc>
          <w:tcPr>
            <w:tcW w:w="2096" w:type="dxa"/>
            <w:tcBorders>
              <w:top w:val="single" w:color="auto" w:sz="4" w:space="0"/>
              <w:left w:val="single" w:color="auto" w:sz="4" w:space="0"/>
              <w:bottom w:val="single" w:color="auto" w:sz="4" w:space="0"/>
              <w:right w:val="single" w:color="auto" w:sz="4" w:space="0"/>
            </w:tcBorders>
            <w:hideMark/>
          </w:tcPr>
          <w:p w:rsidR="00324626" w:rsidRDefault="00324626" w14:paraId="4EFDF373" w14:textId="77777777">
            <w:pPr>
              <w:jc w:val="center"/>
            </w:pPr>
            <w:r>
              <w:t xml:space="preserve">Online Screening for  </w:t>
            </w:r>
            <w:r w:rsidR="00DC740C">
              <w:t>Interview</w:t>
            </w:r>
            <w:r>
              <w:t xml:space="preserve">s </w:t>
            </w:r>
          </w:p>
        </w:tc>
        <w:tc>
          <w:tcPr>
            <w:tcW w:w="1880" w:type="dxa"/>
            <w:tcBorders>
              <w:top w:val="single" w:color="auto" w:sz="4" w:space="0"/>
              <w:left w:val="single" w:color="auto" w:sz="4" w:space="0"/>
              <w:bottom w:val="single" w:color="auto" w:sz="4" w:space="0"/>
              <w:right w:val="single" w:color="auto" w:sz="4" w:space="0"/>
            </w:tcBorders>
          </w:tcPr>
          <w:p w:rsidRPr="002C48D5" w:rsidR="00324626" w:rsidRDefault="00CC71B9" w14:paraId="7F717437" w14:textId="77777777">
            <w:pPr>
              <w:jc w:val="center"/>
            </w:pPr>
            <w:r>
              <w:t>90</w:t>
            </w:r>
          </w:p>
        </w:tc>
        <w:tc>
          <w:tcPr>
            <w:tcW w:w="2676" w:type="dxa"/>
            <w:tcBorders>
              <w:top w:val="single" w:color="auto" w:sz="4" w:space="0"/>
              <w:left w:val="single" w:color="auto" w:sz="4" w:space="0"/>
              <w:bottom w:val="single" w:color="auto" w:sz="4" w:space="0"/>
              <w:right w:val="single" w:color="auto" w:sz="4" w:space="0"/>
            </w:tcBorders>
          </w:tcPr>
          <w:p w:rsidRPr="002C48D5" w:rsidR="00324626" w:rsidRDefault="001A107D" w14:paraId="3E846255" w14:textId="77777777">
            <w:pPr>
              <w:jc w:val="center"/>
            </w:pPr>
            <w:r w:rsidRPr="002C48D5">
              <w:t>5</w:t>
            </w:r>
            <w:r>
              <w:t xml:space="preserve"> minutes</w:t>
            </w:r>
          </w:p>
        </w:tc>
        <w:tc>
          <w:tcPr>
            <w:tcW w:w="1840" w:type="dxa"/>
            <w:tcBorders>
              <w:top w:val="single" w:color="auto" w:sz="4" w:space="0"/>
              <w:left w:val="single" w:color="auto" w:sz="4" w:space="0"/>
              <w:bottom w:val="single" w:color="auto" w:sz="4" w:space="0"/>
              <w:right w:val="single" w:color="auto" w:sz="4" w:space="0"/>
            </w:tcBorders>
          </w:tcPr>
          <w:p w:rsidRPr="001A107D" w:rsidR="00324626" w:rsidRDefault="00CC71B9" w14:paraId="77BD368F" w14:textId="77777777">
            <w:pPr>
              <w:jc w:val="center"/>
            </w:pPr>
            <w:r>
              <w:t>7.5</w:t>
            </w:r>
            <w:r w:rsidR="00831F9C">
              <w:t xml:space="preserve"> </w:t>
            </w:r>
          </w:p>
        </w:tc>
      </w:tr>
      <w:tr w:rsidR="00324626" w:rsidTr="00457C63" w14:paraId="04CCD644" w14:textId="77777777">
        <w:trPr>
          <w:trHeight w:val="274"/>
          <w:jc w:val="center"/>
        </w:trPr>
        <w:tc>
          <w:tcPr>
            <w:tcW w:w="2096" w:type="dxa"/>
            <w:tcBorders>
              <w:top w:val="single" w:color="auto" w:sz="4" w:space="0"/>
              <w:left w:val="single" w:color="auto" w:sz="4" w:space="0"/>
              <w:bottom w:val="single" w:color="auto" w:sz="4" w:space="0"/>
              <w:right w:val="single" w:color="auto" w:sz="4" w:space="0"/>
            </w:tcBorders>
            <w:hideMark/>
          </w:tcPr>
          <w:p w:rsidR="00324626" w:rsidRDefault="00324626" w14:paraId="1113E8D1" w14:textId="77777777">
            <w:pPr>
              <w:jc w:val="center"/>
            </w:pPr>
            <w:r>
              <w:t xml:space="preserve">Phone Screening for </w:t>
            </w:r>
            <w:r w:rsidR="00DC740C">
              <w:t>Interview</w:t>
            </w:r>
            <w:r>
              <w:t>s</w:t>
            </w:r>
          </w:p>
        </w:tc>
        <w:tc>
          <w:tcPr>
            <w:tcW w:w="1880" w:type="dxa"/>
            <w:tcBorders>
              <w:top w:val="single" w:color="auto" w:sz="4" w:space="0"/>
              <w:left w:val="single" w:color="auto" w:sz="4" w:space="0"/>
              <w:bottom w:val="single" w:color="auto" w:sz="4" w:space="0"/>
              <w:right w:val="single" w:color="auto" w:sz="4" w:space="0"/>
            </w:tcBorders>
          </w:tcPr>
          <w:p w:rsidRPr="002C48D5" w:rsidR="00324626" w:rsidRDefault="00CC71B9" w14:paraId="43D75F02" w14:textId="77777777">
            <w:pPr>
              <w:jc w:val="center"/>
            </w:pPr>
            <w:r>
              <w:t>90</w:t>
            </w:r>
          </w:p>
        </w:tc>
        <w:tc>
          <w:tcPr>
            <w:tcW w:w="2676" w:type="dxa"/>
            <w:tcBorders>
              <w:top w:val="single" w:color="auto" w:sz="4" w:space="0"/>
              <w:left w:val="single" w:color="auto" w:sz="4" w:space="0"/>
              <w:bottom w:val="single" w:color="auto" w:sz="4" w:space="0"/>
              <w:right w:val="single" w:color="auto" w:sz="4" w:space="0"/>
            </w:tcBorders>
          </w:tcPr>
          <w:p w:rsidRPr="002C48D5" w:rsidR="00324626" w:rsidRDefault="001A107D" w14:paraId="3864BBB3" w14:textId="77777777">
            <w:pPr>
              <w:jc w:val="center"/>
            </w:pPr>
            <w:r w:rsidRPr="002C48D5">
              <w:t>5</w:t>
            </w:r>
            <w:r>
              <w:t xml:space="preserve"> minutes</w:t>
            </w:r>
          </w:p>
        </w:tc>
        <w:tc>
          <w:tcPr>
            <w:tcW w:w="1840" w:type="dxa"/>
            <w:tcBorders>
              <w:top w:val="single" w:color="auto" w:sz="4" w:space="0"/>
              <w:left w:val="single" w:color="auto" w:sz="4" w:space="0"/>
              <w:bottom w:val="single" w:color="auto" w:sz="4" w:space="0"/>
              <w:right w:val="single" w:color="auto" w:sz="4" w:space="0"/>
            </w:tcBorders>
          </w:tcPr>
          <w:p w:rsidRPr="001A107D" w:rsidR="00324626" w:rsidRDefault="00CC71B9" w14:paraId="0B81920E" w14:textId="77777777">
            <w:pPr>
              <w:jc w:val="center"/>
            </w:pPr>
            <w:r>
              <w:t>7.5</w:t>
            </w:r>
            <w:r w:rsidR="00831F9C">
              <w:t xml:space="preserve"> </w:t>
            </w:r>
          </w:p>
        </w:tc>
      </w:tr>
      <w:tr w:rsidR="00324626" w:rsidTr="00457C63" w14:paraId="00D75832" w14:textId="77777777">
        <w:trPr>
          <w:trHeight w:val="274"/>
          <w:jc w:val="center"/>
        </w:trPr>
        <w:tc>
          <w:tcPr>
            <w:tcW w:w="2096" w:type="dxa"/>
            <w:tcBorders>
              <w:top w:val="single" w:color="auto" w:sz="4" w:space="0"/>
              <w:left w:val="single" w:color="auto" w:sz="4" w:space="0"/>
              <w:bottom w:val="single" w:color="auto" w:sz="4" w:space="0"/>
              <w:right w:val="single" w:color="auto" w:sz="4" w:space="0"/>
            </w:tcBorders>
            <w:hideMark/>
          </w:tcPr>
          <w:p w:rsidR="00324626" w:rsidP="00CC71B9" w:rsidRDefault="00324626" w14:paraId="4144A480" w14:textId="77777777">
            <w:pPr>
              <w:jc w:val="center"/>
            </w:pPr>
            <w:r>
              <w:t xml:space="preserve"> </w:t>
            </w:r>
            <w:r w:rsidR="00DC740C">
              <w:t>Interview</w:t>
            </w:r>
          </w:p>
        </w:tc>
        <w:tc>
          <w:tcPr>
            <w:tcW w:w="1880" w:type="dxa"/>
            <w:tcBorders>
              <w:top w:val="single" w:color="auto" w:sz="4" w:space="0"/>
              <w:left w:val="single" w:color="auto" w:sz="4" w:space="0"/>
              <w:bottom w:val="single" w:color="auto" w:sz="4" w:space="0"/>
              <w:right w:val="single" w:color="auto" w:sz="4" w:space="0"/>
            </w:tcBorders>
            <w:hideMark/>
          </w:tcPr>
          <w:p w:rsidR="00324626" w:rsidRDefault="00DC740C" w14:paraId="0167AC61" w14:textId="77777777">
            <w:pPr>
              <w:jc w:val="center"/>
            </w:pPr>
            <w:r>
              <w:t>30</w:t>
            </w:r>
          </w:p>
        </w:tc>
        <w:tc>
          <w:tcPr>
            <w:tcW w:w="2676" w:type="dxa"/>
            <w:tcBorders>
              <w:top w:val="single" w:color="auto" w:sz="4" w:space="0"/>
              <w:left w:val="single" w:color="auto" w:sz="4" w:space="0"/>
              <w:bottom w:val="single" w:color="auto" w:sz="4" w:space="0"/>
              <w:right w:val="single" w:color="auto" w:sz="4" w:space="0"/>
            </w:tcBorders>
            <w:hideMark/>
          </w:tcPr>
          <w:p w:rsidR="00324626" w:rsidRDefault="009E53B1" w14:paraId="014CAB9B" w14:textId="77777777">
            <w:pPr>
              <w:jc w:val="center"/>
            </w:pPr>
            <w:r>
              <w:t>10</w:t>
            </w:r>
            <w:r w:rsidR="0049023A">
              <w:t>0</w:t>
            </w:r>
            <w:r w:rsidR="001A107D">
              <w:t xml:space="preserve"> </w:t>
            </w:r>
            <w:r w:rsidR="00324626">
              <w:t>minutes (</w:t>
            </w:r>
            <w:r w:rsidRPr="009E53B1">
              <w:t>1</w:t>
            </w:r>
            <w:r w:rsidR="0049023A">
              <w:t>0</w:t>
            </w:r>
            <w:r w:rsidRPr="009E53B1">
              <w:t xml:space="preserve"> minute early log in and 90 minute session</w:t>
            </w:r>
            <w:r w:rsidR="00324626">
              <w:t>)</w:t>
            </w:r>
          </w:p>
        </w:tc>
        <w:tc>
          <w:tcPr>
            <w:tcW w:w="1840" w:type="dxa"/>
            <w:tcBorders>
              <w:top w:val="single" w:color="auto" w:sz="4" w:space="0"/>
              <w:left w:val="single" w:color="auto" w:sz="4" w:space="0"/>
              <w:bottom w:val="single" w:color="auto" w:sz="4" w:space="0"/>
              <w:right w:val="single" w:color="auto" w:sz="4" w:space="0"/>
            </w:tcBorders>
            <w:hideMark/>
          </w:tcPr>
          <w:p w:rsidR="00324626" w:rsidRDefault="00831F9C" w14:paraId="75600CC8" w14:textId="77777777">
            <w:pPr>
              <w:jc w:val="center"/>
            </w:pPr>
            <w:r>
              <w:t xml:space="preserve"> </w:t>
            </w:r>
            <w:r w:rsidR="0049023A">
              <w:t>50</w:t>
            </w:r>
          </w:p>
        </w:tc>
      </w:tr>
      <w:tr w:rsidR="00324626" w:rsidTr="00324626" w14:paraId="0FBE62CA" w14:textId="77777777">
        <w:trPr>
          <w:trHeight w:val="274"/>
          <w:jc w:val="center"/>
        </w:trPr>
        <w:tc>
          <w:tcPr>
            <w:tcW w:w="6652" w:type="dxa"/>
            <w:gridSpan w:val="3"/>
            <w:tcBorders>
              <w:top w:val="single" w:color="auto" w:sz="4" w:space="0"/>
              <w:left w:val="single" w:color="auto" w:sz="4" w:space="0"/>
              <w:bottom w:val="single" w:color="auto" w:sz="4" w:space="0"/>
              <w:right w:val="single" w:color="auto" w:sz="4" w:space="0"/>
            </w:tcBorders>
            <w:shd w:val="clear" w:color="auto" w:fill="D9D9D9"/>
            <w:hideMark/>
          </w:tcPr>
          <w:p w:rsidR="00324626" w:rsidRDefault="00324626" w14:paraId="605F20F2" w14:textId="77777777">
            <w:pPr>
              <w:rPr>
                <w:b/>
              </w:rPr>
            </w:pPr>
            <w:r>
              <w:rPr>
                <w:b/>
              </w:rPr>
              <w:t>TOTAL</w:t>
            </w:r>
          </w:p>
        </w:tc>
        <w:tc>
          <w:tcPr>
            <w:tcW w:w="1840" w:type="dxa"/>
            <w:tcBorders>
              <w:top w:val="single" w:color="auto" w:sz="4" w:space="0"/>
              <w:left w:val="single" w:color="auto" w:sz="4" w:space="0"/>
              <w:bottom w:val="single" w:color="auto" w:sz="4" w:space="0"/>
              <w:right w:val="single" w:color="auto" w:sz="4" w:space="0"/>
            </w:tcBorders>
            <w:hideMark/>
          </w:tcPr>
          <w:p w:rsidR="00324626" w:rsidRDefault="00831F9C" w14:paraId="3C7FD941" w14:textId="77777777">
            <w:pPr>
              <w:jc w:val="center"/>
            </w:pPr>
            <w:r>
              <w:t xml:space="preserve"> </w:t>
            </w:r>
            <w:r w:rsidR="0049023A">
              <w:t>65</w:t>
            </w:r>
          </w:p>
        </w:tc>
      </w:tr>
    </w:tbl>
    <w:p w:rsidRPr="00AA356B" w:rsidR="003B7ADD" w:rsidRDefault="003B7ADD" w14:paraId="15E0A080" w14:textId="77777777">
      <w:pPr>
        <w:rPr>
          <w:b/>
          <w:highlight w:val="yellow"/>
        </w:rPr>
      </w:pPr>
    </w:p>
    <w:p w:rsidR="00092E99" w:rsidP="00092E99" w:rsidRDefault="00092E99" w14:paraId="6579FC0E" w14:textId="77777777">
      <w:pPr>
        <w:rPr>
          <w:b/>
        </w:rPr>
      </w:pPr>
      <w:r>
        <w:rPr>
          <w:b/>
        </w:rPr>
        <w:t xml:space="preserve">REQUESTED APPROVAL DATE: </w:t>
      </w:r>
      <w:r w:rsidR="00CC71B9">
        <w:t>June 30, 2021</w:t>
      </w:r>
      <w:r>
        <w:br/>
      </w:r>
    </w:p>
    <w:p w:rsidRPr="00AA356B" w:rsidR="00842984" w:rsidP="003B7ADD" w:rsidRDefault="00B378CA" w14:paraId="13C78FB6" w14:textId="77777777">
      <w:pPr>
        <w:rPr>
          <w:b/>
          <w:highlight w:val="yellow"/>
        </w:rPr>
      </w:pPr>
      <w:r w:rsidRPr="00EB05BD">
        <w:rPr>
          <w:b/>
        </w:rPr>
        <w:t xml:space="preserve">NAME OF PRA ANALYST &amp; PROGRAM CONTACT:   </w:t>
      </w:r>
    </w:p>
    <w:p w:rsidRPr="00AA356B" w:rsidR="00842984" w:rsidP="003B7ADD" w:rsidRDefault="00842984" w14:paraId="69E0FECC" w14:textId="77777777">
      <w:pPr>
        <w:rPr>
          <w:b/>
          <w:highlight w:val="yellow"/>
        </w:rPr>
      </w:pPr>
    </w:p>
    <w:p w:rsidR="00092E99" w:rsidP="00092E99" w:rsidRDefault="00092E99" w14:paraId="779BD576" w14:textId="77777777">
      <w:r>
        <w:t>Ila S. Mizrachi</w:t>
      </w:r>
    </w:p>
    <w:p w:rsidR="00092E99" w:rsidP="00092E99" w:rsidRDefault="00092E99" w14:paraId="30590BA6" w14:textId="77777777">
      <w:r>
        <w:t>Paperwork Reduction Act Staff</w:t>
      </w:r>
    </w:p>
    <w:p w:rsidR="00092E99" w:rsidP="00092E99" w:rsidRDefault="007C5A75" w14:paraId="6320BBD7" w14:textId="77777777">
      <w:hyperlink w:history="1" r:id="rId9">
        <w:r w:rsidRPr="00147C40" w:rsidR="00092E99">
          <w:rPr>
            <w:rStyle w:val="Hyperlink"/>
          </w:rPr>
          <w:t>Ila.Mizrachi@fda.hhs.gov</w:t>
        </w:r>
      </w:hyperlink>
    </w:p>
    <w:p w:rsidRPr="00000CD7" w:rsidR="00092E99" w:rsidP="00092E99" w:rsidRDefault="00092E99" w14:paraId="79D30D74" w14:textId="77777777">
      <w:r>
        <w:t>(301)796-7726</w:t>
      </w:r>
    </w:p>
    <w:p w:rsidRPr="00AA356B" w:rsidR="00842984" w:rsidP="00842984" w:rsidRDefault="00842984" w14:paraId="30B81FFD" w14:textId="77777777">
      <w:pPr>
        <w:rPr>
          <w:highlight w:val="yellow"/>
        </w:rPr>
      </w:pPr>
    </w:p>
    <w:p w:rsidR="00EB05BD" w:rsidP="00EB05BD" w:rsidRDefault="00EB05BD" w14:paraId="22B008B3" w14:textId="77777777">
      <w:r>
        <w:t>Brian Lappin</w:t>
      </w:r>
    </w:p>
    <w:p w:rsidR="00EB05BD" w:rsidP="00EB05BD" w:rsidRDefault="00EB05BD" w14:paraId="564A820F" w14:textId="77777777">
      <w:r>
        <w:t>Senior Social Science Analyst</w:t>
      </w:r>
    </w:p>
    <w:p w:rsidR="00EB05BD" w:rsidP="00EB05BD" w:rsidRDefault="00EB05BD" w14:paraId="036C5AC9" w14:textId="77777777">
      <w:r>
        <w:t>CDER/Office of Communications</w:t>
      </w:r>
    </w:p>
    <w:p w:rsidR="00EB05BD" w:rsidP="00EB05BD" w:rsidRDefault="007C5A75" w14:paraId="6EE3829F" w14:textId="77777777">
      <w:hyperlink w:history="1" r:id="rId10">
        <w:r w:rsidR="00EB05BD">
          <w:rPr>
            <w:rStyle w:val="Hyperlink"/>
          </w:rPr>
          <w:t>Brian.Lappin@fda.hhs.gov</w:t>
        </w:r>
      </w:hyperlink>
    </w:p>
    <w:p w:rsidR="00EB05BD" w:rsidP="00EB05BD" w:rsidRDefault="00EB05BD" w14:paraId="2916F10B" w14:textId="77777777">
      <w:r>
        <w:t>(301)796-9126</w:t>
      </w:r>
    </w:p>
    <w:p w:rsidRPr="00EB05BD" w:rsidR="00842984" w:rsidP="00842984" w:rsidRDefault="00842984" w14:paraId="702A0065" w14:textId="77777777">
      <w:pPr>
        <w:tabs>
          <w:tab w:val="left" w:pos="5670"/>
        </w:tabs>
        <w:suppressAutoHyphens/>
        <w:rPr>
          <w:b/>
        </w:rPr>
      </w:pPr>
    </w:p>
    <w:p w:rsidR="00842984" w:rsidP="00842984" w:rsidRDefault="00842984" w14:paraId="165E14E3" w14:textId="77777777">
      <w:pPr>
        <w:tabs>
          <w:tab w:val="left" w:pos="5670"/>
        </w:tabs>
        <w:suppressAutoHyphens/>
      </w:pPr>
      <w:r w:rsidRPr="00EB05BD">
        <w:rPr>
          <w:b/>
        </w:rPr>
        <w:t xml:space="preserve">FDA CENTER:  </w:t>
      </w:r>
      <w:r w:rsidRPr="00EB05BD" w:rsidR="00EB05BD">
        <w:t>Center for Drug Evaluation and Research (FDA/CDER)</w:t>
      </w:r>
    </w:p>
    <w:p w:rsidR="00321F61" w:rsidP="00842984" w:rsidRDefault="00321F61" w14:paraId="3253F50C" w14:textId="77777777">
      <w:pPr>
        <w:tabs>
          <w:tab w:val="left" w:pos="5670"/>
        </w:tabs>
        <w:suppressAutoHyphens/>
      </w:pPr>
    </w:p>
    <w:p w:rsidR="00321F61" w:rsidP="00321F61" w:rsidRDefault="00321F61" w14:paraId="59ECAA1F" w14:textId="77777777">
      <w:pPr>
        <w:tabs>
          <w:tab w:val="left" w:pos="5670"/>
        </w:tabs>
        <w:suppressAutoHyphens/>
        <w:ind w:left="720" w:hanging="720"/>
      </w:pPr>
    </w:p>
    <w:p w:rsidRPr="00EC7825" w:rsidR="00321F61" w:rsidP="00321F61" w:rsidRDefault="00321F61" w14:paraId="67473C27" w14:textId="77777777">
      <w:pPr>
        <w:tabs>
          <w:tab w:val="left" w:pos="5670"/>
        </w:tabs>
        <w:suppressAutoHyphens/>
        <w:ind w:left="720" w:hanging="720"/>
        <w:rPr>
          <w:b/>
        </w:rPr>
      </w:pPr>
      <w:r w:rsidRPr="00EC7825">
        <w:rPr>
          <w:b/>
        </w:rPr>
        <w:t>REFERENCES</w:t>
      </w:r>
    </w:p>
    <w:p w:rsidR="00321F61" w:rsidP="00321F61" w:rsidRDefault="00321F61" w14:paraId="32DB9CA7" w14:textId="77777777">
      <w:pPr>
        <w:tabs>
          <w:tab w:val="left" w:pos="5670"/>
        </w:tabs>
        <w:suppressAutoHyphens/>
        <w:ind w:left="720" w:hanging="720"/>
      </w:pPr>
    </w:p>
    <w:p w:rsidRPr="00305934" w:rsidR="00321F61" w:rsidP="00595990" w:rsidRDefault="00321F61" w14:paraId="2E158F81" w14:textId="1867AC14">
      <w:pPr>
        <w:pStyle w:val="FootnoteText"/>
        <w:ind w:left="180" w:hanging="180"/>
        <w:rPr>
          <w:rFonts w:ascii="Times New Roman" w:hAnsi="Times New Roman"/>
          <w:sz w:val="24"/>
          <w:szCs w:val="24"/>
        </w:rPr>
      </w:pPr>
      <w:r w:rsidRPr="00305934">
        <w:rPr>
          <w:rFonts w:ascii="Times New Roman" w:hAnsi="Times New Roman"/>
          <w:sz w:val="24"/>
          <w:szCs w:val="24"/>
        </w:rPr>
        <w:t xml:space="preserve">Bureau of Labor Statistics, U.S. Department of Labor, Economic News Release, on the Internet at </w:t>
      </w:r>
      <w:hyperlink w:history="1" r:id="rId11">
        <w:r w:rsidRPr="00305934">
          <w:rPr>
            <w:rStyle w:val="Hyperlink"/>
            <w:rFonts w:ascii="Times New Roman" w:hAnsi="Times New Roman"/>
            <w:sz w:val="24"/>
            <w:szCs w:val="24"/>
          </w:rPr>
          <w:t>https://www.bls.gov/news.release/empsit.t19.htm</w:t>
        </w:r>
      </w:hyperlink>
      <w:r w:rsidRPr="00305934">
        <w:rPr>
          <w:rFonts w:ascii="Times New Roman" w:hAnsi="Times New Roman"/>
          <w:sz w:val="24"/>
          <w:szCs w:val="24"/>
        </w:rPr>
        <w:t xml:space="preserve"> (visited </w:t>
      </w:r>
      <w:r w:rsidR="00632DA5">
        <w:rPr>
          <w:rFonts w:ascii="Times New Roman" w:hAnsi="Times New Roman"/>
          <w:sz w:val="24"/>
          <w:szCs w:val="24"/>
        </w:rPr>
        <w:t>June 16, 2021</w:t>
      </w:r>
      <w:r w:rsidRPr="00305934">
        <w:rPr>
          <w:rFonts w:ascii="Times New Roman" w:hAnsi="Times New Roman"/>
          <w:sz w:val="24"/>
          <w:szCs w:val="24"/>
        </w:rPr>
        <w:t>).</w:t>
      </w:r>
    </w:p>
    <w:p w:rsidRPr="00305934" w:rsidR="00321F61" w:rsidP="00321F61" w:rsidRDefault="00321F61" w14:paraId="0C2F23BB" w14:textId="77777777">
      <w:pPr>
        <w:pStyle w:val="FootnoteText"/>
        <w:ind w:firstLine="720"/>
        <w:rPr>
          <w:rFonts w:ascii="Times New Roman" w:hAnsi="Times New Roman"/>
          <w:sz w:val="24"/>
          <w:szCs w:val="24"/>
        </w:rPr>
      </w:pPr>
    </w:p>
    <w:p w:rsidRPr="00305934" w:rsidR="00321F61" w:rsidP="00595990" w:rsidRDefault="00321F61" w14:paraId="077A6493" w14:textId="4AF8C8B7">
      <w:pPr>
        <w:pStyle w:val="FootnoteText"/>
        <w:ind w:left="180" w:hanging="180"/>
        <w:rPr>
          <w:rFonts w:ascii="Times New Roman" w:hAnsi="Times New Roman"/>
          <w:sz w:val="24"/>
          <w:szCs w:val="24"/>
        </w:rPr>
      </w:pPr>
      <w:r w:rsidRPr="00305934">
        <w:rPr>
          <w:rFonts w:ascii="Times New Roman" w:hAnsi="Times New Roman"/>
          <w:sz w:val="24"/>
          <w:szCs w:val="24"/>
        </w:rPr>
        <w:t xml:space="preserve">Bureau of Labor Statistics, U.S. Department of Labor, Occupation Employment Statistics, on the Internet at </w:t>
      </w:r>
      <w:r w:rsidRPr="00632DA5" w:rsidR="00632DA5">
        <w:rPr>
          <w:rFonts w:ascii="Times New Roman" w:hAnsi="Times New Roman"/>
          <w:sz w:val="24"/>
          <w:szCs w:val="24"/>
        </w:rPr>
        <w:t>https://www.bls.gov/oes/current/oes399011.htm</w:t>
      </w:r>
      <w:r w:rsidRPr="00305934">
        <w:rPr>
          <w:rFonts w:ascii="Times New Roman" w:hAnsi="Times New Roman"/>
          <w:sz w:val="24"/>
          <w:szCs w:val="24"/>
        </w:rPr>
        <w:t xml:space="preserve"> (visited </w:t>
      </w:r>
      <w:r w:rsidR="00632DA5">
        <w:rPr>
          <w:rFonts w:ascii="Times New Roman" w:hAnsi="Times New Roman"/>
          <w:sz w:val="24"/>
          <w:szCs w:val="24"/>
        </w:rPr>
        <w:t>June 16, 2021</w:t>
      </w:r>
      <w:r w:rsidRPr="00305934">
        <w:rPr>
          <w:rFonts w:ascii="Times New Roman" w:hAnsi="Times New Roman"/>
          <w:sz w:val="24"/>
          <w:szCs w:val="24"/>
        </w:rPr>
        <w:t>).</w:t>
      </w:r>
    </w:p>
    <w:p w:rsidRPr="00305934" w:rsidR="00321F61" w:rsidP="00321F61" w:rsidRDefault="00321F61" w14:paraId="7D71123F" w14:textId="77777777">
      <w:pPr>
        <w:pStyle w:val="FootnoteText"/>
        <w:ind w:firstLine="720"/>
        <w:rPr>
          <w:rFonts w:ascii="Times New Roman" w:hAnsi="Times New Roman"/>
          <w:sz w:val="24"/>
          <w:szCs w:val="24"/>
        </w:rPr>
      </w:pPr>
    </w:p>
    <w:p w:rsidR="00321F61" w:rsidP="00595990" w:rsidRDefault="00321F61" w14:paraId="75D5F996" w14:textId="77777777">
      <w:pPr>
        <w:pStyle w:val="ListParagraph"/>
        <w:ind w:left="180" w:hanging="180"/>
      </w:pPr>
      <w:r w:rsidRPr="00305934">
        <w:t xml:space="preserve">Church, A.H. (1993). Estimating the effect of incentives on mail survey response rates: A meta-analysis. </w:t>
      </w:r>
      <w:r w:rsidRPr="00305934">
        <w:rPr>
          <w:i/>
          <w:iCs/>
        </w:rPr>
        <w:t>Public Opinion Quarterly,</w:t>
      </w:r>
      <w:r w:rsidRPr="00305934">
        <w:t xml:space="preserve"> 57, 62-79</w:t>
      </w:r>
      <w:r>
        <w:t>.</w:t>
      </w:r>
    </w:p>
    <w:p w:rsidRPr="00305934" w:rsidR="00321F61" w:rsidP="00595990" w:rsidRDefault="00321F61" w14:paraId="2CD4F5B1" w14:textId="77777777">
      <w:pPr>
        <w:pStyle w:val="ListParagraph"/>
        <w:ind w:left="180" w:hanging="180"/>
      </w:pPr>
    </w:p>
    <w:p w:rsidR="00321F61" w:rsidP="00595990" w:rsidRDefault="00321F61" w14:paraId="00E24712" w14:textId="77777777">
      <w:pPr>
        <w:pStyle w:val="ListParagraph"/>
        <w:ind w:left="180" w:hanging="180"/>
        <w:rPr>
          <w:i/>
          <w:iCs/>
        </w:rPr>
      </w:pPr>
      <w:r w:rsidRPr="00305934">
        <w:t xml:space="preserve">Dykema, J. et al. (2012). Use of monetary and nonmonetary incentives to increase response rates among African Americans in the Wisconsin pregnancy risk assessment monitoring system. </w:t>
      </w:r>
      <w:r w:rsidRPr="00305934">
        <w:rPr>
          <w:i/>
          <w:iCs/>
        </w:rPr>
        <w:t>Maternal and child health</w:t>
      </w:r>
      <w:r>
        <w:rPr>
          <w:i/>
          <w:iCs/>
        </w:rPr>
        <w:t xml:space="preserve"> </w:t>
      </w:r>
      <w:r w:rsidRPr="008C0F5A">
        <w:rPr>
          <w:i/>
          <w:iCs/>
        </w:rPr>
        <w:t xml:space="preserve">journal, </w:t>
      </w:r>
      <w:r w:rsidRPr="008C0F5A">
        <w:t>16(4), 785-791</w:t>
      </w:r>
      <w:r>
        <w:t>.</w:t>
      </w:r>
    </w:p>
    <w:p w:rsidR="00321F61" w:rsidP="00595990" w:rsidRDefault="00321F61" w14:paraId="03CD20C2" w14:textId="77777777">
      <w:pPr>
        <w:pStyle w:val="ListParagraph"/>
        <w:ind w:left="180" w:hanging="180"/>
        <w:rPr>
          <w:i/>
          <w:iCs/>
        </w:rPr>
      </w:pPr>
    </w:p>
    <w:p w:rsidRPr="00AA356B" w:rsidR="0094547E" w:rsidP="0094547E" w:rsidRDefault="0094547E" w14:paraId="6F6E7430" w14:textId="77777777">
      <w:pPr>
        <w:ind w:left="360" w:hanging="360"/>
      </w:pPr>
      <w:r w:rsidRPr="00AA356B">
        <w:t xml:space="preserve">Gale, N. K., Heath, G., Cameron, E., Rashid, S., &amp; Redwood, S. (2013). Using the framework method for the analysis of qualitative data in multi-disciplinary health research. </w:t>
      </w:r>
      <w:r w:rsidRPr="00AA356B">
        <w:rPr>
          <w:i/>
        </w:rPr>
        <w:t>BMC Medical Research Methodology</w:t>
      </w:r>
      <w:r w:rsidRPr="00AA356B">
        <w:t>, 13(1), 117.</w:t>
      </w:r>
    </w:p>
    <w:p w:rsidR="0094547E" w:rsidP="00321F61" w:rsidRDefault="0094547E" w14:paraId="7B6C463C" w14:textId="77777777">
      <w:pPr>
        <w:pStyle w:val="ListParagraph"/>
        <w:ind w:left="180" w:hanging="180"/>
      </w:pPr>
    </w:p>
    <w:p w:rsidRPr="00AA356B" w:rsidR="0094547E" w:rsidP="0094547E" w:rsidRDefault="0094547E" w14:paraId="03CF62DD" w14:textId="77777777">
      <w:pPr>
        <w:pStyle w:val="ListParagraph"/>
        <w:ind w:left="360" w:hanging="360"/>
      </w:pPr>
      <w:r w:rsidRPr="00AA356B">
        <w:t xml:space="preserve">Miles, M. B., &amp; Huberman, A.M. (1994). </w:t>
      </w:r>
      <w:r w:rsidRPr="00AA356B">
        <w:rPr>
          <w:i/>
        </w:rPr>
        <w:t>Qualitative Data Analysis</w:t>
      </w:r>
      <w:r w:rsidRPr="00AA356B">
        <w:t>. Thousand Oaks, CA: Sage Publications.</w:t>
      </w:r>
    </w:p>
    <w:p w:rsidR="0094547E" w:rsidP="00321F61" w:rsidRDefault="0094547E" w14:paraId="46105D86" w14:textId="77777777">
      <w:pPr>
        <w:pStyle w:val="ListParagraph"/>
        <w:ind w:left="180" w:hanging="180"/>
      </w:pPr>
    </w:p>
    <w:p w:rsidRPr="00BB0FB0" w:rsidR="00423BA9" w:rsidP="006070DD" w:rsidRDefault="00321F61" w14:paraId="7CE0C215" w14:textId="77777777">
      <w:pPr>
        <w:pStyle w:val="ListParagraph"/>
        <w:ind w:left="180" w:hanging="180"/>
      </w:pPr>
      <w:r w:rsidRPr="008C0F5A">
        <w:t xml:space="preserve">Singer, E., &amp; Kulka, R. A. (2002). Paying respondents for survey participation. In: </w:t>
      </w:r>
      <w:r w:rsidRPr="008C0F5A">
        <w:rPr>
          <w:i/>
          <w:iCs/>
        </w:rPr>
        <w:t>Studies of welfare populations: Data collection and research issues</w:t>
      </w:r>
      <w:r w:rsidRPr="008C0F5A">
        <w:t>, 105-128.</w:t>
      </w:r>
    </w:p>
    <w:sectPr w:rsidRPr="00BB0FB0" w:rsidR="00423BA9">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B162" w14:textId="77777777" w:rsidR="00B37756" w:rsidRDefault="00B37756">
      <w:r>
        <w:separator/>
      </w:r>
    </w:p>
  </w:endnote>
  <w:endnote w:type="continuationSeparator" w:id="0">
    <w:p w14:paraId="60B2B8B7" w14:textId="77777777" w:rsidR="00B37756" w:rsidRDefault="00B3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EBB0E"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51C4">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527F6" w14:textId="77777777" w:rsidR="00B37756" w:rsidRDefault="00B37756">
      <w:r>
        <w:separator/>
      </w:r>
    </w:p>
  </w:footnote>
  <w:footnote w:type="continuationSeparator" w:id="0">
    <w:p w14:paraId="3D9DAE33" w14:textId="77777777" w:rsidR="00B37756" w:rsidRDefault="00B37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135C0"/>
    <w:multiLevelType w:val="hybridMultilevel"/>
    <w:tmpl w:val="ACDC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964855"/>
    <w:multiLevelType w:val="hybridMultilevel"/>
    <w:tmpl w:val="4482C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94CE0A9E"/>
    <w:lvl w:ilvl="0" w:tplc="9F2A789E">
      <w:start w:val="1"/>
      <w:numFmt w:val="decimal"/>
      <w:lvlText w:val="%1."/>
      <w:lvlJc w:val="left"/>
      <w:pPr>
        <w:tabs>
          <w:tab w:val="num" w:pos="900"/>
        </w:tabs>
        <w:ind w:left="900" w:hanging="360"/>
      </w:pPr>
      <w:rPr>
        <w:b/>
        <w:bCs/>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6DC57F57"/>
    <w:multiLevelType w:val="hybridMultilevel"/>
    <w:tmpl w:val="F4EC9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BF6245"/>
    <w:multiLevelType w:val="hybridMultilevel"/>
    <w:tmpl w:val="54E2E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3"/>
  </w:num>
  <w:num w:numId="7">
    <w:abstractNumId w:val="11"/>
  </w:num>
  <w:num w:numId="8">
    <w:abstractNumId w:val="16"/>
  </w:num>
  <w:num w:numId="9">
    <w:abstractNumId w:val="12"/>
  </w:num>
  <w:num w:numId="10">
    <w:abstractNumId w:val="4"/>
  </w:num>
  <w:num w:numId="11">
    <w:abstractNumId w:val="6"/>
  </w:num>
  <w:num w:numId="12">
    <w:abstractNumId w:val="8"/>
  </w:num>
  <w:num w:numId="13">
    <w:abstractNumId w:val="1"/>
  </w:num>
  <w:num w:numId="14">
    <w:abstractNumId w:val="10"/>
  </w:num>
  <w:num w:numId="15">
    <w:abstractNumId w:val="17"/>
  </w:num>
  <w:num w:numId="16">
    <w:abstractNumId w:val="14"/>
  </w:num>
  <w:num w:numId="17">
    <w:abstractNumId w:val="0"/>
  </w:num>
  <w:num w:numId="18">
    <w:abstractNumId w:val="9"/>
  </w:num>
  <w:num w:numId="19">
    <w:abstractNumId w:val="7"/>
  </w:num>
  <w:num w:numId="20">
    <w:abstractNumId w:val="19"/>
  </w:num>
  <w:num w:numId="21">
    <w:abstractNumId w:val="18"/>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072FF"/>
    <w:rsid w:val="00023742"/>
    <w:rsid w:val="00035B5C"/>
    <w:rsid w:val="000566ED"/>
    <w:rsid w:val="000728D2"/>
    <w:rsid w:val="00080E2D"/>
    <w:rsid w:val="00086577"/>
    <w:rsid w:val="00092E99"/>
    <w:rsid w:val="000942B1"/>
    <w:rsid w:val="00095139"/>
    <w:rsid w:val="000A28D6"/>
    <w:rsid w:val="000A525C"/>
    <w:rsid w:val="000B033F"/>
    <w:rsid w:val="000B6B87"/>
    <w:rsid w:val="000C386B"/>
    <w:rsid w:val="000D32C1"/>
    <w:rsid w:val="000E766F"/>
    <w:rsid w:val="000E7C99"/>
    <w:rsid w:val="000F02DF"/>
    <w:rsid w:val="000F1CDA"/>
    <w:rsid w:val="000F2B5A"/>
    <w:rsid w:val="00126D06"/>
    <w:rsid w:val="00132EF8"/>
    <w:rsid w:val="00140343"/>
    <w:rsid w:val="00160D64"/>
    <w:rsid w:val="001621A1"/>
    <w:rsid w:val="001716F3"/>
    <w:rsid w:val="00172A6E"/>
    <w:rsid w:val="001744DB"/>
    <w:rsid w:val="00181642"/>
    <w:rsid w:val="00190AA2"/>
    <w:rsid w:val="001A107D"/>
    <w:rsid w:val="001A68F4"/>
    <w:rsid w:val="001B7007"/>
    <w:rsid w:val="001C0117"/>
    <w:rsid w:val="001D19B4"/>
    <w:rsid w:val="001D3811"/>
    <w:rsid w:val="001F09C0"/>
    <w:rsid w:val="001F11F4"/>
    <w:rsid w:val="001F4214"/>
    <w:rsid w:val="00203C76"/>
    <w:rsid w:val="0024019B"/>
    <w:rsid w:val="00246B05"/>
    <w:rsid w:val="00255B16"/>
    <w:rsid w:val="00257CC4"/>
    <w:rsid w:val="002677AD"/>
    <w:rsid w:val="00283AA3"/>
    <w:rsid w:val="002A1460"/>
    <w:rsid w:val="002A6735"/>
    <w:rsid w:val="002C32BE"/>
    <w:rsid w:val="002C48D5"/>
    <w:rsid w:val="002F5329"/>
    <w:rsid w:val="00305934"/>
    <w:rsid w:val="003073BF"/>
    <w:rsid w:val="003130A5"/>
    <w:rsid w:val="00317299"/>
    <w:rsid w:val="00320C16"/>
    <w:rsid w:val="00321F61"/>
    <w:rsid w:val="00322FCC"/>
    <w:rsid w:val="00324626"/>
    <w:rsid w:val="003454B1"/>
    <w:rsid w:val="00364051"/>
    <w:rsid w:val="00376039"/>
    <w:rsid w:val="003A03B9"/>
    <w:rsid w:val="003B7ADD"/>
    <w:rsid w:val="003C2858"/>
    <w:rsid w:val="003C2EF3"/>
    <w:rsid w:val="003D0EC1"/>
    <w:rsid w:val="003D411E"/>
    <w:rsid w:val="003D5415"/>
    <w:rsid w:val="003F1C7A"/>
    <w:rsid w:val="004102A9"/>
    <w:rsid w:val="00411149"/>
    <w:rsid w:val="00423BA9"/>
    <w:rsid w:val="00434BE0"/>
    <w:rsid w:val="00451AB4"/>
    <w:rsid w:val="00457C63"/>
    <w:rsid w:val="00483265"/>
    <w:rsid w:val="0049023A"/>
    <w:rsid w:val="0049419A"/>
    <w:rsid w:val="004B694D"/>
    <w:rsid w:val="004E0518"/>
    <w:rsid w:val="00501149"/>
    <w:rsid w:val="00501319"/>
    <w:rsid w:val="005039A7"/>
    <w:rsid w:val="005059BA"/>
    <w:rsid w:val="0052010F"/>
    <w:rsid w:val="00540817"/>
    <w:rsid w:val="005418B5"/>
    <w:rsid w:val="00547739"/>
    <w:rsid w:val="005524D9"/>
    <w:rsid w:val="00557644"/>
    <w:rsid w:val="00595990"/>
    <w:rsid w:val="005A18A4"/>
    <w:rsid w:val="005A5EE3"/>
    <w:rsid w:val="005A7C5C"/>
    <w:rsid w:val="005E23BA"/>
    <w:rsid w:val="005E2EFE"/>
    <w:rsid w:val="005E4981"/>
    <w:rsid w:val="006070DD"/>
    <w:rsid w:val="006073F7"/>
    <w:rsid w:val="00613099"/>
    <w:rsid w:val="006203A3"/>
    <w:rsid w:val="00632DA5"/>
    <w:rsid w:val="00646642"/>
    <w:rsid w:val="00652485"/>
    <w:rsid w:val="00653B3C"/>
    <w:rsid w:val="006619BA"/>
    <w:rsid w:val="00674F13"/>
    <w:rsid w:val="00683813"/>
    <w:rsid w:val="00696B03"/>
    <w:rsid w:val="006B0889"/>
    <w:rsid w:val="006B560D"/>
    <w:rsid w:val="006D3B31"/>
    <w:rsid w:val="00700914"/>
    <w:rsid w:val="0072173B"/>
    <w:rsid w:val="00726D9C"/>
    <w:rsid w:val="00740BF9"/>
    <w:rsid w:val="0074463A"/>
    <w:rsid w:val="00744F5B"/>
    <w:rsid w:val="0074607F"/>
    <w:rsid w:val="007550E5"/>
    <w:rsid w:val="00757EE4"/>
    <w:rsid w:val="00760A54"/>
    <w:rsid w:val="00774BF1"/>
    <w:rsid w:val="00782D9F"/>
    <w:rsid w:val="00792EBB"/>
    <w:rsid w:val="007A1B5B"/>
    <w:rsid w:val="007A4331"/>
    <w:rsid w:val="007A60CE"/>
    <w:rsid w:val="007B045B"/>
    <w:rsid w:val="007B34E0"/>
    <w:rsid w:val="007C5A75"/>
    <w:rsid w:val="007D71DB"/>
    <w:rsid w:val="007E44FC"/>
    <w:rsid w:val="00821E3B"/>
    <w:rsid w:val="00830839"/>
    <w:rsid w:val="00831F9C"/>
    <w:rsid w:val="008372E9"/>
    <w:rsid w:val="00841A9C"/>
    <w:rsid w:val="00842984"/>
    <w:rsid w:val="00880AC3"/>
    <w:rsid w:val="00882AE4"/>
    <w:rsid w:val="008863D0"/>
    <w:rsid w:val="008C0F5A"/>
    <w:rsid w:val="008E412F"/>
    <w:rsid w:val="008E6145"/>
    <w:rsid w:val="008F6E91"/>
    <w:rsid w:val="00915E13"/>
    <w:rsid w:val="009272C5"/>
    <w:rsid w:val="009418DE"/>
    <w:rsid w:val="0094547E"/>
    <w:rsid w:val="00961762"/>
    <w:rsid w:val="00985610"/>
    <w:rsid w:val="0098685E"/>
    <w:rsid w:val="0099099D"/>
    <w:rsid w:val="009A293B"/>
    <w:rsid w:val="009B0C30"/>
    <w:rsid w:val="009D1D7E"/>
    <w:rsid w:val="009E53B1"/>
    <w:rsid w:val="00A26BA5"/>
    <w:rsid w:val="00A3165B"/>
    <w:rsid w:val="00A32CEE"/>
    <w:rsid w:val="00A36072"/>
    <w:rsid w:val="00A44BF9"/>
    <w:rsid w:val="00A52B25"/>
    <w:rsid w:val="00A56870"/>
    <w:rsid w:val="00A63790"/>
    <w:rsid w:val="00A64521"/>
    <w:rsid w:val="00A67E98"/>
    <w:rsid w:val="00A82DCC"/>
    <w:rsid w:val="00A8669C"/>
    <w:rsid w:val="00AA0314"/>
    <w:rsid w:val="00AA0AD6"/>
    <w:rsid w:val="00AA356B"/>
    <w:rsid w:val="00AC4CEB"/>
    <w:rsid w:val="00AE4D8B"/>
    <w:rsid w:val="00AF6638"/>
    <w:rsid w:val="00B17F2E"/>
    <w:rsid w:val="00B2159C"/>
    <w:rsid w:val="00B31BCF"/>
    <w:rsid w:val="00B37756"/>
    <w:rsid w:val="00B378CA"/>
    <w:rsid w:val="00B41016"/>
    <w:rsid w:val="00B4466D"/>
    <w:rsid w:val="00B52479"/>
    <w:rsid w:val="00B537E5"/>
    <w:rsid w:val="00B66C19"/>
    <w:rsid w:val="00B9418F"/>
    <w:rsid w:val="00BB222D"/>
    <w:rsid w:val="00BC3385"/>
    <w:rsid w:val="00BC690E"/>
    <w:rsid w:val="00BD3196"/>
    <w:rsid w:val="00C04500"/>
    <w:rsid w:val="00C13812"/>
    <w:rsid w:val="00C17D60"/>
    <w:rsid w:val="00C17FBB"/>
    <w:rsid w:val="00C24880"/>
    <w:rsid w:val="00C318F3"/>
    <w:rsid w:val="00C4304C"/>
    <w:rsid w:val="00C578F7"/>
    <w:rsid w:val="00C717CD"/>
    <w:rsid w:val="00CA2A9F"/>
    <w:rsid w:val="00CB27E2"/>
    <w:rsid w:val="00CC71B9"/>
    <w:rsid w:val="00CE1BDD"/>
    <w:rsid w:val="00CE57C2"/>
    <w:rsid w:val="00CF10F4"/>
    <w:rsid w:val="00D241A2"/>
    <w:rsid w:val="00D257F7"/>
    <w:rsid w:val="00D340AB"/>
    <w:rsid w:val="00D542D4"/>
    <w:rsid w:val="00D6597B"/>
    <w:rsid w:val="00D916C5"/>
    <w:rsid w:val="00DC740C"/>
    <w:rsid w:val="00DC76EE"/>
    <w:rsid w:val="00DD1CCA"/>
    <w:rsid w:val="00DD6106"/>
    <w:rsid w:val="00DD6EF2"/>
    <w:rsid w:val="00DE4A25"/>
    <w:rsid w:val="00E12D33"/>
    <w:rsid w:val="00E16AA2"/>
    <w:rsid w:val="00E215FA"/>
    <w:rsid w:val="00E26798"/>
    <w:rsid w:val="00E347A2"/>
    <w:rsid w:val="00E45BA0"/>
    <w:rsid w:val="00E629FF"/>
    <w:rsid w:val="00E670C1"/>
    <w:rsid w:val="00E73F3F"/>
    <w:rsid w:val="00EA0586"/>
    <w:rsid w:val="00EB05BD"/>
    <w:rsid w:val="00EB4AC2"/>
    <w:rsid w:val="00EC0C7F"/>
    <w:rsid w:val="00EE2769"/>
    <w:rsid w:val="00EE7334"/>
    <w:rsid w:val="00EE77CA"/>
    <w:rsid w:val="00EF518E"/>
    <w:rsid w:val="00EF51C4"/>
    <w:rsid w:val="00F04678"/>
    <w:rsid w:val="00F12AEE"/>
    <w:rsid w:val="00F3704A"/>
    <w:rsid w:val="00F43912"/>
    <w:rsid w:val="00F4495F"/>
    <w:rsid w:val="00F46514"/>
    <w:rsid w:val="00F532BD"/>
    <w:rsid w:val="00F732AF"/>
    <w:rsid w:val="00F74C93"/>
    <w:rsid w:val="00F85B70"/>
    <w:rsid w:val="00F8779B"/>
    <w:rsid w:val="00FB0B05"/>
    <w:rsid w:val="00FB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CDE21"/>
  <w15:chartTrackingRefBased/>
  <w15:docId w15:val="{8A0131FA-0019-4826-8A86-5709F78B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5A7C5C"/>
    <w:rPr>
      <w:sz w:val="16"/>
      <w:szCs w:val="16"/>
    </w:rPr>
  </w:style>
  <w:style w:type="paragraph" w:styleId="CommentText">
    <w:name w:val="annotation text"/>
    <w:basedOn w:val="Normal"/>
    <w:link w:val="CommentTextChar"/>
    <w:uiPriority w:val="99"/>
    <w:unhideWhenUsed/>
    <w:rsid w:val="005A7C5C"/>
    <w:rPr>
      <w:sz w:val="20"/>
      <w:szCs w:val="20"/>
    </w:rPr>
  </w:style>
  <w:style w:type="character" w:customStyle="1" w:styleId="CommentTextChar">
    <w:name w:val="Comment Text Char"/>
    <w:basedOn w:val="DefaultParagraphFont"/>
    <w:link w:val="CommentText"/>
    <w:uiPriority w:val="99"/>
    <w:rsid w:val="005A7C5C"/>
  </w:style>
  <w:style w:type="paragraph" w:styleId="CommentSubject">
    <w:name w:val="annotation subject"/>
    <w:basedOn w:val="CommentText"/>
    <w:next w:val="CommentText"/>
    <w:link w:val="CommentSubjectChar"/>
    <w:uiPriority w:val="99"/>
    <w:semiHidden/>
    <w:unhideWhenUsed/>
    <w:rsid w:val="005A7C5C"/>
    <w:rPr>
      <w:b/>
      <w:bCs/>
    </w:rPr>
  </w:style>
  <w:style w:type="character" w:customStyle="1" w:styleId="CommentSubjectChar">
    <w:name w:val="Comment Subject Char"/>
    <w:link w:val="CommentSubject"/>
    <w:uiPriority w:val="99"/>
    <w:semiHidden/>
    <w:rsid w:val="005A7C5C"/>
    <w:rPr>
      <w:b/>
      <w:bCs/>
    </w:rPr>
  </w:style>
  <w:style w:type="paragraph" w:styleId="FootnoteText">
    <w:name w:val="footnote text"/>
    <w:basedOn w:val="Normal"/>
    <w:link w:val="FootnoteTextChar"/>
    <w:semiHidden/>
    <w:unhideWhenUsed/>
    <w:rsid w:val="00FB0B05"/>
    <w:rPr>
      <w:rFonts w:ascii="Garamond" w:hAnsi="Garamond"/>
      <w:sz w:val="20"/>
      <w:szCs w:val="20"/>
    </w:rPr>
  </w:style>
  <w:style w:type="character" w:customStyle="1" w:styleId="FootnoteTextChar">
    <w:name w:val="Footnote Text Char"/>
    <w:link w:val="FootnoteText"/>
    <w:semiHidden/>
    <w:rsid w:val="00FB0B05"/>
    <w:rPr>
      <w:rFonts w:ascii="Garamond" w:hAnsi="Garamond"/>
    </w:rPr>
  </w:style>
  <w:style w:type="character" w:customStyle="1" w:styleId="ListParagraphChar">
    <w:name w:val="List Paragraph Char"/>
    <w:link w:val="ListParagraph"/>
    <w:uiPriority w:val="34"/>
    <w:locked/>
    <w:rsid w:val="00FB0B05"/>
    <w:rPr>
      <w:sz w:val="24"/>
      <w:szCs w:val="24"/>
    </w:rPr>
  </w:style>
  <w:style w:type="character" w:styleId="FootnoteReference">
    <w:name w:val="footnote reference"/>
    <w:semiHidden/>
    <w:unhideWhenUsed/>
    <w:rsid w:val="00FB0B05"/>
    <w:rPr>
      <w:vertAlign w:val="superscript"/>
    </w:rPr>
  </w:style>
  <w:style w:type="character" w:styleId="UnresolvedMention">
    <w:name w:val="Unresolved Mention"/>
    <w:uiPriority w:val="99"/>
    <w:semiHidden/>
    <w:unhideWhenUsed/>
    <w:rsid w:val="002C48D5"/>
    <w:rPr>
      <w:color w:val="605E5C"/>
      <w:shd w:val="clear" w:color="auto" w:fill="E1DFDD"/>
    </w:rPr>
  </w:style>
  <w:style w:type="character" w:styleId="FollowedHyperlink">
    <w:name w:val="FollowedHyperlink"/>
    <w:uiPriority w:val="99"/>
    <w:semiHidden/>
    <w:unhideWhenUsed/>
    <w:rsid w:val="0002374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139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68136526">
      <w:bodyDiv w:val="1"/>
      <w:marLeft w:val="0"/>
      <w:marRight w:val="0"/>
      <w:marTop w:val="0"/>
      <w:marBottom w:val="0"/>
      <w:divBdr>
        <w:top w:val="none" w:sz="0" w:space="0" w:color="auto"/>
        <w:left w:val="none" w:sz="0" w:space="0" w:color="auto"/>
        <w:bottom w:val="none" w:sz="0" w:space="0" w:color="auto"/>
        <w:right w:val="none" w:sz="0" w:space="0" w:color="auto"/>
      </w:divBdr>
    </w:div>
    <w:div w:id="596711290">
      <w:bodyDiv w:val="1"/>
      <w:marLeft w:val="0"/>
      <w:marRight w:val="0"/>
      <w:marTop w:val="0"/>
      <w:marBottom w:val="0"/>
      <w:divBdr>
        <w:top w:val="none" w:sz="0" w:space="0" w:color="auto"/>
        <w:left w:val="none" w:sz="0" w:space="0" w:color="auto"/>
        <w:bottom w:val="none" w:sz="0" w:space="0" w:color="auto"/>
        <w:right w:val="none" w:sz="0" w:space="0" w:color="auto"/>
      </w:divBdr>
    </w:div>
    <w:div w:id="1008481653">
      <w:bodyDiv w:val="1"/>
      <w:marLeft w:val="0"/>
      <w:marRight w:val="0"/>
      <w:marTop w:val="0"/>
      <w:marBottom w:val="0"/>
      <w:divBdr>
        <w:top w:val="none" w:sz="0" w:space="0" w:color="auto"/>
        <w:left w:val="none" w:sz="0" w:space="0" w:color="auto"/>
        <w:bottom w:val="none" w:sz="0" w:space="0" w:color="auto"/>
        <w:right w:val="none" w:sz="0" w:space="0" w:color="auto"/>
      </w:divBdr>
    </w:div>
    <w:div w:id="1238518360">
      <w:bodyDiv w:val="1"/>
      <w:marLeft w:val="0"/>
      <w:marRight w:val="0"/>
      <w:marTop w:val="0"/>
      <w:marBottom w:val="0"/>
      <w:divBdr>
        <w:top w:val="none" w:sz="0" w:space="0" w:color="auto"/>
        <w:left w:val="none" w:sz="0" w:space="0" w:color="auto"/>
        <w:bottom w:val="none" w:sz="0" w:space="0" w:color="auto"/>
        <w:right w:val="none" w:sz="0" w:space="0" w:color="auto"/>
      </w:divBdr>
    </w:div>
    <w:div w:id="1574507459">
      <w:bodyDiv w:val="1"/>
      <w:marLeft w:val="0"/>
      <w:marRight w:val="0"/>
      <w:marTop w:val="0"/>
      <w:marBottom w:val="0"/>
      <w:divBdr>
        <w:top w:val="none" w:sz="0" w:space="0" w:color="auto"/>
        <w:left w:val="none" w:sz="0" w:space="0" w:color="auto"/>
        <w:bottom w:val="none" w:sz="0" w:space="0" w:color="auto"/>
        <w:right w:val="none" w:sz="0" w:space="0" w:color="auto"/>
      </w:divBdr>
    </w:div>
    <w:div w:id="1681657065">
      <w:bodyDiv w:val="1"/>
      <w:marLeft w:val="0"/>
      <w:marRight w:val="0"/>
      <w:marTop w:val="0"/>
      <w:marBottom w:val="0"/>
      <w:divBdr>
        <w:top w:val="none" w:sz="0" w:space="0" w:color="auto"/>
        <w:left w:val="none" w:sz="0" w:space="0" w:color="auto"/>
        <w:bottom w:val="none" w:sz="0" w:space="0" w:color="auto"/>
        <w:right w:val="none" w:sz="0" w:space="0" w:color="auto"/>
      </w:divBdr>
    </w:div>
    <w:div w:id="21463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Nm1FrJel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empsit.t19.htm" TargetMode="External"/><Relationship Id="rId5" Type="http://schemas.openxmlformats.org/officeDocument/2006/relationships/webSettings" Target="webSettings.xml"/><Relationship Id="rId10" Type="http://schemas.openxmlformats.org/officeDocument/2006/relationships/hyperlink" Target="mailto:Brian.Lappin@fda.hhs.gov" TargetMode="External"/><Relationship Id="rId4" Type="http://schemas.openxmlformats.org/officeDocument/2006/relationships/settings" Target="settings.xml"/><Relationship Id="rId9" Type="http://schemas.openxmlformats.org/officeDocument/2006/relationships/hyperlink" Target="mailto:Ila.Mizrachi@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82F6-C257-470A-8FE8-B992400A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2711</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18374</CharactersWithSpaces>
  <SharedDoc>false</SharedDoc>
  <HLinks>
    <vt:vector size="30" baseType="variant">
      <vt:variant>
        <vt:i4>3997754</vt:i4>
      </vt:variant>
      <vt:variant>
        <vt:i4>12</vt:i4>
      </vt:variant>
      <vt:variant>
        <vt:i4>0</vt:i4>
      </vt:variant>
      <vt:variant>
        <vt:i4>5</vt:i4>
      </vt:variant>
      <vt:variant>
        <vt:lpwstr>https://www.bls.gov/oes/2018/may/oes399011.htm</vt:lpwstr>
      </vt:variant>
      <vt:variant>
        <vt:lpwstr/>
      </vt:variant>
      <vt:variant>
        <vt:i4>8323172</vt:i4>
      </vt:variant>
      <vt:variant>
        <vt:i4>9</vt:i4>
      </vt:variant>
      <vt:variant>
        <vt:i4>0</vt:i4>
      </vt:variant>
      <vt:variant>
        <vt:i4>5</vt:i4>
      </vt:variant>
      <vt:variant>
        <vt:lpwstr>https://www.bls.gov/news.release/empsit.t19.htm</vt:lpwstr>
      </vt:variant>
      <vt:variant>
        <vt:lpwstr/>
      </vt:variant>
      <vt:variant>
        <vt:i4>5308531</vt:i4>
      </vt:variant>
      <vt:variant>
        <vt:i4>6</vt:i4>
      </vt:variant>
      <vt:variant>
        <vt:i4>0</vt:i4>
      </vt:variant>
      <vt:variant>
        <vt:i4>5</vt:i4>
      </vt:variant>
      <vt:variant>
        <vt:lpwstr>mailto:Brian.Lappin@fda.hhs.gov</vt:lpwstr>
      </vt:variant>
      <vt:variant>
        <vt:lpwstr/>
      </vt:variant>
      <vt:variant>
        <vt:i4>5701730</vt:i4>
      </vt:variant>
      <vt:variant>
        <vt:i4>3</vt:i4>
      </vt:variant>
      <vt:variant>
        <vt:i4>0</vt:i4>
      </vt:variant>
      <vt:variant>
        <vt:i4>5</vt:i4>
      </vt:variant>
      <vt:variant>
        <vt:lpwstr>mailto:Ila.Mizrachi@fda.hhs.gov</vt:lpwstr>
      </vt:variant>
      <vt:variant>
        <vt:lpwstr/>
      </vt:variant>
      <vt:variant>
        <vt:i4>8060967</vt:i4>
      </vt:variant>
      <vt:variant>
        <vt:i4>0</vt:i4>
      </vt:variant>
      <vt:variant>
        <vt:i4>0</vt:i4>
      </vt:variant>
      <vt:variant>
        <vt:i4>5</vt:i4>
      </vt:variant>
      <vt:variant>
        <vt:lpwstr>https://www.youtube.com/watch?v=ENm1FrJellY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2014-10-27T16:58:00Z</cp:lastPrinted>
  <dcterms:created xsi:type="dcterms:W3CDTF">2021-06-16T17:52:00Z</dcterms:created>
  <dcterms:modified xsi:type="dcterms:W3CDTF">2021-06-16T17:52:00Z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