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3A8C" w:rsidR="00B45231" w:rsidP="00B45231" w:rsidRDefault="00B45231" w14:paraId="44A4CE5F" w14:textId="77777777">
      <w:pPr>
        <w:pStyle w:val="Heading1"/>
        <w:jc w:val="center"/>
        <w:rPr>
          <w:rFonts w:cs="Times New Roman"/>
        </w:rPr>
      </w:pPr>
      <w:r w:rsidRPr="00583A8C">
        <w:rPr>
          <w:rFonts w:cs="Times New Roman"/>
        </w:rPr>
        <w:t>ERS Experiment Review</w:t>
      </w:r>
    </w:p>
    <w:p w:rsidRPr="00583A8C" w:rsidR="00B45231" w:rsidP="001D628D" w:rsidRDefault="00B45231" w14:paraId="018DDBF2" w14:textId="77777777">
      <w:pPr>
        <w:pStyle w:val="Heading2"/>
        <w:jc w:val="center"/>
      </w:pPr>
      <w:r w:rsidRPr="00583A8C">
        <w:t>Gate 2: Experimental Design and Analysis Plan (EDAP)</w:t>
      </w:r>
    </w:p>
    <w:p w:rsidRPr="00583A8C" w:rsidR="00AA28D9" w:rsidP="001D628D" w:rsidRDefault="00AA28D9" w14:paraId="684219EA" w14:textId="77777777">
      <w:pPr>
        <w:pStyle w:val="Heading2"/>
      </w:pPr>
    </w:p>
    <w:p w:rsidRPr="00583A8C" w:rsidR="00B45231" w:rsidP="0079628F" w:rsidRDefault="00B45231" w14:paraId="18AAFB7D" w14:textId="0108012C">
      <w:pPr>
        <w:ind w:firstLine="0"/>
        <w:jc w:val="center"/>
      </w:pPr>
      <w:r w:rsidRPr="00583A8C">
        <w:t xml:space="preserve">Conservation </w:t>
      </w:r>
      <w:r w:rsidRPr="00583A8C" w:rsidR="00772B54">
        <w:t xml:space="preserve">Auction </w:t>
      </w:r>
      <w:r w:rsidRPr="00583A8C" w:rsidR="0048500D">
        <w:t>Behavior</w:t>
      </w:r>
      <w:r w:rsidRPr="00583A8C" w:rsidR="00772B54">
        <w:t>:</w:t>
      </w:r>
      <w:r w:rsidRPr="00583A8C">
        <w:t xml:space="preserve"> </w:t>
      </w:r>
      <w:r w:rsidRPr="00583A8C" w:rsidR="00772B54">
        <w:t xml:space="preserve">Effects of </w:t>
      </w:r>
      <w:r w:rsidRPr="00583A8C" w:rsidR="002B7DBB">
        <w:t xml:space="preserve">Default Offers </w:t>
      </w:r>
      <w:r w:rsidRPr="00583A8C" w:rsidR="00772B54">
        <w:t xml:space="preserve">and </w:t>
      </w:r>
      <w:r w:rsidRPr="00583A8C" w:rsidR="002B7DBB">
        <w:t>Score Updating</w:t>
      </w:r>
    </w:p>
    <w:p w:rsidRPr="00583A8C" w:rsidR="00B45231" w:rsidP="0079628F" w:rsidRDefault="00A70166" w14:paraId="7DAA0893" w14:textId="729E5BEE">
      <w:pPr>
        <w:ind w:firstLine="0"/>
        <w:jc w:val="center"/>
      </w:pPr>
      <w:r w:rsidRPr="00583A8C">
        <w:t>February 10, 2022</w:t>
      </w:r>
    </w:p>
    <w:p w:rsidRPr="00583A8C" w:rsidR="00DF66E5" w:rsidP="0009495E" w:rsidRDefault="00DF66E5" w14:paraId="1D1C6A2E" w14:textId="7EB592DF">
      <w:pPr>
        <w:ind w:firstLine="0"/>
      </w:pPr>
      <w:r w:rsidRPr="00583A8C">
        <w:t xml:space="preserve">[Note: This EDAP was reviewed by three experts in conservation auction experiments.  </w:t>
      </w:r>
      <w:r w:rsidRPr="00583A8C" w:rsidR="00A70166">
        <w:t>Based on that reviews as well as USDA and OMB review, the following changes were made:</w:t>
      </w:r>
      <w:r w:rsidRPr="00583A8C">
        <w:t xml:space="preserve"> </w:t>
      </w:r>
      <w:r w:rsidRPr="00583A8C" w:rsidR="00DD04EC">
        <w:t xml:space="preserve">removal of </w:t>
      </w:r>
      <w:r w:rsidRPr="00583A8C" w:rsidR="00A70166">
        <w:t xml:space="preserve">tests regarding the external validity of </w:t>
      </w:r>
      <w:r w:rsidRPr="00583A8C" w:rsidR="00DD04EC">
        <w:t>student population</w:t>
      </w:r>
      <w:r w:rsidRPr="00583A8C" w:rsidR="00A70166">
        <w:t>s for conservation auction experiments</w:t>
      </w:r>
      <w:r w:rsidRPr="00583A8C" w:rsidR="00DD04EC">
        <w:t xml:space="preserve">, </w:t>
      </w:r>
      <w:r w:rsidRPr="00583A8C" w:rsidR="00A70166">
        <w:t xml:space="preserve">an increase in the size of the sample size for farmers, minor modifications to </w:t>
      </w:r>
      <w:r w:rsidRPr="00583A8C">
        <w:t>payment levels</w:t>
      </w:r>
      <w:r w:rsidRPr="00583A8C" w:rsidR="00A70166">
        <w:t xml:space="preserve"> and maximums</w:t>
      </w:r>
      <w:r w:rsidRPr="00583A8C">
        <w:t xml:space="preserve">, </w:t>
      </w:r>
      <w:r w:rsidRPr="00583A8C" w:rsidR="00A70166">
        <w:t xml:space="preserve">a reduction in the </w:t>
      </w:r>
      <w:r w:rsidRPr="00583A8C">
        <w:t>estimated time to complete the experiment</w:t>
      </w:r>
      <w:r w:rsidRPr="00583A8C" w:rsidR="00A70166">
        <w:t xml:space="preserve"> and the</w:t>
      </w:r>
      <w:r w:rsidRPr="00583A8C">
        <w:t xml:space="preserve"> expected response rate, and changes to the questions at the end of experiment that involve removing demographic questions and adding task comprehension and strategy questions.]</w:t>
      </w:r>
    </w:p>
    <w:p w:rsidRPr="00583A8C" w:rsidR="00B45231" w:rsidP="001D628D" w:rsidRDefault="00B45231" w14:paraId="7F17E928" w14:textId="77777777">
      <w:pPr>
        <w:pStyle w:val="Heading2"/>
      </w:pPr>
      <w:r w:rsidRPr="00583A8C">
        <w:rPr>
          <w:rStyle w:val="Heading2Char"/>
          <w:b/>
          <w:bCs/>
        </w:rPr>
        <w:t>Objective</w:t>
      </w:r>
      <w:r w:rsidRPr="00583A8C">
        <w:t>:</w:t>
      </w:r>
    </w:p>
    <w:p w:rsidRPr="00583A8C" w:rsidR="00240DFD" w:rsidP="00240DFD" w:rsidRDefault="00B45231" w14:paraId="18DE31E3" w14:textId="61C6D948">
      <w:r w:rsidRPr="00583A8C">
        <w:t xml:space="preserve">USDA’s Conservation Reserve Program (CRP) enrolls environmentally sensitive cropland </w:t>
      </w:r>
      <w:r w:rsidRPr="00583A8C" w:rsidR="002C321E">
        <w:t>in long-term contracts</w:t>
      </w:r>
      <w:r w:rsidRPr="00583A8C" w:rsidR="002D1510">
        <w:t xml:space="preserve">.  </w:t>
      </w:r>
      <w:r w:rsidRPr="00583A8C" w:rsidR="00240DFD">
        <w:t>E</w:t>
      </w:r>
      <w:r w:rsidRPr="00583A8C" w:rsidR="00D54587">
        <w:t xml:space="preserve">nrolled landowners receive </w:t>
      </w:r>
      <w:r w:rsidRPr="00583A8C">
        <w:t>annual rental payments</w:t>
      </w:r>
      <w:r w:rsidRPr="00583A8C" w:rsidR="002D1510">
        <w:t xml:space="preserve"> </w:t>
      </w:r>
      <w:r w:rsidRPr="00583A8C" w:rsidR="00D54587">
        <w:t>for</w:t>
      </w:r>
      <w:r w:rsidRPr="00583A8C" w:rsidR="002D1510">
        <w:t xml:space="preserve"> </w:t>
      </w:r>
      <w:r w:rsidRPr="00583A8C">
        <w:t>establish</w:t>
      </w:r>
      <w:r w:rsidRPr="00583A8C" w:rsidR="00D54587">
        <w:t>ing</w:t>
      </w:r>
      <w:r w:rsidRPr="00583A8C">
        <w:t xml:space="preserve"> </w:t>
      </w:r>
      <w:r w:rsidRPr="00583A8C" w:rsidR="006C7D83">
        <w:t xml:space="preserve">the </w:t>
      </w:r>
      <w:r w:rsidRPr="00583A8C">
        <w:t xml:space="preserve">approved conservation </w:t>
      </w:r>
      <w:r w:rsidRPr="00583A8C" w:rsidR="002D1510">
        <w:t xml:space="preserve">vegetative </w:t>
      </w:r>
      <w:r w:rsidRPr="00583A8C">
        <w:t>cover</w:t>
      </w:r>
      <w:r w:rsidRPr="00583A8C" w:rsidR="002D1510">
        <w:t xml:space="preserve"> and not farm</w:t>
      </w:r>
      <w:r w:rsidRPr="00583A8C" w:rsidR="00D54587">
        <w:t>ing</w:t>
      </w:r>
      <w:r w:rsidRPr="00583A8C" w:rsidR="002D1510">
        <w:t xml:space="preserve"> the land</w:t>
      </w:r>
      <w:r w:rsidRPr="00583A8C">
        <w:t xml:space="preserve">.  </w:t>
      </w:r>
      <w:r w:rsidRPr="00583A8C" w:rsidR="00880F2A">
        <w:t>Most</w:t>
      </w:r>
      <w:r w:rsidRPr="00583A8C" w:rsidR="006C7D83">
        <w:t xml:space="preserve"> land </w:t>
      </w:r>
      <w:r w:rsidRPr="00583A8C" w:rsidR="002D1510">
        <w:t xml:space="preserve">is enrolled </w:t>
      </w:r>
      <w:r w:rsidRPr="00583A8C" w:rsidR="006C7D83">
        <w:t xml:space="preserve">through </w:t>
      </w:r>
      <w:r w:rsidRPr="00583A8C">
        <w:t>the CRP General Signup, a multi-unit, sealed-bid, reverse auction.</w:t>
      </w:r>
      <w:r w:rsidRPr="00583A8C" w:rsidR="00A87753">
        <w:t xml:space="preserve"> </w:t>
      </w:r>
      <w:r w:rsidRPr="00583A8C" w:rsidR="006C7D83">
        <w:t>Offers are ranked on</w:t>
      </w:r>
      <w:r w:rsidRPr="00583A8C" w:rsidR="00540693">
        <w:t xml:space="preserve"> both quality and price. </w:t>
      </w:r>
      <w:r w:rsidRPr="00583A8C" w:rsidR="00A87753">
        <w:t xml:space="preserve">Participants can increase </w:t>
      </w:r>
      <w:r w:rsidRPr="00583A8C" w:rsidR="00540693">
        <w:t>the probability that their offer is accepted</w:t>
      </w:r>
      <w:r w:rsidRPr="00583A8C" w:rsidR="00A87753">
        <w:t xml:space="preserve"> by </w:t>
      </w:r>
      <w:r w:rsidRPr="00583A8C" w:rsidR="002D1510">
        <w:t xml:space="preserve">agreeing to a higher quality </w:t>
      </w:r>
      <w:r w:rsidRPr="00583A8C" w:rsidR="00A87753">
        <w:t>conservation cover practice</w:t>
      </w:r>
      <w:r w:rsidRPr="00583A8C" w:rsidR="002D1510">
        <w:t xml:space="preserve"> </w:t>
      </w:r>
      <w:r w:rsidRPr="00583A8C" w:rsidR="00540693">
        <w:t>or lowering the</w:t>
      </w:r>
      <w:r w:rsidRPr="00583A8C" w:rsidR="002D1510">
        <w:t>ir</w:t>
      </w:r>
      <w:r w:rsidRPr="00583A8C" w:rsidR="00540693">
        <w:t xml:space="preserve"> </w:t>
      </w:r>
      <w:r w:rsidRPr="00583A8C" w:rsidR="004C52C7">
        <w:t>asking price (</w:t>
      </w:r>
      <w:r w:rsidRPr="00583A8C" w:rsidR="00540693">
        <w:t xml:space="preserve">annual </w:t>
      </w:r>
      <w:r w:rsidRPr="00583A8C" w:rsidR="00EB4F68">
        <w:t>payment</w:t>
      </w:r>
      <w:r w:rsidRPr="00583A8C" w:rsidR="004C52C7">
        <w:t>)</w:t>
      </w:r>
      <w:r w:rsidRPr="00583A8C" w:rsidR="00A87753">
        <w:t>.</w:t>
      </w:r>
      <w:r w:rsidRPr="00583A8C" w:rsidR="00485861">
        <w:t xml:space="preserve"> </w:t>
      </w:r>
      <w:r w:rsidRPr="00583A8C" w:rsidR="002D1510">
        <w:t>By encourag</w:t>
      </w:r>
      <w:r w:rsidRPr="00583A8C" w:rsidR="00064A96">
        <w:t xml:space="preserve">ing </w:t>
      </w:r>
      <w:r w:rsidRPr="00583A8C" w:rsidR="002D1510">
        <w:t>better practices and lower payments, the auction design improves the cost effectiveness of the CRP.</w:t>
      </w:r>
      <w:r w:rsidRPr="00583A8C" w:rsidR="00240DFD">
        <w:t xml:space="preserve"> </w:t>
      </w:r>
    </w:p>
    <w:p w:rsidRPr="00583A8C" w:rsidR="00DB1BD9" w:rsidP="00240DFD" w:rsidRDefault="00DB1BD9" w14:paraId="6A9F6784" w14:textId="6237FC7D">
      <w:r w:rsidRPr="00583A8C">
        <w:t xml:space="preserve">To further encourage better practices and lower payments, USDA may be able to draw on </w:t>
      </w:r>
      <w:r w:rsidRPr="00583A8C" w:rsidR="00D54587">
        <w:t>insights from behavioral economics</w:t>
      </w:r>
      <w:r w:rsidRPr="00583A8C">
        <w:t xml:space="preserve"> research</w:t>
      </w:r>
      <w:r w:rsidRPr="00583A8C" w:rsidR="00D54587">
        <w:t xml:space="preserve"> about defaults (e.g.: starting points) and information </w:t>
      </w:r>
      <w:r w:rsidRPr="00583A8C">
        <w:t>provision.</w:t>
      </w:r>
      <w:r w:rsidRPr="00583A8C" w:rsidR="00BE2933">
        <w:t xml:space="preserve">  In</w:t>
      </w:r>
      <w:r w:rsidRPr="00583A8C" w:rsidR="00064A96">
        <w:t xml:space="preserve"> many</w:t>
      </w:r>
      <w:r w:rsidRPr="00583A8C" w:rsidR="00BE2933">
        <w:t xml:space="preserve"> </w:t>
      </w:r>
      <w:r w:rsidRPr="00583A8C">
        <w:t>decision</w:t>
      </w:r>
      <w:r w:rsidRPr="00583A8C" w:rsidR="00BE2933">
        <w:t xml:space="preserve"> contexts</w:t>
      </w:r>
      <w:r w:rsidRPr="00583A8C" w:rsidR="00064A96">
        <w:t xml:space="preserve">, </w:t>
      </w:r>
      <w:r w:rsidRPr="00583A8C" w:rsidR="00BE2933">
        <w:t>opt-out defaults</w:t>
      </w:r>
      <w:r w:rsidRPr="00583A8C" w:rsidR="00AA28D9">
        <w:t xml:space="preserve"> have been shown to</w:t>
      </w:r>
      <w:r w:rsidRPr="00583A8C" w:rsidR="00BE2933">
        <w:t xml:space="preserve"> impact final decisions.  </w:t>
      </w:r>
      <w:r w:rsidRPr="00583A8C">
        <w:t>When the decision environment is complex</w:t>
      </w:r>
      <w:r w:rsidRPr="00583A8C" w:rsidR="00BE2933">
        <w:t xml:space="preserve">, </w:t>
      </w:r>
      <w:r w:rsidRPr="00583A8C">
        <w:t>final</w:t>
      </w:r>
      <w:r w:rsidRPr="00583A8C" w:rsidR="00AA28D9">
        <w:t xml:space="preserve"> decisions can</w:t>
      </w:r>
      <w:r w:rsidRPr="00583A8C">
        <w:t xml:space="preserve"> also</w:t>
      </w:r>
      <w:r w:rsidRPr="00583A8C" w:rsidR="00AA28D9">
        <w:t xml:space="preserve"> be impacted by </w:t>
      </w:r>
      <w:r w:rsidRPr="00583A8C" w:rsidR="00BE2933">
        <w:t xml:space="preserve">the timing of information </w:t>
      </w:r>
      <w:r w:rsidRPr="00583A8C">
        <w:t>that decision-makers receive</w:t>
      </w:r>
      <w:r w:rsidRPr="00583A8C" w:rsidR="00AA28D9">
        <w:t>.</w:t>
      </w:r>
      <w:r w:rsidRPr="00583A8C" w:rsidR="00BE2933">
        <w:t xml:space="preserve"> Both insights </w:t>
      </w:r>
      <w:r w:rsidRPr="00583A8C" w:rsidR="00AA28D9">
        <w:t xml:space="preserve">are relevant for </w:t>
      </w:r>
      <w:r w:rsidRPr="00583A8C" w:rsidR="00BE2933">
        <w:t xml:space="preserve">the </w:t>
      </w:r>
      <w:r w:rsidRPr="00583A8C">
        <w:t xml:space="preserve">design of the </w:t>
      </w:r>
      <w:r w:rsidRPr="00583A8C" w:rsidR="00BE2933">
        <w:t xml:space="preserve">software used in the </w:t>
      </w:r>
      <w:r w:rsidRPr="00583A8C">
        <w:t xml:space="preserve">CRP </w:t>
      </w:r>
      <w:r w:rsidRPr="00583A8C" w:rsidR="00BE2933">
        <w:t xml:space="preserve">General Signup.  </w:t>
      </w:r>
    </w:p>
    <w:p w:rsidRPr="00583A8C" w:rsidR="006D50B6" w:rsidP="00DB1BD9" w:rsidRDefault="00DB1BD9" w14:paraId="1D6A9FC1" w14:textId="0A30A7FC">
      <w:pPr>
        <w:rPr>
          <w:rFonts w:eastAsiaTheme="majorEastAsia" w:cstheme="majorBidi"/>
          <w:color w:val="2E74B5" w:themeColor="accent1" w:themeShade="BF"/>
          <w:sz w:val="26"/>
          <w:szCs w:val="26"/>
        </w:rPr>
      </w:pPr>
      <w:r w:rsidRPr="00583A8C">
        <w:lastRenderedPageBreak/>
        <w:t xml:space="preserve">Using a stylized version of the enrollment software to create </w:t>
      </w:r>
      <w:r w:rsidRPr="00583A8C" w:rsidR="006C7D83">
        <w:t xml:space="preserve">a </w:t>
      </w:r>
      <w:r w:rsidRPr="00583A8C" w:rsidR="00BE2933">
        <w:t>simulated (artefactual)</w:t>
      </w:r>
      <w:r w:rsidRPr="00583A8C" w:rsidR="00240DFD">
        <w:t xml:space="preserve"> </w:t>
      </w:r>
      <w:r w:rsidRPr="00583A8C" w:rsidR="00BE2933">
        <w:t>CRP auction</w:t>
      </w:r>
      <w:r w:rsidRPr="00583A8C">
        <w:t>, we will experimentally test the impacts on final practice and payment offers from two behavioral interventions: (</w:t>
      </w:r>
      <w:proofErr w:type="spellStart"/>
      <w:r w:rsidRPr="00583A8C">
        <w:t>i</w:t>
      </w:r>
      <w:proofErr w:type="spellEnd"/>
      <w:r w:rsidRPr="00583A8C">
        <w:t xml:space="preserve">) </w:t>
      </w:r>
      <w:r w:rsidRPr="00583A8C" w:rsidR="001774F5">
        <w:t>a</w:t>
      </w:r>
      <w:r w:rsidRPr="00583A8C" w:rsidR="00BE2933">
        <w:t xml:space="preserve"> </w:t>
      </w:r>
      <w:r w:rsidRPr="00583A8C">
        <w:t xml:space="preserve">high-quality </w:t>
      </w:r>
      <w:r w:rsidRPr="00583A8C" w:rsidR="00485861">
        <w:t>default</w:t>
      </w:r>
      <w:r w:rsidRPr="00583A8C" w:rsidR="00BE2933">
        <w:t xml:space="preserve"> starting offer</w:t>
      </w:r>
      <w:r w:rsidRPr="00583A8C" w:rsidR="001774F5">
        <w:t>;</w:t>
      </w:r>
      <w:r w:rsidRPr="00583A8C">
        <w:t xml:space="preserve"> and (ii) live updates on </w:t>
      </w:r>
      <w:r w:rsidRPr="00583A8C" w:rsidR="00BE2933">
        <w:t xml:space="preserve">the offer </w:t>
      </w:r>
      <w:r w:rsidRPr="00583A8C" w:rsidR="001774F5">
        <w:t>score</w:t>
      </w:r>
      <w:r w:rsidRPr="00583A8C">
        <w:t xml:space="preserve"> at the point of offer selection.  </w:t>
      </w:r>
      <w:r w:rsidRPr="00583A8C" w:rsidR="006D50B6">
        <w:br w:type="page"/>
      </w:r>
    </w:p>
    <w:p w:rsidRPr="00583A8C" w:rsidR="00772B54" w:rsidP="00772B54" w:rsidRDefault="00772B54" w14:paraId="60938FF2" w14:textId="3B288B09">
      <w:pPr>
        <w:pStyle w:val="Heading2"/>
      </w:pPr>
      <w:r w:rsidRPr="00583A8C">
        <w:lastRenderedPageBreak/>
        <w:t>Summary</w:t>
      </w:r>
      <w:r w:rsidRPr="00583A8C" w:rsidR="00063B64">
        <w:t xml:space="preserve"> of Experimental Design</w:t>
      </w:r>
    </w:p>
    <w:tbl>
      <w:tblPr>
        <w:tblStyle w:val="TableGrid"/>
        <w:tblW w:w="0" w:type="auto"/>
        <w:tblLook w:val="04A0" w:firstRow="1" w:lastRow="0" w:firstColumn="1" w:lastColumn="0" w:noHBand="0" w:noVBand="1"/>
      </w:tblPr>
      <w:tblGrid>
        <w:gridCol w:w="1435"/>
        <w:gridCol w:w="7915"/>
      </w:tblGrid>
      <w:tr w:rsidRPr="00583A8C" w:rsidR="00772B54" w:rsidTr="0079628F" w14:paraId="2CE5F79D" w14:textId="77777777">
        <w:tc>
          <w:tcPr>
            <w:tcW w:w="1435" w:type="dxa"/>
          </w:tcPr>
          <w:p w:rsidRPr="00583A8C" w:rsidR="00772B54" w:rsidRDefault="00772B54" w14:paraId="777E79EE" w14:textId="6BAF89F0">
            <w:pPr>
              <w:spacing w:line="259" w:lineRule="auto"/>
              <w:ind w:firstLine="0"/>
            </w:pPr>
            <w:r w:rsidRPr="00583A8C">
              <w:t>Setting</w:t>
            </w:r>
          </w:p>
        </w:tc>
        <w:tc>
          <w:tcPr>
            <w:tcW w:w="7915" w:type="dxa"/>
          </w:tcPr>
          <w:p w:rsidRPr="00583A8C" w:rsidR="00772B54" w:rsidRDefault="00772B54" w14:paraId="4A189A58" w14:textId="753B64F0">
            <w:pPr>
              <w:spacing w:line="259" w:lineRule="auto"/>
              <w:ind w:firstLine="0"/>
            </w:pPr>
            <w:r w:rsidRPr="00583A8C">
              <w:t>Multi-unit reverse auction</w:t>
            </w:r>
            <w:r w:rsidRPr="00583A8C" w:rsidR="00793424">
              <w:t xml:space="preserve"> in which participants compete on price (requested rental payment) and quality (land characteristics and proposed conservation practices).  Eligible cropland fields are subject to field-specific bid caps (maximum allowable rental payments).</w:t>
            </w:r>
          </w:p>
        </w:tc>
      </w:tr>
      <w:tr w:rsidRPr="00583A8C" w:rsidR="00772B54" w:rsidTr="0079628F" w14:paraId="6A505349" w14:textId="77777777">
        <w:tc>
          <w:tcPr>
            <w:tcW w:w="1435" w:type="dxa"/>
          </w:tcPr>
          <w:p w:rsidRPr="00583A8C" w:rsidR="00772B54" w:rsidRDefault="00772B54" w14:paraId="0D590D1E" w14:textId="159BA21D">
            <w:pPr>
              <w:spacing w:line="259" w:lineRule="auto"/>
              <w:ind w:firstLine="0"/>
            </w:pPr>
            <w:r w:rsidRPr="00583A8C">
              <w:t>Outcomes</w:t>
            </w:r>
          </w:p>
        </w:tc>
        <w:tc>
          <w:tcPr>
            <w:tcW w:w="7915" w:type="dxa"/>
          </w:tcPr>
          <w:p w:rsidRPr="00583A8C" w:rsidR="00772B54" w:rsidRDefault="001B152E" w14:paraId="7754580F" w14:textId="61D774F7">
            <w:pPr>
              <w:spacing w:line="259" w:lineRule="auto"/>
              <w:ind w:firstLine="0"/>
            </w:pPr>
            <w:r w:rsidRPr="00583A8C">
              <w:rPr>
                <w:b/>
                <w:bCs/>
              </w:rPr>
              <w:t>O</w:t>
            </w:r>
            <w:r w:rsidRPr="00583A8C" w:rsidR="00772B54">
              <w:rPr>
                <w:b/>
                <w:bCs/>
              </w:rPr>
              <w:t>ffer price</w:t>
            </w:r>
            <w:r w:rsidRPr="00583A8C">
              <w:rPr>
                <w:b/>
                <w:bCs/>
              </w:rPr>
              <w:t>:</w:t>
            </w:r>
            <w:r w:rsidRPr="00583A8C" w:rsidR="00772B54">
              <w:t xml:space="preserve"> </w:t>
            </w:r>
            <w:r w:rsidRPr="00583A8C">
              <w:t xml:space="preserve">Percent </w:t>
            </w:r>
            <w:r w:rsidRPr="00583A8C" w:rsidR="00D46815">
              <w:t>reduction</w:t>
            </w:r>
            <w:r w:rsidRPr="00583A8C">
              <w:t xml:space="preserve"> </w:t>
            </w:r>
            <w:r w:rsidRPr="00583A8C" w:rsidR="00772B54">
              <w:t xml:space="preserve">relative to </w:t>
            </w:r>
            <w:r w:rsidRPr="00583A8C" w:rsidR="00793424">
              <w:t xml:space="preserve">field-specific </w:t>
            </w:r>
            <w:r w:rsidRPr="00583A8C" w:rsidR="00772B54">
              <w:t>bid cap</w:t>
            </w:r>
            <w:r w:rsidRPr="00583A8C" w:rsidR="00D46815">
              <w:t xml:space="preserve"> (“bid down”)</w:t>
            </w:r>
          </w:p>
          <w:p w:rsidRPr="00583A8C" w:rsidR="006C7D83" w:rsidRDefault="001B152E" w14:paraId="2C58EB87" w14:textId="44C5CD0B">
            <w:pPr>
              <w:spacing w:line="259" w:lineRule="auto"/>
              <w:ind w:firstLine="0"/>
            </w:pPr>
            <w:r w:rsidRPr="00583A8C">
              <w:rPr>
                <w:b/>
                <w:bCs/>
              </w:rPr>
              <w:t>O</w:t>
            </w:r>
            <w:r w:rsidRPr="00583A8C" w:rsidR="00772B54">
              <w:rPr>
                <w:b/>
                <w:bCs/>
              </w:rPr>
              <w:t>ffer quality</w:t>
            </w:r>
            <w:r w:rsidRPr="00583A8C">
              <w:rPr>
                <w:b/>
                <w:bCs/>
              </w:rPr>
              <w:t>:</w:t>
            </w:r>
            <w:r w:rsidRPr="00583A8C">
              <w:t xml:space="preserve"> </w:t>
            </w:r>
            <w:r w:rsidRPr="00583A8C" w:rsidR="00772B54">
              <w:t xml:space="preserve"> </w:t>
            </w:r>
            <w:r w:rsidRPr="00583A8C" w:rsidR="00793424">
              <w:t>C</w:t>
            </w:r>
            <w:r w:rsidRPr="00583A8C" w:rsidR="00772B54">
              <w:t>onservation cover practice</w:t>
            </w:r>
            <w:r w:rsidRPr="00583A8C" w:rsidR="00B54857">
              <w:t xml:space="preserve"> score</w:t>
            </w:r>
          </w:p>
        </w:tc>
      </w:tr>
      <w:tr w:rsidRPr="00583A8C" w:rsidR="00B54857" w:rsidTr="0079628F" w14:paraId="0548CE76" w14:textId="77777777">
        <w:tc>
          <w:tcPr>
            <w:tcW w:w="1435" w:type="dxa"/>
          </w:tcPr>
          <w:p w:rsidRPr="00583A8C" w:rsidR="00B54857" w:rsidRDefault="00B54857" w14:paraId="56976B03" w14:textId="00CAD7B0">
            <w:pPr>
              <w:spacing w:line="259" w:lineRule="auto"/>
              <w:ind w:firstLine="0"/>
            </w:pPr>
            <w:r w:rsidRPr="00583A8C">
              <w:t>Treatment arms</w:t>
            </w:r>
          </w:p>
        </w:tc>
        <w:tc>
          <w:tcPr>
            <w:tcW w:w="7915" w:type="dxa"/>
          </w:tcPr>
          <w:p w:rsidRPr="00583A8C" w:rsidR="00B54857" w:rsidRDefault="00B54857" w14:paraId="16F43162" w14:textId="0A59022A">
            <w:pPr>
              <w:spacing w:line="259" w:lineRule="auto"/>
              <w:ind w:firstLine="0"/>
            </w:pPr>
            <w:r w:rsidRPr="00583A8C">
              <w:rPr>
                <w:b/>
                <w:bCs/>
              </w:rPr>
              <w:t>T1 (Default</w:t>
            </w:r>
            <w:r w:rsidRPr="00583A8C" w:rsidR="002B7DBB">
              <w:rPr>
                <w:b/>
                <w:bCs/>
              </w:rPr>
              <w:t xml:space="preserve"> offers</w:t>
            </w:r>
            <w:r w:rsidRPr="00583A8C">
              <w:rPr>
                <w:b/>
                <w:bCs/>
              </w:rPr>
              <w:t>):</w:t>
            </w:r>
            <w:r w:rsidRPr="00583A8C">
              <w:t xml:space="preserve"> </w:t>
            </w:r>
            <w:r w:rsidRPr="00583A8C" w:rsidR="00444D8D">
              <w:t xml:space="preserve">A starting position of the best conservation cover and </w:t>
            </w:r>
            <w:r w:rsidRPr="00583A8C" w:rsidR="00E93A33">
              <w:t>high</w:t>
            </w:r>
            <w:r w:rsidRPr="00583A8C" w:rsidR="00444D8D">
              <w:t xml:space="preserve"> bid down, from which a participant can opt out and revise </w:t>
            </w:r>
            <w:r w:rsidRPr="00583A8C" w:rsidR="00E93A33">
              <w:t>the offer</w:t>
            </w:r>
            <w:r w:rsidRPr="00583A8C" w:rsidR="00444D8D">
              <w:t>.</w:t>
            </w:r>
          </w:p>
          <w:p w:rsidRPr="00583A8C" w:rsidR="00444D8D" w:rsidRDefault="00444D8D" w14:paraId="1E82A151" w14:textId="0BB2ACEC">
            <w:pPr>
              <w:spacing w:line="259" w:lineRule="auto"/>
              <w:ind w:firstLine="0"/>
            </w:pPr>
            <w:r w:rsidRPr="00583A8C">
              <w:rPr>
                <w:b/>
                <w:bCs/>
              </w:rPr>
              <w:t>T2 (</w:t>
            </w:r>
            <w:r w:rsidRPr="00583A8C" w:rsidR="002B7DBB">
              <w:rPr>
                <w:b/>
                <w:bCs/>
              </w:rPr>
              <w:t>Score</w:t>
            </w:r>
            <w:r w:rsidRPr="00583A8C">
              <w:rPr>
                <w:b/>
                <w:bCs/>
              </w:rPr>
              <w:t xml:space="preserve"> updating):</w:t>
            </w:r>
            <w:r w:rsidRPr="00583A8C">
              <w:t xml:space="preserve"> Live updating of the offer score as cover and bid down choices are made.</w:t>
            </w:r>
          </w:p>
          <w:p w:rsidRPr="00583A8C" w:rsidR="00444D8D" w:rsidRDefault="00444D8D" w14:paraId="09F13347" w14:textId="7DDAFC1B">
            <w:pPr>
              <w:spacing w:line="259" w:lineRule="auto"/>
              <w:ind w:firstLine="0"/>
            </w:pPr>
            <w:r w:rsidRPr="00583A8C">
              <w:rPr>
                <w:b/>
                <w:bCs/>
              </w:rPr>
              <w:t>Control conditions:</w:t>
            </w:r>
            <w:r w:rsidRPr="00583A8C">
              <w:t xml:space="preserve"> No default starting offer (active choice required) and full offer score only visible on final page of enrollment software.</w:t>
            </w:r>
          </w:p>
        </w:tc>
      </w:tr>
      <w:tr w:rsidRPr="00583A8C" w:rsidR="00772B54" w:rsidTr="0079628F" w14:paraId="44E1C6D0" w14:textId="77777777">
        <w:tc>
          <w:tcPr>
            <w:tcW w:w="1435" w:type="dxa"/>
          </w:tcPr>
          <w:p w:rsidRPr="00583A8C" w:rsidR="00772B54" w:rsidRDefault="001B152E" w14:paraId="69979AC7" w14:textId="7357E8DF">
            <w:pPr>
              <w:spacing w:line="259" w:lineRule="auto"/>
              <w:ind w:firstLine="0"/>
            </w:pPr>
            <w:r w:rsidRPr="00583A8C">
              <w:t>Treatment</w:t>
            </w:r>
            <w:r w:rsidRPr="00583A8C" w:rsidR="00444D8D">
              <w:t xml:space="preserve"> design</w:t>
            </w:r>
          </w:p>
          <w:p w:rsidRPr="00583A8C" w:rsidR="004F5F5E" w:rsidRDefault="004F5F5E" w14:paraId="26980F08" w14:textId="1E3B2F55">
            <w:pPr>
              <w:spacing w:line="259" w:lineRule="auto"/>
              <w:ind w:firstLine="0"/>
            </w:pPr>
            <w:r w:rsidRPr="00583A8C">
              <w:t>(2x2)</w:t>
            </w:r>
          </w:p>
        </w:tc>
        <w:tc>
          <w:tcPr>
            <w:tcW w:w="7915" w:type="dxa"/>
          </w:tcPr>
          <w:p w:rsidRPr="00583A8C" w:rsidR="006C7D83" w:rsidRDefault="001B152E" w14:paraId="328574E2" w14:textId="7D0D081B">
            <w:pPr>
              <w:spacing w:line="259" w:lineRule="auto"/>
              <w:ind w:firstLine="0"/>
            </w:pPr>
            <w:r w:rsidRPr="00583A8C">
              <w:t xml:space="preserve">Control: </w:t>
            </w:r>
            <w:r w:rsidRPr="00583A8C" w:rsidR="00444D8D">
              <w:t>25%</w:t>
            </w:r>
            <w:r w:rsidRPr="00583A8C" w:rsidR="00662E46">
              <w:t xml:space="preserve"> of the participants are assigned to each of four possible treatment combinations: control, </w:t>
            </w:r>
            <w:r w:rsidRPr="00583A8C">
              <w:t>T1</w:t>
            </w:r>
            <w:r w:rsidRPr="00583A8C" w:rsidR="00444D8D">
              <w:t xml:space="preserve"> only</w:t>
            </w:r>
            <w:r w:rsidRPr="00583A8C" w:rsidR="00662E46">
              <w:t xml:space="preserve">, </w:t>
            </w:r>
            <w:r w:rsidRPr="00583A8C">
              <w:t>T2</w:t>
            </w:r>
            <w:r w:rsidRPr="00583A8C" w:rsidR="00444D8D">
              <w:t xml:space="preserve"> only</w:t>
            </w:r>
            <w:r w:rsidRPr="00583A8C" w:rsidR="00662E46">
              <w:t xml:space="preserve">, or </w:t>
            </w:r>
            <w:r w:rsidRPr="00583A8C" w:rsidR="006C7D83">
              <w:t>T1</w:t>
            </w:r>
            <w:r w:rsidRPr="00583A8C" w:rsidR="00444D8D">
              <w:t xml:space="preserve"> and </w:t>
            </w:r>
            <w:r w:rsidRPr="00583A8C" w:rsidR="006C7D83">
              <w:t>T2</w:t>
            </w:r>
            <w:r w:rsidRPr="00583A8C" w:rsidR="00662E46">
              <w:t>.</w:t>
            </w:r>
          </w:p>
        </w:tc>
      </w:tr>
      <w:tr w:rsidRPr="00583A8C" w:rsidR="00444D8D" w:rsidTr="0079628F" w14:paraId="533DD852" w14:textId="77777777">
        <w:tc>
          <w:tcPr>
            <w:tcW w:w="1435" w:type="dxa"/>
          </w:tcPr>
          <w:p w:rsidRPr="00583A8C" w:rsidR="00444D8D" w:rsidP="00444D8D" w:rsidRDefault="00444D8D" w14:paraId="5D492548" w14:textId="1B3144AB">
            <w:pPr>
              <w:spacing w:line="259" w:lineRule="auto"/>
              <w:ind w:firstLine="0"/>
            </w:pPr>
            <w:r w:rsidRPr="00583A8C">
              <w:t>Participants</w:t>
            </w:r>
          </w:p>
        </w:tc>
        <w:tc>
          <w:tcPr>
            <w:tcW w:w="7915" w:type="dxa"/>
          </w:tcPr>
          <w:p w:rsidRPr="00583A8C" w:rsidR="00444D8D" w:rsidP="00444D8D" w:rsidRDefault="006D50B6" w14:paraId="04131A96" w14:textId="346AE975">
            <w:pPr>
              <w:spacing w:line="259" w:lineRule="auto"/>
              <w:ind w:firstLine="0"/>
            </w:pPr>
            <w:r w:rsidRPr="00583A8C">
              <w:t xml:space="preserve">Farmers (former CRP participants): target </w:t>
            </w:r>
            <w:r w:rsidRPr="00583A8C" w:rsidR="00FB7310">
              <w:t xml:space="preserve">usable observation </w:t>
            </w:r>
            <w:r w:rsidRPr="00583A8C">
              <w:t>size of 1,</w:t>
            </w:r>
            <w:r w:rsidRPr="00583A8C" w:rsidR="00FB7310">
              <w:t>1</w:t>
            </w:r>
            <w:r w:rsidRPr="00583A8C">
              <w:t>00</w:t>
            </w:r>
          </w:p>
          <w:p w:rsidRPr="00583A8C" w:rsidR="00444D8D" w:rsidRDefault="00444D8D" w14:paraId="5A28331D" w14:textId="048B0732">
            <w:pPr>
              <w:spacing w:line="259" w:lineRule="auto"/>
              <w:ind w:firstLine="0"/>
              <w:rPr>
                <w:b/>
                <w:bCs/>
              </w:rPr>
            </w:pPr>
          </w:p>
        </w:tc>
      </w:tr>
      <w:tr w:rsidRPr="00583A8C" w:rsidR="00444D8D" w:rsidTr="0079628F" w14:paraId="14E2ABAB" w14:textId="77777777">
        <w:tc>
          <w:tcPr>
            <w:tcW w:w="1435" w:type="dxa"/>
          </w:tcPr>
          <w:p w:rsidRPr="00583A8C" w:rsidR="00444D8D" w:rsidP="00444D8D" w:rsidRDefault="00444D8D" w14:paraId="7C93C6E2" w14:textId="61B5D319">
            <w:pPr>
              <w:spacing w:line="259" w:lineRule="auto"/>
              <w:ind w:firstLine="0"/>
            </w:pPr>
            <w:r w:rsidRPr="00583A8C">
              <w:t>Research hypotheses</w:t>
            </w:r>
          </w:p>
        </w:tc>
        <w:tc>
          <w:tcPr>
            <w:tcW w:w="7915" w:type="dxa"/>
          </w:tcPr>
          <w:p w:rsidRPr="00583A8C" w:rsidR="00EF76E9" w:rsidP="00444D8D" w:rsidRDefault="00EF76E9" w14:paraId="101397B7" w14:textId="56ADC49C">
            <w:pPr>
              <w:spacing w:line="259" w:lineRule="auto"/>
              <w:ind w:firstLine="0"/>
            </w:pPr>
            <w:r w:rsidRPr="00583A8C">
              <w:rPr>
                <w:b/>
                <w:bCs/>
              </w:rPr>
              <w:t>H</w:t>
            </w:r>
            <w:r w:rsidRPr="00583A8C" w:rsidR="00444D8D">
              <w:rPr>
                <w:b/>
                <w:bCs/>
              </w:rPr>
              <w:t>1 Default</w:t>
            </w:r>
            <w:r w:rsidRPr="00583A8C" w:rsidR="002B7DBB">
              <w:rPr>
                <w:b/>
                <w:bCs/>
              </w:rPr>
              <w:t xml:space="preserve"> offers</w:t>
            </w:r>
            <w:r w:rsidRPr="00583A8C" w:rsidR="004F5F5E">
              <w:rPr>
                <w:b/>
                <w:bCs/>
              </w:rPr>
              <w:t>:</w:t>
            </w:r>
            <w:r w:rsidRPr="00583A8C" w:rsidR="004F5F5E">
              <w:t xml:space="preserve"> </w:t>
            </w:r>
            <w:r w:rsidRPr="00583A8C">
              <w:t xml:space="preserve">When </w:t>
            </w:r>
            <w:r w:rsidRPr="00583A8C" w:rsidR="00F209C4">
              <w:t xml:space="preserve">participants start with </w:t>
            </w:r>
            <w:r w:rsidRPr="00583A8C">
              <w:t>a high-</w:t>
            </w:r>
            <w:r w:rsidRPr="00583A8C" w:rsidR="002B7DBB">
              <w:t>scoring</w:t>
            </w:r>
            <w:r w:rsidRPr="00583A8C">
              <w:t xml:space="preserve"> offer:</w:t>
            </w:r>
          </w:p>
          <w:p w:rsidRPr="00583A8C" w:rsidR="00444D8D" w:rsidP="00444D8D" w:rsidRDefault="00444D8D" w14:paraId="674DD992" w14:textId="52C302EB">
            <w:pPr>
              <w:spacing w:line="259" w:lineRule="auto"/>
              <w:ind w:firstLine="0"/>
            </w:pPr>
            <w:r w:rsidRPr="00583A8C">
              <w:rPr>
                <w:b/>
                <w:bCs/>
              </w:rPr>
              <w:t xml:space="preserve">  </w:t>
            </w:r>
            <w:r w:rsidRPr="00583A8C">
              <w:t xml:space="preserve">H1A: </w:t>
            </w:r>
            <w:r w:rsidRPr="00583A8C" w:rsidR="00EF76E9">
              <w:t>t</w:t>
            </w:r>
            <w:r w:rsidRPr="00583A8C">
              <w:t xml:space="preserve">he average </w:t>
            </w:r>
            <w:r w:rsidRPr="00583A8C" w:rsidR="00EF76E9">
              <w:t xml:space="preserve">score (reflecting </w:t>
            </w:r>
            <w:r w:rsidRPr="00583A8C" w:rsidR="004F5F5E">
              <w:t xml:space="preserve">both </w:t>
            </w:r>
            <w:r w:rsidRPr="00583A8C" w:rsidR="00EF76E9">
              <w:t>choices</w:t>
            </w:r>
            <w:r w:rsidRPr="00583A8C" w:rsidR="004F5F5E">
              <w:t>)</w:t>
            </w:r>
            <w:r w:rsidRPr="00583A8C" w:rsidR="00EF76E9">
              <w:t xml:space="preserve"> will be </w:t>
            </w:r>
            <w:proofErr w:type="gramStart"/>
            <w:r w:rsidRPr="00583A8C" w:rsidR="00EF76E9">
              <w:t>higher;</w:t>
            </w:r>
            <w:proofErr w:type="gramEnd"/>
          </w:p>
          <w:p w:rsidRPr="00583A8C" w:rsidR="00444D8D" w:rsidP="00444D8D" w:rsidRDefault="00444D8D" w14:paraId="16D7BA82" w14:textId="5BD5A558">
            <w:pPr>
              <w:spacing w:line="259" w:lineRule="auto"/>
              <w:ind w:firstLine="0"/>
            </w:pPr>
            <w:r w:rsidRPr="00583A8C">
              <w:t xml:space="preserve">  H1B:  </w:t>
            </w:r>
            <w:r w:rsidRPr="00583A8C" w:rsidR="00EF76E9">
              <w:t>t</w:t>
            </w:r>
            <w:r w:rsidRPr="00583A8C">
              <w:t xml:space="preserve">he average bid down will be </w:t>
            </w:r>
            <w:r w:rsidRPr="00583A8C" w:rsidR="00EF76E9">
              <w:t>larger; and</w:t>
            </w:r>
          </w:p>
          <w:p w:rsidRPr="00583A8C" w:rsidR="00444D8D" w:rsidP="00444D8D" w:rsidRDefault="00444D8D" w14:paraId="32D44091" w14:textId="77FC6270">
            <w:pPr>
              <w:spacing w:line="259" w:lineRule="auto"/>
              <w:ind w:firstLine="0"/>
            </w:pPr>
            <w:r w:rsidRPr="00583A8C">
              <w:t xml:space="preserve">  H1C:  </w:t>
            </w:r>
            <w:r w:rsidRPr="00583A8C" w:rsidR="00EF76E9">
              <w:t>h</w:t>
            </w:r>
            <w:r w:rsidRPr="00583A8C">
              <w:t>igher quality practices will be more common.</w:t>
            </w:r>
          </w:p>
          <w:p w:rsidRPr="00583A8C" w:rsidR="00E93A33" w:rsidP="00444D8D" w:rsidRDefault="00EF76E9" w14:paraId="4CAD84E0" w14:textId="31C3F8F2">
            <w:pPr>
              <w:spacing w:line="259" w:lineRule="auto"/>
              <w:ind w:firstLine="0"/>
              <w:rPr>
                <w:b/>
                <w:bCs/>
              </w:rPr>
            </w:pPr>
            <w:r w:rsidRPr="00583A8C">
              <w:rPr>
                <w:b/>
                <w:bCs/>
              </w:rPr>
              <w:t>H</w:t>
            </w:r>
            <w:r w:rsidRPr="00583A8C" w:rsidR="00E93A33">
              <w:rPr>
                <w:b/>
                <w:bCs/>
              </w:rPr>
              <w:t>2</w:t>
            </w:r>
            <w:r w:rsidRPr="00583A8C" w:rsidR="00444D8D">
              <w:rPr>
                <w:b/>
                <w:bCs/>
              </w:rPr>
              <w:t xml:space="preserve"> </w:t>
            </w:r>
            <w:r w:rsidRPr="00583A8C" w:rsidR="002B7DBB">
              <w:rPr>
                <w:b/>
                <w:bCs/>
              </w:rPr>
              <w:t>Score updating</w:t>
            </w:r>
            <w:r w:rsidRPr="00583A8C" w:rsidR="00E93A33">
              <w:rPr>
                <w:b/>
                <w:bCs/>
              </w:rPr>
              <w:t>:</w:t>
            </w:r>
            <w:r w:rsidRPr="00583A8C" w:rsidR="004F5F5E">
              <w:rPr>
                <w:b/>
                <w:bCs/>
              </w:rPr>
              <w:t xml:space="preserve"> </w:t>
            </w:r>
            <w:r w:rsidRPr="00583A8C" w:rsidR="00E93A33">
              <w:t xml:space="preserve">When </w:t>
            </w:r>
            <w:r w:rsidRPr="00583A8C" w:rsidR="004F5F5E">
              <w:t xml:space="preserve">scores are </w:t>
            </w:r>
            <w:r w:rsidRPr="00583A8C" w:rsidR="00E93A33">
              <w:t>updat</w:t>
            </w:r>
            <w:r w:rsidRPr="00583A8C" w:rsidR="004F5F5E">
              <w:t xml:space="preserve">ed live </w:t>
            </w:r>
            <w:r w:rsidRPr="00583A8C" w:rsidR="00E93A33">
              <w:t>in the software:</w:t>
            </w:r>
          </w:p>
          <w:p w:rsidRPr="00583A8C" w:rsidR="00444D8D" w:rsidP="00444D8D" w:rsidRDefault="00444D8D" w14:paraId="45975F5E" w14:textId="4E6E28F1">
            <w:pPr>
              <w:spacing w:line="259" w:lineRule="auto"/>
              <w:ind w:firstLine="0"/>
            </w:pPr>
            <w:r w:rsidRPr="00583A8C">
              <w:t xml:space="preserve">  H2A: </w:t>
            </w:r>
            <w:r w:rsidRPr="00583A8C" w:rsidR="00E93A33">
              <w:t>t</w:t>
            </w:r>
            <w:r w:rsidRPr="00583A8C">
              <w:t xml:space="preserve">he average bid down will be </w:t>
            </w:r>
            <w:r w:rsidRPr="00583A8C" w:rsidR="00E93A33">
              <w:t>larger for lower endowment fields and smaller for higher endowment fields, reflecting a greater responsiveness to the underlying auction incentives; and</w:t>
            </w:r>
          </w:p>
          <w:p w:rsidRPr="00583A8C" w:rsidR="00444D8D" w:rsidP="00444D8D" w:rsidRDefault="00444D8D" w14:paraId="1E4BC97C" w14:textId="02D31C1A">
            <w:pPr>
              <w:spacing w:line="259" w:lineRule="auto"/>
              <w:ind w:firstLine="0"/>
            </w:pPr>
            <w:r w:rsidRPr="00583A8C">
              <w:t xml:space="preserve">  H2B: </w:t>
            </w:r>
            <w:r w:rsidRPr="00583A8C" w:rsidR="00E93A33">
              <w:t>lower endowment fields will be more likely</w:t>
            </w:r>
            <w:r w:rsidRPr="00583A8C" w:rsidR="004F5F5E">
              <w:t xml:space="preserve"> and higher endowment fields will be less likely</w:t>
            </w:r>
            <w:r w:rsidRPr="00583A8C" w:rsidR="00E93A33">
              <w:t xml:space="preserve"> to offer higher quality practices.</w:t>
            </w:r>
          </w:p>
          <w:p w:rsidRPr="00583A8C" w:rsidR="00444D8D" w:rsidP="00444D8D" w:rsidRDefault="00444D8D" w14:paraId="4C41D705" w14:textId="6C0573CE">
            <w:pPr>
              <w:spacing w:line="259" w:lineRule="auto"/>
              <w:ind w:firstLine="0"/>
            </w:pPr>
          </w:p>
        </w:tc>
      </w:tr>
      <w:tr w:rsidRPr="00583A8C" w:rsidR="00444D8D" w:rsidTr="0079628F" w14:paraId="007B7B29" w14:textId="77777777">
        <w:tc>
          <w:tcPr>
            <w:tcW w:w="1435" w:type="dxa"/>
          </w:tcPr>
          <w:p w:rsidRPr="00583A8C" w:rsidR="00444D8D" w:rsidP="00444D8D" w:rsidRDefault="002B7DBB" w14:paraId="7DA9978B" w14:textId="5EF98808">
            <w:pPr>
              <w:spacing w:line="259" w:lineRule="auto"/>
              <w:ind w:firstLine="0"/>
            </w:pPr>
            <w:r w:rsidRPr="00583A8C">
              <w:t>Rounds</w:t>
            </w:r>
          </w:p>
        </w:tc>
        <w:tc>
          <w:tcPr>
            <w:tcW w:w="7915" w:type="dxa"/>
          </w:tcPr>
          <w:p w:rsidRPr="00583A8C" w:rsidR="00444D8D" w:rsidP="00444D8D" w:rsidRDefault="002B7DBB" w14:paraId="6E279B3E" w14:textId="3C1AC77B">
            <w:pPr>
              <w:spacing w:line="259" w:lineRule="auto"/>
              <w:ind w:firstLine="0"/>
            </w:pPr>
            <w:r w:rsidRPr="00583A8C">
              <w:t>4 rounds: 1 training round and 3 auction rounds</w:t>
            </w:r>
            <w:r w:rsidRPr="00583A8C" w:rsidR="00662E46">
              <w:t>.  In each round, participants are endowed with a field-specific bid-cap and land quality conservation score.</w:t>
            </w:r>
          </w:p>
        </w:tc>
      </w:tr>
      <w:tr w:rsidRPr="00583A8C" w:rsidR="002B7DBB" w:rsidTr="0079628F" w14:paraId="140451ED" w14:textId="77777777">
        <w:tc>
          <w:tcPr>
            <w:tcW w:w="1435" w:type="dxa"/>
          </w:tcPr>
          <w:p w:rsidRPr="00583A8C" w:rsidR="002B7DBB" w:rsidP="002B7DBB" w:rsidRDefault="002B7DBB" w14:paraId="3904F35A" w14:textId="355D0636">
            <w:pPr>
              <w:spacing w:line="259" w:lineRule="auto"/>
              <w:ind w:firstLine="0"/>
            </w:pPr>
            <w:r w:rsidRPr="00583A8C">
              <w:t>Incentives</w:t>
            </w:r>
          </w:p>
        </w:tc>
        <w:tc>
          <w:tcPr>
            <w:tcW w:w="7915" w:type="dxa"/>
          </w:tcPr>
          <w:p w:rsidRPr="00583A8C" w:rsidR="002B7DBB" w:rsidP="002B7DBB" w:rsidRDefault="002B7DBB" w14:paraId="0DF891F6" w14:textId="3FFEF615">
            <w:pPr>
              <w:spacing w:line="259" w:lineRule="auto"/>
              <w:ind w:firstLine="0"/>
            </w:pPr>
            <w:r w:rsidRPr="00583A8C">
              <w:t xml:space="preserve">In each round, participants are endowed with field-specific bid cap and a land quality conservation score.  Monetary payments to participants depend upon having an offer accepted and are lower if they bid down more or select a better practice. The </w:t>
            </w:r>
            <w:r w:rsidRPr="00583A8C" w:rsidR="002A14AE">
              <w:t xml:space="preserve">average </w:t>
            </w:r>
            <w:r w:rsidRPr="00583A8C">
              <w:t>payment for farmers is $</w:t>
            </w:r>
            <w:r w:rsidRPr="00583A8C" w:rsidR="007A5CDA">
              <w:t>42</w:t>
            </w:r>
            <w:r w:rsidRPr="00583A8C">
              <w:t>: a $10 participation fee (minimum payment) plus $</w:t>
            </w:r>
            <w:r w:rsidRPr="00583A8C" w:rsidR="007A5CDA">
              <w:t>32</w:t>
            </w:r>
            <w:r w:rsidRPr="00583A8C">
              <w:t xml:space="preserve"> based on expected offer structure and acceptance rate. </w:t>
            </w:r>
          </w:p>
        </w:tc>
      </w:tr>
      <w:tr w:rsidRPr="00583A8C" w:rsidR="002B7DBB" w:rsidTr="0079628F" w14:paraId="177F272A" w14:textId="77777777">
        <w:tc>
          <w:tcPr>
            <w:tcW w:w="1435" w:type="dxa"/>
          </w:tcPr>
          <w:p w:rsidRPr="00583A8C" w:rsidR="002B7DBB" w:rsidP="002B7DBB" w:rsidRDefault="002B7DBB" w14:paraId="04C7B67C" w14:textId="50E7C1DB">
            <w:pPr>
              <w:spacing w:line="259" w:lineRule="auto"/>
              <w:ind w:firstLine="0"/>
            </w:pPr>
            <w:r w:rsidRPr="00583A8C">
              <w:t>Sessions</w:t>
            </w:r>
          </w:p>
        </w:tc>
        <w:tc>
          <w:tcPr>
            <w:tcW w:w="7915" w:type="dxa"/>
          </w:tcPr>
          <w:p w:rsidRPr="00583A8C" w:rsidR="002B7DBB" w:rsidP="002B7DBB" w:rsidRDefault="002B7DBB" w14:paraId="7CB06E29" w14:textId="33335F44">
            <w:pPr>
              <w:spacing w:line="259" w:lineRule="auto"/>
              <w:ind w:firstLine="0"/>
            </w:pPr>
            <w:r w:rsidRPr="00583A8C">
              <w:t>1 session per participant.</w:t>
            </w:r>
          </w:p>
        </w:tc>
      </w:tr>
      <w:tr w:rsidRPr="00583A8C" w:rsidR="002B7DBB" w:rsidTr="0079628F" w14:paraId="5CA6948D" w14:textId="77777777">
        <w:tc>
          <w:tcPr>
            <w:tcW w:w="1435" w:type="dxa"/>
          </w:tcPr>
          <w:p w:rsidRPr="00583A8C" w:rsidR="002B7DBB" w:rsidP="002B7DBB" w:rsidRDefault="002B7DBB" w14:paraId="3069E8D3" w14:textId="39196E16">
            <w:pPr>
              <w:spacing w:line="259" w:lineRule="auto"/>
              <w:ind w:firstLine="0"/>
            </w:pPr>
            <w:r w:rsidRPr="00583A8C">
              <w:t>Time to complete</w:t>
            </w:r>
          </w:p>
        </w:tc>
        <w:tc>
          <w:tcPr>
            <w:tcW w:w="7915" w:type="dxa"/>
          </w:tcPr>
          <w:p w:rsidRPr="00583A8C" w:rsidR="002B7DBB" w:rsidP="002B7DBB" w:rsidRDefault="00FB7310" w14:paraId="6A15AD4F" w14:textId="54DA9329">
            <w:pPr>
              <w:spacing w:line="259" w:lineRule="auto"/>
              <w:ind w:firstLine="0"/>
            </w:pPr>
            <w:r w:rsidRPr="00583A8C">
              <w:t>3</w:t>
            </w:r>
            <w:r w:rsidRPr="00583A8C" w:rsidR="002B7DBB">
              <w:t>0 or fewer minutes</w:t>
            </w:r>
            <w:r w:rsidRPr="00583A8C" w:rsidR="002A14AE">
              <w:t xml:space="preserve"> to complete a session, including training materials and practice round.</w:t>
            </w:r>
          </w:p>
        </w:tc>
      </w:tr>
    </w:tbl>
    <w:p w:rsidRPr="00583A8C" w:rsidR="009371B1" w:rsidP="002C321E" w:rsidRDefault="009371B1" w14:paraId="387024B4" w14:textId="77777777">
      <w:pPr>
        <w:pStyle w:val="Heading2"/>
      </w:pPr>
    </w:p>
    <w:p w:rsidRPr="00583A8C" w:rsidR="002C321E" w:rsidP="002C321E" w:rsidRDefault="002C321E" w14:paraId="183D59F4" w14:textId="3700E579">
      <w:pPr>
        <w:pStyle w:val="Heading2"/>
      </w:pPr>
      <w:r w:rsidRPr="00583A8C">
        <w:t>Background</w:t>
      </w:r>
    </w:p>
    <w:p w:rsidRPr="00583A8C" w:rsidR="00490B39" w:rsidP="00490B39" w:rsidRDefault="00490B39" w14:paraId="400E2DE5" w14:textId="6443F222">
      <w:pPr>
        <w:pStyle w:val="ListParagraph"/>
        <w:numPr>
          <w:ilvl w:val="0"/>
          <w:numId w:val="9"/>
        </w:numPr>
      </w:pPr>
      <w:r w:rsidRPr="00583A8C">
        <w:t>CRP is a large reverse auction in which offers are ranked on quality and price.</w:t>
      </w:r>
    </w:p>
    <w:p w:rsidRPr="00583A8C" w:rsidR="00490B39" w:rsidP="008E14D6" w:rsidRDefault="00490B39" w14:paraId="1DACF61E" w14:textId="3FCA2CA4">
      <w:pPr>
        <w:pStyle w:val="ListParagraph"/>
        <w:numPr>
          <w:ilvl w:val="0"/>
          <w:numId w:val="9"/>
        </w:numPr>
      </w:pPr>
      <w:r w:rsidRPr="00583A8C">
        <w:t>Revisions in the enrollment software could lead to higher quality and lower price</w:t>
      </w:r>
      <w:r w:rsidRPr="00583A8C" w:rsidR="00D3678C">
        <w:t xml:space="preserve"> offers from participants</w:t>
      </w:r>
      <w:r w:rsidRPr="00583A8C">
        <w:t>.</w:t>
      </w:r>
    </w:p>
    <w:p w:rsidRPr="00583A8C" w:rsidR="00485861" w:rsidP="001D628D" w:rsidRDefault="00E708D9" w14:paraId="04B0A99B" w14:textId="67163B0C">
      <w:r w:rsidRPr="00583A8C">
        <w:t>The</w:t>
      </w:r>
      <w:r w:rsidRPr="00583A8C" w:rsidR="00CE2B6D">
        <w:t xml:space="preserve"> </w:t>
      </w:r>
      <w:r w:rsidRPr="00583A8C" w:rsidR="00065375">
        <w:t xml:space="preserve">annual budget </w:t>
      </w:r>
      <w:r w:rsidRPr="00583A8C" w:rsidR="003A214B">
        <w:t>for CRP is</w:t>
      </w:r>
      <w:r w:rsidRPr="00583A8C" w:rsidR="00F77197">
        <w:t xml:space="preserve"> about $2 billion</w:t>
      </w:r>
      <w:r w:rsidRPr="00583A8C" w:rsidR="00065375">
        <w:t xml:space="preserve">.  </w:t>
      </w:r>
      <w:r w:rsidRPr="00583A8C" w:rsidR="003A214B">
        <w:t xml:space="preserve">The </w:t>
      </w:r>
      <w:r w:rsidRPr="00583A8C">
        <w:t>2</w:t>
      </w:r>
      <w:r w:rsidRPr="00583A8C" w:rsidR="00686447">
        <w:t>2</w:t>
      </w:r>
      <w:r w:rsidRPr="00583A8C">
        <w:t xml:space="preserve"> million acres</w:t>
      </w:r>
      <w:r w:rsidRPr="00583A8C" w:rsidR="003A214B">
        <w:t xml:space="preserve"> currently enrolled in the program </w:t>
      </w:r>
      <w:r w:rsidRPr="00583A8C" w:rsidR="00065375">
        <w:t>entered or re-enrolled within the past fifteen years</w:t>
      </w:r>
      <w:r w:rsidRPr="00583A8C" w:rsidR="00CE2B6D">
        <w:t xml:space="preserve">.  </w:t>
      </w:r>
      <w:r w:rsidRPr="00583A8C" w:rsidR="0020765F">
        <w:t xml:space="preserve">This research will examine the CRP General Signup, a large reverse auction that is the </w:t>
      </w:r>
      <w:r w:rsidRPr="00583A8C" w:rsidR="008D26B1">
        <w:t>system through which most land is enrolled in the program.</w:t>
      </w:r>
      <w:r w:rsidRPr="00583A8C" w:rsidR="0020765F">
        <w:t xml:space="preserve"> In the </w:t>
      </w:r>
      <w:r w:rsidRPr="00583A8C" w:rsidR="007A5CDA">
        <w:t xml:space="preserve">March 2020 </w:t>
      </w:r>
      <w:r w:rsidRPr="00583A8C" w:rsidR="00CE2B6D">
        <w:t>General Signup</w:t>
      </w:r>
      <w:r w:rsidRPr="00583A8C">
        <w:t>, USDA</w:t>
      </w:r>
      <w:r w:rsidRPr="00583A8C" w:rsidR="00CE2B6D">
        <w:t xml:space="preserve"> accepted</w:t>
      </w:r>
      <w:r w:rsidRPr="00583A8C" w:rsidR="0020765F">
        <w:t xml:space="preserve"> 51,610</w:t>
      </w:r>
      <w:r w:rsidRPr="00583A8C" w:rsidR="00CE2B6D">
        <w:t xml:space="preserve"> </w:t>
      </w:r>
      <w:r w:rsidRPr="00583A8C">
        <w:t>offers</w:t>
      </w:r>
      <w:r w:rsidRPr="00583A8C" w:rsidR="0020765F">
        <w:t>.  Since these offers will become 10-year contracts with over $</w:t>
      </w:r>
      <w:r w:rsidRPr="00583A8C" w:rsidR="001747B4">
        <w:t>185</w:t>
      </w:r>
      <w:r w:rsidRPr="00583A8C" w:rsidR="0020765F">
        <w:t xml:space="preserve"> million in annual payments and cost-share payments </w:t>
      </w:r>
      <w:r w:rsidRPr="00583A8C" w:rsidR="00624473">
        <w:t xml:space="preserve">to establish </w:t>
      </w:r>
      <w:r w:rsidRPr="00583A8C" w:rsidR="0020765F">
        <w:t xml:space="preserve">conservation cover, this single </w:t>
      </w:r>
      <w:r w:rsidRPr="00583A8C" w:rsidR="00624473">
        <w:t xml:space="preserve">signup </w:t>
      </w:r>
      <w:r w:rsidRPr="00583A8C" w:rsidR="0020765F">
        <w:t>represent</w:t>
      </w:r>
      <w:r w:rsidRPr="00583A8C" w:rsidR="008D26B1">
        <w:t>s</w:t>
      </w:r>
      <w:r w:rsidRPr="00583A8C" w:rsidR="0020765F">
        <w:t xml:space="preserve"> over $2.5 billion in federal procurement of environmental services.</w:t>
      </w:r>
      <w:r w:rsidRPr="00583A8C" w:rsidR="00CE2B6D">
        <w:t xml:space="preserve">  </w:t>
      </w:r>
    </w:p>
    <w:p w:rsidRPr="00583A8C" w:rsidR="000F4099" w:rsidP="0073296E" w:rsidRDefault="00624473" w14:paraId="1A384F57" w14:textId="498CB43B">
      <w:r w:rsidRPr="00583A8C">
        <w:t xml:space="preserve">Given the General Signup’s financial scale, </w:t>
      </w:r>
      <w:r w:rsidRPr="00583A8C" w:rsidR="00E708D9">
        <w:t xml:space="preserve">the </w:t>
      </w:r>
      <w:r w:rsidRPr="00583A8C">
        <w:t xml:space="preserve">auction </w:t>
      </w:r>
      <w:r w:rsidRPr="00583A8C" w:rsidR="00E708D9">
        <w:t xml:space="preserve">is designed with cost </w:t>
      </w:r>
      <w:r w:rsidRPr="00583A8C" w:rsidR="0048500D">
        <w:t>effectiveness</w:t>
      </w:r>
      <w:r w:rsidRPr="00583A8C" w:rsidR="00E708D9">
        <w:t xml:space="preserve"> as an important program goal.  </w:t>
      </w:r>
      <w:r w:rsidRPr="00583A8C" w:rsidR="00CE2B6D">
        <w:t xml:space="preserve">The average annual rental payment in the </w:t>
      </w:r>
      <w:r w:rsidRPr="00583A8C" w:rsidR="001747B4">
        <w:t>2016</w:t>
      </w:r>
      <w:r w:rsidRPr="00583A8C" w:rsidR="00CE2B6D">
        <w:t xml:space="preserve"> signup for accepted offers was about $63 per acre per year (FSA SU 49 book)</w:t>
      </w:r>
      <w:r w:rsidRPr="00583A8C" w:rsidR="00E708D9">
        <w:t>.  In contrast,</w:t>
      </w:r>
      <w:r w:rsidRPr="00583A8C" w:rsidR="00CE2B6D">
        <w:t xml:space="preserve"> the natio</w:t>
      </w:r>
      <w:r w:rsidRPr="00583A8C" w:rsidR="00E708D9">
        <w:t>nal cropland cash rental rate</w:t>
      </w:r>
      <w:r w:rsidRPr="00583A8C" w:rsidR="00A50BFA">
        <w:t xml:space="preserve"> for non-irrigated land</w:t>
      </w:r>
      <w:r w:rsidRPr="00583A8C" w:rsidR="00E708D9">
        <w:t xml:space="preserve"> was</w:t>
      </w:r>
      <w:r w:rsidRPr="00583A8C" w:rsidR="00CE2B6D">
        <w:t xml:space="preserve"> $1</w:t>
      </w:r>
      <w:r w:rsidRPr="00583A8C" w:rsidR="00A50BFA">
        <w:t>25</w:t>
      </w:r>
      <w:r w:rsidRPr="00583A8C" w:rsidR="00CE2B6D">
        <w:t xml:space="preserve"> per acre (NASS, October 2016).</w:t>
      </w:r>
      <w:r w:rsidRPr="00583A8C" w:rsidR="006C4ECE">
        <w:t xml:space="preserve">  </w:t>
      </w:r>
      <w:r w:rsidRPr="00583A8C" w:rsidR="00015700">
        <w:t>Th</w:t>
      </w:r>
      <w:r w:rsidRPr="00583A8C" w:rsidR="0048500D">
        <w:t xml:space="preserve">ree aspects of the program design are responsible for the lower average rental </w:t>
      </w:r>
      <w:r w:rsidRPr="00583A8C">
        <w:t xml:space="preserve">payment </w:t>
      </w:r>
      <w:r w:rsidRPr="00583A8C" w:rsidR="0048500D">
        <w:t xml:space="preserve">on CRP land: </w:t>
      </w:r>
      <w:r w:rsidRPr="00583A8C">
        <w:t xml:space="preserve">(a) </w:t>
      </w:r>
      <w:r w:rsidRPr="00583A8C" w:rsidR="00015700">
        <w:t xml:space="preserve">the </w:t>
      </w:r>
      <w:r w:rsidRPr="00583A8C" w:rsidR="00485861">
        <w:t>eligi</w:t>
      </w:r>
      <w:r w:rsidRPr="00583A8C" w:rsidR="00015700">
        <w:t>bility criteria, whi</w:t>
      </w:r>
      <w:r w:rsidRPr="00583A8C">
        <w:t xml:space="preserve">ch favor more environmentally sensitive land that happens to also be more economically </w:t>
      </w:r>
      <w:r w:rsidRPr="00583A8C" w:rsidR="00485861">
        <w:t>marginal</w:t>
      </w:r>
      <w:r w:rsidRPr="00583A8C" w:rsidR="0048500D">
        <w:t xml:space="preserve">; </w:t>
      </w:r>
      <w:r w:rsidRPr="00583A8C">
        <w:t xml:space="preserve">(b) </w:t>
      </w:r>
      <w:r w:rsidRPr="00583A8C" w:rsidR="0048500D">
        <w:t>field-</w:t>
      </w:r>
      <w:r w:rsidRPr="00583A8C">
        <w:t xml:space="preserve">specific </w:t>
      </w:r>
      <w:r w:rsidRPr="00583A8C" w:rsidR="0048500D">
        <w:t xml:space="preserve">bid caps, which are upper limits on rental </w:t>
      </w:r>
      <w:r w:rsidRPr="00583A8C">
        <w:t>payments</w:t>
      </w:r>
      <w:r w:rsidRPr="00583A8C" w:rsidR="0048500D">
        <w:t>;</w:t>
      </w:r>
      <w:r w:rsidRPr="00583A8C" w:rsidR="00485861">
        <w:t xml:space="preserve"> and </w:t>
      </w:r>
      <w:r w:rsidRPr="00583A8C">
        <w:t xml:space="preserve">(c) </w:t>
      </w:r>
      <w:r w:rsidRPr="00583A8C" w:rsidR="0048500D">
        <w:t xml:space="preserve">a cost factor in the offer ranking, which favors offers with lower rental </w:t>
      </w:r>
      <w:r w:rsidRPr="00583A8C">
        <w:t>payments</w:t>
      </w:r>
      <w:r w:rsidRPr="00583A8C" w:rsidR="00015700">
        <w:t>.</w:t>
      </w:r>
    </w:p>
    <w:p w:rsidRPr="00583A8C" w:rsidR="005A3202" w:rsidP="005C46B9" w:rsidRDefault="004B06E5" w14:paraId="568E95CB" w14:textId="43CAF8C7">
      <w:r w:rsidRPr="00583A8C">
        <w:t xml:space="preserve">In addition to assessing offers based on their </w:t>
      </w:r>
      <w:r w:rsidRPr="00583A8C" w:rsidR="00662E46">
        <w:t>price</w:t>
      </w:r>
      <w:r w:rsidRPr="00583A8C">
        <w:t xml:space="preserve">, the </w:t>
      </w:r>
      <w:r w:rsidRPr="00583A8C" w:rsidR="000F4099">
        <w:t xml:space="preserve">auction </w:t>
      </w:r>
      <w:r w:rsidRPr="00583A8C">
        <w:t xml:space="preserve">also </w:t>
      </w:r>
      <w:r w:rsidRPr="00583A8C" w:rsidR="000F4099">
        <w:t>ranks offers</w:t>
      </w:r>
      <w:r w:rsidRPr="00583A8C">
        <w:t xml:space="preserve"> based on</w:t>
      </w:r>
      <w:r w:rsidRPr="00583A8C" w:rsidR="000F4099">
        <w:t xml:space="preserve"> quality</w:t>
      </w:r>
      <w:r w:rsidRPr="00583A8C">
        <w:t xml:space="preserve"> using both</w:t>
      </w:r>
      <w:r w:rsidRPr="00583A8C" w:rsidR="000F4099">
        <w:t xml:space="preserve"> characteristics of the land</w:t>
      </w:r>
      <w:r w:rsidRPr="00583A8C">
        <w:t xml:space="preserve"> (e.g.</w:t>
      </w:r>
      <w:r w:rsidRPr="00583A8C" w:rsidR="00662E46">
        <w:t>,</w:t>
      </w:r>
      <w:r w:rsidRPr="00583A8C">
        <w:t xml:space="preserve"> soil erodibility)</w:t>
      </w:r>
      <w:r w:rsidRPr="00583A8C" w:rsidR="000F4099">
        <w:t xml:space="preserve"> and the type of cover practice chosen.  </w:t>
      </w:r>
      <w:r w:rsidRPr="00583A8C">
        <w:t xml:space="preserve">Price and quality measures are combined in a score </w:t>
      </w:r>
      <w:r w:rsidRPr="00583A8C" w:rsidR="000F4099">
        <w:t>known as the Environmental Benefits Index</w:t>
      </w:r>
      <w:r w:rsidRPr="00583A8C">
        <w:t xml:space="preserve"> (EBI).  The EBI</w:t>
      </w:r>
      <w:r w:rsidRPr="00583A8C" w:rsidR="000F4099">
        <w:t xml:space="preserve"> rewards offers with lower rental </w:t>
      </w:r>
      <w:r w:rsidRPr="00583A8C">
        <w:t xml:space="preserve">payments </w:t>
      </w:r>
      <w:r w:rsidRPr="00583A8C" w:rsidR="000F4099">
        <w:t xml:space="preserve">and with better conservation covers.  Improved covers are also incentivized through cost-share payments that reduce the marginal cost to the participants of upgrading to better conservation covers. </w:t>
      </w:r>
      <w:r w:rsidRPr="00583A8C">
        <w:t xml:space="preserve">To explore ways to complement or enhance the current incentives for improved practices and lower </w:t>
      </w:r>
      <w:r w:rsidRPr="00583A8C">
        <w:lastRenderedPageBreak/>
        <w:t>payments, t</w:t>
      </w:r>
      <w:r w:rsidRPr="00583A8C" w:rsidR="000F4099">
        <w:t xml:space="preserve">his study </w:t>
      </w:r>
      <w:r w:rsidRPr="00583A8C">
        <w:t xml:space="preserve">applies insights from behavioral economics to study the potential impact </w:t>
      </w:r>
      <w:r w:rsidRPr="00583A8C" w:rsidR="000F4099">
        <w:t xml:space="preserve">of </w:t>
      </w:r>
      <w:r w:rsidRPr="00583A8C" w:rsidR="0028386C">
        <w:t>changes within the enrollment software.</w:t>
      </w:r>
    </w:p>
    <w:p w:rsidRPr="00583A8C" w:rsidR="00B45231" w:rsidP="00540693" w:rsidRDefault="00B45231" w14:paraId="3715775F" w14:textId="77777777">
      <w:pPr>
        <w:pStyle w:val="Heading2"/>
        <w:rPr>
          <w:b w:val="0"/>
          <w:bCs/>
        </w:rPr>
      </w:pPr>
      <w:r w:rsidRPr="00583A8C">
        <w:rPr>
          <w:rStyle w:val="Heading2Char"/>
          <w:b/>
          <w:bCs/>
        </w:rPr>
        <w:t>Research Design and Implementation Team</w:t>
      </w:r>
      <w:r w:rsidRPr="00583A8C">
        <w:rPr>
          <w:b w:val="0"/>
          <w:bCs/>
        </w:rPr>
        <w:t>:</w:t>
      </w:r>
    </w:p>
    <w:p w:rsidRPr="00583A8C" w:rsidR="00814750" w:rsidP="00814750" w:rsidRDefault="00B45231" w14:paraId="4D913D32" w14:textId="0EEF9B28">
      <w:r w:rsidRPr="00583A8C">
        <w:t>The study is being designed and implemented by Steven Wallander (USDA Economic Research Service), Kent Messer (Univ</w:t>
      </w:r>
      <w:r w:rsidRPr="00583A8C" w:rsidR="00D3678C">
        <w:t>ersity</w:t>
      </w:r>
      <w:r w:rsidRPr="00583A8C">
        <w:t xml:space="preserve"> of Delaware, CBEAR), Paul Ferraro (Johns Hopkins University, CBEAR)</w:t>
      </w:r>
      <w:r w:rsidRPr="00583A8C" w:rsidR="00AD585D">
        <w:t>,</w:t>
      </w:r>
      <w:r w:rsidRPr="00583A8C" w:rsidR="00AD585D">
        <w:rPr>
          <w:rFonts w:cs="Times New Roman"/>
          <w:szCs w:val="24"/>
        </w:rPr>
        <w:t xml:space="preserve"> Richard Iovanna (USDA F</w:t>
      </w:r>
      <w:r w:rsidRPr="00583A8C" w:rsidR="0048500D">
        <w:rPr>
          <w:rFonts w:cs="Times New Roman"/>
          <w:szCs w:val="24"/>
        </w:rPr>
        <w:t>PAC-BC</w:t>
      </w:r>
      <w:r w:rsidRPr="00583A8C" w:rsidR="00AD585D">
        <w:rPr>
          <w:rFonts w:cs="Times New Roman"/>
          <w:szCs w:val="24"/>
        </w:rPr>
        <w:t>)</w:t>
      </w:r>
      <w:r w:rsidRPr="00583A8C" w:rsidR="00F77197">
        <w:rPr>
          <w:rFonts w:cs="Times New Roman"/>
          <w:szCs w:val="24"/>
        </w:rPr>
        <w:t>, and Laura Paul (University</w:t>
      </w:r>
      <w:r w:rsidRPr="00583A8C" w:rsidR="0048500D">
        <w:rPr>
          <w:rFonts w:cs="Times New Roman"/>
          <w:szCs w:val="24"/>
        </w:rPr>
        <w:t xml:space="preserve"> of Delaware</w:t>
      </w:r>
      <w:r w:rsidRPr="00583A8C" w:rsidR="00F77197">
        <w:rPr>
          <w:rFonts w:cs="Times New Roman"/>
          <w:szCs w:val="24"/>
        </w:rPr>
        <w:t>, CBEAR)</w:t>
      </w:r>
      <w:r w:rsidRPr="00583A8C">
        <w:t>.  In September 2017, ERS and CBEAR entered into a cooperative agr</w:t>
      </w:r>
      <w:r w:rsidRPr="00583A8C" w:rsidR="00834497">
        <w:t>eement to conduct th</w:t>
      </w:r>
      <w:r w:rsidRPr="00583A8C" w:rsidR="00F77197">
        <w:t xml:space="preserve">e initial design phase for this </w:t>
      </w:r>
      <w:r w:rsidRPr="00583A8C" w:rsidR="00834497">
        <w:t>research.</w:t>
      </w:r>
    </w:p>
    <w:p w:rsidRPr="00583A8C" w:rsidR="00B45231" w:rsidP="001D628D" w:rsidRDefault="00B45231" w14:paraId="57E57E28" w14:textId="77777777">
      <w:pPr>
        <w:pStyle w:val="Heading2"/>
      </w:pPr>
      <w:r w:rsidRPr="00583A8C">
        <w:t>Collaborators:</w:t>
      </w:r>
    </w:p>
    <w:p w:rsidRPr="00583A8C" w:rsidR="00834497" w:rsidP="00834497" w:rsidRDefault="00B45231" w14:paraId="1A2599F4" w14:textId="496E1CE5">
      <w:r w:rsidRPr="00583A8C">
        <w:t xml:space="preserve">This </w:t>
      </w:r>
      <w:r w:rsidRPr="00583A8C" w:rsidR="00F77197">
        <w:t>experiment is being</w:t>
      </w:r>
      <w:r w:rsidRPr="00583A8C">
        <w:t xml:space="preserve"> developed and implemented with input from USDA’s Farm Service Agency (FSA)</w:t>
      </w:r>
      <w:r w:rsidRPr="00583A8C" w:rsidR="00214164">
        <w:t xml:space="preserve"> and the FPAC Business Center (FPAC-BC)</w:t>
      </w:r>
      <w:r w:rsidRPr="00583A8C">
        <w:t xml:space="preserve">. </w:t>
      </w:r>
    </w:p>
    <w:p w:rsidRPr="00583A8C" w:rsidR="00B45231" w:rsidP="001D628D" w:rsidRDefault="00B45231" w14:paraId="765A0F7D" w14:textId="77777777">
      <w:pPr>
        <w:pStyle w:val="Heading2"/>
      </w:pPr>
      <w:r w:rsidRPr="00583A8C">
        <w:t>Experimental Structure</w:t>
      </w:r>
    </w:p>
    <w:p w:rsidRPr="00583A8C" w:rsidR="00490B39" w:rsidP="008E14D6" w:rsidRDefault="00490B39" w14:paraId="27AFD3E9" w14:textId="2820D8AF">
      <w:pPr>
        <w:pStyle w:val="ListParagraph"/>
        <w:numPr>
          <w:ilvl w:val="0"/>
          <w:numId w:val="9"/>
        </w:numPr>
      </w:pPr>
      <w:r w:rsidRPr="00583A8C">
        <w:t xml:space="preserve">Treatments will be tested within an online auction </w:t>
      </w:r>
      <w:r w:rsidRPr="00583A8C" w:rsidR="008E14D6">
        <w:t>using</w:t>
      </w:r>
      <w:r w:rsidRPr="00583A8C">
        <w:t xml:space="preserve"> real payments.</w:t>
      </w:r>
    </w:p>
    <w:p w:rsidRPr="00583A8C" w:rsidR="00F945AB" w:rsidP="00B53687" w:rsidRDefault="00C90B67" w14:paraId="7F05A893" w14:textId="7AF4E834">
      <w:r w:rsidRPr="00583A8C">
        <w:t>This study will use an artefactual field experiment</w:t>
      </w:r>
      <w:r w:rsidRPr="00583A8C" w:rsidR="00E018EA">
        <w:t>, which involves a set of choices in a context that closely resembles real world decisions and involves actual financial payouts to participants</w:t>
      </w:r>
      <w:r w:rsidRPr="00583A8C" w:rsidR="00D3678C">
        <w:t xml:space="preserve"> based on their decisions</w:t>
      </w:r>
      <w:r w:rsidRPr="00583A8C">
        <w:t xml:space="preserve"> (Harrison and </w:t>
      </w:r>
      <w:r w:rsidRPr="00583A8C" w:rsidR="00695C4E">
        <w:t xml:space="preserve">List, 2004).  </w:t>
      </w:r>
      <w:r w:rsidRPr="00583A8C" w:rsidR="00BD062B">
        <w:t xml:space="preserve">In comparison to laboratory experiments, artefactual experiments have better </w:t>
      </w:r>
      <w:r w:rsidRPr="00583A8C">
        <w:t xml:space="preserve">external validity for the purpose of informing </w:t>
      </w:r>
      <w:r w:rsidRPr="00583A8C" w:rsidR="00BD062B">
        <w:t xml:space="preserve">the design of </w:t>
      </w:r>
      <w:r w:rsidRPr="00583A8C">
        <w:t xml:space="preserve">the CRP General Signup.  The </w:t>
      </w:r>
      <w:r w:rsidRPr="00583A8C" w:rsidR="00BD062B">
        <w:t xml:space="preserve">experimental </w:t>
      </w:r>
      <w:r w:rsidRPr="00583A8C">
        <w:t>treatments will be</w:t>
      </w:r>
      <w:r w:rsidRPr="00583A8C" w:rsidR="00BD062B">
        <w:t xml:space="preserve"> implemented similarly</w:t>
      </w:r>
      <w:r w:rsidRPr="00583A8C">
        <w:t xml:space="preserve"> to </w:t>
      </w:r>
      <w:r w:rsidRPr="00583A8C" w:rsidR="00BD062B">
        <w:t xml:space="preserve">how </w:t>
      </w:r>
      <w:r w:rsidRPr="00583A8C">
        <w:t xml:space="preserve">they </w:t>
      </w:r>
      <w:r w:rsidRPr="00583A8C" w:rsidR="00880F2A">
        <w:t>c</w:t>
      </w:r>
      <w:r w:rsidRPr="00583A8C">
        <w:t>ould be implemented in the General Signup</w:t>
      </w:r>
      <w:r w:rsidRPr="00583A8C" w:rsidR="00BD062B">
        <w:t xml:space="preserve"> software</w:t>
      </w:r>
      <w:r w:rsidRPr="00583A8C">
        <w:t xml:space="preserve">.  The </w:t>
      </w:r>
      <w:r w:rsidRPr="00583A8C" w:rsidR="00E018EA">
        <w:t xml:space="preserve">auction </w:t>
      </w:r>
      <w:r w:rsidRPr="00583A8C">
        <w:t>outcome</w:t>
      </w:r>
      <w:r w:rsidRPr="00583A8C" w:rsidR="00BD062B">
        <w:t>,</w:t>
      </w:r>
      <w:r w:rsidRPr="00583A8C" w:rsidR="00E018EA">
        <w:t xml:space="preserve"> in terms of </w:t>
      </w:r>
      <w:r w:rsidRPr="00583A8C" w:rsidR="00EB4F68">
        <w:t>annual payment</w:t>
      </w:r>
      <w:r w:rsidRPr="00583A8C" w:rsidR="00E018EA">
        <w:t xml:space="preserve"> and cover practice selection</w:t>
      </w:r>
      <w:r w:rsidRPr="00583A8C" w:rsidR="00BD062B">
        <w:t>,</w:t>
      </w:r>
      <w:r w:rsidRPr="00583A8C" w:rsidR="00E018EA">
        <w:t xml:space="preserve"> </w:t>
      </w:r>
      <w:r w:rsidRPr="00583A8C">
        <w:t xml:space="preserve">will </w:t>
      </w:r>
      <w:r w:rsidRPr="00583A8C" w:rsidR="00BD062B">
        <w:t xml:space="preserve">also </w:t>
      </w:r>
      <w:r w:rsidRPr="00583A8C">
        <w:t xml:space="preserve">be </w:t>
      </w:r>
      <w:r w:rsidRPr="00583A8C" w:rsidR="00E018EA">
        <w:t>structured to</w:t>
      </w:r>
      <w:r w:rsidRPr="00583A8C" w:rsidR="00BD062B">
        <w:t xml:space="preserve"> mimic the outcomes and incentives of</w:t>
      </w:r>
      <w:r w:rsidRPr="00583A8C" w:rsidR="00E018EA">
        <w:t xml:space="preserve"> the </w:t>
      </w:r>
      <w:r w:rsidRPr="00583A8C">
        <w:t xml:space="preserve">CRP </w:t>
      </w:r>
      <w:r w:rsidRPr="00583A8C" w:rsidR="00BD062B">
        <w:t>auction</w:t>
      </w:r>
      <w:r w:rsidRPr="00583A8C">
        <w:t xml:space="preserve">. </w:t>
      </w:r>
      <w:r w:rsidRPr="00583A8C" w:rsidR="00BD062B">
        <w:t>The</w:t>
      </w:r>
      <w:r w:rsidRPr="00583A8C">
        <w:t xml:space="preserve"> participants will </w:t>
      </w:r>
      <w:r w:rsidRPr="00583A8C" w:rsidR="00BD062B">
        <w:t>make offers</w:t>
      </w:r>
      <w:r w:rsidRPr="00583A8C">
        <w:t xml:space="preserve"> in multiple rounds of a</w:t>
      </w:r>
      <w:r w:rsidRPr="00583A8C" w:rsidR="00F209C4">
        <w:t xml:space="preserve">n </w:t>
      </w:r>
      <w:r w:rsidRPr="00583A8C" w:rsidR="00BD062B">
        <w:t xml:space="preserve">artefactual </w:t>
      </w:r>
      <w:r w:rsidRPr="00583A8C">
        <w:t xml:space="preserve">auction using software developed by CBEAR and accessed </w:t>
      </w:r>
      <w:r w:rsidRPr="00583A8C" w:rsidR="00D3678C">
        <w:t>online in a web browser</w:t>
      </w:r>
      <w:r w:rsidRPr="00583A8C">
        <w:t>.</w:t>
      </w:r>
      <w:r w:rsidRPr="00583A8C" w:rsidR="00CF2BAB">
        <w:t xml:space="preserve"> To reduce hypothetical bias, </w:t>
      </w:r>
      <w:r w:rsidRPr="00583A8C" w:rsidR="00BD062B">
        <w:t xml:space="preserve">which can occur when experimental subjects do not internalize the incentives of their task, </w:t>
      </w:r>
      <w:r w:rsidRPr="00583A8C" w:rsidR="00CF2BAB">
        <w:t xml:space="preserve">we will provide payments to participants based on their success in getting </w:t>
      </w:r>
      <w:r w:rsidRPr="00583A8C" w:rsidR="00BD062B">
        <w:t>offers</w:t>
      </w:r>
      <w:r w:rsidRPr="00583A8C" w:rsidR="00CF2BAB">
        <w:t xml:space="preserve"> accepted.</w:t>
      </w:r>
    </w:p>
    <w:p w:rsidRPr="00583A8C" w:rsidR="00B45231" w:rsidP="00144F4E" w:rsidRDefault="00B45231" w14:paraId="467DEB79" w14:textId="77777777">
      <w:pPr>
        <w:pStyle w:val="Heading2"/>
      </w:pPr>
      <w:r w:rsidRPr="00583A8C">
        <w:t>Population</w:t>
      </w:r>
    </w:p>
    <w:p w:rsidRPr="00583A8C" w:rsidR="00B45231" w:rsidP="00B961E2" w:rsidRDefault="00CF2BAB" w14:paraId="67BF667C" w14:textId="3FE8F3CD">
      <w:r w:rsidRPr="00583A8C">
        <w:t xml:space="preserve">Since </w:t>
      </w:r>
      <w:r w:rsidRPr="00583A8C" w:rsidR="006417D9">
        <w:t xml:space="preserve">CRP is a voluntary program </w:t>
      </w:r>
      <w:r w:rsidRPr="00583A8C">
        <w:t xml:space="preserve">tailored toward the </w:t>
      </w:r>
      <w:r w:rsidRPr="00583A8C" w:rsidR="006417D9">
        <w:t>enrollment of environmentally sensitive cropland</w:t>
      </w:r>
      <w:r w:rsidRPr="00583A8C">
        <w:t xml:space="preserve">, </w:t>
      </w:r>
      <w:r w:rsidRPr="00583A8C" w:rsidR="006417D9">
        <w:t xml:space="preserve">we would like to draw from a </w:t>
      </w:r>
      <w:r w:rsidRPr="00583A8C">
        <w:t>population</w:t>
      </w:r>
      <w:r w:rsidRPr="00583A8C" w:rsidR="006417D9">
        <w:t xml:space="preserve"> of farmers or owners</w:t>
      </w:r>
      <w:r w:rsidRPr="00583A8C" w:rsidR="008D26B1">
        <w:t xml:space="preserve"> of eligible </w:t>
      </w:r>
      <w:r w:rsidRPr="00583A8C" w:rsidR="008D26B1">
        <w:lastRenderedPageBreak/>
        <w:t>cropland</w:t>
      </w:r>
      <w:r w:rsidRPr="00583A8C">
        <w:t>.  This study will draw</w:t>
      </w:r>
      <w:r w:rsidRPr="00583A8C" w:rsidR="007A5CDA">
        <w:t xml:space="preserve"> a simple random sample of 11,000 farmers </w:t>
      </w:r>
      <w:r w:rsidRPr="00583A8C">
        <w:t>from the</w:t>
      </w:r>
      <w:r w:rsidRPr="00583A8C" w:rsidR="007A5CDA">
        <w:t xml:space="preserve"> sampling frame of</w:t>
      </w:r>
      <w:r w:rsidRPr="00583A8C" w:rsidR="008D599C">
        <w:t xml:space="preserve"> </w:t>
      </w:r>
      <w:bookmarkStart w:name="_Hlk92396140" w:id="0"/>
      <w:r w:rsidRPr="00583A8C" w:rsidR="007A5CDA">
        <w:t>the, approximately, 70</w:t>
      </w:r>
      <w:r w:rsidRPr="00583A8C" w:rsidR="00814750">
        <w:t xml:space="preserve">,000 </w:t>
      </w:r>
      <w:r w:rsidRPr="00583A8C" w:rsidR="007A5CDA">
        <w:t xml:space="preserve">farmers who made </w:t>
      </w:r>
      <w:r w:rsidRPr="00583A8C" w:rsidR="00814750">
        <w:t>offers</w:t>
      </w:r>
      <w:r w:rsidRPr="00583A8C" w:rsidR="004B0A0C">
        <w:t xml:space="preserve"> </w:t>
      </w:r>
      <w:r w:rsidRPr="00583A8C" w:rsidR="00B365A3">
        <w:t xml:space="preserve">in the </w:t>
      </w:r>
      <w:r w:rsidRPr="00583A8C" w:rsidR="007A5CDA">
        <w:t>2020 and 2021</w:t>
      </w:r>
      <w:r w:rsidRPr="00583A8C" w:rsidR="00B365A3">
        <w:t xml:space="preserve"> General Signups</w:t>
      </w:r>
      <w:r w:rsidRPr="00583A8C" w:rsidR="00814750">
        <w:t>.</w:t>
      </w:r>
      <w:bookmarkEnd w:id="0"/>
      <w:r w:rsidRPr="00583A8C" w:rsidR="00B365A3">
        <w:t xml:space="preserve">  </w:t>
      </w:r>
    </w:p>
    <w:p w:rsidRPr="00583A8C" w:rsidR="00490B39" w:rsidP="008E14D6" w:rsidRDefault="00B45231" w14:paraId="5A473722" w14:textId="0A54AB7D">
      <w:pPr>
        <w:pStyle w:val="Heading2"/>
      </w:pPr>
      <w:r w:rsidRPr="00583A8C">
        <w:t>Recruitment Details</w:t>
      </w:r>
    </w:p>
    <w:p w:rsidRPr="00583A8C" w:rsidR="005C7531" w:rsidP="00E902F3" w:rsidRDefault="00910EF2" w14:paraId="7E37F9FC" w14:textId="5518D42C">
      <w:pPr>
        <w:rPr>
          <w:rFonts w:cs="Times New Roman"/>
          <w:szCs w:val="24"/>
        </w:rPr>
      </w:pPr>
      <w:r w:rsidRPr="00583A8C">
        <w:rPr>
          <w:rFonts w:cs="Times New Roman"/>
          <w:szCs w:val="24"/>
        </w:rPr>
        <w:t xml:space="preserve">Participants will be recruited </w:t>
      </w:r>
      <w:r w:rsidRPr="00583A8C" w:rsidR="00144F4E">
        <w:rPr>
          <w:rFonts w:cs="Times New Roman"/>
          <w:szCs w:val="24"/>
        </w:rPr>
        <w:t>through mailings</w:t>
      </w:r>
      <w:r w:rsidRPr="00583A8C" w:rsidR="00FB7310">
        <w:rPr>
          <w:rFonts w:cs="Times New Roman"/>
          <w:szCs w:val="24"/>
        </w:rPr>
        <w:t xml:space="preserve"> </w:t>
      </w:r>
      <w:r w:rsidRPr="00583A8C" w:rsidR="00996695">
        <w:rPr>
          <w:rFonts w:cs="Times New Roman"/>
          <w:szCs w:val="24"/>
        </w:rPr>
        <w:t>directing them to a webpage where the experiment will be run.</w:t>
      </w:r>
      <w:r w:rsidRPr="00583A8C" w:rsidR="007A6A44">
        <w:rPr>
          <w:rFonts w:cs="Times New Roman"/>
          <w:szCs w:val="24"/>
        </w:rPr>
        <w:t xml:space="preserve">  </w:t>
      </w:r>
      <w:r w:rsidRPr="00583A8C" w:rsidR="00996695">
        <w:rPr>
          <w:rFonts w:cs="Times New Roman"/>
          <w:szCs w:val="24"/>
        </w:rPr>
        <w:t>Participants will be notified that they are being asked to participat</w:t>
      </w:r>
      <w:r w:rsidRPr="00583A8C" w:rsidR="00DF1B06">
        <w:rPr>
          <w:rFonts w:cs="Times New Roman"/>
          <w:szCs w:val="24"/>
        </w:rPr>
        <w:t>e</w:t>
      </w:r>
      <w:r w:rsidRPr="00583A8C" w:rsidR="00996695">
        <w:rPr>
          <w:rFonts w:cs="Times New Roman"/>
          <w:szCs w:val="24"/>
        </w:rPr>
        <w:t xml:space="preserve"> in a</w:t>
      </w:r>
      <w:r w:rsidRPr="00583A8C" w:rsidR="00F209C4">
        <w:rPr>
          <w:rFonts w:cs="Times New Roman"/>
          <w:szCs w:val="24"/>
        </w:rPr>
        <w:t xml:space="preserve">n </w:t>
      </w:r>
      <w:r w:rsidRPr="00583A8C" w:rsidR="00996695">
        <w:rPr>
          <w:rFonts w:cs="Times New Roman"/>
          <w:szCs w:val="24"/>
        </w:rPr>
        <w:t>auction to study alternative</w:t>
      </w:r>
      <w:r w:rsidRPr="00583A8C" w:rsidR="00DF1B06">
        <w:rPr>
          <w:rFonts w:cs="Times New Roman"/>
          <w:szCs w:val="24"/>
        </w:rPr>
        <w:t>s</w:t>
      </w:r>
      <w:r w:rsidRPr="00583A8C" w:rsidR="00996695">
        <w:rPr>
          <w:rFonts w:cs="Times New Roman"/>
          <w:szCs w:val="24"/>
        </w:rPr>
        <w:t xml:space="preserve"> to the CRP General Signup structure.  Based on the power analysis (discussed below) and the </w:t>
      </w:r>
      <w:r w:rsidRPr="00583A8C" w:rsidR="00AB4FBC">
        <w:rPr>
          <w:rFonts w:cs="Times New Roman"/>
          <w:szCs w:val="24"/>
        </w:rPr>
        <w:t xml:space="preserve">project </w:t>
      </w:r>
      <w:r w:rsidRPr="00583A8C" w:rsidR="00996695">
        <w:rPr>
          <w:rFonts w:cs="Times New Roman"/>
          <w:szCs w:val="24"/>
        </w:rPr>
        <w:t>budge</w:t>
      </w:r>
      <w:r w:rsidRPr="00583A8C" w:rsidR="00AB4FBC">
        <w:rPr>
          <w:rFonts w:cs="Times New Roman"/>
          <w:szCs w:val="24"/>
        </w:rPr>
        <w:t>t</w:t>
      </w:r>
      <w:r w:rsidRPr="00583A8C" w:rsidR="00996695">
        <w:rPr>
          <w:rFonts w:cs="Times New Roman"/>
          <w:szCs w:val="24"/>
        </w:rPr>
        <w:t>, w</w:t>
      </w:r>
      <w:r w:rsidRPr="00583A8C" w:rsidR="007A6A44">
        <w:rPr>
          <w:rFonts w:cs="Times New Roman"/>
          <w:szCs w:val="24"/>
        </w:rPr>
        <w:t xml:space="preserve">e will recruit </w:t>
      </w:r>
      <w:r w:rsidRPr="00583A8C" w:rsidR="00814750">
        <w:rPr>
          <w:rFonts w:cs="Times New Roman"/>
          <w:szCs w:val="24"/>
        </w:rPr>
        <w:t xml:space="preserve">about </w:t>
      </w:r>
      <w:r w:rsidRPr="00583A8C" w:rsidR="0028386C">
        <w:rPr>
          <w:rFonts w:cs="Times New Roman"/>
          <w:szCs w:val="24"/>
        </w:rPr>
        <w:t>1,</w:t>
      </w:r>
      <w:r w:rsidRPr="00583A8C" w:rsidR="00FB7310">
        <w:rPr>
          <w:rFonts w:cs="Times New Roman"/>
          <w:szCs w:val="24"/>
        </w:rPr>
        <w:t>1</w:t>
      </w:r>
      <w:r w:rsidRPr="00583A8C" w:rsidR="0028386C">
        <w:rPr>
          <w:rFonts w:cs="Times New Roman"/>
          <w:szCs w:val="24"/>
        </w:rPr>
        <w:t xml:space="preserve">00 </w:t>
      </w:r>
      <w:r w:rsidRPr="00583A8C" w:rsidR="007A6A44">
        <w:rPr>
          <w:rFonts w:cs="Times New Roman"/>
          <w:szCs w:val="24"/>
        </w:rPr>
        <w:t>participants</w:t>
      </w:r>
      <w:r w:rsidRPr="00583A8C" w:rsidR="0028386C">
        <w:rPr>
          <w:rFonts w:cs="Times New Roman"/>
          <w:szCs w:val="24"/>
        </w:rPr>
        <w:t xml:space="preserve"> from the prior CRP participant </w:t>
      </w:r>
      <w:r w:rsidRPr="00583A8C" w:rsidR="00FB7310">
        <w:rPr>
          <w:rFonts w:cs="Times New Roman"/>
          <w:szCs w:val="24"/>
        </w:rPr>
        <w:t>pool</w:t>
      </w:r>
      <w:r w:rsidRPr="00583A8C" w:rsidR="007A6A44">
        <w:rPr>
          <w:rFonts w:cs="Times New Roman"/>
          <w:szCs w:val="24"/>
        </w:rPr>
        <w:t>.</w:t>
      </w:r>
      <w:r w:rsidRPr="00583A8C" w:rsidR="00996695">
        <w:rPr>
          <w:rFonts w:cs="Times New Roman"/>
          <w:szCs w:val="24"/>
        </w:rPr>
        <w:t xml:space="preserve">  Assuming a participation rate of </w:t>
      </w:r>
      <w:r w:rsidRPr="00583A8C" w:rsidR="00E753EB">
        <w:rPr>
          <w:rFonts w:cs="Times New Roman"/>
          <w:szCs w:val="24"/>
        </w:rPr>
        <w:t>1</w:t>
      </w:r>
      <w:r w:rsidRPr="00583A8C" w:rsidR="00996695">
        <w:rPr>
          <w:rFonts w:cs="Times New Roman"/>
          <w:szCs w:val="24"/>
        </w:rPr>
        <w:t>0%, we will sen</w:t>
      </w:r>
      <w:r w:rsidRPr="00583A8C" w:rsidR="003929DE">
        <w:rPr>
          <w:rFonts w:cs="Times New Roman"/>
          <w:szCs w:val="24"/>
        </w:rPr>
        <w:t>d</w:t>
      </w:r>
      <w:r w:rsidRPr="00583A8C" w:rsidR="00996695">
        <w:rPr>
          <w:rFonts w:cs="Times New Roman"/>
          <w:szCs w:val="24"/>
        </w:rPr>
        <w:t xml:space="preserve"> </w:t>
      </w:r>
      <w:r w:rsidRPr="00583A8C" w:rsidR="00BD062B">
        <w:rPr>
          <w:rFonts w:cs="Times New Roman"/>
          <w:szCs w:val="24"/>
        </w:rPr>
        <w:t>invitations</w:t>
      </w:r>
      <w:r w:rsidRPr="00583A8C" w:rsidR="00996695">
        <w:rPr>
          <w:rFonts w:cs="Times New Roman"/>
          <w:szCs w:val="24"/>
        </w:rPr>
        <w:t xml:space="preserve"> to about </w:t>
      </w:r>
      <w:r w:rsidRPr="00583A8C" w:rsidR="00E753EB">
        <w:rPr>
          <w:rFonts w:cs="Times New Roman"/>
          <w:szCs w:val="24"/>
        </w:rPr>
        <w:t>11</w:t>
      </w:r>
      <w:r w:rsidRPr="00583A8C" w:rsidR="00996695">
        <w:rPr>
          <w:rFonts w:cs="Times New Roman"/>
          <w:szCs w:val="24"/>
        </w:rPr>
        <w:t xml:space="preserve">,000 </w:t>
      </w:r>
      <w:r w:rsidRPr="00583A8C" w:rsidR="008E14D6">
        <w:rPr>
          <w:rFonts w:cs="Times New Roman"/>
          <w:szCs w:val="24"/>
        </w:rPr>
        <w:t>randomly chosen</w:t>
      </w:r>
      <w:r w:rsidRPr="00583A8C" w:rsidR="00DF1B06">
        <w:rPr>
          <w:rFonts w:cs="Times New Roman"/>
          <w:szCs w:val="24"/>
        </w:rPr>
        <w:t xml:space="preserve"> </w:t>
      </w:r>
      <w:r w:rsidRPr="00583A8C" w:rsidR="00996695">
        <w:rPr>
          <w:rFonts w:cs="Times New Roman"/>
          <w:szCs w:val="24"/>
        </w:rPr>
        <w:t xml:space="preserve">members of </w:t>
      </w:r>
      <w:r w:rsidRPr="00583A8C" w:rsidR="00E753EB">
        <w:rPr>
          <w:rFonts w:cs="Times New Roman"/>
          <w:szCs w:val="24"/>
        </w:rPr>
        <w:t>the sample frame</w:t>
      </w:r>
      <w:r w:rsidRPr="00583A8C" w:rsidR="00996695">
        <w:rPr>
          <w:rFonts w:cs="Times New Roman"/>
          <w:szCs w:val="24"/>
        </w:rPr>
        <w:t>.</w:t>
      </w:r>
      <w:r w:rsidRPr="00583A8C" w:rsidR="005C7531">
        <w:rPr>
          <w:rFonts w:cs="Times New Roman"/>
          <w:szCs w:val="24"/>
        </w:rPr>
        <w:t xml:space="preserve"> </w:t>
      </w:r>
      <w:r w:rsidRPr="00583A8C" w:rsidR="002A14AE">
        <w:rPr>
          <w:rFonts w:cs="Times New Roman"/>
          <w:szCs w:val="24"/>
        </w:rPr>
        <w:t>The sampl</w:t>
      </w:r>
      <w:r w:rsidRPr="00583A8C" w:rsidR="004E7CB8">
        <w:rPr>
          <w:rFonts w:cs="Times New Roman"/>
          <w:szCs w:val="24"/>
        </w:rPr>
        <w:t>ing method for each wave</w:t>
      </w:r>
      <w:r w:rsidRPr="00583A8C" w:rsidR="002A14AE">
        <w:rPr>
          <w:rFonts w:cs="Times New Roman"/>
          <w:szCs w:val="24"/>
        </w:rPr>
        <w:t xml:space="preserve"> will be a simple random sample without replacement. </w:t>
      </w:r>
      <w:r w:rsidRPr="00583A8C" w:rsidR="00AB4FBC">
        <w:rPr>
          <w:rFonts w:cs="Times New Roman"/>
          <w:szCs w:val="24"/>
        </w:rPr>
        <w:t>Given the</w:t>
      </w:r>
      <w:r w:rsidRPr="00583A8C" w:rsidR="00A35E16">
        <w:rPr>
          <w:rFonts w:cs="Times New Roman"/>
          <w:szCs w:val="24"/>
        </w:rPr>
        <w:t xml:space="preserve"> uncertainty of actual participation rates </w:t>
      </w:r>
      <w:r w:rsidRPr="00583A8C" w:rsidR="00AB4FBC">
        <w:rPr>
          <w:rFonts w:cs="Times New Roman"/>
          <w:szCs w:val="24"/>
        </w:rPr>
        <w:t>f</w:t>
      </w:r>
      <w:r w:rsidRPr="00583A8C" w:rsidR="00A35E16">
        <w:rPr>
          <w:rFonts w:cs="Times New Roman"/>
          <w:szCs w:val="24"/>
        </w:rPr>
        <w:t xml:space="preserve">or </w:t>
      </w:r>
      <w:r w:rsidRPr="00583A8C" w:rsidR="00AB4FBC">
        <w:rPr>
          <w:rFonts w:cs="Times New Roman"/>
          <w:szCs w:val="24"/>
        </w:rPr>
        <w:t>each</w:t>
      </w:r>
      <w:r w:rsidRPr="00583A8C" w:rsidR="00A35E16">
        <w:rPr>
          <w:rFonts w:cs="Times New Roman"/>
          <w:szCs w:val="24"/>
        </w:rPr>
        <w:t xml:space="preserve"> group, we </w:t>
      </w:r>
      <w:r w:rsidRPr="00583A8C" w:rsidR="00AB4FBC">
        <w:rPr>
          <w:rFonts w:cs="Times New Roman"/>
          <w:szCs w:val="24"/>
        </w:rPr>
        <w:t>will divide the recruitment into multiple waves</w:t>
      </w:r>
      <w:r w:rsidRPr="00583A8C" w:rsidR="00686447">
        <w:rPr>
          <w:rFonts w:cs="Times New Roman"/>
          <w:szCs w:val="24"/>
        </w:rPr>
        <w:t>, and each wave will close as a separate auction</w:t>
      </w:r>
      <w:r w:rsidRPr="00583A8C" w:rsidR="00AB4FBC">
        <w:rPr>
          <w:rFonts w:cs="Times New Roman"/>
          <w:szCs w:val="24"/>
        </w:rPr>
        <w:t xml:space="preserve">.  The first wave will invite participation from </w:t>
      </w:r>
      <w:r w:rsidRPr="00583A8C" w:rsidR="00E753EB">
        <w:rPr>
          <w:rFonts w:cs="Times New Roman"/>
          <w:szCs w:val="24"/>
        </w:rPr>
        <w:t>4</w:t>
      </w:r>
      <w:r w:rsidRPr="00583A8C" w:rsidR="00AB4FBC">
        <w:rPr>
          <w:rFonts w:cs="Times New Roman"/>
          <w:szCs w:val="24"/>
        </w:rPr>
        <w:t>,000 individual</w:t>
      </w:r>
      <w:r w:rsidRPr="00583A8C" w:rsidR="00BD062B">
        <w:rPr>
          <w:rFonts w:cs="Times New Roman"/>
          <w:szCs w:val="24"/>
        </w:rPr>
        <w:t>s</w:t>
      </w:r>
      <w:r w:rsidRPr="00583A8C" w:rsidR="00AB4FBC">
        <w:rPr>
          <w:rFonts w:cs="Times New Roman"/>
          <w:szCs w:val="24"/>
        </w:rPr>
        <w:t xml:space="preserve">. </w:t>
      </w:r>
      <w:r w:rsidRPr="00583A8C" w:rsidR="00A35E16">
        <w:rPr>
          <w:rFonts w:cs="Times New Roman"/>
          <w:szCs w:val="24"/>
        </w:rPr>
        <w:t>Then</w:t>
      </w:r>
      <w:r w:rsidRPr="00583A8C" w:rsidR="00AB4FBC">
        <w:rPr>
          <w:rFonts w:cs="Times New Roman"/>
          <w:szCs w:val="24"/>
        </w:rPr>
        <w:t xml:space="preserve"> size of</w:t>
      </w:r>
      <w:r w:rsidRPr="00583A8C" w:rsidR="00A35E16">
        <w:rPr>
          <w:rFonts w:cs="Times New Roman"/>
          <w:szCs w:val="24"/>
        </w:rPr>
        <w:t xml:space="preserve"> the second wave of recruitment </w:t>
      </w:r>
      <w:r w:rsidRPr="00583A8C" w:rsidR="00AB4FBC">
        <w:rPr>
          <w:rFonts w:cs="Times New Roman"/>
          <w:szCs w:val="24"/>
        </w:rPr>
        <w:t xml:space="preserve">will be based on the observed participation </w:t>
      </w:r>
      <w:r w:rsidRPr="00583A8C" w:rsidR="004E7CB8">
        <w:rPr>
          <w:rFonts w:cs="Times New Roman"/>
          <w:szCs w:val="24"/>
        </w:rPr>
        <w:t xml:space="preserve">rate </w:t>
      </w:r>
      <w:r w:rsidRPr="00583A8C" w:rsidR="00AB4FBC">
        <w:rPr>
          <w:rFonts w:cs="Times New Roman"/>
          <w:szCs w:val="24"/>
        </w:rPr>
        <w:t xml:space="preserve">from the first wave, with goal of arriving at a final </w:t>
      </w:r>
      <w:r w:rsidRPr="00583A8C" w:rsidR="00A35E16">
        <w:rPr>
          <w:rFonts w:cs="Times New Roman"/>
          <w:szCs w:val="24"/>
        </w:rPr>
        <w:t>sample size of 1,</w:t>
      </w:r>
      <w:r w:rsidRPr="00583A8C" w:rsidR="00E753EB">
        <w:rPr>
          <w:rFonts w:cs="Times New Roman"/>
          <w:szCs w:val="24"/>
        </w:rPr>
        <w:t>1</w:t>
      </w:r>
      <w:r w:rsidRPr="00583A8C" w:rsidR="00A35E16">
        <w:rPr>
          <w:rFonts w:cs="Times New Roman"/>
          <w:szCs w:val="24"/>
        </w:rPr>
        <w:t xml:space="preserve">00 </w:t>
      </w:r>
      <w:r w:rsidRPr="00583A8C" w:rsidR="00AB4FBC">
        <w:rPr>
          <w:rFonts w:cs="Times New Roman"/>
          <w:szCs w:val="24"/>
        </w:rPr>
        <w:t>participants</w:t>
      </w:r>
      <w:r w:rsidRPr="00583A8C" w:rsidR="00A35E16">
        <w:rPr>
          <w:rFonts w:cs="Times New Roman"/>
          <w:szCs w:val="24"/>
        </w:rPr>
        <w:t xml:space="preserve">. </w:t>
      </w:r>
      <w:r w:rsidRPr="00583A8C" w:rsidR="005C7531">
        <w:rPr>
          <w:rFonts w:cs="Times New Roman"/>
          <w:szCs w:val="24"/>
        </w:rPr>
        <w:t xml:space="preserve">An analysis of the administrative data from the </w:t>
      </w:r>
      <w:bookmarkStart w:name="_Hlk92395748" w:id="1"/>
      <w:r w:rsidRPr="00583A8C" w:rsidR="005C7531">
        <w:rPr>
          <w:rFonts w:cs="Times New Roman"/>
          <w:szCs w:val="24"/>
        </w:rPr>
        <w:t xml:space="preserve">prior General Signup </w:t>
      </w:r>
      <w:bookmarkEnd w:id="1"/>
      <w:r w:rsidRPr="00583A8C" w:rsidR="005C7531">
        <w:rPr>
          <w:rFonts w:cs="Times New Roman"/>
          <w:szCs w:val="24"/>
        </w:rPr>
        <w:t>will be used to summarize the potential for selection bias</w:t>
      </w:r>
      <w:r w:rsidRPr="00583A8C" w:rsidR="00A35E16">
        <w:rPr>
          <w:rFonts w:cs="Times New Roman"/>
          <w:szCs w:val="24"/>
        </w:rPr>
        <w:t xml:space="preserve"> among farmers</w:t>
      </w:r>
      <w:r w:rsidRPr="00583A8C" w:rsidR="005C7531">
        <w:rPr>
          <w:rFonts w:cs="Times New Roman"/>
          <w:szCs w:val="24"/>
        </w:rPr>
        <w:t>.</w:t>
      </w:r>
      <w:r w:rsidRPr="00583A8C" w:rsidR="004B0A0C">
        <w:rPr>
          <w:rFonts w:cs="Times New Roman"/>
          <w:szCs w:val="24"/>
        </w:rPr>
        <w:t xml:space="preserve"> </w:t>
      </w:r>
    </w:p>
    <w:p w:rsidRPr="00583A8C" w:rsidR="00B45231" w:rsidP="001D628D" w:rsidRDefault="00B45231" w14:paraId="447E4137" w14:textId="77777777">
      <w:pPr>
        <w:pStyle w:val="Heading2"/>
      </w:pPr>
      <w:r w:rsidRPr="00583A8C">
        <w:t>Measured Out</w:t>
      </w:r>
      <w:r w:rsidRPr="00583A8C" w:rsidR="00A87753">
        <w:t>c</w:t>
      </w:r>
      <w:r w:rsidRPr="00583A8C">
        <w:t>omes</w:t>
      </w:r>
    </w:p>
    <w:p w:rsidRPr="00583A8C" w:rsidR="00B365A3" w:rsidP="005C46B9" w:rsidRDefault="00DF1B06" w14:paraId="58BEE80D" w14:textId="3613A596">
      <w:pPr>
        <w:rPr>
          <w:rFonts w:cs="Times New Roman"/>
          <w:szCs w:val="24"/>
        </w:rPr>
      </w:pPr>
      <w:r w:rsidRPr="00583A8C">
        <w:rPr>
          <w:rFonts w:cs="Times New Roman"/>
          <w:szCs w:val="24"/>
        </w:rPr>
        <w:t>In the CRP-style conservation auction, p</w:t>
      </w:r>
      <w:r w:rsidRPr="00583A8C" w:rsidR="00FF16FD">
        <w:rPr>
          <w:rFonts w:cs="Times New Roman"/>
          <w:szCs w:val="24"/>
        </w:rPr>
        <w:t xml:space="preserve">articipants will be asked to make a series of enrollment offers </w:t>
      </w:r>
      <w:r w:rsidRPr="00583A8C" w:rsidR="00A35E16">
        <w:rPr>
          <w:rFonts w:cs="Times New Roman"/>
          <w:szCs w:val="24"/>
        </w:rPr>
        <w:t xml:space="preserve">for hypothetical </w:t>
      </w:r>
      <w:r w:rsidRPr="00583A8C">
        <w:rPr>
          <w:rFonts w:cs="Times New Roman"/>
          <w:szCs w:val="24"/>
        </w:rPr>
        <w:t>fields</w:t>
      </w:r>
      <w:r w:rsidRPr="00583A8C" w:rsidR="00A35E16">
        <w:rPr>
          <w:rFonts w:cs="Times New Roman"/>
          <w:szCs w:val="24"/>
        </w:rPr>
        <w:t xml:space="preserve"> across several independent auction rounds</w:t>
      </w:r>
      <w:r w:rsidRPr="00583A8C" w:rsidR="00FF16FD">
        <w:rPr>
          <w:rFonts w:cs="Times New Roman"/>
          <w:szCs w:val="24"/>
        </w:rPr>
        <w:t xml:space="preserve">.  </w:t>
      </w:r>
      <w:r w:rsidRPr="00583A8C" w:rsidR="007A6A44">
        <w:rPr>
          <w:rFonts w:cs="Times New Roman"/>
          <w:szCs w:val="24"/>
        </w:rPr>
        <w:t xml:space="preserve">For each offer, we will record two </w:t>
      </w:r>
      <w:r w:rsidRPr="00583A8C" w:rsidR="00FF16FD">
        <w:rPr>
          <w:rFonts w:cs="Times New Roman"/>
          <w:szCs w:val="24"/>
        </w:rPr>
        <w:t>outcomes</w:t>
      </w:r>
      <w:r w:rsidRPr="00583A8C" w:rsidR="007A6A44">
        <w:rPr>
          <w:rFonts w:cs="Times New Roman"/>
          <w:szCs w:val="24"/>
        </w:rPr>
        <w:t xml:space="preserve">: </w:t>
      </w:r>
    </w:p>
    <w:p w:rsidRPr="00583A8C" w:rsidR="00B365A3" w:rsidP="00B365A3" w:rsidRDefault="00B365A3" w14:paraId="3C22273A" w14:textId="638A2A5E">
      <w:pPr>
        <w:pStyle w:val="ListParagraph"/>
        <w:numPr>
          <w:ilvl w:val="0"/>
          <w:numId w:val="8"/>
        </w:numPr>
        <w:rPr>
          <w:rFonts w:cs="Times New Roman"/>
          <w:szCs w:val="24"/>
        </w:rPr>
      </w:pPr>
      <w:r w:rsidRPr="00583A8C">
        <w:rPr>
          <w:rFonts w:cs="Times New Roman"/>
          <w:szCs w:val="24"/>
        </w:rPr>
        <w:t>t</w:t>
      </w:r>
      <w:r w:rsidRPr="00583A8C" w:rsidR="007A6A44">
        <w:rPr>
          <w:rFonts w:cs="Times New Roman"/>
          <w:szCs w:val="24"/>
        </w:rPr>
        <w:t>he cover practice selected</w:t>
      </w:r>
      <w:r w:rsidRPr="00583A8C">
        <w:rPr>
          <w:rFonts w:cs="Times New Roman"/>
          <w:szCs w:val="24"/>
        </w:rPr>
        <w:t xml:space="preserve"> (basic, good, better, best);</w:t>
      </w:r>
      <w:r w:rsidRPr="00583A8C" w:rsidR="00B961E2">
        <w:rPr>
          <w:rFonts w:cs="Times New Roman"/>
          <w:szCs w:val="24"/>
        </w:rPr>
        <w:t xml:space="preserve"> </w:t>
      </w:r>
      <w:r w:rsidRPr="00583A8C">
        <w:rPr>
          <w:rFonts w:cs="Times New Roman"/>
          <w:szCs w:val="24"/>
        </w:rPr>
        <w:t>and</w:t>
      </w:r>
    </w:p>
    <w:p w:rsidRPr="00583A8C" w:rsidR="00B365A3" w:rsidP="00B365A3" w:rsidRDefault="00B961E2" w14:paraId="7C9D15C3" w14:textId="3FD671AA">
      <w:pPr>
        <w:pStyle w:val="ListParagraph"/>
        <w:numPr>
          <w:ilvl w:val="0"/>
          <w:numId w:val="8"/>
        </w:numPr>
        <w:rPr>
          <w:rFonts w:cs="Times New Roman"/>
          <w:szCs w:val="24"/>
        </w:rPr>
      </w:pPr>
      <w:r w:rsidRPr="00583A8C">
        <w:rPr>
          <w:rFonts w:cs="Times New Roman"/>
          <w:szCs w:val="24"/>
        </w:rPr>
        <w:t xml:space="preserve">the </w:t>
      </w:r>
      <w:r w:rsidRPr="00583A8C" w:rsidR="004C52C7">
        <w:rPr>
          <w:rFonts w:cs="Times New Roman"/>
          <w:szCs w:val="24"/>
        </w:rPr>
        <w:t xml:space="preserve">asking price </w:t>
      </w:r>
      <w:r w:rsidRPr="00583A8C" w:rsidR="00B365A3">
        <w:rPr>
          <w:rFonts w:cs="Times New Roman"/>
          <w:szCs w:val="24"/>
        </w:rPr>
        <w:t>($/acre)</w:t>
      </w:r>
      <w:r w:rsidRPr="00583A8C">
        <w:rPr>
          <w:rFonts w:cs="Times New Roman"/>
          <w:szCs w:val="24"/>
        </w:rPr>
        <w:t>.</w:t>
      </w:r>
      <w:r w:rsidRPr="00583A8C" w:rsidR="007A6A44">
        <w:rPr>
          <w:rFonts w:cs="Times New Roman"/>
          <w:szCs w:val="24"/>
        </w:rPr>
        <w:t xml:space="preserve">  </w:t>
      </w:r>
    </w:p>
    <w:p w:rsidRPr="00583A8C" w:rsidR="005C7531" w:rsidP="00B365A3" w:rsidRDefault="00A35E16" w14:paraId="11299946" w14:textId="122EB214">
      <w:pPr>
        <w:ind w:firstLine="0"/>
        <w:rPr>
          <w:rFonts w:cs="Times New Roman"/>
          <w:szCs w:val="24"/>
        </w:rPr>
      </w:pPr>
      <w:r w:rsidRPr="00583A8C">
        <w:rPr>
          <w:rFonts w:cs="Times New Roman"/>
          <w:szCs w:val="24"/>
        </w:rPr>
        <w:t>We</w:t>
      </w:r>
      <w:r w:rsidRPr="00583A8C" w:rsidR="00DF1B06">
        <w:rPr>
          <w:rFonts w:cs="Times New Roman"/>
          <w:szCs w:val="24"/>
        </w:rPr>
        <w:t xml:space="preserve"> will have participants make offers in four auction rounds, each representing an independent auction sign-up.  </w:t>
      </w:r>
      <w:r w:rsidRPr="00583A8C" w:rsidR="006027C3">
        <w:rPr>
          <w:rFonts w:cs="Times New Roman"/>
          <w:szCs w:val="24"/>
        </w:rPr>
        <w:t xml:space="preserve">In each round, the assigned </w:t>
      </w:r>
      <w:r w:rsidRPr="00583A8C" w:rsidR="00DD78FD">
        <w:rPr>
          <w:rFonts w:cs="Times New Roman"/>
          <w:szCs w:val="24"/>
        </w:rPr>
        <w:t xml:space="preserve">field characteristics will </w:t>
      </w:r>
      <w:r w:rsidRPr="00583A8C" w:rsidR="006027C3">
        <w:rPr>
          <w:rFonts w:cs="Times New Roman"/>
          <w:szCs w:val="24"/>
        </w:rPr>
        <w:t>be different.</w:t>
      </w:r>
      <w:r w:rsidRPr="00583A8C" w:rsidR="00DD78FD">
        <w:rPr>
          <w:rFonts w:cs="Times New Roman"/>
          <w:szCs w:val="24"/>
        </w:rPr>
        <w:t xml:space="preserve"> </w:t>
      </w:r>
      <w:r w:rsidRPr="00583A8C" w:rsidR="0028386C">
        <w:rPr>
          <w:rFonts w:cs="Times New Roman"/>
          <w:szCs w:val="24"/>
        </w:rPr>
        <w:t xml:space="preserve">Since the first round will be for training, </w:t>
      </w:r>
      <w:r w:rsidRPr="00583A8C" w:rsidR="00DD78FD">
        <w:rPr>
          <w:rFonts w:cs="Times New Roman"/>
          <w:szCs w:val="24"/>
        </w:rPr>
        <w:t xml:space="preserve">the following </w:t>
      </w:r>
      <w:r w:rsidRPr="00583A8C" w:rsidR="006027C3">
        <w:rPr>
          <w:rFonts w:cs="Times New Roman"/>
          <w:szCs w:val="24"/>
        </w:rPr>
        <w:t xml:space="preserve">three </w:t>
      </w:r>
      <w:r w:rsidRPr="00583A8C" w:rsidR="00DD78FD">
        <w:rPr>
          <w:rFonts w:cs="Times New Roman"/>
          <w:szCs w:val="24"/>
        </w:rPr>
        <w:t>rounds</w:t>
      </w:r>
      <w:r w:rsidRPr="00583A8C" w:rsidR="0028386C">
        <w:rPr>
          <w:rFonts w:cs="Times New Roman"/>
          <w:szCs w:val="24"/>
        </w:rPr>
        <w:t xml:space="preserve"> will </w:t>
      </w:r>
      <w:r w:rsidRPr="00583A8C" w:rsidR="004E7CB8">
        <w:rPr>
          <w:rFonts w:cs="Times New Roman"/>
          <w:szCs w:val="24"/>
        </w:rPr>
        <w:t xml:space="preserve">generate a total of </w:t>
      </w:r>
      <w:r w:rsidRPr="00583A8C" w:rsidR="006027C3">
        <w:rPr>
          <w:rFonts w:cs="Times New Roman"/>
          <w:szCs w:val="24"/>
        </w:rPr>
        <w:t>3</w:t>
      </w:r>
      <w:r w:rsidRPr="00583A8C" w:rsidR="005C7531">
        <w:rPr>
          <w:rFonts w:cs="Times New Roman"/>
          <w:szCs w:val="24"/>
        </w:rPr>
        <w:t>,</w:t>
      </w:r>
      <w:r w:rsidRPr="00583A8C" w:rsidR="00E753EB">
        <w:rPr>
          <w:rFonts w:cs="Times New Roman"/>
          <w:szCs w:val="24"/>
        </w:rPr>
        <w:t>3</w:t>
      </w:r>
      <w:r w:rsidRPr="00583A8C" w:rsidR="005C7531">
        <w:rPr>
          <w:rFonts w:cs="Times New Roman"/>
          <w:szCs w:val="24"/>
        </w:rPr>
        <w:t>00</w:t>
      </w:r>
      <w:r w:rsidRPr="00583A8C" w:rsidR="007A6A44">
        <w:rPr>
          <w:rFonts w:cs="Times New Roman"/>
          <w:szCs w:val="24"/>
        </w:rPr>
        <w:t xml:space="preserve"> total offers for the </w:t>
      </w:r>
      <w:r w:rsidRPr="00583A8C" w:rsidR="004B0A0C">
        <w:rPr>
          <w:rFonts w:cs="Times New Roman"/>
          <w:szCs w:val="24"/>
        </w:rPr>
        <w:t xml:space="preserve">farmer </w:t>
      </w:r>
      <w:r w:rsidRPr="00583A8C" w:rsidR="004E7CB8">
        <w:rPr>
          <w:rFonts w:cs="Times New Roman"/>
          <w:szCs w:val="24"/>
        </w:rPr>
        <w:t>participants</w:t>
      </w:r>
      <w:r w:rsidRPr="00583A8C" w:rsidR="007A6A44">
        <w:rPr>
          <w:rFonts w:cs="Times New Roman"/>
          <w:szCs w:val="24"/>
        </w:rPr>
        <w:t>.</w:t>
      </w:r>
    </w:p>
    <w:p w:rsidRPr="00583A8C" w:rsidR="005C7531" w:rsidP="00B45231" w:rsidRDefault="005C7531" w14:paraId="03E9BE44" w14:textId="15E3B8E1">
      <w:pPr>
        <w:rPr>
          <w:rFonts w:cs="Times New Roman"/>
          <w:szCs w:val="24"/>
        </w:rPr>
      </w:pPr>
      <w:r w:rsidRPr="00583A8C">
        <w:rPr>
          <w:rFonts w:cs="Times New Roman"/>
          <w:szCs w:val="24"/>
        </w:rPr>
        <w:t xml:space="preserve">At the conclusion of the </w:t>
      </w:r>
      <w:r w:rsidRPr="00583A8C" w:rsidR="006027C3">
        <w:rPr>
          <w:rFonts w:cs="Times New Roman"/>
          <w:szCs w:val="24"/>
        </w:rPr>
        <w:t>auction</w:t>
      </w:r>
      <w:r w:rsidRPr="00583A8C">
        <w:rPr>
          <w:rFonts w:cs="Times New Roman"/>
          <w:szCs w:val="24"/>
        </w:rPr>
        <w:t xml:space="preserve">, participants will be asked a small set of questions </w:t>
      </w:r>
      <w:r w:rsidRPr="00583A8C" w:rsidR="00E753EB">
        <w:rPr>
          <w:rFonts w:cs="Times New Roman"/>
          <w:szCs w:val="24"/>
        </w:rPr>
        <w:t>about task comprehension and strategy</w:t>
      </w:r>
      <w:r w:rsidRPr="00583A8C">
        <w:rPr>
          <w:rFonts w:cs="Times New Roman"/>
          <w:szCs w:val="24"/>
        </w:rPr>
        <w:t xml:space="preserve">.    </w:t>
      </w:r>
    </w:p>
    <w:p w:rsidRPr="00583A8C" w:rsidR="004B0A0C" w:rsidP="00CA47F6" w:rsidRDefault="00144F4E" w14:paraId="3832414B" w14:textId="7F1D99C3">
      <w:pPr>
        <w:pStyle w:val="Heading2"/>
      </w:pPr>
      <w:r w:rsidRPr="00583A8C">
        <w:lastRenderedPageBreak/>
        <w:t>Treatments</w:t>
      </w:r>
    </w:p>
    <w:p w:rsidRPr="00583A8C" w:rsidR="008E14D6" w:rsidP="00490B39" w:rsidRDefault="008E14D6" w14:paraId="519906CD" w14:textId="35828E74">
      <w:pPr>
        <w:pStyle w:val="ListParagraph"/>
        <w:numPr>
          <w:ilvl w:val="0"/>
          <w:numId w:val="8"/>
        </w:numPr>
      </w:pPr>
      <w:r w:rsidRPr="00583A8C">
        <w:t xml:space="preserve">We will </w:t>
      </w:r>
      <w:r w:rsidRPr="00583A8C" w:rsidR="008E5400">
        <w:t>randomly assign</w:t>
      </w:r>
      <w:r w:rsidRPr="00583A8C">
        <w:t xml:space="preserve"> </w:t>
      </w:r>
      <w:r w:rsidRPr="00583A8C" w:rsidR="00490B39">
        <w:t xml:space="preserve">two treatments: </w:t>
      </w:r>
    </w:p>
    <w:p w:rsidRPr="00583A8C" w:rsidR="008E14D6" w:rsidP="008E14D6" w:rsidRDefault="00A35E16" w14:paraId="79E6E3CC" w14:textId="0EB2B849">
      <w:pPr>
        <w:pStyle w:val="ListParagraph"/>
        <w:numPr>
          <w:ilvl w:val="1"/>
          <w:numId w:val="8"/>
        </w:numPr>
      </w:pPr>
      <w:r w:rsidRPr="00583A8C">
        <w:t>a</w:t>
      </w:r>
      <w:r w:rsidRPr="00583A8C" w:rsidR="00490B39">
        <w:t xml:space="preserve"> default high-scoring offer</w:t>
      </w:r>
      <w:r w:rsidRPr="00583A8C" w:rsidR="002B7DBB">
        <w:t xml:space="preserve"> (an “opt-out” default</w:t>
      </w:r>
      <w:proofErr w:type="gramStart"/>
      <w:r w:rsidRPr="00583A8C" w:rsidR="002B7DBB">
        <w:t>)</w:t>
      </w:r>
      <w:r w:rsidRPr="00583A8C" w:rsidR="00490B39">
        <w:t>;</w:t>
      </w:r>
      <w:proofErr w:type="gramEnd"/>
      <w:r w:rsidRPr="00583A8C" w:rsidR="00490B39">
        <w:t xml:space="preserve"> </w:t>
      </w:r>
    </w:p>
    <w:p w:rsidRPr="00583A8C" w:rsidR="00123C89" w:rsidP="008E14D6" w:rsidRDefault="002B7DBB" w14:paraId="2FE22CE2" w14:textId="2A1494B1">
      <w:pPr>
        <w:pStyle w:val="ListParagraph"/>
        <w:numPr>
          <w:ilvl w:val="1"/>
          <w:numId w:val="8"/>
        </w:numPr>
      </w:pPr>
      <w:r w:rsidRPr="00583A8C">
        <w:t>score updating (“live” provision of the final score during offer selection)</w:t>
      </w:r>
      <w:r w:rsidRPr="00583A8C" w:rsidR="00490B39">
        <w:t>.</w:t>
      </w:r>
    </w:p>
    <w:p w:rsidRPr="00583A8C" w:rsidR="00E753EB" w:rsidP="008E14D6" w:rsidRDefault="008E14D6" w14:paraId="1CE847B6" w14:textId="77777777">
      <w:pPr>
        <w:pStyle w:val="ListParagraph"/>
        <w:numPr>
          <w:ilvl w:val="0"/>
          <w:numId w:val="8"/>
        </w:numPr>
      </w:pPr>
      <w:r w:rsidRPr="00583A8C">
        <w:t>We will assign t</w:t>
      </w:r>
      <w:r w:rsidRPr="00583A8C" w:rsidR="00490B39">
        <w:t>reatments in a 2</w:t>
      </w:r>
      <w:r w:rsidRPr="00583A8C">
        <w:t>-by-</w:t>
      </w:r>
      <w:r w:rsidRPr="00583A8C" w:rsidR="00490B39">
        <w:t>2 design</w:t>
      </w:r>
    </w:p>
    <w:p w:rsidRPr="00583A8C" w:rsidR="00E753EB" w:rsidP="00E753EB" w:rsidRDefault="00E753EB" w14:paraId="68FF610D" w14:textId="77777777">
      <w:pPr>
        <w:pStyle w:val="ListParagraph"/>
        <w:numPr>
          <w:ilvl w:val="1"/>
          <w:numId w:val="8"/>
        </w:numPr>
      </w:pPr>
      <w:r w:rsidRPr="00583A8C">
        <w:t xml:space="preserve">This design </w:t>
      </w:r>
      <w:proofErr w:type="gramStart"/>
      <w:r w:rsidRPr="00583A8C">
        <w:t>ensure</w:t>
      </w:r>
      <w:proofErr w:type="gramEnd"/>
      <w:r w:rsidRPr="00583A8C">
        <w:t xml:space="preserve"> even assignment of each treatment and no correlation in the assignment of those treatments.</w:t>
      </w:r>
    </w:p>
    <w:p w:rsidRPr="00583A8C" w:rsidR="00E753EB" w:rsidP="00E753EB" w:rsidRDefault="00E753EB" w14:paraId="020EB87A" w14:textId="565B42D2">
      <w:pPr>
        <w:pStyle w:val="ListParagraph"/>
        <w:numPr>
          <w:ilvl w:val="1"/>
          <w:numId w:val="8"/>
        </w:numPr>
      </w:pPr>
      <w:r w:rsidRPr="00583A8C">
        <w:t xml:space="preserve">The default treatment is </w:t>
      </w:r>
      <w:proofErr w:type="gramStart"/>
      <w:r w:rsidRPr="00583A8C">
        <w:t>hypothesize</w:t>
      </w:r>
      <w:proofErr w:type="gramEnd"/>
      <w:r w:rsidRPr="00583A8C">
        <w:t xml:space="preserve"> to shift the average offers for both asking price (rental payment) and cover practice to endowment field scores.</w:t>
      </w:r>
    </w:p>
    <w:p w:rsidRPr="00583A8C" w:rsidR="00E753EB" w:rsidP="00E753EB" w:rsidRDefault="00E753EB" w14:paraId="06CEE2C1" w14:textId="77777777">
      <w:pPr>
        <w:pStyle w:val="ListParagraph"/>
        <w:numPr>
          <w:ilvl w:val="1"/>
          <w:numId w:val="8"/>
        </w:numPr>
      </w:pPr>
      <w:r w:rsidRPr="00583A8C">
        <w:t>The score updating treatment is hypothesized to reduce attenuation in the responsiveness to endowment field scores.</w:t>
      </w:r>
    </w:p>
    <w:p w:rsidRPr="00583A8C" w:rsidR="00490B39" w:rsidP="00583A8C" w:rsidRDefault="00E753EB" w14:paraId="16F086A9" w14:textId="73ED8249">
      <w:pPr>
        <w:pStyle w:val="ListParagraph"/>
        <w:numPr>
          <w:ilvl w:val="1"/>
          <w:numId w:val="8"/>
        </w:numPr>
      </w:pPr>
      <w:r w:rsidRPr="00583A8C">
        <w:t>Since the</w:t>
      </w:r>
      <w:r w:rsidRPr="00583A8C" w:rsidR="00AE7148">
        <w:t xml:space="preserve"> treatment effects are hypothesized to have different types of effects, the study does not estimate the interaction effect of the treatments.  The treatments were selected in part on the basis of this difference since interaction effects can greatly increase the number of estimated treatment effects, which reduces statistical </w:t>
      </w:r>
      <w:proofErr w:type="gramStart"/>
      <w:r w:rsidRPr="00583A8C" w:rsidR="00AE7148">
        <w:t>power.</w:t>
      </w:r>
      <w:r w:rsidRPr="00583A8C" w:rsidR="00490B39">
        <w:t>.</w:t>
      </w:r>
      <w:proofErr w:type="gramEnd"/>
    </w:p>
    <w:p w:rsidRPr="00583A8C" w:rsidR="007415B5" w:rsidP="00123C89" w:rsidRDefault="007415B5" w14:paraId="2DA0CDF8" w14:textId="2272F9B4">
      <w:pPr>
        <w:ind w:firstLine="0"/>
      </w:pPr>
      <w:r w:rsidRPr="00583A8C">
        <w:t>Treatment 1: Default Starting Offer</w:t>
      </w:r>
    </w:p>
    <w:p w:rsidRPr="00583A8C" w:rsidR="00ED7D8C" w:rsidP="00ED7D8C" w:rsidRDefault="007415B5" w14:paraId="4452246A" w14:textId="4858764A">
      <w:r w:rsidRPr="00583A8C">
        <w:t>Participants will be randomly assigned to either a</w:t>
      </w:r>
      <w:r w:rsidRPr="00583A8C" w:rsidR="008E5400">
        <w:t>n “active choice” condition (the status quo</w:t>
      </w:r>
      <w:r w:rsidRPr="00583A8C">
        <w:t xml:space="preserve"> control group</w:t>
      </w:r>
      <w:r w:rsidRPr="00583A8C" w:rsidR="008E5400">
        <w:t xml:space="preserve">) or a “default offer” condition (the treatment group).  In the “active choice” condition, which is based on the current CRP enrollment software, auction participants </w:t>
      </w:r>
      <w:r w:rsidRPr="00583A8C">
        <w:t>start with</w:t>
      </w:r>
      <w:r w:rsidRPr="00583A8C" w:rsidR="008E5400">
        <w:t xml:space="preserve"> no preselected option </w:t>
      </w:r>
      <w:r w:rsidRPr="00583A8C">
        <w:t xml:space="preserve">for cover choice </w:t>
      </w:r>
      <w:r w:rsidRPr="00583A8C" w:rsidR="008E5400">
        <w:t xml:space="preserve">or </w:t>
      </w:r>
      <w:r w:rsidRPr="00583A8C">
        <w:t>annual rental payment</w:t>
      </w:r>
      <w:r w:rsidRPr="00583A8C" w:rsidR="008E5400">
        <w:t xml:space="preserve">.  In the “default offer” condition, participants will start with </w:t>
      </w:r>
      <w:r w:rsidRPr="00583A8C">
        <w:t>a</w:t>
      </w:r>
      <w:r w:rsidRPr="00583A8C" w:rsidR="008E5400">
        <w:t xml:space="preserve">n offer consisting of a </w:t>
      </w:r>
      <w:proofErr w:type="gramStart"/>
      <w:r w:rsidRPr="00583A8C">
        <w:t>high quality</w:t>
      </w:r>
      <w:proofErr w:type="gramEnd"/>
      <w:r w:rsidRPr="00583A8C">
        <w:t xml:space="preserve"> cover and high bid down </w:t>
      </w:r>
      <w:r w:rsidRPr="00583A8C" w:rsidR="00A35E16">
        <w:t xml:space="preserve">for </w:t>
      </w:r>
      <w:r w:rsidRPr="00583A8C">
        <w:t xml:space="preserve">the annual rental </w:t>
      </w:r>
      <w:r w:rsidRPr="00583A8C" w:rsidR="008E5400">
        <w:t>payment, which they can change (i.e., an opt-out default, see Figure 1)</w:t>
      </w:r>
      <w:r w:rsidRPr="00583A8C">
        <w:t xml:space="preserve">. The assigned </w:t>
      </w:r>
      <w:r w:rsidRPr="00583A8C" w:rsidR="008E5400">
        <w:t>condition</w:t>
      </w:r>
      <w:r w:rsidRPr="00583A8C" w:rsidR="00CA47F6">
        <w:t xml:space="preserve"> </w:t>
      </w:r>
      <w:r w:rsidRPr="00583A8C" w:rsidR="00E04461">
        <w:t xml:space="preserve">will </w:t>
      </w:r>
      <w:r w:rsidRPr="00583A8C">
        <w:t>r</w:t>
      </w:r>
      <w:r w:rsidRPr="00583A8C" w:rsidR="00E04461">
        <w:t>emain constant across rounds</w:t>
      </w:r>
      <w:r w:rsidRPr="00583A8C">
        <w:t xml:space="preserve"> for </w:t>
      </w:r>
      <w:r w:rsidRPr="00583A8C" w:rsidR="008E5400">
        <w:t xml:space="preserve">each </w:t>
      </w:r>
      <w:r w:rsidRPr="00583A8C">
        <w:t>participant</w:t>
      </w:r>
      <w:r w:rsidRPr="00583A8C" w:rsidR="00E04461">
        <w:t>.</w:t>
      </w:r>
    </w:p>
    <w:p w:rsidRPr="00583A8C" w:rsidR="008E14D6" w:rsidP="008E14D6" w:rsidRDefault="008E14D6" w14:paraId="48AADEDB" w14:textId="3080B49D">
      <w:pPr>
        <w:ind w:firstLine="0"/>
      </w:pPr>
      <w:r w:rsidRPr="00583A8C">
        <w:t>Treatment 2</w:t>
      </w:r>
      <w:r w:rsidRPr="00583A8C" w:rsidR="00355FFA">
        <w:t>:</w:t>
      </w:r>
      <w:r w:rsidRPr="00583A8C">
        <w:t xml:space="preserve"> </w:t>
      </w:r>
      <w:r w:rsidRPr="00583A8C" w:rsidR="002B7DBB">
        <w:t>Score Updating</w:t>
      </w:r>
    </w:p>
    <w:p w:rsidRPr="00583A8C" w:rsidR="008E14D6" w:rsidP="00325E9E" w:rsidRDefault="00AB77E5" w14:paraId="5E3456CA" w14:textId="235DE1C0">
      <w:r w:rsidRPr="00583A8C">
        <w:t xml:space="preserve">Participants </w:t>
      </w:r>
      <w:r w:rsidRPr="00583A8C" w:rsidR="008E14D6">
        <w:t xml:space="preserve">will also be randomly assigned to a </w:t>
      </w:r>
      <w:r w:rsidRPr="00583A8C" w:rsidR="0048021D">
        <w:t>“</w:t>
      </w:r>
      <w:r w:rsidRPr="00583A8C" w:rsidR="002B7DBB">
        <w:t>score updating</w:t>
      </w:r>
      <w:r w:rsidRPr="00583A8C" w:rsidR="0048021D">
        <w:t>”</w:t>
      </w:r>
      <w:r w:rsidRPr="00583A8C" w:rsidR="008E14D6">
        <w:t xml:space="preserve"> </w:t>
      </w:r>
      <w:r w:rsidRPr="00583A8C" w:rsidR="0048021D">
        <w:t>condition (treatment)</w:t>
      </w:r>
      <w:r w:rsidRPr="00583A8C" w:rsidR="008E14D6">
        <w:t xml:space="preserve"> or a </w:t>
      </w:r>
      <w:r w:rsidRPr="00583A8C" w:rsidR="0048021D">
        <w:t>“post-decision information” condition (the status quo control)</w:t>
      </w:r>
      <w:r w:rsidRPr="00583A8C" w:rsidR="008E14D6">
        <w:t xml:space="preserve">. </w:t>
      </w:r>
      <w:r w:rsidRPr="00583A8C" w:rsidR="0048021D">
        <w:t xml:space="preserve">In the “post-decision information condition,” which is how the current CRP signup software functions, participants only see their ranking score on the final offer submissions screen, after having made their cover </w:t>
      </w:r>
      <w:r w:rsidRPr="00583A8C" w:rsidR="0048021D">
        <w:lastRenderedPageBreak/>
        <w:t>practice and annual rental rate choices (</w:t>
      </w:r>
      <w:r w:rsidRPr="00583A8C" w:rsidR="00325E9E">
        <w:t>f</w:t>
      </w:r>
      <w:r w:rsidRPr="00583A8C" w:rsidR="0048021D">
        <w:t xml:space="preserve">igure 2).  In the “score updating” condition, </w:t>
      </w:r>
      <w:r w:rsidRPr="00583A8C" w:rsidR="00325E9E">
        <w:t>participants</w:t>
      </w:r>
      <w:r w:rsidRPr="00583A8C" w:rsidR="00E87784">
        <w:t xml:space="preserve"> will see their score updated immediately as they change </w:t>
      </w:r>
      <w:r w:rsidRPr="00583A8C" w:rsidR="00325E9E">
        <w:t xml:space="preserve">their </w:t>
      </w:r>
      <w:r w:rsidRPr="00583A8C" w:rsidR="00E87784">
        <w:t>choices on the offer selection screen</w:t>
      </w:r>
      <w:r w:rsidRPr="00583A8C" w:rsidR="00325E9E">
        <w:t xml:space="preserve"> (figure 1)</w:t>
      </w:r>
      <w:r w:rsidRPr="00583A8C" w:rsidR="00E87784">
        <w:t xml:space="preserve">.  </w:t>
      </w:r>
      <w:r w:rsidRPr="00583A8C" w:rsidR="00325E9E">
        <w:t xml:space="preserve">This score will also be </w:t>
      </w:r>
      <w:r w:rsidRPr="00583A8C" w:rsidR="00E87784">
        <w:t xml:space="preserve">repeated on the final offer submission screen.  </w:t>
      </w:r>
      <w:r w:rsidRPr="00583A8C" w:rsidR="008E14D6">
        <w:t xml:space="preserve">As in the current software, </w:t>
      </w:r>
      <w:r w:rsidRPr="00583A8C" w:rsidR="00E87784">
        <w:t>all participants</w:t>
      </w:r>
      <w:r w:rsidRPr="00583A8C" w:rsidR="008E14D6">
        <w:t xml:space="preserve"> will have an option to navigate back to the earlier offer selection screen to revise their choices.  </w:t>
      </w:r>
      <w:r w:rsidRPr="00583A8C" w:rsidR="00325E9E">
        <w:t>The assigned condition will remain constant across rounds for each participant.</w:t>
      </w:r>
    </w:p>
    <w:p w:rsidRPr="00583A8C" w:rsidR="00490B39" w:rsidRDefault="00490B39" w14:paraId="204AE21B" w14:textId="15A909B3">
      <w:pPr>
        <w:spacing w:line="259" w:lineRule="auto"/>
        <w:ind w:firstLine="0"/>
        <w:rPr>
          <w:b/>
          <w:bCs/>
        </w:rPr>
      </w:pPr>
    </w:p>
    <w:p w:rsidRPr="00583A8C" w:rsidR="00AB77E5" w:rsidRDefault="00AB77E5" w14:paraId="33CBF4BA" w14:textId="77777777">
      <w:pPr>
        <w:spacing w:line="259" w:lineRule="auto"/>
        <w:ind w:firstLine="0"/>
        <w:rPr>
          <w:b/>
          <w:bCs/>
        </w:rPr>
      </w:pPr>
      <w:r w:rsidRPr="00583A8C">
        <w:rPr>
          <w:b/>
          <w:bCs/>
        </w:rPr>
        <w:br w:type="page"/>
      </w:r>
    </w:p>
    <w:p w:rsidRPr="00583A8C" w:rsidR="00FE467E" w:rsidP="00FC1B91" w:rsidRDefault="00FE467E" w14:paraId="69BA9BAF" w14:textId="625F111E">
      <w:pPr>
        <w:ind w:firstLine="0"/>
        <w:rPr>
          <w:b/>
          <w:bCs/>
        </w:rPr>
      </w:pPr>
      <w:r w:rsidRPr="00583A8C">
        <w:rPr>
          <w:b/>
          <w:bCs/>
        </w:rPr>
        <w:lastRenderedPageBreak/>
        <w:t xml:space="preserve">Figure 1: </w:t>
      </w:r>
      <w:r w:rsidRPr="00583A8C" w:rsidR="002B7DBB">
        <w:rPr>
          <w:b/>
          <w:bCs/>
        </w:rPr>
        <w:t>D</w:t>
      </w:r>
      <w:r w:rsidRPr="00583A8C" w:rsidR="00355FFA">
        <w:rPr>
          <w:b/>
          <w:bCs/>
        </w:rPr>
        <w:t>efault</w:t>
      </w:r>
      <w:r w:rsidRPr="00583A8C" w:rsidR="002B7DBB">
        <w:rPr>
          <w:b/>
          <w:bCs/>
        </w:rPr>
        <w:t xml:space="preserve"> offer</w:t>
      </w:r>
      <w:r w:rsidRPr="00583A8C" w:rsidR="00355FFA">
        <w:rPr>
          <w:b/>
          <w:bCs/>
        </w:rPr>
        <w:t xml:space="preserve"> and score </w:t>
      </w:r>
      <w:r w:rsidRPr="00583A8C" w:rsidR="002B7DBB">
        <w:rPr>
          <w:b/>
          <w:bCs/>
        </w:rPr>
        <w:t>updating</w:t>
      </w:r>
      <w:r w:rsidRPr="00583A8C" w:rsidR="00355FFA">
        <w:rPr>
          <w:b/>
          <w:bCs/>
        </w:rPr>
        <w:t xml:space="preserve"> treatments</w:t>
      </w:r>
      <w:r w:rsidRPr="00583A8C">
        <w:rPr>
          <w:b/>
          <w:bCs/>
        </w:rPr>
        <w:t xml:space="preserve"> in </w:t>
      </w:r>
      <w:r w:rsidRPr="00583A8C" w:rsidR="002B7DBB">
        <w:rPr>
          <w:b/>
          <w:bCs/>
        </w:rPr>
        <w:t xml:space="preserve">the </w:t>
      </w:r>
      <w:r w:rsidRPr="00583A8C">
        <w:rPr>
          <w:b/>
          <w:bCs/>
        </w:rPr>
        <w:t>offer selection screen.</w:t>
      </w:r>
    </w:p>
    <w:p w:rsidRPr="00583A8C" w:rsidR="00EF33D3" w:rsidP="00FC1B91" w:rsidRDefault="00EF33D3" w14:paraId="742092EC" w14:textId="2A2A48EC">
      <w:pPr>
        <w:ind w:firstLine="0"/>
        <w:rPr>
          <w:b/>
          <w:bCs/>
        </w:rPr>
      </w:pPr>
      <w:r w:rsidRPr="00583A8C">
        <w:rPr>
          <w:noProof/>
          <w:color w:val="000000" w:themeColor="text1"/>
        </w:rPr>
        <w:drawing>
          <wp:inline distT="0" distB="0" distL="0" distR="0" wp14:anchorId="333C4CC4" wp14:editId="6B83D5EA">
            <wp:extent cx="5943600" cy="5320665"/>
            <wp:effectExtent l="0" t="0" r="0" b="0"/>
            <wp:docPr id="22" name="Picture 2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Graphical user interface, applicati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943600" cy="5320665"/>
                    </a:xfrm>
                    <a:prstGeom prst="rect">
                      <a:avLst/>
                    </a:prstGeom>
                  </pic:spPr>
                </pic:pic>
              </a:graphicData>
            </a:graphic>
          </wp:inline>
        </w:drawing>
      </w:r>
    </w:p>
    <w:p w:rsidRPr="00583A8C" w:rsidR="00FE467E" w:rsidP="00FE467E" w:rsidRDefault="00FE467E" w14:paraId="47DAA029" w14:textId="79AC2181">
      <w:pPr>
        <w:ind w:firstLine="0"/>
      </w:pPr>
    </w:p>
    <w:p w:rsidRPr="00583A8C" w:rsidR="00BF77EA" w:rsidP="00BF77EA" w:rsidRDefault="00FE467E" w14:paraId="1ACF4A74" w14:textId="2E0D48BA">
      <w:pPr>
        <w:ind w:firstLine="0"/>
      </w:pPr>
      <w:r w:rsidRPr="00583A8C">
        <w:t>Note: Sample screen shot for a field with a $</w:t>
      </w:r>
      <w:r w:rsidRPr="00583A8C" w:rsidR="00355FFA">
        <w:t>1</w:t>
      </w:r>
      <w:r w:rsidRPr="00583A8C">
        <w:t xml:space="preserve">00/acre bid cap, </w:t>
      </w:r>
      <w:r w:rsidRPr="00583A8C" w:rsidR="00EF33D3">
        <w:t xml:space="preserve">188 </w:t>
      </w:r>
      <w:r w:rsidRPr="00583A8C" w:rsidR="008D26B1">
        <w:t>starting EBI</w:t>
      </w:r>
      <w:r w:rsidRPr="00583A8C">
        <w:t xml:space="preserve"> points, and a reserve rate of $</w:t>
      </w:r>
      <w:r w:rsidRPr="00583A8C" w:rsidR="00355FFA">
        <w:t>76</w:t>
      </w:r>
      <w:r w:rsidRPr="00583A8C">
        <w:t xml:space="preserve">/acre.  </w:t>
      </w:r>
      <w:r w:rsidRPr="00583A8C" w:rsidR="00355FFA">
        <w:t>The opt-out default treatment pre-select</w:t>
      </w:r>
      <w:r w:rsidRPr="00583A8C" w:rsidR="00C10C50">
        <w:t>s</w:t>
      </w:r>
      <w:r w:rsidRPr="00583A8C" w:rsidR="00355FFA">
        <w:t xml:space="preserve"> the best conservation cover practice and nine percent bid down.  </w:t>
      </w:r>
      <w:r w:rsidRPr="00583A8C">
        <w:t xml:space="preserve">This screen also shows a </w:t>
      </w:r>
      <w:r w:rsidRPr="00583A8C" w:rsidR="002B7DBB">
        <w:t>score updating</w:t>
      </w:r>
      <w:r w:rsidRPr="00583A8C">
        <w:t xml:space="preserve"> treatment, which consists of the live updated EBI points at the bottom of the screen</w:t>
      </w:r>
      <w:r w:rsidRPr="00583A8C" w:rsidR="00355FFA">
        <w:t>.</w:t>
      </w:r>
    </w:p>
    <w:p w:rsidRPr="00583A8C" w:rsidR="00355FFA" w:rsidRDefault="00355FFA" w14:paraId="1A29E8F3" w14:textId="77777777">
      <w:pPr>
        <w:spacing w:line="259" w:lineRule="auto"/>
        <w:ind w:firstLine="0"/>
        <w:rPr>
          <w:b/>
          <w:bCs/>
        </w:rPr>
      </w:pPr>
      <w:r w:rsidRPr="00583A8C">
        <w:rPr>
          <w:b/>
          <w:bCs/>
        </w:rPr>
        <w:br w:type="page"/>
      </w:r>
    </w:p>
    <w:p w:rsidRPr="00583A8C" w:rsidR="00BF77EA" w:rsidP="00BF77EA" w:rsidRDefault="00BF77EA" w14:paraId="3A4266AC" w14:textId="0ADD8F08">
      <w:pPr>
        <w:ind w:firstLine="0"/>
        <w:rPr>
          <w:b/>
          <w:bCs/>
        </w:rPr>
      </w:pPr>
      <w:r w:rsidRPr="00583A8C">
        <w:rPr>
          <w:b/>
          <w:bCs/>
        </w:rPr>
        <w:lastRenderedPageBreak/>
        <w:t>Figure 2: Final information screen</w:t>
      </w:r>
    </w:p>
    <w:p w:rsidRPr="00583A8C" w:rsidR="00EF33D3" w:rsidP="00BF77EA" w:rsidRDefault="00EF33D3" w14:paraId="70C4DEED" w14:textId="73B0EA20">
      <w:pPr>
        <w:ind w:firstLine="0"/>
        <w:rPr>
          <w:b/>
          <w:bCs/>
        </w:rPr>
      </w:pPr>
      <w:r w:rsidRPr="00583A8C">
        <w:rPr>
          <w:noProof/>
          <w:color w:val="000000" w:themeColor="text1"/>
        </w:rPr>
        <w:drawing>
          <wp:inline distT="0" distB="0" distL="0" distR="0" wp14:anchorId="6512C895" wp14:editId="44CDD334">
            <wp:extent cx="5943600" cy="3778250"/>
            <wp:effectExtent l="0" t="0" r="0" b="0"/>
            <wp:docPr id="23" name="Picture 2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Graphical user interface, applicati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943600" cy="3778250"/>
                    </a:xfrm>
                    <a:prstGeom prst="rect">
                      <a:avLst/>
                    </a:prstGeom>
                  </pic:spPr>
                </pic:pic>
              </a:graphicData>
            </a:graphic>
          </wp:inline>
        </w:drawing>
      </w:r>
    </w:p>
    <w:p w:rsidRPr="00583A8C" w:rsidR="00BF77EA" w:rsidP="00BF77EA" w:rsidRDefault="00BF77EA" w14:paraId="30DE8632" w14:textId="4EABDC77">
      <w:pPr>
        <w:ind w:firstLine="0"/>
      </w:pPr>
    </w:p>
    <w:p w:rsidRPr="00583A8C" w:rsidR="00AD7B68" w:rsidRDefault="00AD7B68" w14:paraId="3C526963" w14:textId="77777777">
      <w:pPr>
        <w:spacing w:line="259" w:lineRule="auto"/>
        <w:ind w:firstLine="0"/>
      </w:pPr>
      <w:r w:rsidRPr="00583A8C">
        <w:br w:type="page"/>
      </w:r>
    </w:p>
    <w:p w:rsidRPr="00583A8C" w:rsidR="00BF7536" w:rsidP="005C46B9" w:rsidRDefault="004B0A0C" w14:paraId="1EA1363E" w14:textId="73D0F155">
      <w:pPr>
        <w:pStyle w:val="Heading2"/>
      </w:pPr>
      <w:r w:rsidRPr="00583A8C">
        <w:lastRenderedPageBreak/>
        <w:t>Induced Values</w:t>
      </w:r>
      <w:r w:rsidRPr="00583A8C" w:rsidR="00E04461">
        <w:t xml:space="preserve">  </w:t>
      </w:r>
      <w:r w:rsidRPr="00583A8C" w:rsidR="00144F4E">
        <w:t xml:space="preserve">  </w:t>
      </w:r>
    </w:p>
    <w:p w:rsidRPr="00583A8C" w:rsidR="00490B39" w:rsidP="00490B39" w:rsidRDefault="008E14D6" w14:paraId="31C74DAE" w14:textId="048CB943">
      <w:pPr>
        <w:pStyle w:val="ListParagraph"/>
        <w:numPr>
          <w:ilvl w:val="0"/>
          <w:numId w:val="8"/>
        </w:numPr>
      </w:pPr>
      <w:r w:rsidRPr="00583A8C">
        <w:t>We designed t</w:t>
      </w:r>
      <w:r w:rsidRPr="00583A8C" w:rsidR="00490B39">
        <w:t xml:space="preserve">he </w:t>
      </w:r>
      <w:r w:rsidRPr="00583A8C">
        <w:t xml:space="preserve">reverse </w:t>
      </w:r>
      <w:r w:rsidRPr="00583A8C" w:rsidR="00490B39">
        <w:t xml:space="preserve">auction to induce offer choices that resemble the observed outcomes in </w:t>
      </w:r>
      <w:r w:rsidRPr="00583A8C" w:rsidR="00721E32">
        <w:t xml:space="preserve">past </w:t>
      </w:r>
      <w:r w:rsidRPr="00583A8C" w:rsidR="00490B39">
        <w:t>CRP auctions.</w:t>
      </w:r>
    </w:p>
    <w:p w:rsidRPr="00583A8C" w:rsidR="00490B39" w:rsidP="00490B39" w:rsidRDefault="008E14D6" w14:paraId="145CD40F" w14:textId="3EA62396">
      <w:pPr>
        <w:pStyle w:val="ListParagraph"/>
        <w:numPr>
          <w:ilvl w:val="0"/>
          <w:numId w:val="8"/>
        </w:numPr>
      </w:pPr>
      <w:r w:rsidRPr="00583A8C">
        <w:t>We use f</w:t>
      </w:r>
      <w:r w:rsidRPr="00583A8C" w:rsidR="000C2BAD">
        <w:t>our</w:t>
      </w:r>
      <w:r w:rsidRPr="00583A8C" w:rsidR="00490B39">
        <w:t xml:space="preserve"> types of parameters </w:t>
      </w:r>
      <w:r w:rsidRPr="00583A8C">
        <w:t>to</w:t>
      </w:r>
      <w:r w:rsidRPr="00583A8C" w:rsidR="00490B39">
        <w:t xml:space="preserve"> induce variation in offers:</w:t>
      </w:r>
    </w:p>
    <w:p w:rsidRPr="00583A8C" w:rsidR="00490B39" w:rsidP="00490B39" w:rsidRDefault="008E14D6" w14:paraId="7489A873" w14:textId="3BAC3472">
      <w:pPr>
        <w:pStyle w:val="ListParagraph"/>
        <w:numPr>
          <w:ilvl w:val="1"/>
          <w:numId w:val="8"/>
        </w:numPr>
      </w:pPr>
      <w:r w:rsidRPr="00583A8C">
        <w:t>f</w:t>
      </w:r>
      <w:r w:rsidRPr="00583A8C" w:rsidR="00490B39">
        <w:t>ield parameters</w:t>
      </w:r>
      <w:r w:rsidRPr="00583A8C" w:rsidR="000C2BAD">
        <w:t xml:space="preserve">: </w:t>
      </w:r>
      <w:r w:rsidRPr="00583A8C" w:rsidR="008D26B1">
        <w:t>starting EBI score</w:t>
      </w:r>
      <w:r w:rsidRPr="00583A8C" w:rsidR="000C2BAD">
        <w:t xml:space="preserve"> and </w:t>
      </w:r>
      <w:r w:rsidRPr="00583A8C" w:rsidR="008D26B1">
        <w:t>maximum net return</w:t>
      </w:r>
      <w:r w:rsidRPr="00583A8C" w:rsidR="00E73901">
        <w:t xml:space="preserve"> for nine different field </w:t>
      </w:r>
      <w:proofErr w:type="gramStart"/>
      <w:r w:rsidRPr="00583A8C" w:rsidR="00E73901">
        <w:t>types</w:t>
      </w:r>
      <w:r w:rsidRPr="00583A8C">
        <w:t>;</w:t>
      </w:r>
      <w:proofErr w:type="gramEnd"/>
    </w:p>
    <w:p w:rsidRPr="00583A8C" w:rsidR="000C2BAD" w:rsidP="00490B39" w:rsidRDefault="008E14D6" w14:paraId="49DD588C" w14:textId="69128378">
      <w:pPr>
        <w:pStyle w:val="ListParagraph"/>
        <w:numPr>
          <w:ilvl w:val="1"/>
          <w:numId w:val="8"/>
        </w:numPr>
      </w:pPr>
      <w:r w:rsidRPr="00583A8C">
        <w:t>a</w:t>
      </w:r>
      <w:r w:rsidRPr="00583A8C" w:rsidR="000C2BAD">
        <w:t>uction parameters</w:t>
      </w:r>
      <w:r w:rsidRPr="00583A8C" w:rsidR="00E73901">
        <w:t>: the ranking points and costs for</w:t>
      </w:r>
      <w:r w:rsidRPr="00583A8C" w:rsidR="000C2BAD">
        <w:t xml:space="preserve"> </w:t>
      </w:r>
      <w:r w:rsidRPr="00583A8C" w:rsidR="00E73901">
        <w:t>improved</w:t>
      </w:r>
      <w:r w:rsidRPr="00583A8C" w:rsidR="000C2BAD">
        <w:t xml:space="preserve"> quality practices and lower </w:t>
      </w:r>
      <w:r w:rsidRPr="00583A8C" w:rsidR="004C52C7">
        <w:t>asking prices (annual payments</w:t>
      </w:r>
      <w:proofErr w:type="gramStart"/>
      <w:r w:rsidRPr="00583A8C" w:rsidR="004C52C7">
        <w:t>)</w:t>
      </w:r>
      <w:r w:rsidRPr="00583A8C">
        <w:t>;</w:t>
      </w:r>
      <w:proofErr w:type="gramEnd"/>
    </w:p>
    <w:p w:rsidRPr="00583A8C" w:rsidR="000C2BAD" w:rsidP="000C2BAD" w:rsidRDefault="008E14D6" w14:paraId="66AE7DE5" w14:textId="5610D953">
      <w:pPr>
        <w:pStyle w:val="ListParagraph"/>
        <w:numPr>
          <w:ilvl w:val="1"/>
          <w:numId w:val="8"/>
        </w:numPr>
      </w:pPr>
      <w:r w:rsidRPr="00583A8C">
        <w:t>real money p</w:t>
      </w:r>
      <w:r w:rsidRPr="00583A8C" w:rsidR="000C2BAD">
        <w:t>ayouts</w:t>
      </w:r>
      <w:r w:rsidRPr="00583A8C" w:rsidR="00E73901">
        <w:t xml:space="preserve">: </w:t>
      </w:r>
      <w:r w:rsidRPr="00583A8C" w:rsidR="000C2BAD">
        <w:t xml:space="preserve">assigned </w:t>
      </w:r>
      <w:r w:rsidRPr="00583A8C" w:rsidR="00E73901">
        <w:t xml:space="preserve">net returns </w:t>
      </w:r>
      <w:r w:rsidRPr="00583A8C" w:rsidR="000C2BAD">
        <w:t>and field size</w:t>
      </w:r>
      <w:r w:rsidRPr="00583A8C">
        <w:t>;</w:t>
      </w:r>
      <w:r w:rsidRPr="00583A8C" w:rsidR="00A56880">
        <w:t xml:space="preserve"> and</w:t>
      </w:r>
    </w:p>
    <w:p w:rsidRPr="00583A8C" w:rsidR="000C2BAD" w:rsidP="000C2BAD" w:rsidRDefault="008E14D6" w14:paraId="6B4C43B9" w14:textId="7A1F4350">
      <w:pPr>
        <w:pStyle w:val="ListParagraph"/>
        <w:numPr>
          <w:ilvl w:val="1"/>
          <w:numId w:val="8"/>
        </w:numPr>
      </w:pPr>
      <w:r w:rsidRPr="00583A8C">
        <w:t>e</w:t>
      </w:r>
      <w:r w:rsidRPr="00583A8C" w:rsidR="000C2BAD">
        <w:t>xpectations about the minimum acceptable ranking score</w:t>
      </w:r>
      <w:r w:rsidRPr="00583A8C" w:rsidR="00E73901">
        <w:t>:</w:t>
      </w:r>
      <w:r w:rsidRPr="00583A8C" w:rsidR="000C2BAD">
        <w:t xml:space="preserve"> </w:t>
      </w:r>
      <w:r w:rsidRPr="00583A8C" w:rsidR="00A56880">
        <w:t xml:space="preserve">information to all participants on a range of “cutoff EBI” scores. </w:t>
      </w:r>
    </w:p>
    <w:p w:rsidRPr="00583A8C" w:rsidR="000C2BAD" w:rsidP="000C2BAD" w:rsidRDefault="008E14D6" w14:paraId="6C65BF46" w14:textId="0380FD46">
      <w:pPr>
        <w:pStyle w:val="ListParagraph"/>
        <w:numPr>
          <w:ilvl w:val="0"/>
          <w:numId w:val="8"/>
        </w:numPr>
      </w:pPr>
      <w:r w:rsidRPr="00583A8C">
        <w:t>We use an empirical model to demonstrate that for our parameterization t</w:t>
      </w:r>
      <w:r w:rsidRPr="00583A8C" w:rsidR="000C2BAD">
        <w:t xml:space="preserve">here is a Nash </w:t>
      </w:r>
      <w:r w:rsidRPr="00583A8C">
        <w:t>e</w:t>
      </w:r>
      <w:r w:rsidRPr="00583A8C" w:rsidR="000C2BAD">
        <w:t xml:space="preserve">quilibrium of offer structures (practices and </w:t>
      </w:r>
      <w:r w:rsidRPr="00583A8C" w:rsidR="004C52C7">
        <w:t>asking prices</w:t>
      </w:r>
      <w:r w:rsidRPr="00583A8C">
        <w:t>)</w:t>
      </w:r>
      <w:r w:rsidRPr="00583A8C" w:rsidR="00A56880">
        <w:t xml:space="preserve"> given a program budget that is conditioned on the participation rate (</w:t>
      </w:r>
      <w:r w:rsidRPr="00583A8C" w:rsidR="00B055A2">
        <w:t xml:space="preserve">e.g., </w:t>
      </w:r>
      <w:r w:rsidRPr="00583A8C" w:rsidR="00A56880">
        <w:t>$4</w:t>
      </w:r>
      <w:r w:rsidRPr="00583A8C" w:rsidR="00EF33D3">
        <w:t>6</w:t>
      </w:r>
      <w:r w:rsidRPr="00583A8C" w:rsidR="00A56880">
        <w:t>,</w:t>
      </w:r>
      <w:r w:rsidRPr="00583A8C" w:rsidR="00EF33D3">
        <w:t>2</w:t>
      </w:r>
      <w:r w:rsidRPr="00583A8C" w:rsidR="00A56880">
        <w:t>00</w:t>
      </w:r>
      <w:r w:rsidRPr="00583A8C" w:rsidR="008D26B1">
        <w:t xml:space="preserve"> per </w:t>
      </w:r>
      <w:r w:rsidRPr="00583A8C" w:rsidR="00A56880">
        <w:t>1,</w:t>
      </w:r>
      <w:r w:rsidRPr="00583A8C" w:rsidR="00EF33D3">
        <w:t>1</w:t>
      </w:r>
      <w:r w:rsidRPr="00583A8C" w:rsidR="00A56880">
        <w:t>00 participants)</w:t>
      </w:r>
      <w:r w:rsidRPr="00583A8C" w:rsidR="000C2BAD">
        <w:t>.</w:t>
      </w:r>
    </w:p>
    <w:p w:rsidRPr="00583A8C" w:rsidR="000C2BAD" w:rsidP="008E14D6" w:rsidRDefault="000C2BAD" w14:paraId="1DAEF8EA" w14:textId="08B929A6">
      <w:pPr>
        <w:ind w:firstLine="0"/>
        <w:rPr>
          <w:i/>
          <w:iCs/>
        </w:rPr>
      </w:pPr>
      <w:r w:rsidRPr="00583A8C">
        <w:rPr>
          <w:i/>
          <w:iCs/>
        </w:rPr>
        <w:t>Field Parameters</w:t>
      </w:r>
    </w:p>
    <w:p w:rsidRPr="00583A8C" w:rsidR="004E1B0C" w:rsidP="004E1B0C" w:rsidRDefault="004951FF" w14:paraId="7011913D" w14:textId="1008BB78">
      <w:r w:rsidRPr="00583A8C">
        <w:t>The optimal enrollment offer will vary by participant and round</w:t>
      </w:r>
      <w:r w:rsidRPr="00583A8C" w:rsidR="00B055A2">
        <w:t>. T</w:t>
      </w:r>
      <w:r w:rsidRPr="00583A8C">
        <w:t xml:space="preserve">hat variation is induced by the interaction of the auction rules with the different assigned </w:t>
      </w:r>
      <w:r w:rsidRPr="00583A8C" w:rsidR="004E1B0C">
        <w:t>field characteristics</w:t>
      </w:r>
      <w:r w:rsidRPr="00583A8C">
        <w:t>.</w:t>
      </w:r>
      <w:r w:rsidRPr="00583A8C" w:rsidR="004E1B0C">
        <w:t xml:space="preserve">  </w:t>
      </w:r>
      <w:r w:rsidRPr="00583A8C" w:rsidR="00B055A2">
        <w:t>Participants cannot affect these values; they are randomly assigned to them each round. There are three field characteristics:</w:t>
      </w:r>
    </w:p>
    <w:p w:rsidRPr="00583A8C" w:rsidR="004E1B0C" w:rsidP="004E1B0C" w:rsidRDefault="004E1B0C" w14:paraId="21D8B889" w14:textId="35C01399">
      <w:pPr>
        <w:pStyle w:val="ListParagraph"/>
        <w:numPr>
          <w:ilvl w:val="0"/>
          <w:numId w:val="8"/>
        </w:numPr>
      </w:pPr>
      <w:r w:rsidRPr="00583A8C">
        <w:rPr>
          <w:b/>
          <w:bCs/>
        </w:rPr>
        <w:t>Endowment of the “Land EBI”:</w:t>
      </w:r>
      <w:r w:rsidRPr="00583A8C">
        <w:t xml:space="preserve"> higher </w:t>
      </w:r>
      <w:r w:rsidRPr="00583A8C" w:rsidR="008D26B1">
        <w:t xml:space="preserve">starting EBI points </w:t>
      </w:r>
      <w:proofErr w:type="gramStart"/>
      <w:r w:rsidRPr="00583A8C" w:rsidR="008D26B1">
        <w:t>fields;</w:t>
      </w:r>
      <w:proofErr w:type="gramEnd"/>
    </w:p>
    <w:p w:rsidRPr="00583A8C" w:rsidR="004E1B0C" w:rsidP="004E1B0C" w:rsidRDefault="004E1B0C" w14:paraId="5974C1AB" w14:textId="422CC07A">
      <w:pPr>
        <w:pStyle w:val="ListParagraph"/>
        <w:numPr>
          <w:ilvl w:val="0"/>
          <w:numId w:val="8"/>
        </w:numPr>
      </w:pPr>
      <w:r w:rsidRPr="00583A8C">
        <w:rPr>
          <w:b/>
          <w:bCs/>
        </w:rPr>
        <w:t>Bid cap:</w:t>
      </w:r>
      <w:r w:rsidRPr="00583A8C">
        <w:t xml:space="preserve"> upper limit on the </w:t>
      </w:r>
      <w:r w:rsidRPr="00583A8C" w:rsidR="004C52C7">
        <w:t>asking price</w:t>
      </w:r>
      <w:r w:rsidRPr="00583A8C" w:rsidR="00686447">
        <w:t xml:space="preserve"> and related EBI points for “cost factor</w:t>
      </w:r>
      <w:proofErr w:type="gramStart"/>
      <w:r w:rsidRPr="00583A8C" w:rsidR="00686447">
        <w:t>”</w:t>
      </w:r>
      <w:r w:rsidRPr="00583A8C" w:rsidR="008D26B1">
        <w:t>;</w:t>
      </w:r>
      <w:proofErr w:type="gramEnd"/>
    </w:p>
    <w:p w:rsidRPr="00583A8C" w:rsidR="004951FF" w:rsidP="004951FF" w:rsidRDefault="004E1B0C" w14:paraId="2E903FFF" w14:textId="0482F6FA">
      <w:pPr>
        <w:pStyle w:val="ListParagraph"/>
        <w:numPr>
          <w:ilvl w:val="0"/>
          <w:numId w:val="8"/>
        </w:numPr>
      </w:pPr>
      <w:r w:rsidRPr="00583A8C">
        <w:rPr>
          <w:b/>
          <w:bCs/>
        </w:rPr>
        <w:t>Reserve rate:</w:t>
      </w:r>
      <w:r w:rsidRPr="00583A8C">
        <w:t xml:space="preserve"> the “outside option” return on the land; participant payments calculated relative to this rate; provides “room” under the bid cap for participants to bid down their </w:t>
      </w:r>
      <w:r w:rsidRPr="00583A8C" w:rsidR="004C52C7">
        <w:t>asking price</w:t>
      </w:r>
      <w:r w:rsidRPr="00583A8C">
        <w:t>.</w:t>
      </w:r>
    </w:p>
    <w:p w:rsidRPr="00583A8C" w:rsidR="000C2BAD" w:rsidP="00EE055A" w:rsidRDefault="000C2BAD" w14:paraId="7FD53095" w14:textId="2C5D5018">
      <w:pPr>
        <w:rPr>
          <w:b/>
          <w:bCs/>
        </w:rPr>
      </w:pPr>
      <w:r w:rsidRPr="00583A8C">
        <w:t xml:space="preserve">The three different </w:t>
      </w:r>
      <w:r w:rsidRPr="00583A8C" w:rsidR="00B055A2">
        <w:t>bid caps</w:t>
      </w:r>
      <w:r w:rsidRPr="00583A8C">
        <w:t xml:space="preserve"> and three different environmental scores </w:t>
      </w:r>
      <w:r w:rsidRPr="00583A8C" w:rsidR="008D26B1">
        <w:t>combine to generate</w:t>
      </w:r>
      <w:r w:rsidRPr="00583A8C">
        <w:t xml:space="preserve"> nine possible fields (</w:t>
      </w:r>
      <w:r w:rsidRPr="00583A8C" w:rsidR="00B055A2">
        <w:t>T</w:t>
      </w:r>
      <w:r w:rsidRPr="00583A8C">
        <w:t xml:space="preserve">able 1).  </w:t>
      </w:r>
      <w:r w:rsidRPr="00583A8C">
        <w:rPr>
          <w:rFonts w:cs="Times New Roman"/>
          <w:szCs w:val="24"/>
        </w:rPr>
        <w:t>These values are based on the 25</w:t>
      </w:r>
      <w:r w:rsidRPr="00583A8C">
        <w:rPr>
          <w:rFonts w:cs="Times New Roman"/>
          <w:szCs w:val="24"/>
          <w:vertAlign w:val="superscript"/>
        </w:rPr>
        <w:t>th</w:t>
      </w:r>
      <w:r w:rsidRPr="00583A8C">
        <w:rPr>
          <w:rFonts w:cs="Times New Roman"/>
          <w:szCs w:val="24"/>
        </w:rPr>
        <w:t>, 50</w:t>
      </w:r>
      <w:r w:rsidRPr="00583A8C">
        <w:rPr>
          <w:rFonts w:cs="Times New Roman"/>
          <w:szCs w:val="24"/>
          <w:vertAlign w:val="superscript"/>
        </w:rPr>
        <w:t>th</w:t>
      </w:r>
      <w:r w:rsidRPr="00583A8C">
        <w:rPr>
          <w:rFonts w:cs="Times New Roman"/>
          <w:szCs w:val="24"/>
        </w:rPr>
        <w:t>, and 75</w:t>
      </w:r>
      <w:r w:rsidRPr="00583A8C">
        <w:rPr>
          <w:rFonts w:cs="Times New Roman"/>
          <w:szCs w:val="24"/>
          <w:vertAlign w:val="superscript"/>
        </w:rPr>
        <w:t>th</w:t>
      </w:r>
      <w:r w:rsidRPr="00583A8C">
        <w:rPr>
          <w:rFonts w:cs="Times New Roman"/>
          <w:szCs w:val="24"/>
        </w:rPr>
        <w:t xml:space="preserve"> percentiles in bid caps (</w:t>
      </w:r>
      <w:r w:rsidRPr="00583A8C" w:rsidR="00B055A2">
        <w:rPr>
          <w:rFonts w:cs="Times New Roman"/>
          <w:szCs w:val="24"/>
        </w:rPr>
        <w:t>“</w:t>
      </w:r>
      <w:r w:rsidRPr="00583A8C">
        <w:rPr>
          <w:rFonts w:cs="Times New Roman"/>
          <w:szCs w:val="24"/>
        </w:rPr>
        <w:t xml:space="preserve">Bid </w:t>
      </w:r>
      <w:r w:rsidRPr="00583A8C" w:rsidR="00B055A2">
        <w:rPr>
          <w:rFonts w:cs="Times New Roman"/>
          <w:szCs w:val="24"/>
        </w:rPr>
        <w:t>C</w:t>
      </w:r>
      <w:r w:rsidRPr="00583A8C">
        <w:rPr>
          <w:rFonts w:cs="Times New Roman"/>
          <w:szCs w:val="24"/>
        </w:rPr>
        <w:t>ap EBI</w:t>
      </w:r>
      <w:r w:rsidRPr="00583A8C" w:rsidR="00B055A2">
        <w:rPr>
          <w:rFonts w:cs="Times New Roman"/>
          <w:szCs w:val="24"/>
        </w:rPr>
        <w:t>”</w:t>
      </w:r>
      <w:r w:rsidRPr="00583A8C">
        <w:rPr>
          <w:rFonts w:cs="Times New Roman"/>
          <w:szCs w:val="24"/>
        </w:rPr>
        <w:t>) and environmental scores based on land characteristics (</w:t>
      </w:r>
      <w:r w:rsidRPr="00583A8C" w:rsidR="00B055A2">
        <w:rPr>
          <w:rFonts w:cs="Times New Roman"/>
          <w:szCs w:val="24"/>
        </w:rPr>
        <w:t>“</w:t>
      </w:r>
      <w:r w:rsidRPr="00583A8C">
        <w:rPr>
          <w:rFonts w:cs="Times New Roman"/>
          <w:szCs w:val="24"/>
        </w:rPr>
        <w:t>Land EBI</w:t>
      </w:r>
      <w:r w:rsidRPr="00583A8C" w:rsidR="00B055A2">
        <w:rPr>
          <w:rFonts w:cs="Times New Roman"/>
          <w:szCs w:val="24"/>
        </w:rPr>
        <w:t>”</w:t>
      </w:r>
      <w:r w:rsidRPr="00583A8C">
        <w:rPr>
          <w:rFonts w:cs="Times New Roman"/>
          <w:szCs w:val="24"/>
        </w:rPr>
        <w:t>) from the past five General Signups</w:t>
      </w:r>
      <w:r w:rsidRPr="00583A8C" w:rsidR="008E14D6">
        <w:rPr>
          <w:rFonts w:cs="Times New Roman"/>
          <w:szCs w:val="24"/>
        </w:rPr>
        <w:t>, adjusted to achieve a Nash equilibrium of offer behavior given other parameters</w:t>
      </w:r>
      <w:r w:rsidRPr="00583A8C">
        <w:rPr>
          <w:rFonts w:cs="Times New Roman"/>
          <w:szCs w:val="24"/>
        </w:rPr>
        <w:t xml:space="preserve">.  </w:t>
      </w:r>
      <w:r w:rsidRPr="00583A8C">
        <w:t xml:space="preserve">Participants will randomly be assigned to a sequence </w:t>
      </w:r>
      <w:r w:rsidRPr="00583A8C" w:rsidR="008E14D6">
        <w:t>of</w:t>
      </w:r>
      <w:r w:rsidRPr="00583A8C">
        <w:t xml:space="preserve"> </w:t>
      </w:r>
      <w:r w:rsidRPr="00583A8C" w:rsidR="008E14D6">
        <w:t>three different</w:t>
      </w:r>
      <w:r w:rsidRPr="00583A8C">
        <w:t xml:space="preserve"> fields </w:t>
      </w:r>
      <w:r w:rsidRPr="00583A8C">
        <w:lastRenderedPageBreak/>
        <w:t xml:space="preserve">over their </w:t>
      </w:r>
      <w:r w:rsidRPr="00583A8C" w:rsidR="008E14D6">
        <w:t xml:space="preserve">three </w:t>
      </w:r>
      <w:r w:rsidRPr="00583A8C">
        <w:t>actual rounds.</w:t>
      </w:r>
      <w:r w:rsidRPr="00583A8C" w:rsidR="008E14D6">
        <w:t xml:space="preserve"> (See </w:t>
      </w:r>
      <w:r w:rsidRPr="00583A8C" w:rsidR="00721E32">
        <w:t xml:space="preserve">section below </w:t>
      </w:r>
      <w:r w:rsidRPr="00583A8C" w:rsidR="008E14D6">
        <w:t>for details on the treatment and field parameter assignment methodology.)</w:t>
      </w:r>
      <w:r w:rsidRPr="00583A8C">
        <w:t xml:space="preserve">  It also ensures that we will have </w:t>
      </w:r>
      <w:r w:rsidRPr="00583A8C" w:rsidR="00721E32">
        <w:t>within-</w:t>
      </w:r>
      <w:r w:rsidRPr="00583A8C">
        <w:t xml:space="preserve">participant variation in bidding incentives, which will allow for estimation of the </w:t>
      </w:r>
      <w:r w:rsidRPr="00583A8C" w:rsidR="002B7DBB">
        <w:t>score updating</w:t>
      </w:r>
      <w:r w:rsidRPr="00583A8C">
        <w:t xml:space="preserve"> treatment effect as </w:t>
      </w:r>
      <w:r w:rsidRPr="00583A8C" w:rsidR="00872C9A">
        <w:t xml:space="preserve">explained </w:t>
      </w:r>
      <w:r w:rsidRPr="00583A8C">
        <w:t>in the analysis section</w:t>
      </w:r>
      <w:r w:rsidRPr="00583A8C" w:rsidR="00872C9A">
        <w:t xml:space="preserve"> below</w:t>
      </w:r>
      <w:r w:rsidRPr="00583A8C">
        <w:t>.</w:t>
      </w:r>
    </w:p>
    <w:p w:rsidRPr="00583A8C" w:rsidR="000C2BAD" w:rsidP="000C2BAD" w:rsidRDefault="000C2BAD" w14:paraId="30B5BF2A" w14:textId="0711EF36">
      <w:pPr>
        <w:ind w:firstLine="0"/>
        <w:rPr>
          <w:b/>
          <w:bCs/>
        </w:rPr>
      </w:pPr>
      <w:r w:rsidRPr="00583A8C">
        <w:rPr>
          <w:b/>
          <w:bCs/>
        </w:rPr>
        <w:t xml:space="preserve">Table 1: Total </w:t>
      </w:r>
      <w:r w:rsidRPr="00583A8C" w:rsidR="008968A6">
        <w:rPr>
          <w:b/>
          <w:bCs/>
        </w:rPr>
        <w:t xml:space="preserve">Starting </w:t>
      </w:r>
      <w:r w:rsidRPr="00583A8C">
        <w:rPr>
          <w:b/>
          <w:bCs/>
        </w:rPr>
        <w:t>EBI</w:t>
      </w:r>
    </w:p>
    <w:tbl>
      <w:tblPr>
        <w:tblpPr w:leftFromText="180" w:rightFromText="180" w:vertAnchor="text" w:tblpXSpec="center" w:tblpY="1"/>
        <w:tblOverlap w:val="never"/>
        <w:tblW w:w="4972" w:type="dxa"/>
        <w:tblLook w:val="04A0" w:firstRow="1" w:lastRow="0" w:firstColumn="1" w:lastColumn="0" w:noHBand="0" w:noVBand="1"/>
      </w:tblPr>
      <w:tblGrid>
        <w:gridCol w:w="1382"/>
        <w:gridCol w:w="960"/>
        <w:gridCol w:w="960"/>
        <w:gridCol w:w="1147"/>
        <w:gridCol w:w="960"/>
      </w:tblGrid>
      <w:tr w:rsidRPr="00583A8C" w:rsidR="000C2BAD" w:rsidTr="00E73901" w14:paraId="71165F09" w14:textId="77777777">
        <w:trPr>
          <w:trHeight w:val="300"/>
        </w:trPr>
        <w:tc>
          <w:tcPr>
            <w:tcW w:w="1132" w:type="dxa"/>
            <w:tcBorders>
              <w:top w:val="nil"/>
              <w:left w:val="nil"/>
              <w:bottom w:val="nil"/>
              <w:right w:val="nil"/>
            </w:tcBorders>
            <w:shd w:val="clear" w:color="auto" w:fill="auto"/>
            <w:noWrap/>
            <w:vAlign w:val="bottom"/>
            <w:hideMark/>
          </w:tcPr>
          <w:p w:rsidRPr="00583A8C" w:rsidR="000C2BAD" w:rsidP="00E73901" w:rsidRDefault="000C2BAD" w14:paraId="47736BA0" w14:textId="77777777">
            <w:pPr>
              <w:spacing w:after="0" w:line="240" w:lineRule="auto"/>
              <w:ind w:firstLine="0"/>
              <w:rPr>
                <w:rFonts w:eastAsia="Times New Roman" w:cs="Times New Roman"/>
                <w:sz w:val="28"/>
                <w:szCs w:val="28"/>
              </w:rPr>
            </w:pPr>
          </w:p>
        </w:tc>
        <w:tc>
          <w:tcPr>
            <w:tcW w:w="960" w:type="dxa"/>
            <w:tcBorders>
              <w:top w:val="nil"/>
              <w:left w:val="nil"/>
              <w:bottom w:val="nil"/>
              <w:right w:val="nil"/>
            </w:tcBorders>
            <w:shd w:val="clear" w:color="auto" w:fill="auto"/>
            <w:noWrap/>
            <w:vAlign w:val="bottom"/>
            <w:hideMark/>
          </w:tcPr>
          <w:p w:rsidRPr="00583A8C" w:rsidR="000C2BAD" w:rsidP="00E73901" w:rsidRDefault="000C2BAD" w14:paraId="31F4A9E6" w14:textId="77777777">
            <w:pPr>
              <w:spacing w:after="0" w:line="240" w:lineRule="auto"/>
              <w:ind w:firstLine="0"/>
              <w:jc w:val="center"/>
              <w:rPr>
                <w:rFonts w:eastAsia="Times New Roman" w:cs="Times New Roman"/>
                <w:sz w:val="28"/>
                <w:szCs w:val="28"/>
              </w:rPr>
            </w:pPr>
          </w:p>
        </w:tc>
        <w:tc>
          <w:tcPr>
            <w:tcW w:w="2880" w:type="dxa"/>
            <w:gridSpan w:val="3"/>
            <w:tcBorders>
              <w:top w:val="nil"/>
              <w:left w:val="nil"/>
              <w:bottom w:val="nil"/>
              <w:right w:val="nil"/>
            </w:tcBorders>
            <w:shd w:val="clear" w:color="auto" w:fill="auto"/>
            <w:noWrap/>
            <w:vAlign w:val="bottom"/>
            <w:hideMark/>
          </w:tcPr>
          <w:p w:rsidRPr="00583A8C" w:rsidR="000C2BAD" w:rsidP="00E73901" w:rsidRDefault="000C2BAD" w14:paraId="1226AF0E" w14:textId="77777777">
            <w:pPr>
              <w:spacing w:after="0" w:line="240" w:lineRule="auto"/>
              <w:ind w:firstLine="0"/>
              <w:jc w:val="center"/>
              <w:rPr>
                <w:rFonts w:eastAsia="Times New Roman" w:cs="Times New Roman"/>
                <w:sz w:val="28"/>
                <w:szCs w:val="28"/>
              </w:rPr>
            </w:pPr>
            <w:r w:rsidRPr="00583A8C">
              <w:rPr>
                <w:rFonts w:ascii="Calibri" w:hAnsi="Calibri" w:eastAsia="Times New Roman" w:cs="Calibri"/>
                <w:color w:val="000000"/>
                <w:sz w:val="28"/>
                <w:szCs w:val="28"/>
              </w:rPr>
              <w:t>Land EBI</w:t>
            </w:r>
          </w:p>
        </w:tc>
      </w:tr>
      <w:tr w:rsidRPr="00583A8C" w:rsidR="000C2BAD" w:rsidTr="00E73901" w14:paraId="31F7F01B" w14:textId="77777777">
        <w:trPr>
          <w:trHeight w:val="300"/>
        </w:trPr>
        <w:tc>
          <w:tcPr>
            <w:tcW w:w="1132" w:type="dxa"/>
            <w:tcBorders>
              <w:top w:val="nil"/>
              <w:left w:val="nil"/>
              <w:bottom w:val="nil"/>
              <w:right w:val="nil"/>
            </w:tcBorders>
            <w:shd w:val="clear" w:color="auto" w:fill="auto"/>
            <w:noWrap/>
            <w:vAlign w:val="bottom"/>
            <w:hideMark/>
          </w:tcPr>
          <w:p w:rsidRPr="00583A8C" w:rsidR="000C2BAD" w:rsidP="00E73901" w:rsidRDefault="000C2BAD" w14:paraId="0248C9E5" w14:textId="77777777">
            <w:pPr>
              <w:spacing w:after="0" w:line="240" w:lineRule="auto"/>
              <w:ind w:firstLine="0"/>
              <w:rPr>
                <w:rFonts w:eastAsia="Times New Roman" w:cs="Times New Roman"/>
                <w:sz w:val="28"/>
                <w:szCs w:val="28"/>
              </w:rPr>
            </w:pPr>
          </w:p>
        </w:tc>
        <w:tc>
          <w:tcPr>
            <w:tcW w:w="960" w:type="dxa"/>
            <w:tcBorders>
              <w:top w:val="nil"/>
              <w:left w:val="nil"/>
              <w:bottom w:val="nil"/>
              <w:right w:val="nil"/>
            </w:tcBorders>
            <w:shd w:val="clear" w:color="auto" w:fill="auto"/>
            <w:noWrap/>
            <w:vAlign w:val="bottom"/>
            <w:hideMark/>
          </w:tcPr>
          <w:p w:rsidRPr="00583A8C" w:rsidR="000C2BAD" w:rsidP="00E73901" w:rsidRDefault="000C2BAD" w14:paraId="3D75FFC7" w14:textId="77777777">
            <w:pPr>
              <w:spacing w:after="0" w:line="240" w:lineRule="auto"/>
              <w:ind w:firstLine="0"/>
              <w:rPr>
                <w:rFonts w:eastAsia="Times New Roman" w:cs="Times New Roman"/>
                <w:sz w:val="28"/>
                <w:szCs w:val="28"/>
              </w:rPr>
            </w:pPr>
          </w:p>
        </w:tc>
        <w:tc>
          <w:tcPr>
            <w:tcW w:w="960" w:type="dxa"/>
            <w:tcBorders>
              <w:top w:val="nil"/>
              <w:left w:val="nil"/>
              <w:bottom w:val="nil"/>
              <w:right w:val="nil"/>
            </w:tcBorders>
            <w:shd w:val="clear" w:color="auto" w:fill="auto"/>
            <w:noWrap/>
            <w:vAlign w:val="bottom"/>
            <w:hideMark/>
          </w:tcPr>
          <w:p w:rsidRPr="00583A8C" w:rsidR="000C2BAD" w:rsidP="00E73901" w:rsidRDefault="000C2BAD" w14:paraId="72E247DD" w14:textId="77777777">
            <w:pPr>
              <w:spacing w:after="0" w:line="240" w:lineRule="auto"/>
              <w:ind w:firstLine="0"/>
              <w:jc w:val="center"/>
              <w:rPr>
                <w:rFonts w:ascii="Calibri" w:hAnsi="Calibri" w:eastAsia="Times New Roman" w:cs="Calibri"/>
                <w:color w:val="000000"/>
                <w:sz w:val="28"/>
                <w:szCs w:val="28"/>
              </w:rPr>
            </w:pPr>
            <w:r w:rsidRPr="00583A8C">
              <w:rPr>
                <w:rFonts w:ascii="Calibri" w:hAnsi="Calibri" w:eastAsia="Times New Roman" w:cs="Calibri"/>
                <w:color w:val="000000"/>
                <w:sz w:val="28"/>
                <w:szCs w:val="28"/>
              </w:rPr>
              <w:t>Low</w:t>
            </w:r>
          </w:p>
        </w:tc>
        <w:tc>
          <w:tcPr>
            <w:tcW w:w="960" w:type="dxa"/>
            <w:tcBorders>
              <w:top w:val="nil"/>
              <w:left w:val="nil"/>
              <w:bottom w:val="nil"/>
              <w:right w:val="nil"/>
            </w:tcBorders>
            <w:shd w:val="clear" w:color="auto" w:fill="auto"/>
            <w:noWrap/>
            <w:vAlign w:val="bottom"/>
            <w:hideMark/>
          </w:tcPr>
          <w:p w:rsidRPr="00583A8C" w:rsidR="000C2BAD" w:rsidP="00E73901" w:rsidRDefault="000C2BAD" w14:paraId="6DEBE092" w14:textId="77777777">
            <w:pPr>
              <w:spacing w:after="0" w:line="240" w:lineRule="auto"/>
              <w:ind w:firstLine="0"/>
              <w:jc w:val="center"/>
              <w:rPr>
                <w:rFonts w:ascii="Calibri" w:hAnsi="Calibri" w:eastAsia="Times New Roman" w:cs="Calibri"/>
                <w:color w:val="000000"/>
                <w:sz w:val="28"/>
                <w:szCs w:val="28"/>
              </w:rPr>
            </w:pPr>
            <w:r w:rsidRPr="00583A8C">
              <w:rPr>
                <w:rFonts w:ascii="Calibri" w:hAnsi="Calibri" w:eastAsia="Times New Roman" w:cs="Calibri"/>
                <w:color w:val="000000"/>
                <w:sz w:val="28"/>
                <w:szCs w:val="28"/>
              </w:rPr>
              <w:t>Average</w:t>
            </w:r>
          </w:p>
        </w:tc>
        <w:tc>
          <w:tcPr>
            <w:tcW w:w="960" w:type="dxa"/>
            <w:tcBorders>
              <w:top w:val="nil"/>
              <w:left w:val="nil"/>
              <w:bottom w:val="nil"/>
              <w:right w:val="nil"/>
            </w:tcBorders>
            <w:shd w:val="clear" w:color="auto" w:fill="auto"/>
            <w:noWrap/>
            <w:vAlign w:val="bottom"/>
            <w:hideMark/>
          </w:tcPr>
          <w:p w:rsidRPr="00583A8C" w:rsidR="000C2BAD" w:rsidP="00E73901" w:rsidRDefault="000C2BAD" w14:paraId="0D13217A" w14:textId="77777777">
            <w:pPr>
              <w:spacing w:after="0" w:line="240" w:lineRule="auto"/>
              <w:ind w:firstLine="0"/>
              <w:jc w:val="center"/>
              <w:rPr>
                <w:rFonts w:ascii="Calibri" w:hAnsi="Calibri" w:eastAsia="Times New Roman" w:cs="Calibri"/>
                <w:color w:val="000000"/>
                <w:sz w:val="28"/>
                <w:szCs w:val="28"/>
              </w:rPr>
            </w:pPr>
            <w:r w:rsidRPr="00583A8C">
              <w:rPr>
                <w:rFonts w:ascii="Calibri" w:hAnsi="Calibri" w:eastAsia="Times New Roman" w:cs="Calibri"/>
                <w:color w:val="000000"/>
                <w:sz w:val="28"/>
                <w:szCs w:val="28"/>
              </w:rPr>
              <w:t>High</w:t>
            </w:r>
          </w:p>
        </w:tc>
      </w:tr>
      <w:tr w:rsidRPr="00583A8C" w:rsidR="000C2BAD" w:rsidTr="00E73901" w14:paraId="13C50241" w14:textId="77777777">
        <w:trPr>
          <w:trHeight w:val="300"/>
        </w:trPr>
        <w:tc>
          <w:tcPr>
            <w:tcW w:w="1132" w:type="dxa"/>
            <w:tcBorders>
              <w:top w:val="nil"/>
              <w:left w:val="nil"/>
              <w:bottom w:val="single" w:color="auto" w:sz="4" w:space="0"/>
              <w:right w:val="nil"/>
            </w:tcBorders>
            <w:shd w:val="clear" w:color="auto" w:fill="auto"/>
            <w:noWrap/>
            <w:vAlign w:val="bottom"/>
            <w:hideMark/>
          </w:tcPr>
          <w:p w:rsidRPr="00583A8C" w:rsidR="000C2BAD" w:rsidP="00E73901" w:rsidRDefault="000C2BAD" w14:paraId="0FC30AC9" w14:textId="77777777">
            <w:pPr>
              <w:spacing w:after="0" w:line="240" w:lineRule="auto"/>
              <w:ind w:firstLine="0"/>
              <w:jc w:val="center"/>
              <w:rPr>
                <w:rFonts w:ascii="Calibri" w:hAnsi="Calibri" w:eastAsia="Times New Roman" w:cs="Calibri"/>
                <w:color w:val="000000"/>
                <w:sz w:val="28"/>
                <w:szCs w:val="28"/>
              </w:rPr>
            </w:pPr>
            <w:r w:rsidRPr="00583A8C">
              <w:rPr>
                <w:rFonts w:ascii="Calibri" w:hAnsi="Calibri" w:eastAsia="Times New Roman" w:cs="Calibri"/>
                <w:color w:val="000000"/>
                <w:sz w:val="28"/>
                <w:szCs w:val="28"/>
              </w:rPr>
              <w:t>Bid cap</w:t>
            </w:r>
          </w:p>
        </w:tc>
        <w:tc>
          <w:tcPr>
            <w:tcW w:w="960" w:type="dxa"/>
            <w:tcBorders>
              <w:top w:val="nil"/>
              <w:left w:val="nil"/>
              <w:bottom w:val="single" w:color="auto" w:sz="4" w:space="0"/>
              <w:right w:val="single" w:color="auto" w:sz="4" w:space="0"/>
            </w:tcBorders>
            <w:shd w:val="clear" w:color="auto" w:fill="auto"/>
            <w:noWrap/>
            <w:vAlign w:val="bottom"/>
            <w:hideMark/>
          </w:tcPr>
          <w:p w:rsidRPr="00583A8C" w:rsidR="000C2BAD" w:rsidP="00E73901" w:rsidRDefault="000C2BAD" w14:paraId="488185BB" w14:textId="77777777">
            <w:pPr>
              <w:spacing w:after="0" w:line="240" w:lineRule="auto"/>
              <w:ind w:firstLine="0"/>
              <w:jc w:val="center"/>
              <w:rPr>
                <w:rFonts w:ascii="Calibri" w:hAnsi="Calibri" w:eastAsia="Times New Roman" w:cs="Calibri"/>
                <w:color w:val="000000"/>
                <w:sz w:val="28"/>
                <w:szCs w:val="28"/>
              </w:rPr>
            </w:pPr>
            <w:r w:rsidRPr="00583A8C">
              <w:rPr>
                <w:rFonts w:ascii="Calibri" w:hAnsi="Calibri" w:eastAsia="Times New Roman" w:cs="Calibri"/>
                <w:color w:val="000000"/>
                <w:sz w:val="28"/>
                <w:szCs w:val="28"/>
              </w:rPr>
              <w:t>Bid Cap EBI</w:t>
            </w:r>
          </w:p>
        </w:tc>
        <w:tc>
          <w:tcPr>
            <w:tcW w:w="960" w:type="dxa"/>
            <w:tcBorders>
              <w:top w:val="nil"/>
              <w:left w:val="nil"/>
              <w:bottom w:val="single" w:color="auto" w:sz="4" w:space="0"/>
              <w:right w:val="nil"/>
            </w:tcBorders>
            <w:shd w:val="clear" w:color="auto" w:fill="auto"/>
            <w:noWrap/>
            <w:vAlign w:val="center"/>
            <w:hideMark/>
          </w:tcPr>
          <w:p w:rsidRPr="00583A8C" w:rsidR="000C2BAD" w:rsidP="00E73901" w:rsidRDefault="000C2BAD" w14:paraId="2BF42011" w14:textId="77777777">
            <w:pPr>
              <w:spacing w:after="0" w:line="240" w:lineRule="auto"/>
              <w:ind w:firstLine="0"/>
              <w:jc w:val="center"/>
              <w:rPr>
                <w:rFonts w:ascii="Calibri" w:hAnsi="Calibri" w:eastAsia="Times New Roman" w:cs="Calibri"/>
                <w:color w:val="000000"/>
                <w:sz w:val="28"/>
                <w:szCs w:val="28"/>
              </w:rPr>
            </w:pPr>
            <w:r w:rsidRPr="00583A8C">
              <w:rPr>
                <w:rFonts w:ascii="Calibri" w:hAnsi="Calibri" w:eastAsia="Times New Roman" w:cs="Calibri"/>
                <w:color w:val="000000"/>
                <w:sz w:val="28"/>
                <w:szCs w:val="28"/>
              </w:rPr>
              <w:t>88</w:t>
            </w:r>
          </w:p>
        </w:tc>
        <w:tc>
          <w:tcPr>
            <w:tcW w:w="960" w:type="dxa"/>
            <w:tcBorders>
              <w:top w:val="nil"/>
              <w:left w:val="nil"/>
              <w:bottom w:val="single" w:color="auto" w:sz="4" w:space="0"/>
              <w:right w:val="nil"/>
            </w:tcBorders>
            <w:shd w:val="clear" w:color="auto" w:fill="auto"/>
            <w:noWrap/>
            <w:vAlign w:val="center"/>
            <w:hideMark/>
          </w:tcPr>
          <w:p w:rsidRPr="00583A8C" w:rsidR="000C2BAD" w:rsidP="00E73901" w:rsidRDefault="000C2BAD" w14:paraId="4F7EEA71" w14:textId="77777777">
            <w:pPr>
              <w:spacing w:after="0" w:line="240" w:lineRule="auto"/>
              <w:ind w:firstLine="0"/>
              <w:jc w:val="center"/>
              <w:rPr>
                <w:rFonts w:ascii="Calibri" w:hAnsi="Calibri" w:eastAsia="Times New Roman" w:cs="Calibri"/>
                <w:color w:val="000000"/>
                <w:sz w:val="28"/>
                <w:szCs w:val="28"/>
              </w:rPr>
            </w:pPr>
            <w:r w:rsidRPr="00583A8C">
              <w:rPr>
                <w:rFonts w:ascii="Calibri" w:hAnsi="Calibri" w:eastAsia="Times New Roman" w:cs="Calibri"/>
                <w:color w:val="000000"/>
                <w:sz w:val="28"/>
                <w:szCs w:val="28"/>
              </w:rPr>
              <w:t>120</w:t>
            </w:r>
          </w:p>
        </w:tc>
        <w:tc>
          <w:tcPr>
            <w:tcW w:w="960" w:type="dxa"/>
            <w:tcBorders>
              <w:top w:val="nil"/>
              <w:left w:val="nil"/>
              <w:bottom w:val="single" w:color="auto" w:sz="4" w:space="0"/>
              <w:right w:val="single" w:color="auto" w:sz="4" w:space="0"/>
            </w:tcBorders>
            <w:shd w:val="clear" w:color="auto" w:fill="auto"/>
            <w:noWrap/>
            <w:vAlign w:val="center"/>
            <w:hideMark/>
          </w:tcPr>
          <w:p w:rsidRPr="00583A8C" w:rsidR="000C2BAD" w:rsidP="00E73901" w:rsidRDefault="000C2BAD" w14:paraId="52F4C8B7" w14:textId="77777777">
            <w:pPr>
              <w:spacing w:after="0" w:line="240" w:lineRule="auto"/>
              <w:ind w:firstLine="0"/>
              <w:jc w:val="center"/>
              <w:rPr>
                <w:rFonts w:ascii="Calibri" w:hAnsi="Calibri" w:eastAsia="Times New Roman" w:cs="Calibri"/>
                <w:color w:val="000000"/>
                <w:sz w:val="28"/>
                <w:szCs w:val="28"/>
              </w:rPr>
            </w:pPr>
            <w:r w:rsidRPr="00583A8C">
              <w:rPr>
                <w:rFonts w:ascii="Calibri" w:hAnsi="Calibri" w:eastAsia="Times New Roman" w:cs="Calibri"/>
                <w:color w:val="000000"/>
                <w:sz w:val="28"/>
                <w:szCs w:val="28"/>
              </w:rPr>
              <w:t>171</w:t>
            </w:r>
          </w:p>
        </w:tc>
      </w:tr>
      <w:tr w:rsidRPr="00583A8C" w:rsidR="000C2BAD" w:rsidTr="00E73901" w14:paraId="27DA9757" w14:textId="77777777">
        <w:trPr>
          <w:trHeight w:val="300"/>
        </w:trPr>
        <w:tc>
          <w:tcPr>
            <w:tcW w:w="1132" w:type="dxa"/>
            <w:tcBorders>
              <w:top w:val="nil"/>
              <w:left w:val="nil"/>
              <w:bottom w:val="nil"/>
              <w:right w:val="nil"/>
            </w:tcBorders>
            <w:shd w:val="clear" w:color="auto" w:fill="auto"/>
            <w:noWrap/>
            <w:vAlign w:val="bottom"/>
            <w:hideMark/>
          </w:tcPr>
          <w:p w:rsidRPr="00583A8C" w:rsidR="000C2BAD" w:rsidP="00E73901" w:rsidRDefault="000C2BAD" w14:paraId="07F42F10" w14:textId="77777777">
            <w:pPr>
              <w:spacing w:after="0" w:line="240" w:lineRule="auto"/>
              <w:ind w:firstLine="0"/>
              <w:rPr>
                <w:rFonts w:ascii="Calibri" w:hAnsi="Calibri" w:eastAsia="Times New Roman" w:cs="Calibri"/>
                <w:color w:val="000000"/>
                <w:sz w:val="28"/>
                <w:szCs w:val="28"/>
              </w:rPr>
            </w:pPr>
            <w:r w:rsidRPr="00583A8C">
              <w:rPr>
                <w:rFonts w:ascii="Calibri" w:hAnsi="Calibri" w:eastAsia="Times New Roman" w:cs="Calibri"/>
                <w:color w:val="000000"/>
                <w:sz w:val="28"/>
                <w:szCs w:val="28"/>
              </w:rPr>
              <w:t>$50/acre</w:t>
            </w:r>
          </w:p>
        </w:tc>
        <w:tc>
          <w:tcPr>
            <w:tcW w:w="960" w:type="dxa"/>
            <w:tcBorders>
              <w:top w:val="nil"/>
              <w:left w:val="nil"/>
              <w:bottom w:val="nil"/>
              <w:right w:val="single" w:color="auto" w:sz="4" w:space="0"/>
            </w:tcBorders>
            <w:shd w:val="clear" w:color="auto" w:fill="auto"/>
            <w:noWrap/>
            <w:vAlign w:val="bottom"/>
            <w:hideMark/>
          </w:tcPr>
          <w:p w:rsidRPr="00583A8C" w:rsidR="000C2BAD" w:rsidP="00E73901" w:rsidRDefault="000C2BAD" w14:paraId="3DBE3C2C" w14:textId="77777777">
            <w:pPr>
              <w:spacing w:after="0" w:line="240" w:lineRule="auto"/>
              <w:ind w:firstLine="0"/>
              <w:jc w:val="center"/>
              <w:rPr>
                <w:rFonts w:ascii="Calibri" w:hAnsi="Calibri" w:eastAsia="Times New Roman" w:cs="Calibri"/>
                <w:color w:val="000000"/>
                <w:sz w:val="28"/>
                <w:szCs w:val="28"/>
              </w:rPr>
            </w:pPr>
            <w:r w:rsidRPr="00583A8C">
              <w:rPr>
                <w:rFonts w:ascii="Calibri" w:hAnsi="Calibri" w:eastAsia="Times New Roman" w:cs="Calibri"/>
                <w:color w:val="000000"/>
                <w:sz w:val="28"/>
                <w:szCs w:val="28"/>
              </w:rPr>
              <w:t>97</w:t>
            </w:r>
          </w:p>
        </w:tc>
        <w:tc>
          <w:tcPr>
            <w:tcW w:w="960" w:type="dxa"/>
            <w:tcBorders>
              <w:top w:val="nil"/>
              <w:left w:val="nil"/>
              <w:bottom w:val="nil"/>
              <w:right w:val="nil"/>
            </w:tcBorders>
            <w:shd w:val="clear" w:color="auto" w:fill="auto"/>
            <w:noWrap/>
            <w:vAlign w:val="bottom"/>
            <w:hideMark/>
          </w:tcPr>
          <w:p w:rsidRPr="00583A8C" w:rsidR="000C2BAD" w:rsidP="00E73901" w:rsidRDefault="000C2BAD" w14:paraId="46174923" w14:textId="77777777">
            <w:pPr>
              <w:spacing w:after="0" w:line="240" w:lineRule="auto"/>
              <w:ind w:firstLine="0"/>
              <w:jc w:val="center"/>
              <w:rPr>
                <w:rFonts w:ascii="Calibri" w:hAnsi="Calibri" w:eastAsia="Times New Roman" w:cs="Calibri"/>
                <w:color w:val="000000"/>
                <w:sz w:val="28"/>
                <w:szCs w:val="28"/>
              </w:rPr>
            </w:pPr>
            <w:r w:rsidRPr="00583A8C">
              <w:rPr>
                <w:rFonts w:ascii="Calibri" w:hAnsi="Calibri" w:eastAsia="Times New Roman" w:cs="Calibri"/>
                <w:color w:val="000000"/>
                <w:sz w:val="28"/>
                <w:szCs w:val="28"/>
              </w:rPr>
              <w:t>185</w:t>
            </w:r>
          </w:p>
        </w:tc>
        <w:tc>
          <w:tcPr>
            <w:tcW w:w="960" w:type="dxa"/>
            <w:tcBorders>
              <w:top w:val="nil"/>
              <w:left w:val="nil"/>
              <w:bottom w:val="nil"/>
              <w:right w:val="nil"/>
            </w:tcBorders>
            <w:shd w:val="clear" w:color="auto" w:fill="auto"/>
            <w:noWrap/>
            <w:vAlign w:val="bottom"/>
            <w:hideMark/>
          </w:tcPr>
          <w:p w:rsidRPr="00583A8C" w:rsidR="000C2BAD" w:rsidP="00E73901" w:rsidRDefault="000C2BAD" w14:paraId="065DA5CD" w14:textId="77777777">
            <w:pPr>
              <w:spacing w:after="0" w:line="240" w:lineRule="auto"/>
              <w:ind w:firstLine="0"/>
              <w:jc w:val="center"/>
              <w:rPr>
                <w:rFonts w:ascii="Calibri" w:hAnsi="Calibri" w:eastAsia="Times New Roman" w:cs="Calibri"/>
                <w:color w:val="000000"/>
                <w:sz w:val="28"/>
                <w:szCs w:val="28"/>
              </w:rPr>
            </w:pPr>
            <w:r w:rsidRPr="00583A8C">
              <w:rPr>
                <w:rFonts w:ascii="Calibri" w:hAnsi="Calibri" w:eastAsia="Times New Roman" w:cs="Calibri"/>
                <w:color w:val="000000"/>
                <w:sz w:val="28"/>
                <w:szCs w:val="28"/>
              </w:rPr>
              <w:t>217</w:t>
            </w:r>
          </w:p>
        </w:tc>
        <w:tc>
          <w:tcPr>
            <w:tcW w:w="960" w:type="dxa"/>
            <w:tcBorders>
              <w:top w:val="nil"/>
              <w:left w:val="nil"/>
              <w:bottom w:val="nil"/>
              <w:right w:val="single" w:color="auto" w:sz="4" w:space="0"/>
            </w:tcBorders>
            <w:shd w:val="clear" w:color="auto" w:fill="auto"/>
            <w:noWrap/>
            <w:vAlign w:val="bottom"/>
            <w:hideMark/>
          </w:tcPr>
          <w:p w:rsidRPr="00583A8C" w:rsidR="000C2BAD" w:rsidP="00E73901" w:rsidRDefault="000C2BAD" w14:paraId="51AE5408" w14:textId="77777777">
            <w:pPr>
              <w:spacing w:after="0" w:line="240" w:lineRule="auto"/>
              <w:ind w:firstLine="0"/>
              <w:jc w:val="center"/>
              <w:rPr>
                <w:rFonts w:ascii="Calibri" w:hAnsi="Calibri" w:eastAsia="Times New Roman" w:cs="Calibri"/>
                <w:color w:val="000000"/>
                <w:sz w:val="28"/>
                <w:szCs w:val="28"/>
              </w:rPr>
            </w:pPr>
            <w:r w:rsidRPr="00583A8C">
              <w:rPr>
                <w:rFonts w:ascii="Calibri" w:hAnsi="Calibri" w:eastAsia="Times New Roman" w:cs="Calibri"/>
                <w:color w:val="000000"/>
                <w:sz w:val="28"/>
                <w:szCs w:val="28"/>
              </w:rPr>
              <w:t>268</w:t>
            </w:r>
          </w:p>
        </w:tc>
      </w:tr>
      <w:tr w:rsidRPr="00583A8C" w:rsidR="000C2BAD" w:rsidTr="00E73901" w14:paraId="5C23687D" w14:textId="77777777">
        <w:trPr>
          <w:trHeight w:val="300"/>
        </w:trPr>
        <w:tc>
          <w:tcPr>
            <w:tcW w:w="1132" w:type="dxa"/>
            <w:tcBorders>
              <w:top w:val="nil"/>
              <w:left w:val="nil"/>
              <w:bottom w:val="nil"/>
              <w:right w:val="nil"/>
            </w:tcBorders>
            <w:shd w:val="clear" w:color="auto" w:fill="auto"/>
            <w:noWrap/>
            <w:vAlign w:val="bottom"/>
            <w:hideMark/>
          </w:tcPr>
          <w:p w:rsidRPr="00583A8C" w:rsidR="000C2BAD" w:rsidP="00E73901" w:rsidRDefault="000C2BAD" w14:paraId="07ECB5AE" w14:textId="77777777">
            <w:pPr>
              <w:spacing w:after="0" w:line="240" w:lineRule="auto"/>
              <w:ind w:firstLine="0"/>
              <w:rPr>
                <w:rFonts w:ascii="Calibri" w:hAnsi="Calibri" w:eastAsia="Times New Roman" w:cs="Calibri"/>
                <w:color w:val="000000"/>
                <w:sz w:val="28"/>
                <w:szCs w:val="28"/>
              </w:rPr>
            </w:pPr>
            <w:r w:rsidRPr="00583A8C">
              <w:rPr>
                <w:rFonts w:ascii="Calibri" w:hAnsi="Calibri" w:eastAsia="Times New Roman" w:cs="Calibri"/>
                <w:color w:val="000000"/>
                <w:sz w:val="28"/>
                <w:szCs w:val="28"/>
              </w:rPr>
              <w:t>$100/acre</w:t>
            </w:r>
          </w:p>
        </w:tc>
        <w:tc>
          <w:tcPr>
            <w:tcW w:w="960" w:type="dxa"/>
            <w:tcBorders>
              <w:top w:val="nil"/>
              <w:left w:val="nil"/>
              <w:bottom w:val="nil"/>
              <w:right w:val="single" w:color="auto" w:sz="4" w:space="0"/>
            </w:tcBorders>
            <w:shd w:val="clear" w:color="auto" w:fill="auto"/>
            <w:noWrap/>
            <w:vAlign w:val="bottom"/>
            <w:hideMark/>
          </w:tcPr>
          <w:p w:rsidRPr="00583A8C" w:rsidR="000C2BAD" w:rsidP="00E73901" w:rsidRDefault="000C2BAD" w14:paraId="1F029C38" w14:textId="77777777">
            <w:pPr>
              <w:spacing w:after="0" w:line="240" w:lineRule="auto"/>
              <w:ind w:firstLine="0"/>
              <w:jc w:val="center"/>
              <w:rPr>
                <w:rFonts w:ascii="Calibri" w:hAnsi="Calibri" w:eastAsia="Times New Roman" w:cs="Calibri"/>
                <w:color w:val="000000"/>
                <w:sz w:val="28"/>
                <w:szCs w:val="28"/>
              </w:rPr>
            </w:pPr>
            <w:r w:rsidRPr="00583A8C">
              <w:rPr>
                <w:rFonts w:ascii="Calibri" w:hAnsi="Calibri" w:eastAsia="Times New Roman" w:cs="Calibri"/>
                <w:color w:val="000000"/>
                <w:sz w:val="28"/>
                <w:szCs w:val="28"/>
              </w:rPr>
              <w:t>68</w:t>
            </w:r>
          </w:p>
        </w:tc>
        <w:tc>
          <w:tcPr>
            <w:tcW w:w="960" w:type="dxa"/>
            <w:tcBorders>
              <w:top w:val="nil"/>
              <w:left w:val="nil"/>
              <w:bottom w:val="nil"/>
              <w:right w:val="nil"/>
            </w:tcBorders>
            <w:shd w:val="clear" w:color="auto" w:fill="auto"/>
            <w:noWrap/>
            <w:vAlign w:val="bottom"/>
            <w:hideMark/>
          </w:tcPr>
          <w:p w:rsidRPr="00583A8C" w:rsidR="000C2BAD" w:rsidP="00E73901" w:rsidRDefault="000C2BAD" w14:paraId="422FD92D" w14:textId="77777777">
            <w:pPr>
              <w:spacing w:after="0" w:line="240" w:lineRule="auto"/>
              <w:ind w:firstLine="0"/>
              <w:jc w:val="center"/>
              <w:rPr>
                <w:rFonts w:ascii="Calibri" w:hAnsi="Calibri" w:eastAsia="Times New Roman" w:cs="Calibri"/>
                <w:color w:val="000000"/>
                <w:sz w:val="28"/>
                <w:szCs w:val="28"/>
              </w:rPr>
            </w:pPr>
            <w:r w:rsidRPr="00583A8C">
              <w:rPr>
                <w:rFonts w:ascii="Calibri" w:hAnsi="Calibri" w:eastAsia="Times New Roman" w:cs="Calibri"/>
                <w:color w:val="000000"/>
                <w:sz w:val="28"/>
                <w:szCs w:val="28"/>
              </w:rPr>
              <w:t>156</w:t>
            </w:r>
          </w:p>
        </w:tc>
        <w:tc>
          <w:tcPr>
            <w:tcW w:w="960" w:type="dxa"/>
            <w:tcBorders>
              <w:top w:val="nil"/>
              <w:left w:val="nil"/>
              <w:bottom w:val="nil"/>
              <w:right w:val="nil"/>
            </w:tcBorders>
            <w:shd w:val="clear" w:color="auto" w:fill="auto"/>
            <w:noWrap/>
            <w:vAlign w:val="bottom"/>
            <w:hideMark/>
          </w:tcPr>
          <w:p w:rsidRPr="00583A8C" w:rsidR="000C2BAD" w:rsidP="00E73901" w:rsidRDefault="000C2BAD" w14:paraId="40AB5C1A" w14:textId="77777777">
            <w:pPr>
              <w:spacing w:after="0" w:line="240" w:lineRule="auto"/>
              <w:ind w:firstLine="0"/>
              <w:jc w:val="center"/>
              <w:rPr>
                <w:rFonts w:ascii="Calibri" w:hAnsi="Calibri" w:eastAsia="Times New Roman" w:cs="Calibri"/>
                <w:color w:val="000000"/>
                <w:sz w:val="28"/>
                <w:szCs w:val="28"/>
              </w:rPr>
            </w:pPr>
            <w:r w:rsidRPr="00583A8C">
              <w:rPr>
                <w:rFonts w:ascii="Calibri" w:hAnsi="Calibri" w:eastAsia="Times New Roman" w:cs="Calibri"/>
                <w:color w:val="000000"/>
                <w:sz w:val="28"/>
                <w:szCs w:val="28"/>
              </w:rPr>
              <w:t>188</w:t>
            </w:r>
          </w:p>
        </w:tc>
        <w:tc>
          <w:tcPr>
            <w:tcW w:w="960" w:type="dxa"/>
            <w:tcBorders>
              <w:top w:val="nil"/>
              <w:left w:val="nil"/>
              <w:bottom w:val="nil"/>
              <w:right w:val="single" w:color="auto" w:sz="4" w:space="0"/>
            </w:tcBorders>
            <w:shd w:val="clear" w:color="auto" w:fill="auto"/>
            <w:noWrap/>
            <w:vAlign w:val="bottom"/>
            <w:hideMark/>
          </w:tcPr>
          <w:p w:rsidRPr="00583A8C" w:rsidR="000C2BAD" w:rsidP="00E73901" w:rsidRDefault="000C2BAD" w14:paraId="08F93999" w14:textId="77777777">
            <w:pPr>
              <w:spacing w:after="0" w:line="240" w:lineRule="auto"/>
              <w:ind w:firstLine="0"/>
              <w:jc w:val="center"/>
              <w:rPr>
                <w:rFonts w:ascii="Calibri" w:hAnsi="Calibri" w:eastAsia="Times New Roman" w:cs="Calibri"/>
                <w:color w:val="000000"/>
                <w:sz w:val="28"/>
                <w:szCs w:val="28"/>
              </w:rPr>
            </w:pPr>
            <w:r w:rsidRPr="00583A8C">
              <w:rPr>
                <w:rFonts w:ascii="Calibri" w:hAnsi="Calibri" w:eastAsia="Times New Roman" w:cs="Calibri"/>
                <w:color w:val="000000"/>
                <w:sz w:val="28"/>
                <w:szCs w:val="28"/>
              </w:rPr>
              <w:t>239</w:t>
            </w:r>
          </w:p>
        </w:tc>
      </w:tr>
      <w:tr w:rsidRPr="00583A8C" w:rsidR="000C2BAD" w:rsidTr="00E73901" w14:paraId="50EE45B5" w14:textId="77777777">
        <w:trPr>
          <w:trHeight w:val="300"/>
        </w:trPr>
        <w:tc>
          <w:tcPr>
            <w:tcW w:w="1132" w:type="dxa"/>
            <w:tcBorders>
              <w:top w:val="nil"/>
              <w:left w:val="nil"/>
              <w:bottom w:val="single" w:color="auto" w:sz="4" w:space="0"/>
              <w:right w:val="nil"/>
            </w:tcBorders>
            <w:shd w:val="clear" w:color="auto" w:fill="auto"/>
            <w:noWrap/>
            <w:vAlign w:val="bottom"/>
            <w:hideMark/>
          </w:tcPr>
          <w:p w:rsidRPr="00583A8C" w:rsidR="000C2BAD" w:rsidP="00E73901" w:rsidRDefault="000C2BAD" w14:paraId="556C6F4E" w14:textId="77777777">
            <w:pPr>
              <w:spacing w:after="0" w:line="240" w:lineRule="auto"/>
              <w:ind w:firstLine="0"/>
              <w:rPr>
                <w:rFonts w:ascii="Calibri" w:hAnsi="Calibri" w:eastAsia="Times New Roman" w:cs="Calibri"/>
                <w:color w:val="000000"/>
                <w:sz w:val="28"/>
                <w:szCs w:val="28"/>
              </w:rPr>
            </w:pPr>
            <w:r w:rsidRPr="00583A8C">
              <w:rPr>
                <w:rFonts w:ascii="Calibri" w:hAnsi="Calibri" w:eastAsia="Times New Roman" w:cs="Calibri"/>
                <w:color w:val="000000"/>
                <w:sz w:val="28"/>
                <w:szCs w:val="28"/>
              </w:rPr>
              <w:t>$150/acre</w:t>
            </w:r>
          </w:p>
        </w:tc>
        <w:tc>
          <w:tcPr>
            <w:tcW w:w="960" w:type="dxa"/>
            <w:tcBorders>
              <w:top w:val="nil"/>
              <w:left w:val="nil"/>
              <w:bottom w:val="single" w:color="auto" w:sz="4" w:space="0"/>
              <w:right w:val="single" w:color="auto" w:sz="4" w:space="0"/>
            </w:tcBorders>
            <w:shd w:val="clear" w:color="auto" w:fill="auto"/>
            <w:noWrap/>
            <w:vAlign w:val="bottom"/>
            <w:hideMark/>
          </w:tcPr>
          <w:p w:rsidRPr="00583A8C" w:rsidR="000C2BAD" w:rsidP="00E73901" w:rsidRDefault="000C2BAD" w14:paraId="3BF6F2C1" w14:textId="77777777">
            <w:pPr>
              <w:spacing w:after="0" w:line="240" w:lineRule="auto"/>
              <w:ind w:firstLine="0"/>
              <w:jc w:val="center"/>
              <w:rPr>
                <w:rFonts w:ascii="Calibri" w:hAnsi="Calibri" w:eastAsia="Times New Roman" w:cs="Calibri"/>
                <w:color w:val="000000"/>
                <w:sz w:val="28"/>
                <w:szCs w:val="28"/>
              </w:rPr>
            </w:pPr>
            <w:r w:rsidRPr="00583A8C">
              <w:rPr>
                <w:rFonts w:ascii="Calibri" w:hAnsi="Calibri" w:eastAsia="Times New Roman" w:cs="Calibri"/>
                <w:color w:val="000000"/>
                <w:sz w:val="28"/>
                <w:szCs w:val="28"/>
              </w:rPr>
              <w:t>40</w:t>
            </w:r>
          </w:p>
        </w:tc>
        <w:tc>
          <w:tcPr>
            <w:tcW w:w="960" w:type="dxa"/>
            <w:tcBorders>
              <w:top w:val="nil"/>
              <w:left w:val="nil"/>
              <w:bottom w:val="single" w:color="auto" w:sz="4" w:space="0"/>
              <w:right w:val="nil"/>
            </w:tcBorders>
            <w:shd w:val="clear" w:color="auto" w:fill="auto"/>
            <w:noWrap/>
            <w:vAlign w:val="bottom"/>
            <w:hideMark/>
          </w:tcPr>
          <w:p w:rsidRPr="00583A8C" w:rsidR="000C2BAD" w:rsidP="00E73901" w:rsidRDefault="000C2BAD" w14:paraId="0BCBB3C7" w14:textId="77777777">
            <w:pPr>
              <w:spacing w:after="0" w:line="240" w:lineRule="auto"/>
              <w:ind w:firstLine="0"/>
              <w:jc w:val="center"/>
              <w:rPr>
                <w:rFonts w:ascii="Calibri" w:hAnsi="Calibri" w:eastAsia="Times New Roman" w:cs="Calibri"/>
                <w:color w:val="000000"/>
                <w:sz w:val="28"/>
                <w:szCs w:val="28"/>
              </w:rPr>
            </w:pPr>
            <w:r w:rsidRPr="00583A8C">
              <w:rPr>
                <w:rFonts w:ascii="Calibri" w:hAnsi="Calibri" w:eastAsia="Times New Roman" w:cs="Calibri"/>
                <w:color w:val="000000"/>
                <w:sz w:val="28"/>
                <w:szCs w:val="28"/>
              </w:rPr>
              <w:t>128</w:t>
            </w:r>
          </w:p>
        </w:tc>
        <w:tc>
          <w:tcPr>
            <w:tcW w:w="960" w:type="dxa"/>
            <w:tcBorders>
              <w:top w:val="nil"/>
              <w:left w:val="nil"/>
              <w:bottom w:val="single" w:color="auto" w:sz="4" w:space="0"/>
              <w:right w:val="nil"/>
            </w:tcBorders>
            <w:shd w:val="clear" w:color="auto" w:fill="auto"/>
            <w:noWrap/>
            <w:vAlign w:val="bottom"/>
            <w:hideMark/>
          </w:tcPr>
          <w:p w:rsidRPr="00583A8C" w:rsidR="000C2BAD" w:rsidP="00E73901" w:rsidRDefault="000C2BAD" w14:paraId="20BC8EB8" w14:textId="77777777">
            <w:pPr>
              <w:spacing w:after="0" w:line="240" w:lineRule="auto"/>
              <w:ind w:firstLine="0"/>
              <w:jc w:val="center"/>
              <w:rPr>
                <w:rFonts w:ascii="Calibri" w:hAnsi="Calibri" w:eastAsia="Times New Roman" w:cs="Calibri"/>
                <w:color w:val="000000"/>
                <w:sz w:val="28"/>
                <w:szCs w:val="28"/>
              </w:rPr>
            </w:pPr>
            <w:r w:rsidRPr="00583A8C">
              <w:rPr>
                <w:rFonts w:ascii="Calibri" w:hAnsi="Calibri" w:eastAsia="Times New Roman" w:cs="Calibri"/>
                <w:color w:val="000000"/>
                <w:sz w:val="28"/>
                <w:szCs w:val="28"/>
              </w:rPr>
              <w:t>160</w:t>
            </w:r>
          </w:p>
        </w:tc>
        <w:tc>
          <w:tcPr>
            <w:tcW w:w="960" w:type="dxa"/>
            <w:tcBorders>
              <w:top w:val="nil"/>
              <w:left w:val="nil"/>
              <w:bottom w:val="single" w:color="auto" w:sz="4" w:space="0"/>
              <w:right w:val="single" w:color="auto" w:sz="4" w:space="0"/>
            </w:tcBorders>
            <w:shd w:val="clear" w:color="auto" w:fill="auto"/>
            <w:noWrap/>
            <w:vAlign w:val="bottom"/>
            <w:hideMark/>
          </w:tcPr>
          <w:p w:rsidRPr="00583A8C" w:rsidR="000C2BAD" w:rsidP="00E73901" w:rsidRDefault="000C2BAD" w14:paraId="7CBBEFDF" w14:textId="77777777">
            <w:pPr>
              <w:spacing w:after="0" w:line="240" w:lineRule="auto"/>
              <w:ind w:firstLine="0"/>
              <w:jc w:val="center"/>
              <w:rPr>
                <w:rFonts w:ascii="Calibri" w:hAnsi="Calibri" w:eastAsia="Times New Roman" w:cs="Calibri"/>
                <w:color w:val="000000"/>
                <w:sz w:val="28"/>
                <w:szCs w:val="28"/>
              </w:rPr>
            </w:pPr>
            <w:r w:rsidRPr="00583A8C">
              <w:rPr>
                <w:rFonts w:ascii="Calibri" w:hAnsi="Calibri" w:eastAsia="Times New Roman" w:cs="Calibri"/>
                <w:color w:val="000000"/>
                <w:sz w:val="28"/>
                <w:szCs w:val="28"/>
              </w:rPr>
              <w:t>211</w:t>
            </w:r>
          </w:p>
        </w:tc>
      </w:tr>
    </w:tbl>
    <w:p w:rsidRPr="00583A8C" w:rsidR="000C2BAD" w:rsidP="000C2BAD" w:rsidRDefault="000C2BAD" w14:paraId="5FF508CB" w14:textId="77777777">
      <w:pPr>
        <w:spacing w:line="240" w:lineRule="auto"/>
        <w:ind w:left="1440"/>
        <w:rPr>
          <w:rFonts w:cs="Times New Roman"/>
          <w:szCs w:val="24"/>
        </w:rPr>
      </w:pPr>
      <w:r w:rsidRPr="00583A8C">
        <w:rPr>
          <w:rFonts w:cs="Times New Roman"/>
          <w:szCs w:val="24"/>
        </w:rPr>
        <w:br w:type="textWrapping" w:clear="all"/>
      </w:r>
    </w:p>
    <w:p w:rsidRPr="00583A8C" w:rsidR="00D1781D" w:rsidP="006E13D4" w:rsidRDefault="000C2BAD" w14:paraId="658ED5D2" w14:textId="216725AB">
      <w:pPr>
        <w:spacing w:line="240" w:lineRule="auto"/>
        <w:ind w:left="1440" w:firstLine="0"/>
        <w:jc w:val="both"/>
        <w:rPr>
          <w:rFonts w:cs="Times New Roman"/>
          <w:i/>
          <w:iCs/>
          <w:szCs w:val="24"/>
        </w:rPr>
      </w:pPr>
      <w:r w:rsidRPr="00583A8C">
        <w:rPr>
          <w:rFonts w:cs="Times New Roman"/>
          <w:szCs w:val="24"/>
        </w:rPr>
        <w:t>Note: The land EBI</w:t>
      </w:r>
      <w:r w:rsidRPr="00583A8C" w:rsidR="00872C9A">
        <w:rPr>
          <w:rFonts w:cs="Times New Roman"/>
          <w:szCs w:val="24"/>
        </w:rPr>
        <w:t xml:space="preserve"> </w:t>
      </w:r>
      <w:r w:rsidRPr="00583A8C" w:rsidR="00B055A2">
        <w:rPr>
          <w:rFonts w:cs="Times New Roman"/>
          <w:szCs w:val="24"/>
        </w:rPr>
        <w:t xml:space="preserve">in the actual CRP auction is the sum of six different EBI subfactors, which reflect physical characteristics such as soil erodibility.  In this experiment, there is no underlying </w:t>
      </w:r>
      <w:r w:rsidRPr="00583A8C" w:rsidR="00583A8C">
        <w:rPr>
          <w:rFonts w:cs="Times New Roman"/>
          <w:szCs w:val="24"/>
        </w:rPr>
        <w:t>calculation,</w:t>
      </w:r>
      <w:r w:rsidRPr="00583A8C" w:rsidR="00B055A2">
        <w:rPr>
          <w:rFonts w:cs="Times New Roman"/>
          <w:szCs w:val="24"/>
        </w:rPr>
        <w:t xml:space="preserve"> and the values are based on historical CRP offer data. T</w:t>
      </w:r>
      <w:r w:rsidRPr="00583A8C">
        <w:rPr>
          <w:rFonts w:cs="Times New Roman"/>
          <w:szCs w:val="24"/>
        </w:rPr>
        <w:t xml:space="preserve">he bid cap EBI </w:t>
      </w:r>
      <w:r w:rsidRPr="00583A8C" w:rsidR="00B055A2">
        <w:rPr>
          <w:rFonts w:cs="Times New Roman"/>
          <w:szCs w:val="24"/>
        </w:rPr>
        <w:t xml:space="preserve">in the actual signup is </w:t>
      </w:r>
      <w:r w:rsidRPr="00583A8C">
        <w:rPr>
          <w:rFonts w:cs="Times New Roman"/>
          <w:szCs w:val="24"/>
        </w:rPr>
        <w:t>calculated by the formula a*((b-</w:t>
      </w:r>
      <w:proofErr w:type="spellStart"/>
      <w:r w:rsidRPr="00583A8C">
        <w:rPr>
          <w:rFonts w:cs="Times New Roman"/>
          <w:szCs w:val="24"/>
        </w:rPr>
        <w:t>bidcap</w:t>
      </w:r>
      <w:proofErr w:type="spellEnd"/>
      <w:r w:rsidRPr="00583A8C">
        <w:rPr>
          <w:rFonts w:cs="Times New Roman"/>
          <w:szCs w:val="24"/>
        </w:rPr>
        <w:t>)/b)</w:t>
      </w:r>
      <w:r w:rsidRPr="00583A8C" w:rsidR="00B055A2">
        <w:rPr>
          <w:rFonts w:cs="Times New Roman"/>
          <w:szCs w:val="24"/>
        </w:rPr>
        <w:t xml:space="preserve"> with </w:t>
      </w:r>
      <w:r w:rsidRPr="00583A8C">
        <w:rPr>
          <w:rFonts w:cs="Times New Roman"/>
          <w:szCs w:val="24"/>
        </w:rPr>
        <w:t xml:space="preserve">coefficients </w:t>
      </w:r>
      <w:r w:rsidRPr="00583A8C" w:rsidR="00B055A2">
        <w:rPr>
          <w:rFonts w:cs="Times New Roman"/>
          <w:szCs w:val="24"/>
        </w:rPr>
        <w:t>that</w:t>
      </w:r>
      <w:r w:rsidRPr="00583A8C">
        <w:rPr>
          <w:rFonts w:cs="Times New Roman"/>
          <w:szCs w:val="24"/>
        </w:rPr>
        <w:t xml:space="preserve"> are determined after the auction has closed. While this means that the bid cap EBI is technically not known to participants during the signup, the actual values have historically remained nearly constant.</w:t>
      </w:r>
      <w:r w:rsidRPr="00583A8C" w:rsidR="00B055A2">
        <w:rPr>
          <w:rFonts w:cs="Times New Roman"/>
          <w:szCs w:val="24"/>
        </w:rPr>
        <w:t xml:space="preserve">  For this experiment, bid cap EBI values are drawn from recent auctions.</w:t>
      </w:r>
    </w:p>
    <w:p w:rsidRPr="00583A8C" w:rsidR="000C2BAD" w:rsidP="008E14D6" w:rsidRDefault="00D1781D" w14:paraId="1EDA28D8" w14:textId="33ADCB08">
      <w:pPr>
        <w:ind w:firstLine="0"/>
        <w:rPr>
          <w:rFonts w:cs="Times New Roman"/>
          <w:i/>
          <w:iCs/>
          <w:szCs w:val="24"/>
        </w:rPr>
      </w:pPr>
      <w:r w:rsidRPr="00583A8C">
        <w:rPr>
          <w:rFonts w:cs="Times New Roman"/>
          <w:i/>
          <w:iCs/>
          <w:szCs w:val="24"/>
        </w:rPr>
        <w:t>Auction Parameters</w:t>
      </w:r>
    </w:p>
    <w:p w:rsidRPr="00583A8C" w:rsidR="000C2BAD" w:rsidP="006E13D4" w:rsidRDefault="000C2BAD" w14:paraId="3DB619DC" w14:textId="043122FC">
      <w:pPr>
        <w:ind w:firstLine="360"/>
        <w:rPr>
          <w:rFonts w:cs="Times New Roman"/>
          <w:szCs w:val="24"/>
        </w:rPr>
      </w:pPr>
      <w:r w:rsidRPr="00583A8C">
        <w:rPr>
          <w:rFonts w:cs="Times New Roman"/>
          <w:szCs w:val="24"/>
        </w:rPr>
        <w:t xml:space="preserve">In addition to the field characteristics, </w:t>
      </w:r>
      <w:r w:rsidRPr="00583A8C" w:rsidR="008E14D6">
        <w:rPr>
          <w:rFonts w:cs="Times New Roman"/>
          <w:szCs w:val="24"/>
        </w:rPr>
        <w:t xml:space="preserve">participants need to know how their offer scores </w:t>
      </w:r>
      <w:r w:rsidRPr="00583A8C" w:rsidR="00872C9A">
        <w:rPr>
          <w:rFonts w:cs="Times New Roman"/>
          <w:szCs w:val="24"/>
        </w:rPr>
        <w:t xml:space="preserve">can be increased </w:t>
      </w:r>
      <w:r w:rsidRPr="00583A8C" w:rsidR="008E14D6">
        <w:rPr>
          <w:rFonts w:cs="Times New Roman"/>
          <w:szCs w:val="24"/>
        </w:rPr>
        <w:t>through improved cover practices</w:t>
      </w:r>
      <w:r w:rsidRPr="00583A8C" w:rsidR="00872C9A">
        <w:rPr>
          <w:rFonts w:cs="Times New Roman"/>
          <w:szCs w:val="24"/>
        </w:rPr>
        <w:t>,</w:t>
      </w:r>
      <w:r w:rsidRPr="00583A8C" w:rsidR="008E14D6">
        <w:rPr>
          <w:rFonts w:cs="Times New Roman"/>
          <w:szCs w:val="24"/>
        </w:rPr>
        <w:t xml:space="preserve"> </w:t>
      </w:r>
      <w:r w:rsidRPr="00583A8C" w:rsidR="00872C9A">
        <w:rPr>
          <w:rFonts w:cs="Times New Roman"/>
          <w:szCs w:val="24"/>
        </w:rPr>
        <w:t xml:space="preserve">or higher </w:t>
      </w:r>
      <w:r w:rsidRPr="00583A8C" w:rsidR="008E14D6">
        <w:rPr>
          <w:rFonts w:cs="Times New Roman"/>
          <w:szCs w:val="24"/>
        </w:rPr>
        <w:t>bid down</w:t>
      </w:r>
      <w:r w:rsidRPr="00583A8C" w:rsidR="00872C9A">
        <w:rPr>
          <w:rFonts w:cs="Times New Roman"/>
          <w:szCs w:val="24"/>
        </w:rPr>
        <w:t>,</w:t>
      </w:r>
      <w:r w:rsidRPr="00583A8C" w:rsidR="008E14D6">
        <w:rPr>
          <w:rFonts w:cs="Times New Roman"/>
          <w:szCs w:val="24"/>
        </w:rPr>
        <w:t xml:space="preserve"> </w:t>
      </w:r>
      <w:r w:rsidRPr="00583A8C" w:rsidR="00872C9A">
        <w:rPr>
          <w:rFonts w:cs="Times New Roman"/>
          <w:szCs w:val="24"/>
        </w:rPr>
        <w:t>or both</w:t>
      </w:r>
      <w:r w:rsidRPr="00583A8C" w:rsidR="008E14D6">
        <w:rPr>
          <w:rFonts w:cs="Times New Roman"/>
          <w:szCs w:val="24"/>
        </w:rPr>
        <w:t>.</w:t>
      </w:r>
      <w:r w:rsidRPr="00583A8C" w:rsidR="00AB77E5">
        <w:rPr>
          <w:rFonts w:cs="Times New Roman"/>
          <w:szCs w:val="24"/>
        </w:rPr>
        <w:t xml:space="preserve"> </w:t>
      </w:r>
    </w:p>
    <w:p w:rsidRPr="00583A8C" w:rsidR="008E14D6" w:rsidP="008E14D6" w:rsidRDefault="008E14D6" w14:paraId="313EA6EC" w14:textId="0FDE9759">
      <w:r w:rsidRPr="00583A8C">
        <w:t xml:space="preserve">Within the CRP General Signup, participants can choose between more than a dozen possible cover practices and can </w:t>
      </w:r>
      <w:r w:rsidRPr="00583A8C" w:rsidR="00B055A2">
        <w:t xml:space="preserve">chose combinations </w:t>
      </w:r>
      <w:r w:rsidRPr="00583A8C">
        <w:t xml:space="preserve">by adopting </w:t>
      </w:r>
      <w:r w:rsidRPr="00583A8C" w:rsidR="00B055A2">
        <w:t xml:space="preserve">some </w:t>
      </w:r>
      <w:r w:rsidRPr="00583A8C">
        <w:t xml:space="preserve">practices on only a portion of acreage.  For this study, we collapse the </w:t>
      </w:r>
      <w:r w:rsidRPr="00583A8C" w:rsidR="00B055A2">
        <w:t xml:space="preserve">cover </w:t>
      </w:r>
      <w:r w:rsidRPr="00583A8C">
        <w:t xml:space="preserve">practice </w:t>
      </w:r>
      <w:r w:rsidRPr="00583A8C" w:rsidR="00B055A2">
        <w:t>choice set</w:t>
      </w:r>
      <w:r w:rsidRPr="00583A8C">
        <w:t xml:space="preserve"> into four options that reflect the most common </w:t>
      </w:r>
      <w:r w:rsidRPr="00583A8C" w:rsidR="00AB77E5">
        <w:t>choices</w:t>
      </w:r>
      <w:r w:rsidRPr="00583A8C">
        <w:t xml:space="preserve"> in the actual program.  </w:t>
      </w:r>
    </w:p>
    <w:p w:rsidRPr="00583A8C" w:rsidR="008E14D6" w:rsidP="008E14D6" w:rsidRDefault="008E14D6" w14:paraId="4B966AC0" w14:textId="40C258EA">
      <w:pPr>
        <w:pStyle w:val="ListParagraph"/>
        <w:numPr>
          <w:ilvl w:val="0"/>
          <w:numId w:val="6"/>
        </w:numPr>
      </w:pPr>
      <w:r w:rsidRPr="00583A8C">
        <w:t xml:space="preserve">Basic:  Non-native </w:t>
      </w:r>
      <w:r w:rsidRPr="00583A8C" w:rsidR="000E1301">
        <w:t xml:space="preserve">perennial </w:t>
      </w:r>
      <w:r w:rsidRPr="00583A8C">
        <w:t>grass</w:t>
      </w:r>
      <w:r w:rsidRPr="00583A8C" w:rsidR="000E1301">
        <w:t xml:space="preserve"> mixture</w:t>
      </w:r>
      <w:r w:rsidRPr="00583A8C">
        <w:t xml:space="preserve"> (CP1)</w:t>
      </w:r>
    </w:p>
    <w:p w:rsidRPr="00583A8C" w:rsidR="008E14D6" w:rsidP="008E14D6" w:rsidRDefault="008E14D6" w14:paraId="648A185F" w14:textId="12C7C5CF">
      <w:pPr>
        <w:pStyle w:val="ListParagraph"/>
        <w:numPr>
          <w:ilvl w:val="0"/>
          <w:numId w:val="6"/>
        </w:numPr>
      </w:pPr>
      <w:r w:rsidRPr="00583A8C">
        <w:t xml:space="preserve">Good:  Native </w:t>
      </w:r>
      <w:r w:rsidRPr="00583A8C" w:rsidR="000E1301">
        <w:t xml:space="preserve">perennial </w:t>
      </w:r>
      <w:r w:rsidRPr="00583A8C">
        <w:t>grass</w:t>
      </w:r>
      <w:r w:rsidRPr="00583A8C" w:rsidR="000E1301">
        <w:t xml:space="preserve"> and forbs mixture</w:t>
      </w:r>
      <w:r w:rsidRPr="00583A8C">
        <w:t xml:space="preserve"> (CP2</w:t>
      </w:r>
      <w:r w:rsidRPr="00583A8C" w:rsidR="000E1301">
        <w:t>)</w:t>
      </w:r>
    </w:p>
    <w:p w:rsidRPr="00583A8C" w:rsidR="008E14D6" w:rsidP="008E14D6" w:rsidRDefault="008E14D6" w14:paraId="20D5DF70" w14:textId="77777777">
      <w:pPr>
        <w:pStyle w:val="ListParagraph"/>
        <w:numPr>
          <w:ilvl w:val="0"/>
          <w:numId w:val="6"/>
        </w:numPr>
      </w:pPr>
      <w:r w:rsidRPr="00583A8C">
        <w:t>Better: Wildlife habitat (CP4d)</w:t>
      </w:r>
    </w:p>
    <w:p w:rsidRPr="00583A8C" w:rsidR="008E14D6" w:rsidP="008E14D6" w:rsidRDefault="008E14D6" w14:paraId="47E986E1" w14:textId="77777777">
      <w:pPr>
        <w:pStyle w:val="ListParagraph"/>
        <w:numPr>
          <w:ilvl w:val="0"/>
          <w:numId w:val="6"/>
        </w:numPr>
      </w:pPr>
      <w:r w:rsidRPr="00583A8C">
        <w:t>Best: Rare and declining habitat (CP25).</w:t>
      </w:r>
    </w:p>
    <w:p w:rsidRPr="00583A8C" w:rsidR="00D1781D" w:rsidP="00D1781D" w:rsidRDefault="00D1781D" w14:paraId="00DFEAD9" w14:textId="2EC5095A">
      <w:pPr>
        <w:ind w:firstLine="0"/>
        <w:rPr>
          <w:rFonts w:cs="Times New Roman"/>
          <w:b/>
          <w:bCs/>
          <w:szCs w:val="24"/>
        </w:rPr>
      </w:pPr>
      <w:r w:rsidRPr="00583A8C">
        <w:rPr>
          <w:rFonts w:cs="Times New Roman"/>
          <w:szCs w:val="24"/>
        </w:rPr>
        <w:lastRenderedPageBreak/>
        <w:t>For the</w:t>
      </w:r>
      <w:r w:rsidRPr="00583A8C" w:rsidR="008E14D6">
        <w:rPr>
          <w:rFonts w:cs="Times New Roman"/>
          <w:szCs w:val="24"/>
        </w:rPr>
        <w:t>se</w:t>
      </w:r>
      <w:r w:rsidRPr="00583A8C">
        <w:rPr>
          <w:rFonts w:cs="Times New Roman"/>
          <w:szCs w:val="24"/>
        </w:rPr>
        <w:t xml:space="preserve"> four cover practices, </w:t>
      </w:r>
      <w:r w:rsidRPr="00583A8C" w:rsidR="008E14D6">
        <w:rPr>
          <w:rFonts w:cs="Times New Roman"/>
          <w:szCs w:val="24"/>
        </w:rPr>
        <w:t xml:space="preserve">we assign points and costs </w:t>
      </w:r>
      <w:proofErr w:type="gramStart"/>
      <w:r w:rsidRPr="00583A8C" w:rsidR="008E14D6">
        <w:rPr>
          <w:rFonts w:cs="Times New Roman"/>
          <w:szCs w:val="24"/>
        </w:rPr>
        <w:t>similar to</w:t>
      </w:r>
      <w:proofErr w:type="gramEnd"/>
      <w:r w:rsidRPr="00583A8C" w:rsidR="008E14D6">
        <w:rPr>
          <w:rFonts w:cs="Times New Roman"/>
          <w:szCs w:val="24"/>
        </w:rPr>
        <w:t xml:space="preserve"> the actual program (with establishment costs annualized) adjusted to produce a consistent Nash equilibrium in offer structure </w:t>
      </w:r>
      <w:r w:rsidRPr="00583A8C">
        <w:rPr>
          <w:rFonts w:cs="Times New Roman"/>
          <w:szCs w:val="24"/>
        </w:rPr>
        <w:t>(</w:t>
      </w:r>
      <w:r w:rsidRPr="00583A8C" w:rsidR="00D46815">
        <w:rPr>
          <w:rFonts w:cs="Times New Roman"/>
          <w:szCs w:val="24"/>
        </w:rPr>
        <w:t>T</w:t>
      </w:r>
      <w:r w:rsidRPr="00583A8C">
        <w:rPr>
          <w:rFonts w:cs="Times New Roman"/>
          <w:szCs w:val="24"/>
        </w:rPr>
        <w:t>able 2). The points and prices are revealed in the selection menu in the software.</w:t>
      </w:r>
    </w:p>
    <w:p w:rsidRPr="00583A8C" w:rsidR="00D1781D" w:rsidP="00D1781D" w:rsidRDefault="00D1781D" w14:paraId="294149D2" w14:textId="77777777">
      <w:pPr>
        <w:ind w:firstLine="0"/>
        <w:rPr>
          <w:rFonts w:cs="Times New Roman"/>
          <w:b/>
          <w:bCs/>
          <w:szCs w:val="24"/>
        </w:rPr>
      </w:pPr>
      <w:r w:rsidRPr="00583A8C">
        <w:rPr>
          <w:rFonts w:cs="Times New Roman"/>
          <w:b/>
          <w:bCs/>
          <w:szCs w:val="24"/>
        </w:rPr>
        <w:t>Table 2: Available practice EBI points</w:t>
      </w:r>
    </w:p>
    <w:tbl>
      <w:tblPr>
        <w:tblW w:w="6120" w:type="dxa"/>
        <w:jc w:val="center"/>
        <w:tblLook w:val="04A0" w:firstRow="1" w:lastRow="0" w:firstColumn="1" w:lastColumn="0" w:noHBand="0" w:noVBand="1"/>
      </w:tblPr>
      <w:tblGrid>
        <w:gridCol w:w="4200"/>
        <w:gridCol w:w="960"/>
        <w:gridCol w:w="960"/>
      </w:tblGrid>
      <w:tr w:rsidRPr="00583A8C" w:rsidR="00D1781D" w:rsidTr="00D46815" w14:paraId="61AFE5DB" w14:textId="77777777">
        <w:trPr>
          <w:trHeight w:val="300"/>
          <w:jc w:val="center"/>
        </w:trPr>
        <w:tc>
          <w:tcPr>
            <w:tcW w:w="4200" w:type="dxa"/>
            <w:tcBorders>
              <w:top w:val="nil"/>
              <w:left w:val="nil"/>
              <w:bottom w:val="single" w:color="auto" w:sz="4" w:space="0"/>
              <w:right w:val="nil"/>
            </w:tcBorders>
            <w:shd w:val="clear" w:color="auto" w:fill="auto"/>
            <w:noWrap/>
            <w:vAlign w:val="bottom"/>
            <w:hideMark/>
          </w:tcPr>
          <w:p w:rsidRPr="00583A8C" w:rsidR="00D1781D" w:rsidP="00E73901" w:rsidRDefault="00D1781D" w14:paraId="48B9BF9A" w14:textId="77777777">
            <w:pPr>
              <w:spacing w:after="0" w:line="240" w:lineRule="auto"/>
              <w:ind w:firstLine="0"/>
              <w:jc w:val="center"/>
              <w:rPr>
                <w:rFonts w:ascii="Calibri" w:hAnsi="Calibri" w:eastAsia="Times New Roman" w:cs="Calibri"/>
                <w:color w:val="000000"/>
                <w:sz w:val="28"/>
                <w:szCs w:val="28"/>
              </w:rPr>
            </w:pPr>
            <w:r w:rsidRPr="00583A8C">
              <w:rPr>
                <w:rFonts w:ascii="Calibri" w:hAnsi="Calibri" w:eastAsia="Times New Roman" w:cs="Calibri"/>
                <w:color w:val="000000"/>
                <w:sz w:val="28"/>
                <w:szCs w:val="28"/>
              </w:rPr>
              <w:t>Practice Name</w:t>
            </w:r>
          </w:p>
        </w:tc>
        <w:tc>
          <w:tcPr>
            <w:tcW w:w="960" w:type="dxa"/>
            <w:tcBorders>
              <w:top w:val="nil"/>
              <w:left w:val="nil"/>
              <w:bottom w:val="single" w:color="auto" w:sz="4" w:space="0"/>
              <w:right w:val="nil"/>
            </w:tcBorders>
            <w:shd w:val="clear" w:color="auto" w:fill="auto"/>
            <w:noWrap/>
            <w:vAlign w:val="bottom"/>
            <w:hideMark/>
          </w:tcPr>
          <w:p w:rsidRPr="00583A8C" w:rsidR="00D1781D" w:rsidP="00E73901" w:rsidRDefault="00D1781D" w14:paraId="18F852C6" w14:textId="77777777">
            <w:pPr>
              <w:spacing w:after="0" w:line="240" w:lineRule="auto"/>
              <w:ind w:firstLine="0"/>
              <w:jc w:val="center"/>
              <w:rPr>
                <w:rFonts w:ascii="Calibri" w:hAnsi="Calibri" w:eastAsia="Times New Roman" w:cs="Calibri"/>
                <w:color w:val="000000"/>
                <w:sz w:val="28"/>
                <w:szCs w:val="28"/>
              </w:rPr>
            </w:pPr>
            <w:r w:rsidRPr="00583A8C">
              <w:rPr>
                <w:rFonts w:ascii="Calibri" w:hAnsi="Calibri" w:eastAsia="Times New Roman" w:cs="Calibri"/>
                <w:color w:val="000000"/>
                <w:sz w:val="28"/>
                <w:szCs w:val="28"/>
              </w:rPr>
              <w:t>Points</w:t>
            </w:r>
          </w:p>
        </w:tc>
        <w:tc>
          <w:tcPr>
            <w:tcW w:w="960" w:type="dxa"/>
            <w:tcBorders>
              <w:top w:val="nil"/>
              <w:left w:val="nil"/>
              <w:bottom w:val="single" w:color="auto" w:sz="4" w:space="0"/>
              <w:right w:val="nil"/>
            </w:tcBorders>
            <w:shd w:val="clear" w:color="auto" w:fill="auto"/>
            <w:noWrap/>
            <w:vAlign w:val="bottom"/>
            <w:hideMark/>
          </w:tcPr>
          <w:p w:rsidRPr="00583A8C" w:rsidR="00D1781D" w:rsidP="00E73901" w:rsidRDefault="00D1781D" w14:paraId="098C2D3B" w14:textId="77777777">
            <w:pPr>
              <w:spacing w:after="0" w:line="240" w:lineRule="auto"/>
              <w:ind w:firstLine="0"/>
              <w:jc w:val="center"/>
              <w:rPr>
                <w:rFonts w:ascii="Calibri" w:hAnsi="Calibri" w:eastAsia="Times New Roman" w:cs="Calibri"/>
                <w:color w:val="000000"/>
                <w:sz w:val="28"/>
                <w:szCs w:val="28"/>
              </w:rPr>
            </w:pPr>
            <w:r w:rsidRPr="00583A8C">
              <w:rPr>
                <w:rFonts w:ascii="Calibri" w:hAnsi="Calibri" w:eastAsia="Times New Roman" w:cs="Calibri"/>
                <w:color w:val="000000"/>
                <w:sz w:val="28"/>
                <w:szCs w:val="28"/>
              </w:rPr>
              <w:t>Cost</w:t>
            </w:r>
          </w:p>
        </w:tc>
      </w:tr>
      <w:tr w:rsidRPr="00583A8C" w:rsidR="00D1781D" w:rsidTr="00D46815" w14:paraId="1B95FE84" w14:textId="77777777">
        <w:trPr>
          <w:trHeight w:val="300"/>
          <w:jc w:val="center"/>
        </w:trPr>
        <w:tc>
          <w:tcPr>
            <w:tcW w:w="4200" w:type="dxa"/>
            <w:tcBorders>
              <w:top w:val="nil"/>
              <w:left w:val="nil"/>
              <w:bottom w:val="nil"/>
              <w:right w:val="nil"/>
            </w:tcBorders>
            <w:shd w:val="clear" w:color="auto" w:fill="auto"/>
            <w:noWrap/>
            <w:vAlign w:val="bottom"/>
            <w:hideMark/>
          </w:tcPr>
          <w:p w:rsidRPr="00583A8C" w:rsidR="00D1781D" w:rsidP="00E73901" w:rsidRDefault="00D1781D" w14:paraId="3411EFF4" w14:textId="77777777">
            <w:pPr>
              <w:spacing w:after="0" w:line="240" w:lineRule="auto"/>
              <w:ind w:firstLine="0"/>
              <w:jc w:val="center"/>
              <w:rPr>
                <w:rFonts w:ascii="Calibri" w:hAnsi="Calibri" w:eastAsia="Times New Roman" w:cs="Calibri"/>
                <w:color w:val="000000"/>
                <w:sz w:val="28"/>
                <w:szCs w:val="28"/>
              </w:rPr>
            </w:pPr>
            <w:r w:rsidRPr="00583A8C">
              <w:rPr>
                <w:rFonts w:ascii="Calibri" w:hAnsi="Calibri" w:eastAsia="Times New Roman" w:cs="Calibri"/>
                <w:color w:val="000000"/>
                <w:sz w:val="28"/>
                <w:szCs w:val="28"/>
              </w:rPr>
              <w:t xml:space="preserve"> Basic (non-native grass)</w:t>
            </w:r>
          </w:p>
        </w:tc>
        <w:tc>
          <w:tcPr>
            <w:tcW w:w="960" w:type="dxa"/>
            <w:tcBorders>
              <w:top w:val="nil"/>
              <w:left w:val="nil"/>
              <w:bottom w:val="nil"/>
              <w:right w:val="nil"/>
            </w:tcBorders>
            <w:shd w:val="clear" w:color="auto" w:fill="auto"/>
            <w:noWrap/>
            <w:vAlign w:val="bottom"/>
            <w:hideMark/>
          </w:tcPr>
          <w:p w:rsidRPr="00583A8C" w:rsidR="00D1781D" w:rsidP="00E73901" w:rsidRDefault="00D1781D" w14:paraId="2F2F44F9" w14:textId="77777777">
            <w:pPr>
              <w:spacing w:after="0" w:line="240" w:lineRule="auto"/>
              <w:ind w:firstLine="0"/>
              <w:jc w:val="center"/>
              <w:rPr>
                <w:rFonts w:ascii="Calibri" w:hAnsi="Calibri" w:eastAsia="Times New Roman" w:cs="Calibri"/>
                <w:color w:val="000000"/>
                <w:sz w:val="28"/>
                <w:szCs w:val="28"/>
              </w:rPr>
            </w:pPr>
            <w:r w:rsidRPr="00583A8C">
              <w:rPr>
                <w:rFonts w:ascii="Calibri" w:hAnsi="Calibri" w:eastAsia="Times New Roman" w:cs="Calibri"/>
                <w:color w:val="000000"/>
                <w:sz w:val="28"/>
                <w:szCs w:val="28"/>
              </w:rPr>
              <w:t>13</w:t>
            </w:r>
          </w:p>
        </w:tc>
        <w:tc>
          <w:tcPr>
            <w:tcW w:w="960" w:type="dxa"/>
            <w:tcBorders>
              <w:top w:val="nil"/>
              <w:left w:val="nil"/>
              <w:bottom w:val="nil"/>
              <w:right w:val="nil"/>
            </w:tcBorders>
            <w:shd w:val="clear" w:color="auto" w:fill="auto"/>
            <w:noWrap/>
            <w:vAlign w:val="bottom"/>
            <w:hideMark/>
          </w:tcPr>
          <w:p w:rsidRPr="00583A8C" w:rsidR="00D1781D" w:rsidP="00E73901" w:rsidRDefault="00D1781D" w14:paraId="4375DC6C" w14:textId="77777777">
            <w:pPr>
              <w:spacing w:after="0" w:line="240" w:lineRule="auto"/>
              <w:ind w:firstLine="0"/>
              <w:jc w:val="center"/>
              <w:rPr>
                <w:rFonts w:ascii="Calibri" w:hAnsi="Calibri" w:eastAsia="Times New Roman" w:cs="Calibri"/>
                <w:color w:val="000000"/>
                <w:sz w:val="28"/>
                <w:szCs w:val="28"/>
              </w:rPr>
            </w:pPr>
            <w:r w:rsidRPr="00583A8C">
              <w:rPr>
                <w:rFonts w:ascii="Calibri" w:hAnsi="Calibri" w:eastAsia="Times New Roman" w:cs="Calibri"/>
                <w:color w:val="000000"/>
                <w:sz w:val="28"/>
                <w:szCs w:val="28"/>
              </w:rPr>
              <w:t xml:space="preserve">$2 </w:t>
            </w:r>
          </w:p>
        </w:tc>
      </w:tr>
      <w:tr w:rsidRPr="00583A8C" w:rsidR="00D1781D" w:rsidTr="00D46815" w14:paraId="326608B4" w14:textId="77777777">
        <w:trPr>
          <w:trHeight w:val="300"/>
          <w:jc w:val="center"/>
        </w:trPr>
        <w:tc>
          <w:tcPr>
            <w:tcW w:w="4200" w:type="dxa"/>
            <w:tcBorders>
              <w:top w:val="nil"/>
              <w:left w:val="nil"/>
              <w:bottom w:val="nil"/>
              <w:right w:val="nil"/>
            </w:tcBorders>
            <w:shd w:val="clear" w:color="auto" w:fill="auto"/>
            <w:noWrap/>
            <w:vAlign w:val="bottom"/>
            <w:hideMark/>
          </w:tcPr>
          <w:p w:rsidRPr="00583A8C" w:rsidR="00D1781D" w:rsidP="00E73901" w:rsidRDefault="00D1781D" w14:paraId="6451DB47" w14:textId="77777777">
            <w:pPr>
              <w:spacing w:after="0" w:line="240" w:lineRule="auto"/>
              <w:ind w:firstLine="0"/>
              <w:jc w:val="center"/>
              <w:rPr>
                <w:rFonts w:ascii="Calibri" w:hAnsi="Calibri" w:eastAsia="Times New Roman" w:cs="Calibri"/>
                <w:color w:val="000000"/>
                <w:sz w:val="28"/>
                <w:szCs w:val="28"/>
              </w:rPr>
            </w:pPr>
            <w:r w:rsidRPr="00583A8C">
              <w:rPr>
                <w:rFonts w:ascii="Calibri" w:hAnsi="Calibri" w:eastAsia="Times New Roman" w:cs="Calibri"/>
                <w:color w:val="000000"/>
                <w:sz w:val="28"/>
                <w:szCs w:val="28"/>
              </w:rPr>
              <w:t>Good (native grass)</w:t>
            </w:r>
          </w:p>
        </w:tc>
        <w:tc>
          <w:tcPr>
            <w:tcW w:w="960" w:type="dxa"/>
            <w:tcBorders>
              <w:top w:val="nil"/>
              <w:left w:val="nil"/>
              <w:bottom w:val="nil"/>
              <w:right w:val="nil"/>
            </w:tcBorders>
            <w:shd w:val="clear" w:color="auto" w:fill="auto"/>
            <w:noWrap/>
            <w:vAlign w:val="bottom"/>
            <w:hideMark/>
          </w:tcPr>
          <w:p w:rsidRPr="00583A8C" w:rsidR="00D1781D" w:rsidP="00E73901" w:rsidRDefault="00D1781D" w14:paraId="33561E04" w14:textId="77777777">
            <w:pPr>
              <w:spacing w:after="0" w:line="240" w:lineRule="auto"/>
              <w:ind w:firstLine="0"/>
              <w:jc w:val="center"/>
              <w:rPr>
                <w:rFonts w:ascii="Calibri" w:hAnsi="Calibri" w:eastAsia="Times New Roman" w:cs="Calibri"/>
                <w:color w:val="000000"/>
                <w:sz w:val="28"/>
                <w:szCs w:val="28"/>
              </w:rPr>
            </w:pPr>
            <w:r w:rsidRPr="00583A8C">
              <w:rPr>
                <w:rFonts w:ascii="Calibri" w:hAnsi="Calibri" w:eastAsia="Times New Roman" w:cs="Calibri"/>
                <w:color w:val="000000"/>
                <w:sz w:val="28"/>
                <w:szCs w:val="28"/>
              </w:rPr>
              <w:t>43</w:t>
            </w:r>
          </w:p>
        </w:tc>
        <w:tc>
          <w:tcPr>
            <w:tcW w:w="960" w:type="dxa"/>
            <w:tcBorders>
              <w:top w:val="nil"/>
              <w:left w:val="nil"/>
              <w:bottom w:val="nil"/>
              <w:right w:val="nil"/>
            </w:tcBorders>
            <w:shd w:val="clear" w:color="auto" w:fill="auto"/>
            <w:noWrap/>
            <w:vAlign w:val="bottom"/>
            <w:hideMark/>
          </w:tcPr>
          <w:p w:rsidRPr="00583A8C" w:rsidR="00D1781D" w:rsidP="00E73901" w:rsidRDefault="00D1781D" w14:paraId="09CA5686" w14:textId="777DE64C">
            <w:pPr>
              <w:spacing w:after="0" w:line="240" w:lineRule="auto"/>
              <w:ind w:firstLine="0"/>
              <w:jc w:val="center"/>
              <w:rPr>
                <w:rFonts w:ascii="Calibri" w:hAnsi="Calibri" w:eastAsia="Times New Roman" w:cs="Calibri"/>
                <w:color w:val="000000"/>
                <w:sz w:val="28"/>
                <w:szCs w:val="28"/>
              </w:rPr>
            </w:pPr>
            <w:r w:rsidRPr="00583A8C">
              <w:rPr>
                <w:rFonts w:ascii="Calibri" w:hAnsi="Calibri" w:eastAsia="Times New Roman" w:cs="Calibri"/>
                <w:color w:val="000000"/>
                <w:sz w:val="28"/>
                <w:szCs w:val="28"/>
              </w:rPr>
              <w:t>$</w:t>
            </w:r>
            <w:r w:rsidRPr="00583A8C" w:rsidR="008E14D6">
              <w:rPr>
                <w:rFonts w:ascii="Calibri" w:hAnsi="Calibri" w:eastAsia="Times New Roman" w:cs="Calibri"/>
                <w:color w:val="000000"/>
                <w:sz w:val="28"/>
                <w:szCs w:val="28"/>
              </w:rPr>
              <w:t>6</w:t>
            </w:r>
            <w:r w:rsidRPr="00583A8C">
              <w:rPr>
                <w:rFonts w:ascii="Calibri" w:hAnsi="Calibri" w:eastAsia="Times New Roman" w:cs="Calibri"/>
                <w:color w:val="000000"/>
                <w:sz w:val="28"/>
                <w:szCs w:val="28"/>
              </w:rPr>
              <w:t xml:space="preserve"> </w:t>
            </w:r>
          </w:p>
        </w:tc>
      </w:tr>
      <w:tr w:rsidRPr="00583A8C" w:rsidR="00D1781D" w:rsidTr="00D46815" w14:paraId="4C7607E6" w14:textId="77777777">
        <w:trPr>
          <w:trHeight w:val="300"/>
          <w:jc w:val="center"/>
        </w:trPr>
        <w:tc>
          <w:tcPr>
            <w:tcW w:w="4200" w:type="dxa"/>
            <w:tcBorders>
              <w:top w:val="nil"/>
              <w:left w:val="nil"/>
              <w:bottom w:val="nil"/>
              <w:right w:val="nil"/>
            </w:tcBorders>
            <w:shd w:val="clear" w:color="auto" w:fill="auto"/>
            <w:noWrap/>
            <w:vAlign w:val="bottom"/>
            <w:hideMark/>
          </w:tcPr>
          <w:p w:rsidRPr="00583A8C" w:rsidR="00D1781D" w:rsidP="00E73901" w:rsidRDefault="00D1781D" w14:paraId="0F68B9CF" w14:textId="77777777">
            <w:pPr>
              <w:spacing w:after="0" w:line="240" w:lineRule="auto"/>
              <w:ind w:firstLine="0"/>
              <w:jc w:val="center"/>
              <w:rPr>
                <w:rFonts w:ascii="Calibri" w:hAnsi="Calibri" w:eastAsia="Times New Roman" w:cs="Calibri"/>
                <w:color w:val="000000"/>
                <w:sz w:val="28"/>
                <w:szCs w:val="28"/>
              </w:rPr>
            </w:pPr>
            <w:r w:rsidRPr="00583A8C">
              <w:rPr>
                <w:rFonts w:ascii="Calibri" w:hAnsi="Calibri" w:eastAsia="Times New Roman" w:cs="Calibri"/>
                <w:color w:val="000000"/>
                <w:sz w:val="28"/>
                <w:szCs w:val="28"/>
              </w:rPr>
              <w:t>Better (wildlife habitat)</w:t>
            </w:r>
          </w:p>
        </w:tc>
        <w:tc>
          <w:tcPr>
            <w:tcW w:w="960" w:type="dxa"/>
            <w:tcBorders>
              <w:top w:val="nil"/>
              <w:left w:val="nil"/>
              <w:bottom w:val="nil"/>
              <w:right w:val="nil"/>
            </w:tcBorders>
            <w:shd w:val="clear" w:color="auto" w:fill="auto"/>
            <w:noWrap/>
            <w:vAlign w:val="bottom"/>
            <w:hideMark/>
          </w:tcPr>
          <w:p w:rsidRPr="00583A8C" w:rsidR="00D1781D" w:rsidP="00E73901" w:rsidRDefault="008E14D6" w14:paraId="3FACFA90" w14:textId="33F8D63D">
            <w:pPr>
              <w:spacing w:after="0" w:line="240" w:lineRule="auto"/>
              <w:ind w:firstLine="0"/>
              <w:jc w:val="center"/>
              <w:rPr>
                <w:rFonts w:ascii="Calibri" w:hAnsi="Calibri" w:eastAsia="Times New Roman" w:cs="Calibri"/>
                <w:color w:val="000000"/>
                <w:sz w:val="28"/>
                <w:szCs w:val="28"/>
              </w:rPr>
            </w:pPr>
            <w:r w:rsidRPr="00583A8C">
              <w:rPr>
                <w:rFonts w:ascii="Calibri" w:hAnsi="Calibri" w:eastAsia="Times New Roman" w:cs="Calibri"/>
                <w:color w:val="000000"/>
                <w:sz w:val="28"/>
                <w:szCs w:val="28"/>
              </w:rPr>
              <w:t>65</w:t>
            </w:r>
          </w:p>
        </w:tc>
        <w:tc>
          <w:tcPr>
            <w:tcW w:w="960" w:type="dxa"/>
            <w:tcBorders>
              <w:top w:val="nil"/>
              <w:left w:val="nil"/>
              <w:bottom w:val="nil"/>
              <w:right w:val="nil"/>
            </w:tcBorders>
            <w:shd w:val="clear" w:color="auto" w:fill="auto"/>
            <w:noWrap/>
            <w:vAlign w:val="bottom"/>
            <w:hideMark/>
          </w:tcPr>
          <w:p w:rsidRPr="00583A8C" w:rsidR="00D1781D" w:rsidP="00E73901" w:rsidRDefault="00D1781D" w14:paraId="6A154146" w14:textId="77777777">
            <w:pPr>
              <w:spacing w:after="0" w:line="240" w:lineRule="auto"/>
              <w:ind w:firstLine="0"/>
              <w:jc w:val="center"/>
              <w:rPr>
                <w:rFonts w:ascii="Calibri" w:hAnsi="Calibri" w:eastAsia="Times New Roman" w:cs="Calibri"/>
                <w:color w:val="000000"/>
                <w:sz w:val="28"/>
                <w:szCs w:val="28"/>
              </w:rPr>
            </w:pPr>
            <w:r w:rsidRPr="00583A8C">
              <w:rPr>
                <w:rFonts w:ascii="Calibri" w:hAnsi="Calibri" w:eastAsia="Times New Roman" w:cs="Calibri"/>
                <w:color w:val="000000"/>
                <w:sz w:val="28"/>
                <w:szCs w:val="28"/>
              </w:rPr>
              <w:t xml:space="preserve">$10 </w:t>
            </w:r>
          </w:p>
        </w:tc>
      </w:tr>
      <w:tr w:rsidRPr="00583A8C" w:rsidR="00D1781D" w:rsidTr="00D46815" w14:paraId="6DA4E8B4" w14:textId="77777777">
        <w:trPr>
          <w:trHeight w:val="300"/>
          <w:jc w:val="center"/>
        </w:trPr>
        <w:tc>
          <w:tcPr>
            <w:tcW w:w="4200" w:type="dxa"/>
            <w:tcBorders>
              <w:top w:val="nil"/>
              <w:left w:val="nil"/>
              <w:bottom w:val="single" w:color="auto" w:sz="4" w:space="0"/>
              <w:right w:val="nil"/>
            </w:tcBorders>
            <w:shd w:val="clear" w:color="auto" w:fill="auto"/>
            <w:noWrap/>
            <w:vAlign w:val="bottom"/>
            <w:hideMark/>
          </w:tcPr>
          <w:p w:rsidRPr="00583A8C" w:rsidR="00D1781D" w:rsidP="00E73901" w:rsidRDefault="00D1781D" w14:paraId="6719EADA" w14:textId="77777777">
            <w:pPr>
              <w:spacing w:after="0" w:line="240" w:lineRule="auto"/>
              <w:ind w:firstLine="0"/>
              <w:jc w:val="center"/>
              <w:rPr>
                <w:rFonts w:ascii="Calibri" w:hAnsi="Calibri" w:eastAsia="Times New Roman" w:cs="Calibri"/>
                <w:color w:val="000000"/>
                <w:sz w:val="28"/>
                <w:szCs w:val="28"/>
              </w:rPr>
            </w:pPr>
            <w:r w:rsidRPr="00583A8C">
              <w:rPr>
                <w:rFonts w:ascii="Calibri" w:hAnsi="Calibri" w:eastAsia="Times New Roman" w:cs="Calibri"/>
                <w:color w:val="000000"/>
                <w:sz w:val="28"/>
                <w:szCs w:val="28"/>
              </w:rPr>
              <w:t>Best (rare and declining habitat)</w:t>
            </w:r>
          </w:p>
        </w:tc>
        <w:tc>
          <w:tcPr>
            <w:tcW w:w="960" w:type="dxa"/>
            <w:tcBorders>
              <w:top w:val="nil"/>
              <w:left w:val="nil"/>
              <w:bottom w:val="single" w:color="auto" w:sz="4" w:space="0"/>
              <w:right w:val="nil"/>
            </w:tcBorders>
            <w:shd w:val="clear" w:color="auto" w:fill="auto"/>
            <w:noWrap/>
            <w:vAlign w:val="bottom"/>
            <w:hideMark/>
          </w:tcPr>
          <w:p w:rsidRPr="00583A8C" w:rsidR="00D1781D" w:rsidP="00E73901" w:rsidRDefault="008E14D6" w14:paraId="6853A767" w14:textId="6C3FB9E6">
            <w:pPr>
              <w:spacing w:after="0" w:line="240" w:lineRule="auto"/>
              <w:ind w:firstLine="0"/>
              <w:jc w:val="center"/>
              <w:rPr>
                <w:rFonts w:ascii="Calibri" w:hAnsi="Calibri" w:eastAsia="Times New Roman" w:cs="Calibri"/>
                <w:color w:val="000000"/>
                <w:sz w:val="28"/>
                <w:szCs w:val="28"/>
              </w:rPr>
            </w:pPr>
            <w:r w:rsidRPr="00583A8C">
              <w:rPr>
                <w:rFonts w:ascii="Calibri" w:hAnsi="Calibri" w:eastAsia="Times New Roman" w:cs="Calibri"/>
                <w:color w:val="000000"/>
                <w:sz w:val="28"/>
                <w:szCs w:val="28"/>
              </w:rPr>
              <w:t>90</w:t>
            </w:r>
          </w:p>
        </w:tc>
        <w:tc>
          <w:tcPr>
            <w:tcW w:w="960" w:type="dxa"/>
            <w:tcBorders>
              <w:top w:val="nil"/>
              <w:left w:val="nil"/>
              <w:bottom w:val="single" w:color="auto" w:sz="4" w:space="0"/>
              <w:right w:val="nil"/>
            </w:tcBorders>
            <w:shd w:val="clear" w:color="auto" w:fill="auto"/>
            <w:noWrap/>
            <w:vAlign w:val="bottom"/>
            <w:hideMark/>
          </w:tcPr>
          <w:p w:rsidRPr="00583A8C" w:rsidR="00D1781D" w:rsidP="00E73901" w:rsidRDefault="00D1781D" w14:paraId="6C49FE12" w14:textId="77777777">
            <w:pPr>
              <w:spacing w:after="0" w:line="240" w:lineRule="auto"/>
              <w:ind w:firstLine="0"/>
              <w:jc w:val="center"/>
              <w:rPr>
                <w:rFonts w:ascii="Calibri" w:hAnsi="Calibri" w:eastAsia="Times New Roman" w:cs="Calibri"/>
                <w:color w:val="000000"/>
                <w:sz w:val="28"/>
                <w:szCs w:val="28"/>
              </w:rPr>
            </w:pPr>
            <w:r w:rsidRPr="00583A8C">
              <w:rPr>
                <w:rFonts w:ascii="Calibri" w:hAnsi="Calibri" w:eastAsia="Times New Roman" w:cs="Calibri"/>
                <w:color w:val="000000"/>
                <w:sz w:val="28"/>
                <w:szCs w:val="28"/>
              </w:rPr>
              <w:t xml:space="preserve">$15 </w:t>
            </w:r>
          </w:p>
        </w:tc>
      </w:tr>
    </w:tbl>
    <w:p w:rsidRPr="00583A8C" w:rsidR="00D1781D" w:rsidP="00D1781D" w:rsidRDefault="00D1781D" w14:paraId="6A803E72" w14:textId="77777777">
      <w:pPr>
        <w:spacing w:line="240" w:lineRule="auto"/>
        <w:ind w:left="1440" w:firstLine="0"/>
        <w:rPr>
          <w:rFonts w:cs="Times New Roman"/>
          <w:szCs w:val="24"/>
        </w:rPr>
      </w:pPr>
    </w:p>
    <w:p w:rsidRPr="00583A8C" w:rsidR="00D1781D" w:rsidP="006E13D4" w:rsidRDefault="00D1781D" w14:paraId="75D2C5AD" w14:textId="6BA09772">
      <w:pPr>
        <w:spacing w:line="240" w:lineRule="auto"/>
        <w:ind w:left="1440" w:firstLine="0"/>
        <w:rPr>
          <w:rFonts w:cs="Times New Roman"/>
          <w:szCs w:val="24"/>
        </w:rPr>
      </w:pPr>
      <w:r w:rsidRPr="00583A8C">
        <w:rPr>
          <w:rFonts w:cs="Times New Roman"/>
          <w:szCs w:val="24"/>
        </w:rPr>
        <w:t>Note: These practice types, points, and total are based on analysis of actual offer data and EBI rules.</w:t>
      </w:r>
    </w:p>
    <w:p w:rsidRPr="00583A8C" w:rsidR="000C2BAD" w:rsidP="00EE055A" w:rsidRDefault="00AB77E5" w14:paraId="5A81B427" w14:textId="0B81BEA5">
      <w:r w:rsidRPr="00583A8C">
        <w:rPr>
          <w:rFonts w:cs="Times New Roman"/>
          <w:szCs w:val="24"/>
        </w:rPr>
        <w:t>Participants</w:t>
      </w:r>
      <w:r w:rsidRPr="00583A8C" w:rsidDel="00AB77E5">
        <w:rPr>
          <w:rFonts w:cs="Times New Roman"/>
          <w:szCs w:val="24"/>
        </w:rPr>
        <w:t xml:space="preserve"> </w:t>
      </w:r>
      <w:r w:rsidRPr="00583A8C">
        <w:rPr>
          <w:rFonts w:cs="Times New Roman"/>
          <w:szCs w:val="24"/>
        </w:rPr>
        <w:t xml:space="preserve">also </w:t>
      </w:r>
      <w:r w:rsidRPr="00583A8C" w:rsidR="00D1781D">
        <w:rPr>
          <w:rFonts w:cs="Times New Roman"/>
          <w:szCs w:val="24"/>
        </w:rPr>
        <w:t>get additional points through the EBI</w:t>
      </w:r>
      <w:r w:rsidRPr="00583A8C">
        <w:rPr>
          <w:rFonts w:cs="Times New Roman"/>
          <w:szCs w:val="24"/>
        </w:rPr>
        <w:t xml:space="preserve"> for offering a lower </w:t>
      </w:r>
      <w:r w:rsidRPr="00583A8C" w:rsidR="004C52C7">
        <w:rPr>
          <w:rFonts w:cs="Times New Roman"/>
          <w:szCs w:val="24"/>
        </w:rPr>
        <w:t>asking price</w:t>
      </w:r>
      <w:r w:rsidRPr="00583A8C">
        <w:rPr>
          <w:rFonts w:cs="Times New Roman"/>
          <w:szCs w:val="24"/>
        </w:rPr>
        <w:t xml:space="preserve"> (i.e.: “bidding down”)</w:t>
      </w:r>
      <w:r w:rsidRPr="00583A8C" w:rsidR="00D1781D">
        <w:rPr>
          <w:rFonts w:cs="Times New Roman"/>
          <w:szCs w:val="24"/>
        </w:rPr>
        <w:t xml:space="preserve">.  </w:t>
      </w:r>
      <w:r w:rsidRPr="00583A8C" w:rsidR="008E14D6">
        <w:rPr>
          <w:rFonts w:cs="Times New Roman"/>
          <w:szCs w:val="24"/>
        </w:rPr>
        <w:t xml:space="preserve">In the actual program this includes points proportional to the absolute </w:t>
      </w:r>
      <w:r w:rsidRPr="00583A8C" w:rsidR="00EB4F68">
        <w:rPr>
          <w:rFonts w:cs="Times New Roman"/>
          <w:szCs w:val="24"/>
        </w:rPr>
        <w:t>annual payment</w:t>
      </w:r>
      <w:r w:rsidRPr="00583A8C" w:rsidR="008E14D6">
        <w:rPr>
          <w:rFonts w:cs="Times New Roman"/>
          <w:szCs w:val="24"/>
        </w:rPr>
        <w:t xml:space="preserve"> </w:t>
      </w:r>
      <w:r w:rsidRPr="00583A8C" w:rsidR="004C52C7">
        <w:rPr>
          <w:rFonts w:cs="Times New Roman"/>
          <w:szCs w:val="24"/>
        </w:rPr>
        <w:t xml:space="preserve">level set national </w:t>
      </w:r>
      <w:r w:rsidRPr="00583A8C" w:rsidR="008E14D6">
        <w:rPr>
          <w:rFonts w:cs="Times New Roman"/>
          <w:szCs w:val="24"/>
        </w:rPr>
        <w:t>and point</w:t>
      </w:r>
      <w:r w:rsidRPr="00583A8C" w:rsidR="004C52C7">
        <w:rPr>
          <w:rFonts w:cs="Times New Roman"/>
          <w:szCs w:val="24"/>
        </w:rPr>
        <w:t>s</w:t>
      </w:r>
      <w:r w:rsidRPr="00583A8C" w:rsidR="008E14D6">
        <w:rPr>
          <w:rFonts w:cs="Times New Roman"/>
          <w:szCs w:val="24"/>
        </w:rPr>
        <w:t xml:space="preserve"> proportional to the </w:t>
      </w:r>
      <w:r w:rsidRPr="00583A8C" w:rsidR="004C52C7">
        <w:rPr>
          <w:rFonts w:cs="Times New Roman"/>
          <w:szCs w:val="24"/>
        </w:rPr>
        <w:t>field-level bid cap</w:t>
      </w:r>
      <w:r w:rsidRPr="00583A8C" w:rsidR="008E14D6">
        <w:rPr>
          <w:rFonts w:cs="Times New Roman"/>
          <w:szCs w:val="24"/>
        </w:rPr>
        <w:t>.  The combination means that fields with higher bid caps get more points per percent of bid</w:t>
      </w:r>
      <w:r w:rsidRPr="00583A8C" w:rsidR="004C52C7">
        <w:rPr>
          <w:rFonts w:cs="Times New Roman"/>
          <w:szCs w:val="24"/>
        </w:rPr>
        <w:t xml:space="preserve"> </w:t>
      </w:r>
      <w:r w:rsidRPr="00583A8C" w:rsidR="008E14D6">
        <w:rPr>
          <w:rFonts w:cs="Times New Roman"/>
          <w:szCs w:val="24"/>
        </w:rPr>
        <w:t>down.  We provide a simplified version of the actual (non-linear) ranking score: 3, 5, and 7 points per percent bid</w:t>
      </w:r>
      <w:r w:rsidRPr="00583A8C">
        <w:rPr>
          <w:rFonts w:cs="Times New Roman"/>
          <w:szCs w:val="24"/>
        </w:rPr>
        <w:t xml:space="preserve"> </w:t>
      </w:r>
      <w:r w:rsidRPr="00583A8C" w:rsidR="008E14D6">
        <w:rPr>
          <w:rFonts w:cs="Times New Roman"/>
          <w:szCs w:val="24"/>
        </w:rPr>
        <w:t xml:space="preserve">down for low, medium, and high bid cap fields, respectively. </w:t>
      </w:r>
    </w:p>
    <w:p w:rsidRPr="00583A8C" w:rsidR="00452605" w:rsidP="00452605" w:rsidRDefault="00493971" w14:paraId="04263FDA" w14:textId="313145CC">
      <w:pPr>
        <w:ind w:firstLine="0"/>
      </w:pPr>
      <w:r w:rsidRPr="00583A8C">
        <w:rPr>
          <w:rFonts w:cs="Times New Roman"/>
          <w:i/>
          <w:iCs/>
          <w:szCs w:val="24"/>
        </w:rPr>
        <w:t xml:space="preserve">Real Money </w:t>
      </w:r>
      <w:r w:rsidRPr="00583A8C" w:rsidR="00D1781D">
        <w:rPr>
          <w:rFonts w:cs="Times New Roman"/>
          <w:i/>
          <w:iCs/>
          <w:szCs w:val="24"/>
        </w:rPr>
        <w:t>Payouts</w:t>
      </w:r>
    </w:p>
    <w:p w:rsidRPr="00583A8C" w:rsidR="00493971" w:rsidP="00EE055A" w:rsidRDefault="00EE055A" w14:paraId="36DF3600" w14:textId="12294E3A">
      <w:pPr>
        <w:pStyle w:val="ListParagraph"/>
        <w:numPr>
          <w:ilvl w:val="0"/>
          <w:numId w:val="6"/>
        </w:numPr>
        <w:rPr>
          <w:rFonts w:cs="Times New Roman"/>
          <w:szCs w:val="24"/>
        </w:rPr>
      </w:pPr>
      <w:r w:rsidRPr="00583A8C">
        <w:rPr>
          <w:rFonts w:cs="Times New Roman"/>
          <w:szCs w:val="24"/>
        </w:rPr>
        <w:t>Actual payments to participants are based on the “gain” they receive</w:t>
      </w:r>
      <w:r w:rsidRPr="00583A8C" w:rsidR="00493971">
        <w:rPr>
          <w:rFonts w:cs="Times New Roman"/>
          <w:szCs w:val="24"/>
        </w:rPr>
        <w:t xml:space="preserve"> if</w:t>
      </w:r>
      <w:r w:rsidRPr="00583A8C" w:rsidR="00D46815">
        <w:rPr>
          <w:rFonts w:cs="Times New Roman"/>
          <w:szCs w:val="24"/>
        </w:rPr>
        <w:t xml:space="preserve"> their offer is</w:t>
      </w:r>
      <w:r w:rsidRPr="00583A8C" w:rsidR="00493971">
        <w:rPr>
          <w:rFonts w:cs="Times New Roman"/>
          <w:szCs w:val="24"/>
        </w:rPr>
        <w:t xml:space="preserve"> accepted:</w:t>
      </w:r>
    </w:p>
    <w:p w:rsidRPr="00583A8C" w:rsidR="00EE055A" w:rsidP="006E13D4" w:rsidRDefault="00EE055A" w14:paraId="372608B1" w14:textId="5D97B9E0">
      <w:pPr>
        <w:pStyle w:val="ListParagraph"/>
        <w:numPr>
          <w:ilvl w:val="1"/>
          <w:numId w:val="6"/>
        </w:numPr>
        <w:rPr>
          <w:rFonts w:cs="Times New Roman"/>
          <w:szCs w:val="24"/>
        </w:rPr>
      </w:pPr>
      <w:r w:rsidRPr="00583A8C">
        <w:rPr>
          <w:rFonts w:cs="Times New Roman"/>
          <w:szCs w:val="24"/>
        </w:rPr>
        <w:t>acre</w:t>
      </w:r>
      <w:r w:rsidRPr="00583A8C" w:rsidR="00493971">
        <w:rPr>
          <w:rFonts w:cs="Times New Roman"/>
          <w:szCs w:val="24"/>
        </w:rPr>
        <w:t xml:space="preserve">s x </w:t>
      </w:r>
      <w:proofErr w:type="gramStart"/>
      <w:r w:rsidRPr="00583A8C" w:rsidR="00493971">
        <w:rPr>
          <w:rFonts w:cs="Times New Roman"/>
          <w:szCs w:val="24"/>
        </w:rPr>
        <w:t>(</w:t>
      </w:r>
      <w:r w:rsidRPr="00583A8C">
        <w:rPr>
          <w:rFonts w:cs="Times New Roman"/>
          <w:szCs w:val="24"/>
        </w:rPr>
        <w:t xml:space="preserve"> </w:t>
      </w:r>
      <w:r w:rsidRPr="00583A8C" w:rsidR="004C52C7">
        <w:rPr>
          <w:rFonts w:cs="Times New Roman"/>
          <w:szCs w:val="24"/>
        </w:rPr>
        <w:t>asking</w:t>
      </w:r>
      <w:proofErr w:type="gramEnd"/>
      <w:r w:rsidRPr="00583A8C" w:rsidR="004C52C7">
        <w:rPr>
          <w:rFonts w:cs="Times New Roman"/>
          <w:szCs w:val="24"/>
        </w:rPr>
        <w:t xml:space="preserve"> price</w:t>
      </w:r>
      <w:r w:rsidRPr="00583A8C" w:rsidR="00493971">
        <w:rPr>
          <w:rFonts w:cs="Times New Roman"/>
          <w:szCs w:val="24"/>
        </w:rPr>
        <w:t xml:space="preserve"> – </w:t>
      </w:r>
      <w:r w:rsidRPr="00583A8C" w:rsidR="000E1301">
        <w:rPr>
          <w:rFonts w:cs="Times New Roman"/>
          <w:szCs w:val="24"/>
        </w:rPr>
        <w:t xml:space="preserve">alternative </w:t>
      </w:r>
      <w:r w:rsidRPr="00583A8C" w:rsidR="00493971">
        <w:rPr>
          <w:rFonts w:cs="Times New Roman"/>
          <w:szCs w:val="24"/>
        </w:rPr>
        <w:t>rental</w:t>
      </w:r>
      <w:r w:rsidRPr="00583A8C">
        <w:rPr>
          <w:rFonts w:cs="Times New Roman"/>
          <w:szCs w:val="24"/>
        </w:rPr>
        <w:t xml:space="preserve"> </w:t>
      </w:r>
      <w:r w:rsidRPr="00583A8C" w:rsidR="000E1301">
        <w:rPr>
          <w:rFonts w:cs="Times New Roman"/>
          <w:szCs w:val="24"/>
        </w:rPr>
        <w:t>payment</w:t>
      </w:r>
      <w:r w:rsidRPr="00583A8C" w:rsidR="00493971">
        <w:rPr>
          <w:rFonts w:cs="Times New Roman"/>
          <w:szCs w:val="24"/>
        </w:rPr>
        <w:t xml:space="preserve"> – practice cost</w:t>
      </w:r>
      <w:r w:rsidRPr="00583A8C" w:rsidR="004C52C7">
        <w:rPr>
          <w:rFonts w:cs="Times New Roman"/>
          <w:szCs w:val="24"/>
        </w:rPr>
        <w:t xml:space="preserve"> </w:t>
      </w:r>
      <w:r w:rsidRPr="00583A8C" w:rsidR="00493971">
        <w:rPr>
          <w:rFonts w:cs="Times New Roman"/>
          <w:szCs w:val="24"/>
        </w:rPr>
        <w:t>)</w:t>
      </w:r>
    </w:p>
    <w:p w:rsidRPr="00583A8C" w:rsidR="00EE055A" w:rsidP="00EE055A" w:rsidRDefault="00EE055A" w14:paraId="550A40DE" w14:textId="040E7D19">
      <w:pPr>
        <w:pStyle w:val="ListParagraph"/>
        <w:numPr>
          <w:ilvl w:val="0"/>
          <w:numId w:val="6"/>
        </w:numPr>
        <w:rPr>
          <w:rFonts w:cs="Times New Roman"/>
          <w:szCs w:val="24"/>
        </w:rPr>
      </w:pPr>
      <w:r w:rsidRPr="00583A8C">
        <w:rPr>
          <w:rFonts w:cs="Times New Roman"/>
          <w:szCs w:val="24"/>
        </w:rPr>
        <w:t xml:space="preserve">Payments </w:t>
      </w:r>
      <w:r w:rsidRPr="00583A8C" w:rsidR="00493971">
        <w:rPr>
          <w:rFonts w:cs="Times New Roman"/>
          <w:szCs w:val="24"/>
        </w:rPr>
        <w:t xml:space="preserve">for the </w:t>
      </w:r>
      <w:r w:rsidRPr="00583A8C" w:rsidR="004E7CB8">
        <w:rPr>
          <w:rFonts w:cs="Times New Roman"/>
          <w:szCs w:val="24"/>
        </w:rPr>
        <w:t>participants</w:t>
      </w:r>
      <w:r w:rsidRPr="00583A8C" w:rsidR="00493971">
        <w:rPr>
          <w:rFonts w:cs="Times New Roman"/>
          <w:szCs w:val="24"/>
        </w:rPr>
        <w:t xml:space="preserve">, based on a field size of five acres, </w:t>
      </w:r>
      <w:r w:rsidRPr="00583A8C">
        <w:rPr>
          <w:rFonts w:cs="Times New Roman"/>
          <w:szCs w:val="24"/>
        </w:rPr>
        <w:t>are strictly bound</w:t>
      </w:r>
      <w:r w:rsidRPr="00583A8C" w:rsidR="000E1301">
        <w:rPr>
          <w:rFonts w:cs="Times New Roman"/>
          <w:szCs w:val="24"/>
        </w:rPr>
        <w:t>ed</w:t>
      </w:r>
      <w:r w:rsidRPr="00583A8C">
        <w:rPr>
          <w:rFonts w:cs="Times New Roman"/>
          <w:szCs w:val="24"/>
        </w:rPr>
        <w:t xml:space="preserve"> between $10 (the participation fee) and $14</w:t>
      </w:r>
      <w:r w:rsidRPr="00583A8C" w:rsidR="00493971">
        <w:rPr>
          <w:rFonts w:cs="Times New Roman"/>
          <w:szCs w:val="24"/>
        </w:rPr>
        <w:t>2.50</w:t>
      </w:r>
      <w:r w:rsidRPr="00583A8C">
        <w:rPr>
          <w:rFonts w:cs="Times New Roman"/>
          <w:szCs w:val="24"/>
        </w:rPr>
        <w:t xml:space="preserve"> (the return to the highest value field with zero bid down and the lowest cost practice</w:t>
      </w:r>
      <w:r w:rsidRPr="00583A8C" w:rsidR="00493971">
        <w:rPr>
          <w:rFonts w:cs="Times New Roman"/>
          <w:szCs w:val="24"/>
        </w:rPr>
        <w:t xml:space="preserve"> plus the participation fee</w:t>
      </w:r>
      <w:r w:rsidRPr="00583A8C">
        <w:rPr>
          <w:rFonts w:cs="Times New Roman"/>
          <w:szCs w:val="24"/>
        </w:rPr>
        <w:t>).</w:t>
      </w:r>
      <w:r w:rsidRPr="00583A8C" w:rsidR="00493971">
        <w:rPr>
          <w:rFonts w:cs="Times New Roman"/>
          <w:szCs w:val="24"/>
        </w:rPr>
        <w:t xml:space="preserve"> </w:t>
      </w:r>
    </w:p>
    <w:p w:rsidRPr="00583A8C" w:rsidR="00EE055A" w:rsidP="00EE055A" w:rsidRDefault="00EE055A" w14:paraId="37C260FC" w14:textId="12347780">
      <w:pPr>
        <w:pStyle w:val="ListParagraph"/>
        <w:numPr>
          <w:ilvl w:val="0"/>
          <w:numId w:val="6"/>
        </w:numPr>
        <w:rPr>
          <w:rFonts w:cs="Times New Roman"/>
          <w:szCs w:val="24"/>
        </w:rPr>
      </w:pPr>
      <w:r w:rsidRPr="00583A8C">
        <w:rPr>
          <w:rFonts w:cs="Times New Roman"/>
          <w:szCs w:val="24"/>
        </w:rPr>
        <w:t xml:space="preserve">At the Nash equilibrium, the average payment </w:t>
      </w:r>
      <w:r w:rsidRPr="00583A8C" w:rsidR="00493971">
        <w:rPr>
          <w:rFonts w:cs="Times New Roman"/>
          <w:szCs w:val="24"/>
        </w:rPr>
        <w:t xml:space="preserve">for the </w:t>
      </w:r>
      <w:r w:rsidRPr="00583A8C" w:rsidR="004E7CB8">
        <w:rPr>
          <w:rFonts w:cs="Times New Roman"/>
          <w:szCs w:val="24"/>
        </w:rPr>
        <w:t>participants</w:t>
      </w:r>
      <w:r w:rsidRPr="00583A8C" w:rsidR="00493971">
        <w:rPr>
          <w:rFonts w:cs="Times New Roman"/>
          <w:szCs w:val="24"/>
        </w:rPr>
        <w:t xml:space="preserve"> would be </w:t>
      </w:r>
      <w:r w:rsidRPr="00583A8C">
        <w:rPr>
          <w:rFonts w:cs="Times New Roman"/>
          <w:szCs w:val="24"/>
        </w:rPr>
        <w:t>$4</w:t>
      </w:r>
      <w:r w:rsidRPr="00583A8C" w:rsidR="00A96C52">
        <w:rPr>
          <w:rFonts w:cs="Times New Roman"/>
          <w:szCs w:val="24"/>
        </w:rPr>
        <w:t>2</w:t>
      </w:r>
      <w:r w:rsidRPr="00583A8C" w:rsidR="00493971">
        <w:rPr>
          <w:rFonts w:cs="Times New Roman"/>
          <w:szCs w:val="24"/>
        </w:rPr>
        <w:t>; four out of the nine field types would be rejected and get the $10 participation fee; five out of nine field types would be accepted and get payments from $70 to $10</w:t>
      </w:r>
      <w:r w:rsidRPr="00583A8C" w:rsidR="00D60614">
        <w:rPr>
          <w:rFonts w:cs="Times New Roman"/>
          <w:szCs w:val="24"/>
        </w:rPr>
        <w:t>3</w:t>
      </w:r>
      <w:r w:rsidRPr="00583A8C" w:rsidR="00A96C52">
        <w:rPr>
          <w:rFonts w:cs="Times New Roman"/>
          <w:szCs w:val="24"/>
        </w:rPr>
        <w:t>, which includes the participation fee and the gains from their accepted offers</w:t>
      </w:r>
      <w:r w:rsidRPr="00583A8C">
        <w:rPr>
          <w:rFonts w:cs="Times New Roman"/>
          <w:szCs w:val="24"/>
        </w:rPr>
        <w:t>.</w:t>
      </w:r>
    </w:p>
    <w:p w:rsidRPr="00583A8C" w:rsidR="00CC0193" w:rsidP="003041AC" w:rsidRDefault="003041AC" w14:paraId="4D58A643" w14:textId="3967F76C">
      <w:pPr>
        <w:ind w:firstLine="360"/>
        <w:rPr>
          <w:rFonts w:cs="Times New Roman"/>
          <w:szCs w:val="24"/>
        </w:rPr>
      </w:pPr>
      <w:r w:rsidRPr="00583A8C">
        <w:rPr>
          <w:rFonts w:cs="Times New Roman"/>
          <w:szCs w:val="24"/>
        </w:rPr>
        <w:lastRenderedPageBreak/>
        <w:t>P</w:t>
      </w:r>
      <w:r w:rsidRPr="00583A8C" w:rsidR="00452605">
        <w:rPr>
          <w:rFonts w:cs="Times New Roman"/>
          <w:szCs w:val="24"/>
        </w:rPr>
        <w:t>articipants</w:t>
      </w:r>
      <w:r w:rsidRPr="00583A8C">
        <w:rPr>
          <w:rFonts w:cs="Times New Roman"/>
          <w:szCs w:val="24"/>
        </w:rPr>
        <w:t xml:space="preserve"> with an accepted offer in the auction will</w:t>
      </w:r>
      <w:r w:rsidRPr="00583A8C" w:rsidR="00452605">
        <w:rPr>
          <w:rFonts w:cs="Times New Roman"/>
          <w:szCs w:val="24"/>
        </w:rPr>
        <w:t xml:space="preserve"> receive </w:t>
      </w:r>
      <w:r w:rsidRPr="00583A8C">
        <w:rPr>
          <w:rFonts w:cs="Times New Roman"/>
          <w:szCs w:val="24"/>
        </w:rPr>
        <w:t xml:space="preserve">a </w:t>
      </w:r>
      <w:r w:rsidRPr="00583A8C" w:rsidR="00452605">
        <w:rPr>
          <w:rFonts w:cs="Times New Roman"/>
          <w:szCs w:val="24"/>
        </w:rPr>
        <w:t>payment based on the difference between the</w:t>
      </w:r>
      <w:r w:rsidRPr="00583A8C">
        <w:rPr>
          <w:rFonts w:cs="Times New Roman"/>
          <w:szCs w:val="24"/>
        </w:rPr>
        <w:t>ir</w:t>
      </w:r>
      <w:r w:rsidRPr="00583A8C" w:rsidR="00452605">
        <w:rPr>
          <w:rFonts w:cs="Times New Roman"/>
          <w:szCs w:val="24"/>
        </w:rPr>
        <w:t xml:space="preserve"> </w:t>
      </w:r>
      <w:r w:rsidRPr="00583A8C" w:rsidR="004C52C7">
        <w:rPr>
          <w:rFonts w:cs="Times New Roman"/>
          <w:szCs w:val="24"/>
        </w:rPr>
        <w:t>asking price</w:t>
      </w:r>
      <w:r w:rsidRPr="00583A8C" w:rsidR="00452605">
        <w:rPr>
          <w:rFonts w:cs="Times New Roman"/>
          <w:szCs w:val="24"/>
        </w:rPr>
        <w:t xml:space="preserve"> and their reserve rate</w:t>
      </w:r>
      <w:r w:rsidRPr="00583A8C">
        <w:rPr>
          <w:rFonts w:cs="Times New Roman"/>
          <w:szCs w:val="24"/>
        </w:rPr>
        <w:t xml:space="preserve"> minus the (annualized) cost of the practice.  A</w:t>
      </w:r>
      <w:r w:rsidRPr="00583A8C" w:rsidR="000E1301">
        <w:rPr>
          <w:rFonts w:cs="Times New Roman"/>
          <w:szCs w:val="24"/>
        </w:rPr>
        <w:t xml:space="preserve">n alternative rental </w:t>
      </w:r>
      <w:r w:rsidRPr="00583A8C">
        <w:rPr>
          <w:rFonts w:cs="Times New Roman"/>
          <w:szCs w:val="24"/>
        </w:rPr>
        <w:t xml:space="preserve">rate is </w:t>
      </w:r>
      <w:r w:rsidRPr="00583A8C" w:rsidR="000E1301">
        <w:rPr>
          <w:rFonts w:cs="Times New Roman"/>
          <w:szCs w:val="24"/>
        </w:rPr>
        <w:t>the per-acre payment t</w:t>
      </w:r>
      <w:r w:rsidRPr="00583A8C" w:rsidR="00452605">
        <w:rPr>
          <w:rFonts w:cs="Times New Roman"/>
          <w:szCs w:val="24"/>
        </w:rPr>
        <w:t xml:space="preserve">hat they </w:t>
      </w:r>
      <w:r w:rsidRPr="00583A8C">
        <w:rPr>
          <w:rFonts w:cs="Times New Roman"/>
          <w:szCs w:val="24"/>
        </w:rPr>
        <w:t xml:space="preserve">would receive in rent </w:t>
      </w:r>
      <w:r w:rsidRPr="00583A8C" w:rsidR="00452605">
        <w:rPr>
          <w:rFonts w:cs="Times New Roman"/>
          <w:szCs w:val="24"/>
        </w:rPr>
        <w:t xml:space="preserve">for the hypothetical field on the cash grain rental market.  </w:t>
      </w:r>
      <w:r w:rsidRPr="00583A8C">
        <w:rPr>
          <w:rFonts w:cs="Times New Roman"/>
          <w:szCs w:val="24"/>
        </w:rPr>
        <w:t xml:space="preserve">For all participants and all fields, the reserve rate is </w:t>
      </w:r>
      <w:r w:rsidRPr="00583A8C" w:rsidR="004951FF">
        <w:rPr>
          <w:rFonts w:cs="Times New Roman"/>
          <w:szCs w:val="24"/>
        </w:rPr>
        <w:t>9</w:t>
      </w:r>
      <w:r w:rsidRPr="00583A8C" w:rsidR="00CC0193">
        <w:rPr>
          <w:rFonts w:cs="Times New Roman"/>
          <w:szCs w:val="24"/>
        </w:rPr>
        <w:t xml:space="preserve"> percent plus $15 dollars </w:t>
      </w:r>
      <w:r w:rsidRPr="00583A8C">
        <w:rPr>
          <w:rFonts w:cs="Times New Roman"/>
          <w:szCs w:val="24"/>
        </w:rPr>
        <w:t xml:space="preserve">below the bid cap, which gives all participants an equal amount of “room” to bid down </w:t>
      </w:r>
      <w:r w:rsidRPr="00583A8C" w:rsidR="00CC0193">
        <w:rPr>
          <w:rFonts w:cs="Times New Roman"/>
          <w:szCs w:val="24"/>
        </w:rPr>
        <w:t>conditional on adopting the best practice, which will cost $15 per acre.</w:t>
      </w:r>
      <w:r w:rsidRPr="00583A8C">
        <w:rPr>
          <w:rFonts w:cs="Times New Roman"/>
          <w:szCs w:val="24"/>
        </w:rPr>
        <w:t xml:space="preserve">  This gives reserve rates of $</w:t>
      </w:r>
      <w:r w:rsidRPr="00583A8C" w:rsidR="004951FF">
        <w:rPr>
          <w:rFonts w:cs="Times New Roman"/>
          <w:szCs w:val="24"/>
        </w:rPr>
        <w:t>30.50</w:t>
      </w:r>
      <w:r w:rsidRPr="00583A8C">
        <w:rPr>
          <w:rFonts w:cs="Times New Roman"/>
          <w:szCs w:val="24"/>
        </w:rPr>
        <w:t>, $</w:t>
      </w:r>
      <w:r w:rsidRPr="00583A8C" w:rsidR="00CC0193">
        <w:rPr>
          <w:rFonts w:cs="Times New Roman"/>
          <w:szCs w:val="24"/>
        </w:rPr>
        <w:t>7</w:t>
      </w:r>
      <w:r w:rsidRPr="00583A8C" w:rsidR="004951FF">
        <w:rPr>
          <w:rFonts w:cs="Times New Roman"/>
          <w:szCs w:val="24"/>
        </w:rPr>
        <w:t>6.00</w:t>
      </w:r>
      <w:r w:rsidRPr="00583A8C">
        <w:rPr>
          <w:rFonts w:cs="Times New Roman"/>
          <w:szCs w:val="24"/>
        </w:rPr>
        <w:t>, and $1</w:t>
      </w:r>
      <w:r w:rsidRPr="00583A8C" w:rsidR="004951FF">
        <w:rPr>
          <w:rFonts w:cs="Times New Roman"/>
          <w:szCs w:val="24"/>
        </w:rPr>
        <w:t>21.50</w:t>
      </w:r>
      <w:r w:rsidRPr="00583A8C">
        <w:rPr>
          <w:rFonts w:cs="Times New Roman"/>
          <w:szCs w:val="24"/>
        </w:rPr>
        <w:t xml:space="preserve">.    </w:t>
      </w:r>
    </w:p>
    <w:p w:rsidRPr="00583A8C" w:rsidR="00452605" w:rsidP="003041AC" w:rsidRDefault="00CC0193" w14:paraId="4A6C4711" w14:textId="13D987D9">
      <w:pPr>
        <w:ind w:firstLine="360"/>
        <w:rPr>
          <w:rFonts w:cs="Times New Roman"/>
          <w:szCs w:val="24"/>
        </w:rPr>
      </w:pPr>
      <w:r w:rsidRPr="00583A8C">
        <w:rPr>
          <w:rFonts w:cs="Times New Roman"/>
          <w:szCs w:val="24"/>
        </w:rPr>
        <w:t xml:space="preserve">All participants are making offers to enroll </w:t>
      </w:r>
      <w:r w:rsidRPr="00583A8C" w:rsidR="004951FF">
        <w:rPr>
          <w:rFonts w:cs="Times New Roman"/>
          <w:szCs w:val="24"/>
        </w:rPr>
        <w:t>five-acre</w:t>
      </w:r>
      <w:r w:rsidRPr="00583A8C">
        <w:rPr>
          <w:rFonts w:cs="Times New Roman"/>
          <w:szCs w:val="24"/>
        </w:rPr>
        <w:t xml:space="preserve"> fields, so payments based on these reserve rates and </w:t>
      </w:r>
      <w:r w:rsidRPr="00583A8C" w:rsidR="004C52C7">
        <w:rPr>
          <w:rFonts w:cs="Times New Roman"/>
          <w:szCs w:val="24"/>
        </w:rPr>
        <w:t>asking price</w:t>
      </w:r>
      <w:r w:rsidRPr="00583A8C">
        <w:rPr>
          <w:rFonts w:cs="Times New Roman"/>
          <w:szCs w:val="24"/>
        </w:rPr>
        <w:t xml:space="preserve"> will be multiplied by a factor of </w:t>
      </w:r>
      <w:r w:rsidRPr="00583A8C" w:rsidR="004951FF">
        <w:rPr>
          <w:rFonts w:cs="Times New Roman"/>
          <w:szCs w:val="24"/>
        </w:rPr>
        <w:t>five</w:t>
      </w:r>
      <w:r w:rsidRPr="00583A8C">
        <w:rPr>
          <w:rFonts w:cs="Times New Roman"/>
          <w:szCs w:val="24"/>
        </w:rPr>
        <w:t xml:space="preserve">.  As an example of how this would translate into actual payments, </w:t>
      </w:r>
      <w:r w:rsidRPr="00583A8C" w:rsidR="00452605">
        <w:rPr>
          <w:rFonts w:cs="Times New Roman"/>
          <w:szCs w:val="24"/>
        </w:rPr>
        <w:t>if a field with a $100/acre bid cap bids down to $95 (a 5% bid</w:t>
      </w:r>
      <w:r w:rsidRPr="00583A8C" w:rsidR="000E1301">
        <w:rPr>
          <w:rFonts w:cs="Times New Roman"/>
          <w:szCs w:val="24"/>
        </w:rPr>
        <w:t xml:space="preserve"> </w:t>
      </w:r>
      <w:r w:rsidRPr="00583A8C" w:rsidR="00452605">
        <w:rPr>
          <w:rFonts w:cs="Times New Roman"/>
          <w:szCs w:val="24"/>
        </w:rPr>
        <w:t>down), selects a practice that costs $5/acre, and gets accepted, that participant would get $1</w:t>
      </w:r>
      <w:r w:rsidRPr="00583A8C" w:rsidR="008968A6">
        <w:rPr>
          <w:rFonts w:cs="Times New Roman"/>
          <w:szCs w:val="24"/>
        </w:rPr>
        <w:t>4</w:t>
      </w:r>
      <w:r w:rsidRPr="00583A8C">
        <w:rPr>
          <w:rFonts w:cs="Times New Roman"/>
          <w:szCs w:val="24"/>
        </w:rPr>
        <w:t xml:space="preserve"> per acre</w:t>
      </w:r>
      <w:r w:rsidRPr="00583A8C" w:rsidR="00452605">
        <w:rPr>
          <w:rFonts w:cs="Times New Roman"/>
          <w:szCs w:val="24"/>
        </w:rPr>
        <w:t>, the $</w:t>
      </w:r>
      <w:r w:rsidRPr="00583A8C" w:rsidR="0060135B">
        <w:rPr>
          <w:rFonts w:cs="Times New Roman"/>
          <w:szCs w:val="24"/>
        </w:rPr>
        <w:t>19</w:t>
      </w:r>
      <w:r w:rsidRPr="00583A8C" w:rsidR="00452605">
        <w:rPr>
          <w:rFonts w:cs="Times New Roman"/>
          <w:szCs w:val="24"/>
        </w:rPr>
        <w:t xml:space="preserve"> difference between the </w:t>
      </w:r>
      <w:r w:rsidRPr="00583A8C" w:rsidR="004C52C7">
        <w:rPr>
          <w:rFonts w:cs="Times New Roman"/>
          <w:szCs w:val="24"/>
        </w:rPr>
        <w:t>asking price</w:t>
      </w:r>
      <w:r w:rsidRPr="00583A8C" w:rsidR="00A96C52">
        <w:rPr>
          <w:rFonts w:cs="Times New Roman"/>
          <w:szCs w:val="24"/>
        </w:rPr>
        <w:t xml:space="preserve"> ($95)</w:t>
      </w:r>
      <w:r w:rsidRPr="00583A8C" w:rsidR="00452605">
        <w:rPr>
          <w:rFonts w:cs="Times New Roman"/>
          <w:szCs w:val="24"/>
        </w:rPr>
        <w:t xml:space="preserve"> and the reserve rate</w:t>
      </w:r>
      <w:r w:rsidRPr="00583A8C" w:rsidR="00A96C52">
        <w:rPr>
          <w:rFonts w:cs="Times New Roman"/>
          <w:szCs w:val="24"/>
        </w:rPr>
        <w:t xml:space="preserve"> ($76)</w:t>
      </w:r>
      <w:r w:rsidRPr="00583A8C" w:rsidR="00452605">
        <w:rPr>
          <w:rFonts w:cs="Times New Roman"/>
          <w:szCs w:val="24"/>
        </w:rPr>
        <w:t xml:space="preserve"> minus the $5 cost of the practice.</w:t>
      </w:r>
      <w:r w:rsidRPr="00583A8C">
        <w:rPr>
          <w:rFonts w:cs="Times New Roman"/>
          <w:szCs w:val="24"/>
        </w:rPr>
        <w:t xml:space="preserve">  The final payment would be $</w:t>
      </w:r>
      <w:r w:rsidRPr="00583A8C" w:rsidR="008968A6">
        <w:rPr>
          <w:rFonts w:cs="Times New Roman"/>
          <w:szCs w:val="24"/>
        </w:rPr>
        <w:t>80</w:t>
      </w:r>
      <w:r w:rsidRPr="00583A8C">
        <w:rPr>
          <w:rFonts w:cs="Times New Roman"/>
          <w:szCs w:val="24"/>
        </w:rPr>
        <w:t>, which is the $</w:t>
      </w:r>
      <w:r w:rsidRPr="00583A8C" w:rsidR="008968A6">
        <w:rPr>
          <w:rFonts w:cs="Times New Roman"/>
          <w:szCs w:val="24"/>
        </w:rPr>
        <w:t>70</w:t>
      </w:r>
      <w:r w:rsidRPr="00583A8C">
        <w:rPr>
          <w:rFonts w:cs="Times New Roman"/>
          <w:szCs w:val="24"/>
        </w:rPr>
        <w:t xml:space="preserve"> payment for the accepted </w:t>
      </w:r>
      <w:r w:rsidRPr="00583A8C" w:rsidR="00013C8B">
        <w:rPr>
          <w:rFonts w:cs="Times New Roman"/>
          <w:szCs w:val="24"/>
        </w:rPr>
        <w:t>five</w:t>
      </w:r>
      <w:r w:rsidRPr="00583A8C" w:rsidR="0060135B">
        <w:rPr>
          <w:rFonts w:cs="Times New Roman"/>
          <w:szCs w:val="24"/>
        </w:rPr>
        <w:t>-</w:t>
      </w:r>
      <w:r w:rsidRPr="00583A8C">
        <w:rPr>
          <w:rFonts w:cs="Times New Roman"/>
          <w:szCs w:val="24"/>
        </w:rPr>
        <w:t xml:space="preserve">acre field and the $10 participation fee.  Participants who make an offer that is not accepted would only get the $10 participation fee.  </w:t>
      </w:r>
      <w:bookmarkStart w:name="_Hlk92552579" w:id="2"/>
      <w:r w:rsidRPr="00583A8C">
        <w:rPr>
          <w:rFonts w:cs="Times New Roman"/>
          <w:szCs w:val="24"/>
        </w:rPr>
        <w:t>Participants</w:t>
      </w:r>
      <w:r w:rsidRPr="00583A8C" w:rsidR="00A96C52">
        <w:rPr>
          <w:rFonts w:cs="Times New Roman"/>
          <w:szCs w:val="24"/>
        </w:rPr>
        <w:t xml:space="preserve"> with the same field characteristics</w:t>
      </w:r>
      <w:r w:rsidRPr="00583A8C">
        <w:rPr>
          <w:rFonts w:cs="Times New Roman"/>
          <w:szCs w:val="24"/>
        </w:rPr>
        <w:t xml:space="preserve"> who </w:t>
      </w:r>
      <w:r w:rsidRPr="00583A8C" w:rsidR="00A96C52">
        <w:rPr>
          <w:rFonts w:cs="Times New Roman"/>
          <w:szCs w:val="24"/>
        </w:rPr>
        <w:t>offer a lower rental rate</w:t>
      </w:r>
      <w:r w:rsidRPr="00583A8C">
        <w:rPr>
          <w:rFonts w:cs="Times New Roman"/>
          <w:szCs w:val="24"/>
        </w:rPr>
        <w:t xml:space="preserve"> or selected an even better practice and are accepted would receive less than $</w:t>
      </w:r>
      <w:r w:rsidRPr="00583A8C" w:rsidR="00A96C52">
        <w:rPr>
          <w:rFonts w:cs="Times New Roman"/>
          <w:szCs w:val="24"/>
        </w:rPr>
        <w:t>80</w:t>
      </w:r>
      <w:r w:rsidRPr="00583A8C">
        <w:rPr>
          <w:rFonts w:cs="Times New Roman"/>
          <w:szCs w:val="24"/>
        </w:rPr>
        <w:t xml:space="preserve">. </w:t>
      </w:r>
      <w:r w:rsidRPr="00583A8C" w:rsidR="00452605">
        <w:rPr>
          <w:rFonts w:cs="Times New Roman"/>
          <w:szCs w:val="24"/>
        </w:rPr>
        <w:t xml:space="preserve">    </w:t>
      </w:r>
      <w:bookmarkEnd w:id="2"/>
    </w:p>
    <w:p w:rsidRPr="00583A8C" w:rsidR="00D1781D" w:rsidP="00D1781D" w:rsidRDefault="00D1781D" w14:paraId="0D6DD882" w14:textId="77777777">
      <w:pPr>
        <w:ind w:firstLine="0"/>
        <w:rPr>
          <w:rFonts w:cs="Times New Roman"/>
          <w:i/>
          <w:iCs/>
          <w:szCs w:val="24"/>
        </w:rPr>
      </w:pPr>
      <w:r w:rsidRPr="00583A8C">
        <w:rPr>
          <w:rFonts w:cs="Times New Roman"/>
          <w:i/>
          <w:iCs/>
          <w:szCs w:val="24"/>
        </w:rPr>
        <w:t>Expected EBI cutoff:</w:t>
      </w:r>
    </w:p>
    <w:p w:rsidRPr="00583A8C" w:rsidR="00D1781D" w:rsidP="00D1781D" w:rsidRDefault="00D1781D" w14:paraId="4A17ABB9" w14:textId="27A637A0">
      <w:pPr>
        <w:rPr>
          <w:rFonts w:cs="Times New Roman"/>
          <w:szCs w:val="24"/>
        </w:rPr>
      </w:pPr>
      <w:r w:rsidRPr="00583A8C">
        <w:rPr>
          <w:rFonts w:cs="Times New Roman"/>
          <w:szCs w:val="24"/>
        </w:rPr>
        <w:t>For reference, the minimum acceptable EBI scores in the past five signups ranged from 200 to 292 (</w:t>
      </w:r>
      <w:r w:rsidRPr="00583A8C" w:rsidR="00D60614">
        <w:rPr>
          <w:rFonts w:cs="Times New Roman"/>
          <w:szCs w:val="24"/>
        </w:rPr>
        <w:t>see appendix</w:t>
      </w:r>
      <w:r w:rsidRPr="00583A8C">
        <w:rPr>
          <w:rFonts w:cs="Times New Roman"/>
          <w:szCs w:val="24"/>
        </w:rPr>
        <w:t xml:space="preserve">).  </w:t>
      </w:r>
      <w:r w:rsidRPr="00583A8C" w:rsidR="00AB77E5">
        <w:rPr>
          <w:rFonts w:cs="Times New Roman"/>
          <w:szCs w:val="24"/>
        </w:rPr>
        <w:t xml:space="preserve">This range reflects variation in participation levels and in the amount of acreage that could be accepted into the program.  In our experiment, participants do not have an option of withholding a given field from a round of the auction, so total participation is </w:t>
      </w:r>
      <w:r w:rsidRPr="00583A8C" w:rsidR="009D3CE0">
        <w:rPr>
          <w:rFonts w:cs="Times New Roman"/>
          <w:szCs w:val="24"/>
        </w:rPr>
        <w:t>close to fixed at about 1,000 fields per round</w:t>
      </w:r>
      <w:r w:rsidRPr="00583A8C" w:rsidR="008968A6">
        <w:rPr>
          <w:rFonts w:cs="Times New Roman"/>
          <w:szCs w:val="24"/>
        </w:rPr>
        <w:t xml:space="preserve"> when combining waves of recruitment</w:t>
      </w:r>
      <w:r w:rsidRPr="00583A8C" w:rsidR="009D3CE0">
        <w:rPr>
          <w:rFonts w:cs="Times New Roman"/>
          <w:szCs w:val="24"/>
        </w:rPr>
        <w:t xml:space="preserve">.  The variation around that level is limited.  In addition, our experiment faces a budget constraint rather than an acreage constraint.  To allow this auction to clear within rounds and recruitment waves in which the total number of participants may vary (e.g.: we might get 300 or 500 or some other number of participants in the first wave), we impose a budget conditional on the participation level.  This is </w:t>
      </w:r>
      <w:proofErr w:type="gramStart"/>
      <w:r w:rsidRPr="00583A8C" w:rsidR="009D3CE0">
        <w:rPr>
          <w:rFonts w:cs="Times New Roman"/>
          <w:szCs w:val="24"/>
        </w:rPr>
        <w:t>similar to</w:t>
      </w:r>
      <w:proofErr w:type="gramEnd"/>
      <w:r w:rsidRPr="00583A8C" w:rsidR="009D3CE0">
        <w:rPr>
          <w:rFonts w:cs="Times New Roman"/>
          <w:szCs w:val="24"/>
        </w:rPr>
        <w:t xml:space="preserve"> having a pre-determined acceptance rate (say of </w:t>
      </w:r>
      <w:r w:rsidRPr="00583A8C" w:rsidR="00872C9A">
        <w:rPr>
          <w:rFonts w:cs="Times New Roman"/>
          <w:szCs w:val="24"/>
        </w:rPr>
        <w:t xml:space="preserve">4 out of </w:t>
      </w:r>
      <w:r w:rsidRPr="00583A8C" w:rsidR="009D3CE0">
        <w:rPr>
          <w:rFonts w:cs="Times New Roman"/>
          <w:szCs w:val="24"/>
        </w:rPr>
        <w:t>9 offers) but allows for the financial budget to be binding</w:t>
      </w:r>
      <w:r w:rsidRPr="00583A8C" w:rsidR="00D46815">
        <w:rPr>
          <w:rFonts w:cs="Times New Roman"/>
          <w:szCs w:val="24"/>
        </w:rPr>
        <w:t>.</w:t>
      </w:r>
      <w:r w:rsidRPr="00583A8C" w:rsidR="009D3CE0">
        <w:rPr>
          <w:rFonts w:cs="Times New Roman"/>
          <w:szCs w:val="24"/>
        </w:rPr>
        <w:t xml:space="preserve"> The actual acceptance rate and cutoff EBI will vary depending upon how much offer improvement occurs.  To estimate the most likely EBI cutoff, we estimate </w:t>
      </w:r>
      <w:r w:rsidRPr="00583A8C" w:rsidR="009D3CE0">
        <w:rPr>
          <w:rFonts w:cs="Times New Roman"/>
          <w:szCs w:val="24"/>
        </w:rPr>
        <w:lastRenderedPageBreak/>
        <w:t xml:space="preserve">an empirical Nash equilibrium for the nine field types subject to our budget constraint.  Under the equilibrium solution, the final payout </w:t>
      </w:r>
      <w:r w:rsidRPr="00583A8C" w:rsidR="00872C9A">
        <w:rPr>
          <w:rFonts w:cs="Times New Roman"/>
          <w:szCs w:val="24"/>
        </w:rPr>
        <w:t>ranges</w:t>
      </w:r>
      <w:r w:rsidRPr="00583A8C" w:rsidR="009D3CE0">
        <w:rPr>
          <w:rFonts w:cs="Times New Roman"/>
          <w:szCs w:val="24"/>
        </w:rPr>
        <w:t xml:space="preserve"> from $10 (the participation payment) on five fields that are not accepted, to $103 (table 3).  The selection of practices at the equilibrium includes all four practice types.</w:t>
      </w:r>
      <w:r w:rsidRPr="00583A8C" w:rsidDel="009D3CE0" w:rsidR="009D3CE0">
        <w:rPr>
          <w:rFonts w:cs="Times New Roman"/>
          <w:szCs w:val="24"/>
        </w:rPr>
        <w:t xml:space="preserve"> </w:t>
      </w:r>
    </w:p>
    <w:p w:rsidRPr="00583A8C" w:rsidR="00524AD1" w:rsidP="000537BA" w:rsidRDefault="00524AD1" w14:paraId="434E8294" w14:textId="29934C64">
      <w:pPr>
        <w:ind w:firstLine="0"/>
        <w:rPr>
          <w:rFonts w:cs="Times New Roman"/>
          <w:szCs w:val="24"/>
        </w:rPr>
      </w:pPr>
    </w:p>
    <w:p w:rsidRPr="00583A8C" w:rsidR="000537BA" w:rsidP="000537BA" w:rsidRDefault="000537BA" w14:paraId="12E6607D" w14:textId="6447542E">
      <w:pPr>
        <w:ind w:firstLine="0"/>
        <w:rPr>
          <w:rFonts w:cs="Times New Roman"/>
          <w:szCs w:val="24"/>
        </w:rPr>
      </w:pPr>
      <w:r w:rsidRPr="00583A8C">
        <w:rPr>
          <w:rFonts w:cs="Times New Roman"/>
          <w:szCs w:val="24"/>
        </w:rPr>
        <w:t xml:space="preserve">Table </w:t>
      </w:r>
      <w:r w:rsidRPr="00583A8C" w:rsidR="00493971">
        <w:rPr>
          <w:rFonts w:cs="Times New Roman"/>
          <w:szCs w:val="24"/>
        </w:rPr>
        <w:t>3</w:t>
      </w:r>
      <w:r w:rsidRPr="00583A8C">
        <w:rPr>
          <w:rFonts w:cs="Times New Roman"/>
          <w:szCs w:val="24"/>
        </w:rPr>
        <w:t>: Final Payouts</w:t>
      </w:r>
    </w:p>
    <w:tbl>
      <w:tblPr>
        <w:tblpPr w:leftFromText="180" w:rightFromText="180" w:vertAnchor="text" w:tblpXSpec="center" w:tblpY="1"/>
        <w:tblOverlap w:val="never"/>
        <w:tblW w:w="4449" w:type="dxa"/>
        <w:tblLook w:val="04A0" w:firstRow="1" w:lastRow="0" w:firstColumn="1" w:lastColumn="0" w:noHBand="0" w:noVBand="1"/>
      </w:tblPr>
      <w:tblGrid>
        <w:gridCol w:w="1382"/>
        <w:gridCol w:w="960"/>
        <w:gridCol w:w="1147"/>
        <w:gridCol w:w="960"/>
      </w:tblGrid>
      <w:tr w:rsidRPr="00583A8C" w:rsidR="00013C8B" w:rsidTr="00013C8B" w14:paraId="3C30F861" w14:textId="77777777">
        <w:trPr>
          <w:trHeight w:val="300"/>
        </w:trPr>
        <w:tc>
          <w:tcPr>
            <w:tcW w:w="1382" w:type="dxa"/>
            <w:tcBorders>
              <w:top w:val="nil"/>
              <w:left w:val="nil"/>
              <w:bottom w:val="nil"/>
              <w:right w:val="nil"/>
            </w:tcBorders>
            <w:shd w:val="clear" w:color="auto" w:fill="auto"/>
            <w:noWrap/>
            <w:vAlign w:val="bottom"/>
            <w:hideMark/>
          </w:tcPr>
          <w:p w:rsidRPr="00583A8C" w:rsidR="00013C8B" w:rsidP="00013C8B" w:rsidRDefault="00013C8B" w14:paraId="72CAEFF1" w14:textId="77777777">
            <w:pPr>
              <w:spacing w:after="0" w:line="240" w:lineRule="auto"/>
              <w:ind w:firstLine="0"/>
              <w:rPr>
                <w:rFonts w:eastAsia="Times New Roman" w:cs="Times New Roman"/>
                <w:sz w:val="28"/>
                <w:szCs w:val="28"/>
              </w:rPr>
            </w:pPr>
          </w:p>
        </w:tc>
        <w:tc>
          <w:tcPr>
            <w:tcW w:w="3067" w:type="dxa"/>
            <w:gridSpan w:val="3"/>
            <w:tcBorders>
              <w:top w:val="nil"/>
              <w:left w:val="nil"/>
              <w:bottom w:val="nil"/>
              <w:right w:val="nil"/>
            </w:tcBorders>
            <w:shd w:val="clear" w:color="auto" w:fill="auto"/>
            <w:noWrap/>
            <w:vAlign w:val="bottom"/>
            <w:hideMark/>
          </w:tcPr>
          <w:p w:rsidRPr="00583A8C" w:rsidR="00013C8B" w:rsidP="00013C8B" w:rsidRDefault="00013C8B" w14:paraId="0923C45E" w14:textId="77777777">
            <w:pPr>
              <w:spacing w:after="0" w:line="240" w:lineRule="auto"/>
              <w:ind w:firstLine="0"/>
              <w:jc w:val="center"/>
              <w:rPr>
                <w:rFonts w:eastAsia="Times New Roman" w:cs="Times New Roman"/>
                <w:sz w:val="28"/>
                <w:szCs w:val="28"/>
              </w:rPr>
            </w:pPr>
            <w:r w:rsidRPr="00583A8C">
              <w:rPr>
                <w:rFonts w:ascii="Calibri" w:hAnsi="Calibri" w:eastAsia="Times New Roman" w:cs="Calibri"/>
                <w:color w:val="000000"/>
                <w:sz w:val="28"/>
                <w:szCs w:val="28"/>
              </w:rPr>
              <w:t>Land EBI</w:t>
            </w:r>
          </w:p>
        </w:tc>
      </w:tr>
      <w:tr w:rsidRPr="00583A8C" w:rsidR="00013C8B" w:rsidTr="00013C8B" w14:paraId="53B0F5B6" w14:textId="77777777">
        <w:trPr>
          <w:trHeight w:val="300"/>
        </w:trPr>
        <w:tc>
          <w:tcPr>
            <w:tcW w:w="1382" w:type="dxa"/>
            <w:tcBorders>
              <w:top w:val="nil"/>
              <w:left w:val="nil"/>
              <w:bottom w:val="nil"/>
              <w:right w:val="nil"/>
            </w:tcBorders>
            <w:shd w:val="clear" w:color="auto" w:fill="auto"/>
            <w:noWrap/>
            <w:vAlign w:val="bottom"/>
            <w:hideMark/>
          </w:tcPr>
          <w:p w:rsidRPr="00583A8C" w:rsidR="00013C8B" w:rsidP="00013C8B" w:rsidRDefault="00013C8B" w14:paraId="3DB57DDA" w14:textId="77777777">
            <w:pPr>
              <w:spacing w:after="0" w:line="240" w:lineRule="auto"/>
              <w:ind w:firstLine="0"/>
              <w:rPr>
                <w:rFonts w:eastAsia="Times New Roman" w:cs="Times New Roman"/>
                <w:sz w:val="28"/>
                <w:szCs w:val="28"/>
              </w:rPr>
            </w:pPr>
          </w:p>
        </w:tc>
        <w:tc>
          <w:tcPr>
            <w:tcW w:w="960" w:type="dxa"/>
            <w:tcBorders>
              <w:top w:val="nil"/>
              <w:left w:val="nil"/>
              <w:bottom w:val="nil"/>
              <w:right w:val="nil"/>
            </w:tcBorders>
            <w:shd w:val="clear" w:color="auto" w:fill="auto"/>
            <w:noWrap/>
            <w:vAlign w:val="bottom"/>
            <w:hideMark/>
          </w:tcPr>
          <w:p w:rsidRPr="00583A8C" w:rsidR="00013C8B" w:rsidP="00013C8B" w:rsidRDefault="00013C8B" w14:paraId="6D494187" w14:textId="77777777">
            <w:pPr>
              <w:spacing w:after="0" w:line="240" w:lineRule="auto"/>
              <w:ind w:firstLine="0"/>
              <w:jc w:val="center"/>
              <w:rPr>
                <w:rFonts w:ascii="Calibri" w:hAnsi="Calibri" w:eastAsia="Times New Roman" w:cs="Calibri"/>
                <w:color w:val="000000"/>
                <w:sz w:val="28"/>
                <w:szCs w:val="28"/>
              </w:rPr>
            </w:pPr>
            <w:r w:rsidRPr="00583A8C">
              <w:rPr>
                <w:rFonts w:ascii="Calibri" w:hAnsi="Calibri" w:eastAsia="Times New Roman" w:cs="Calibri"/>
                <w:color w:val="000000"/>
                <w:sz w:val="28"/>
                <w:szCs w:val="28"/>
              </w:rPr>
              <w:t>Low</w:t>
            </w:r>
          </w:p>
        </w:tc>
        <w:tc>
          <w:tcPr>
            <w:tcW w:w="1147" w:type="dxa"/>
            <w:tcBorders>
              <w:top w:val="nil"/>
              <w:left w:val="nil"/>
              <w:bottom w:val="nil"/>
              <w:right w:val="nil"/>
            </w:tcBorders>
            <w:shd w:val="clear" w:color="auto" w:fill="auto"/>
            <w:noWrap/>
            <w:vAlign w:val="bottom"/>
            <w:hideMark/>
          </w:tcPr>
          <w:p w:rsidRPr="00583A8C" w:rsidR="00013C8B" w:rsidP="00013C8B" w:rsidRDefault="00013C8B" w14:paraId="2E63DAA5" w14:textId="77777777">
            <w:pPr>
              <w:spacing w:after="0" w:line="240" w:lineRule="auto"/>
              <w:ind w:firstLine="0"/>
              <w:jc w:val="center"/>
              <w:rPr>
                <w:rFonts w:ascii="Calibri" w:hAnsi="Calibri" w:eastAsia="Times New Roman" w:cs="Calibri"/>
                <w:color w:val="000000"/>
                <w:sz w:val="28"/>
                <w:szCs w:val="28"/>
              </w:rPr>
            </w:pPr>
            <w:r w:rsidRPr="00583A8C">
              <w:rPr>
                <w:rFonts w:ascii="Calibri" w:hAnsi="Calibri" w:eastAsia="Times New Roman" w:cs="Calibri"/>
                <w:color w:val="000000"/>
                <w:sz w:val="28"/>
                <w:szCs w:val="28"/>
              </w:rPr>
              <w:t>Average</w:t>
            </w:r>
          </w:p>
        </w:tc>
        <w:tc>
          <w:tcPr>
            <w:tcW w:w="960" w:type="dxa"/>
            <w:tcBorders>
              <w:top w:val="nil"/>
              <w:left w:val="nil"/>
              <w:bottom w:val="nil"/>
              <w:right w:val="nil"/>
            </w:tcBorders>
            <w:shd w:val="clear" w:color="auto" w:fill="auto"/>
            <w:noWrap/>
            <w:vAlign w:val="bottom"/>
            <w:hideMark/>
          </w:tcPr>
          <w:p w:rsidRPr="00583A8C" w:rsidR="00013C8B" w:rsidP="00013C8B" w:rsidRDefault="00013C8B" w14:paraId="47C7B67F" w14:textId="77777777">
            <w:pPr>
              <w:spacing w:after="0" w:line="240" w:lineRule="auto"/>
              <w:ind w:firstLine="0"/>
              <w:jc w:val="center"/>
              <w:rPr>
                <w:rFonts w:ascii="Calibri" w:hAnsi="Calibri" w:eastAsia="Times New Roman" w:cs="Calibri"/>
                <w:color w:val="000000"/>
                <w:sz w:val="28"/>
                <w:szCs w:val="28"/>
              </w:rPr>
            </w:pPr>
            <w:r w:rsidRPr="00583A8C">
              <w:rPr>
                <w:rFonts w:ascii="Calibri" w:hAnsi="Calibri" w:eastAsia="Times New Roman" w:cs="Calibri"/>
                <w:color w:val="000000"/>
                <w:sz w:val="28"/>
                <w:szCs w:val="28"/>
              </w:rPr>
              <w:t>High</w:t>
            </w:r>
          </w:p>
        </w:tc>
      </w:tr>
      <w:tr w:rsidRPr="00583A8C" w:rsidR="00013C8B" w:rsidTr="00013C8B" w14:paraId="7EDE527F" w14:textId="77777777">
        <w:trPr>
          <w:trHeight w:val="300"/>
        </w:trPr>
        <w:tc>
          <w:tcPr>
            <w:tcW w:w="1382" w:type="dxa"/>
            <w:tcBorders>
              <w:top w:val="nil"/>
              <w:left w:val="nil"/>
              <w:bottom w:val="single" w:color="auto" w:sz="4" w:space="0"/>
              <w:right w:val="nil"/>
            </w:tcBorders>
            <w:shd w:val="clear" w:color="auto" w:fill="auto"/>
            <w:noWrap/>
            <w:vAlign w:val="bottom"/>
            <w:hideMark/>
          </w:tcPr>
          <w:p w:rsidRPr="00583A8C" w:rsidR="00013C8B" w:rsidP="00013C8B" w:rsidRDefault="00013C8B" w14:paraId="46CF1D36" w14:textId="77777777">
            <w:pPr>
              <w:spacing w:after="0" w:line="240" w:lineRule="auto"/>
              <w:ind w:firstLine="0"/>
              <w:jc w:val="center"/>
              <w:rPr>
                <w:rFonts w:ascii="Calibri" w:hAnsi="Calibri" w:eastAsia="Times New Roman" w:cs="Calibri"/>
                <w:color w:val="000000"/>
                <w:sz w:val="28"/>
                <w:szCs w:val="28"/>
              </w:rPr>
            </w:pPr>
            <w:r w:rsidRPr="00583A8C">
              <w:rPr>
                <w:rFonts w:ascii="Calibri" w:hAnsi="Calibri" w:eastAsia="Times New Roman" w:cs="Calibri"/>
                <w:color w:val="000000"/>
                <w:sz w:val="28"/>
                <w:szCs w:val="28"/>
              </w:rPr>
              <w:t>Bid cap</w:t>
            </w:r>
          </w:p>
        </w:tc>
        <w:tc>
          <w:tcPr>
            <w:tcW w:w="960" w:type="dxa"/>
            <w:tcBorders>
              <w:top w:val="nil"/>
              <w:left w:val="nil"/>
              <w:bottom w:val="single" w:color="auto" w:sz="4" w:space="0"/>
              <w:right w:val="nil"/>
            </w:tcBorders>
            <w:shd w:val="clear" w:color="auto" w:fill="auto"/>
            <w:noWrap/>
            <w:vAlign w:val="center"/>
          </w:tcPr>
          <w:p w:rsidRPr="00583A8C" w:rsidR="00013C8B" w:rsidP="00013C8B" w:rsidRDefault="00013C8B" w14:paraId="2FD49FB5" w14:textId="0AC59779">
            <w:pPr>
              <w:spacing w:after="0" w:line="240" w:lineRule="auto"/>
              <w:ind w:firstLine="0"/>
              <w:jc w:val="center"/>
              <w:rPr>
                <w:rFonts w:ascii="Calibri" w:hAnsi="Calibri" w:eastAsia="Times New Roman" w:cs="Calibri"/>
                <w:color w:val="000000"/>
                <w:sz w:val="28"/>
                <w:szCs w:val="28"/>
              </w:rPr>
            </w:pPr>
          </w:p>
        </w:tc>
        <w:tc>
          <w:tcPr>
            <w:tcW w:w="1147" w:type="dxa"/>
            <w:tcBorders>
              <w:top w:val="nil"/>
              <w:left w:val="nil"/>
              <w:bottom w:val="single" w:color="auto" w:sz="4" w:space="0"/>
              <w:right w:val="nil"/>
            </w:tcBorders>
            <w:shd w:val="clear" w:color="auto" w:fill="auto"/>
            <w:noWrap/>
            <w:vAlign w:val="center"/>
          </w:tcPr>
          <w:p w:rsidRPr="00583A8C" w:rsidR="00013C8B" w:rsidP="00013C8B" w:rsidRDefault="00013C8B" w14:paraId="0AFF9E40" w14:textId="420667B6">
            <w:pPr>
              <w:spacing w:after="0" w:line="240" w:lineRule="auto"/>
              <w:ind w:firstLine="0"/>
              <w:jc w:val="center"/>
              <w:rPr>
                <w:rFonts w:ascii="Calibri" w:hAnsi="Calibri" w:eastAsia="Times New Roman" w:cs="Calibri"/>
                <w:color w:val="000000"/>
                <w:sz w:val="28"/>
                <w:szCs w:val="28"/>
              </w:rPr>
            </w:pPr>
          </w:p>
        </w:tc>
        <w:tc>
          <w:tcPr>
            <w:tcW w:w="960" w:type="dxa"/>
            <w:tcBorders>
              <w:top w:val="nil"/>
              <w:left w:val="nil"/>
              <w:bottom w:val="single" w:color="auto" w:sz="4" w:space="0"/>
              <w:right w:val="single" w:color="auto" w:sz="4" w:space="0"/>
            </w:tcBorders>
            <w:shd w:val="clear" w:color="auto" w:fill="auto"/>
            <w:noWrap/>
            <w:vAlign w:val="center"/>
          </w:tcPr>
          <w:p w:rsidRPr="00583A8C" w:rsidR="00013C8B" w:rsidP="00013C8B" w:rsidRDefault="00013C8B" w14:paraId="0B66B945" w14:textId="23850B12">
            <w:pPr>
              <w:spacing w:after="0" w:line="240" w:lineRule="auto"/>
              <w:ind w:firstLine="0"/>
              <w:jc w:val="center"/>
              <w:rPr>
                <w:rFonts w:ascii="Calibri" w:hAnsi="Calibri" w:eastAsia="Times New Roman" w:cs="Calibri"/>
                <w:color w:val="000000"/>
                <w:sz w:val="28"/>
                <w:szCs w:val="28"/>
              </w:rPr>
            </w:pPr>
          </w:p>
        </w:tc>
      </w:tr>
      <w:tr w:rsidRPr="00583A8C" w:rsidR="00013C8B" w:rsidTr="00013C8B" w14:paraId="1481EB45" w14:textId="77777777">
        <w:trPr>
          <w:trHeight w:val="300"/>
        </w:trPr>
        <w:tc>
          <w:tcPr>
            <w:tcW w:w="1382" w:type="dxa"/>
            <w:tcBorders>
              <w:top w:val="nil"/>
              <w:left w:val="nil"/>
              <w:bottom w:val="nil"/>
              <w:right w:val="nil"/>
            </w:tcBorders>
            <w:shd w:val="clear" w:color="auto" w:fill="auto"/>
            <w:noWrap/>
            <w:vAlign w:val="bottom"/>
            <w:hideMark/>
          </w:tcPr>
          <w:p w:rsidRPr="00583A8C" w:rsidR="00013C8B" w:rsidP="00013C8B" w:rsidRDefault="00013C8B" w14:paraId="320FC873" w14:textId="77777777">
            <w:pPr>
              <w:spacing w:after="0" w:line="240" w:lineRule="auto"/>
              <w:ind w:firstLine="0"/>
              <w:rPr>
                <w:rFonts w:ascii="Calibri" w:hAnsi="Calibri" w:eastAsia="Times New Roman" w:cs="Calibri"/>
                <w:color w:val="000000"/>
                <w:sz w:val="28"/>
                <w:szCs w:val="28"/>
              </w:rPr>
            </w:pPr>
            <w:r w:rsidRPr="00583A8C">
              <w:rPr>
                <w:rFonts w:ascii="Calibri" w:hAnsi="Calibri" w:eastAsia="Times New Roman" w:cs="Calibri"/>
                <w:color w:val="000000"/>
                <w:sz w:val="28"/>
                <w:szCs w:val="28"/>
              </w:rPr>
              <w:t>$50/acre</w:t>
            </w:r>
          </w:p>
        </w:tc>
        <w:tc>
          <w:tcPr>
            <w:tcW w:w="960" w:type="dxa"/>
            <w:tcBorders>
              <w:top w:val="nil"/>
              <w:left w:val="nil"/>
              <w:bottom w:val="nil"/>
              <w:right w:val="nil"/>
            </w:tcBorders>
            <w:shd w:val="clear" w:color="auto" w:fill="auto"/>
            <w:noWrap/>
            <w:vAlign w:val="bottom"/>
            <w:hideMark/>
          </w:tcPr>
          <w:p w:rsidRPr="00583A8C" w:rsidR="00013C8B" w:rsidP="00013C8B" w:rsidRDefault="00013C8B" w14:paraId="1828347D" w14:textId="58948F10">
            <w:pPr>
              <w:spacing w:after="0" w:line="240" w:lineRule="auto"/>
              <w:ind w:firstLine="0"/>
              <w:jc w:val="center"/>
              <w:rPr>
                <w:rFonts w:ascii="Calibri" w:hAnsi="Calibri" w:eastAsia="Times New Roman" w:cs="Calibri"/>
                <w:color w:val="000000"/>
                <w:sz w:val="28"/>
                <w:szCs w:val="28"/>
              </w:rPr>
            </w:pPr>
            <w:r w:rsidRPr="00583A8C">
              <w:rPr>
                <w:rFonts w:ascii="Calibri" w:hAnsi="Calibri" w:eastAsia="Times New Roman" w:cs="Calibri"/>
                <w:color w:val="000000"/>
                <w:sz w:val="28"/>
                <w:szCs w:val="28"/>
              </w:rPr>
              <w:t>$10</w:t>
            </w:r>
          </w:p>
        </w:tc>
        <w:tc>
          <w:tcPr>
            <w:tcW w:w="1147" w:type="dxa"/>
            <w:tcBorders>
              <w:top w:val="nil"/>
              <w:left w:val="nil"/>
              <w:bottom w:val="nil"/>
              <w:right w:val="nil"/>
            </w:tcBorders>
            <w:shd w:val="clear" w:color="auto" w:fill="auto"/>
            <w:noWrap/>
            <w:vAlign w:val="bottom"/>
            <w:hideMark/>
          </w:tcPr>
          <w:p w:rsidRPr="00583A8C" w:rsidR="00013C8B" w:rsidP="00013C8B" w:rsidRDefault="00013C8B" w14:paraId="59725E6C" w14:textId="5A41A5DE">
            <w:pPr>
              <w:spacing w:after="0" w:line="240" w:lineRule="auto"/>
              <w:ind w:firstLine="0"/>
              <w:jc w:val="center"/>
              <w:rPr>
                <w:rFonts w:ascii="Calibri" w:hAnsi="Calibri" w:eastAsia="Times New Roman" w:cs="Calibri"/>
                <w:color w:val="000000"/>
                <w:sz w:val="28"/>
                <w:szCs w:val="28"/>
              </w:rPr>
            </w:pPr>
            <w:r w:rsidRPr="00583A8C">
              <w:rPr>
                <w:rFonts w:ascii="Calibri" w:hAnsi="Calibri" w:eastAsia="Times New Roman" w:cs="Calibri"/>
                <w:color w:val="000000"/>
                <w:sz w:val="28"/>
                <w:szCs w:val="28"/>
              </w:rPr>
              <w:t>$70</w:t>
            </w:r>
          </w:p>
        </w:tc>
        <w:tc>
          <w:tcPr>
            <w:tcW w:w="960" w:type="dxa"/>
            <w:tcBorders>
              <w:top w:val="nil"/>
              <w:left w:val="nil"/>
              <w:bottom w:val="nil"/>
              <w:right w:val="single" w:color="auto" w:sz="4" w:space="0"/>
            </w:tcBorders>
            <w:shd w:val="clear" w:color="auto" w:fill="auto"/>
            <w:noWrap/>
            <w:vAlign w:val="bottom"/>
            <w:hideMark/>
          </w:tcPr>
          <w:p w:rsidRPr="00583A8C" w:rsidR="00013C8B" w:rsidP="00013C8B" w:rsidRDefault="00013C8B" w14:paraId="139D4C39" w14:textId="6CCA98D9">
            <w:pPr>
              <w:spacing w:after="0" w:line="240" w:lineRule="auto"/>
              <w:ind w:firstLine="0"/>
              <w:jc w:val="center"/>
              <w:rPr>
                <w:rFonts w:ascii="Calibri" w:hAnsi="Calibri" w:eastAsia="Times New Roman" w:cs="Calibri"/>
                <w:color w:val="000000"/>
                <w:sz w:val="28"/>
                <w:szCs w:val="28"/>
              </w:rPr>
            </w:pPr>
            <w:r w:rsidRPr="00583A8C">
              <w:rPr>
                <w:rFonts w:ascii="Calibri" w:hAnsi="Calibri" w:eastAsia="Times New Roman" w:cs="Calibri"/>
                <w:color w:val="000000"/>
                <w:sz w:val="28"/>
                <w:szCs w:val="28"/>
              </w:rPr>
              <w:t>$75</w:t>
            </w:r>
          </w:p>
        </w:tc>
      </w:tr>
      <w:tr w:rsidRPr="00583A8C" w:rsidR="00013C8B" w:rsidTr="00013C8B" w14:paraId="1AADAA0E" w14:textId="77777777">
        <w:trPr>
          <w:trHeight w:val="300"/>
        </w:trPr>
        <w:tc>
          <w:tcPr>
            <w:tcW w:w="1382" w:type="dxa"/>
            <w:tcBorders>
              <w:top w:val="nil"/>
              <w:left w:val="nil"/>
              <w:bottom w:val="nil"/>
              <w:right w:val="nil"/>
            </w:tcBorders>
            <w:shd w:val="clear" w:color="auto" w:fill="auto"/>
            <w:noWrap/>
            <w:vAlign w:val="bottom"/>
            <w:hideMark/>
          </w:tcPr>
          <w:p w:rsidRPr="00583A8C" w:rsidR="00013C8B" w:rsidP="00013C8B" w:rsidRDefault="00013C8B" w14:paraId="572B7142" w14:textId="77777777">
            <w:pPr>
              <w:spacing w:after="0" w:line="240" w:lineRule="auto"/>
              <w:ind w:firstLine="0"/>
              <w:rPr>
                <w:rFonts w:ascii="Calibri" w:hAnsi="Calibri" w:eastAsia="Times New Roman" w:cs="Calibri"/>
                <w:color w:val="000000"/>
                <w:sz w:val="28"/>
                <w:szCs w:val="28"/>
              </w:rPr>
            </w:pPr>
            <w:r w:rsidRPr="00583A8C">
              <w:rPr>
                <w:rFonts w:ascii="Calibri" w:hAnsi="Calibri" w:eastAsia="Times New Roman" w:cs="Calibri"/>
                <w:color w:val="000000"/>
                <w:sz w:val="28"/>
                <w:szCs w:val="28"/>
              </w:rPr>
              <w:t>$100/acre</w:t>
            </w:r>
          </w:p>
        </w:tc>
        <w:tc>
          <w:tcPr>
            <w:tcW w:w="960" w:type="dxa"/>
            <w:tcBorders>
              <w:top w:val="nil"/>
              <w:left w:val="nil"/>
              <w:bottom w:val="nil"/>
              <w:right w:val="nil"/>
            </w:tcBorders>
            <w:shd w:val="clear" w:color="auto" w:fill="auto"/>
            <w:noWrap/>
            <w:vAlign w:val="bottom"/>
            <w:hideMark/>
          </w:tcPr>
          <w:p w:rsidRPr="00583A8C" w:rsidR="00013C8B" w:rsidP="00013C8B" w:rsidRDefault="00013C8B" w14:paraId="27DFA4C0" w14:textId="47D508EB">
            <w:pPr>
              <w:spacing w:after="0" w:line="240" w:lineRule="auto"/>
              <w:ind w:firstLine="0"/>
              <w:jc w:val="center"/>
              <w:rPr>
                <w:rFonts w:ascii="Calibri" w:hAnsi="Calibri" w:eastAsia="Times New Roman" w:cs="Calibri"/>
                <w:color w:val="000000"/>
                <w:sz w:val="28"/>
                <w:szCs w:val="28"/>
              </w:rPr>
            </w:pPr>
            <w:r w:rsidRPr="00583A8C">
              <w:rPr>
                <w:rFonts w:ascii="Calibri" w:hAnsi="Calibri" w:eastAsia="Times New Roman" w:cs="Calibri"/>
                <w:color w:val="000000"/>
                <w:sz w:val="28"/>
                <w:szCs w:val="28"/>
              </w:rPr>
              <w:t>$10</w:t>
            </w:r>
          </w:p>
        </w:tc>
        <w:tc>
          <w:tcPr>
            <w:tcW w:w="1147" w:type="dxa"/>
            <w:tcBorders>
              <w:top w:val="nil"/>
              <w:left w:val="nil"/>
              <w:bottom w:val="nil"/>
              <w:right w:val="nil"/>
            </w:tcBorders>
            <w:shd w:val="clear" w:color="auto" w:fill="auto"/>
            <w:noWrap/>
            <w:vAlign w:val="bottom"/>
            <w:hideMark/>
          </w:tcPr>
          <w:p w:rsidRPr="00583A8C" w:rsidR="00013C8B" w:rsidP="00013C8B" w:rsidRDefault="00013C8B" w14:paraId="49C02833" w14:textId="58428DBF">
            <w:pPr>
              <w:spacing w:after="0" w:line="240" w:lineRule="auto"/>
              <w:ind w:firstLine="0"/>
              <w:jc w:val="center"/>
              <w:rPr>
                <w:rFonts w:ascii="Calibri" w:hAnsi="Calibri" w:eastAsia="Times New Roman" w:cs="Calibri"/>
                <w:color w:val="000000"/>
                <w:sz w:val="28"/>
                <w:szCs w:val="28"/>
              </w:rPr>
            </w:pPr>
            <w:r w:rsidRPr="00583A8C">
              <w:rPr>
                <w:rFonts w:ascii="Calibri" w:hAnsi="Calibri" w:eastAsia="Times New Roman" w:cs="Calibri"/>
                <w:color w:val="000000"/>
                <w:sz w:val="28"/>
                <w:szCs w:val="28"/>
              </w:rPr>
              <w:t>$10</w:t>
            </w:r>
          </w:p>
        </w:tc>
        <w:tc>
          <w:tcPr>
            <w:tcW w:w="960" w:type="dxa"/>
            <w:tcBorders>
              <w:top w:val="nil"/>
              <w:left w:val="nil"/>
              <w:bottom w:val="nil"/>
              <w:right w:val="single" w:color="auto" w:sz="4" w:space="0"/>
            </w:tcBorders>
            <w:shd w:val="clear" w:color="auto" w:fill="auto"/>
            <w:noWrap/>
            <w:vAlign w:val="bottom"/>
            <w:hideMark/>
          </w:tcPr>
          <w:p w:rsidRPr="00583A8C" w:rsidR="00013C8B" w:rsidP="00013C8B" w:rsidRDefault="00013C8B" w14:paraId="6BD30D2F" w14:textId="37139ED2">
            <w:pPr>
              <w:spacing w:after="0" w:line="240" w:lineRule="auto"/>
              <w:ind w:firstLine="0"/>
              <w:jc w:val="center"/>
              <w:rPr>
                <w:rFonts w:ascii="Calibri" w:hAnsi="Calibri" w:eastAsia="Times New Roman" w:cs="Calibri"/>
                <w:color w:val="000000"/>
                <w:sz w:val="28"/>
                <w:szCs w:val="28"/>
              </w:rPr>
            </w:pPr>
            <w:r w:rsidRPr="00583A8C">
              <w:rPr>
                <w:rFonts w:ascii="Calibri" w:hAnsi="Calibri" w:eastAsia="Times New Roman" w:cs="Calibri"/>
                <w:color w:val="000000"/>
                <w:sz w:val="28"/>
                <w:szCs w:val="28"/>
              </w:rPr>
              <w:t>$80</w:t>
            </w:r>
          </w:p>
        </w:tc>
      </w:tr>
      <w:tr w:rsidRPr="00583A8C" w:rsidR="00013C8B" w:rsidTr="00013C8B" w14:paraId="052F7008" w14:textId="77777777">
        <w:trPr>
          <w:trHeight w:val="300"/>
        </w:trPr>
        <w:tc>
          <w:tcPr>
            <w:tcW w:w="1382" w:type="dxa"/>
            <w:tcBorders>
              <w:top w:val="nil"/>
              <w:left w:val="nil"/>
              <w:bottom w:val="single" w:color="auto" w:sz="4" w:space="0"/>
              <w:right w:val="nil"/>
            </w:tcBorders>
            <w:shd w:val="clear" w:color="auto" w:fill="auto"/>
            <w:noWrap/>
            <w:vAlign w:val="bottom"/>
            <w:hideMark/>
          </w:tcPr>
          <w:p w:rsidRPr="00583A8C" w:rsidR="00013C8B" w:rsidP="00013C8B" w:rsidRDefault="00013C8B" w14:paraId="136196CF" w14:textId="77777777">
            <w:pPr>
              <w:spacing w:after="0" w:line="240" w:lineRule="auto"/>
              <w:ind w:firstLine="0"/>
              <w:rPr>
                <w:rFonts w:ascii="Calibri" w:hAnsi="Calibri" w:eastAsia="Times New Roman" w:cs="Calibri"/>
                <w:color w:val="000000"/>
                <w:sz w:val="28"/>
                <w:szCs w:val="28"/>
              </w:rPr>
            </w:pPr>
            <w:r w:rsidRPr="00583A8C">
              <w:rPr>
                <w:rFonts w:ascii="Calibri" w:hAnsi="Calibri" w:eastAsia="Times New Roman" w:cs="Calibri"/>
                <w:color w:val="000000"/>
                <w:sz w:val="28"/>
                <w:szCs w:val="28"/>
              </w:rPr>
              <w:t>$150/acre</w:t>
            </w:r>
          </w:p>
        </w:tc>
        <w:tc>
          <w:tcPr>
            <w:tcW w:w="960" w:type="dxa"/>
            <w:tcBorders>
              <w:top w:val="nil"/>
              <w:left w:val="nil"/>
              <w:bottom w:val="single" w:color="auto" w:sz="4" w:space="0"/>
              <w:right w:val="nil"/>
            </w:tcBorders>
            <w:shd w:val="clear" w:color="auto" w:fill="auto"/>
            <w:noWrap/>
            <w:vAlign w:val="bottom"/>
            <w:hideMark/>
          </w:tcPr>
          <w:p w:rsidRPr="00583A8C" w:rsidR="00013C8B" w:rsidP="00013C8B" w:rsidRDefault="00013C8B" w14:paraId="235F4BE9" w14:textId="013D3696">
            <w:pPr>
              <w:spacing w:after="0" w:line="240" w:lineRule="auto"/>
              <w:ind w:firstLine="0"/>
              <w:jc w:val="center"/>
              <w:rPr>
                <w:rFonts w:ascii="Calibri" w:hAnsi="Calibri" w:eastAsia="Times New Roman" w:cs="Calibri"/>
                <w:color w:val="000000"/>
                <w:sz w:val="28"/>
                <w:szCs w:val="28"/>
              </w:rPr>
            </w:pPr>
            <w:r w:rsidRPr="00583A8C">
              <w:rPr>
                <w:rFonts w:ascii="Calibri" w:hAnsi="Calibri" w:eastAsia="Times New Roman" w:cs="Calibri"/>
                <w:color w:val="000000"/>
                <w:sz w:val="28"/>
                <w:szCs w:val="28"/>
              </w:rPr>
              <w:t>$10</w:t>
            </w:r>
          </w:p>
        </w:tc>
        <w:tc>
          <w:tcPr>
            <w:tcW w:w="1147" w:type="dxa"/>
            <w:tcBorders>
              <w:top w:val="nil"/>
              <w:left w:val="nil"/>
              <w:bottom w:val="single" w:color="auto" w:sz="4" w:space="0"/>
              <w:right w:val="nil"/>
            </w:tcBorders>
            <w:shd w:val="clear" w:color="auto" w:fill="auto"/>
            <w:noWrap/>
            <w:vAlign w:val="bottom"/>
            <w:hideMark/>
          </w:tcPr>
          <w:p w:rsidRPr="00583A8C" w:rsidR="00013C8B" w:rsidP="00013C8B" w:rsidRDefault="00013C8B" w14:paraId="19EFFAB8" w14:textId="091ED1FE">
            <w:pPr>
              <w:spacing w:after="0" w:line="240" w:lineRule="auto"/>
              <w:ind w:firstLine="0"/>
              <w:jc w:val="center"/>
              <w:rPr>
                <w:rFonts w:ascii="Calibri" w:hAnsi="Calibri" w:eastAsia="Times New Roman" w:cs="Calibri"/>
                <w:color w:val="000000"/>
                <w:sz w:val="28"/>
                <w:szCs w:val="28"/>
              </w:rPr>
            </w:pPr>
            <w:r w:rsidRPr="00583A8C">
              <w:rPr>
                <w:rFonts w:ascii="Calibri" w:hAnsi="Calibri" w:eastAsia="Times New Roman" w:cs="Calibri"/>
                <w:color w:val="000000"/>
                <w:sz w:val="28"/>
                <w:szCs w:val="28"/>
              </w:rPr>
              <w:t>$10</w:t>
            </w:r>
          </w:p>
        </w:tc>
        <w:tc>
          <w:tcPr>
            <w:tcW w:w="960" w:type="dxa"/>
            <w:tcBorders>
              <w:top w:val="nil"/>
              <w:left w:val="nil"/>
              <w:bottom w:val="single" w:color="auto" w:sz="4" w:space="0"/>
              <w:right w:val="single" w:color="auto" w:sz="4" w:space="0"/>
            </w:tcBorders>
            <w:shd w:val="clear" w:color="auto" w:fill="auto"/>
            <w:noWrap/>
            <w:vAlign w:val="bottom"/>
            <w:hideMark/>
          </w:tcPr>
          <w:p w:rsidRPr="00583A8C" w:rsidR="00013C8B" w:rsidP="00013C8B" w:rsidRDefault="00013C8B" w14:paraId="26722CDA" w14:textId="252A432D">
            <w:pPr>
              <w:spacing w:after="0" w:line="240" w:lineRule="auto"/>
              <w:ind w:firstLine="0"/>
              <w:jc w:val="center"/>
              <w:rPr>
                <w:rFonts w:ascii="Calibri" w:hAnsi="Calibri" w:eastAsia="Times New Roman" w:cs="Calibri"/>
                <w:color w:val="000000"/>
                <w:sz w:val="28"/>
                <w:szCs w:val="28"/>
              </w:rPr>
            </w:pPr>
            <w:r w:rsidRPr="00583A8C">
              <w:rPr>
                <w:rFonts w:ascii="Calibri" w:hAnsi="Calibri" w:eastAsia="Times New Roman" w:cs="Calibri"/>
                <w:color w:val="000000"/>
                <w:sz w:val="28"/>
                <w:szCs w:val="28"/>
              </w:rPr>
              <w:t>$103</w:t>
            </w:r>
          </w:p>
        </w:tc>
      </w:tr>
    </w:tbl>
    <w:tbl>
      <w:tblPr>
        <w:tblW w:w="3840" w:type="dxa"/>
        <w:jc w:val="center"/>
        <w:tblLook w:val="04A0" w:firstRow="1" w:lastRow="0" w:firstColumn="1" w:lastColumn="0" w:noHBand="0" w:noVBand="1"/>
      </w:tblPr>
      <w:tblGrid>
        <w:gridCol w:w="960"/>
        <w:gridCol w:w="960"/>
        <w:gridCol w:w="960"/>
        <w:gridCol w:w="960"/>
      </w:tblGrid>
      <w:tr w:rsidRPr="00583A8C" w:rsidR="00013C8B" w:rsidTr="00D46815" w14:paraId="53154A29" w14:textId="77777777">
        <w:trPr>
          <w:trHeight w:val="300"/>
          <w:jc w:val="center"/>
        </w:trPr>
        <w:tc>
          <w:tcPr>
            <w:tcW w:w="960" w:type="dxa"/>
            <w:tcBorders>
              <w:top w:val="nil"/>
              <w:left w:val="nil"/>
              <w:bottom w:val="nil"/>
              <w:right w:val="nil"/>
            </w:tcBorders>
            <w:shd w:val="clear" w:color="auto" w:fill="auto"/>
            <w:noWrap/>
            <w:vAlign w:val="bottom"/>
          </w:tcPr>
          <w:p w:rsidRPr="00583A8C" w:rsidR="00013C8B" w:rsidP="000537BA" w:rsidRDefault="00013C8B" w14:paraId="21A6FB1D" w14:textId="77777777">
            <w:pPr>
              <w:spacing w:after="0" w:line="240" w:lineRule="auto"/>
              <w:ind w:firstLine="0"/>
              <w:rPr>
                <w:rFonts w:ascii="Calibri" w:hAnsi="Calibri" w:eastAsia="Times New Roman" w:cs="Calibri"/>
                <w:color w:val="000000"/>
                <w:sz w:val="28"/>
                <w:szCs w:val="28"/>
              </w:rPr>
            </w:pPr>
          </w:p>
        </w:tc>
        <w:tc>
          <w:tcPr>
            <w:tcW w:w="960" w:type="dxa"/>
            <w:tcBorders>
              <w:top w:val="nil"/>
              <w:left w:val="nil"/>
              <w:bottom w:val="nil"/>
              <w:right w:val="nil"/>
            </w:tcBorders>
            <w:shd w:val="clear" w:color="auto" w:fill="auto"/>
            <w:noWrap/>
            <w:vAlign w:val="bottom"/>
          </w:tcPr>
          <w:p w:rsidRPr="00583A8C" w:rsidR="00013C8B" w:rsidP="000537BA" w:rsidRDefault="00013C8B" w14:paraId="1DFC5E4E" w14:textId="77777777">
            <w:pPr>
              <w:spacing w:after="0" w:line="240" w:lineRule="auto"/>
              <w:ind w:firstLine="0"/>
              <w:jc w:val="right"/>
              <w:rPr>
                <w:rFonts w:ascii="Calibri" w:hAnsi="Calibri" w:eastAsia="Times New Roman" w:cs="Calibri"/>
                <w:color w:val="000000"/>
                <w:sz w:val="28"/>
                <w:szCs w:val="28"/>
              </w:rPr>
            </w:pPr>
          </w:p>
        </w:tc>
        <w:tc>
          <w:tcPr>
            <w:tcW w:w="960" w:type="dxa"/>
            <w:tcBorders>
              <w:top w:val="nil"/>
              <w:left w:val="nil"/>
              <w:bottom w:val="nil"/>
              <w:right w:val="nil"/>
            </w:tcBorders>
            <w:shd w:val="clear" w:color="auto" w:fill="auto"/>
            <w:noWrap/>
            <w:vAlign w:val="bottom"/>
          </w:tcPr>
          <w:p w:rsidRPr="00583A8C" w:rsidR="00013C8B" w:rsidP="000537BA" w:rsidRDefault="00013C8B" w14:paraId="75BA96D9" w14:textId="77777777">
            <w:pPr>
              <w:spacing w:after="0" w:line="240" w:lineRule="auto"/>
              <w:ind w:firstLine="0"/>
              <w:jc w:val="right"/>
              <w:rPr>
                <w:rFonts w:ascii="Calibri" w:hAnsi="Calibri" w:eastAsia="Times New Roman" w:cs="Calibri"/>
                <w:color w:val="000000"/>
                <w:sz w:val="22"/>
              </w:rPr>
            </w:pPr>
          </w:p>
        </w:tc>
        <w:tc>
          <w:tcPr>
            <w:tcW w:w="960" w:type="dxa"/>
            <w:tcBorders>
              <w:top w:val="nil"/>
              <w:left w:val="nil"/>
              <w:bottom w:val="nil"/>
              <w:right w:val="nil"/>
            </w:tcBorders>
            <w:shd w:val="clear" w:color="auto" w:fill="auto"/>
            <w:noWrap/>
            <w:vAlign w:val="bottom"/>
          </w:tcPr>
          <w:p w:rsidRPr="00583A8C" w:rsidR="00013C8B" w:rsidP="000537BA" w:rsidRDefault="00013C8B" w14:paraId="1239EBBC" w14:textId="77777777">
            <w:pPr>
              <w:spacing w:after="0" w:line="240" w:lineRule="auto"/>
              <w:ind w:firstLine="0"/>
              <w:rPr>
                <w:rFonts w:eastAsia="Times New Roman" w:cs="Times New Roman"/>
                <w:sz w:val="20"/>
                <w:szCs w:val="20"/>
              </w:rPr>
            </w:pPr>
          </w:p>
        </w:tc>
      </w:tr>
    </w:tbl>
    <w:p w:rsidRPr="00583A8C" w:rsidR="000537BA" w:rsidP="006E13D4" w:rsidRDefault="000537BA" w14:paraId="2B395171" w14:textId="77777777">
      <w:pPr>
        <w:ind w:firstLine="0"/>
        <w:rPr>
          <w:rFonts w:cs="Times New Roman"/>
          <w:szCs w:val="24"/>
        </w:rPr>
      </w:pPr>
    </w:p>
    <w:p w:rsidRPr="00583A8C" w:rsidR="00D1781D" w:rsidP="00D1781D" w:rsidRDefault="009D3CE0" w14:paraId="39330AE1" w14:textId="338D6286">
      <w:pPr>
        <w:rPr>
          <w:rFonts w:cs="Times New Roman"/>
          <w:szCs w:val="24"/>
        </w:rPr>
      </w:pPr>
      <w:r w:rsidRPr="00583A8C">
        <w:rPr>
          <w:rFonts w:cs="Times New Roman"/>
          <w:szCs w:val="24"/>
        </w:rPr>
        <w:t>W</w:t>
      </w:r>
      <w:r w:rsidRPr="00583A8C" w:rsidR="00D1781D">
        <w:rPr>
          <w:rFonts w:cs="Times New Roman"/>
          <w:szCs w:val="24"/>
        </w:rPr>
        <w:t xml:space="preserve">e </w:t>
      </w:r>
      <w:r w:rsidRPr="00583A8C" w:rsidR="00872C9A">
        <w:rPr>
          <w:rFonts w:cs="Times New Roman"/>
          <w:szCs w:val="24"/>
        </w:rPr>
        <w:t xml:space="preserve">will </w:t>
      </w:r>
      <w:r w:rsidRPr="00583A8C" w:rsidR="00D1781D">
        <w:rPr>
          <w:rFonts w:cs="Times New Roman"/>
          <w:szCs w:val="24"/>
        </w:rPr>
        <w:t>use the range of cutoffs in prior auctions to convey information about expected EBI cutoffs</w:t>
      </w:r>
      <w:r w:rsidRPr="00583A8C" w:rsidR="00872C9A">
        <w:rPr>
          <w:rFonts w:cs="Times New Roman"/>
          <w:szCs w:val="24"/>
        </w:rPr>
        <w:t xml:space="preserve"> in the artefactual experiment</w:t>
      </w:r>
      <w:r w:rsidRPr="00583A8C" w:rsidR="00D1781D">
        <w:rPr>
          <w:rFonts w:cs="Times New Roman"/>
          <w:szCs w:val="24"/>
        </w:rPr>
        <w:t xml:space="preserve">.  </w:t>
      </w:r>
      <w:r w:rsidRPr="00583A8C" w:rsidR="00872C9A">
        <w:rPr>
          <w:rFonts w:cs="Times New Roman"/>
          <w:szCs w:val="24"/>
        </w:rPr>
        <w:t>A</w:t>
      </w:r>
      <w:r w:rsidRPr="00583A8C" w:rsidR="00D1781D">
        <w:rPr>
          <w:rFonts w:cs="Times New Roman"/>
          <w:szCs w:val="24"/>
        </w:rPr>
        <w:t xml:space="preserve">ll participants will be given the same information </w:t>
      </w:r>
      <w:r w:rsidRPr="00583A8C" w:rsidR="00872C9A">
        <w:rPr>
          <w:rFonts w:cs="Times New Roman"/>
          <w:szCs w:val="24"/>
        </w:rPr>
        <w:t xml:space="preserve">about expected cutoffs. Due to the experimental design, the expected cutoffs are fixed </w:t>
      </w:r>
      <w:r w:rsidRPr="00583A8C" w:rsidR="00D1781D">
        <w:rPr>
          <w:rFonts w:cs="Times New Roman"/>
          <w:szCs w:val="24"/>
        </w:rPr>
        <w:t>across rounds</w:t>
      </w:r>
      <w:r w:rsidRPr="00583A8C" w:rsidR="00872C9A">
        <w:rPr>
          <w:rFonts w:cs="Times New Roman"/>
          <w:szCs w:val="24"/>
        </w:rPr>
        <w:t xml:space="preserve"> and auctions</w:t>
      </w:r>
      <w:r w:rsidRPr="00583A8C" w:rsidR="00D1781D">
        <w:rPr>
          <w:rFonts w:cs="Times New Roman"/>
          <w:szCs w:val="24"/>
        </w:rPr>
        <w:t xml:space="preserve">. </w:t>
      </w:r>
    </w:p>
    <w:p w:rsidRPr="00583A8C" w:rsidR="008B77EC" w:rsidP="006E13D4" w:rsidRDefault="008B77EC" w14:paraId="52D573BC" w14:textId="53C621DD">
      <w:pPr>
        <w:pStyle w:val="Heading2"/>
      </w:pPr>
      <w:r w:rsidRPr="00583A8C">
        <w:t>Assignment of treatment and field parameters</w:t>
      </w:r>
    </w:p>
    <w:p w:rsidRPr="00583A8C" w:rsidR="008B77EC" w:rsidP="008B77EC" w:rsidRDefault="008B77EC" w14:paraId="7F83D1E3" w14:textId="779845ED">
      <w:pPr>
        <w:ind w:firstLine="0"/>
      </w:pPr>
      <w:r w:rsidRPr="00583A8C">
        <w:tab/>
        <w:t>The four possible treatments are assigned at the participant level, and the assignment remains constant across all four rounds (including the practice round).</w:t>
      </w:r>
    </w:p>
    <w:p w:rsidRPr="00583A8C" w:rsidR="000E1301" w:rsidP="000E1301" w:rsidRDefault="008B77EC" w14:paraId="6D95BB0E" w14:textId="38D2B2A8">
      <w:r w:rsidRPr="00583A8C">
        <w:tab/>
        <w:t>There are nine possible fields.  Field characteristics vary across rounds for each participant.  There are 729 possible sequences of the nine fields across the three experimental rounds (9^3).  However,</w:t>
      </w:r>
      <w:r w:rsidRPr="00583A8C" w:rsidR="000E1301">
        <w:t xml:space="preserve"> to ensure that each round is balanced across field types and that each participant has a low, medium, and high endowment round, we assign field parameters in two stages.  </w:t>
      </w:r>
      <w:proofErr w:type="gramStart"/>
      <w:r w:rsidRPr="00583A8C" w:rsidR="000E1301">
        <w:t>First</w:t>
      </w:r>
      <w:proofErr w:type="gramEnd"/>
      <w:r w:rsidRPr="00583A8C" w:rsidR="000E1301">
        <w:t xml:space="preserve"> we</w:t>
      </w:r>
      <w:r w:rsidRPr="00583A8C">
        <w:t xml:space="preserve"> assign </w:t>
      </w:r>
      <w:r w:rsidRPr="00583A8C" w:rsidR="000E1301">
        <w:t>one of six possible sequences of broad starting EBI categories (low medium and high):</w:t>
      </w:r>
    </w:p>
    <w:p w:rsidRPr="00583A8C" w:rsidR="000E1301" w:rsidP="000E1301" w:rsidRDefault="000E1301" w14:paraId="2435E91F" w14:textId="77777777">
      <w:pPr>
        <w:numPr>
          <w:ilvl w:val="0"/>
          <w:numId w:val="11"/>
        </w:numPr>
      </w:pPr>
      <w:r w:rsidRPr="00583A8C">
        <w:t>L – M – H</w:t>
      </w:r>
    </w:p>
    <w:p w:rsidRPr="00583A8C" w:rsidR="000E1301" w:rsidP="000E1301" w:rsidRDefault="000E1301" w14:paraId="433D066E" w14:textId="77777777">
      <w:pPr>
        <w:numPr>
          <w:ilvl w:val="0"/>
          <w:numId w:val="11"/>
        </w:numPr>
      </w:pPr>
      <w:r w:rsidRPr="00583A8C">
        <w:t>L – H – M</w:t>
      </w:r>
    </w:p>
    <w:p w:rsidRPr="00583A8C" w:rsidR="000E1301" w:rsidP="000E1301" w:rsidRDefault="000E1301" w14:paraId="172C7E55" w14:textId="77777777">
      <w:pPr>
        <w:numPr>
          <w:ilvl w:val="0"/>
          <w:numId w:val="11"/>
        </w:numPr>
      </w:pPr>
      <w:r w:rsidRPr="00583A8C">
        <w:lastRenderedPageBreak/>
        <w:t xml:space="preserve">M – L – H </w:t>
      </w:r>
    </w:p>
    <w:p w:rsidRPr="00583A8C" w:rsidR="000E1301" w:rsidP="000E1301" w:rsidRDefault="000E1301" w14:paraId="20F74A96" w14:textId="77777777">
      <w:pPr>
        <w:numPr>
          <w:ilvl w:val="0"/>
          <w:numId w:val="11"/>
        </w:numPr>
      </w:pPr>
      <w:r w:rsidRPr="00583A8C">
        <w:t xml:space="preserve">M – H – L </w:t>
      </w:r>
    </w:p>
    <w:p w:rsidRPr="00583A8C" w:rsidR="000E1301" w:rsidP="000E1301" w:rsidRDefault="000E1301" w14:paraId="49F52FD0" w14:textId="77777777">
      <w:pPr>
        <w:numPr>
          <w:ilvl w:val="0"/>
          <w:numId w:val="11"/>
        </w:numPr>
      </w:pPr>
      <w:r w:rsidRPr="00583A8C">
        <w:t>H – L – M</w:t>
      </w:r>
    </w:p>
    <w:p w:rsidRPr="00583A8C" w:rsidR="000E1301" w:rsidP="000E1301" w:rsidRDefault="000E1301" w14:paraId="5E3817CD" w14:textId="77777777">
      <w:pPr>
        <w:numPr>
          <w:ilvl w:val="0"/>
          <w:numId w:val="11"/>
        </w:numPr>
      </w:pPr>
      <w:r w:rsidRPr="00583A8C">
        <w:t xml:space="preserve">H – M – L </w:t>
      </w:r>
    </w:p>
    <w:p w:rsidRPr="00583A8C" w:rsidR="008B77EC" w:rsidP="000E1301" w:rsidRDefault="000E1301" w14:paraId="53460E63" w14:textId="79AD0743">
      <w:pPr>
        <w:ind w:firstLine="0"/>
      </w:pPr>
      <w:r w:rsidRPr="00583A8C">
        <w:t xml:space="preserve">Then, within rounds, we randomly select one of the </w:t>
      </w:r>
      <w:r w:rsidRPr="00583A8C" w:rsidR="008B77EC">
        <w:t xml:space="preserve">three </w:t>
      </w:r>
      <w:r w:rsidRPr="00583A8C">
        <w:t>EBI scores an</w:t>
      </w:r>
      <w:r w:rsidRPr="00583A8C" w:rsidR="00CC7F14">
        <w:t>d associated bid cap</w:t>
      </w:r>
      <w:r w:rsidRPr="00583A8C" w:rsidR="008B77EC">
        <w:t xml:space="preserve"> within each category</w:t>
      </w:r>
      <w:r w:rsidRPr="00583A8C" w:rsidR="00CC7F14">
        <w:t xml:space="preserve"> (table 4)</w:t>
      </w:r>
      <w:r w:rsidRPr="00583A8C" w:rsidR="008B77EC">
        <w:t xml:space="preserve">.  </w:t>
      </w:r>
    </w:p>
    <w:p w:rsidRPr="00583A8C" w:rsidR="008B77EC" w:rsidP="008B77EC" w:rsidRDefault="008B77EC" w14:paraId="41A2C834" w14:textId="5DF56AEE">
      <w:pPr>
        <w:ind w:firstLine="0"/>
        <w:rPr>
          <w:b/>
          <w:bCs/>
        </w:rPr>
      </w:pPr>
      <w:r w:rsidRPr="00583A8C">
        <w:rPr>
          <w:b/>
          <w:bCs/>
        </w:rPr>
        <w:t>Table 4: Low, Medium and High Grouping of EBI Endowments</w:t>
      </w:r>
    </w:p>
    <w:tbl>
      <w:tblPr>
        <w:tblW w:w="4972" w:type="dxa"/>
        <w:jc w:val="center"/>
        <w:tblLook w:val="04A0" w:firstRow="1" w:lastRow="0" w:firstColumn="1" w:lastColumn="0" w:noHBand="0" w:noVBand="1"/>
      </w:tblPr>
      <w:tblGrid>
        <w:gridCol w:w="1163"/>
        <w:gridCol w:w="960"/>
        <w:gridCol w:w="960"/>
        <w:gridCol w:w="1029"/>
        <w:gridCol w:w="960"/>
      </w:tblGrid>
      <w:tr w:rsidRPr="00583A8C" w:rsidR="008B77EC" w:rsidTr="006E13D4" w14:paraId="78A899AF" w14:textId="77777777">
        <w:trPr>
          <w:trHeight w:val="300"/>
          <w:jc w:val="center"/>
        </w:trPr>
        <w:tc>
          <w:tcPr>
            <w:tcW w:w="1132" w:type="dxa"/>
            <w:tcBorders>
              <w:top w:val="nil"/>
              <w:left w:val="nil"/>
              <w:bottom w:val="nil"/>
              <w:right w:val="nil"/>
            </w:tcBorders>
            <w:shd w:val="clear" w:color="auto" w:fill="auto"/>
            <w:noWrap/>
            <w:vAlign w:val="bottom"/>
            <w:hideMark/>
          </w:tcPr>
          <w:p w:rsidRPr="00583A8C" w:rsidR="008B77EC" w:rsidP="000A2B10" w:rsidRDefault="008B77EC" w14:paraId="1CE73D5F" w14:textId="77777777">
            <w:pPr>
              <w:ind w:firstLine="0"/>
            </w:pPr>
          </w:p>
        </w:tc>
        <w:tc>
          <w:tcPr>
            <w:tcW w:w="960" w:type="dxa"/>
            <w:tcBorders>
              <w:top w:val="nil"/>
              <w:left w:val="nil"/>
              <w:bottom w:val="nil"/>
              <w:right w:val="nil"/>
            </w:tcBorders>
            <w:shd w:val="clear" w:color="auto" w:fill="auto"/>
            <w:noWrap/>
            <w:vAlign w:val="bottom"/>
            <w:hideMark/>
          </w:tcPr>
          <w:p w:rsidRPr="00583A8C" w:rsidR="008B77EC" w:rsidP="000A2B10" w:rsidRDefault="008B77EC" w14:paraId="6E2A2E1D" w14:textId="77777777">
            <w:pPr>
              <w:ind w:firstLine="0"/>
            </w:pPr>
          </w:p>
        </w:tc>
        <w:tc>
          <w:tcPr>
            <w:tcW w:w="2880" w:type="dxa"/>
            <w:gridSpan w:val="3"/>
            <w:tcBorders>
              <w:top w:val="nil"/>
              <w:left w:val="nil"/>
              <w:bottom w:val="nil"/>
              <w:right w:val="nil"/>
            </w:tcBorders>
            <w:shd w:val="clear" w:color="auto" w:fill="auto"/>
            <w:noWrap/>
            <w:vAlign w:val="bottom"/>
            <w:hideMark/>
          </w:tcPr>
          <w:p w:rsidRPr="00583A8C" w:rsidR="008B77EC" w:rsidP="000A2B10" w:rsidRDefault="008B77EC" w14:paraId="63380F1C" w14:textId="77777777">
            <w:pPr>
              <w:ind w:firstLine="0"/>
            </w:pPr>
            <w:r w:rsidRPr="00583A8C">
              <w:t>Land EBI</w:t>
            </w:r>
          </w:p>
        </w:tc>
      </w:tr>
      <w:tr w:rsidRPr="00583A8C" w:rsidR="008B77EC" w:rsidTr="006E13D4" w14:paraId="75721577" w14:textId="77777777">
        <w:trPr>
          <w:trHeight w:val="300"/>
          <w:jc w:val="center"/>
        </w:trPr>
        <w:tc>
          <w:tcPr>
            <w:tcW w:w="1132" w:type="dxa"/>
            <w:tcBorders>
              <w:top w:val="nil"/>
              <w:left w:val="nil"/>
              <w:bottom w:val="nil"/>
              <w:right w:val="nil"/>
            </w:tcBorders>
            <w:shd w:val="clear" w:color="auto" w:fill="auto"/>
            <w:noWrap/>
            <w:vAlign w:val="bottom"/>
            <w:hideMark/>
          </w:tcPr>
          <w:p w:rsidRPr="00583A8C" w:rsidR="008B77EC" w:rsidP="000A2B10" w:rsidRDefault="008B77EC" w14:paraId="771CB9B8" w14:textId="77777777">
            <w:pPr>
              <w:ind w:firstLine="0"/>
            </w:pPr>
          </w:p>
        </w:tc>
        <w:tc>
          <w:tcPr>
            <w:tcW w:w="960" w:type="dxa"/>
            <w:tcBorders>
              <w:top w:val="nil"/>
              <w:left w:val="nil"/>
              <w:bottom w:val="nil"/>
              <w:right w:val="nil"/>
            </w:tcBorders>
            <w:shd w:val="clear" w:color="auto" w:fill="auto"/>
            <w:noWrap/>
            <w:vAlign w:val="bottom"/>
            <w:hideMark/>
          </w:tcPr>
          <w:p w:rsidRPr="00583A8C" w:rsidR="008B77EC" w:rsidP="000A2B10" w:rsidRDefault="008B77EC" w14:paraId="240DBE75" w14:textId="77777777">
            <w:pPr>
              <w:ind w:firstLine="0"/>
            </w:pPr>
          </w:p>
        </w:tc>
        <w:tc>
          <w:tcPr>
            <w:tcW w:w="960" w:type="dxa"/>
            <w:tcBorders>
              <w:top w:val="nil"/>
              <w:left w:val="nil"/>
              <w:bottom w:val="nil"/>
              <w:right w:val="nil"/>
            </w:tcBorders>
            <w:shd w:val="clear" w:color="auto" w:fill="auto"/>
            <w:noWrap/>
            <w:vAlign w:val="bottom"/>
            <w:hideMark/>
          </w:tcPr>
          <w:p w:rsidRPr="00583A8C" w:rsidR="008B77EC" w:rsidP="000A2B10" w:rsidRDefault="008B77EC" w14:paraId="3E5056A9" w14:textId="77777777">
            <w:pPr>
              <w:ind w:firstLine="0"/>
            </w:pPr>
            <w:r w:rsidRPr="00583A8C">
              <w:t>Low</w:t>
            </w:r>
          </w:p>
        </w:tc>
        <w:tc>
          <w:tcPr>
            <w:tcW w:w="960" w:type="dxa"/>
            <w:tcBorders>
              <w:top w:val="nil"/>
              <w:left w:val="nil"/>
              <w:bottom w:val="nil"/>
              <w:right w:val="nil"/>
            </w:tcBorders>
            <w:shd w:val="clear" w:color="auto" w:fill="auto"/>
            <w:noWrap/>
            <w:vAlign w:val="bottom"/>
            <w:hideMark/>
          </w:tcPr>
          <w:p w:rsidRPr="00583A8C" w:rsidR="008B77EC" w:rsidP="000A2B10" w:rsidRDefault="008B77EC" w14:paraId="2B19682A" w14:textId="77777777">
            <w:pPr>
              <w:ind w:firstLine="0"/>
            </w:pPr>
            <w:r w:rsidRPr="00583A8C">
              <w:t>Average</w:t>
            </w:r>
          </w:p>
        </w:tc>
        <w:tc>
          <w:tcPr>
            <w:tcW w:w="960" w:type="dxa"/>
            <w:tcBorders>
              <w:top w:val="nil"/>
              <w:left w:val="nil"/>
              <w:bottom w:val="nil"/>
              <w:right w:val="nil"/>
            </w:tcBorders>
            <w:shd w:val="clear" w:color="auto" w:fill="auto"/>
            <w:noWrap/>
            <w:vAlign w:val="bottom"/>
            <w:hideMark/>
          </w:tcPr>
          <w:p w:rsidRPr="00583A8C" w:rsidR="008B77EC" w:rsidP="000A2B10" w:rsidRDefault="008B77EC" w14:paraId="08BDD3C6" w14:textId="77777777">
            <w:pPr>
              <w:ind w:firstLine="0"/>
            </w:pPr>
            <w:r w:rsidRPr="00583A8C">
              <w:t>High</w:t>
            </w:r>
          </w:p>
        </w:tc>
      </w:tr>
      <w:tr w:rsidRPr="00583A8C" w:rsidR="008B77EC" w:rsidTr="006E13D4" w14:paraId="2720BEB0" w14:textId="77777777">
        <w:trPr>
          <w:trHeight w:val="300"/>
          <w:jc w:val="center"/>
        </w:trPr>
        <w:tc>
          <w:tcPr>
            <w:tcW w:w="1132" w:type="dxa"/>
            <w:tcBorders>
              <w:top w:val="nil"/>
              <w:left w:val="nil"/>
              <w:bottom w:val="single" w:color="auto" w:sz="4" w:space="0"/>
              <w:right w:val="nil"/>
            </w:tcBorders>
            <w:shd w:val="clear" w:color="auto" w:fill="auto"/>
            <w:noWrap/>
            <w:vAlign w:val="bottom"/>
            <w:hideMark/>
          </w:tcPr>
          <w:p w:rsidRPr="00583A8C" w:rsidR="008B77EC" w:rsidP="000A2B10" w:rsidRDefault="008B77EC" w14:paraId="34AE5B76" w14:textId="77777777">
            <w:pPr>
              <w:ind w:firstLine="0"/>
            </w:pPr>
            <w:r w:rsidRPr="00583A8C">
              <w:t>Bid cap</w:t>
            </w:r>
          </w:p>
        </w:tc>
        <w:tc>
          <w:tcPr>
            <w:tcW w:w="960" w:type="dxa"/>
            <w:tcBorders>
              <w:top w:val="nil"/>
              <w:left w:val="nil"/>
              <w:bottom w:val="single" w:color="auto" w:sz="4" w:space="0"/>
              <w:right w:val="single" w:color="auto" w:sz="4" w:space="0"/>
            </w:tcBorders>
            <w:shd w:val="clear" w:color="auto" w:fill="auto"/>
            <w:noWrap/>
            <w:vAlign w:val="bottom"/>
            <w:hideMark/>
          </w:tcPr>
          <w:p w:rsidRPr="00583A8C" w:rsidR="008B77EC" w:rsidP="000A2B10" w:rsidRDefault="008B77EC" w14:paraId="1FF780A1" w14:textId="77777777">
            <w:pPr>
              <w:ind w:firstLine="0"/>
            </w:pPr>
            <w:r w:rsidRPr="00583A8C">
              <w:t>Bid Cap EBI</w:t>
            </w:r>
          </w:p>
        </w:tc>
        <w:tc>
          <w:tcPr>
            <w:tcW w:w="960" w:type="dxa"/>
            <w:tcBorders>
              <w:top w:val="nil"/>
              <w:left w:val="nil"/>
              <w:bottom w:val="single" w:color="auto" w:sz="4" w:space="0"/>
              <w:right w:val="nil"/>
            </w:tcBorders>
            <w:shd w:val="clear" w:color="auto" w:fill="auto"/>
            <w:noWrap/>
            <w:vAlign w:val="center"/>
            <w:hideMark/>
          </w:tcPr>
          <w:p w:rsidRPr="00583A8C" w:rsidR="008B77EC" w:rsidP="000A2B10" w:rsidRDefault="008B77EC" w14:paraId="750E7441" w14:textId="77777777">
            <w:pPr>
              <w:ind w:firstLine="0"/>
            </w:pPr>
            <w:r w:rsidRPr="00583A8C">
              <w:t>88</w:t>
            </w:r>
          </w:p>
        </w:tc>
        <w:tc>
          <w:tcPr>
            <w:tcW w:w="960" w:type="dxa"/>
            <w:tcBorders>
              <w:top w:val="nil"/>
              <w:left w:val="nil"/>
              <w:bottom w:val="single" w:color="auto" w:sz="4" w:space="0"/>
              <w:right w:val="nil"/>
            </w:tcBorders>
            <w:shd w:val="clear" w:color="auto" w:fill="auto"/>
            <w:noWrap/>
            <w:vAlign w:val="center"/>
            <w:hideMark/>
          </w:tcPr>
          <w:p w:rsidRPr="00583A8C" w:rsidR="008B77EC" w:rsidP="000A2B10" w:rsidRDefault="008B77EC" w14:paraId="468EE4AA" w14:textId="77777777">
            <w:pPr>
              <w:ind w:firstLine="0"/>
            </w:pPr>
            <w:r w:rsidRPr="00583A8C">
              <w:t>120</w:t>
            </w:r>
          </w:p>
        </w:tc>
        <w:tc>
          <w:tcPr>
            <w:tcW w:w="960" w:type="dxa"/>
            <w:tcBorders>
              <w:top w:val="nil"/>
              <w:left w:val="nil"/>
              <w:bottom w:val="single" w:color="auto" w:sz="4" w:space="0"/>
              <w:right w:val="single" w:color="auto" w:sz="4" w:space="0"/>
            </w:tcBorders>
            <w:shd w:val="clear" w:color="auto" w:fill="auto"/>
            <w:noWrap/>
            <w:vAlign w:val="center"/>
            <w:hideMark/>
          </w:tcPr>
          <w:p w:rsidRPr="00583A8C" w:rsidR="008B77EC" w:rsidP="000A2B10" w:rsidRDefault="008B77EC" w14:paraId="72E71BC1" w14:textId="77777777">
            <w:pPr>
              <w:ind w:firstLine="0"/>
            </w:pPr>
            <w:r w:rsidRPr="00583A8C">
              <w:t>171</w:t>
            </w:r>
          </w:p>
        </w:tc>
      </w:tr>
      <w:tr w:rsidRPr="00583A8C" w:rsidR="008B77EC" w:rsidTr="006E13D4" w14:paraId="043B33DF" w14:textId="77777777">
        <w:trPr>
          <w:trHeight w:val="300"/>
          <w:jc w:val="center"/>
        </w:trPr>
        <w:tc>
          <w:tcPr>
            <w:tcW w:w="1132" w:type="dxa"/>
            <w:tcBorders>
              <w:top w:val="nil"/>
              <w:left w:val="nil"/>
              <w:bottom w:val="nil"/>
              <w:right w:val="nil"/>
            </w:tcBorders>
            <w:shd w:val="clear" w:color="auto" w:fill="auto"/>
            <w:noWrap/>
            <w:vAlign w:val="bottom"/>
            <w:hideMark/>
          </w:tcPr>
          <w:p w:rsidRPr="00583A8C" w:rsidR="008B77EC" w:rsidP="000A2B10" w:rsidRDefault="008B77EC" w14:paraId="2E403E48" w14:textId="77777777">
            <w:pPr>
              <w:ind w:firstLine="0"/>
            </w:pPr>
            <w:r w:rsidRPr="00583A8C">
              <w:t>$50/acre</w:t>
            </w:r>
          </w:p>
        </w:tc>
        <w:tc>
          <w:tcPr>
            <w:tcW w:w="960" w:type="dxa"/>
            <w:tcBorders>
              <w:top w:val="nil"/>
              <w:left w:val="nil"/>
              <w:bottom w:val="nil"/>
              <w:right w:val="single" w:color="auto" w:sz="4" w:space="0"/>
            </w:tcBorders>
            <w:shd w:val="clear" w:color="auto" w:fill="auto"/>
            <w:noWrap/>
            <w:vAlign w:val="bottom"/>
            <w:hideMark/>
          </w:tcPr>
          <w:p w:rsidRPr="00583A8C" w:rsidR="008B77EC" w:rsidP="000A2B10" w:rsidRDefault="008B77EC" w14:paraId="71A2098C" w14:textId="77777777">
            <w:pPr>
              <w:ind w:firstLine="0"/>
            </w:pPr>
            <w:r w:rsidRPr="00583A8C">
              <w:t>97</w:t>
            </w:r>
          </w:p>
        </w:tc>
        <w:tc>
          <w:tcPr>
            <w:tcW w:w="960" w:type="dxa"/>
            <w:tcBorders>
              <w:top w:val="nil"/>
              <w:left w:val="nil"/>
              <w:bottom w:val="nil"/>
              <w:right w:val="nil"/>
            </w:tcBorders>
            <w:shd w:val="clear" w:color="auto" w:fill="F7CAAC" w:themeFill="accent2" w:themeFillTint="66"/>
            <w:noWrap/>
            <w:vAlign w:val="bottom"/>
            <w:hideMark/>
          </w:tcPr>
          <w:p w:rsidRPr="00583A8C" w:rsidR="008B77EC" w:rsidP="000A2B10" w:rsidRDefault="008B77EC" w14:paraId="7055454E" w14:textId="77777777">
            <w:pPr>
              <w:ind w:firstLine="0"/>
            </w:pPr>
            <w:r w:rsidRPr="00583A8C">
              <w:t>185</w:t>
            </w:r>
          </w:p>
        </w:tc>
        <w:tc>
          <w:tcPr>
            <w:tcW w:w="960" w:type="dxa"/>
            <w:tcBorders>
              <w:top w:val="nil"/>
              <w:left w:val="nil"/>
              <w:bottom w:val="nil"/>
              <w:right w:val="nil"/>
            </w:tcBorders>
            <w:shd w:val="clear" w:color="auto" w:fill="B4C6E7" w:themeFill="accent5" w:themeFillTint="66"/>
            <w:noWrap/>
            <w:vAlign w:val="bottom"/>
            <w:hideMark/>
          </w:tcPr>
          <w:p w:rsidRPr="00583A8C" w:rsidR="008B77EC" w:rsidP="000A2B10" w:rsidRDefault="008B77EC" w14:paraId="1250AE82" w14:textId="77777777">
            <w:pPr>
              <w:ind w:firstLine="0"/>
            </w:pPr>
            <w:r w:rsidRPr="00583A8C">
              <w:t>217</w:t>
            </w:r>
          </w:p>
        </w:tc>
        <w:tc>
          <w:tcPr>
            <w:tcW w:w="960" w:type="dxa"/>
            <w:tcBorders>
              <w:top w:val="nil"/>
              <w:left w:val="nil"/>
              <w:bottom w:val="nil"/>
              <w:right w:val="single" w:color="auto" w:sz="4" w:space="0"/>
            </w:tcBorders>
            <w:shd w:val="clear" w:color="auto" w:fill="B4C6E7" w:themeFill="accent5" w:themeFillTint="66"/>
            <w:noWrap/>
            <w:vAlign w:val="bottom"/>
            <w:hideMark/>
          </w:tcPr>
          <w:p w:rsidRPr="00583A8C" w:rsidR="008B77EC" w:rsidP="000A2B10" w:rsidRDefault="008B77EC" w14:paraId="3C437DBB" w14:textId="77777777">
            <w:pPr>
              <w:ind w:firstLine="0"/>
            </w:pPr>
            <w:r w:rsidRPr="00583A8C">
              <w:t>268</w:t>
            </w:r>
          </w:p>
        </w:tc>
      </w:tr>
      <w:tr w:rsidRPr="00583A8C" w:rsidR="008B77EC" w:rsidTr="006E13D4" w14:paraId="3A9738E5" w14:textId="77777777">
        <w:trPr>
          <w:trHeight w:val="300"/>
          <w:jc w:val="center"/>
        </w:trPr>
        <w:tc>
          <w:tcPr>
            <w:tcW w:w="1132" w:type="dxa"/>
            <w:tcBorders>
              <w:top w:val="nil"/>
              <w:left w:val="nil"/>
              <w:bottom w:val="nil"/>
              <w:right w:val="nil"/>
            </w:tcBorders>
            <w:shd w:val="clear" w:color="auto" w:fill="auto"/>
            <w:noWrap/>
            <w:vAlign w:val="bottom"/>
            <w:hideMark/>
          </w:tcPr>
          <w:p w:rsidRPr="00583A8C" w:rsidR="008B77EC" w:rsidP="000A2B10" w:rsidRDefault="008B77EC" w14:paraId="6E41A9AE" w14:textId="77777777">
            <w:pPr>
              <w:ind w:firstLine="0"/>
            </w:pPr>
            <w:r w:rsidRPr="00583A8C">
              <w:t>$100/acre</w:t>
            </w:r>
          </w:p>
        </w:tc>
        <w:tc>
          <w:tcPr>
            <w:tcW w:w="960" w:type="dxa"/>
            <w:tcBorders>
              <w:top w:val="nil"/>
              <w:left w:val="nil"/>
              <w:bottom w:val="nil"/>
              <w:right w:val="single" w:color="auto" w:sz="4" w:space="0"/>
            </w:tcBorders>
            <w:shd w:val="clear" w:color="auto" w:fill="auto"/>
            <w:noWrap/>
            <w:vAlign w:val="bottom"/>
            <w:hideMark/>
          </w:tcPr>
          <w:p w:rsidRPr="00583A8C" w:rsidR="008B77EC" w:rsidP="000A2B10" w:rsidRDefault="008B77EC" w14:paraId="681776D6" w14:textId="77777777">
            <w:pPr>
              <w:ind w:firstLine="0"/>
            </w:pPr>
            <w:r w:rsidRPr="00583A8C">
              <w:t>68</w:t>
            </w:r>
          </w:p>
        </w:tc>
        <w:tc>
          <w:tcPr>
            <w:tcW w:w="960" w:type="dxa"/>
            <w:tcBorders>
              <w:top w:val="nil"/>
              <w:left w:val="nil"/>
              <w:bottom w:val="nil"/>
              <w:right w:val="nil"/>
            </w:tcBorders>
            <w:shd w:val="clear" w:color="auto" w:fill="C5E0B3" w:themeFill="accent6" w:themeFillTint="66"/>
            <w:noWrap/>
            <w:vAlign w:val="bottom"/>
            <w:hideMark/>
          </w:tcPr>
          <w:p w:rsidRPr="00583A8C" w:rsidR="008B77EC" w:rsidP="000A2B10" w:rsidRDefault="008B77EC" w14:paraId="6736EF0B" w14:textId="77777777">
            <w:pPr>
              <w:ind w:firstLine="0"/>
            </w:pPr>
            <w:r w:rsidRPr="00583A8C">
              <w:t>156</w:t>
            </w:r>
          </w:p>
        </w:tc>
        <w:tc>
          <w:tcPr>
            <w:tcW w:w="960" w:type="dxa"/>
            <w:tcBorders>
              <w:top w:val="nil"/>
              <w:left w:val="nil"/>
              <w:bottom w:val="nil"/>
              <w:right w:val="nil"/>
            </w:tcBorders>
            <w:shd w:val="clear" w:color="auto" w:fill="F7CAAC" w:themeFill="accent2" w:themeFillTint="66"/>
            <w:noWrap/>
            <w:vAlign w:val="bottom"/>
            <w:hideMark/>
          </w:tcPr>
          <w:p w:rsidRPr="00583A8C" w:rsidR="008B77EC" w:rsidP="000A2B10" w:rsidRDefault="008B77EC" w14:paraId="417D6A23" w14:textId="77777777">
            <w:pPr>
              <w:ind w:firstLine="0"/>
            </w:pPr>
            <w:r w:rsidRPr="00583A8C">
              <w:t>188</w:t>
            </w:r>
          </w:p>
        </w:tc>
        <w:tc>
          <w:tcPr>
            <w:tcW w:w="960" w:type="dxa"/>
            <w:tcBorders>
              <w:top w:val="nil"/>
              <w:left w:val="nil"/>
              <w:bottom w:val="nil"/>
              <w:right w:val="single" w:color="auto" w:sz="4" w:space="0"/>
            </w:tcBorders>
            <w:shd w:val="clear" w:color="auto" w:fill="B4C6E7" w:themeFill="accent5" w:themeFillTint="66"/>
            <w:noWrap/>
            <w:vAlign w:val="bottom"/>
            <w:hideMark/>
          </w:tcPr>
          <w:p w:rsidRPr="00583A8C" w:rsidR="008B77EC" w:rsidP="000A2B10" w:rsidRDefault="008B77EC" w14:paraId="035DA533" w14:textId="77777777">
            <w:pPr>
              <w:ind w:firstLine="0"/>
            </w:pPr>
            <w:r w:rsidRPr="00583A8C">
              <w:t>239</w:t>
            </w:r>
          </w:p>
        </w:tc>
      </w:tr>
      <w:tr w:rsidRPr="00583A8C" w:rsidR="008B77EC" w:rsidTr="006E13D4" w14:paraId="2B019836" w14:textId="77777777">
        <w:trPr>
          <w:trHeight w:val="300"/>
          <w:jc w:val="center"/>
        </w:trPr>
        <w:tc>
          <w:tcPr>
            <w:tcW w:w="1132" w:type="dxa"/>
            <w:tcBorders>
              <w:top w:val="nil"/>
              <w:left w:val="nil"/>
              <w:bottom w:val="single" w:color="auto" w:sz="4" w:space="0"/>
              <w:right w:val="nil"/>
            </w:tcBorders>
            <w:shd w:val="clear" w:color="auto" w:fill="auto"/>
            <w:noWrap/>
            <w:vAlign w:val="bottom"/>
            <w:hideMark/>
          </w:tcPr>
          <w:p w:rsidRPr="00583A8C" w:rsidR="008B77EC" w:rsidP="000A2B10" w:rsidRDefault="008B77EC" w14:paraId="566E78D7" w14:textId="77777777">
            <w:pPr>
              <w:ind w:firstLine="0"/>
            </w:pPr>
            <w:r w:rsidRPr="00583A8C">
              <w:t>$150/acre</w:t>
            </w:r>
          </w:p>
        </w:tc>
        <w:tc>
          <w:tcPr>
            <w:tcW w:w="960" w:type="dxa"/>
            <w:tcBorders>
              <w:top w:val="nil"/>
              <w:left w:val="nil"/>
              <w:bottom w:val="single" w:color="auto" w:sz="4" w:space="0"/>
              <w:right w:val="single" w:color="auto" w:sz="4" w:space="0"/>
            </w:tcBorders>
            <w:shd w:val="clear" w:color="auto" w:fill="auto"/>
            <w:noWrap/>
            <w:vAlign w:val="bottom"/>
            <w:hideMark/>
          </w:tcPr>
          <w:p w:rsidRPr="00583A8C" w:rsidR="008B77EC" w:rsidP="000A2B10" w:rsidRDefault="008B77EC" w14:paraId="671EAD2A" w14:textId="77777777">
            <w:pPr>
              <w:ind w:firstLine="0"/>
            </w:pPr>
            <w:r w:rsidRPr="00583A8C">
              <w:t>40</w:t>
            </w:r>
          </w:p>
        </w:tc>
        <w:tc>
          <w:tcPr>
            <w:tcW w:w="960" w:type="dxa"/>
            <w:tcBorders>
              <w:top w:val="nil"/>
              <w:left w:val="nil"/>
              <w:bottom w:val="single" w:color="auto" w:sz="4" w:space="0"/>
              <w:right w:val="nil"/>
            </w:tcBorders>
            <w:shd w:val="clear" w:color="auto" w:fill="C5E0B3" w:themeFill="accent6" w:themeFillTint="66"/>
            <w:noWrap/>
            <w:vAlign w:val="bottom"/>
            <w:hideMark/>
          </w:tcPr>
          <w:p w:rsidRPr="00583A8C" w:rsidR="008B77EC" w:rsidP="000A2B10" w:rsidRDefault="008B77EC" w14:paraId="1EE61507" w14:textId="77777777">
            <w:pPr>
              <w:ind w:firstLine="0"/>
            </w:pPr>
            <w:r w:rsidRPr="00583A8C">
              <w:t>128</w:t>
            </w:r>
          </w:p>
        </w:tc>
        <w:tc>
          <w:tcPr>
            <w:tcW w:w="960" w:type="dxa"/>
            <w:tcBorders>
              <w:top w:val="nil"/>
              <w:left w:val="nil"/>
              <w:bottom w:val="single" w:color="auto" w:sz="4" w:space="0"/>
              <w:right w:val="nil"/>
            </w:tcBorders>
            <w:shd w:val="clear" w:color="auto" w:fill="C5E0B3" w:themeFill="accent6" w:themeFillTint="66"/>
            <w:noWrap/>
            <w:vAlign w:val="bottom"/>
            <w:hideMark/>
          </w:tcPr>
          <w:p w:rsidRPr="00583A8C" w:rsidR="008B77EC" w:rsidP="000A2B10" w:rsidRDefault="008B77EC" w14:paraId="7BC16F2D" w14:textId="77777777">
            <w:pPr>
              <w:ind w:firstLine="0"/>
            </w:pPr>
            <w:r w:rsidRPr="00583A8C">
              <w:t>160</w:t>
            </w:r>
          </w:p>
        </w:tc>
        <w:tc>
          <w:tcPr>
            <w:tcW w:w="960" w:type="dxa"/>
            <w:tcBorders>
              <w:top w:val="nil"/>
              <w:left w:val="nil"/>
              <w:bottom w:val="single" w:color="auto" w:sz="4" w:space="0"/>
              <w:right w:val="single" w:color="auto" w:sz="4" w:space="0"/>
            </w:tcBorders>
            <w:shd w:val="clear" w:color="auto" w:fill="F7CAAC" w:themeFill="accent2" w:themeFillTint="66"/>
            <w:noWrap/>
            <w:vAlign w:val="bottom"/>
            <w:hideMark/>
          </w:tcPr>
          <w:p w:rsidRPr="00583A8C" w:rsidR="008B77EC" w:rsidP="000A2B10" w:rsidRDefault="008B77EC" w14:paraId="46D3160C" w14:textId="77777777">
            <w:pPr>
              <w:ind w:firstLine="0"/>
            </w:pPr>
            <w:r w:rsidRPr="00583A8C">
              <w:t>211</w:t>
            </w:r>
          </w:p>
        </w:tc>
      </w:tr>
    </w:tbl>
    <w:p w:rsidRPr="00583A8C" w:rsidR="008B77EC" w:rsidP="00CC7F14" w:rsidRDefault="00CC7F14" w14:paraId="2DAFB3C1" w14:textId="54660446">
      <w:pPr>
        <w:ind w:firstLine="0"/>
      </w:pPr>
      <w:r w:rsidRPr="00583A8C">
        <w:t>Note: Low (green), Medium (red), High (blue)</w:t>
      </w:r>
    </w:p>
    <w:p w:rsidRPr="00583A8C" w:rsidR="008B77EC" w:rsidP="00CC7F14" w:rsidRDefault="00CC7F14" w14:paraId="6B7D7D1B" w14:textId="1A01E3C1">
      <w:r w:rsidRPr="00583A8C">
        <w:t>For assignment of treatment, we</w:t>
      </w:r>
      <w:r w:rsidRPr="00583A8C" w:rsidR="008B77EC">
        <w:t xml:space="preserve"> want the four treatments equally balanced within each of the six sequences</w:t>
      </w:r>
      <w:r w:rsidRPr="00583A8C">
        <w:t xml:space="preserve">.  We accomplish this by assigning treatment and sequence jointly at the beginning of the experiment, which </w:t>
      </w:r>
      <w:r w:rsidRPr="00583A8C" w:rsidR="008B77EC">
        <w:t>means that there are 24 possible assignments.</w:t>
      </w:r>
    </w:p>
    <w:p w:rsidRPr="00583A8C" w:rsidR="00A56D2D" w:rsidRDefault="00A56D2D" w14:paraId="0924F9EE" w14:textId="53BABA43">
      <w:pPr>
        <w:spacing w:line="259" w:lineRule="auto"/>
        <w:ind w:firstLine="0"/>
        <w:rPr>
          <w:rFonts w:eastAsiaTheme="majorEastAsia" w:cstheme="majorBidi"/>
          <w:color w:val="2E74B5" w:themeColor="accent1" w:themeShade="BF"/>
          <w:sz w:val="26"/>
          <w:szCs w:val="26"/>
        </w:rPr>
      </w:pPr>
    </w:p>
    <w:p w:rsidRPr="00583A8C" w:rsidR="00B45231" w:rsidP="001D628D" w:rsidRDefault="00B45231" w14:paraId="5FBE97E1" w14:textId="32DDFC4E">
      <w:pPr>
        <w:pStyle w:val="Heading2"/>
      </w:pPr>
      <w:r w:rsidRPr="00583A8C">
        <w:t>Analysis Plan: Modeling/hypothesis Testing Strategy</w:t>
      </w:r>
    </w:p>
    <w:p w:rsidRPr="00583A8C" w:rsidR="00C86787" w:rsidP="0004646E" w:rsidRDefault="009009DD" w14:paraId="01CC968F" w14:textId="5515B943">
      <w:r w:rsidRPr="00583A8C">
        <w:t xml:space="preserve">For the analysis of this experiment, there are ten different measures of average treatment effect of the treated (table </w:t>
      </w:r>
      <w:r w:rsidRPr="00583A8C" w:rsidR="000A2B10">
        <w:t>5</w:t>
      </w:r>
      <w:r w:rsidRPr="00583A8C">
        <w:t xml:space="preserve">). These are estimated separately for the farmer and student populations.  There are also ten tests of the differences in the treatment effects between the populations. Nine of the estimates arise from the interaction of three outcomes (total exogenous </w:t>
      </w:r>
      <w:r w:rsidRPr="00583A8C">
        <w:lastRenderedPageBreak/>
        <w:t xml:space="preserve">EBI points, the bid down decision, and the cover practice choice) and the treatment effects.  The default treatment has a single estimate for each outcome because it is expected to shift the average decisions.  The </w:t>
      </w:r>
      <w:r w:rsidRPr="00583A8C" w:rsidR="002B7DBB">
        <w:t>score updating</w:t>
      </w:r>
      <w:r w:rsidRPr="00583A8C">
        <w:t xml:space="preserve"> treatment has two estimates for each outcome</w:t>
      </w:r>
      <w:r w:rsidRPr="00583A8C" w:rsidR="0029752C">
        <w:t>, which we refer to as the primary and the secondary treatment effects.  The primary treatment effect is estimated from the interaction of the starting EBI score and the treatment dummy variable, because the theoretical prediction is that the reduced uncertainty with the treatment will rotate (steepen) the response to the starting EBI for both practice choice and bid down.</w:t>
      </w:r>
      <w:r w:rsidRPr="00583A8C">
        <w:t xml:space="preserve"> </w:t>
      </w:r>
      <w:r w:rsidRPr="00583A8C" w:rsidR="0029752C">
        <w:t>The secondary treatment effect is estimated with a simple treatment dummy to allow for a shift in addition to a rotation in the offer responses.</w:t>
      </w:r>
      <w:r w:rsidRPr="00583A8C">
        <w:t xml:space="preserve"> The tenth </w:t>
      </w:r>
      <w:r w:rsidRPr="00583A8C" w:rsidR="0004646E">
        <w:t xml:space="preserve">test is a simple effect of the </w:t>
      </w:r>
      <w:r w:rsidRPr="00583A8C" w:rsidR="002B7DBB">
        <w:t>score updating</w:t>
      </w:r>
      <w:r w:rsidRPr="00583A8C" w:rsidR="0004646E">
        <w:t xml:space="preserve"> treatment on the average propensity to navigate backwards from the final offer screen </w:t>
      </w:r>
      <w:proofErr w:type="gramStart"/>
      <w:r w:rsidRPr="00583A8C" w:rsidR="0004646E">
        <w:t>in order to</w:t>
      </w:r>
      <w:proofErr w:type="gramEnd"/>
      <w:r w:rsidRPr="00583A8C" w:rsidR="0004646E">
        <w:t xml:space="preserve"> revise the offer.</w:t>
      </w:r>
    </w:p>
    <w:p w:rsidRPr="00583A8C" w:rsidR="0004646E" w:rsidP="00273A96" w:rsidRDefault="002C7B68" w14:paraId="648512B1" w14:textId="6CBD28EF">
      <w:r w:rsidRPr="00583A8C">
        <w:t xml:space="preserve">Even though there are ten treatment effect estimates, adjustments for multiple hypothesis testing </w:t>
      </w:r>
      <w:proofErr w:type="gramStart"/>
      <w:r w:rsidRPr="00583A8C">
        <w:t>is</w:t>
      </w:r>
      <w:proofErr w:type="gramEnd"/>
      <w:r w:rsidRPr="00583A8C">
        <w:t xml:space="preserve"> more limited for two reasons.  First, the primary treatment effect for the </w:t>
      </w:r>
      <w:r w:rsidRPr="00583A8C" w:rsidR="002B7DBB">
        <w:t>score updating</w:t>
      </w:r>
      <w:r w:rsidRPr="00583A8C">
        <w:t xml:space="preserve"> timing treatment is the true test of the research hypothesis</w:t>
      </w:r>
      <w:r w:rsidRPr="00583A8C" w:rsidR="00273A96">
        <w:t>, and so we do not adjust for the secondary treatment effects.  Second, the bid down and cover choice outcomes are nested within the exogenous EBI test, meaning that the testing findings are likely to be highly correlated.  Given those considerations, we do not plan to adjust for multiple hypothesis testing.</w:t>
      </w:r>
    </w:p>
    <w:p w:rsidRPr="00583A8C" w:rsidR="00D46815" w:rsidRDefault="00D46815" w14:paraId="1912D6D6" w14:textId="558B2BF1">
      <w:pPr>
        <w:spacing w:line="259" w:lineRule="auto"/>
        <w:ind w:firstLine="0"/>
        <w:rPr>
          <w:b/>
          <w:bCs/>
        </w:rPr>
      </w:pPr>
    </w:p>
    <w:p w:rsidRPr="00583A8C" w:rsidR="0004646E" w:rsidP="0004646E" w:rsidRDefault="0004646E" w14:paraId="756AA0BE" w14:textId="26515411">
      <w:pPr>
        <w:ind w:firstLine="0"/>
        <w:rPr>
          <w:b/>
          <w:bCs/>
        </w:rPr>
      </w:pPr>
      <w:r w:rsidRPr="00583A8C">
        <w:rPr>
          <w:b/>
          <w:bCs/>
        </w:rPr>
        <w:t xml:space="preserve">Table </w:t>
      </w:r>
      <w:r w:rsidRPr="00583A8C" w:rsidR="000A2B10">
        <w:rPr>
          <w:b/>
          <w:bCs/>
        </w:rPr>
        <w:t>5</w:t>
      </w:r>
      <w:r w:rsidRPr="00583A8C">
        <w:rPr>
          <w:b/>
          <w:bCs/>
        </w:rPr>
        <w:t>: Treatment effect estimates</w:t>
      </w:r>
    </w:p>
    <w:tbl>
      <w:tblPr>
        <w:tblStyle w:val="TableGrid"/>
        <w:tblW w:w="0" w:type="auto"/>
        <w:tblLook w:val="04A0" w:firstRow="1" w:lastRow="0" w:firstColumn="1" w:lastColumn="0" w:noHBand="0" w:noVBand="1"/>
      </w:tblPr>
      <w:tblGrid>
        <w:gridCol w:w="1870"/>
        <w:gridCol w:w="1365"/>
        <w:gridCol w:w="1530"/>
        <w:gridCol w:w="1530"/>
        <w:gridCol w:w="3055"/>
      </w:tblGrid>
      <w:tr w:rsidRPr="00583A8C" w:rsidR="00BE7248" w:rsidTr="0004646E" w14:paraId="22B64136" w14:textId="77777777">
        <w:tc>
          <w:tcPr>
            <w:tcW w:w="1870" w:type="dxa"/>
          </w:tcPr>
          <w:p w:rsidRPr="00583A8C" w:rsidR="00BE7248" w:rsidP="00BE7248" w:rsidRDefault="00BE7248" w14:paraId="5B5640F2" w14:textId="34BBF878">
            <w:pPr>
              <w:ind w:firstLine="0"/>
            </w:pPr>
            <w:r w:rsidRPr="00583A8C">
              <w:t>Dependent Variable</w:t>
            </w:r>
          </w:p>
        </w:tc>
        <w:tc>
          <w:tcPr>
            <w:tcW w:w="1365" w:type="dxa"/>
          </w:tcPr>
          <w:p w:rsidRPr="00583A8C" w:rsidR="00BE7248" w:rsidP="00BE7248" w:rsidRDefault="00BE7248" w14:paraId="17067C07" w14:textId="1769D58D">
            <w:pPr>
              <w:ind w:firstLine="0"/>
            </w:pPr>
            <w:r w:rsidRPr="00583A8C">
              <w:t xml:space="preserve">Default </w:t>
            </w:r>
            <w:r w:rsidRPr="00583A8C" w:rsidR="002B7DBB">
              <w:t xml:space="preserve">offer </w:t>
            </w:r>
            <w:r w:rsidRPr="00583A8C">
              <w:t>effect</w:t>
            </w:r>
          </w:p>
        </w:tc>
        <w:tc>
          <w:tcPr>
            <w:tcW w:w="1530" w:type="dxa"/>
          </w:tcPr>
          <w:p w:rsidRPr="00583A8C" w:rsidR="00BE7248" w:rsidP="00BE7248" w:rsidRDefault="002B7DBB" w14:paraId="6ED0D289" w14:textId="745230C6">
            <w:pPr>
              <w:ind w:firstLine="0"/>
            </w:pPr>
            <w:r w:rsidRPr="00583A8C">
              <w:t>Score updating</w:t>
            </w:r>
            <w:r w:rsidRPr="00583A8C" w:rsidR="00BE7248">
              <w:t xml:space="preserve"> primary effect</w:t>
            </w:r>
          </w:p>
        </w:tc>
        <w:tc>
          <w:tcPr>
            <w:tcW w:w="1530" w:type="dxa"/>
          </w:tcPr>
          <w:p w:rsidRPr="00583A8C" w:rsidR="00BE7248" w:rsidP="00BE7248" w:rsidRDefault="002B7DBB" w14:paraId="5C29C23C" w14:textId="2BD4F9FF">
            <w:pPr>
              <w:ind w:firstLine="0"/>
            </w:pPr>
            <w:r w:rsidRPr="00583A8C">
              <w:t>Score updating</w:t>
            </w:r>
            <w:r w:rsidRPr="00583A8C" w:rsidR="00BE7248">
              <w:t xml:space="preserve"> secondary effect</w:t>
            </w:r>
          </w:p>
        </w:tc>
        <w:tc>
          <w:tcPr>
            <w:tcW w:w="3055" w:type="dxa"/>
          </w:tcPr>
          <w:p w:rsidRPr="00583A8C" w:rsidR="00BE7248" w:rsidP="00BE7248" w:rsidRDefault="00BE7248" w14:paraId="490D6A5D" w14:textId="79AB1071">
            <w:pPr>
              <w:ind w:firstLine="0"/>
            </w:pPr>
            <w:r w:rsidRPr="00583A8C">
              <w:t>Population Difference</w:t>
            </w:r>
          </w:p>
        </w:tc>
      </w:tr>
      <w:tr w:rsidRPr="00583A8C" w:rsidR="00BE7248" w:rsidTr="0004646E" w14:paraId="22EE157A" w14:textId="77777777">
        <w:tc>
          <w:tcPr>
            <w:tcW w:w="1870" w:type="dxa"/>
          </w:tcPr>
          <w:p w:rsidRPr="00583A8C" w:rsidR="00BE7248" w:rsidP="00BE7248" w:rsidRDefault="008968A6" w14:paraId="44F07CC6" w14:textId="5D9CD8E1">
            <w:pPr>
              <w:ind w:firstLine="0"/>
            </w:pPr>
            <w:r w:rsidRPr="00583A8C">
              <w:t xml:space="preserve">Starting </w:t>
            </w:r>
            <w:r w:rsidRPr="00583A8C" w:rsidR="00BE7248">
              <w:t>EBI</w:t>
            </w:r>
          </w:p>
        </w:tc>
        <w:tc>
          <w:tcPr>
            <w:tcW w:w="1365" w:type="dxa"/>
          </w:tcPr>
          <w:p w:rsidRPr="00583A8C" w:rsidR="00BE7248" w:rsidP="00BE7248" w:rsidRDefault="00583A8C" w14:paraId="58EF8EB2" w14:textId="4A600129">
            <w:pPr>
              <w:ind w:firstLine="0"/>
            </w:pPr>
            <m:oMathPara>
              <m:oMath>
                <m:sSub>
                  <m:sSubPr>
                    <m:ctrlPr>
                      <w:rPr>
                        <w:rFonts w:ascii="Cambria Math" w:hAnsi="Cambria Math"/>
                        <w:i/>
                      </w:rPr>
                    </m:ctrlPr>
                  </m:sSubPr>
                  <m:e>
                    <m:r>
                      <w:rPr>
                        <w:rFonts w:ascii="Cambria Math" w:hAnsi="Cambria Math"/>
                      </w:rPr>
                      <m:t>τ</m:t>
                    </m:r>
                  </m:e>
                  <m:sub>
                    <m:r>
                      <w:rPr>
                        <w:rFonts w:ascii="Cambria Math" w:hAnsi="Cambria Math"/>
                      </w:rPr>
                      <m:t>11</m:t>
                    </m:r>
                  </m:sub>
                </m:sSub>
              </m:oMath>
            </m:oMathPara>
          </w:p>
        </w:tc>
        <w:tc>
          <w:tcPr>
            <w:tcW w:w="1530" w:type="dxa"/>
          </w:tcPr>
          <w:p w:rsidRPr="00583A8C" w:rsidR="00BE7248" w:rsidP="00BE7248" w:rsidRDefault="00583A8C" w14:paraId="7942298A" w14:textId="7F6F594B">
            <w:pPr>
              <w:ind w:firstLine="0"/>
            </w:pPr>
            <m:oMathPara>
              <m:oMath>
                <m:sSub>
                  <m:sSubPr>
                    <m:ctrlPr>
                      <w:rPr>
                        <w:rFonts w:ascii="Cambria Math" w:hAnsi="Cambria Math"/>
                        <w:i/>
                      </w:rPr>
                    </m:ctrlPr>
                  </m:sSubPr>
                  <m:e>
                    <m:r>
                      <w:rPr>
                        <w:rFonts w:ascii="Cambria Math" w:hAnsi="Cambria Math"/>
                      </w:rPr>
                      <m:t>τ</m:t>
                    </m:r>
                  </m:e>
                  <m:sub>
                    <m:r>
                      <w:rPr>
                        <w:rFonts w:ascii="Cambria Math" w:hAnsi="Cambria Math"/>
                      </w:rPr>
                      <m:t>12</m:t>
                    </m:r>
                  </m:sub>
                </m:sSub>
              </m:oMath>
            </m:oMathPara>
          </w:p>
        </w:tc>
        <w:tc>
          <w:tcPr>
            <w:tcW w:w="1530" w:type="dxa"/>
          </w:tcPr>
          <w:p w:rsidRPr="00583A8C" w:rsidR="00BE7248" w:rsidP="00BE7248" w:rsidRDefault="00583A8C" w14:paraId="7A407C07" w14:textId="5EB40E41">
            <w:pPr>
              <w:ind w:firstLine="0"/>
            </w:pPr>
            <m:oMathPara>
              <m:oMath>
                <m:sSub>
                  <m:sSubPr>
                    <m:ctrlPr>
                      <w:rPr>
                        <w:rFonts w:ascii="Cambria Math" w:hAnsi="Cambria Math"/>
                        <w:i/>
                      </w:rPr>
                    </m:ctrlPr>
                  </m:sSubPr>
                  <m:e>
                    <m:r>
                      <w:rPr>
                        <w:rFonts w:ascii="Cambria Math" w:hAnsi="Cambria Math"/>
                      </w:rPr>
                      <m:t>τ</m:t>
                    </m:r>
                  </m:e>
                  <m:sub>
                    <m:r>
                      <w:rPr>
                        <w:rFonts w:ascii="Cambria Math" w:hAnsi="Cambria Math"/>
                      </w:rPr>
                      <m:t>13</m:t>
                    </m:r>
                  </m:sub>
                </m:sSub>
              </m:oMath>
            </m:oMathPara>
          </w:p>
        </w:tc>
        <w:tc>
          <w:tcPr>
            <w:tcW w:w="3055" w:type="dxa"/>
          </w:tcPr>
          <w:p w:rsidRPr="00583A8C" w:rsidR="00BE7248" w:rsidP="00BE7248" w:rsidRDefault="0004646E" w14:paraId="16E32423" w14:textId="6E406573">
            <w:pPr>
              <w:ind w:firstLine="0"/>
            </w:pPr>
            <w:r w:rsidRPr="00583A8C">
              <w:rPr>
                <w:rFonts w:eastAsiaTheme="minorEastAsia"/>
              </w:rPr>
              <w:t xml:space="preserve">e.g.: </w:t>
            </w:r>
            <m:oMath>
              <m:sSub>
                <m:sSubPr>
                  <m:ctrlPr>
                    <w:rPr>
                      <w:rFonts w:ascii="Cambria Math" w:hAnsi="Cambria Math"/>
                      <w:i/>
                    </w:rPr>
                  </m:ctrlPr>
                </m:sSubPr>
                <m:e>
                  <m:r>
                    <w:rPr>
                      <w:rFonts w:ascii="Cambria Math" w:hAnsi="Cambria Math"/>
                    </w:rPr>
                    <m:t>τ</m:t>
                  </m:r>
                </m:e>
                <m:sub>
                  <m:r>
                    <w:rPr>
                      <w:rFonts w:ascii="Cambria Math" w:hAnsi="Cambria Math"/>
                    </w:rPr>
                    <m:t>11m</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11n</m:t>
                  </m:r>
                </m:sub>
              </m:sSub>
            </m:oMath>
          </w:p>
        </w:tc>
      </w:tr>
      <w:tr w:rsidRPr="00583A8C" w:rsidR="00BE7248" w:rsidTr="0004646E" w14:paraId="52179E0A" w14:textId="77777777">
        <w:tc>
          <w:tcPr>
            <w:tcW w:w="1870" w:type="dxa"/>
          </w:tcPr>
          <w:p w:rsidRPr="00583A8C" w:rsidR="00BE7248" w:rsidP="00BE7248" w:rsidRDefault="00BE7248" w14:paraId="22BABD18" w14:textId="16CF3D61">
            <w:pPr>
              <w:ind w:firstLine="0"/>
            </w:pPr>
            <w:r w:rsidRPr="00583A8C">
              <w:t>Bid down (%)</w:t>
            </w:r>
          </w:p>
        </w:tc>
        <w:tc>
          <w:tcPr>
            <w:tcW w:w="1365" w:type="dxa"/>
          </w:tcPr>
          <w:p w:rsidRPr="00583A8C" w:rsidR="00BE7248" w:rsidP="00BE7248" w:rsidRDefault="00583A8C" w14:paraId="70F4F80A" w14:textId="696A0553">
            <w:pPr>
              <w:ind w:firstLine="0"/>
            </w:pPr>
            <m:oMathPara>
              <m:oMath>
                <m:sSub>
                  <m:sSubPr>
                    <m:ctrlPr>
                      <w:rPr>
                        <w:rFonts w:ascii="Cambria Math" w:hAnsi="Cambria Math"/>
                        <w:i/>
                      </w:rPr>
                    </m:ctrlPr>
                  </m:sSubPr>
                  <m:e>
                    <m:r>
                      <w:rPr>
                        <w:rFonts w:ascii="Cambria Math" w:hAnsi="Cambria Math"/>
                      </w:rPr>
                      <m:t>τ</m:t>
                    </m:r>
                  </m:e>
                  <m:sub>
                    <m:r>
                      <w:rPr>
                        <w:rFonts w:ascii="Cambria Math" w:hAnsi="Cambria Math"/>
                      </w:rPr>
                      <m:t>21</m:t>
                    </m:r>
                  </m:sub>
                </m:sSub>
              </m:oMath>
            </m:oMathPara>
          </w:p>
        </w:tc>
        <w:tc>
          <w:tcPr>
            <w:tcW w:w="1530" w:type="dxa"/>
          </w:tcPr>
          <w:p w:rsidRPr="00583A8C" w:rsidR="00BE7248" w:rsidP="00BE7248" w:rsidRDefault="00583A8C" w14:paraId="00DC8BED" w14:textId="40A3FA3C">
            <w:pPr>
              <w:ind w:firstLine="0"/>
            </w:pPr>
            <m:oMathPara>
              <m:oMath>
                <m:sSub>
                  <m:sSubPr>
                    <m:ctrlPr>
                      <w:rPr>
                        <w:rFonts w:ascii="Cambria Math" w:hAnsi="Cambria Math"/>
                        <w:i/>
                      </w:rPr>
                    </m:ctrlPr>
                  </m:sSubPr>
                  <m:e>
                    <m:r>
                      <w:rPr>
                        <w:rFonts w:ascii="Cambria Math" w:hAnsi="Cambria Math"/>
                      </w:rPr>
                      <m:t>τ</m:t>
                    </m:r>
                  </m:e>
                  <m:sub>
                    <m:r>
                      <w:rPr>
                        <w:rFonts w:ascii="Cambria Math" w:hAnsi="Cambria Math"/>
                      </w:rPr>
                      <m:t>22</m:t>
                    </m:r>
                  </m:sub>
                </m:sSub>
              </m:oMath>
            </m:oMathPara>
          </w:p>
        </w:tc>
        <w:tc>
          <w:tcPr>
            <w:tcW w:w="1530" w:type="dxa"/>
          </w:tcPr>
          <w:p w:rsidRPr="00583A8C" w:rsidR="00BE7248" w:rsidP="00BE7248" w:rsidRDefault="00583A8C" w14:paraId="27F0B2FB" w14:textId="0E39BA14">
            <w:pPr>
              <w:ind w:firstLine="0"/>
            </w:pPr>
            <m:oMathPara>
              <m:oMath>
                <m:sSub>
                  <m:sSubPr>
                    <m:ctrlPr>
                      <w:rPr>
                        <w:rFonts w:ascii="Cambria Math" w:hAnsi="Cambria Math"/>
                        <w:i/>
                      </w:rPr>
                    </m:ctrlPr>
                  </m:sSubPr>
                  <m:e>
                    <m:r>
                      <w:rPr>
                        <w:rFonts w:ascii="Cambria Math" w:hAnsi="Cambria Math"/>
                      </w:rPr>
                      <m:t>τ</m:t>
                    </m:r>
                  </m:e>
                  <m:sub>
                    <m:r>
                      <w:rPr>
                        <w:rFonts w:ascii="Cambria Math" w:hAnsi="Cambria Math"/>
                      </w:rPr>
                      <m:t>23</m:t>
                    </m:r>
                  </m:sub>
                </m:sSub>
              </m:oMath>
            </m:oMathPara>
          </w:p>
        </w:tc>
        <w:tc>
          <w:tcPr>
            <w:tcW w:w="3055" w:type="dxa"/>
          </w:tcPr>
          <w:p w:rsidRPr="00583A8C" w:rsidR="00BE7248" w:rsidP="00BE7248" w:rsidRDefault="0004646E" w14:paraId="580EFD48" w14:textId="7056C47B">
            <w:pPr>
              <w:ind w:firstLine="0"/>
            </w:pPr>
            <w:r w:rsidRPr="00583A8C">
              <w:rPr>
                <w:rFonts w:eastAsiaTheme="minorEastAsia"/>
              </w:rPr>
              <w:t xml:space="preserve">e.g.: </w:t>
            </w:r>
            <m:oMath>
              <m:sSub>
                <m:sSubPr>
                  <m:ctrlPr>
                    <w:rPr>
                      <w:rFonts w:ascii="Cambria Math" w:hAnsi="Cambria Math"/>
                      <w:i/>
                    </w:rPr>
                  </m:ctrlPr>
                </m:sSubPr>
                <m:e>
                  <m:r>
                    <w:rPr>
                      <w:rFonts w:ascii="Cambria Math" w:hAnsi="Cambria Math"/>
                    </w:rPr>
                    <m:t>τ</m:t>
                  </m:r>
                </m:e>
                <m:sub>
                  <m:r>
                    <w:rPr>
                      <w:rFonts w:ascii="Cambria Math" w:hAnsi="Cambria Math"/>
                    </w:rPr>
                    <m:t>21m</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21n</m:t>
                  </m:r>
                </m:sub>
              </m:sSub>
            </m:oMath>
          </w:p>
        </w:tc>
      </w:tr>
      <w:tr w:rsidRPr="00583A8C" w:rsidR="00BE7248" w:rsidTr="0004646E" w14:paraId="4F9A31F1" w14:textId="77777777">
        <w:tc>
          <w:tcPr>
            <w:tcW w:w="1870" w:type="dxa"/>
          </w:tcPr>
          <w:p w:rsidRPr="00583A8C" w:rsidR="00BE7248" w:rsidP="00BE7248" w:rsidRDefault="00BE7248" w14:paraId="6F16D6EC" w14:textId="41F8417E">
            <w:pPr>
              <w:ind w:firstLine="0"/>
            </w:pPr>
            <w:r w:rsidRPr="00583A8C">
              <w:t>Cover (1/2/3/4)</w:t>
            </w:r>
          </w:p>
        </w:tc>
        <w:tc>
          <w:tcPr>
            <w:tcW w:w="1365" w:type="dxa"/>
          </w:tcPr>
          <w:p w:rsidRPr="00583A8C" w:rsidR="00BE7248" w:rsidP="00BE7248" w:rsidRDefault="00583A8C" w14:paraId="5A400E26" w14:textId="56805685">
            <w:pPr>
              <w:ind w:firstLine="0"/>
            </w:pPr>
            <m:oMathPara>
              <m:oMath>
                <m:sSub>
                  <m:sSubPr>
                    <m:ctrlPr>
                      <w:rPr>
                        <w:rFonts w:ascii="Cambria Math" w:hAnsi="Cambria Math"/>
                        <w:i/>
                      </w:rPr>
                    </m:ctrlPr>
                  </m:sSubPr>
                  <m:e>
                    <m:r>
                      <w:rPr>
                        <w:rFonts w:ascii="Cambria Math" w:hAnsi="Cambria Math"/>
                      </w:rPr>
                      <m:t>τ</m:t>
                    </m:r>
                  </m:e>
                  <m:sub>
                    <m:r>
                      <w:rPr>
                        <w:rFonts w:ascii="Cambria Math" w:hAnsi="Cambria Math"/>
                      </w:rPr>
                      <m:t>31</m:t>
                    </m:r>
                  </m:sub>
                </m:sSub>
              </m:oMath>
            </m:oMathPara>
          </w:p>
        </w:tc>
        <w:tc>
          <w:tcPr>
            <w:tcW w:w="1530" w:type="dxa"/>
          </w:tcPr>
          <w:p w:rsidRPr="00583A8C" w:rsidR="00BE7248" w:rsidP="00BE7248" w:rsidRDefault="00583A8C" w14:paraId="666BAFBA" w14:textId="3B3D01C2">
            <w:pPr>
              <w:ind w:firstLine="0"/>
            </w:pPr>
            <m:oMathPara>
              <m:oMath>
                <m:sSub>
                  <m:sSubPr>
                    <m:ctrlPr>
                      <w:rPr>
                        <w:rFonts w:ascii="Cambria Math" w:hAnsi="Cambria Math"/>
                        <w:i/>
                      </w:rPr>
                    </m:ctrlPr>
                  </m:sSubPr>
                  <m:e>
                    <m:r>
                      <w:rPr>
                        <w:rFonts w:ascii="Cambria Math" w:hAnsi="Cambria Math"/>
                      </w:rPr>
                      <m:t>τ</m:t>
                    </m:r>
                  </m:e>
                  <m:sub>
                    <m:r>
                      <w:rPr>
                        <w:rFonts w:ascii="Cambria Math" w:hAnsi="Cambria Math"/>
                      </w:rPr>
                      <m:t>32</m:t>
                    </m:r>
                  </m:sub>
                </m:sSub>
              </m:oMath>
            </m:oMathPara>
          </w:p>
        </w:tc>
        <w:tc>
          <w:tcPr>
            <w:tcW w:w="1530" w:type="dxa"/>
          </w:tcPr>
          <w:p w:rsidRPr="00583A8C" w:rsidR="00BE7248" w:rsidP="00BE7248" w:rsidRDefault="00583A8C" w14:paraId="4C41704D" w14:textId="50757178">
            <w:pPr>
              <w:ind w:firstLine="0"/>
            </w:pPr>
            <m:oMathPara>
              <m:oMath>
                <m:sSub>
                  <m:sSubPr>
                    <m:ctrlPr>
                      <w:rPr>
                        <w:rFonts w:ascii="Cambria Math" w:hAnsi="Cambria Math"/>
                        <w:i/>
                      </w:rPr>
                    </m:ctrlPr>
                  </m:sSubPr>
                  <m:e>
                    <m:r>
                      <w:rPr>
                        <w:rFonts w:ascii="Cambria Math" w:hAnsi="Cambria Math"/>
                      </w:rPr>
                      <m:t>τ</m:t>
                    </m:r>
                  </m:e>
                  <m:sub>
                    <m:r>
                      <w:rPr>
                        <w:rFonts w:ascii="Cambria Math" w:hAnsi="Cambria Math"/>
                      </w:rPr>
                      <m:t>33</m:t>
                    </m:r>
                  </m:sub>
                </m:sSub>
              </m:oMath>
            </m:oMathPara>
          </w:p>
        </w:tc>
        <w:tc>
          <w:tcPr>
            <w:tcW w:w="3055" w:type="dxa"/>
          </w:tcPr>
          <w:p w:rsidRPr="00583A8C" w:rsidR="00BE7248" w:rsidP="00BE7248" w:rsidRDefault="0004646E" w14:paraId="057E0BE0" w14:textId="45DBAA3B">
            <w:pPr>
              <w:ind w:firstLine="0"/>
            </w:pPr>
            <w:r w:rsidRPr="00583A8C">
              <w:rPr>
                <w:rFonts w:eastAsiaTheme="minorEastAsia"/>
              </w:rPr>
              <w:t xml:space="preserve">e.g.: </w:t>
            </w:r>
            <m:oMath>
              <m:sSub>
                <m:sSubPr>
                  <m:ctrlPr>
                    <w:rPr>
                      <w:rFonts w:ascii="Cambria Math" w:hAnsi="Cambria Math"/>
                      <w:i/>
                    </w:rPr>
                  </m:ctrlPr>
                </m:sSubPr>
                <m:e>
                  <m:r>
                    <w:rPr>
                      <w:rFonts w:ascii="Cambria Math" w:hAnsi="Cambria Math"/>
                    </w:rPr>
                    <m:t>τ</m:t>
                  </m:r>
                </m:e>
                <m:sub>
                  <m:r>
                    <w:rPr>
                      <w:rFonts w:ascii="Cambria Math" w:hAnsi="Cambria Math"/>
                    </w:rPr>
                    <m:t>31m</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31n</m:t>
                  </m:r>
                </m:sub>
              </m:sSub>
            </m:oMath>
          </w:p>
        </w:tc>
      </w:tr>
      <w:tr w:rsidRPr="00583A8C" w:rsidR="00BE7248" w:rsidTr="0004646E" w14:paraId="58E7639E" w14:textId="77777777">
        <w:tc>
          <w:tcPr>
            <w:tcW w:w="1870" w:type="dxa"/>
          </w:tcPr>
          <w:p w:rsidRPr="00583A8C" w:rsidR="00BE7248" w:rsidP="00BE7248" w:rsidRDefault="00BE7248" w14:paraId="697AD2C6" w14:textId="1D4F20EA">
            <w:pPr>
              <w:ind w:firstLine="0"/>
            </w:pPr>
            <w:r w:rsidRPr="00583A8C">
              <w:t>Backtrack (0/1)</w:t>
            </w:r>
          </w:p>
        </w:tc>
        <w:tc>
          <w:tcPr>
            <w:tcW w:w="1365" w:type="dxa"/>
          </w:tcPr>
          <w:p w:rsidRPr="00583A8C" w:rsidR="00BE7248" w:rsidP="00BE7248" w:rsidRDefault="00BE7248" w14:paraId="27F4E92C" w14:textId="77777777">
            <w:pPr>
              <w:ind w:firstLine="0"/>
            </w:pPr>
          </w:p>
        </w:tc>
        <w:tc>
          <w:tcPr>
            <w:tcW w:w="1530" w:type="dxa"/>
          </w:tcPr>
          <w:p w:rsidRPr="00583A8C" w:rsidR="00BE7248" w:rsidP="00BE7248" w:rsidRDefault="00583A8C" w14:paraId="79A1FE65" w14:textId="36A25CD0">
            <w:pPr>
              <w:ind w:firstLine="0"/>
            </w:pPr>
            <m:oMathPara>
              <m:oMath>
                <m:sSub>
                  <m:sSubPr>
                    <m:ctrlPr>
                      <w:rPr>
                        <w:rFonts w:ascii="Cambria Math" w:hAnsi="Cambria Math"/>
                        <w:i/>
                      </w:rPr>
                    </m:ctrlPr>
                  </m:sSubPr>
                  <m:e>
                    <m:r>
                      <w:rPr>
                        <w:rFonts w:ascii="Cambria Math" w:hAnsi="Cambria Math"/>
                      </w:rPr>
                      <m:t>τ</m:t>
                    </m:r>
                  </m:e>
                  <m:sub>
                    <m:r>
                      <w:rPr>
                        <w:rFonts w:ascii="Cambria Math" w:hAnsi="Cambria Math"/>
                      </w:rPr>
                      <m:t>4</m:t>
                    </m:r>
                  </m:sub>
                </m:sSub>
              </m:oMath>
            </m:oMathPara>
          </w:p>
        </w:tc>
        <w:tc>
          <w:tcPr>
            <w:tcW w:w="1530" w:type="dxa"/>
          </w:tcPr>
          <w:p w:rsidRPr="00583A8C" w:rsidR="00BE7248" w:rsidP="00BE7248" w:rsidRDefault="00BE7248" w14:paraId="56A9587C" w14:textId="77777777">
            <w:pPr>
              <w:ind w:firstLine="0"/>
            </w:pPr>
          </w:p>
        </w:tc>
        <w:tc>
          <w:tcPr>
            <w:tcW w:w="3055" w:type="dxa"/>
          </w:tcPr>
          <w:p w:rsidRPr="00583A8C" w:rsidR="00BE7248" w:rsidP="00BE7248" w:rsidRDefault="0004646E" w14:paraId="39B46730" w14:textId="5903F0E7">
            <w:pPr>
              <w:ind w:firstLine="0"/>
            </w:pPr>
            <w:r w:rsidRPr="00583A8C">
              <w:rPr>
                <w:rFonts w:eastAsiaTheme="minorEastAsia"/>
              </w:rPr>
              <w:t xml:space="preserve"> </w:t>
            </w:r>
            <m:oMath>
              <m:sSub>
                <m:sSubPr>
                  <m:ctrlPr>
                    <w:rPr>
                      <w:rFonts w:ascii="Cambria Math" w:hAnsi="Cambria Math"/>
                      <w:i/>
                    </w:rPr>
                  </m:ctrlPr>
                </m:sSubPr>
                <m:e>
                  <m:r>
                    <w:rPr>
                      <w:rFonts w:ascii="Cambria Math" w:hAnsi="Cambria Math"/>
                    </w:rPr>
                    <m:t>τ</m:t>
                  </m:r>
                </m:e>
                <m:sub>
                  <m:r>
                    <w:rPr>
                      <w:rFonts w:ascii="Cambria Math" w:hAnsi="Cambria Math"/>
                    </w:rPr>
                    <m:t>4m</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4n</m:t>
                  </m:r>
                </m:sub>
              </m:sSub>
            </m:oMath>
          </w:p>
        </w:tc>
      </w:tr>
    </w:tbl>
    <w:p w:rsidRPr="00583A8C" w:rsidR="00BE7248" w:rsidP="00BE7248" w:rsidRDefault="00BE7248" w14:paraId="3CD158D6" w14:textId="77777777"/>
    <w:p w:rsidRPr="00583A8C" w:rsidR="00273A96" w:rsidP="00273A96" w:rsidRDefault="00273A96" w14:paraId="39544983" w14:textId="73BCB2D4">
      <w:r w:rsidRPr="00583A8C">
        <w:lastRenderedPageBreak/>
        <w:t xml:space="preserve">We will estimate the treatment effect in a regression framework.  The default treatment effect will be captured through the coefficient on the treatment indicator variable D1.  The primary </w:t>
      </w:r>
      <w:r w:rsidRPr="00583A8C" w:rsidR="002B7DBB">
        <w:t>score updating</w:t>
      </w:r>
      <w:r w:rsidRPr="00583A8C">
        <w:t xml:space="preserve"> effect will be captured by the interaction between the EBI endowment and the treatment indicator variable D2.  The hypothesis in this case is that the treatment will reduce attenuation in the effect of the EBI endowment, making the average response steeper.  The secondary treatment effect of the </w:t>
      </w:r>
      <w:r w:rsidRPr="00583A8C" w:rsidR="002B7DBB">
        <w:t>score updating</w:t>
      </w:r>
      <w:r w:rsidRPr="00583A8C">
        <w:t xml:space="preserve"> effect will be the coefficient on the treatment indicator variable D2 itself.  </w:t>
      </w:r>
    </w:p>
    <w:p w:rsidRPr="00583A8C" w:rsidR="00247977" w:rsidP="00273A96" w:rsidRDefault="00273A96" w14:paraId="2EA1D683" w14:textId="38A7F3C9">
      <w:r w:rsidRPr="00583A8C">
        <w:t xml:space="preserve">The </w:t>
      </w:r>
      <w:r w:rsidRPr="00583A8C" w:rsidR="008968A6">
        <w:t>additional</w:t>
      </w:r>
      <w:r w:rsidRPr="00583A8C">
        <w:t xml:space="preserve"> EBI</w:t>
      </w:r>
      <w:r w:rsidRPr="00583A8C" w:rsidR="008968A6">
        <w:t xml:space="preserve"> gained from offer improvement (+</w:t>
      </w:r>
      <w:proofErr w:type="gramStart"/>
      <w:r w:rsidRPr="00583A8C" w:rsidR="008968A6">
        <w:t xml:space="preserve">EBI) </w:t>
      </w:r>
      <w:r w:rsidRPr="00583A8C">
        <w:t xml:space="preserve"> outcome</w:t>
      </w:r>
      <w:proofErr w:type="gramEnd"/>
      <w:r w:rsidRPr="00583A8C">
        <w:t xml:space="preserve"> will be estimated using Tobit model given censoring at the lower end (13 points).  </w:t>
      </w:r>
      <w:r w:rsidRPr="00583A8C" w:rsidR="00246994">
        <w:t xml:space="preserve">(Note that the censoring on EBI improvement points is similar in this situation and in actual CRP program data to the censoring and use of Tobit model show in figure A1 of the appendix.) </w:t>
      </w:r>
      <w:r w:rsidRPr="00583A8C">
        <w:t xml:space="preserve">While there is also possible censoring at the upper end, we do not expect to observe a binding constraint there. </w:t>
      </w:r>
      <w:r w:rsidRPr="00583A8C" w:rsidR="008968A6">
        <w:t>The model of individual supply of upgrade EBI points conditional on the treatments is given by the following equation where “</w:t>
      </w:r>
      <w:proofErr w:type="spellStart"/>
      <w:r w:rsidRPr="00583A8C" w:rsidR="008968A6">
        <w:t>i</w:t>
      </w:r>
      <w:proofErr w:type="spellEnd"/>
      <w:r w:rsidRPr="00583A8C" w:rsidR="008968A6">
        <w:t>" denotes a participant</w:t>
      </w:r>
      <w:r w:rsidRPr="00583A8C" w:rsidR="009348C1">
        <w:t>.</w:t>
      </w:r>
    </w:p>
    <w:p w:rsidRPr="00583A8C" w:rsidR="00273A96" w:rsidP="00273A96" w:rsidRDefault="00583A8C" w14:paraId="59EEAA4E" w14:textId="4BB883A9">
      <w:pPr>
        <w:ind w:left="720" w:firstLine="0"/>
        <w:rPr>
          <w:rFonts w:eastAsiaTheme="minorEastAsia"/>
        </w:rPr>
      </w:pPr>
      <m:oMathPara>
        <m:oMath>
          <m:sSub>
            <m:sSubPr>
              <m:ctrlPr>
                <w:rPr>
                  <w:rFonts w:ascii="Cambria Math" w:hAnsi="Cambria Math"/>
                  <w:i/>
                </w:rPr>
              </m:ctrlPr>
            </m:sSubPr>
            <m:e>
              <m:r>
                <w:rPr>
                  <w:rFonts w:ascii="Cambria Math" w:hAnsi="Cambria Math"/>
                </w:rPr>
                <m:t>+EBI</m:t>
              </m:r>
            </m:e>
            <m:sub>
              <m:r>
                <w:rPr>
                  <w:rFonts w:ascii="Cambria Math" w:hAnsi="Cambria Math"/>
                </w:rPr>
                <m:t>i</m:t>
              </m:r>
            </m:sub>
          </m:sSub>
          <m:r>
            <w:rPr>
              <w:rFonts w:ascii="Cambria Math" w:hAnsi="Cambria Math"/>
            </w:rPr>
            <m:t>=α+</m:t>
          </m:r>
          <m:sSub>
            <m:sSubPr>
              <m:ctrlPr>
                <w:rPr>
                  <w:rFonts w:ascii="Cambria Math" w:hAnsi="Cambria Math"/>
                  <w:i/>
                </w:rPr>
              </m:ctrlPr>
            </m:sSubPr>
            <m:e>
              <m:r>
                <w:rPr>
                  <w:rFonts w:ascii="Cambria Math" w:hAnsi="Cambria Math"/>
                </w:rPr>
                <m:t>τ</m:t>
              </m:r>
            </m:e>
            <m:sub>
              <m:r>
                <w:rPr>
                  <w:rFonts w:ascii="Cambria Math" w:hAnsi="Cambria Math"/>
                </w:rPr>
                <m:t>11</m:t>
              </m:r>
            </m:sub>
          </m:sSub>
          <m:sSub>
            <m:sSubPr>
              <m:ctrlPr>
                <w:rPr>
                  <w:rFonts w:ascii="Cambria Math" w:hAnsi="Cambria Math"/>
                  <w:i/>
                </w:rPr>
              </m:ctrlPr>
            </m:sSubPr>
            <m:e>
              <m:r>
                <w:rPr>
                  <w:rFonts w:ascii="Cambria Math" w:hAnsi="Cambria Math"/>
                </w:rPr>
                <m:t>D1</m:t>
              </m:r>
            </m:e>
            <m:sub>
              <m:r>
                <w:rPr>
                  <w:rFonts w:ascii="Cambria Math" w:hAnsi="Cambria Math"/>
                </w:rPr>
                <m:t>i</m:t>
              </m:r>
            </m:sub>
          </m:sSub>
          <m:r>
            <w:rPr>
              <w:rFonts w:ascii="Cambria Math" w:hAnsi="Cambria Math"/>
            </w:rPr>
            <m:t>+γ</m:t>
          </m:r>
          <m:sSub>
            <m:sSubPr>
              <m:ctrlPr>
                <w:rPr>
                  <w:rFonts w:ascii="Cambria Math" w:hAnsi="Cambria Math"/>
                  <w:i/>
                </w:rPr>
              </m:ctrlPr>
            </m:sSubPr>
            <m:e>
              <m:r>
                <w:rPr>
                  <w:rFonts w:ascii="Cambria Math" w:hAnsi="Cambria Math"/>
                </w:rPr>
                <m:t>ExogEBI</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12</m:t>
              </m:r>
            </m:sub>
          </m:sSub>
          <m:sSub>
            <m:sSubPr>
              <m:ctrlPr>
                <w:rPr>
                  <w:rFonts w:ascii="Cambria Math" w:hAnsi="Cambria Math"/>
                  <w:i/>
                </w:rPr>
              </m:ctrlPr>
            </m:sSubPr>
            <m:e>
              <m:r>
                <w:rPr>
                  <w:rFonts w:ascii="Cambria Math" w:hAnsi="Cambria Math"/>
                </w:rPr>
                <m:t>ExogEBI</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D2</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13</m:t>
              </m:r>
            </m:sub>
          </m:sSub>
          <m:sSub>
            <m:sSubPr>
              <m:ctrlPr>
                <w:rPr>
                  <w:rFonts w:ascii="Cambria Math" w:hAnsi="Cambria Math"/>
                  <w:i/>
                </w:rPr>
              </m:ctrlPr>
            </m:sSubPr>
            <m:e>
              <m:r>
                <w:rPr>
                  <w:rFonts w:ascii="Cambria Math" w:hAnsi="Cambria Math"/>
                </w:rPr>
                <m:t>D2</m:t>
              </m:r>
            </m:e>
            <m:sub>
              <m:r>
                <w:rPr>
                  <w:rFonts w:ascii="Cambria Math" w:hAnsi="Cambria Math"/>
                </w:rPr>
                <m:t>i</m:t>
              </m:r>
            </m:sub>
          </m:sSub>
          <m:r>
            <w:rPr>
              <w:rFonts w:ascii="Cambria Math" w:hAnsi="Cambria Math"/>
            </w:rPr>
            <m:t>+</m:t>
          </m:r>
          <m:sSup>
            <m:sSupPr>
              <m:ctrlPr>
                <w:rPr>
                  <w:rFonts w:ascii="Cambria Math" w:hAnsi="Cambria Math"/>
                  <w:i/>
                </w:rPr>
              </m:ctrlPr>
            </m:sSupPr>
            <m:e>
              <m:r>
                <w:rPr>
                  <w:rFonts w:ascii="Cambria Math" w:hAnsi="Cambria Math"/>
                </w:rPr>
                <m:t>β</m:t>
              </m:r>
            </m:e>
            <m:sup>
              <m:r>
                <w:rPr>
                  <w:rFonts w:ascii="Cambria Math" w:hAnsi="Cambria Math"/>
                </w:rPr>
                <m:t>'</m:t>
              </m:r>
            </m:sup>
          </m:sSup>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i</m:t>
              </m:r>
            </m:sub>
          </m:sSub>
        </m:oMath>
      </m:oMathPara>
    </w:p>
    <w:p w:rsidRPr="00583A8C" w:rsidR="00273A96" w:rsidP="00273A96" w:rsidRDefault="006F6EB2" w14:paraId="399666B3" w14:textId="13163054">
      <w:r w:rsidRPr="00583A8C">
        <w:t>The bid down decision will be estimated using a Tobit model given censoring at zero.  As noted in the pre-analysis, there is typically considerable censoring, with about half of offers making no bid down.</w:t>
      </w:r>
    </w:p>
    <w:p w:rsidRPr="00583A8C" w:rsidR="000B014A" w:rsidP="00247977" w:rsidRDefault="00583A8C" w14:paraId="19648A80" w14:textId="3A7CC0F0">
      <w:pPr>
        <w:ind w:left="720" w:firstLine="0"/>
        <w:rPr>
          <w:rFonts w:eastAsiaTheme="minorEastAsia"/>
        </w:rPr>
      </w:pPr>
      <m:oMathPara>
        <m:oMath>
          <m:sSub>
            <m:sSubPr>
              <m:ctrlPr>
                <w:rPr>
                  <w:rFonts w:ascii="Cambria Math" w:hAnsi="Cambria Math"/>
                  <w:i/>
                </w:rPr>
              </m:ctrlPr>
            </m:sSubPr>
            <m:e>
              <m:r>
                <w:rPr>
                  <w:rFonts w:ascii="Cambria Math" w:hAnsi="Cambria Math"/>
                </w:rPr>
                <m:t>biddown</m:t>
              </m:r>
            </m:e>
            <m:sub>
              <m:r>
                <w:rPr>
                  <w:rFonts w:ascii="Cambria Math" w:hAnsi="Cambria Math"/>
                </w:rPr>
                <m:t>i</m:t>
              </m:r>
            </m:sub>
          </m:sSub>
          <m:r>
            <w:rPr>
              <w:rFonts w:ascii="Cambria Math" w:hAnsi="Cambria Math"/>
            </w:rPr>
            <m:t>=α+</m:t>
          </m:r>
          <m:sSub>
            <m:sSubPr>
              <m:ctrlPr>
                <w:rPr>
                  <w:rFonts w:ascii="Cambria Math" w:hAnsi="Cambria Math"/>
                  <w:i/>
                </w:rPr>
              </m:ctrlPr>
            </m:sSubPr>
            <m:e>
              <m:r>
                <w:rPr>
                  <w:rFonts w:ascii="Cambria Math" w:hAnsi="Cambria Math"/>
                </w:rPr>
                <m:t>τ</m:t>
              </m:r>
            </m:e>
            <m:sub>
              <m:r>
                <w:rPr>
                  <w:rFonts w:ascii="Cambria Math" w:hAnsi="Cambria Math"/>
                </w:rPr>
                <m:t>21</m:t>
              </m:r>
            </m:sub>
          </m:sSub>
          <m:sSub>
            <m:sSubPr>
              <m:ctrlPr>
                <w:rPr>
                  <w:rFonts w:ascii="Cambria Math" w:hAnsi="Cambria Math"/>
                  <w:i/>
                </w:rPr>
              </m:ctrlPr>
            </m:sSubPr>
            <m:e>
              <m:r>
                <w:rPr>
                  <w:rFonts w:ascii="Cambria Math" w:hAnsi="Cambria Math"/>
                </w:rPr>
                <m:t>D1</m:t>
              </m:r>
            </m:e>
            <m:sub>
              <m:r>
                <w:rPr>
                  <w:rFonts w:ascii="Cambria Math" w:hAnsi="Cambria Math"/>
                </w:rPr>
                <m:t>i</m:t>
              </m:r>
            </m:sub>
          </m:sSub>
          <m:r>
            <w:rPr>
              <w:rFonts w:ascii="Cambria Math" w:hAnsi="Cambria Math"/>
            </w:rPr>
            <m:t>+γ</m:t>
          </m:r>
          <m:sSub>
            <m:sSubPr>
              <m:ctrlPr>
                <w:rPr>
                  <w:rFonts w:ascii="Cambria Math" w:hAnsi="Cambria Math"/>
                  <w:i/>
                </w:rPr>
              </m:ctrlPr>
            </m:sSubPr>
            <m:e>
              <m:r>
                <w:rPr>
                  <w:rFonts w:ascii="Cambria Math" w:hAnsi="Cambria Math"/>
                </w:rPr>
                <m:t>ExogEBI</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22</m:t>
              </m:r>
            </m:sub>
          </m:sSub>
          <m:sSub>
            <m:sSubPr>
              <m:ctrlPr>
                <w:rPr>
                  <w:rFonts w:ascii="Cambria Math" w:hAnsi="Cambria Math"/>
                  <w:i/>
                </w:rPr>
              </m:ctrlPr>
            </m:sSubPr>
            <m:e>
              <m:r>
                <w:rPr>
                  <w:rFonts w:ascii="Cambria Math" w:hAnsi="Cambria Math"/>
                </w:rPr>
                <m:t>ExogEBI</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D2</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23</m:t>
              </m:r>
            </m:sub>
          </m:sSub>
          <m:sSub>
            <m:sSubPr>
              <m:ctrlPr>
                <w:rPr>
                  <w:rFonts w:ascii="Cambria Math" w:hAnsi="Cambria Math"/>
                  <w:i/>
                </w:rPr>
              </m:ctrlPr>
            </m:sSubPr>
            <m:e>
              <m:r>
                <w:rPr>
                  <w:rFonts w:ascii="Cambria Math" w:hAnsi="Cambria Math"/>
                </w:rPr>
                <m:t>D2</m:t>
              </m:r>
            </m:e>
            <m:sub>
              <m:r>
                <w:rPr>
                  <w:rFonts w:ascii="Cambria Math" w:hAnsi="Cambria Math"/>
                </w:rPr>
                <m:t>i</m:t>
              </m:r>
            </m:sub>
          </m:sSub>
          <m:r>
            <w:rPr>
              <w:rFonts w:ascii="Cambria Math" w:hAnsi="Cambria Math"/>
            </w:rPr>
            <m:t>+</m:t>
          </m:r>
          <m:sSup>
            <m:sSupPr>
              <m:ctrlPr>
                <w:rPr>
                  <w:rFonts w:ascii="Cambria Math" w:hAnsi="Cambria Math"/>
                  <w:i/>
                </w:rPr>
              </m:ctrlPr>
            </m:sSupPr>
            <m:e>
              <m:r>
                <w:rPr>
                  <w:rFonts w:ascii="Cambria Math" w:hAnsi="Cambria Math"/>
                </w:rPr>
                <m:t>β</m:t>
              </m:r>
            </m:e>
            <m:sup>
              <m:r>
                <w:rPr>
                  <w:rFonts w:ascii="Cambria Math" w:hAnsi="Cambria Math"/>
                </w:rPr>
                <m:t>'</m:t>
              </m:r>
            </m:sup>
          </m:sSup>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i</m:t>
              </m:r>
            </m:sub>
          </m:sSub>
        </m:oMath>
      </m:oMathPara>
    </w:p>
    <w:p w:rsidRPr="00583A8C" w:rsidR="006F6EB2" w:rsidP="006F6EB2" w:rsidRDefault="006F6EB2" w14:paraId="6347A91B" w14:textId="7764772A">
      <w:pPr>
        <w:rPr>
          <w:rFonts w:eastAsiaTheme="minorEastAsia"/>
        </w:rPr>
      </w:pPr>
      <w:r w:rsidRPr="00583A8C">
        <w:rPr>
          <w:rFonts w:eastAsiaTheme="minorEastAsia"/>
        </w:rPr>
        <w:t xml:space="preserve">The cover decision is a discrete choice and so will modeled using an ordered </w:t>
      </w:r>
      <w:proofErr w:type="spellStart"/>
      <w:r w:rsidRPr="00583A8C">
        <w:rPr>
          <w:rFonts w:eastAsiaTheme="minorEastAsia"/>
        </w:rPr>
        <w:t>probit</w:t>
      </w:r>
      <w:proofErr w:type="spellEnd"/>
      <w:r w:rsidRPr="00583A8C">
        <w:rPr>
          <w:rFonts w:eastAsiaTheme="minorEastAsia"/>
        </w:rPr>
        <w:t xml:space="preserve"> with the treatment effects included in the latent variable construction.</w:t>
      </w:r>
    </w:p>
    <w:p w:rsidRPr="00583A8C" w:rsidR="001170C4" w:rsidP="001170C4" w:rsidRDefault="00583A8C" w14:paraId="277AE98A" w14:textId="5294A55A">
      <w:pPr>
        <w:ind w:left="720" w:firstLine="0"/>
      </w:pPr>
      <m:oMathPara>
        <m:oMath>
          <m:sSub>
            <m:sSubPr>
              <m:ctrlPr>
                <w:rPr>
                  <w:rFonts w:ascii="Cambria Math" w:hAnsi="Cambria Math"/>
                  <w:i/>
                </w:rPr>
              </m:ctrlPr>
            </m:sSubPr>
            <m:e>
              <m:r>
                <w:rPr>
                  <w:rFonts w:ascii="Cambria Math" w:hAnsi="Cambria Math"/>
                </w:rPr>
                <m:t>cover</m:t>
              </m:r>
            </m:e>
            <m:sub>
              <m:r>
                <w:rPr>
                  <w:rFonts w:ascii="Cambria Math" w:hAnsi="Cambria Math"/>
                </w:rPr>
                <m:t>ji</m:t>
              </m:r>
            </m:sub>
          </m:sSub>
          <m:r>
            <w:rPr>
              <w:rFonts w:ascii="Cambria Math" w:hAnsi="Cambria Math"/>
            </w:rPr>
            <m:t>=g</m:t>
          </m:r>
          <m:d>
            <m:dPr>
              <m:ctrlPr>
                <w:rPr>
                  <w:rFonts w:ascii="Cambria Math" w:hAnsi="Cambria Math"/>
                  <w:i/>
                </w:rPr>
              </m:ctrlPr>
            </m:dPr>
            <m:e>
              <m:r>
                <w:rPr>
                  <w:rFonts w:ascii="Cambria Math" w:hAnsi="Cambria Math"/>
                </w:rPr>
                <m:t>α+</m:t>
              </m:r>
              <m:sSub>
                <m:sSubPr>
                  <m:ctrlPr>
                    <w:rPr>
                      <w:rFonts w:ascii="Cambria Math" w:hAnsi="Cambria Math"/>
                      <w:i/>
                    </w:rPr>
                  </m:ctrlPr>
                </m:sSubPr>
                <m:e>
                  <m:r>
                    <w:rPr>
                      <w:rFonts w:ascii="Cambria Math" w:hAnsi="Cambria Math"/>
                    </w:rPr>
                    <m:t>τ</m:t>
                  </m:r>
                </m:e>
                <m:sub>
                  <m:r>
                    <w:rPr>
                      <w:rFonts w:ascii="Cambria Math" w:hAnsi="Cambria Math"/>
                    </w:rPr>
                    <m:t>31</m:t>
                  </m:r>
                </m:sub>
              </m:sSub>
              <m:sSub>
                <m:sSubPr>
                  <m:ctrlPr>
                    <w:rPr>
                      <w:rFonts w:ascii="Cambria Math" w:hAnsi="Cambria Math"/>
                      <w:i/>
                    </w:rPr>
                  </m:ctrlPr>
                </m:sSubPr>
                <m:e>
                  <m:r>
                    <w:rPr>
                      <w:rFonts w:ascii="Cambria Math" w:hAnsi="Cambria Math"/>
                    </w:rPr>
                    <m:t>D1</m:t>
                  </m:r>
                </m:e>
                <m:sub>
                  <m:r>
                    <w:rPr>
                      <w:rFonts w:ascii="Cambria Math" w:hAnsi="Cambria Math"/>
                    </w:rPr>
                    <m:t>i</m:t>
                  </m:r>
                </m:sub>
              </m:sSub>
              <m:r>
                <w:rPr>
                  <w:rFonts w:ascii="Cambria Math" w:hAnsi="Cambria Math"/>
                </w:rPr>
                <m:t>+γ</m:t>
              </m:r>
              <m:sSub>
                <m:sSubPr>
                  <m:ctrlPr>
                    <w:rPr>
                      <w:rFonts w:ascii="Cambria Math" w:hAnsi="Cambria Math"/>
                      <w:i/>
                    </w:rPr>
                  </m:ctrlPr>
                </m:sSubPr>
                <m:e>
                  <m:r>
                    <w:rPr>
                      <w:rFonts w:ascii="Cambria Math" w:hAnsi="Cambria Math"/>
                    </w:rPr>
                    <m:t>ExogEBI</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32</m:t>
                  </m:r>
                </m:sub>
              </m:sSub>
              <m:sSub>
                <m:sSubPr>
                  <m:ctrlPr>
                    <w:rPr>
                      <w:rFonts w:ascii="Cambria Math" w:hAnsi="Cambria Math"/>
                      <w:i/>
                    </w:rPr>
                  </m:ctrlPr>
                </m:sSubPr>
                <m:e>
                  <m:r>
                    <w:rPr>
                      <w:rFonts w:ascii="Cambria Math" w:hAnsi="Cambria Math"/>
                    </w:rPr>
                    <m:t>ExogEBI</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D2</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33</m:t>
                  </m:r>
                </m:sub>
              </m:sSub>
              <m:sSub>
                <m:sSubPr>
                  <m:ctrlPr>
                    <w:rPr>
                      <w:rFonts w:ascii="Cambria Math" w:hAnsi="Cambria Math"/>
                      <w:i/>
                    </w:rPr>
                  </m:ctrlPr>
                </m:sSubPr>
                <m:e>
                  <m:r>
                    <w:rPr>
                      <w:rFonts w:ascii="Cambria Math" w:hAnsi="Cambria Math"/>
                    </w:rPr>
                    <m:t>D2</m:t>
                  </m:r>
                </m:e>
                <m:sub>
                  <m:r>
                    <w:rPr>
                      <w:rFonts w:ascii="Cambria Math" w:hAnsi="Cambria Math"/>
                    </w:rPr>
                    <m:t>i</m:t>
                  </m:r>
                </m:sub>
              </m:sSub>
              <m:r>
                <w:rPr>
                  <w:rFonts w:ascii="Cambria Math" w:hAnsi="Cambria Math"/>
                </w:rPr>
                <m:t>+</m:t>
              </m:r>
              <m:sSup>
                <m:sSupPr>
                  <m:ctrlPr>
                    <w:rPr>
                      <w:rFonts w:ascii="Cambria Math" w:hAnsi="Cambria Math"/>
                      <w:i/>
                    </w:rPr>
                  </m:ctrlPr>
                </m:sSupPr>
                <m:e>
                  <m:r>
                    <w:rPr>
                      <w:rFonts w:ascii="Cambria Math" w:hAnsi="Cambria Math"/>
                    </w:rPr>
                    <m:t>β</m:t>
                  </m:r>
                </m:e>
                <m:sup>
                  <m:r>
                    <w:rPr>
                      <w:rFonts w:ascii="Cambria Math" w:hAnsi="Cambria Math"/>
                    </w:rPr>
                    <m:t>'</m:t>
                  </m:r>
                </m:sup>
              </m:sSup>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i</m:t>
                  </m:r>
                </m:sub>
              </m:sSub>
            </m:e>
          </m:d>
        </m:oMath>
      </m:oMathPara>
    </w:p>
    <w:p w:rsidRPr="00583A8C" w:rsidR="009D3CE0" w:rsidP="006E13D4" w:rsidRDefault="00436F2F" w14:paraId="7211DACE" w14:textId="702651B1">
      <w:pPr>
        <w:ind w:firstLine="0"/>
        <w:rPr>
          <w:rFonts w:cs="Times New Roman"/>
          <w:szCs w:val="24"/>
        </w:rPr>
      </w:pPr>
      <w:r w:rsidRPr="00583A8C">
        <w:rPr>
          <w:rFonts w:cs="Times New Roman"/>
          <w:szCs w:val="24"/>
        </w:rPr>
        <w:tab/>
        <w:t xml:space="preserve">As a test of whether knowledge of the final score is truly constrained in the control condition for the score updating treatment, we will collect data on whether participants use the “back” buttons to navigate to earlier screens and revise their offers prior to finalizing their offer structure.  If control group participants use the “back” button more frequently than the treatment </w:t>
      </w:r>
      <w:r w:rsidRPr="00583A8C">
        <w:rPr>
          <w:rFonts w:cs="Times New Roman"/>
          <w:szCs w:val="24"/>
        </w:rPr>
        <w:lastRenderedPageBreak/>
        <w:t>group, who will receive live updated of scoring earlier in the software, then this will indicate that the information available under the control is not as constrained as expected.</w:t>
      </w:r>
    </w:p>
    <w:p w:rsidRPr="00583A8C" w:rsidR="00B45231" w:rsidP="001D628D" w:rsidRDefault="00B45231" w14:paraId="0B12185E" w14:textId="77777777">
      <w:pPr>
        <w:pStyle w:val="Heading2"/>
      </w:pPr>
      <w:r w:rsidRPr="00583A8C">
        <w:t>Power Analysis</w:t>
      </w:r>
    </w:p>
    <w:p w:rsidRPr="00583A8C" w:rsidR="00593695" w:rsidP="00850A24" w:rsidRDefault="00AC29F1" w14:paraId="1B2BC5AB" w14:textId="3A1F872D">
      <w:r w:rsidRPr="00583A8C">
        <w:t>For the opt-out default treatment effect on bid down, we conduct</w:t>
      </w:r>
      <w:r w:rsidRPr="00583A8C" w:rsidR="00BB4B4C">
        <w:t>ed</w:t>
      </w:r>
      <w:r w:rsidRPr="00583A8C">
        <w:t xml:space="preserve"> a simple power analysis of a difference in two means around the average bid down of 4.2%.  For our proposed sample size of 1,</w:t>
      </w:r>
      <w:r w:rsidRPr="00583A8C" w:rsidR="00064A9F">
        <w:t>1</w:t>
      </w:r>
      <w:r w:rsidRPr="00583A8C">
        <w:t>00, the minimum detectable effect at 80 percent power is 0.</w:t>
      </w:r>
      <w:r w:rsidRPr="00583A8C" w:rsidR="00064A9F">
        <w:t>17</w:t>
      </w:r>
      <w:r w:rsidRPr="00583A8C" w:rsidR="00BB4B4C">
        <w:t xml:space="preserve"> percentage points</w:t>
      </w:r>
      <w:r w:rsidRPr="00583A8C">
        <w:t xml:space="preserve">, or an increase to </w:t>
      </w:r>
      <w:r w:rsidRPr="00583A8C" w:rsidR="00BB4B4C">
        <w:t xml:space="preserve">from 4.2 to </w:t>
      </w:r>
      <w:r w:rsidRPr="00583A8C">
        <w:t>4.</w:t>
      </w:r>
      <w:r w:rsidRPr="00583A8C" w:rsidR="00064A9F">
        <w:t>37</w:t>
      </w:r>
      <w:r w:rsidRPr="00583A8C">
        <w:t xml:space="preserve">% bid down (figure </w:t>
      </w:r>
      <w:r w:rsidRPr="00583A8C" w:rsidR="009D3CE0">
        <w:t>3</w:t>
      </w:r>
      <w:r w:rsidRPr="00583A8C">
        <w:t>).  In other words, if the default increases bid down from 4.2% to 4.</w:t>
      </w:r>
      <w:r w:rsidRPr="00583A8C" w:rsidR="00064A9F">
        <w:t>37</w:t>
      </w:r>
      <w:r w:rsidRPr="00583A8C">
        <w:t xml:space="preserve">%, then four out of five runs of the experiment would successfully reject the null hypothesis of no effect on bid down at the </w:t>
      </w:r>
      <w:r w:rsidRPr="00583A8C" w:rsidR="00BB4B4C">
        <w:t>Type 1 error rate (</w:t>
      </w:r>
      <w:r w:rsidRPr="00583A8C">
        <w:t>alpha</w:t>
      </w:r>
      <w:r w:rsidRPr="00583A8C" w:rsidR="00BB4B4C">
        <w:t>)</w:t>
      </w:r>
      <w:r w:rsidRPr="00583A8C">
        <w:t xml:space="preserve"> of 0.02.  We use the smaller alpha to correct for the use of multiple hypotheses.  A smaller sample size of 500 would be underpowered at this effect size.  For context, a 0.2 percentage point increase in bid down given a budget of $2 billion per year would result in a program savings of $40 million per year.  We conduct the power analysis as a two-tailed test because it is possible that the default could induce practice improve</w:t>
      </w:r>
      <w:r w:rsidRPr="00583A8C" w:rsidR="00844BC3">
        <w:t>ment</w:t>
      </w:r>
      <w:r w:rsidRPr="00583A8C">
        <w:t>s that are offset by reductions in bid down.</w:t>
      </w:r>
      <w:r w:rsidRPr="00583A8C" w:rsidR="007247AD">
        <w:t xml:space="preserve">  Note that additional power could be gained through explicitly modeling the censoring (with a Tobit model), using all </w:t>
      </w:r>
      <w:r w:rsidRPr="00583A8C" w:rsidR="00064A9F">
        <w:t>3</w:t>
      </w:r>
      <w:r w:rsidRPr="00583A8C" w:rsidR="007247AD">
        <w:t>,</w:t>
      </w:r>
      <w:r w:rsidRPr="00583A8C" w:rsidR="00064A9F">
        <w:t>3</w:t>
      </w:r>
      <w:r w:rsidRPr="00583A8C" w:rsidR="007247AD">
        <w:t>00 offer data points (though clustering would occur at the participant level), and using additional covariates, such as average bid down in actual prior signups.</w:t>
      </w:r>
    </w:p>
    <w:p w:rsidR="00583A8C" w:rsidRDefault="00583A8C" w14:paraId="24C2E6D7" w14:textId="77777777">
      <w:pPr>
        <w:spacing w:line="259" w:lineRule="auto"/>
        <w:ind w:firstLine="0"/>
        <w:rPr>
          <w:b/>
          <w:bCs/>
        </w:rPr>
      </w:pPr>
      <w:r>
        <w:rPr>
          <w:b/>
          <w:bCs/>
        </w:rPr>
        <w:br w:type="page"/>
      </w:r>
    </w:p>
    <w:p w:rsidRPr="00583A8C" w:rsidR="0060688F" w:rsidP="00C2066E" w:rsidRDefault="007247AD" w14:paraId="2A3E67AD" w14:textId="0D1CCBCB">
      <w:pPr>
        <w:ind w:firstLine="0"/>
        <w:rPr>
          <w:b/>
          <w:bCs/>
        </w:rPr>
      </w:pPr>
      <w:r w:rsidRPr="00583A8C">
        <w:rPr>
          <w:b/>
          <w:bCs/>
        </w:rPr>
        <w:lastRenderedPageBreak/>
        <w:t xml:space="preserve">Figure </w:t>
      </w:r>
      <w:r w:rsidRPr="00583A8C" w:rsidR="009D3CE0">
        <w:rPr>
          <w:b/>
          <w:bCs/>
        </w:rPr>
        <w:t>3</w:t>
      </w:r>
      <w:r w:rsidRPr="00583A8C">
        <w:rPr>
          <w:b/>
          <w:bCs/>
        </w:rPr>
        <w:t>: Power chart for alternative sample sizes and effect sizes on bid down.</w:t>
      </w:r>
    </w:p>
    <w:p w:rsidRPr="00583A8C" w:rsidR="0060688F" w:rsidP="00EE2894" w:rsidRDefault="0060135B" w14:paraId="4A7DF13B" w14:textId="7CFB3F7A">
      <w:r w:rsidRPr="00583A8C">
        <w:rPr>
          <w:noProof/>
        </w:rPr>
        <w:drawing>
          <wp:inline distT="0" distB="0" distL="0" distR="0" wp14:anchorId="56C8AA61" wp14:editId="6ECA24A6">
            <wp:extent cx="4391025" cy="3193473"/>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91763" cy="3194010"/>
                    </a:xfrm>
                    <a:prstGeom prst="rect">
                      <a:avLst/>
                    </a:prstGeom>
                    <a:noFill/>
                    <a:ln>
                      <a:noFill/>
                    </a:ln>
                  </pic:spPr>
                </pic:pic>
              </a:graphicData>
            </a:graphic>
          </wp:inline>
        </w:drawing>
      </w:r>
    </w:p>
    <w:p w:rsidRPr="00583A8C" w:rsidR="00C2066E" w:rsidP="00A119A5" w:rsidRDefault="007247AD" w14:paraId="7D0DC988" w14:textId="0D8A5507">
      <w:pPr>
        <w:ind w:firstLine="0"/>
      </w:pPr>
      <w:r w:rsidRPr="00583A8C">
        <w:t xml:space="preserve">[Stata code: </w:t>
      </w:r>
      <w:r w:rsidRPr="00583A8C" w:rsidR="0060688F">
        <w:t xml:space="preserve">power </w:t>
      </w:r>
      <w:proofErr w:type="spellStart"/>
      <w:r w:rsidRPr="00583A8C" w:rsidR="0060688F">
        <w:t>twomeans</w:t>
      </w:r>
      <w:proofErr w:type="spellEnd"/>
      <w:r w:rsidRPr="00583A8C" w:rsidR="0060688F">
        <w:t xml:space="preserve"> 4.2 (3.5 (0.</w:t>
      </w:r>
      <w:r w:rsidRPr="00583A8C" w:rsidR="00A119A5">
        <w:t>005</w:t>
      </w:r>
      <w:r w:rsidRPr="00583A8C" w:rsidR="0060688F">
        <w:t xml:space="preserve">) 5.0), </w:t>
      </w:r>
      <w:proofErr w:type="gramStart"/>
      <w:r w:rsidRPr="00583A8C" w:rsidR="0060688F">
        <w:t>n(</w:t>
      </w:r>
      <w:proofErr w:type="gramEnd"/>
      <w:r w:rsidRPr="00583A8C" w:rsidR="0060688F">
        <w:t>500 1000 1500 2000) graph(x(m2))</w:t>
      </w:r>
      <w:r w:rsidRPr="00583A8C">
        <w:t>]</w:t>
      </w:r>
      <w:r w:rsidRPr="00583A8C" w:rsidR="00977FCE">
        <w:t xml:space="preserve">  </w:t>
      </w:r>
    </w:p>
    <w:p w:rsidRPr="00583A8C" w:rsidR="0071527D" w:rsidP="00EE2894" w:rsidRDefault="007247AD" w14:paraId="30001F26" w14:textId="67492B44">
      <w:r w:rsidRPr="00583A8C">
        <w:t xml:space="preserve">For the power analysis of practice adoption, we do a test of two proportions for the best practice.  </w:t>
      </w:r>
      <w:r w:rsidRPr="00583A8C" w:rsidR="0071527D">
        <w:t>In terms of practice adoption, this gives us power to detect of difference of about 40 to 50 percent (from, say 20% to 27.5% or from 10% to 15.5%) in practice adoption.</w:t>
      </w:r>
      <w:r w:rsidRPr="00583A8C">
        <w:t xml:space="preserve">  Additional power could be gained by modeling the treatment effect of all four proportions using an ordered </w:t>
      </w:r>
      <w:proofErr w:type="spellStart"/>
      <w:r w:rsidRPr="00583A8C">
        <w:t>probit</w:t>
      </w:r>
      <w:proofErr w:type="spellEnd"/>
      <w:r w:rsidRPr="00583A8C">
        <w:t xml:space="preserve"> model.</w:t>
      </w:r>
    </w:p>
    <w:p w:rsidRPr="00583A8C" w:rsidR="0071527D" w:rsidP="00EE2894" w:rsidRDefault="007247AD" w14:paraId="7CD47D2A" w14:textId="5E914B4F">
      <w:r w:rsidRPr="00583A8C">
        <w:t xml:space="preserve">[Stata code: </w:t>
      </w:r>
      <w:r w:rsidRPr="00583A8C" w:rsidR="0071527D">
        <w:t xml:space="preserve">power </w:t>
      </w:r>
      <w:proofErr w:type="spellStart"/>
      <w:r w:rsidRPr="00583A8C" w:rsidR="0071527D">
        <w:t>twoproportions</w:t>
      </w:r>
      <w:proofErr w:type="spellEnd"/>
      <w:r w:rsidRPr="00583A8C" w:rsidR="0071527D">
        <w:t xml:space="preserve"> 0.1, </w:t>
      </w:r>
      <w:proofErr w:type="gramStart"/>
      <w:r w:rsidRPr="00583A8C" w:rsidR="0071527D">
        <w:t>diff(</w:t>
      </w:r>
      <w:proofErr w:type="gramEnd"/>
      <w:r w:rsidRPr="00583A8C" w:rsidR="0071527D">
        <w:t>0.03 0.04 0.05 0.06 0.07 0.08)</w:t>
      </w:r>
      <w:r w:rsidRPr="00583A8C">
        <w:t>]</w:t>
      </w:r>
    </w:p>
    <w:p w:rsidRPr="00583A8C" w:rsidR="0071527D" w:rsidP="00EE2894" w:rsidRDefault="0071527D" w14:paraId="161F7A65" w14:textId="77777777"/>
    <w:p w:rsidRPr="00583A8C" w:rsidR="00B45231" w:rsidP="001D628D" w:rsidRDefault="00B45231" w14:paraId="64E74EAC" w14:textId="11CC9D91">
      <w:pPr>
        <w:pStyle w:val="Heading2"/>
      </w:pPr>
      <w:r w:rsidRPr="00583A8C">
        <w:t xml:space="preserve">Limitations </w:t>
      </w:r>
    </w:p>
    <w:p w:rsidRPr="00583A8C" w:rsidR="00EE2894" w:rsidP="00EE2894" w:rsidRDefault="00EE2894" w14:paraId="18C2016A" w14:textId="2C10D566">
      <w:r w:rsidRPr="00583A8C">
        <w:t xml:space="preserve">One limitation of </w:t>
      </w:r>
      <w:r w:rsidRPr="00583A8C" w:rsidR="00BB4B4C">
        <w:t>our</w:t>
      </w:r>
      <w:r w:rsidRPr="00583A8C">
        <w:t xml:space="preserve"> approach is the use of an artefactual experiment rather than a field experiment</w:t>
      </w:r>
      <w:r w:rsidRPr="00583A8C" w:rsidR="00BB4B4C">
        <w:t xml:space="preserve"> built into the CRP software during an actual General Signup</w:t>
      </w:r>
      <w:r w:rsidRPr="00583A8C">
        <w:t xml:space="preserve">.  Research on default effects in a lab or artefactual setting often shows smaller effect sizes in comparison to default experiments in a field setting.  </w:t>
      </w:r>
      <w:r w:rsidRPr="00583A8C" w:rsidR="00BB4B4C">
        <w:t xml:space="preserve">Nonetheless, the current research approach will be useful for determining whether it would be worthwhile to conduct a similar </w:t>
      </w:r>
      <w:r w:rsidRPr="00583A8C">
        <w:t>field experiment within CRP</w:t>
      </w:r>
      <w:r w:rsidRPr="00583A8C" w:rsidR="00BB4B4C">
        <w:t xml:space="preserve"> at some point in the future</w:t>
      </w:r>
      <w:r w:rsidRPr="00583A8C">
        <w:t>.</w:t>
      </w:r>
    </w:p>
    <w:p w:rsidRPr="00583A8C" w:rsidR="00D42287" w:rsidP="00BF77EA" w:rsidRDefault="00D56FDF" w14:paraId="1A61F4AD" w14:textId="26356B26">
      <w:r w:rsidRPr="00583A8C">
        <w:lastRenderedPageBreak/>
        <w:t xml:space="preserve">Another limitation of </w:t>
      </w:r>
      <w:r w:rsidRPr="00583A8C" w:rsidR="00BB4B4C">
        <w:t>our</w:t>
      </w:r>
      <w:r w:rsidRPr="00583A8C">
        <w:t xml:space="preserve"> </w:t>
      </w:r>
      <w:r w:rsidRPr="00583A8C" w:rsidR="00BB4B4C">
        <w:t>approach</w:t>
      </w:r>
      <w:r w:rsidRPr="00583A8C">
        <w:t xml:space="preserve"> is simplification of both the conservation practice improvement options and the ranking mechanism.  These are meaningful departures from the actual program design.  However, we feel that these simplifications are needed to reduce respondent burden and to ensure adequate statistical power.  Having too many choices and too complex of a ranking mechanism would likely reduce the signal to noise ratio on any </w:t>
      </w:r>
      <w:r w:rsidRPr="00583A8C" w:rsidR="00BB4B4C">
        <w:t>treatment</w:t>
      </w:r>
      <w:r w:rsidRPr="00583A8C">
        <w:t xml:space="preserve"> effect.</w:t>
      </w:r>
    </w:p>
    <w:p w:rsidRPr="00583A8C" w:rsidR="0024377B" w:rsidRDefault="0024377B" w14:paraId="354036D9" w14:textId="7B84E225">
      <w:pPr>
        <w:spacing w:line="259" w:lineRule="auto"/>
        <w:ind w:firstLine="0"/>
      </w:pPr>
      <w:r w:rsidRPr="00583A8C">
        <w:br w:type="page"/>
      </w:r>
    </w:p>
    <w:p w:rsidRPr="00583A8C" w:rsidR="0024377B" w:rsidP="006E13D4" w:rsidRDefault="0024377B" w14:paraId="33E491F0" w14:textId="63B1F0FD">
      <w:pPr>
        <w:pStyle w:val="Heading2"/>
      </w:pPr>
      <w:r w:rsidRPr="00583A8C">
        <w:lastRenderedPageBreak/>
        <w:t>Appendix</w:t>
      </w:r>
    </w:p>
    <w:p w:rsidRPr="00583A8C" w:rsidR="00D16506" w:rsidP="00D16506" w:rsidRDefault="00D16506" w14:paraId="74B65AF1" w14:textId="77777777">
      <w:pPr>
        <w:ind w:firstLine="0"/>
        <w:rPr>
          <w:b/>
          <w:bCs/>
          <w:i/>
          <w:iCs/>
        </w:rPr>
      </w:pPr>
    </w:p>
    <w:p w:rsidRPr="00583A8C" w:rsidR="0024377B" w:rsidP="006E13D4" w:rsidRDefault="00013C8B" w14:paraId="41DCCAAB" w14:textId="7AE6A7D0">
      <w:pPr>
        <w:ind w:firstLine="0"/>
        <w:rPr>
          <w:b/>
          <w:bCs/>
          <w:i/>
          <w:iCs/>
        </w:rPr>
      </w:pPr>
      <w:r w:rsidRPr="00583A8C">
        <w:rPr>
          <w:b/>
          <w:bCs/>
          <w:i/>
          <w:iCs/>
        </w:rPr>
        <w:t>Nash Equilibrium</w:t>
      </w:r>
      <w:r w:rsidRPr="00583A8C" w:rsidR="0024377B">
        <w:rPr>
          <w:b/>
          <w:bCs/>
          <w:i/>
          <w:iCs/>
        </w:rPr>
        <w:t>.</w:t>
      </w:r>
    </w:p>
    <w:p w:rsidRPr="00583A8C" w:rsidR="0024377B" w:rsidRDefault="00013C8B" w14:paraId="6138FF68" w14:textId="6010E343">
      <w:r w:rsidRPr="00583A8C">
        <w:t xml:space="preserve">To calibrate our model, we calculate an empirical Nash equilibrium.  Each of the nine fields faces a payoff matrix over the four possible practice choices and sixteen possible </w:t>
      </w:r>
      <w:proofErr w:type="gramStart"/>
      <w:r w:rsidRPr="00583A8C">
        <w:t>bid</w:t>
      </w:r>
      <w:proofErr w:type="gramEnd"/>
      <w:r w:rsidRPr="00583A8C">
        <w:t xml:space="preserve"> down levels (from zero to 15 percent in one-percent increments) (Table A1).</w:t>
      </w:r>
    </w:p>
    <w:p w:rsidRPr="00583A8C" w:rsidR="0024377B" w:rsidP="0024377B" w:rsidRDefault="0024377B" w14:paraId="4FAE5ADE" w14:textId="21EEC539">
      <w:pPr>
        <w:spacing w:line="259" w:lineRule="auto"/>
        <w:ind w:firstLine="0"/>
        <w:rPr>
          <w:rFonts w:cs="Times New Roman"/>
          <w:b/>
          <w:bCs/>
          <w:szCs w:val="24"/>
        </w:rPr>
      </w:pPr>
      <w:r w:rsidRPr="00583A8C">
        <w:rPr>
          <w:rFonts w:cs="Times New Roman"/>
          <w:b/>
          <w:bCs/>
          <w:szCs w:val="24"/>
        </w:rPr>
        <w:t xml:space="preserve">Table </w:t>
      </w:r>
      <w:r w:rsidRPr="00583A8C" w:rsidR="00D16506">
        <w:rPr>
          <w:rFonts w:cs="Times New Roman"/>
          <w:b/>
          <w:bCs/>
          <w:szCs w:val="24"/>
        </w:rPr>
        <w:t>A1</w:t>
      </w:r>
      <w:r w:rsidRPr="00583A8C">
        <w:rPr>
          <w:rFonts w:cs="Times New Roman"/>
          <w:b/>
          <w:bCs/>
          <w:szCs w:val="24"/>
        </w:rPr>
        <w:t xml:space="preserve">: </w:t>
      </w:r>
      <w:r w:rsidRPr="00583A8C" w:rsidR="00D16506">
        <w:rPr>
          <w:rFonts w:cs="Times New Roman"/>
          <w:b/>
          <w:bCs/>
          <w:szCs w:val="24"/>
        </w:rPr>
        <w:t xml:space="preserve">Expected payoff matrix for </w:t>
      </w:r>
      <w:r w:rsidRPr="00583A8C">
        <w:rPr>
          <w:rFonts w:cs="Times New Roman"/>
          <w:b/>
          <w:bCs/>
          <w:szCs w:val="24"/>
        </w:rPr>
        <w:t>$</w:t>
      </w:r>
      <w:r w:rsidRPr="00583A8C" w:rsidR="00013C8B">
        <w:rPr>
          <w:rFonts w:cs="Times New Roman"/>
          <w:b/>
          <w:bCs/>
          <w:szCs w:val="24"/>
        </w:rPr>
        <w:t>5</w:t>
      </w:r>
      <w:r w:rsidRPr="00583A8C">
        <w:rPr>
          <w:rFonts w:cs="Times New Roman"/>
          <w:b/>
          <w:bCs/>
          <w:szCs w:val="24"/>
        </w:rPr>
        <w:t xml:space="preserve">0/acre </w:t>
      </w:r>
      <w:r w:rsidRPr="00583A8C" w:rsidR="00D16506">
        <w:rPr>
          <w:rFonts w:cs="Times New Roman"/>
          <w:b/>
          <w:bCs/>
          <w:szCs w:val="24"/>
        </w:rPr>
        <w:t xml:space="preserve">bid cap </w:t>
      </w:r>
      <w:r w:rsidRPr="00583A8C">
        <w:rPr>
          <w:rFonts w:cs="Times New Roman"/>
          <w:b/>
          <w:bCs/>
          <w:szCs w:val="24"/>
        </w:rPr>
        <w:t>field</w:t>
      </w:r>
      <w:r w:rsidRPr="00583A8C" w:rsidR="00D16506">
        <w:rPr>
          <w:rFonts w:cs="Times New Roman"/>
          <w:b/>
          <w:bCs/>
          <w:szCs w:val="24"/>
        </w:rPr>
        <w:t xml:space="preserve"> at Nash equilibrium </w:t>
      </w:r>
    </w:p>
    <w:p w:rsidRPr="00583A8C" w:rsidR="0024377B" w:rsidP="0024377B" w:rsidRDefault="00013C8B" w14:paraId="6EE0D8E0" w14:textId="60A0BECC">
      <w:pPr>
        <w:spacing w:line="259" w:lineRule="auto"/>
        <w:ind w:firstLine="0"/>
        <w:jc w:val="center"/>
        <w:rPr>
          <w:rFonts w:cs="Times New Roman"/>
          <w:szCs w:val="24"/>
        </w:rPr>
      </w:pPr>
      <w:r w:rsidRPr="00583A8C">
        <w:rPr>
          <w:noProof/>
        </w:rPr>
        <w:drawing>
          <wp:inline distT="0" distB="0" distL="0" distR="0" wp14:anchorId="2C7EE253" wp14:editId="160533CB">
            <wp:extent cx="3600450" cy="43910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00450" cy="4391025"/>
                    </a:xfrm>
                    <a:prstGeom prst="rect">
                      <a:avLst/>
                    </a:prstGeom>
                    <a:noFill/>
                    <a:ln>
                      <a:noFill/>
                    </a:ln>
                  </pic:spPr>
                </pic:pic>
              </a:graphicData>
            </a:graphic>
          </wp:inline>
        </w:drawing>
      </w:r>
    </w:p>
    <w:p w:rsidRPr="00583A8C" w:rsidR="0024377B" w:rsidP="0024377B" w:rsidRDefault="00013C8B" w14:paraId="42ED0E99" w14:textId="4E45B109">
      <w:pPr>
        <w:spacing w:line="259" w:lineRule="auto"/>
        <w:ind w:firstLine="0"/>
        <w:rPr>
          <w:rFonts w:cs="Times New Roman"/>
          <w:szCs w:val="24"/>
        </w:rPr>
      </w:pPr>
      <w:r w:rsidRPr="00583A8C">
        <w:rPr>
          <w:rFonts w:cs="Times New Roman"/>
          <w:szCs w:val="24"/>
        </w:rPr>
        <w:tab/>
        <w:t xml:space="preserve">In addition, all nine fields face an expected probability of acceptance that is defined by a logistic cumulative distribution function, shared beliefs (mean and standard deviation) for a “cut-off” EBI score, and a final EBI score that is the additive combination of their starting EBI and the additional EBI from the offer selection.  The Nash equilibrium consists of an EBI cutoff that is consistent with optimal bids for each of the nine-fields and the auction clearing criteria in terms of budget per number of participants.  </w:t>
      </w:r>
      <w:r w:rsidRPr="00583A8C" w:rsidR="00C6233B">
        <w:rPr>
          <w:rFonts w:cs="Times New Roman"/>
          <w:szCs w:val="24"/>
        </w:rPr>
        <w:t xml:space="preserve">Under the current specification as described in the </w:t>
      </w:r>
      <w:r w:rsidRPr="00583A8C" w:rsidR="00C6233B">
        <w:rPr>
          <w:rFonts w:cs="Times New Roman"/>
          <w:szCs w:val="24"/>
        </w:rPr>
        <w:lastRenderedPageBreak/>
        <w:t xml:space="preserve">main text of this document, the auction clears with a cutoff EBI of 260 points, which is </w:t>
      </w:r>
      <w:proofErr w:type="gramStart"/>
      <w:r w:rsidRPr="00583A8C" w:rsidR="00C6233B">
        <w:rPr>
          <w:rFonts w:cs="Times New Roman"/>
          <w:szCs w:val="24"/>
        </w:rPr>
        <w:t>similar to</w:t>
      </w:r>
      <w:proofErr w:type="gramEnd"/>
      <w:r w:rsidRPr="00583A8C" w:rsidR="00C6233B">
        <w:rPr>
          <w:rFonts w:cs="Times New Roman"/>
          <w:szCs w:val="24"/>
        </w:rPr>
        <w:t xml:space="preserve"> the average EBI cut off over the past six sign ups.  </w:t>
      </w:r>
    </w:p>
    <w:p w:rsidRPr="00583A8C" w:rsidR="00C6233B" w:rsidP="0024377B" w:rsidRDefault="00C6233B" w14:paraId="62A57923" w14:textId="0DBC9F09">
      <w:pPr>
        <w:spacing w:line="259" w:lineRule="auto"/>
        <w:ind w:firstLine="0"/>
        <w:rPr>
          <w:rFonts w:cs="Times New Roman"/>
          <w:szCs w:val="24"/>
        </w:rPr>
      </w:pPr>
      <w:r w:rsidRPr="00583A8C">
        <w:rPr>
          <w:rFonts w:cs="Times New Roman"/>
          <w:szCs w:val="24"/>
        </w:rPr>
        <w:tab/>
        <w:t xml:space="preserve">Under the Nash equilibrium, cover practice selection is </w:t>
      </w:r>
      <w:proofErr w:type="gramStart"/>
      <w:r w:rsidRPr="00583A8C">
        <w:rPr>
          <w:rFonts w:cs="Times New Roman"/>
          <w:szCs w:val="24"/>
        </w:rPr>
        <w:t>similar to</w:t>
      </w:r>
      <w:proofErr w:type="gramEnd"/>
      <w:r w:rsidRPr="00583A8C">
        <w:rPr>
          <w:rFonts w:cs="Times New Roman"/>
          <w:szCs w:val="24"/>
        </w:rPr>
        <w:t xml:space="preserve"> the distribution observed in recent signups (table A2).  Four out of the nine fields offer the maximum </w:t>
      </w:r>
      <w:r w:rsidRPr="00583A8C" w:rsidR="004C52C7">
        <w:rPr>
          <w:rFonts w:cs="Times New Roman"/>
          <w:szCs w:val="24"/>
        </w:rPr>
        <w:t>asking price</w:t>
      </w:r>
      <w:r w:rsidRPr="00583A8C">
        <w:rPr>
          <w:rFonts w:cs="Times New Roman"/>
          <w:szCs w:val="24"/>
        </w:rPr>
        <w:t xml:space="preserve"> at the Nash equilibrium (zero bid down) which is also within the range of recent signups.  Average bid down, conditional on any bid down, is about 3 percent, which is slightly lower than in recent sign ups (table A3).</w:t>
      </w:r>
    </w:p>
    <w:p w:rsidRPr="00583A8C" w:rsidR="00C6233B" w:rsidP="00C6233B" w:rsidRDefault="00C6233B" w14:paraId="4F15C94C" w14:textId="5F2798DF">
      <w:pPr>
        <w:ind w:firstLine="0"/>
        <w:rPr>
          <w:b/>
          <w:bCs/>
        </w:rPr>
      </w:pPr>
      <w:r w:rsidRPr="00583A8C">
        <w:rPr>
          <w:b/>
          <w:bCs/>
        </w:rPr>
        <w:t>Table A2: Cover practice selection in recent signups and Nash equilibrium.</w:t>
      </w:r>
    </w:p>
    <w:tbl>
      <w:tblPr>
        <w:tblW w:w="5580" w:type="dxa"/>
        <w:jc w:val="center"/>
        <w:tblLook w:val="04A0" w:firstRow="1" w:lastRow="0" w:firstColumn="1" w:lastColumn="0" w:noHBand="0" w:noVBand="1"/>
      </w:tblPr>
      <w:tblGrid>
        <w:gridCol w:w="740"/>
        <w:gridCol w:w="860"/>
        <w:gridCol w:w="880"/>
        <w:gridCol w:w="1100"/>
        <w:gridCol w:w="1040"/>
        <w:gridCol w:w="960"/>
      </w:tblGrid>
      <w:tr w:rsidRPr="00583A8C" w:rsidR="00C6233B" w:rsidTr="001E1474" w14:paraId="6B932063" w14:textId="77777777">
        <w:trPr>
          <w:trHeight w:val="300"/>
          <w:jc w:val="center"/>
        </w:trPr>
        <w:tc>
          <w:tcPr>
            <w:tcW w:w="740" w:type="dxa"/>
            <w:tcBorders>
              <w:top w:val="nil"/>
              <w:left w:val="nil"/>
              <w:bottom w:val="single" w:color="auto" w:sz="4" w:space="0"/>
              <w:right w:val="nil"/>
            </w:tcBorders>
            <w:shd w:val="clear" w:color="auto" w:fill="auto"/>
            <w:noWrap/>
            <w:vAlign w:val="bottom"/>
            <w:hideMark/>
          </w:tcPr>
          <w:p w:rsidRPr="00583A8C" w:rsidR="00C6233B" w:rsidP="001E1474" w:rsidRDefault="00C6233B" w14:paraId="11D83830" w14:textId="77777777">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Year</w:t>
            </w:r>
          </w:p>
        </w:tc>
        <w:tc>
          <w:tcPr>
            <w:tcW w:w="860" w:type="dxa"/>
            <w:tcBorders>
              <w:top w:val="nil"/>
              <w:left w:val="nil"/>
              <w:bottom w:val="single" w:color="auto" w:sz="4" w:space="0"/>
              <w:right w:val="nil"/>
            </w:tcBorders>
            <w:shd w:val="clear" w:color="auto" w:fill="auto"/>
            <w:noWrap/>
            <w:vAlign w:val="bottom"/>
            <w:hideMark/>
          </w:tcPr>
          <w:p w:rsidRPr="00583A8C" w:rsidR="00C6233B" w:rsidP="001E1474" w:rsidRDefault="00C6233B" w14:paraId="2EF0392B" w14:textId="77777777">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Signup</w:t>
            </w:r>
          </w:p>
        </w:tc>
        <w:tc>
          <w:tcPr>
            <w:tcW w:w="880" w:type="dxa"/>
            <w:tcBorders>
              <w:top w:val="nil"/>
              <w:left w:val="nil"/>
              <w:bottom w:val="single" w:color="auto" w:sz="4" w:space="0"/>
              <w:right w:val="nil"/>
            </w:tcBorders>
            <w:shd w:val="clear" w:color="auto" w:fill="auto"/>
            <w:noWrap/>
            <w:vAlign w:val="bottom"/>
            <w:hideMark/>
          </w:tcPr>
          <w:p w:rsidRPr="00583A8C" w:rsidR="00C6233B" w:rsidP="001E1474" w:rsidRDefault="00C6233B" w14:paraId="50CDF525" w14:textId="77777777">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Basic</w:t>
            </w:r>
          </w:p>
        </w:tc>
        <w:tc>
          <w:tcPr>
            <w:tcW w:w="1100" w:type="dxa"/>
            <w:tcBorders>
              <w:top w:val="nil"/>
              <w:left w:val="nil"/>
              <w:bottom w:val="single" w:color="auto" w:sz="4" w:space="0"/>
              <w:right w:val="nil"/>
            </w:tcBorders>
            <w:shd w:val="clear" w:color="auto" w:fill="auto"/>
            <w:noWrap/>
            <w:vAlign w:val="bottom"/>
            <w:hideMark/>
          </w:tcPr>
          <w:p w:rsidRPr="00583A8C" w:rsidR="00C6233B" w:rsidP="001E1474" w:rsidRDefault="00C6233B" w14:paraId="08427412" w14:textId="77777777">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Good</w:t>
            </w:r>
          </w:p>
        </w:tc>
        <w:tc>
          <w:tcPr>
            <w:tcW w:w="1040" w:type="dxa"/>
            <w:tcBorders>
              <w:top w:val="nil"/>
              <w:left w:val="nil"/>
              <w:bottom w:val="single" w:color="auto" w:sz="4" w:space="0"/>
              <w:right w:val="nil"/>
            </w:tcBorders>
            <w:shd w:val="clear" w:color="auto" w:fill="auto"/>
            <w:noWrap/>
            <w:vAlign w:val="bottom"/>
            <w:hideMark/>
          </w:tcPr>
          <w:p w:rsidRPr="00583A8C" w:rsidR="00C6233B" w:rsidP="001E1474" w:rsidRDefault="00C6233B" w14:paraId="786B9207" w14:textId="77777777">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Better</w:t>
            </w:r>
          </w:p>
        </w:tc>
        <w:tc>
          <w:tcPr>
            <w:tcW w:w="960" w:type="dxa"/>
            <w:tcBorders>
              <w:top w:val="nil"/>
              <w:left w:val="nil"/>
              <w:bottom w:val="single" w:color="auto" w:sz="4" w:space="0"/>
              <w:right w:val="nil"/>
            </w:tcBorders>
            <w:shd w:val="clear" w:color="auto" w:fill="auto"/>
            <w:noWrap/>
            <w:vAlign w:val="bottom"/>
            <w:hideMark/>
          </w:tcPr>
          <w:p w:rsidRPr="00583A8C" w:rsidR="00C6233B" w:rsidP="001E1474" w:rsidRDefault="00C6233B" w14:paraId="51CE1F49" w14:textId="77777777">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Best</w:t>
            </w:r>
          </w:p>
        </w:tc>
      </w:tr>
      <w:tr w:rsidRPr="00583A8C" w:rsidR="00C6233B" w:rsidTr="001E1474" w14:paraId="5FF3A64F" w14:textId="77777777">
        <w:trPr>
          <w:trHeight w:val="300"/>
          <w:jc w:val="center"/>
        </w:trPr>
        <w:tc>
          <w:tcPr>
            <w:tcW w:w="740" w:type="dxa"/>
            <w:tcBorders>
              <w:top w:val="nil"/>
              <w:left w:val="nil"/>
              <w:bottom w:val="nil"/>
              <w:right w:val="nil"/>
            </w:tcBorders>
            <w:shd w:val="clear" w:color="auto" w:fill="auto"/>
            <w:noWrap/>
            <w:vAlign w:val="bottom"/>
            <w:hideMark/>
          </w:tcPr>
          <w:p w:rsidRPr="00583A8C" w:rsidR="00C6233B" w:rsidP="001E1474" w:rsidRDefault="00C6233B" w14:paraId="064E7340" w14:textId="77777777">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2010</w:t>
            </w:r>
          </w:p>
        </w:tc>
        <w:tc>
          <w:tcPr>
            <w:tcW w:w="860" w:type="dxa"/>
            <w:tcBorders>
              <w:top w:val="nil"/>
              <w:left w:val="nil"/>
              <w:bottom w:val="nil"/>
              <w:right w:val="nil"/>
            </w:tcBorders>
            <w:shd w:val="clear" w:color="auto" w:fill="auto"/>
            <w:noWrap/>
            <w:vAlign w:val="bottom"/>
            <w:hideMark/>
          </w:tcPr>
          <w:p w:rsidRPr="00583A8C" w:rsidR="00C6233B" w:rsidP="001E1474" w:rsidRDefault="00C6233B" w14:paraId="0AA80657" w14:textId="77777777">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41</w:t>
            </w:r>
          </w:p>
        </w:tc>
        <w:tc>
          <w:tcPr>
            <w:tcW w:w="880" w:type="dxa"/>
            <w:tcBorders>
              <w:top w:val="nil"/>
              <w:left w:val="nil"/>
              <w:bottom w:val="nil"/>
              <w:right w:val="nil"/>
            </w:tcBorders>
            <w:shd w:val="clear" w:color="auto" w:fill="auto"/>
            <w:noWrap/>
            <w:vAlign w:val="bottom"/>
            <w:hideMark/>
          </w:tcPr>
          <w:p w:rsidRPr="00583A8C" w:rsidR="00C6233B" w:rsidP="001E1474" w:rsidRDefault="00C6233B" w14:paraId="6B07F1E6" w14:textId="77777777">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10.6%</w:t>
            </w:r>
          </w:p>
        </w:tc>
        <w:tc>
          <w:tcPr>
            <w:tcW w:w="1100" w:type="dxa"/>
            <w:tcBorders>
              <w:top w:val="nil"/>
              <w:left w:val="nil"/>
              <w:bottom w:val="nil"/>
              <w:right w:val="nil"/>
            </w:tcBorders>
            <w:shd w:val="clear" w:color="auto" w:fill="auto"/>
            <w:noWrap/>
            <w:vAlign w:val="bottom"/>
            <w:hideMark/>
          </w:tcPr>
          <w:p w:rsidRPr="00583A8C" w:rsidR="00C6233B" w:rsidP="001E1474" w:rsidRDefault="00C6233B" w14:paraId="2AD7EA89" w14:textId="77777777">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58.3%</w:t>
            </w:r>
          </w:p>
        </w:tc>
        <w:tc>
          <w:tcPr>
            <w:tcW w:w="1040" w:type="dxa"/>
            <w:tcBorders>
              <w:top w:val="nil"/>
              <w:left w:val="nil"/>
              <w:bottom w:val="nil"/>
              <w:right w:val="nil"/>
            </w:tcBorders>
            <w:shd w:val="clear" w:color="auto" w:fill="auto"/>
            <w:noWrap/>
            <w:vAlign w:val="bottom"/>
            <w:hideMark/>
          </w:tcPr>
          <w:p w:rsidRPr="00583A8C" w:rsidR="00C6233B" w:rsidP="001E1474" w:rsidRDefault="00C6233B" w14:paraId="384D457D" w14:textId="77777777">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8.2%</w:t>
            </w:r>
          </w:p>
        </w:tc>
        <w:tc>
          <w:tcPr>
            <w:tcW w:w="960" w:type="dxa"/>
            <w:tcBorders>
              <w:top w:val="nil"/>
              <w:left w:val="nil"/>
              <w:bottom w:val="nil"/>
              <w:right w:val="nil"/>
            </w:tcBorders>
            <w:shd w:val="clear" w:color="auto" w:fill="auto"/>
            <w:noWrap/>
            <w:vAlign w:val="bottom"/>
            <w:hideMark/>
          </w:tcPr>
          <w:p w:rsidRPr="00583A8C" w:rsidR="00C6233B" w:rsidP="001E1474" w:rsidRDefault="00C6233B" w14:paraId="076F9D56" w14:textId="77777777">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15.6%</w:t>
            </w:r>
          </w:p>
        </w:tc>
      </w:tr>
      <w:tr w:rsidRPr="00583A8C" w:rsidR="00C6233B" w:rsidTr="001E1474" w14:paraId="76DFEA9F" w14:textId="77777777">
        <w:trPr>
          <w:trHeight w:val="300"/>
          <w:jc w:val="center"/>
        </w:trPr>
        <w:tc>
          <w:tcPr>
            <w:tcW w:w="740" w:type="dxa"/>
            <w:tcBorders>
              <w:top w:val="nil"/>
              <w:left w:val="nil"/>
              <w:bottom w:val="nil"/>
              <w:right w:val="nil"/>
            </w:tcBorders>
            <w:shd w:val="clear" w:color="auto" w:fill="auto"/>
            <w:noWrap/>
            <w:vAlign w:val="bottom"/>
            <w:hideMark/>
          </w:tcPr>
          <w:p w:rsidRPr="00583A8C" w:rsidR="00C6233B" w:rsidP="001E1474" w:rsidRDefault="00C6233B" w14:paraId="21401C23" w14:textId="77777777">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2011</w:t>
            </w:r>
          </w:p>
        </w:tc>
        <w:tc>
          <w:tcPr>
            <w:tcW w:w="860" w:type="dxa"/>
            <w:tcBorders>
              <w:top w:val="nil"/>
              <w:left w:val="nil"/>
              <w:bottom w:val="nil"/>
              <w:right w:val="nil"/>
            </w:tcBorders>
            <w:shd w:val="clear" w:color="auto" w:fill="auto"/>
            <w:noWrap/>
            <w:vAlign w:val="bottom"/>
            <w:hideMark/>
          </w:tcPr>
          <w:p w:rsidRPr="00583A8C" w:rsidR="00C6233B" w:rsidP="001E1474" w:rsidRDefault="00C6233B" w14:paraId="338432B9" w14:textId="77777777">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43</w:t>
            </w:r>
          </w:p>
        </w:tc>
        <w:tc>
          <w:tcPr>
            <w:tcW w:w="880" w:type="dxa"/>
            <w:tcBorders>
              <w:top w:val="nil"/>
              <w:left w:val="nil"/>
              <w:bottom w:val="nil"/>
              <w:right w:val="nil"/>
            </w:tcBorders>
            <w:shd w:val="clear" w:color="auto" w:fill="auto"/>
            <w:noWrap/>
            <w:vAlign w:val="bottom"/>
            <w:hideMark/>
          </w:tcPr>
          <w:p w:rsidRPr="00583A8C" w:rsidR="00C6233B" w:rsidP="001E1474" w:rsidRDefault="00C6233B" w14:paraId="719AAC09" w14:textId="77777777">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15.8%</w:t>
            </w:r>
          </w:p>
        </w:tc>
        <w:tc>
          <w:tcPr>
            <w:tcW w:w="1100" w:type="dxa"/>
            <w:tcBorders>
              <w:top w:val="nil"/>
              <w:left w:val="nil"/>
              <w:bottom w:val="nil"/>
              <w:right w:val="nil"/>
            </w:tcBorders>
            <w:shd w:val="clear" w:color="auto" w:fill="auto"/>
            <w:noWrap/>
            <w:vAlign w:val="bottom"/>
            <w:hideMark/>
          </w:tcPr>
          <w:p w:rsidRPr="00583A8C" w:rsidR="00C6233B" w:rsidP="001E1474" w:rsidRDefault="00C6233B" w14:paraId="55C6C463" w14:textId="77777777">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56.9%</w:t>
            </w:r>
          </w:p>
        </w:tc>
        <w:tc>
          <w:tcPr>
            <w:tcW w:w="1040" w:type="dxa"/>
            <w:tcBorders>
              <w:top w:val="nil"/>
              <w:left w:val="nil"/>
              <w:bottom w:val="nil"/>
              <w:right w:val="nil"/>
            </w:tcBorders>
            <w:shd w:val="clear" w:color="auto" w:fill="auto"/>
            <w:noWrap/>
            <w:vAlign w:val="bottom"/>
            <w:hideMark/>
          </w:tcPr>
          <w:p w:rsidRPr="00583A8C" w:rsidR="00C6233B" w:rsidP="001E1474" w:rsidRDefault="00C6233B" w14:paraId="4568F231" w14:textId="77777777">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9.2%</w:t>
            </w:r>
          </w:p>
        </w:tc>
        <w:tc>
          <w:tcPr>
            <w:tcW w:w="960" w:type="dxa"/>
            <w:tcBorders>
              <w:top w:val="nil"/>
              <w:left w:val="nil"/>
              <w:bottom w:val="nil"/>
              <w:right w:val="nil"/>
            </w:tcBorders>
            <w:shd w:val="clear" w:color="auto" w:fill="auto"/>
            <w:noWrap/>
            <w:vAlign w:val="bottom"/>
            <w:hideMark/>
          </w:tcPr>
          <w:p w:rsidRPr="00583A8C" w:rsidR="00C6233B" w:rsidP="001E1474" w:rsidRDefault="00C6233B" w14:paraId="66200EAD" w14:textId="77777777">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12.5%</w:t>
            </w:r>
          </w:p>
        </w:tc>
      </w:tr>
      <w:tr w:rsidRPr="00583A8C" w:rsidR="00C6233B" w:rsidTr="001E1474" w14:paraId="40CB3B8A" w14:textId="77777777">
        <w:trPr>
          <w:trHeight w:val="300"/>
          <w:jc w:val="center"/>
        </w:trPr>
        <w:tc>
          <w:tcPr>
            <w:tcW w:w="740" w:type="dxa"/>
            <w:tcBorders>
              <w:top w:val="nil"/>
              <w:left w:val="nil"/>
              <w:bottom w:val="nil"/>
              <w:right w:val="nil"/>
            </w:tcBorders>
            <w:shd w:val="clear" w:color="auto" w:fill="auto"/>
            <w:noWrap/>
            <w:vAlign w:val="bottom"/>
            <w:hideMark/>
          </w:tcPr>
          <w:p w:rsidRPr="00583A8C" w:rsidR="00C6233B" w:rsidP="001E1474" w:rsidRDefault="00C6233B" w14:paraId="0738C58F" w14:textId="77777777">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2012</w:t>
            </w:r>
          </w:p>
        </w:tc>
        <w:tc>
          <w:tcPr>
            <w:tcW w:w="860" w:type="dxa"/>
            <w:tcBorders>
              <w:top w:val="nil"/>
              <w:left w:val="nil"/>
              <w:bottom w:val="nil"/>
              <w:right w:val="nil"/>
            </w:tcBorders>
            <w:shd w:val="clear" w:color="auto" w:fill="auto"/>
            <w:noWrap/>
            <w:vAlign w:val="bottom"/>
            <w:hideMark/>
          </w:tcPr>
          <w:p w:rsidRPr="00583A8C" w:rsidR="00C6233B" w:rsidP="001E1474" w:rsidRDefault="00C6233B" w14:paraId="27FFB2BA" w14:textId="77777777">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45</w:t>
            </w:r>
          </w:p>
        </w:tc>
        <w:tc>
          <w:tcPr>
            <w:tcW w:w="880" w:type="dxa"/>
            <w:tcBorders>
              <w:top w:val="nil"/>
              <w:left w:val="nil"/>
              <w:bottom w:val="nil"/>
              <w:right w:val="nil"/>
            </w:tcBorders>
            <w:shd w:val="clear" w:color="auto" w:fill="auto"/>
            <w:noWrap/>
            <w:vAlign w:val="bottom"/>
            <w:hideMark/>
          </w:tcPr>
          <w:p w:rsidRPr="00583A8C" w:rsidR="00C6233B" w:rsidP="001E1474" w:rsidRDefault="00C6233B" w14:paraId="177850C1" w14:textId="77777777">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14.8%</w:t>
            </w:r>
          </w:p>
        </w:tc>
        <w:tc>
          <w:tcPr>
            <w:tcW w:w="1100" w:type="dxa"/>
            <w:tcBorders>
              <w:top w:val="nil"/>
              <w:left w:val="nil"/>
              <w:bottom w:val="nil"/>
              <w:right w:val="nil"/>
            </w:tcBorders>
            <w:shd w:val="clear" w:color="auto" w:fill="auto"/>
            <w:noWrap/>
            <w:vAlign w:val="bottom"/>
            <w:hideMark/>
          </w:tcPr>
          <w:p w:rsidRPr="00583A8C" w:rsidR="00C6233B" w:rsidP="001E1474" w:rsidRDefault="00C6233B" w14:paraId="7DBEC504" w14:textId="77777777">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58.2%</w:t>
            </w:r>
          </w:p>
        </w:tc>
        <w:tc>
          <w:tcPr>
            <w:tcW w:w="1040" w:type="dxa"/>
            <w:tcBorders>
              <w:top w:val="nil"/>
              <w:left w:val="nil"/>
              <w:bottom w:val="nil"/>
              <w:right w:val="nil"/>
            </w:tcBorders>
            <w:shd w:val="clear" w:color="auto" w:fill="auto"/>
            <w:noWrap/>
            <w:vAlign w:val="bottom"/>
            <w:hideMark/>
          </w:tcPr>
          <w:p w:rsidRPr="00583A8C" w:rsidR="00C6233B" w:rsidP="001E1474" w:rsidRDefault="00C6233B" w14:paraId="1A99208B" w14:textId="77777777">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11.1%</w:t>
            </w:r>
          </w:p>
        </w:tc>
        <w:tc>
          <w:tcPr>
            <w:tcW w:w="960" w:type="dxa"/>
            <w:tcBorders>
              <w:top w:val="nil"/>
              <w:left w:val="nil"/>
              <w:bottom w:val="nil"/>
              <w:right w:val="nil"/>
            </w:tcBorders>
            <w:shd w:val="clear" w:color="auto" w:fill="auto"/>
            <w:noWrap/>
            <w:vAlign w:val="bottom"/>
            <w:hideMark/>
          </w:tcPr>
          <w:p w:rsidRPr="00583A8C" w:rsidR="00C6233B" w:rsidP="001E1474" w:rsidRDefault="00C6233B" w14:paraId="7F823229" w14:textId="77777777">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10.4%</w:t>
            </w:r>
          </w:p>
        </w:tc>
      </w:tr>
      <w:tr w:rsidRPr="00583A8C" w:rsidR="00C6233B" w:rsidTr="00C6233B" w14:paraId="64B494D6" w14:textId="77777777">
        <w:trPr>
          <w:trHeight w:val="300"/>
          <w:jc w:val="center"/>
        </w:trPr>
        <w:tc>
          <w:tcPr>
            <w:tcW w:w="740" w:type="dxa"/>
            <w:tcBorders>
              <w:top w:val="nil"/>
              <w:left w:val="nil"/>
              <w:bottom w:val="nil"/>
              <w:right w:val="nil"/>
            </w:tcBorders>
            <w:shd w:val="clear" w:color="auto" w:fill="auto"/>
            <w:noWrap/>
            <w:vAlign w:val="bottom"/>
            <w:hideMark/>
          </w:tcPr>
          <w:p w:rsidRPr="00583A8C" w:rsidR="00C6233B" w:rsidP="001E1474" w:rsidRDefault="00C6233B" w14:paraId="4FB805A8" w14:textId="77777777">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2016</w:t>
            </w:r>
          </w:p>
        </w:tc>
        <w:tc>
          <w:tcPr>
            <w:tcW w:w="860" w:type="dxa"/>
            <w:tcBorders>
              <w:top w:val="nil"/>
              <w:left w:val="nil"/>
              <w:bottom w:val="nil"/>
              <w:right w:val="nil"/>
            </w:tcBorders>
            <w:shd w:val="clear" w:color="auto" w:fill="auto"/>
            <w:noWrap/>
            <w:vAlign w:val="bottom"/>
            <w:hideMark/>
          </w:tcPr>
          <w:p w:rsidRPr="00583A8C" w:rsidR="00C6233B" w:rsidP="001E1474" w:rsidRDefault="00C6233B" w14:paraId="61BDE6C7" w14:textId="77777777">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49</w:t>
            </w:r>
          </w:p>
        </w:tc>
        <w:tc>
          <w:tcPr>
            <w:tcW w:w="880" w:type="dxa"/>
            <w:tcBorders>
              <w:top w:val="nil"/>
              <w:left w:val="nil"/>
              <w:bottom w:val="nil"/>
              <w:right w:val="nil"/>
            </w:tcBorders>
            <w:shd w:val="clear" w:color="auto" w:fill="auto"/>
            <w:noWrap/>
            <w:vAlign w:val="bottom"/>
            <w:hideMark/>
          </w:tcPr>
          <w:p w:rsidRPr="00583A8C" w:rsidR="00C6233B" w:rsidP="001E1474" w:rsidRDefault="00C6233B" w14:paraId="4D4B5DF2" w14:textId="77777777">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5.7%</w:t>
            </w:r>
          </w:p>
        </w:tc>
        <w:tc>
          <w:tcPr>
            <w:tcW w:w="1100" w:type="dxa"/>
            <w:tcBorders>
              <w:top w:val="nil"/>
              <w:left w:val="nil"/>
              <w:bottom w:val="nil"/>
              <w:right w:val="nil"/>
            </w:tcBorders>
            <w:shd w:val="clear" w:color="auto" w:fill="auto"/>
            <w:noWrap/>
            <w:vAlign w:val="bottom"/>
            <w:hideMark/>
          </w:tcPr>
          <w:p w:rsidRPr="00583A8C" w:rsidR="00C6233B" w:rsidP="001E1474" w:rsidRDefault="00C6233B" w14:paraId="5F5FFE34" w14:textId="77777777">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62.8%</w:t>
            </w:r>
          </w:p>
        </w:tc>
        <w:tc>
          <w:tcPr>
            <w:tcW w:w="1040" w:type="dxa"/>
            <w:tcBorders>
              <w:top w:val="nil"/>
              <w:left w:val="nil"/>
              <w:bottom w:val="nil"/>
              <w:right w:val="nil"/>
            </w:tcBorders>
            <w:shd w:val="clear" w:color="auto" w:fill="auto"/>
            <w:noWrap/>
            <w:vAlign w:val="bottom"/>
            <w:hideMark/>
          </w:tcPr>
          <w:p w:rsidRPr="00583A8C" w:rsidR="00C6233B" w:rsidP="001E1474" w:rsidRDefault="00C6233B" w14:paraId="00A8034F" w14:textId="77777777">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7.8%</w:t>
            </w:r>
          </w:p>
        </w:tc>
        <w:tc>
          <w:tcPr>
            <w:tcW w:w="960" w:type="dxa"/>
            <w:tcBorders>
              <w:top w:val="nil"/>
              <w:left w:val="nil"/>
              <w:bottom w:val="nil"/>
              <w:right w:val="nil"/>
            </w:tcBorders>
            <w:shd w:val="clear" w:color="auto" w:fill="auto"/>
            <w:noWrap/>
            <w:vAlign w:val="bottom"/>
            <w:hideMark/>
          </w:tcPr>
          <w:p w:rsidRPr="00583A8C" w:rsidR="00C6233B" w:rsidP="001E1474" w:rsidRDefault="00C6233B" w14:paraId="4893AF30" w14:textId="77777777">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19.4%</w:t>
            </w:r>
          </w:p>
        </w:tc>
      </w:tr>
      <w:tr w:rsidRPr="00583A8C" w:rsidR="00C6233B" w:rsidTr="00C6233B" w14:paraId="35A5E290" w14:textId="77777777">
        <w:trPr>
          <w:trHeight w:val="300"/>
          <w:jc w:val="center"/>
        </w:trPr>
        <w:tc>
          <w:tcPr>
            <w:tcW w:w="740" w:type="dxa"/>
            <w:tcBorders>
              <w:top w:val="nil"/>
              <w:left w:val="nil"/>
              <w:bottom w:val="nil"/>
              <w:right w:val="nil"/>
            </w:tcBorders>
            <w:shd w:val="clear" w:color="auto" w:fill="auto"/>
            <w:noWrap/>
            <w:vAlign w:val="bottom"/>
          </w:tcPr>
          <w:p w:rsidRPr="00583A8C" w:rsidR="00C6233B" w:rsidP="001E1474" w:rsidRDefault="00C6233B" w14:paraId="21F492CA" w14:textId="77777777">
            <w:pPr>
              <w:spacing w:after="0" w:line="240" w:lineRule="auto"/>
              <w:ind w:firstLine="0"/>
              <w:jc w:val="center"/>
              <w:rPr>
                <w:rFonts w:ascii="Calibri" w:hAnsi="Calibri" w:eastAsia="Times New Roman" w:cs="Calibri"/>
                <w:color w:val="000000"/>
                <w:sz w:val="22"/>
              </w:rPr>
            </w:pPr>
          </w:p>
        </w:tc>
        <w:tc>
          <w:tcPr>
            <w:tcW w:w="860" w:type="dxa"/>
            <w:tcBorders>
              <w:top w:val="nil"/>
              <w:left w:val="nil"/>
              <w:bottom w:val="nil"/>
              <w:right w:val="nil"/>
            </w:tcBorders>
            <w:shd w:val="clear" w:color="auto" w:fill="auto"/>
            <w:noWrap/>
            <w:vAlign w:val="bottom"/>
          </w:tcPr>
          <w:p w:rsidRPr="00583A8C" w:rsidR="00C6233B" w:rsidP="001E1474" w:rsidRDefault="00C6233B" w14:paraId="3EB003FC" w14:textId="77777777">
            <w:pPr>
              <w:spacing w:after="0" w:line="240" w:lineRule="auto"/>
              <w:ind w:firstLine="0"/>
              <w:jc w:val="center"/>
              <w:rPr>
                <w:rFonts w:ascii="Calibri" w:hAnsi="Calibri" w:eastAsia="Times New Roman" w:cs="Calibri"/>
                <w:color w:val="000000"/>
                <w:sz w:val="22"/>
              </w:rPr>
            </w:pPr>
          </w:p>
        </w:tc>
        <w:tc>
          <w:tcPr>
            <w:tcW w:w="880" w:type="dxa"/>
            <w:tcBorders>
              <w:top w:val="nil"/>
              <w:left w:val="nil"/>
              <w:bottom w:val="nil"/>
              <w:right w:val="nil"/>
            </w:tcBorders>
            <w:shd w:val="clear" w:color="auto" w:fill="auto"/>
            <w:noWrap/>
            <w:vAlign w:val="bottom"/>
          </w:tcPr>
          <w:p w:rsidRPr="00583A8C" w:rsidR="00C6233B" w:rsidP="001E1474" w:rsidRDefault="00C6233B" w14:paraId="0195A1A8" w14:textId="77777777">
            <w:pPr>
              <w:spacing w:after="0" w:line="240" w:lineRule="auto"/>
              <w:ind w:firstLine="0"/>
              <w:jc w:val="center"/>
              <w:rPr>
                <w:rFonts w:ascii="Calibri" w:hAnsi="Calibri" w:eastAsia="Times New Roman" w:cs="Calibri"/>
                <w:color w:val="000000"/>
                <w:sz w:val="22"/>
              </w:rPr>
            </w:pPr>
          </w:p>
        </w:tc>
        <w:tc>
          <w:tcPr>
            <w:tcW w:w="1100" w:type="dxa"/>
            <w:tcBorders>
              <w:top w:val="nil"/>
              <w:left w:val="nil"/>
              <w:bottom w:val="nil"/>
              <w:right w:val="nil"/>
            </w:tcBorders>
            <w:shd w:val="clear" w:color="auto" w:fill="auto"/>
            <w:noWrap/>
            <w:vAlign w:val="bottom"/>
          </w:tcPr>
          <w:p w:rsidRPr="00583A8C" w:rsidR="00C6233B" w:rsidP="001E1474" w:rsidRDefault="00C6233B" w14:paraId="64676BF7" w14:textId="77777777">
            <w:pPr>
              <w:spacing w:after="0" w:line="240" w:lineRule="auto"/>
              <w:ind w:firstLine="0"/>
              <w:jc w:val="center"/>
              <w:rPr>
                <w:rFonts w:ascii="Calibri" w:hAnsi="Calibri" w:eastAsia="Times New Roman" w:cs="Calibri"/>
                <w:color w:val="000000"/>
                <w:sz w:val="22"/>
              </w:rPr>
            </w:pPr>
          </w:p>
        </w:tc>
        <w:tc>
          <w:tcPr>
            <w:tcW w:w="1040" w:type="dxa"/>
            <w:tcBorders>
              <w:top w:val="nil"/>
              <w:left w:val="nil"/>
              <w:bottom w:val="nil"/>
              <w:right w:val="nil"/>
            </w:tcBorders>
            <w:shd w:val="clear" w:color="auto" w:fill="auto"/>
            <w:noWrap/>
            <w:vAlign w:val="bottom"/>
          </w:tcPr>
          <w:p w:rsidRPr="00583A8C" w:rsidR="00C6233B" w:rsidP="001E1474" w:rsidRDefault="00C6233B" w14:paraId="6EA5DCF0" w14:textId="77777777">
            <w:pPr>
              <w:spacing w:after="0" w:line="240" w:lineRule="auto"/>
              <w:ind w:firstLine="0"/>
              <w:jc w:val="center"/>
              <w:rPr>
                <w:rFonts w:ascii="Calibri" w:hAnsi="Calibri" w:eastAsia="Times New Roman" w:cs="Calibri"/>
                <w:color w:val="000000"/>
                <w:sz w:val="22"/>
              </w:rPr>
            </w:pPr>
          </w:p>
        </w:tc>
        <w:tc>
          <w:tcPr>
            <w:tcW w:w="960" w:type="dxa"/>
            <w:tcBorders>
              <w:top w:val="nil"/>
              <w:left w:val="nil"/>
              <w:bottom w:val="nil"/>
              <w:right w:val="nil"/>
            </w:tcBorders>
            <w:shd w:val="clear" w:color="auto" w:fill="auto"/>
            <w:noWrap/>
            <w:vAlign w:val="bottom"/>
          </w:tcPr>
          <w:p w:rsidRPr="00583A8C" w:rsidR="00C6233B" w:rsidP="001E1474" w:rsidRDefault="00C6233B" w14:paraId="6C19D24E" w14:textId="77777777">
            <w:pPr>
              <w:spacing w:after="0" w:line="240" w:lineRule="auto"/>
              <w:ind w:firstLine="0"/>
              <w:jc w:val="center"/>
              <w:rPr>
                <w:rFonts w:ascii="Calibri" w:hAnsi="Calibri" w:eastAsia="Times New Roman" w:cs="Calibri"/>
                <w:color w:val="000000"/>
                <w:sz w:val="22"/>
              </w:rPr>
            </w:pPr>
          </w:p>
        </w:tc>
      </w:tr>
      <w:tr w:rsidRPr="00583A8C" w:rsidR="00C6233B" w:rsidTr="001E1474" w14:paraId="090C66AF" w14:textId="77777777">
        <w:trPr>
          <w:trHeight w:val="300"/>
          <w:jc w:val="center"/>
        </w:trPr>
        <w:tc>
          <w:tcPr>
            <w:tcW w:w="740" w:type="dxa"/>
            <w:tcBorders>
              <w:top w:val="nil"/>
              <w:left w:val="nil"/>
              <w:bottom w:val="single" w:color="auto" w:sz="4" w:space="0"/>
              <w:right w:val="nil"/>
            </w:tcBorders>
            <w:shd w:val="clear" w:color="auto" w:fill="auto"/>
            <w:noWrap/>
            <w:vAlign w:val="bottom"/>
          </w:tcPr>
          <w:p w:rsidRPr="00583A8C" w:rsidR="00C6233B" w:rsidP="001E1474" w:rsidRDefault="00C6233B" w14:paraId="7F5DC95B" w14:textId="7EFD843C">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Nash</w:t>
            </w:r>
          </w:p>
        </w:tc>
        <w:tc>
          <w:tcPr>
            <w:tcW w:w="860" w:type="dxa"/>
            <w:tcBorders>
              <w:top w:val="nil"/>
              <w:left w:val="nil"/>
              <w:bottom w:val="single" w:color="auto" w:sz="4" w:space="0"/>
              <w:right w:val="nil"/>
            </w:tcBorders>
            <w:shd w:val="clear" w:color="auto" w:fill="auto"/>
            <w:noWrap/>
            <w:vAlign w:val="bottom"/>
          </w:tcPr>
          <w:p w:rsidRPr="00583A8C" w:rsidR="00C6233B" w:rsidP="001E1474" w:rsidRDefault="00C6233B" w14:paraId="4C029CB9" w14:textId="77777777">
            <w:pPr>
              <w:spacing w:after="0" w:line="240" w:lineRule="auto"/>
              <w:ind w:firstLine="0"/>
              <w:jc w:val="center"/>
              <w:rPr>
                <w:rFonts w:ascii="Calibri" w:hAnsi="Calibri" w:eastAsia="Times New Roman" w:cs="Calibri"/>
                <w:color w:val="000000"/>
                <w:sz w:val="22"/>
              </w:rPr>
            </w:pPr>
          </w:p>
        </w:tc>
        <w:tc>
          <w:tcPr>
            <w:tcW w:w="880" w:type="dxa"/>
            <w:tcBorders>
              <w:top w:val="nil"/>
              <w:left w:val="nil"/>
              <w:bottom w:val="single" w:color="auto" w:sz="4" w:space="0"/>
              <w:right w:val="nil"/>
            </w:tcBorders>
            <w:shd w:val="clear" w:color="auto" w:fill="auto"/>
            <w:noWrap/>
            <w:vAlign w:val="bottom"/>
          </w:tcPr>
          <w:p w:rsidRPr="00583A8C" w:rsidR="00C6233B" w:rsidP="001E1474" w:rsidRDefault="00C6233B" w14:paraId="1B433801" w14:textId="734C9993">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11.1%</w:t>
            </w:r>
          </w:p>
        </w:tc>
        <w:tc>
          <w:tcPr>
            <w:tcW w:w="1100" w:type="dxa"/>
            <w:tcBorders>
              <w:top w:val="nil"/>
              <w:left w:val="nil"/>
              <w:bottom w:val="single" w:color="auto" w:sz="4" w:space="0"/>
              <w:right w:val="nil"/>
            </w:tcBorders>
            <w:shd w:val="clear" w:color="auto" w:fill="auto"/>
            <w:noWrap/>
            <w:vAlign w:val="bottom"/>
          </w:tcPr>
          <w:p w:rsidRPr="00583A8C" w:rsidR="00C6233B" w:rsidP="001E1474" w:rsidRDefault="00C6233B" w14:paraId="7CC84D2F" w14:textId="655AEBF1">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33.3%</w:t>
            </w:r>
          </w:p>
        </w:tc>
        <w:tc>
          <w:tcPr>
            <w:tcW w:w="1040" w:type="dxa"/>
            <w:tcBorders>
              <w:top w:val="nil"/>
              <w:left w:val="nil"/>
              <w:bottom w:val="single" w:color="auto" w:sz="4" w:space="0"/>
              <w:right w:val="nil"/>
            </w:tcBorders>
            <w:shd w:val="clear" w:color="auto" w:fill="auto"/>
            <w:noWrap/>
            <w:vAlign w:val="bottom"/>
          </w:tcPr>
          <w:p w:rsidRPr="00583A8C" w:rsidR="00C6233B" w:rsidP="001E1474" w:rsidRDefault="00C6233B" w14:paraId="2B460793" w14:textId="09BED1EE">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33.3%</w:t>
            </w:r>
          </w:p>
        </w:tc>
        <w:tc>
          <w:tcPr>
            <w:tcW w:w="960" w:type="dxa"/>
            <w:tcBorders>
              <w:top w:val="nil"/>
              <w:left w:val="nil"/>
              <w:bottom w:val="single" w:color="auto" w:sz="4" w:space="0"/>
              <w:right w:val="nil"/>
            </w:tcBorders>
            <w:shd w:val="clear" w:color="auto" w:fill="auto"/>
            <w:noWrap/>
            <w:vAlign w:val="bottom"/>
          </w:tcPr>
          <w:p w:rsidRPr="00583A8C" w:rsidR="00C6233B" w:rsidP="001E1474" w:rsidRDefault="00C6233B" w14:paraId="389D63DA" w14:textId="5F713674">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22.2%</w:t>
            </w:r>
          </w:p>
        </w:tc>
      </w:tr>
    </w:tbl>
    <w:p w:rsidRPr="00583A8C" w:rsidR="00013C8B" w:rsidP="0024377B" w:rsidRDefault="00C6233B" w14:paraId="656299A9" w14:textId="4AB29D5E">
      <w:pPr>
        <w:spacing w:line="259" w:lineRule="auto"/>
        <w:ind w:firstLine="0"/>
        <w:rPr>
          <w:rFonts w:cs="Times New Roman"/>
          <w:szCs w:val="24"/>
        </w:rPr>
      </w:pPr>
      <w:r w:rsidRPr="00583A8C">
        <w:rPr>
          <w:rFonts w:cs="Times New Roman"/>
          <w:szCs w:val="24"/>
        </w:rPr>
        <w:t>Note: the analysis looks only at practice choice on new acres, not re-enrolled acres, and excludes offers with tree practices.</w:t>
      </w:r>
    </w:p>
    <w:p w:rsidRPr="00583A8C" w:rsidR="00C6233B" w:rsidP="0024377B" w:rsidRDefault="00C6233B" w14:paraId="613589CF" w14:textId="77777777">
      <w:pPr>
        <w:spacing w:line="259" w:lineRule="auto"/>
        <w:ind w:firstLine="0"/>
        <w:rPr>
          <w:rFonts w:cs="Times New Roman"/>
          <w:szCs w:val="24"/>
        </w:rPr>
      </w:pPr>
    </w:p>
    <w:p w:rsidRPr="00583A8C" w:rsidR="00C6233B" w:rsidP="00C6233B" w:rsidRDefault="00C6233B" w14:paraId="679EB33F" w14:textId="552B927F">
      <w:pPr>
        <w:spacing w:after="0"/>
        <w:ind w:firstLine="0"/>
        <w:rPr>
          <w:rFonts w:cs="Times New Roman"/>
          <w:b/>
          <w:bCs/>
          <w:szCs w:val="24"/>
        </w:rPr>
      </w:pPr>
      <w:r w:rsidRPr="00583A8C">
        <w:rPr>
          <w:rFonts w:cs="Times New Roman"/>
          <w:b/>
          <w:bCs/>
          <w:szCs w:val="24"/>
        </w:rPr>
        <w:t>Table A3: Average bid down</w:t>
      </w:r>
    </w:p>
    <w:tbl>
      <w:tblPr>
        <w:tblW w:w="5580" w:type="dxa"/>
        <w:jc w:val="center"/>
        <w:tblLook w:val="04A0" w:firstRow="1" w:lastRow="0" w:firstColumn="1" w:lastColumn="0" w:noHBand="0" w:noVBand="1"/>
      </w:tblPr>
      <w:tblGrid>
        <w:gridCol w:w="740"/>
        <w:gridCol w:w="860"/>
        <w:gridCol w:w="880"/>
        <w:gridCol w:w="1100"/>
        <w:gridCol w:w="1040"/>
        <w:gridCol w:w="1003"/>
      </w:tblGrid>
      <w:tr w:rsidRPr="00583A8C" w:rsidR="00C6233B" w:rsidTr="001E1474" w14:paraId="597FAF1A" w14:textId="77777777">
        <w:trPr>
          <w:trHeight w:val="660"/>
          <w:jc w:val="center"/>
        </w:trPr>
        <w:tc>
          <w:tcPr>
            <w:tcW w:w="740" w:type="dxa"/>
            <w:tcBorders>
              <w:top w:val="nil"/>
              <w:left w:val="nil"/>
              <w:bottom w:val="single" w:color="auto" w:sz="4" w:space="0"/>
              <w:right w:val="nil"/>
            </w:tcBorders>
            <w:shd w:val="clear" w:color="auto" w:fill="auto"/>
            <w:vAlign w:val="bottom"/>
            <w:hideMark/>
          </w:tcPr>
          <w:p w:rsidRPr="00583A8C" w:rsidR="00C6233B" w:rsidP="001E1474" w:rsidRDefault="00C6233B" w14:paraId="4E4F6CD9" w14:textId="77777777">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Year</w:t>
            </w:r>
          </w:p>
        </w:tc>
        <w:tc>
          <w:tcPr>
            <w:tcW w:w="860" w:type="dxa"/>
            <w:tcBorders>
              <w:top w:val="nil"/>
              <w:left w:val="nil"/>
              <w:bottom w:val="single" w:color="auto" w:sz="4" w:space="0"/>
              <w:right w:val="nil"/>
            </w:tcBorders>
            <w:shd w:val="clear" w:color="auto" w:fill="auto"/>
            <w:vAlign w:val="bottom"/>
            <w:hideMark/>
          </w:tcPr>
          <w:p w:rsidRPr="00583A8C" w:rsidR="00C6233B" w:rsidP="001E1474" w:rsidRDefault="00C6233B" w14:paraId="580FAF6D" w14:textId="77777777">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Signup</w:t>
            </w:r>
          </w:p>
        </w:tc>
        <w:tc>
          <w:tcPr>
            <w:tcW w:w="880" w:type="dxa"/>
            <w:tcBorders>
              <w:top w:val="nil"/>
              <w:left w:val="nil"/>
              <w:bottom w:val="single" w:color="auto" w:sz="4" w:space="0"/>
              <w:right w:val="nil"/>
            </w:tcBorders>
            <w:shd w:val="clear" w:color="auto" w:fill="auto"/>
            <w:vAlign w:val="bottom"/>
            <w:hideMark/>
          </w:tcPr>
          <w:p w:rsidRPr="00583A8C" w:rsidR="00C6233B" w:rsidP="001E1474" w:rsidRDefault="00C6233B" w14:paraId="6CC9C655" w14:textId="77777777">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Offers</w:t>
            </w:r>
          </w:p>
        </w:tc>
        <w:tc>
          <w:tcPr>
            <w:tcW w:w="1100" w:type="dxa"/>
            <w:tcBorders>
              <w:top w:val="nil"/>
              <w:left w:val="nil"/>
              <w:bottom w:val="single" w:color="auto" w:sz="4" w:space="0"/>
              <w:right w:val="nil"/>
            </w:tcBorders>
            <w:shd w:val="clear" w:color="auto" w:fill="auto"/>
            <w:vAlign w:val="bottom"/>
            <w:hideMark/>
          </w:tcPr>
          <w:p w:rsidRPr="00583A8C" w:rsidR="00C6233B" w:rsidP="001E1474" w:rsidRDefault="00C6233B" w14:paraId="13CA8DA3" w14:textId="77777777">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 xml:space="preserve">% </w:t>
            </w:r>
            <w:proofErr w:type="gramStart"/>
            <w:r w:rsidRPr="00583A8C">
              <w:rPr>
                <w:rFonts w:ascii="Calibri" w:hAnsi="Calibri" w:eastAsia="Times New Roman" w:cs="Calibri"/>
                <w:color w:val="000000"/>
                <w:sz w:val="22"/>
              </w:rPr>
              <w:t>with</w:t>
            </w:r>
            <w:proofErr w:type="gramEnd"/>
            <w:r w:rsidRPr="00583A8C">
              <w:rPr>
                <w:rFonts w:ascii="Calibri" w:hAnsi="Calibri" w:eastAsia="Times New Roman" w:cs="Calibri"/>
                <w:color w:val="000000"/>
                <w:sz w:val="22"/>
              </w:rPr>
              <w:t xml:space="preserve"> </w:t>
            </w:r>
            <w:proofErr w:type="spellStart"/>
            <w:r w:rsidRPr="00583A8C">
              <w:rPr>
                <w:rFonts w:ascii="Calibri" w:hAnsi="Calibri" w:eastAsia="Times New Roman" w:cs="Calibri"/>
                <w:color w:val="000000"/>
                <w:sz w:val="22"/>
              </w:rPr>
              <w:t>Biddown</w:t>
            </w:r>
            <w:proofErr w:type="spellEnd"/>
          </w:p>
        </w:tc>
        <w:tc>
          <w:tcPr>
            <w:tcW w:w="1040" w:type="dxa"/>
            <w:tcBorders>
              <w:top w:val="nil"/>
              <w:left w:val="nil"/>
              <w:bottom w:val="single" w:color="auto" w:sz="4" w:space="0"/>
              <w:right w:val="nil"/>
            </w:tcBorders>
            <w:shd w:val="clear" w:color="auto" w:fill="auto"/>
            <w:vAlign w:val="bottom"/>
            <w:hideMark/>
          </w:tcPr>
          <w:p w:rsidRPr="00583A8C" w:rsidR="00C6233B" w:rsidP="001E1474" w:rsidRDefault="00C6233B" w14:paraId="5CA86946" w14:textId="77777777">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 xml:space="preserve">Average </w:t>
            </w:r>
            <w:proofErr w:type="spellStart"/>
            <w:r w:rsidRPr="00583A8C">
              <w:rPr>
                <w:rFonts w:ascii="Calibri" w:hAnsi="Calibri" w:eastAsia="Times New Roman" w:cs="Calibri"/>
                <w:color w:val="000000"/>
                <w:sz w:val="22"/>
              </w:rPr>
              <w:t>Biddown</w:t>
            </w:r>
            <w:proofErr w:type="spellEnd"/>
          </w:p>
        </w:tc>
        <w:tc>
          <w:tcPr>
            <w:tcW w:w="960" w:type="dxa"/>
            <w:tcBorders>
              <w:top w:val="nil"/>
              <w:left w:val="nil"/>
              <w:bottom w:val="single" w:color="auto" w:sz="4" w:space="0"/>
              <w:right w:val="nil"/>
            </w:tcBorders>
            <w:shd w:val="clear" w:color="auto" w:fill="auto"/>
            <w:vAlign w:val="bottom"/>
            <w:hideMark/>
          </w:tcPr>
          <w:p w:rsidRPr="00583A8C" w:rsidR="00C6233B" w:rsidP="001E1474" w:rsidRDefault="00C6233B" w14:paraId="43DB9213" w14:textId="77777777">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 xml:space="preserve">Average </w:t>
            </w:r>
            <w:proofErr w:type="spellStart"/>
            <w:r w:rsidRPr="00583A8C">
              <w:rPr>
                <w:rFonts w:ascii="Calibri" w:hAnsi="Calibri" w:eastAsia="Times New Roman" w:cs="Calibri"/>
                <w:color w:val="000000"/>
                <w:sz w:val="22"/>
              </w:rPr>
              <w:t>biddown</w:t>
            </w:r>
            <w:proofErr w:type="spellEnd"/>
            <w:r w:rsidRPr="00583A8C">
              <w:rPr>
                <w:rFonts w:ascii="Calibri" w:hAnsi="Calibri" w:eastAsia="Times New Roman" w:cs="Calibri"/>
                <w:color w:val="000000"/>
                <w:sz w:val="22"/>
              </w:rPr>
              <w:t xml:space="preserve"> incl. 0’s</w:t>
            </w:r>
          </w:p>
        </w:tc>
      </w:tr>
      <w:tr w:rsidRPr="00583A8C" w:rsidR="00C6233B" w:rsidTr="001E1474" w14:paraId="0E3D9724" w14:textId="77777777">
        <w:trPr>
          <w:trHeight w:val="300"/>
          <w:jc w:val="center"/>
        </w:trPr>
        <w:tc>
          <w:tcPr>
            <w:tcW w:w="740" w:type="dxa"/>
            <w:tcBorders>
              <w:top w:val="nil"/>
              <w:left w:val="nil"/>
              <w:bottom w:val="nil"/>
              <w:right w:val="nil"/>
            </w:tcBorders>
            <w:shd w:val="clear" w:color="auto" w:fill="auto"/>
            <w:noWrap/>
            <w:vAlign w:val="bottom"/>
            <w:hideMark/>
          </w:tcPr>
          <w:p w:rsidRPr="00583A8C" w:rsidR="00C6233B" w:rsidP="001E1474" w:rsidRDefault="00C6233B" w14:paraId="126D6E3C" w14:textId="77777777">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2009</w:t>
            </w:r>
          </w:p>
        </w:tc>
        <w:tc>
          <w:tcPr>
            <w:tcW w:w="860" w:type="dxa"/>
            <w:tcBorders>
              <w:top w:val="nil"/>
              <w:left w:val="nil"/>
              <w:bottom w:val="nil"/>
              <w:right w:val="nil"/>
            </w:tcBorders>
            <w:shd w:val="clear" w:color="auto" w:fill="auto"/>
            <w:noWrap/>
            <w:vAlign w:val="bottom"/>
            <w:hideMark/>
          </w:tcPr>
          <w:p w:rsidRPr="00583A8C" w:rsidR="00C6233B" w:rsidP="001E1474" w:rsidRDefault="00C6233B" w14:paraId="0B2ABBF5" w14:textId="77777777">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39</w:t>
            </w:r>
          </w:p>
        </w:tc>
        <w:tc>
          <w:tcPr>
            <w:tcW w:w="880" w:type="dxa"/>
            <w:tcBorders>
              <w:top w:val="nil"/>
              <w:left w:val="nil"/>
              <w:bottom w:val="nil"/>
              <w:right w:val="nil"/>
            </w:tcBorders>
            <w:shd w:val="clear" w:color="auto" w:fill="auto"/>
            <w:noWrap/>
            <w:vAlign w:val="bottom"/>
            <w:hideMark/>
          </w:tcPr>
          <w:p w:rsidRPr="00583A8C" w:rsidR="00C6233B" w:rsidP="001E1474" w:rsidRDefault="00C6233B" w14:paraId="01795669" w14:textId="77777777">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50,094</w:t>
            </w:r>
          </w:p>
        </w:tc>
        <w:tc>
          <w:tcPr>
            <w:tcW w:w="1100" w:type="dxa"/>
            <w:tcBorders>
              <w:top w:val="nil"/>
              <w:left w:val="nil"/>
              <w:bottom w:val="nil"/>
              <w:right w:val="nil"/>
            </w:tcBorders>
            <w:shd w:val="clear" w:color="auto" w:fill="auto"/>
            <w:noWrap/>
            <w:vAlign w:val="bottom"/>
            <w:hideMark/>
          </w:tcPr>
          <w:p w:rsidRPr="00583A8C" w:rsidR="00C6233B" w:rsidP="001E1474" w:rsidRDefault="00C6233B" w14:paraId="26F4BAA9" w14:textId="77777777">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52.1%</w:t>
            </w:r>
          </w:p>
        </w:tc>
        <w:tc>
          <w:tcPr>
            <w:tcW w:w="1040" w:type="dxa"/>
            <w:tcBorders>
              <w:top w:val="nil"/>
              <w:left w:val="nil"/>
              <w:bottom w:val="nil"/>
              <w:right w:val="nil"/>
            </w:tcBorders>
            <w:shd w:val="clear" w:color="auto" w:fill="auto"/>
            <w:noWrap/>
            <w:vAlign w:val="bottom"/>
            <w:hideMark/>
          </w:tcPr>
          <w:p w:rsidRPr="00583A8C" w:rsidR="00C6233B" w:rsidP="001E1474" w:rsidRDefault="00C6233B" w14:paraId="15A9A7EF" w14:textId="77777777">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11.6%</w:t>
            </w:r>
          </w:p>
        </w:tc>
        <w:tc>
          <w:tcPr>
            <w:tcW w:w="960" w:type="dxa"/>
            <w:tcBorders>
              <w:top w:val="nil"/>
              <w:left w:val="nil"/>
              <w:bottom w:val="nil"/>
              <w:right w:val="nil"/>
            </w:tcBorders>
            <w:shd w:val="clear" w:color="auto" w:fill="auto"/>
            <w:noWrap/>
            <w:vAlign w:val="bottom"/>
            <w:hideMark/>
          </w:tcPr>
          <w:p w:rsidRPr="00583A8C" w:rsidR="00C6233B" w:rsidP="001E1474" w:rsidRDefault="00C6233B" w14:paraId="289C4631" w14:textId="77777777">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6.0%</w:t>
            </w:r>
          </w:p>
        </w:tc>
      </w:tr>
      <w:tr w:rsidRPr="00583A8C" w:rsidR="00C6233B" w:rsidTr="001E1474" w14:paraId="1E6B72FA" w14:textId="77777777">
        <w:trPr>
          <w:trHeight w:val="300"/>
          <w:jc w:val="center"/>
        </w:trPr>
        <w:tc>
          <w:tcPr>
            <w:tcW w:w="740" w:type="dxa"/>
            <w:tcBorders>
              <w:top w:val="nil"/>
              <w:left w:val="nil"/>
              <w:bottom w:val="nil"/>
              <w:right w:val="nil"/>
            </w:tcBorders>
            <w:shd w:val="clear" w:color="auto" w:fill="auto"/>
            <w:noWrap/>
            <w:vAlign w:val="bottom"/>
            <w:hideMark/>
          </w:tcPr>
          <w:p w:rsidRPr="00583A8C" w:rsidR="00C6233B" w:rsidP="001E1474" w:rsidRDefault="00C6233B" w14:paraId="6BDBE6ED" w14:textId="77777777">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2010</w:t>
            </w:r>
          </w:p>
        </w:tc>
        <w:tc>
          <w:tcPr>
            <w:tcW w:w="860" w:type="dxa"/>
            <w:tcBorders>
              <w:top w:val="nil"/>
              <w:left w:val="nil"/>
              <w:bottom w:val="nil"/>
              <w:right w:val="nil"/>
            </w:tcBorders>
            <w:shd w:val="clear" w:color="auto" w:fill="auto"/>
            <w:noWrap/>
            <w:vAlign w:val="bottom"/>
            <w:hideMark/>
          </w:tcPr>
          <w:p w:rsidRPr="00583A8C" w:rsidR="00C6233B" w:rsidP="001E1474" w:rsidRDefault="00C6233B" w14:paraId="6E37060C" w14:textId="77777777">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41</w:t>
            </w:r>
          </w:p>
        </w:tc>
        <w:tc>
          <w:tcPr>
            <w:tcW w:w="880" w:type="dxa"/>
            <w:tcBorders>
              <w:top w:val="nil"/>
              <w:left w:val="nil"/>
              <w:bottom w:val="nil"/>
              <w:right w:val="nil"/>
            </w:tcBorders>
            <w:shd w:val="clear" w:color="auto" w:fill="auto"/>
            <w:noWrap/>
            <w:vAlign w:val="bottom"/>
            <w:hideMark/>
          </w:tcPr>
          <w:p w:rsidRPr="00583A8C" w:rsidR="00C6233B" w:rsidP="001E1474" w:rsidRDefault="00C6233B" w14:paraId="4FEFEAD3" w14:textId="77777777">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37,715</w:t>
            </w:r>
          </w:p>
        </w:tc>
        <w:tc>
          <w:tcPr>
            <w:tcW w:w="1100" w:type="dxa"/>
            <w:tcBorders>
              <w:top w:val="nil"/>
              <w:left w:val="nil"/>
              <w:bottom w:val="nil"/>
              <w:right w:val="nil"/>
            </w:tcBorders>
            <w:shd w:val="clear" w:color="auto" w:fill="auto"/>
            <w:noWrap/>
            <w:vAlign w:val="bottom"/>
            <w:hideMark/>
          </w:tcPr>
          <w:p w:rsidRPr="00583A8C" w:rsidR="00C6233B" w:rsidP="001E1474" w:rsidRDefault="00C6233B" w14:paraId="42109338" w14:textId="77777777">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41.9%</w:t>
            </w:r>
          </w:p>
        </w:tc>
        <w:tc>
          <w:tcPr>
            <w:tcW w:w="1040" w:type="dxa"/>
            <w:tcBorders>
              <w:top w:val="nil"/>
              <w:left w:val="nil"/>
              <w:bottom w:val="nil"/>
              <w:right w:val="nil"/>
            </w:tcBorders>
            <w:shd w:val="clear" w:color="auto" w:fill="auto"/>
            <w:noWrap/>
            <w:vAlign w:val="bottom"/>
            <w:hideMark/>
          </w:tcPr>
          <w:p w:rsidRPr="00583A8C" w:rsidR="00C6233B" w:rsidP="001E1474" w:rsidRDefault="00C6233B" w14:paraId="10EC9AC5" w14:textId="77777777">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11.4%</w:t>
            </w:r>
          </w:p>
        </w:tc>
        <w:tc>
          <w:tcPr>
            <w:tcW w:w="960" w:type="dxa"/>
            <w:tcBorders>
              <w:top w:val="nil"/>
              <w:left w:val="nil"/>
              <w:bottom w:val="nil"/>
              <w:right w:val="nil"/>
            </w:tcBorders>
            <w:shd w:val="clear" w:color="auto" w:fill="auto"/>
            <w:noWrap/>
            <w:vAlign w:val="bottom"/>
            <w:hideMark/>
          </w:tcPr>
          <w:p w:rsidRPr="00583A8C" w:rsidR="00C6233B" w:rsidP="001E1474" w:rsidRDefault="00C6233B" w14:paraId="5FFA3FB9" w14:textId="77777777">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4.8%</w:t>
            </w:r>
          </w:p>
        </w:tc>
      </w:tr>
      <w:tr w:rsidRPr="00583A8C" w:rsidR="00C6233B" w:rsidTr="001E1474" w14:paraId="6EABDE8A" w14:textId="77777777">
        <w:trPr>
          <w:trHeight w:val="300"/>
          <w:jc w:val="center"/>
        </w:trPr>
        <w:tc>
          <w:tcPr>
            <w:tcW w:w="740" w:type="dxa"/>
            <w:tcBorders>
              <w:top w:val="nil"/>
              <w:left w:val="nil"/>
              <w:bottom w:val="nil"/>
              <w:right w:val="nil"/>
            </w:tcBorders>
            <w:shd w:val="clear" w:color="auto" w:fill="auto"/>
            <w:noWrap/>
            <w:vAlign w:val="bottom"/>
            <w:hideMark/>
          </w:tcPr>
          <w:p w:rsidRPr="00583A8C" w:rsidR="00C6233B" w:rsidP="001E1474" w:rsidRDefault="00C6233B" w14:paraId="1B26A156" w14:textId="77777777">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2011</w:t>
            </w:r>
          </w:p>
        </w:tc>
        <w:tc>
          <w:tcPr>
            <w:tcW w:w="860" w:type="dxa"/>
            <w:tcBorders>
              <w:top w:val="nil"/>
              <w:left w:val="nil"/>
              <w:bottom w:val="nil"/>
              <w:right w:val="nil"/>
            </w:tcBorders>
            <w:shd w:val="clear" w:color="auto" w:fill="auto"/>
            <w:noWrap/>
            <w:vAlign w:val="bottom"/>
            <w:hideMark/>
          </w:tcPr>
          <w:p w:rsidRPr="00583A8C" w:rsidR="00C6233B" w:rsidP="001E1474" w:rsidRDefault="00C6233B" w14:paraId="340822C8" w14:textId="77777777">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43</w:t>
            </w:r>
          </w:p>
        </w:tc>
        <w:tc>
          <w:tcPr>
            <w:tcW w:w="880" w:type="dxa"/>
            <w:tcBorders>
              <w:top w:val="nil"/>
              <w:left w:val="nil"/>
              <w:bottom w:val="nil"/>
              <w:right w:val="nil"/>
            </w:tcBorders>
            <w:shd w:val="clear" w:color="auto" w:fill="auto"/>
            <w:noWrap/>
            <w:vAlign w:val="bottom"/>
            <w:hideMark/>
          </w:tcPr>
          <w:p w:rsidRPr="00583A8C" w:rsidR="00C6233B" w:rsidP="001E1474" w:rsidRDefault="00C6233B" w14:paraId="372B1186" w14:textId="77777777">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47,949</w:t>
            </w:r>
          </w:p>
        </w:tc>
        <w:tc>
          <w:tcPr>
            <w:tcW w:w="1100" w:type="dxa"/>
            <w:tcBorders>
              <w:top w:val="nil"/>
              <w:left w:val="nil"/>
              <w:bottom w:val="nil"/>
              <w:right w:val="nil"/>
            </w:tcBorders>
            <w:shd w:val="clear" w:color="auto" w:fill="auto"/>
            <w:noWrap/>
            <w:vAlign w:val="bottom"/>
            <w:hideMark/>
          </w:tcPr>
          <w:p w:rsidRPr="00583A8C" w:rsidR="00C6233B" w:rsidP="001E1474" w:rsidRDefault="00C6233B" w14:paraId="0A4C045F" w14:textId="77777777">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40.6%</w:t>
            </w:r>
          </w:p>
        </w:tc>
        <w:tc>
          <w:tcPr>
            <w:tcW w:w="1040" w:type="dxa"/>
            <w:tcBorders>
              <w:top w:val="nil"/>
              <w:left w:val="nil"/>
              <w:bottom w:val="nil"/>
              <w:right w:val="nil"/>
            </w:tcBorders>
            <w:shd w:val="clear" w:color="auto" w:fill="auto"/>
            <w:noWrap/>
            <w:vAlign w:val="bottom"/>
            <w:hideMark/>
          </w:tcPr>
          <w:p w:rsidRPr="00583A8C" w:rsidR="00C6233B" w:rsidP="001E1474" w:rsidRDefault="00C6233B" w14:paraId="215056F4" w14:textId="77777777">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11.6%</w:t>
            </w:r>
          </w:p>
        </w:tc>
        <w:tc>
          <w:tcPr>
            <w:tcW w:w="960" w:type="dxa"/>
            <w:tcBorders>
              <w:top w:val="nil"/>
              <w:left w:val="nil"/>
              <w:bottom w:val="nil"/>
              <w:right w:val="nil"/>
            </w:tcBorders>
            <w:shd w:val="clear" w:color="auto" w:fill="auto"/>
            <w:noWrap/>
            <w:vAlign w:val="bottom"/>
            <w:hideMark/>
          </w:tcPr>
          <w:p w:rsidRPr="00583A8C" w:rsidR="00C6233B" w:rsidP="001E1474" w:rsidRDefault="00C6233B" w14:paraId="22248916" w14:textId="77777777">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4.7%</w:t>
            </w:r>
          </w:p>
        </w:tc>
      </w:tr>
      <w:tr w:rsidRPr="00583A8C" w:rsidR="00C6233B" w:rsidTr="001E1474" w14:paraId="7DC3F5C3" w14:textId="77777777">
        <w:trPr>
          <w:trHeight w:val="300"/>
          <w:jc w:val="center"/>
        </w:trPr>
        <w:tc>
          <w:tcPr>
            <w:tcW w:w="740" w:type="dxa"/>
            <w:tcBorders>
              <w:top w:val="nil"/>
              <w:left w:val="nil"/>
              <w:bottom w:val="nil"/>
              <w:right w:val="nil"/>
            </w:tcBorders>
            <w:shd w:val="clear" w:color="auto" w:fill="auto"/>
            <w:noWrap/>
            <w:vAlign w:val="bottom"/>
            <w:hideMark/>
          </w:tcPr>
          <w:p w:rsidRPr="00583A8C" w:rsidR="00C6233B" w:rsidP="001E1474" w:rsidRDefault="00C6233B" w14:paraId="52855442" w14:textId="77777777">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2012</w:t>
            </w:r>
          </w:p>
        </w:tc>
        <w:tc>
          <w:tcPr>
            <w:tcW w:w="860" w:type="dxa"/>
            <w:tcBorders>
              <w:top w:val="nil"/>
              <w:left w:val="nil"/>
              <w:bottom w:val="nil"/>
              <w:right w:val="nil"/>
            </w:tcBorders>
            <w:shd w:val="clear" w:color="auto" w:fill="auto"/>
            <w:noWrap/>
            <w:vAlign w:val="bottom"/>
            <w:hideMark/>
          </w:tcPr>
          <w:p w:rsidRPr="00583A8C" w:rsidR="00C6233B" w:rsidP="001E1474" w:rsidRDefault="00C6233B" w14:paraId="5FFE5931" w14:textId="77777777">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45</w:t>
            </w:r>
          </w:p>
        </w:tc>
        <w:tc>
          <w:tcPr>
            <w:tcW w:w="880" w:type="dxa"/>
            <w:tcBorders>
              <w:top w:val="nil"/>
              <w:left w:val="nil"/>
              <w:bottom w:val="nil"/>
              <w:right w:val="nil"/>
            </w:tcBorders>
            <w:shd w:val="clear" w:color="auto" w:fill="auto"/>
            <w:noWrap/>
            <w:vAlign w:val="bottom"/>
            <w:hideMark/>
          </w:tcPr>
          <w:p w:rsidRPr="00583A8C" w:rsidR="00C6233B" w:rsidP="001E1474" w:rsidRDefault="00C6233B" w14:paraId="3BB09840" w14:textId="77777777">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27,281</w:t>
            </w:r>
          </w:p>
        </w:tc>
        <w:tc>
          <w:tcPr>
            <w:tcW w:w="1100" w:type="dxa"/>
            <w:tcBorders>
              <w:top w:val="nil"/>
              <w:left w:val="nil"/>
              <w:bottom w:val="nil"/>
              <w:right w:val="nil"/>
            </w:tcBorders>
            <w:shd w:val="clear" w:color="auto" w:fill="auto"/>
            <w:noWrap/>
            <w:vAlign w:val="bottom"/>
            <w:hideMark/>
          </w:tcPr>
          <w:p w:rsidRPr="00583A8C" w:rsidR="00C6233B" w:rsidP="001E1474" w:rsidRDefault="00C6233B" w14:paraId="00CD94DD" w14:textId="77777777">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34.2%</w:t>
            </w:r>
          </w:p>
        </w:tc>
        <w:tc>
          <w:tcPr>
            <w:tcW w:w="1040" w:type="dxa"/>
            <w:tcBorders>
              <w:top w:val="nil"/>
              <w:left w:val="nil"/>
              <w:bottom w:val="nil"/>
              <w:right w:val="nil"/>
            </w:tcBorders>
            <w:shd w:val="clear" w:color="auto" w:fill="auto"/>
            <w:noWrap/>
            <w:vAlign w:val="bottom"/>
            <w:hideMark/>
          </w:tcPr>
          <w:p w:rsidRPr="00583A8C" w:rsidR="00C6233B" w:rsidP="001E1474" w:rsidRDefault="00C6233B" w14:paraId="69D48BF1" w14:textId="77777777">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11.4%</w:t>
            </w:r>
          </w:p>
        </w:tc>
        <w:tc>
          <w:tcPr>
            <w:tcW w:w="960" w:type="dxa"/>
            <w:tcBorders>
              <w:top w:val="nil"/>
              <w:left w:val="nil"/>
              <w:bottom w:val="nil"/>
              <w:right w:val="nil"/>
            </w:tcBorders>
            <w:shd w:val="clear" w:color="auto" w:fill="auto"/>
            <w:noWrap/>
            <w:vAlign w:val="bottom"/>
            <w:hideMark/>
          </w:tcPr>
          <w:p w:rsidRPr="00583A8C" w:rsidR="00C6233B" w:rsidP="001E1474" w:rsidRDefault="00C6233B" w14:paraId="1A099C75" w14:textId="77777777">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3.9%</w:t>
            </w:r>
          </w:p>
        </w:tc>
      </w:tr>
      <w:tr w:rsidRPr="00583A8C" w:rsidR="00C6233B" w:rsidTr="001E1474" w14:paraId="5AC21A10" w14:textId="77777777">
        <w:trPr>
          <w:trHeight w:val="300"/>
          <w:jc w:val="center"/>
        </w:trPr>
        <w:tc>
          <w:tcPr>
            <w:tcW w:w="740" w:type="dxa"/>
            <w:tcBorders>
              <w:top w:val="nil"/>
              <w:left w:val="nil"/>
              <w:bottom w:val="single" w:color="auto" w:sz="4" w:space="0"/>
              <w:right w:val="nil"/>
            </w:tcBorders>
            <w:shd w:val="clear" w:color="auto" w:fill="auto"/>
            <w:noWrap/>
            <w:vAlign w:val="bottom"/>
            <w:hideMark/>
          </w:tcPr>
          <w:p w:rsidRPr="00583A8C" w:rsidR="00C6233B" w:rsidP="001E1474" w:rsidRDefault="00C6233B" w14:paraId="61B8420F" w14:textId="77777777">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2016</w:t>
            </w:r>
          </w:p>
        </w:tc>
        <w:tc>
          <w:tcPr>
            <w:tcW w:w="860" w:type="dxa"/>
            <w:tcBorders>
              <w:top w:val="nil"/>
              <w:left w:val="nil"/>
              <w:bottom w:val="single" w:color="auto" w:sz="4" w:space="0"/>
              <w:right w:val="nil"/>
            </w:tcBorders>
            <w:shd w:val="clear" w:color="auto" w:fill="auto"/>
            <w:noWrap/>
            <w:vAlign w:val="bottom"/>
            <w:hideMark/>
          </w:tcPr>
          <w:p w:rsidRPr="00583A8C" w:rsidR="00C6233B" w:rsidP="001E1474" w:rsidRDefault="00C6233B" w14:paraId="74CB1BFA" w14:textId="77777777">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49</w:t>
            </w:r>
          </w:p>
        </w:tc>
        <w:tc>
          <w:tcPr>
            <w:tcW w:w="880" w:type="dxa"/>
            <w:tcBorders>
              <w:top w:val="nil"/>
              <w:left w:val="nil"/>
              <w:bottom w:val="single" w:color="auto" w:sz="4" w:space="0"/>
              <w:right w:val="nil"/>
            </w:tcBorders>
            <w:shd w:val="clear" w:color="auto" w:fill="auto"/>
            <w:noWrap/>
            <w:vAlign w:val="bottom"/>
            <w:hideMark/>
          </w:tcPr>
          <w:p w:rsidRPr="00583A8C" w:rsidR="00C6233B" w:rsidP="001E1474" w:rsidRDefault="00C6233B" w14:paraId="2EFD408E" w14:textId="77777777">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26,157</w:t>
            </w:r>
          </w:p>
        </w:tc>
        <w:tc>
          <w:tcPr>
            <w:tcW w:w="1100" w:type="dxa"/>
            <w:tcBorders>
              <w:top w:val="nil"/>
              <w:left w:val="nil"/>
              <w:bottom w:val="single" w:color="auto" w:sz="4" w:space="0"/>
              <w:right w:val="nil"/>
            </w:tcBorders>
            <w:shd w:val="clear" w:color="auto" w:fill="auto"/>
            <w:noWrap/>
            <w:vAlign w:val="bottom"/>
            <w:hideMark/>
          </w:tcPr>
          <w:p w:rsidRPr="00583A8C" w:rsidR="00C6233B" w:rsidP="001E1474" w:rsidRDefault="00C6233B" w14:paraId="44A24F71" w14:textId="77777777">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37.7%</w:t>
            </w:r>
          </w:p>
        </w:tc>
        <w:tc>
          <w:tcPr>
            <w:tcW w:w="1040" w:type="dxa"/>
            <w:tcBorders>
              <w:top w:val="nil"/>
              <w:left w:val="nil"/>
              <w:bottom w:val="single" w:color="auto" w:sz="4" w:space="0"/>
              <w:right w:val="nil"/>
            </w:tcBorders>
            <w:shd w:val="clear" w:color="auto" w:fill="auto"/>
            <w:noWrap/>
            <w:vAlign w:val="bottom"/>
            <w:hideMark/>
          </w:tcPr>
          <w:p w:rsidRPr="00583A8C" w:rsidR="00C6233B" w:rsidP="001E1474" w:rsidRDefault="00C6233B" w14:paraId="21CE834F" w14:textId="77777777">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11.1%</w:t>
            </w:r>
          </w:p>
        </w:tc>
        <w:tc>
          <w:tcPr>
            <w:tcW w:w="960" w:type="dxa"/>
            <w:tcBorders>
              <w:top w:val="nil"/>
              <w:left w:val="nil"/>
              <w:bottom w:val="single" w:color="auto" w:sz="4" w:space="0"/>
              <w:right w:val="nil"/>
            </w:tcBorders>
            <w:shd w:val="clear" w:color="auto" w:fill="auto"/>
            <w:noWrap/>
            <w:vAlign w:val="bottom"/>
            <w:hideMark/>
          </w:tcPr>
          <w:p w:rsidRPr="00583A8C" w:rsidR="00C6233B" w:rsidP="001E1474" w:rsidRDefault="00C6233B" w14:paraId="0A903EB3" w14:textId="77777777">
            <w:pPr>
              <w:spacing w:after="0" w:line="240" w:lineRule="auto"/>
              <w:ind w:firstLine="0"/>
              <w:jc w:val="center"/>
              <w:rPr>
                <w:rFonts w:ascii="Calibri" w:hAnsi="Calibri" w:eastAsia="Times New Roman" w:cs="Calibri"/>
                <w:color w:val="000000"/>
                <w:sz w:val="22"/>
              </w:rPr>
            </w:pPr>
            <w:r w:rsidRPr="00583A8C">
              <w:rPr>
                <w:rFonts w:ascii="Calibri" w:hAnsi="Calibri" w:eastAsia="Times New Roman" w:cs="Calibri"/>
                <w:color w:val="000000"/>
                <w:sz w:val="22"/>
              </w:rPr>
              <w:t>4.2%</w:t>
            </w:r>
          </w:p>
        </w:tc>
      </w:tr>
    </w:tbl>
    <w:p w:rsidRPr="00583A8C" w:rsidR="00C6233B" w:rsidP="0024377B" w:rsidRDefault="00C6233B" w14:paraId="2ED62037" w14:textId="77777777">
      <w:pPr>
        <w:spacing w:line="259" w:lineRule="auto"/>
        <w:ind w:firstLine="0"/>
        <w:rPr>
          <w:rFonts w:cs="Times New Roman"/>
          <w:szCs w:val="24"/>
        </w:rPr>
      </w:pPr>
    </w:p>
    <w:p w:rsidRPr="00583A8C" w:rsidR="00D16506" w:rsidP="0024377B" w:rsidRDefault="00C6233B" w14:paraId="1D158D93" w14:textId="5F16FE19">
      <w:pPr>
        <w:spacing w:line="259" w:lineRule="auto"/>
        <w:ind w:firstLine="0"/>
        <w:rPr>
          <w:rFonts w:cs="Times New Roman"/>
          <w:b/>
          <w:bCs/>
          <w:i/>
          <w:iCs/>
          <w:szCs w:val="24"/>
        </w:rPr>
      </w:pPr>
      <w:r w:rsidRPr="00583A8C">
        <w:rPr>
          <w:rFonts w:cs="Times New Roman"/>
          <w:b/>
          <w:bCs/>
          <w:i/>
          <w:iCs/>
          <w:szCs w:val="24"/>
        </w:rPr>
        <w:t>Similarity to field parameters and offer structure response in actual CRP auctions</w:t>
      </w:r>
    </w:p>
    <w:p w:rsidRPr="00583A8C" w:rsidR="008E14D6" w:rsidP="00C6233B" w:rsidRDefault="008E14D6" w14:paraId="11F86F3C" w14:textId="0CC7E4FC">
      <w:pPr>
        <w:spacing w:line="259" w:lineRule="auto"/>
        <w:ind w:firstLine="0"/>
        <w:rPr>
          <w:rFonts w:cs="Times New Roman"/>
          <w:szCs w:val="24"/>
        </w:rPr>
      </w:pPr>
      <w:r w:rsidRPr="00583A8C">
        <w:rPr>
          <w:rFonts w:cs="Times New Roman"/>
          <w:b/>
          <w:bCs/>
          <w:szCs w:val="24"/>
        </w:rPr>
        <w:t>Acres:</w:t>
      </w:r>
      <w:r w:rsidRPr="00583A8C">
        <w:rPr>
          <w:rFonts w:cs="Times New Roman"/>
          <w:szCs w:val="24"/>
        </w:rPr>
        <w:t xml:space="preserve">  Over the past five signups, the median field offered to CRP is about 40 acres, while the mean field is about 80 acres.</w:t>
      </w:r>
    </w:p>
    <w:p w:rsidRPr="00583A8C" w:rsidR="008E14D6" w:rsidP="00C6233B" w:rsidRDefault="008E14D6" w14:paraId="02D00FBE" w14:textId="77777777">
      <w:pPr>
        <w:spacing w:after="0"/>
        <w:ind w:firstLine="0"/>
        <w:rPr>
          <w:rFonts w:cs="Times New Roman"/>
          <w:szCs w:val="24"/>
        </w:rPr>
      </w:pPr>
      <w:r w:rsidRPr="00583A8C">
        <w:rPr>
          <w:rFonts w:cs="Times New Roman"/>
          <w:b/>
          <w:bCs/>
          <w:szCs w:val="24"/>
        </w:rPr>
        <w:t>Soil rental rate (bid cap):</w:t>
      </w:r>
      <w:r w:rsidRPr="00583A8C">
        <w:rPr>
          <w:rFonts w:cs="Times New Roman"/>
          <w:szCs w:val="24"/>
        </w:rPr>
        <w:t xml:space="preserve"> Over the two most recent signups, the median soil rental rate (bid cap) is about $93/</w:t>
      </w:r>
      <w:proofErr w:type="gramStart"/>
      <w:r w:rsidRPr="00583A8C">
        <w:rPr>
          <w:rFonts w:cs="Times New Roman"/>
          <w:szCs w:val="24"/>
        </w:rPr>
        <w:t>acre</w:t>
      </w:r>
      <w:proofErr w:type="gramEnd"/>
      <w:r w:rsidRPr="00583A8C">
        <w:rPr>
          <w:rFonts w:cs="Times New Roman"/>
          <w:szCs w:val="24"/>
        </w:rPr>
        <w:t xml:space="preserve"> and the mean is about $110/acre.  Fifty percent of offers are between $48/acre and $160/acre.  (We only use the two most recent signups (45 and 49) for rental rate because of a strong upward trend from 2009 to 2012.)</w:t>
      </w:r>
    </w:p>
    <w:p w:rsidRPr="00583A8C" w:rsidR="008E14D6" w:rsidP="00C6233B" w:rsidRDefault="00C6233B" w14:paraId="02F88F52" w14:textId="40544C6A">
      <w:pPr>
        <w:spacing w:after="0"/>
        <w:ind w:firstLine="0"/>
        <w:rPr>
          <w:rFonts w:cs="Times New Roman"/>
          <w:szCs w:val="24"/>
        </w:rPr>
      </w:pPr>
      <w:r w:rsidRPr="00583A8C">
        <w:rPr>
          <w:rFonts w:cs="Times New Roman"/>
          <w:b/>
          <w:bCs/>
          <w:szCs w:val="24"/>
        </w:rPr>
        <w:lastRenderedPageBreak/>
        <w:t>Starting</w:t>
      </w:r>
      <w:r w:rsidRPr="00583A8C" w:rsidR="008E14D6">
        <w:rPr>
          <w:rFonts w:cs="Times New Roman"/>
          <w:b/>
          <w:bCs/>
          <w:szCs w:val="24"/>
        </w:rPr>
        <w:t xml:space="preserve"> EBI points: </w:t>
      </w:r>
      <w:r w:rsidRPr="00583A8C" w:rsidR="008E14D6">
        <w:rPr>
          <w:rFonts w:cs="Times New Roman"/>
          <w:szCs w:val="24"/>
        </w:rPr>
        <w:t xml:space="preserve">As noted above, the </w:t>
      </w:r>
      <w:r w:rsidRPr="00583A8C">
        <w:rPr>
          <w:rFonts w:cs="Times New Roman"/>
          <w:szCs w:val="24"/>
        </w:rPr>
        <w:t>starting</w:t>
      </w:r>
      <w:r w:rsidRPr="00583A8C" w:rsidR="008E14D6">
        <w:rPr>
          <w:rFonts w:cs="Times New Roman"/>
          <w:szCs w:val="24"/>
        </w:rPr>
        <w:t xml:space="preserve"> EBI points associated with bid caps are between 97 points (at $50/acre) and 40 points (at $150/acre).  For the points based on land characteristics, the 25</w:t>
      </w:r>
      <w:r w:rsidRPr="00583A8C" w:rsidR="008E14D6">
        <w:rPr>
          <w:rFonts w:cs="Times New Roman"/>
          <w:szCs w:val="24"/>
          <w:vertAlign w:val="superscript"/>
        </w:rPr>
        <w:t>th</w:t>
      </w:r>
      <w:r w:rsidRPr="00583A8C" w:rsidR="008E14D6">
        <w:rPr>
          <w:rFonts w:cs="Times New Roman"/>
          <w:szCs w:val="24"/>
        </w:rPr>
        <w:t xml:space="preserve"> percentile over the past five signups is between 84 and 96 points, and the 75</w:t>
      </w:r>
      <w:r w:rsidRPr="00583A8C" w:rsidR="008E14D6">
        <w:rPr>
          <w:rFonts w:cs="Times New Roman"/>
          <w:szCs w:val="24"/>
          <w:vertAlign w:val="superscript"/>
        </w:rPr>
        <w:t>th</w:t>
      </w:r>
      <w:r w:rsidRPr="00583A8C" w:rsidR="008E14D6">
        <w:rPr>
          <w:rFonts w:cs="Times New Roman"/>
          <w:szCs w:val="24"/>
        </w:rPr>
        <w:t xml:space="preserve"> percentile is between 162 and 177 points.</w:t>
      </w:r>
    </w:p>
    <w:p w:rsidRPr="00583A8C" w:rsidR="008E14D6" w:rsidP="00C6233B" w:rsidRDefault="008E14D6" w14:paraId="363DF977" w14:textId="073618A5">
      <w:pPr>
        <w:spacing w:after="0"/>
        <w:ind w:firstLine="0"/>
        <w:rPr>
          <w:rFonts w:cs="Times New Roman"/>
          <w:szCs w:val="24"/>
        </w:rPr>
      </w:pPr>
      <w:r w:rsidRPr="00583A8C">
        <w:rPr>
          <w:rFonts w:cs="Times New Roman"/>
          <w:b/>
          <w:bCs/>
          <w:szCs w:val="24"/>
        </w:rPr>
        <w:t xml:space="preserve">Relationship between exogenous EBI points, bid down, and practice choice: </w:t>
      </w:r>
      <w:r w:rsidRPr="00583A8C">
        <w:rPr>
          <w:rFonts w:cs="Times New Roman"/>
          <w:szCs w:val="24"/>
        </w:rPr>
        <w:t>A</w:t>
      </w:r>
      <w:r w:rsidRPr="00583A8C" w:rsidR="00C6233B">
        <w:rPr>
          <w:rFonts w:cs="Times New Roman"/>
          <w:szCs w:val="24"/>
        </w:rPr>
        <w:t xml:space="preserve"> regression</w:t>
      </w:r>
      <w:r w:rsidRPr="00583A8C">
        <w:rPr>
          <w:rFonts w:cs="Times New Roman"/>
          <w:szCs w:val="24"/>
        </w:rPr>
        <w:t xml:space="preserve"> analysis of expected bid down </w:t>
      </w:r>
      <w:r w:rsidRPr="00583A8C" w:rsidR="00C6233B">
        <w:rPr>
          <w:rFonts w:cs="Times New Roman"/>
          <w:szCs w:val="24"/>
        </w:rPr>
        <w:t xml:space="preserve">in actual offer data </w:t>
      </w:r>
      <w:r w:rsidRPr="00583A8C">
        <w:rPr>
          <w:rFonts w:cs="Times New Roman"/>
          <w:szCs w:val="24"/>
        </w:rPr>
        <w:t xml:space="preserve">reveals that, as predicted, offers with higher endowments of EBI points bid down less (figure </w:t>
      </w:r>
      <w:r w:rsidRPr="00583A8C" w:rsidR="00C6233B">
        <w:rPr>
          <w:rFonts w:cs="Times New Roman"/>
          <w:szCs w:val="24"/>
        </w:rPr>
        <w:t>A1</w:t>
      </w:r>
      <w:r w:rsidRPr="00583A8C">
        <w:rPr>
          <w:rFonts w:cs="Times New Roman"/>
          <w:szCs w:val="24"/>
        </w:rPr>
        <w:t>).  Similarly, offers with higher endowments are less likely to select improved conservation practices on average.</w:t>
      </w:r>
      <w:r w:rsidRPr="00583A8C" w:rsidR="00C6233B">
        <w:rPr>
          <w:rFonts w:cs="Times New Roman"/>
          <w:szCs w:val="24"/>
        </w:rPr>
        <w:t xml:space="preserve">  This is consistent with the predictions of our Nash equilibrium model.</w:t>
      </w:r>
    </w:p>
    <w:p w:rsidRPr="00583A8C" w:rsidR="008E14D6" w:rsidP="008E14D6" w:rsidRDefault="008E14D6" w14:paraId="21DA9625" w14:textId="7D04592B">
      <w:pPr>
        <w:spacing w:line="259" w:lineRule="auto"/>
        <w:ind w:firstLine="0"/>
        <w:rPr>
          <w:rFonts w:cs="Times New Roman"/>
          <w:szCs w:val="24"/>
        </w:rPr>
      </w:pPr>
    </w:p>
    <w:p w:rsidRPr="00583A8C" w:rsidR="008E14D6" w:rsidP="008E14D6" w:rsidRDefault="008E14D6" w14:paraId="59BEC742" w14:textId="4DEDCF70">
      <w:pPr>
        <w:spacing w:after="0"/>
        <w:ind w:firstLine="0"/>
        <w:rPr>
          <w:rFonts w:cs="Times New Roman"/>
          <w:b/>
          <w:bCs/>
          <w:szCs w:val="24"/>
        </w:rPr>
      </w:pPr>
      <w:r w:rsidRPr="00583A8C">
        <w:rPr>
          <w:rFonts w:cs="Times New Roman"/>
          <w:b/>
          <w:bCs/>
          <w:szCs w:val="24"/>
        </w:rPr>
        <w:t xml:space="preserve">Figure </w:t>
      </w:r>
      <w:r w:rsidRPr="00583A8C" w:rsidR="00C6233B">
        <w:rPr>
          <w:rFonts w:cs="Times New Roman"/>
          <w:b/>
          <w:bCs/>
          <w:szCs w:val="24"/>
        </w:rPr>
        <w:t>A1</w:t>
      </w:r>
      <w:r w:rsidRPr="00583A8C">
        <w:rPr>
          <w:rFonts w:cs="Times New Roman"/>
          <w:b/>
          <w:bCs/>
          <w:szCs w:val="24"/>
        </w:rPr>
        <w:t xml:space="preserve">: Predicted bid down by signup conditional on EBI endowment </w:t>
      </w:r>
    </w:p>
    <w:p w:rsidRPr="00583A8C" w:rsidR="008E14D6" w:rsidP="008E14D6" w:rsidRDefault="008E14D6" w14:paraId="06EF1A34" w14:textId="77777777">
      <w:pPr>
        <w:spacing w:after="0"/>
        <w:ind w:firstLine="0"/>
        <w:rPr>
          <w:rFonts w:cs="Times New Roman"/>
          <w:szCs w:val="24"/>
        </w:rPr>
      </w:pPr>
    </w:p>
    <w:p w:rsidRPr="0011598B" w:rsidR="008E14D6" w:rsidP="008E14D6" w:rsidRDefault="008E14D6" w14:paraId="1DCCED99" w14:textId="77777777">
      <w:pPr>
        <w:spacing w:after="0"/>
        <w:rPr>
          <w:rFonts w:cs="Times New Roman"/>
          <w:szCs w:val="24"/>
        </w:rPr>
      </w:pPr>
      <w:r w:rsidRPr="00583A8C">
        <w:rPr>
          <w:rFonts w:cs="Times New Roman"/>
          <w:noProof/>
          <w:szCs w:val="24"/>
        </w:rPr>
        <w:drawing>
          <wp:inline distT="0" distB="0" distL="0" distR="0" wp14:anchorId="59C3BC9B" wp14:editId="45275EB9">
            <wp:extent cx="3693463" cy="26860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2"/>
                    <a:stretch>
                      <a:fillRect/>
                    </a:stretch>
                  </pic:blipFill>
                  <pic:spPr>
                    <a:xfrm>
                      <a:off x="0" y="0"/>
                      <a:ext cx="3701808" cy="2692119"/>
                    </a:xfrm>
                    <a:prstGeom prst="rect">
                      <a:avLst/>
                    </a:prstGeom>
                  </pic:spPr>
                </pic:pic>
              </a:graphicData>
            </a:graphic>
          </wp:inline>
        </w:drawing>
      </w:r>
    </w:p>
    <w:p w:rsidR="008E14D6" w:rsidRDefault="008E14D6" w14:paraId="6FC4EB19" w14:textId="4C137531">
      <w:pPr>
        <w:spacing w:line="259" w:lineRule="auto"/>
        <w:ind w:firstLine="0"/>
        <w:rPr>
          <w:rFonts w:cs="Times New Roman"/>
          <w:szCs w:val="24"/>
        </w:rPr>
      </w:pPr>
    </w:p>
    <w:p w:rsidR="00CD19BA" w:rsidRDefault="00CD19BA" w14:paraId="2183B650" w14:textId="54F5E8E9">
      <w:pPr>
        <w:spacing w:line="259" w:lineRule="auto"/>
        <w:ind w:firstLine="0"/>
        <w:rPr>
          <w:rFonts w:cs="Times New Roman"/>
          <w:szCs w:val="24"/>
        </w:rPr>
      </w:pPr>
    </w:p>
    <w:p w:rsidRPr="0024377B" w:rsidR="00CD19BA" w:rsidP="00593695" w:rsidRDefault="00CD19BA" w14:paraId="5B168510" w14:textId="77777777">
      <w:pPr>
        <w:spacing w:line="259" w:lineRule="auto"/>
        <w:ind w:firstLine="0"/>
        <w:rPr>
          <w:rFonts w:cs="Times New Roman"/>
          <w:szCs w:val="24"/>
        </w:rPr>
      </w:pPr>
    </w:p>
    <w:sectPr w:rsidRPr="0024377B" w:rsidR="00CD19BA">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CF3A7" w14:textId="77777777" w:rsidR="00FF54CF" w:rsidRDefault="00FF54CF" w:rsidP="003A6659">
      <w:pPr>
        <w:spacing w:after="0" w:line="240" w:lineRule="auto"/>
      </w:pPr>
      <w:r>
        <w:separator/>
      </w:r>
    </w:p>
  </w:endnote>
  <w:endnote w:type="continuationSeparator" w:id="0">
    <w:p w14:paraId="450E970D" w14:textId="77777777" w:rsidR="00FF54CF" w:rsidRDefault="00FF54CF" w:rsidP="003A6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5564411"/>
      <w:docPartObj>
        <w:docPartGallery w:val="Page Numbers (Bottom of Page)"/>
        <w:docPartUnique/>
      </w:docPartObj>
    </w:sdtPr>
    <w:sdtEndPr>
      <w:rPr>
        <w:noProof/>
      </w:rPr>
    </w:sdtEndPr>
    <w:sdtContent>
      <w:p w14:paraId="22494B2B" w14:textId="77777777" w:rsidR="00FF54CF" w:rsidRDefault="00FF54CF">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70D562BF" w14:textId="4BC246DD" w:rsidR="00FF54CF" w:rsidRPr="005538CB" w:rsidRDefault="00FF54CF" w:rsidP="00686447">
    <w:pPr>
      <w:pStyle w:val="Footer"/>
      <w:rPr>
        <w:noProof/>
        <w:sz w:val="16"/>
        <w:szCs w:val="16"/>
      </w:rPr>
    </w:pPr>
    <w:r w:rsidRPr="005538CB">
      <w:rPr>
        <w:sz w:val="16"/>
        <w:szCs w:val="16"/>
      </w:rPr>
      <w:fldChar w:fldCharType="begin"/>
    </w:r>
    <w:r w:rsidRPr="005538CB">
      <w:rPr>
        <w:sz w:val="16"/>
        <w:szCs w:val="16"/>
      </w:rPr>
      <w:instrText xml:space="preserve"> FILENAME \p \* MERGEFORMAT </w:instrText>
    </w:r>
    <w:r w:rsidRPr="005538CB">
      <w:rPr>
        <w:sz w:val="16"/>
        <w:szCs w:val="16"/>
      </w:rPr>
      <w:fldChar w:fldCharType="separate"/>
    </w:r>
    <w:r>
      <w:rPr>
        <w:noProof/>
        <w:sz w:val="16"/>
        <w:szCs w:val="16"/>
      </w:rPr>
      <w:t>M:\...\Cover Default Gate 2 EDAP Final.docx</w:t>
    </w:r>
    <w:r w:rsidRPr="005538C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47C46" w14:textId="77777777" w:rsidR="00FF54CF" w:rsidRDefault="00FF54CF" w:rsidP="003A6659">
      <w:pPr>
        <w:spacing w:after="0" w:line="240" w:lineRule="auto"/>
      </w:pPr>
      <w:r>
        <w:separator/>
      </w:r>
    </w:p>
  </w:footnote>
  <w:footnote w:type="continuationSeparator" w:id="0">
    <w:p w14:paraId="6C9D8B90" w14:textId="77777777" w:rsidR="00FF54CF" w:rsidRDefault="00FF54CF" w:rsidP="003A66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4127"/>
    <w:multiLevelType w:val="hybridMultilevel"/>
    <w:tmpl w:val="495469FE"/>
    <w:lvl w:ilvl="0" w:tplc="0A14E608">
      <w:start w:val="1"/>
      <w:numFmt w:val="decimal"/>
      <w:lvlText w:val="%1)"/>
      <w:lvlJc w:val="left"/>
      <w:pPr>
        <w:ind w:left="1656" w:hanging="360"/>
      </w:pPr>
      <w:rPr>
        <w:rFonts w:hint="default"/>
      </w:rPr>
    </w:lvl>
    <w:lvl w:ilvl="1" w:tplc="04090019">
      <w:start w:val="1"/>
      <w:numFmt w:val="lowerLetter"/>
      <w:lvlText w:val="%2."/>
      <w:lvlJc w:val="left"/>
      <w:pPr>
        <w:ind w:left="2376" w:hanging="360"/>
      </w:pPr>
    </w:lvl>
    <w:lvl w:ilvl="2" w:tplc="0409001B">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 w15:restartNumberingAfterBreak="0">
    <w:nsid w:val="089570C7"/>
    <w:multiLevelType w:val="hybridMultilevel"/>
    <w:tmpl w:val="A3E624A4"/>
    <w:lvl w:ilvl="0" w:tplc="EA52D840">
      <w:start w:val="4"/>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CCF794B"/>
    <w:multiLevelType w:val="hybridMultilevel"/>
    <w:tmpl w:val="3F1A31CE"/>
    <w:lvl w:ilvl="0" w:tplc="1990F2AC">
      <w:start w:val="1"/>
      <w:numFmt w:val="bullet"/>
      <w:lvlText w:val=""/>
      <w:lvlJc w:val="left"/>
      <w:pPr>
        <w:ind w:left="1656" w:hanging="360"/>
      </w:pPr>
      <w:rPr>
        <w:rFonts w:ascii="Symbol" w:eastAsiaTheme="minorHAnsi" w:hAnsi="Symbol" w:cstheme="minorBidi" w:hint="default"/>
      </w:rPr>
    </w:lvl>
    <w:lvl w:ilvl="1" w:tplc="04090003">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3" w15:restartNumberingAfterBreak="0">
    <w:nsid w:val="3A24447C"/>
    <w:multiLevelType w:val="hybridMultilevel"/>
    <w:tmpl w:val="E66440A0"/>
    <w:lvl w:ilvl="0" w:tplc="B6A6A3D0">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C083D54"/>
    <w:multiLevelType w:val="hybridMultilevel"/>
    <w:tmpl w:val="730CEDCA"/>
    <w:lvl w:ilvl="0" w:tplc="8B9441D2">
      <w:start w:val="1"/>
      <w:numFmt w:val="bullet"/>
      <w:lvlText w:val=""/>
      <w:lvlJc w:val="left"/>
      <w:pPr>
        <w:ind w:left="1656" w:hanging="360"/>
      </w:pPr>
      <w:rPr>
        <w:rFonts w:ascii="Symbol" w:eastAsiaTheme="minorHAnsi" w:hAnsi="Symbol" w:cs="Times New Roman" w:hint="default"/>
      </w:rPr>
    </w:lvl>
    <w:lvl w:ilvl="1" w:tplc="04090003">
      <w:start w:val="1"/>
      <w:numFmt w:val="bullet"/>
      <w:lvlText w:val="o"/>
      <w:lvlJc w:val="left"/>
      <w:pPr>
        <w:ind w:left="2376" w:hanging="360"/>
      </w:pPr>
      <w:rPr>
        <w:rFonts w:ascii="Courier New" w:hAnsi="Courier New" w:cs="Courier New" w:hint="default"/>
      </w:rPr>
    </w:lvl>
    <w:lvl w:ilvl="2" w:tplc="04090005">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5" w15:restartNumberingAfterBreak="0">
    <w:nsid w:val="3C8906F8"/>
    <w:multiLevelType w:val="hybridMultilevel"/>
    <w:tmpl w:val="C1A8EC96"/>
    <w:lvl w:ilvl="0" w:tplc="16CCDCEA">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D726CE5"/>
    <w:multiLevelType w:val="hybridMultilevel"/>
    <w:tmpl w:val="7BBAEEDC"/>
    <w:lvl w:ilvl="0" w:tplc="89B44A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3D21DDD"/>
    <w:multiLevelType w:val="hybridMultilevel"/>
    <w:tmpl w:val="542C82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32376A"/>
    <w:multiLevelType w:val="hybridMultilevel"/>
    <w:tmpl w:val="2124BDF0"/>
    <w:lvl w:ilvl="0" w:tplc="BD701E48">
      <w:start w:val="1"/>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210866"/>
    <w:multiLevelType w:val="hybridMultilevel"/>
    <w:tmpl w:val="F8FEC260"/>
    <w:lvl w:ilvl="0" w:tplc="C5E45C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B541696"/>
    <w:multiLevelType w:val="hybridMultilevel"/>
    <w:tmpl w:val="C6E866CE"/>
    <w:lvl w:ilvl="0" w:tplc="89283D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4"/>
  </w:num>
  <w:num w:numId="4">
    <w:abstractNumId w:val="10"/>
  </w:num>
  <w:num w:numId="5">
    <w:abstractNumId w:val="7"/>
  </w:num>
  <w:num w:numId="6">
    <w:abstractNumId w:val="1"/>
  </w:num>
  <w:num w:numId="7">
    <w:abstractNumId w:val="9"/>
  </w:num>
  <w:num w:numId="8">
    <w:abstractNumId w:val="8"/>
  </w:num>
  <w:num w:numId="9">
    <w:abstractNumId w:val="3"/>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231"/>
    <w:rsid w:val="00002BAD"/>
    <w:rsid w:val="00006069"/>
    <w:rsid w:val="00013C8B"/>
    <w:rsid w:val="00014860"/>
    <w:rsid w:val="00015700"/>
    <w:rsid w:val="00033861"/>
    <w:rsid w:val="00036C5B"/>
    <w:rsid w:val="000432FE"/>
    <w:rsid w:val="0004646E"/>
    <w:rsid w:val="000537BA"/>
    <w:rsid w:val="00060054"/>
    <w:rsid w:val="00063B64"/>
    <w:rsid w:val="00064A96"/>
    <w:rsid w:val="00064A9F"/>
    <w:rsid w:val="00064EEF"/>
    <w:rsid w:val="00065375"/>
    <w:rsid w:val="00065DA4"/>
    <w:rsid w:val="000730FB"/>
    <w:rsid w:val="00081AF7"/>
    <w:rsid w:val="000845C5"/>
    <w:rsid w:val="00092B66"/>
    <w:rsid w:val="0009495E"/>
    <w:rsid w:val="00096E50"/>
    <w:rsid w:val="000A2B10"/>
    <w:rsid w:val="000B014A"/>
    <w:rsid w:val="000B1615"/>
    <w:rsid w:val="000B2809"/>
    <w:rsid w:val="000C2BAD"/>
    <w:rsid w:val="000D1566"/>
    <w:rsid w:val="000D7B08"/>
    <w:rsid w:val="000E1301"/>
    <w:rsid w:val="000F4099"/>
    <w:rsid w:val="00104EAB"/>
    <w:rsid w:val="0011598B"/>
    <w:rsid w:val="001170C4"/>
    <w:rsid w:val="00123C89"/>
    <w:rsid w:val="00124AD2"/>
    <w:rsid w:val="00144F4E"/>
    <w:rsid w:val="00155E38"/>
    <w:rsid w:val="00157214"/>
    <w:rsid w:val="00173011"/>
    <w:rsid w:val="001747B4"/>
    <w:rsid w:val="001774F5"/>
    <w:rsid w:val="001849A4"/>
    <w:rsid w:val="00187A4A"/>
    <w:rsid w:val="00193F6B"/>
    <w:rsid w:val="001A2B90"/>
    <w:rsid w:val="001A77F9"/>
    <w:rsid w:val="001B152E"/>
    <w:rsid w:val="001B77E0"/>
    <w:rsid w:val="001C388C"/>
    <w:rsid w:val="001D628D"/>
    <w:rsid w:val="001E1474"/>
    <w:rsid w:val="001F6C50"/>
    <w:rsid w:val="00201148"/>
    <w:rsid w:val="0020227F"/>
    <w:rsid w:val="00205AB7"/>
    <w:rsid w:val="0020765F"/>
    <w:rsid w:val="00214164"/>
    <w:rsid w:val="00240013"/>
    <w:rsid w:val="00240DFD"/>
    <w:rsid w:val="0024377B"/>
    <w:rsid w:val="00246994"/>
    <w:rsid w:val="00247977"/>
    <w:rsid w:val="00250707"/>
    <w:rsid w:val="0025115D"/>
    <w:rsid w:val="0025214C"/>
    <w:rsid w:val="00252FA5"/>
    <w:rsid w:val="00264FB2"/>
    <w:rsid w:val="00271FE4"/>
    <w:rsid w:val="00273A96"/>
    <w:rsid w:val="0028386C"/>
    <w:rsid w:val="0029752C"/>
    <w:rsid w:val="002A14AE"/>
    <w:rsid w:val="002A3E1B"/>
    <w:rsid w:val="002B2547"/>
    <w:rsid w:val="002B7DBB"/>
    <w:rsid w:val="002C321E"/>
    <w:rsid w:val="002C7B68"/>
    <w:rsid w:val="002D1510"/>
    <w:rsid w:val="002D5B53"/>
    <w:rsid w:val="002D6A54"/>
    <w:rsid w:val="002F3FC0"/>
    <w:rsid w:val="0030225A"/>
    <w:rsid w:val="00302BE7"/>
    <w:rsid w:val="003041AC"/>
    <w:rsid w:val="00305052"/>
    <w:rsid w:val="0031672A"/>
    <w:rsid w:val="00323DB6"/>
    <w:rsid w:val="0032401F"/>
    <w:rsid w:val="0032439A"/>
    <w:rsid w:val="00325E84"/>
    <w:rsid w:val="00325E9E"/>
    <w:rsid w:val="00340314"/>
    <w:rsid w:val="003448A3"/>
    <w:rsid w:val="00355FFA"/>
    <w:rsid w:val="003561C2"/>
    <w:rsid w:val="00362110"/>
    <w:rsid w:val="00362935"/>
    <w:rsid w:val="00381E73"/>
    <w:rsid w:val="00384D09"/>
    <w:rsid w:val="0039089F"/>
    <w:rsid w:val="003929DE"/>
    <w:rsid w:val="00395A25"/>
    <w:rsid w:val="003A214B"/>
    <w:rsid w:val="003A4880"/>
    <w:rsid w:val="003A6659"/>
    <w:rsid w:val="003A7786"/>
    <w:rsid w:val="003C0D59"/>
    <w:rsid w:val="00411CF6"/>
    <w:rsid w:val="00436F2F"/>
    <w:rsid w:val="00441B1F"/>
    <w:rsid w:val="004424A6"/>
    <w:rsid w:val="00444D8D"/>
    <w:rsid w:val="00445D3F"/>
    <w:rsid w:val="00446072"/>
    <w:rsid w:val="00451C59"/>
    <w:rsid w:val="00452605"/>
    <w:rsid w:val="00454F61"/>
    <w:rsid w:val="00470C1D"/>
    <w:rsid w:val="00477A5E"/>
    <w:rsid w:val="0048021D"/>
    <w:rsid w:val="0048500D"/>
    <w:rsid w:val="00485861"/>
    <w:rsid w:val="00487518"/>
    <w:rsid w:val="00490413"/>
    <w:rsid w:val="00490B39"/>
    <w:rsid w:val="00493971"/>
    <w:rsid w:val="004951FF"/>
    <w:rsid w:val="004A4231"/>
    <w:rsid w:val="004A6AF9"/>
    <w:rsid w:val="004B06E5"/>
    <w:rsid w:val="004B0A0C"/>
    <w:rsid w:val="004B2286"/>
    <w:rsid w:val="004B416C"/>
    <w:rsid w:val="004B5127"/>
    <w:rsid w:val="004C52C7"/>
    <w:rsid w:val="004D14AC"/>
    <w:rsid w:val="004D1A8C"/>
    <w:rsid w:val="004E1B0C"/>
    <w:rsid w:val="004E7CB8"/>
    <w:rsid w:val="004F0B49"/>
    <w:rsid w:val="004F2993"/>
    <w:rsid w:val="004F5F5E"/>
    <w:rsid w:val="00500A6C"/>
    <w:rsid w:val="005124FD"/>
    <w:rsid w:val="00512ED0"/>
    <w:rsid w:val="00524AD1"/>
    <w:rsid w:val="00533339"/>
    <w:rsid w:val="0053777D"/>
    <w:rsid w:val="0054044B"/>
    <w:rsid w:val="00540693"/>
    <w:rsid w:val="005538CB"/>
    <w:rsid w:val="00574F0B"/>
    <w:rsid w:val="00583A8C"/>
    <w:rsid w:val="00593695"/>
    <w:rsid w:val="005A1B4D"/>
    <w:rsid w:val="005A3202"/>
    <w:rsid w:val="005C46B9"/>
    <w:rsid w:val="005C7531"/>
    <w:rsid w:val="005D1558"/>
    <w:rsid w:val="005D6382"/>
    <w:rsid w:val="005E6D4B"/>
    <w:rsid w:val="005E7F7F"/>
    <w:rsid w:val="00600F2B"/>
    <w:rsid w:val="0060135B"/>
    <w:rsid w:val="006027C3"/>
    <w:rsid w:val="0060492E"/>
    <w:rsid w:val="0060688F"/>
    <w:rsid w:val="00624473"/>
    <w:rsid w:val="00627C18"/>
    <w:rsid w:val="006417D9"/>
    <w:rsid w:val="00647697"/>
    <w:rsid w:val="00662E46"/>
    <w:rsid w:val="0066377E"/>
    <w:rsid w:val="006830FD"/>
    <w:rsid w:val="0068342A"/>
    <w:rsid w:val="00686447"/>
    <w:rsid w:val="00691B47"/>
    <w:rsid w:val="00695C4E"/>
    <w:rsid w:val="006C4ECE"/>
    <w:rsid w:val="006C7D83"/>
    <w:rsid w:val="006D1A99"/>
    <w:rsid w:val="006D50B6"/>
    <w:rsid w:val="006E13D4"/>
    <w:rsid w:val="006E4122"/>
    <w:rsid w:val="006F6EB2"/>
    <w:rsid w:val="0071527D"/>
    <w:rsid w:val="007167DC"/>
    <w:rsid w:val="00721E32"/>
    <w:rsid w:val="007247AD"/>
    <w:rsid w:val="0073296E"/>
    <w:rsid w:val="00732BAA"/>
    <w:rsid w:val="007415B5"/>
    <w:rsid w:val="007438CA"/>
    <w:rsid w:val="00752AF9"/>
    <w:rsid w:val="007636F0"/>
    <w:rsid w:val="00772B54"/>
    <w:rsid w:val="00792610"/>
    <w:rsid w:val="00793424"/>
    <w:rsid w:val="0079403B"/>
    <w:rsid w:val="00795A5B"/>
    <w:rsid w:val="0079628F"/>
    <w:rsid w:val="007A5CDA"/>
    <w:rsid w:val="007A602B"/>
    <w:rsid w:val="007A6A44"/>
    <w:rsid w:val="007C167D"/>
    <w:rsid w:val="007C3E2D"/>
    <w:rsid w:val="007D2EE1"/>
    <w:rsid w:val="007D4EF9"/>
    <w:rsid w:val="007D71B4"/>
    <w:rsid w:val="007E03D2"/>
    <w:rsid w:val="007E2F7B"/>
    <w:rsid w:val="00814750"/>
    <w:rsid w:val="00820DF9"/>
    <w:rsid w:val="00824364"/>
    <w:rsid w:val="0083446C"/>
    <w:rsid w:val="00834497"/>
    <w:rsid w:val="00844BC3"/>
    <w:rsid w:val="00847566"/>
    <w:rsid w:val="00850A24"/>
    <w:rsid w:val="00850E97"/>
    <w:rsid w:val="00851A6B"/>
    <w:rsid w:val="00854121"/>
    <w:rsid w:val="008704E3"/>
    <w:rsid w:val="00872C9A"/>
    <w:rsid w:val="008774C5"/>
    <w:rsid w:val="00880F2A"/>
    <w:rsid w:val="00884E69"/>
    <w:rsid w:val="008907D1"/>
    <w:rsid w:val="00891B08"/>
    <w:rsid w:val="008968A6"/>
    <w:rsid w:val="008B77EC"/>
    <w:rsid w:val="008D26B1"/>
    <w:rsid w:val="008D599C"/>
    <w:rsid w:val="008E14D6"/>
    <w:rsid w:val="008E1A97"/>
    <w:rsid w:val="008E27A1"/>
    <w:rsid w:val="008E5400"/>
    <w:rsid w:val="008F3560"/>
    <w:rsid w:val="009009DD"/>
    <w:rsid w:val="00910EF2"/>
    <w:rsid w:val="00912643"/>
    <w:rsid w:val="00923A2A"/>
    <w:rsid w:val="00931006"/>
    <w:rsid w:val="00932CB9"/>
    <w:rsid w:val="009348C1"/>
    <w:rsid w:val="00935B46"/>
    <w:rsid w:val="009371B1"/>
    <w:rsid w:val="00941BAC"/>
    <w:rsid w:val="00952F97"/>
    <w:rsid w:val="00953A00"/>
    <w:rsid w:val="00977FCE"/>
    <w:rsid w:val="009876C7"/>
    <w:rsid w:val="00996695"/>
    <w:rsid w:val="009A3997"/>
    <w:rsid w:val="009C2DF7"/>
    <w:rsid w:val="009D3CE0"/>
    <w:rsid w:val="009F49AD"/>
    <w:rsid w:val="009F5B3E"/>
    <w:rsid w:val="00A10666"/>
    <w:rsid w:val="00A10A1D"/>
    <w:rsid w:val="00A119A5"/>
    <w:rsid w:val="00A15940"/>
    <w:rsid w:val="00A244D5"/>
    <w:rsid w:val="00A27A51"/>
    <w:rsid w:val="00A35E16"/>
    <w:rsid w:val="00A50BFA"/>
    <w:rsid w:val="00A52E05"/>
    <w:rsid w:val="00A56574"/>
    <w:rsid w:val="00A56880"/>
    <w:rsid w:val="00A56D2D"/>
    <w:rsid w:val="00A602CF"/>
    <w:rsid w:val="00A60819"/>
    <w:rsid w:val="00A6733F"/>
    <w:rsid w:val="00A70166"/>
    <w:rsid w:val="00A714BC"/>
    <w:rsid w:val="00A83AE2"/>
    <w:rsid w:val="00A87753"/>
    <w:rsid w:val="00A96C52"/>
    <w:rsid w:val="00AA28D9"/>
    <w:rsid w:val="00AA614A"/>
    <w:rsid w:val="00AB4FBC"/>
    <w:rsid w:val="00AB77E5"/>
    <w:rsid w:val="00AC29F1"/>
    <w:rsid w:val="00AD585D"/>
    <w:rsid w:val="00AD7B68"/>
    <w:rsid w:val="00AE7148"/>
    <w:rsid w:val="00AF1C5F"/>
    <w:rsid w:val="00B055A2"/>
    <w:rsid w:val="00B13669"/>
    <w:rsid w:val="00B230A5"/>
    <w:rsid w:val="00B365A3"/>
    <w:rsid w:val="00B45231"/>
    <w:rsid w:val="00B53687"/>
    <w:rsid w:val="00B54857"/>
    <w:rsid w:val="00B75F11"/>
    <w:rsid w:val="00B81812"/>
    <w:rsid w:val="00B819EE"/>
    <w:rsid w:val="00B86202"/>
    <w:rsid w:val="00B9586F"/>
    <w:rsid w:val="00B961E2"/>
    <w:rsid w:val="00BA76EA"/>
    <w:rsid w:val="00BB4B4C"/>
    <w:rsid w:val="00BC2DBC"/>
    <w:rsid w:val="00BC5C01"/>
    <w:rsid w:val="00BC7CCD"/>
    <w:rsid w:val="00BD062B"/>
    <w:rsid w:val="00BE2933"/>
    <w:rsid w:val="00BE3FA3"/>
    <w:rsid w:val="00BE7248"/>
    <w:rsid w:val="00BF02DD"/>
    <w:rsid w:val="00BF7536"/>
    <w:rsid w:val="00BF77EA"/>
    <w:rsid w:val="00C10C50"/>
    <w:rsid w:val="00C1676D"/>
    <w:rsid w:val="00C17C94"/>
    <w:rsid w:val="00C2066E"/>
    <w:rsid w:val="00C229BF"/>
    <w:rsid w:val="00C42CA1"/>
    <w:rsid w:val="00C47EF1"/>
    <w:rsid w:val="00C6233B"/>
    <w:rsid w:val="00C669D0"/>
    <w:rsid w:val="00C66D86"/>
    <w:rsid w:val="00C815DC"/>
    <w:rsid w:val="00C83C5F"/>
    <w:rsid w:val="00C86787"/>
    <w:rsid w:val="00C90B67"/>
    <w:rsid w:val="00C940D8"/>
    <w:rsid w:val="00CA47F6"/>
    <w:rsid w:val="00CC0193"/>
    <w:rsid w:val="00CC7F14"/>
    <w:rsid w:val="00CD19BA"/>
    <w:rsid w:val="00CE0184"/>
    <w:rsid w:val="00CE2B6D"/>
    <w:rsid w:val="00CE392B"/>
    <w:rsid w:val="00CF2BAB"/>
    <w:rsid w:val="00D01397"/>
    <w:rsid w:val="00D11C16"/>
    <w:rsid w:val="00D16506"/>
    <w:rsid w:val="00D1781D"/>
    <w:rsid w:val="00D24E77"/>
    <w:rsid w:val="00D26408"/>
    <w:rsid w:val="00D3678C"/>
    <w:rsid w:val="00D36E12"/>
    <w:rsid w:val="00D42287"/>
    <w:rsid w:val="00D44F2C"/>
    <w:rsid w:val="00D45B6E"/>
    <w:rsid w:val="00D46815"/>
    <w:rsid w:val="00D51849"/>
    <w:rsid w:val="00D54587"/>
    <w:rsid w:val="00D56FDF"/>
    <w:rsid w:val="00D60614"/>
    <w:rsid w:val="00D760E8"/>
    <w:rsid w:val="00D82916"/>
    <w:rsid w:val="00D96F8D"/>
    <w:rsid w:val="00DA4032"/>
    <w:rsid w:val="00DB1BD9"/>
    <w:rsid w:val="00DC2C97"/>
    <w:rsid w:val="00DD04EC"/>
    <w:rsid w:val="00DD3947"/>
    <w:rsid w:val="00DD5EC9"/>
    <w:rsid w:val="00DD78FD"/>
    <w:rsid w:val="00DF1B06"/>
    <w:rsid w:val="00DF4342"/>
    <w:rsid w:val="00DF66E5"/>
    <w:rsid w:val="00DF6E11"/>
    <w:rsid w:val="00E002BE"/>
    <w:rsid w:val="00E018EA"/>
    <w:rsid w:val="00E04461"/>
    <w:rsid w:val="00E07201"/>
    <w:rsid w:val="00E14A5E"/>
    <w:rsid w:val="00E17BC9"/>
    <w:rsid w:val="00E213A9"/>
    <w:rsid w:val="00E21BD2"/>
    <w:rsid w:val="00E3795F"/>
    <w:rsid w:val="00E708D9"/>
    <w:rsid w:val="00E73901"/>
    <w:rsid w:val="00E753EB"/>
    <w:rsid w:val="00E87784"/>
    <w:rsid w:val="00E902F3"/>
    <w:rsid w:val="00E93A33"/>
    <w:rsid w:val="00EA6F26"/>
    <w:rsid w:val="00EB4F68"/>
    <w:rsid w:val="00EC7524"/>
    <w:rsid w:val="00ED7D8C"/>
    <w:rsid w:val="00EE055A"/>
    <w:rsid w:val="00EE185F"/>
    <w:rsid w:val="00EE2894"/>
    <w:rsid w:val="00EF33D3"/>
    <w:rsid w:val="00EF76E9"/>
    <w:rsid w:val="00F00397"/>
    <w:rsid w:val="00F00AD5"/>
    <w:rsid w:val="00F01763"/>
    <w:rsid w:val="00F209C4"/>
    <w:rsid w:val="00F21E98"/>
    <w:rsid w:val="00F449FF"/>
    <w:rsid w:val="00F503BA"/>
    <w:rsid w:val="00F63141"/>
    <w:rsid w:val="00F64F05"/>
    <w:rsid w:val="00F67BDC"/>
    <w:rsid w:val="00F77197"/>
    <w:rsid w:val="00F776CF"/>
    <w:rsid w:val="00F9003E"/>
    <w:rsid w:val="00F9333E"/>
    <w:rsid w:val="00F945AB"/>
    <w:rsid w:val="00FA63A4"/>
    <w:rsid w:val="00FA7356"/>
    <w:rsid w:val="00FA77DB"/>
    <w:rsid w:val="00FB02C2"/>
    <w:rsid w:val="00FB14FC"/>
    <w:rsid w:val="00FB1901"/>
    <w:rsid w:val="00FB7310"/>
    <w:rsid w:val="00FB76FD"/>
    <w:rsid w:val="00FC1B91"/>
    <w:rsid w:val="00FE1891"/>
    <w:rsid w:val="00FE467E"/>
    <w:rsid w:val="00FE7552"/>
    <w:rsid w:val="00FF16FD"/>
    <w:rsid w:val="00FF35C6"/>
    <w:rsid w:val="00FF54CF"/>
    <w:rsid w:val="00FF7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C5E41"/>
  <w15:chartTrackingRefBased/>
  <w15:docId w15:val="{0A70D45D-2034-4165-A700-25D09F1DE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96E"/>
    <w:pPr>
      <w:spacing w:line="360" w:lineRule="auto"/>
      <w:ind w:firstLine="720"/>
    </w:pPr>
    <w:rPr>
      <w:rFonts w:ascii="Times New Roman" w:hAnsi="Times New Roman"/>
      <w:sz w:val="24"/>
    </w:rPr>
  </w:style>
  <w:style w:type="paragraph" w:styleId="Heading1">
    <w:name w:val="heading 1"/>
    <w:basedOn w:val="Normal"/>
    <w:next w:val="Normal"/>
    <w:link w:val="Heading1Char"/>
    <w:uiPriority w:val="9"/>
    <w:qFormat/>
    <w:rsid w:val="008E14D6"/>
    <w:pPr>
      <w:keepNext/>
      <w:keepLines/>
      <w:spacing w:before="240" w:after="0"/>
      <w:ind w:firstLine="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8E14D6"/>
    <w:pPr>
      <w:keepNext/>
      <w:keepLines/>
      <w:spacing w:before="40" w:after="0"/>
      <w:ind w:firstLine="0"/>
      <w:outlineLvl w:val="1"/>
    </w:pPr>
    <w:rPr>
      <w:rFonts w:eastAsiaTheme="majorEastAsia" w:cstheme="majorBidi"/>
      <w:b/>
      <w:color w:val="2E74B5" w:themeColor="accent1" w:themeShade="BF"/>
      <w:sz w:val="28"/>
      <w:szCs w:val="26"/>
    </w:rPr>
  </w:style>
  <w:style w:type="paragraph" w:styleId="Heading3">
    <w:name w:val="heading 3"/>
    <w:basedOn w:val="Normal"/>
    <w:next w:val="Normal"/>
    <w:link w:val="Heading3Char"/>
    <w:uiPriority w:val="9"/>
    <w:unhideWhenUsed/>
    <w:qFormat/>
    <w:rsid w:val="003A6659"/>
    <w:pPr>
      <w:keepNext/>
      <w:keepLines/>
      <w:spacing w:before="40" w:after="0"/>
      <w:ind w:firstLine="0"/>
      <w:outlineLvl w:val="2"/>
    </w:pPr>
    <w:rPr>
      <w:rFonts w:eastAsiaTheme="majorEastAsia"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4D6"/>
    <w:rPr>
      <w:rFonts w:ascii="Times New Roman" w:eastAsiaTheme="majorEastAsia" w:hAnsi="Times New Roman" w:cstheme="majorBidi"/>
      <w:b/>
      <w:color w:val="2E74B5" w:themeColor="accent1" w:themeShade="BF"/>
      <w:sz w:val="32"/>
      <w:szCs w:val="32"/>
    </w:rPr>
  </w:style>
  <w:style w:type="character" w:customStyle="1" w:styleId="Heading2Char">
    <w:name w:val="Heading 2 Char"/>
    <w:basedOn w:val="DefaultParagraphFont"/>
    <w:link w:val="Heading2"/>
    <w:uiPriority w:val="9"/>
    <w:rsid w:val="008E14D6"/>
    <w:rPr>
      <w:rFonts w:ascii="Times New Roman" w:eastAsiaTheme="majorEastAsia" w:hAnsi="Times New Roman" w:cstheme="majorBidi"/>
      <w:b/>
      <w:color w:val="2E74B5" w:themeColor="accent1" w:themeShade="BF"/>
      <w:sz w:val="28"/>
      <w:szCs w:val="26"/>
    </w:rPr>
  </w:style>
  <w:style w:type="character" w:customStyle="1" w:styleId="Heading3Char">
    <w:name w:val="Heading 3 Char"/>
    <w:basedOn w:val="DefaultParagraphFont"/>
    <w:link w:val="Heading3"/>
    <w:uiPriority w:val="9"/>
    <w:rsid w:val="003A6659"/>
    <w:rPr>
      <w:rFonts w:ascii="Times New Roman" w:eastAsiaTheme="majorEastAsia" w:hAnsi="Times New Roman" w:cstheme="majorBidi"/>
      <w:color w:val="1F4D78" w:themeColor="accent1" w:themeShade="7F"/>
      <w:sz w:val="24"/>
      <w:szCs w:val="24"/>
    </w:rPr>
  </w:style>
  <w:style w:type="paragraph" w:styleId="ListParagraph">
    <w:name w:val="List Paragraph"/>
    <w:basedOn w:val="Normal"/>
    <w:uiPriority w:val="34"/>
    <w:qFormat/>
    <w:rsid w:val="00C90B67"/>
    <w:pPr>
      <w:ind w:left="720"/>
      <w:contextualSpacing/>
    </w:pPr>
  </w:style>
  <w:style w:type="paragraph" w:styleId="EndnoteText">
    <w:name w:val="endnote text"/>
    <w:basedOn w:val="Normal"/>
    <w:link w:val="EndnoteTextChar"/>
    <w:uiPriority w:val="99"/>
    <w:semiHidden/>
    <w:unhideWhenUsed/>
    <w:rsid w:val="003A665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A6659"/>
    <w:rPr>
      <w:rFonts w:ascii="Times New Roman" w:hAnsi="Times New Roman"/>
      <w:sz w:val="20"/>
      <w:szCs w:val="20"/>
    </w:rPr>
  </w:style>
  <w:style w:type="character" w:styleId="EndnoteReference">
    <w:name w:val="endnote reference"/>
    <w:basedOn w:val="DefaultParagraphFont"/>
    <w:uiPriority w:val="99"/>
    <w:semiHidden/>
    <w:unhideWhenUsed/>
    <w:rsid w:val="003A6659"/>
    <w:rPr>
      <w:vertAlign w:val="superscript"/>
    </w:rPr>
  </w:style>
  <w:style w:type="paragraph" w:styleId="Header">
    <w:name w:val="header"/>
    <w:basedOn w:val="Normal"/>
    <w:link w:val="HeaderChar"/>
    <w:uiPriority w:val="99"/>
    <w:unhideWhenUsed/>
    <w:rsid w:val="005538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8CB"/>
    <w:rPr>
      <w:rFonts w:ascii="Times New Roman" w:hAnsi="Times New Roman"/>
      <w:sz w:val="24"/>
    </w:rPr>
  </w:style>
  <w:style w:type="paragraph" w:styleId="Footer">
    <w:name w:val="footer"/>
    <w:basedOn w:val="Normal"/>
    <w:link w:val="FooterChar"/>
    <w:uiPriority w:val="99"/>
    <w:unhideWhenUsed/>
    <w:rsid w:val="005538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8CB"/>
    <w:rPr>
      <w:rFonts w:ascii="Times New Roman" w:hAnsi="Times New Roman"/>
      <w:sz w:val="24"/>
    </w:rPr>
  </w:style>
  <w:style w:type="paragraph" w:styleId="FootnoteText">
    <w:name w:val="footnote text"/>
    <w:basedOn w:val="Normal"/>
    <w:link w:val="FootnoteTextChar"/>
    <w:uiPriority w:val="99"/>
    <w:semiHidden/>
    <w:unhideWhenUsed/>
    <w:rsid w:val="006476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7697"/>
    <w:rPr>
      <w:rFonts w:ascii="Times New Roman" w:hAnsi="Times New Roman"/>
      <w:sz w:val="20"/>
      <w:szCs w:val="20"/>
    </w:rPr>
  </w:style>
  <w:style w:type="character" w:styleId="FootnoteReference">
    <w:name w:val="footnote reference"/>
    <w:basedOn w:val="DefaultParagraphFont"/>
    <w:uiPriority w:val="99"/>
    <w:semiHidden/>
    <w:unhideWhenUsed/>
    <w:rsid w:val="00647697"/>
    <w:rPr>
      <w:vertAlign w:val="superscript"/>
    </w:rPr>
  </w:style>
  <w:style w:type="table" w:styleId="TableGrid">
    <w:name w:val="Table Grid"/>
    <w:basedOn w:val="TableNormal"/>
    <w:uiPriority w:val="39"/>
    <w:rsid w:val="00F50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64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408"/>
    <w:rPr>
      <w:rFonts w:ascii="Segoe UI" w:hAnsi="Segoe UI" w:cs="Segoe UI"/>
      <w:sz w:val="18"/>
      <w:szCs w:val="18"/>
    </w:rPr>
  </w:style>
  <w:style w:type="character" w:styleId="CommentReference">
    <w:name w:val="annotation reference"/>
    <w:basedOn w:val="DefaultParagraphFont"/>
    <w:uiPriority w:val="99"/>
    <w:semiHidden/>
    <w:unhideWhenUsed/>
    <w:rsid w:val="00627C18"/>
    <w:rPr>
      <w:sz w:val="16"/>
      <w:szCs w:val="16"/>
    </w:rPr>
  </w:style>
  <w:style w:type="paragraph" w:styleId="CommentText">
    <w:name w:val="annotation text"/>
    <w:basedOn w:val="Normal"/>
    <w:link w:val="CommentTextChar"/>
    <w:uiPriority w:val="99"/>
    <w:unhideWhenUsed/>
    <w:rsid w:val="00627C18"/>
    <w:pPr>
      <w:spacing w:line="240" w:lineRule="auto"/>
    </w:pPr>
    <w:rPr>
      <w:sz w:val="20"/>
      <w:szCs w:val="20"/>
    </w:rPr>
  </w:style>
  <w:style w:type="character" w:customStyle="1" w:styleId="CommentTextChar">
    <w:name w:val="Comment Text Char"/>
    <w:basedOn w:val="DefaultParagraphFont"/>
    <w:link w:val="CommentText"/>
    <w:uiPriority w:val="99"/>
    <w:rsid w:val="00627C1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27C18"/>
    <w:rPr>
      <w:b/>
      <w:bCs/>
    </w:rPr>
  </w:style>
  <w:style w:type="character" w:customStyle="1" w:styleId="CommentSubjectChar">
    <w:name w:val="Comment Subject Char"/>
    <w:basedOn w:val="CommentTextChar"/>
    <w:link w:val="CommentSubject"/>
    <w:uiPriority w:val="99"/>
    <w:semiHidden/>
    <w:rsid w:val="00627C18"/>
    <w:rPr>
      <w:rFonts w:ascii="Times New Roman" w:hAnsi="Times New Roman"/>
      <w:b/>
      <w:bCs/>
      <w:sz w:val="20"/>
      <w:szCs w:val="20"/>
    </w:rPr>
  </w:style>
  <w:style w:type="character" w:styleId="PlaceholderText">
    <w:name w:val="Placeholder Text"/>
    <w:basedOn w:val="DefaultParagraphFont"/>
    <w:uiPriority w:val="99"/>
    <w:semiHidden/>
    <w:rsid w:val="000B014A"/>
    <w:rPr>
      <w:color w:val="808080"/>
    </w:rPr>
  </w:style>
  <w:style w:type="paragraph" w:styleId="Revision">
    <w:name w:val="Revision"/>
    <w:hidden/>
    <w:uiPriority w:val="99"/>
    <w:semiHidden/>
    <w:rsid w:val="001E1474"/>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832131">
      <w:bodyDiv w:val="1"/>
      <w:marLeft w:val="0"/>
      <w:marRight w:val="0"/>
      <w:marTop w:val="0"/>
      <w:marBottom w:val="0"/>
      <w:divBdr>
        <w:top w:val="none" w:sz="0" w:space="0" w:color="auto"/>
        <w:left w:val="none" w:sz="0" w:space="0" w:color="auto"/>
        <w:bottom w:val="none" w:sz="0" w:space="0" w:color="auto"/>
        <w:right w:val="none" w:sz="0" w:space="0" w:color="auto"/>
      </w:divBdr>
    </w:div>
    <w:div w:id="466944065">
      <w:bodyDiv w:val="1"/>
      <w:marLeft w:val="0"/>
      <w:marRight w:val="0"/>
      <w:marTop w:val="0"/>
      <w:marBottom w:val="0"/>
      <w:divBdr>
        <w:top w:val="none" w:sz="0" w:space="0" w:color="auto"/>
        <w:left w:val="none" w:sz="0" w:space="0" w:color="auto"/>
        <w:bottom w:val="none" w:sz="0" w:space="0" w:color="auto"/>
        <w:right w:val="none" w:sz="0" w:space="0" w:color="auto"/>
      </w:divBdr>
    </w:div>
    <w:div w:id="566261439">
      <w:bodyDiv w:val="1"/>
      <w:marLeft w:val="0"/>
      <w:marRight w:val="0"/>
      <w:marTop w:val="0"/>
      <w:marBottom w:val="0"/>
      <w:divBdr>
        <w:top w:val="none" w:sz="0" w:space="0" w:color="auto"/>
        <w:left w:val="none" w:sz="0" w:space="0" w:color="auto"/>
        <w:bottom w:val="none" w:sz="0" w:space="0" w:color="auto"/>
        <w:right w:val="none" w:sz="0" w:space="0" w:color="auto"/>
      </w:divBdr>
    </w:div>
    <w:div w:id="865412729">
      <w:bodyDiv w:val="1"/>
      <w:marLeft w:val="0"/>
      <w:marRight w:val="0"/>
      <w:marTop w:val="0"/>
      <w:marBottom w:val="0"/>
      <w:divBdr>
        <w:top w:val="none" w:sz="0" w:space="0" w:color="auto"/>
        <w:left w:val="none" w:sz="0" w:space="0" w:color="auto"/>
        <w:bottom w:val="none" w:sz="0" w:space="0" w:color="auto"/>
        <w:right w:val="none" w:sz="0" w:space="0" w:color="auto"/>
      </w:divBdr>
    </w:div>
    <w:div w:id="943419851">
      <w:bodyDiv w:val="1"/>
      <w:marLeft w:val="0"/>
      <w:marRight w:val="0"/>
      <w:marTop w:val="0"/>
      <w:marBottom w:val="0"/>
      <w:divBdr>
        <w:top w:val="none" w:sz="0" w:space="0" w:color="auto"/>
        <w:left w:val="none" w:sz="0" w:space="0" w:color="auto"/>
        <w:bottom w:val="none" w:sz="0" w:space="0" w:color="auto"/>
        <w:right w:val="none" w:sz="0" w:space="0" w:color="auto"/>
      </w:divBdr>
    </w:div>
    <w:div w:id="1232077885">
      <w:bodyDiv w:val="1"/>
      <w:marLeft w:val="0"/>
      <w:marRight w:val="0"/>
      <w:marTop w:val="0"/>
      <w:marBottom w:val="0"/>
      <w:divBdr>
        <w:top w:val="none" w:sz="0" w:space="0" w:color="auto"/>
        <w:left w:val="none" w:sz="0" w:space="0" w:color="auto"/>
        <w:bottom w:val="none" w:sz="0" w:space="0" w:color="auto"/>
        <w:right w:val="none" w:sz="0" w:space="0" w:color="auto"/>
      </w:divBdr>
    </w:div>
    <w:div w:id="1486434550">
      <w:bodyDiv w:val="1"/>
      <w:marLeft w:val="0"/>
      <w:marRight w:val="0"/>
      <w:marTop w:val="0"/>
      <w:marBottom w:val="0"/>
      <w:divBdr>
        <w:top w:val="none" w:sz="0" w:space="0" w:color="auto"/>
        <w:left w:val="none" w:sz="0" w:space="0" w:color="auto"/>
        <w:bottom w:val="none" w:sz="0" w:space="0" w:color="auto"/>
        <w:right w:val="none" w:sz="0" w:space="0" w:color="auto"/>
      </w:divBdr>
    </w:div>
    <w:div w:id="1814563695">
      <w:bodyDiv w:val="1"/>
      <w:marLeft w:val="0"/>
      <w:marRight w:val="0"/>
      <w:marTop w:val="0"/>
      <w:marBottom w:val="0"/>
      <w:divBdr>
        <w:top w:val="none" w:sz="0" w:space="0" w:color="auto"/>
        <w:left w:val="none" w:sz="0" w:space="0" w:color="auto"/>
        <w:bottom w:val="none" w:sz="0" w:space="0" w:color="auto"/>
        <w:right w:val="none" w:sz="0" w:space="0" w:color="auto"/>
      </w:divBdr>
    </w:div>
    <w:div w:id="1992128069">
      <w:bodyDiv w:val="1"/>
      <w:marLeft w:val="0"/>
      <w:marRight w:val="0"/>
      <w:marTop w:val="0"/>
      <w:marBottom w:val="0"/>
      <w:divBdr>
        <w:top w:val="none" w:sz="0" w:space="0" w:color="auto"/>
        <w:left w:val="none" w:sz="0" w:space="0" w:color="auto"/>
        <w:bottom w:val="none" w:sz="0" w:space="0" w:color="auto"/>
        <w:right w:val="none" w:sz="0" w:space="0" w:color="auto"/>
      </w:divBdr>
    </w:div>
    <w:div w:id="2034726012">
      <w:bodyDiv w:val="1"/>
      <w:marLeft w:val="0"/>
      <w:marRight w:val="0"/>
      <w:marTop w:val="0"/>
      <w:marBottom w:val="0"/>
      <w:divBdr>
        <w:top w:val="none" w:sz="0" w:space="0" w:color="auto"/>
        <w:left w:val="none" w:sz="0" w:space="0" w:color="auto"/>
        <w:bottom w:val="none" w:sz="0" w:space="0" w:color="auto"/>
        <w:right w:val="none" w:sz="0" w:space="0" w:color="auto"/>
      </w:divBdr>
    </w:div>
    <w:div w:id="2038922904">
      <w:bodyDiv w:val="1"/>
      <w:marLeft w:val="0"/>
      <w:marRight w:val="0"/>
      <w:marTop w:val="0"/>
      <w:marBottom w:val="0"/>
      <w:divBdr>
        <w:top w:val="none" w:sz="0" w:space="0" w:color="auto"/>
        <w:left w:val="none" w:sz="0" w:space="0" w:color="auto"/>
        <w:bottom w:val="none" w:sz="0" w:space="0" w:color="auto"/>
        <w:right w:val="none" w:sz="0" w:space="0" w:color="auto"/>
      </w:divBdr>
    </w:div>
    <w:div w:id="2125735391">
      <w:bodyDiv w:val="1"/>
      <w:marLeft w:val="0"/>
      <w:marRight w:val="0"/>
      <w:marTop w:val="0"/>
      <w:marBottom w:val="0"/>
      <w:divBdr>
        <w:top w:val="none" w:sz="0" w:space="0" w:color="auto"/>
        <w:left w:val="none" w:sz="0" w:space="0" w:color="auto"/>
        <w:bottom w:val="none" w:sz="0" w:space="0" w:color="auto"/>
        <w:right w:val="none" w:sz="0" w:space="0" w:color="auto"/>
      </w:divBdr>
    </w:div>
    <w:div w:id="213281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2D2E8-40C5-4A81-AD73-0444E204D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24</Pages>
  <Words>5420</Words>
  <Characters>30900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ERS/USDA</Company>
  <LinksUpToDate>false</LinksUpToDate>
  <CharactersWithSpaces>36248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Wallander, Steve - ERS</dc:creator>
  <cp:keywords/>
  <dc:description/>
  <cp:lastModifiedBy>Wallander, Steve - REE-ERS, Washington, DC</cp:lastModifiedBy>
  <cp:revision>4</cp:revision>
  <cp:lastPrinted>2020-02-12T14:05:00Z</cp:lastPrinted>
  <dcterms:created xsi:type="dcterms:W3CDTF">2022-02-15T13:46:00Z</dcterms:created>
  <dcterms:modified xsi:type="dcterms:W3CDTF">2022-02-15T13:56:00Z</dcterms:modified>
</cp:coreProperties>
</file>