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77B3" w:rsidR="001845C7" w:rsidP="00FE77B3" w:rsidRDefault="00C75600" w14:paraId="08DB52B3" w14:textId="7A5FC830">
      <w:pPr>
        <w:spacing w:after="0" w:line="240" w:lineRule="auto"/>
        <w:jc w:val="center"/>
        <w:rPr>
          <w:rFonts w:ascii="Times New Roman" w:hAnsi="Times New Roman" w:cs="Times New Roman"/>
          <w:b/>
          <w:bCs/>
          <w:sz w:val="24"/>
          <w:szCs w:val="24"/>
        </w:rPr>
      </w:pPr>
      <w:r w:rsidRPr="00FE77B3">
        <w:rPr>
          <w:rFonts w:ascii="Times New Roman" w:hAnsi="Times New Roman" w:cs="Times New Roman"/>
          <w:b/>
          <w:bCs/>
          <w:sz w:val="24"/>
          <w:szCs w:val="24"/>
        </w:rPr>
        <w:t>Supporting Statement</w:t>
      </w:r>
      <w:r w:rsidRPr="00FE77B3" w:rsidR="006F57F1">
        <w:rPr>
          <w:rFonts w:ascii="Times New Roman" w:hAnsi="Times New Roman" w:cs="Times New Roman"/>
          <w:b/>
          <w:bCs/>
          <w:sz w:val="24"/>
          <w:szCs w:val="24"/>
        </w:rPr>
        <w:t xml:space="preserve"> A</w:t>
      </w:r>
    </w:p>
    <w:p w:rsidRPr="00FE77B3" w:rsidR="006B5D57" w:rsidP="00FE77B3" w:rsidRDefault="006B5D57" w14:paraId="2E4B5DAE" w14:textId="6C9442AC">
      <w:pPr>
        <w:spacing w:after="0" w:line="240" w:lineRule="auto"/>
        <w:jc w:val="center"/>
        <w:rPr>
          <w:rFonts w:ascii="Times New Roman" w:hAnsi="Times New Roman" w:cs="Times New Roman"/>
          <w:b/>
          <w:bCs/>
          <w:sz w:val="24"/>
          <w:szCs w:val="24"/>
        </w:rPr>
      </w:pPr>
      <w:r w:rsidRPr="00FE77B3">
        <w:rPr>
          <w:rFonts w:ascii="Times New Roman" w:hAnsi="Times New Roman" w:cs="Times New Roman"/>
          <w:b/>
          <w:bCs/>
          <w:sz w:val="24"/>
          <w:szCs w:val="24"/>
        </w:rPr>
        <w:t xml:space="preserve">Conservation Auction Behavior: </w:t>
      </w:r>
      <w:r w:rsidRPr="00FE77B3" w:rsidR="00107CCD">
        <w:rPr>
          <w:rFonts w:ascii="Times New Roman" w:hAnsi="Times New Roman" w:cs="Times New Roman"/>
          <w:b/>
          <w:bCs/>
          <w:sz w:val="24"/>
          <w:szCs w:val="24"/>
        </w:rPr>
        <w:t xml:space="preserve"> </w:t>
      </w:r>
      <w:r w:rsidRPr="00FE77B3">
        <w:rPr>
          <w:rFonts w:ascii="Times New Roman" w:hAnsi="Times New Roman" w:cs="Times New Roman"/>
          <w:b/>
          <w:bCs/>
          <w:sz w:val="24"/>
          <w:szCs w:val="24"/>
        </w:rPr>
        <w:t>Effects of Default Offers and Score Updating</w:t>
      </w:r>
    </w:p>
    <w:p w:rsidRPr="00FE77B3" w:rsidR="0041226D" w:rsidP="00FE77B3" w:rsidRDefault="00007450" w14:paraId="6931A0B1" w14:textId="1A5B3CA9">
      <w:pPr>
        <w:shd w:val="clear" w:color="auto" w:fill="FFFFFF"/>
        <w:spacing w:after="0" w:line="240" w:lineRule="auto"/>
        <w:jc w:val="center"/>
        <w:outlineLvl w:val="1"/>
        <w:rPr>
          <w:rFonts w:ascii="Times New Roman" w:hAnsi="Times New Roman" w:cs="Times New Roman"/>
          <w:b/>
          <w:bCs/>
          <w:sz w:val="24"/>
          <w:szCs w:val="24"/>
        </w:rPr>
      </w:pPr>
      <w:r w:rsidRPr="00FE77B3">
        <w:rPr>
          <w:rFonts w:ascii="Times New Roman" w:hAnsi="Times New Roman" w:eastAsia="Times New Roman" w:cs="Times New Roman"/>
          <w:b/>
          <w:bCs/>
          <w:color w:val="444444"/>
          <w:sz w:val="24"/>
          <w:szCs w:val="24"/>
        </w:rPr>
        <w:t>USDA/Economic Research Service</w:t>
      </w:r>
    </w:p>
    <w:p w:rsidRPr="00FE77B3" w:rsidR="00C75600" w:rsidP="00FE77B3" w:rsidRDefault="00C75600" w14:paraId="59056A25" w14:textId="56D67244">
      <w:pPr>
        <w:spacing w:line="240" w:lineRule="auto"/>
        <w:jc w:val="center"/>
        <w:rPr>
          <w:rFonts w:ascii="Times New Roman" w:hAnsi="Times New Roman" w:cs="Times New Roman"/>
          <w:b/>
          <w:bCs/>
          <w:sz w:val="24"/>
          <w:szCs w:val="24"/>
        </w:rPr>
      </w:pPr>
      <w:r w:rsidRPr="00FE77B3">
        <w:rPr>
          <w:rFonts w:ascii="Times New Roman" w:hAnsi="Times New Roman" w:cs="Times New Roman"/>
          <w:b/>
          <w:bCs/>
          <w:sz w:val="24"/>
          <w:szCs w:val="24"/>
        </w:rPr>
        <w:t xml:space="preserve">OMB </w:t>
      </w:r>
      <w:r w:rsidRPr="00FE77B3" w:rsidR="00DA3E3C">
        <w:rPr>
          <w:rFonts w:ascii="Times New Roman" w:hAnsi="Times New Roman" w:cs="Times New Roman"/>
          <w:b/>
          <w:bCs/>
          <w:sz w:val="24"/>
          <w:szCs w:val="24"/>
        </w:rPr>
        <w:t xml:space="preserve">Control Number:  </w:t>
      </w:r>
      <w:r w:rsidRPr="00FE77B3" w:rsidR="00954679">
        <w:rPr>
          <w:rFonts w:ascii="Times New Roman" w:hAnsi="Times New Roman" w:cs="Times New Roman"/>
          <w:b/>
          <w:bCs/>
          <w:sz w:val="24"/>
          <w:szCs w:val="24"/>
        </w:rPr>
        <w:t>0536</w:t>
      </w:r>
      <w:r w:rsidRPr="00FE77B3">
        <w:rPr>
          <w:rFonts w:ascii="Times New Roman" w:hAnsi="Times New Roman" w:cs="Times New Roman"/>
          <w:b/>
          <w:bCs/>
          <w:sz w:val="24"/>
          <w:szCs w:val="24"/>
        </w:rPr>
        <w:t>-</w:t>
      </w:r>
      <w:r w:rsidRPr="00FE77B3" w:rsidR="0033107B">
        <w:rPr>
          <w:rFonts w:ascii="Times New Roman" w:hAnsi="Times New Roman" w:cs="Times New Roman"/>
          <w:b/>
          <w:bCs/>
          <w:sz w:val="24"/>
          <w:szCs w:val="24"/>
        </w:rPr>
        <w:t>X</w:t>
      </w:r>
      <w:r w:rsidRPr="00FE77B3">
        <w:rPr>
          <w:rFonts w:ascii="Times New Roman" w:hAnsi="Times New Roman" w:cs="Times New Roman"/>
          <w:b/>
          <w:bCs/>
          <w:sz w:val="24"/>
          <w:szCs w:val="24"/>
        </w:rPr>
        <w:t>NEW</w:t>
      </w:r>
    </w:p>
    <w:p w:rsidRPr="00954679" w:rsidR="00F5528D" w:rsidP="00E648B4" w:rsidRDefault="00E648B4" w14:paraId="74D5EF41" w14:textId="5B9D0532">
      <w:pPr>
        <w:rPr>
          <w:rFonts w:ascii="Times New Roman" w:hAnsi="Times New Roman" w:cs="Times New Roman"/>
          <w:b/>
          <w:bCs/>
          <w:sz w:val="24"/>
          <w:szCs w:val="24"/>
        </w:rPr>
      </w:pPr>
      <w:r w:rsidRPr="00954679">
        <w:rPr>
          <w:rFonts w:ascii="Times New Roman" w:hAnsi="Times New Roman" w:cs="Times New Roman"/>
          <w:b/>
          <w:bCs/>
          <w:sz w:val="24"/>
          <w:szCs w:val="24"/>
        </w:rPr>
        <w:t xml:space="preserve">1: </w:t>
      </w:r>
      <w:r w:rsidRPr="00954679" w:rsidR="0046218E">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54679" w:rsidR="00E648B4" w:rsidP="00E648B4" w:rsidRDefault="00E648B4" w14:paraId="2A3BFB0D" w14:textId="65A4F979">
      <w:pPr>
        <w:rPr>
          <w:rFonts w:ascii="Times New Roman" w:hAnsi="Times New Roman" w:cs="Times New Roman"/>
          <w:sz w:val="24"/>
          <w:szCs w:val="24"/>
        </w:rPr>
      </w:pPr>
      <w:r w:rsidRPr="00954679">
        <w:rPr>
          <w:rFonts w:ascii="Times New Roman" w:hAnsi="Times New Roman" w:cs="Times New Roman"/>
          <w:sz w:val="24"/>
          <w:szCs w:val="24"/>
        </w:rPr>
        <w:t xml:space="preserve">USDA’s Conservation Reserve Program (CRP) enrolls environmentally sensitive cropland in long-term contracts.  Enrolled landowners receive annual rental payments for establishing the approved conservation vegetative cover and not farming the land.  Most land is enrolled through the CRP General Signup, a multi-unit, sealed-bid, </w:t>
      </w:r>
      <w:r w:rsidRPr="00954679" w:rsidR="00667E5A">
        <w:rPr>
          <w:rFonts w:ascii="Times New Roman" w:hAnsi="Times New Roman" w:cs="Times New Roman"/>
          <w:sz w:val="24"/>
          <w:szCs w:val="24"/>
        </w:rPr>
        <w:t xml:space="preserve">pay-as-bid </w:t>
      </w:r>
      <w:r w:rsidRPr="00954679">
        <w:rPr>
          <w:rFonts w:ascii="Times New Roman" w:hAnsi="Times New Roman" w:cs="Times New Roman"/>
          <w:sz w:val="24"/>
          <w:szCs w:val="24"/>
        </w:rPr>
        <w:t xml:space="preserve">reverse auction. </w:t>
      </w:r>
      <w:r w:rsidRPr="00954679" w:rsidR="00954679">
        <w:rPr>
          <w:rFonts w:ascii="Times New Roman" w:hAnsi="Times New Roman" w:cs="Times New Roman"/>
          <w:sz w:val="24"/>
          <w:szCs w:val="24"/>
        </w:rPr>
        <w:t xml:space="preserve"> </w:t>
      </w:r>
      <w:r w:rsidRPr="00954679">
        <w:rPr>
          <w:rFonts w:ascii="Times New Roman" w:hAnsi="Times New Roman" w:cs="Times New Roman"/>
          <w:sz w:val="24"/>
          <w:szCs w:val="24"/>
        </w:rPr>
        <w:t>Offers are ranked on both quality and price.</w:t>
      </w:r>
      <w:r w:rsidRPr="00954679" w:rsidR="00667E5A">
        <w:rPr>
          <w:rFonts w:ascii="Times New Roman" w:hAnsi="Times New Roman" w:cs="Times New Roman"/>
          <w:sz w:val="24"/>
          <w:szCs w:val="24"/>
        </w:rPr>
        <w:t xml:space="preserve">  Offers have field-specific bid caps</w:t>
      </w:r>
      <w:r w:rsidRPr="00954679" w:rsidR="00317F2A">
        <w:rPr>
          <w:rFonts w:ascii="Times New Roman" w:hAnsi="Times New Roman" w:cs="Times New Roman"/>
          <w:sz w:val="24"/>
          <w:szCs w:val="24"/>
        </w:rPr>
        <w:t xml:space="preserve"> (maximum annual rental payments)</w:t>
      </w:r>
      <w:r w:rsidRPr="00954679" w:rsidR="00667E5A">
        <w:rPr>
          <w:rFonts w:ascii="Times New Roman" w:hAnsi="Times New Roman" w:cs="Times New Roman"/>
          <w:sz w:val="24"/>
          <w:szCs w:val="24"/>
        </w:rPr>
        <w:t>, which are the equivalent of reserve prices in forward</w:t>
      </w:r>
      <w:r w:rsidRPr="00954679" w:rsidR="00317F2A">
        <w:rPr>
          <w:rFonts w:ascii="Times New Roman" w:hAnsi="Times New Roman" w:cs="Times New Roman"/>
          <w:sz w:val="24"/>
          <w:szCs w:val="24"/>
        </w:rPr>
        <w:t xml:space="preserve"> auctions.</w:t>
      </w:r>
      <w:r w:rsidRPr="00954679" w:rsidR="00667E5A">
        <w:rPr>
          <w:rFonts w:ascii="Times New Roman" w:hAnsi="Times New Roman" w:cs="Times New Roman"/>
          <w:sz w:val="24"/>
          <w:szCs w:val="24"/>
        </w:rPr>
        <w:t xml:space="preserve"> </w:t>
      </w:r>
      <w:r w:rsidRPr="00954679">
        <w:rPr>
          <w:rFonts w:ascii="Times New Roman" w:hAnsi="Times New Roman" w:cs="Times New Roman"/>
          <w:sz w:val="24"/>
          <w:szCs w:val="24"/>
        </w:rPr>
        <w:t xml:space="preserve"> Participants can increase the probability that their offer is accepted by agreeing to a higher quality conservation cover practice or </w:t>
      </w:r>
      <w:r w:rsidRPr="00954679" w:rsidR="00317F2A">
        <w:rPr>
          <w:rFonts w:ascii="Times New Roman" w:hAnsi="Times New Roman" w:cs="Times New Roman"/>
          <w:sz w:val="24"/>
          <w:szCs w:val="24"/>
        </w:rPr>
        <w:t>offer a discount (i.e.: accepting an annual payment below their bid cap)</w:t>
      </w:r>
      <w:r w:rsidRPr="00954679">
        <w:rPr>
          <w:rFonts w:ascii="Times New Roman" w:hAnsi="Times New Roman" w:cs="Times New Roman"/>
          <w:sz w:val="24"/>
          <w:szCs w:val="24"/>
        </w:rPr>
        <w:t xml:space="preserve">. </w:t>
      </w:r>
      <w:r w:rsidRPr="00954679" w:rsidR="00954679">
        <w:rPr>
          <w:rFonts w:ascii="Times New Roman" w:hAnsi="Times New Roman" w:cs="Times New Roman"/>
          <w:sz w:val="24"/>
          <w:szCs w:val="24"/>
        </w:rPr>
        <w:t xml:space="preserve"> </w:t>
      </w:r>
      <w:r w:rsidRPr="00954679">
        <w:rPr>
          <w:rFonts w:ascii="Times New Roman" w:hAnsi="Times New Roman" w:cs="Times New Roman"/>
          <w:sz w:val="24"/>
          <w:szCs w:val="24"/>
        </w:rPr>
        <w:t xml:space="preserve">By encouraging better practices and lower payments, the </w:t>
      </w:r>
      <w:r w:rsidRPr="00954679" w:rsidR="00317F2A">
        <w:rPr>
          <w:rFonts w:ascii="Times New Roman" w:hAnsi="Times New Roman" w:cs="Times New Roman"/>
          <w:sz w:val="24"/>
          <w:szCs w:val="24"/>
        </w:rPr>
        <w:t xml:space="preserve">CRP General Signup </w:t>
      </w:r>
      <w:r w:rsidRPr="00954679">
        <w:rPr>
          <w:rFonts w:ascii="Times New Roman" w:hAnsi="Times New Roman" w:cs="Times New Roman"/>
          <w:sz w:val="24"/>
          <w:szCs w:val="24"/>
        </w:rPr>
        <w:t xml:space="preserve">auction design </w:t>
      </w:r>
      <w:r w:rsidRPr="00954679" w:rsidR="00317F2A">
        <w:rPr>
          <w:rFonts w:ascii="Times New Roman" w:hAnsi="Times New Roman" w:cs="Times New Roman"/>
          <w:sz w:val="24"/>
          <w:szCs w:val="24"/>
        </w:rPr>
        <w:t>leverage</w:t>
      </w:r>
      <w:r w:rsidR="00705EE3">
        <w:rPr>
          <w:rFonts w:ascii="Times New Roman" w:hAnsi="Times New Roman" w:cs="Times New Roman"/>
          <w:sz w:val="24"/>
          <w:szCs w:val="24"/>
        </w:rPr>
        <w:t>s</w:t>
      </w:r>
      <w:r w:rsidRPr="00954679" w:rsidR="00317F2A">
        <w:rPr>
          <w:rFonts w:ascii="Times New Roman" w:hAnsi="Times New Roman" w:cs="Times New Roman"/>
          <w:sz w:val="24"/>
          <w:szCs w:val="24"/>
        </w:rPr>
        <w:t xml:space="preserve"> competitive pressure for getting accepted into the program to </w:t>
      </w:r>
      <w:r w:rsidRPr="00954679">
        <w:rPr>
          <w:rFonts w:ascii="Times New Roman" w:hAnsi="Times New Roman" w:cs="Times New Roman"/>
          <w:sz w:val="24"/>
          <w:szCs w:val="24"/>
        </w:rPr>
        <w:t xml:space="preserve">improve the cost effectiveness of the </w:t>
      </w:r>
      <w:r w:rsidRPr="00954679" w:rsidR="00317F2A">
        <w:rPr>
          <w:rFonts w:ascii="Times New Roman" w:hAnsi="Times New Roman" w:cs="Times New Roman"/>
          <w:sz w:val="24"/>
          <w:szCs w:val="24"/>
        </w:rPr>
        <w:t>program</w:t>
      </w:r>
      <w:r w:rsidRPr="00954679" w:rsidR="00901BA0">
        <w:rPr>
          <w:rFonts w:ascii="Times New Roman" w:hAnsi="Times New Roman" w:cs="Times New Roman"/>
          <w:sz w:val="24"/>
          <w:szCs w:val="24"/>
        </w:rPr>
        <w:t xml:space="preserve"> (Hellerstein</w:t>
      </w:r>
      <w:r w:rsidRPr="00954679">
        <w:rPr>
          <w:rFonts w:ascii="Times New Roman" w:hAnsi="Times New Roman" w:cs="Times New Roman"/>
          <w:sz w:val="24"/>
          <w:szCs w:val="24"/>
        </w:rPr>
        <w:t xml:space="preserve"> </w:t>
      </w:r>
      <w:r w:rsidRPr="00954679" w:rsidR="00901BA0">
        <w:rPr>
          <w:rFonts w:ascii="Times New Roman" w:hAnsi="Times New Roman" w:cs="Times New Roman"/>
          <w:sz w:val="24"/>
          <w:szCs w:val="24"/>
        </w:rPr>
        <w:t>2017)</w:t>
      </w:r>
      <w:r w:rsidRPr="00954679" w:rsidR="00317F2A">
        <w:rPr>
          <w:rFonts w:ascii="Times New Roman" w:hAnsi="Times New Roman" w:cs="Times New Roman"/>
          <w:sz w:val="24"/>
          <w:szCs w:val="24"/>
        </w:rPr>
        <w:t>.</w:t>
      </w:r>
    </w:p>
    <w:p w:rsidRPr="00954679" w:rsidR="00BA3FD6" w:rsidP="00E648B4" w:rsidRDefault="00376378" w14:paraId="3358ED88" w14:textId="44ECA18A">
      <w:pPr>
        <w:rPr>
          <w:rFonts w:ascii="Times New Roman" w:hAnsi="Times New Roman" w:cs="Times New Roman"/>
          <w:sz w:val="24"/>
          <w:szCs w:val="24"/>
        </w:rPr>
      </w:pPr>
      <w:r w:rsidRPr="00954679">
        <w:rPr>
          <w:rFonts w:ascii="Times New Roman" w:hAnsi="Times New Roman" w:cs="Times New Roman"/>
          <w:sz w:val="24"/>
          <w:szCs w:val="24"/>
        </w:rPr>
        <w:t xml:space="preserve">Data collection for this project is authorized by the 7 U.S.C. 2204(a) (see Attachment A: 7 USC 2204a).  Within that authority, </w:t>
      </w:r>
      <w:r w:rsidRPr="00954679" w:rsidR="00BA3FD6">
        <w:rPr>
          <w:rFonts w:ascii="Times New Roman" w:hAnsi="Times New Roman" w:cs="Times New Roman"/>
          <w:sz w:val="24"/>
          <w:szCs w:val="24"/>
        </w:rPr>
        <w:t xml:space="preserve">UDSA’s Economic Research Service conducts research </w:t>
      </w:r>
      <w:r w:rsidRPr="00954679" w:rsidR="002C4490">
        <w:rPr>
          <w:rFonts w:ascii="Times New Roman" w:hAnsi="Times New Roman" w:cs="Times New Roman"/>
          <w:sz w:val="24"/>
          <w:szCs w:val="24"/>
        </w:rPr>
        <w:t xml:space="preserve">on issues related to environmental issues and agricultural conservation programs.  That research includes studies </w:t>
      </w:r>
      <w:r w:rsidRPr="00954679" w:rsidR="00BA3FD6">
        <w:rPr>
          <w:rFonts w:ascii="Times New Roman" w:hAnsi="Times New Roman" w:cs="Times New Roman"/>
          <w:sz w:val="24"/>
          <w:szCs w:val="24"/>
        </w:rPr>
        <w:t>on the design of CRP</w:t>
      </w:r>
      <w:r w:rsidRPr="00954679" w:rsidR="00061BE9">
        <w:rPr>
          <w:rFonts w:ascii="Times New Roman" w:hAnsi="Times New Roman" w:cs="Times New Roman"/>
          <w:sz w:val="24"/>
          <w:szCs w:val="24"/>
        </w:rPr>
        <w:t xml:space="preserve">, </w:t>
      </w:r>
      <w:r w:rsidRPr="00954679" w:rsidR="00BA3FD6">
        <w:rPr>
          <w:rFonts w:ascii="Times New Roman" w:hAnsi="Times New Roman" w:cs="Times New Roman"/>
          <w:sz w:val="24"/>
          <w:szCs w:val="24"/>
        </w:rPr>
        <w:t>other USDA conservation programs</w:t>
      </w:r>
      <w:r w:rsidRPr="00954679" w:rsidR="00061BE9">
        <w:rPr>
          <w:rFonts w:ascii="Times New Roman" w:hAnsi="Times New Roman" w:cs="Times New Roman"/>
          <w:sz w:val="24"/>
          <w:szCs w:val="24"/>
        </w:rPr>
        <w:t>, and related agri-environmental programs such as payments for environmental services</w:t>
      </w:r>
      <w:r w:rsidRPr="00954679" w:rsidR="00BA3FD6">
        <w:rPr>
          <w:rFonts w:ascii="Times New Roman" w:hAnsi="Times New Roman" w:cs="Times New Roman"/>
          <w:sz w:val="24"/>
          <w:szCs w:val="24"/>
        </w:rPr>
        <w:t xml:space="preserve">.  </w:t>
      </w:r>
      <w:r w:rsidRPr="00954679" w:rsidR="002C4490">
        <w:rPr>
          <w:rFonts w:ascii="Times New Roman" w:hAnsi="Times New Roman" w:cs="Times New Roman"/>
          <w:sz w:val="24"/>
          <w:szCs w:val="24"/>
        </w:rPr>
        <w:t>The ERS research in this area often involves</w:t>
      </w:r>
      <w:r w:rsidRPr="00954679" w:rsidR="00BA3FD6">
        <w:rPr>
          <w:rFonts w:ascii="Times New Roman" w:hAnsi="Times New Roman" w:cs="Times New Roman"/>
          <w:sz w:val="24"/>
          <w:szCs w:val="24"/>
        </w:rPr>
        <w:t xml:space="preserve"> statistical analysis of </w:t>
      </w:r>
      <w:r w:rsidRPr="00954679" w:rsidR="00061BE9">
        <w:rPr>
          <w:rFonts w:ascii="Times New Roman" w:hAnsi="Times New Roman" w:cs="Times New Roman"/>
          <w:sz w:val="24"/>
          <w:szCs w:val="24"/>
        </w:rPr>
        <w:t xml:space="preserve">policy design elements and other factors </w:t>
      </w:r>
      <w:r w:rsidRPr="00954679" w:rsidR="00BA3FD6">
        <w:rPr>
          <w:rFonts w:ascii="Times New Roman" w:hAnsi="Times New Roman" w:cs="Times New Roman"/>
          <w:sz w:val="24"/>
          <w:szCs w:val="24"/>
        </w:rPr>
        <w:t>that influence farmers’ participation decisions within these voluntary programs</w:t>
      </w:r>
      <w:r w:rsidRPr="00954679" w:rsidR="00901BA0">
        <w:rPr>
          <w:rFonts w:ascii="Times New Roman" w:hAnsi="Times New Roman" w:cs="Times New Roman"/>
          <w:sz w:val="24"/>
          <w:szCs w:val="24"/>
        </w:rPr>
        <w:t xml:space="preserve"> (Wallander et al. 2013)</w:t>
      </w:r>
      <w:r w:rsidRPr="00954679" w:rsidR="00BA3FD6">
        <w:rPr>
          <w:rFonts w:ascii="Times New Roman" w:hAnsi="Times New Roman" w:cs="Times New Roman"/>
          <w:sz w:val="24"/>
          <w:szCs w:val="24"/>
        </w:rPr>
        <w:t xml:space="preserve">.  </w:t>
      </w:r>
      <w:r w:rsidRPr="00954679" w:rsidR="00061BE9">
        <w:rPr>
          <w:rFonts w:ascii="Times New Roman" w:hAnsi="Times New Roman" w:cs="Times New Roman"/>
          <w:sz w:val="24"/>
          <w:szCs w:val="24"/>
        </w:rPr>
        <w:t xml:space="preserve">When there is appropriate variation in these factors and incentives, </w:t>
      </w:r>
      <w:r w:rsidRPr="00954679" w:rsidR="002C4490">
        <w:rPr>
          <w:rFonts w:ascii="Times New Roman" w:hAnsi="Times New Roman" w:cs="Times New Roman"/>
          <w:sz w:val="24"/>
          <w:szCs w:val="24"/>
        </w:rPr>
        <w:t xml:space="preserve">such </w:t>
      </w:r>
      <w:r w:rsidRPr="00954679" w:rsidR="00061BE9">
        <w:rPr>
          <w:rFonts w:ascii="Times New Roman" w:hAnsi="Times New Roman" w:cs="Times New Roman"/>
          <w:sz w:val="24"/>
          <w:szCs w:val="24"/>
        </w:rPr>
        <w:t xml:space="preserve">analysis </w:t>
      </w:r>
      <w:r w:rsidRPr="00954679" w:rsidR="002C4490">
        <w:rPr>
          <w:rFonts w:ascii="Times New Roman" w:hAnsi="Times New Roman" w:cs="Times New Roman"/>
          <w:sz w:val="24"/>
          <w:szCs w:val="24"/>
        </w:rPr>
        <w:t>can apply</w:t>
      </w:r>
      <w:r w:rsidRPr="00954679" w:rsidR="00061BE9">
        <w:rPr>
          <w:rFonts w:ascii="Times New Roman" w:hAnsi="Times New Roman" w:cs="Times New Roman"/>
          <w:sz w:val="24"/>
          <w:szCs w:val="24"/>
        </w:rPr>
        <w:t xml:space="preserve"> statistical and econometric modeling </w:t>
      </w:r>
      <w:r w:rsidRPr="00954679" w:rsidR="002C4490">
        <w:rPr>
          <w:rFonts w:ascii="Times New Roman" w:hAnsi="Times New Roman" w:cs="Times New Roman"/>
          <w:sz w:val="24"/>
          <w:szCs w:val="24"/>
        </w:rPr>
        <w:t>to</w:t>
      </w:r>
      <w:r w:rsidRPr="00954679" w:rsidR="00061BE9">
        <w:rPr>
          <w:rFonts w:ascii="Times New Roman" w:hAnsi="Times New Roman" w:cs="Times New Roman"/>
          <w:sz w:val="24"/>
          <w:szCs w:val="24"/>
        </w:rPr>
        <w:t xml:space="preserve"> observational data such as program administrative data or existing USDA surveys.  </w:t>
      </w:r>
      <w:r w:rsidRPr="00954679" w:rsidR="00BA3FD6">
        <w:rPr>
          <w:rFonts w:ascii="Times New Roman" w:hAnsi="Times New Roman" w:cs="Times New Roman"/>
          <w:sz w:val="24"/>
          <w:szCs w:val="24"/>
        </w:rPr>
        <w:t>However,</w:t>
      </w:r>
      <w:r w:rsidRPr="00954679" w:rsidR="00061BE9">
        <w:rPr>
          <w:rFonts w:ascii="Times New Roman" w:hAnsi="Times New Roman" w:cs="Times New Roman"/>
          <w:sz w:val="24"/>
          <w:szCs w:val="24"/>
        </w:rPr>
        <w:t xml:space="preserve"> when the</w:t>
      </w:r>
      <w:r w:rsidRPr="00954679">
        <w:rPr>
          <w:rFonts w:ascii="Times New Roman" w:hAnsi="Times New Roman" w:cs="Times New Roman"/>
          <w:sz w:val="24"/>
          <w:szCs w:val="24"/>
        </w:rPr>
        <w:t>re</w:t>
      </w:r>
      <w:r w:rsidRPr="00954679" w:rsidR="00061BE9">
        <w:rPr>
          <w:rFonts w:ascii="Times New Roman" w:hAnsi="Times New Roman" w:cs="Times New Roman"/>
          <w:sz w:val="24"/>
          <w:szCs w:val="24"/>
        </w:rPr>
        <w:t xml:space="preserve"> is not variation in these factors and incentives within existing observational data</w:t>
      </w:r>
      <w:r w:rsidRPr="00954679" w:rsidR="002C4490">
        <w:rPr>
          <w:rFonts w:ascii="Times New Roman" w:hAnsi="Times New Roman" w:cs="Times New Roman"/>
          <w:sz w:val="24"/>
          <w:szCs w:val="24"/>
        </w:rPr>
        <w:t xml:space="preserve"> or when there is confounding variation that precludes study of a particular research question</w:t>
      </w:r>
      <w:r w:rsidRPr="00954679" w:rsidR="00061BE9">
        <w:rPr>
          <w:rFonts w:ascii="Times New Roman" w:hAnsi="Times New Roman" w:cs="Times New Roman"/>
          <w:sz w:val="24"/>
          <w:szCs w:val="24"/>
        </w:rPr>
        <w:t xml:space="preserve">, </w:t>
      </w:r>
      <w:r w:rsidRPr="00954679" w:rsidR="002C4490">
        <w:rPr>
          <w:rFonts w:ascii="Times New Roman" w:hAnsi="Times New Roman" w:cs="Times New Roman"/>
          <w:sz w:val="24"/>
          <w:szCs w:val="24"/>
        </w:rPr>
        <w:t xml:space="preserve">ERS </w:t>
      </w:r>
      <w:r w:rsidRPr="00954679" w:rsidR="00061BE9">
        <w:rPr>
          <w:rFonts w:ascii="Times New Roman" w:hAnsi="Times New Roman" w:cs="Times New Roman"/>
          <w:sz w:val="24"/>
          <w:szCs w:val="24"/>
        </w:rPr>
        <w:t xml:space="preserve">relies on the use of </w:t>
      </w:r>
      <w:r w:rsidRPr="00954679" w:rsidR="00BA3FD6">
        <w:rPr>
          <w:rFonts w:ascii="Times New Roman" w:hAnsi="Times New Roman" w:cs="Times New Roman"/>
          <w:sz w:val="24"/>
          <w:szCs w:val="24"/>
        </w:rPr>
        <w:t xml:space="preserve">experimental </w:t>
      </w:r>
      <w:r w:rsidRPr="00954679" w:rsidR="00061BE9">
        <w:rPr>
          <w:rFonts w:ascii="Times New Roman" w:hAnsi="Times New Roman" w:cs="Times New Roman"/>
          <w:sz w:val="24"/>
          <w:szCs w:val="24"/>
        </w:rPr>
        <w:t>economics</w:t>
      </w:r>
      <w:r w:rsidRPr="00954679" w:rsidR="002C4490">
        <w:rPr>
          <w:rFonts w:ascii="Times New Roman" w:hAnsi="Times New Roman" w:cs="Times New Roman"/>
          <w:sz w:val="24"/>
          <w:szCs w:val="24"/>
        </w:rPr>
        <w:t xml:space="preserve"> methods</w:t>
      </w:r>
      <w:r w:rsidRPr="00954679" w:rsidR="00AE6E45">
        <w:rPr>
          <w:rFonts w:ascii="Times New Roman" w:hAnsi="Times New Roman" w:cs="Times New Roman"/>
          <w:sz w:val="24"/>
          <w:szCs w:val="24"/>
        </w:rPr>
        <w:t xml:space="preserve"> (Higgins et al. 2017)</w:t>
      </w:r>
      <w:r w:rsidRPr="00954679" w:rsidR="00061BE9">
        <w:rPr>
          <w:rFonts w:ascii="Times New Roman" w:hAnsi="Times New Roman" w:cs="Times New Roman"/>
          <w:sz w:val="24"/>
          <w:szCs w:val="24"/>
        </w:rPr>
        <w:t xml:space="preserve">.  </w:t>
      </w:r>
      <w:r w:rsidRPr="00954679" w:rsidR="002C4490">
        <w:rPr>
          <w:rFonts w:ascii="Times New Roman" w:hAnsi="Times New Roman" w:cs="Times New Roman"/>
          <w:sz w:val="24"/>
          <w:szCs w:val="24"/>
        </w:rPr>
        <w:t>Experimental economics research o</w:t>
      </w:r>
      <w:r w:rsidRPr="00954679" w:rsidR="00061BE9">
        <w:rPr>
          <w:rFonts w:ascii="Times New Roman" w:hAnsi="Times New Roman" w:cs="Times New Roman"/>
          <w:sz w:val="24"/>
          <w:szCs w:val="24"/>
        </w:rPr>
        <w:t xml:space="preserve">ften occurs </w:t>
      </w:r>
      <w:r w:rsidRPr="00954679" w:rsidR="002C4490">
        <w:rPr>
          <w:rFonts w:ascii="Times New Roman" w:hAnsi="Times New Roman" w:cs="Times New Roman"/>
          <w:sz w:val="24"/>
          <w:szCs w:val="24"/>
        </w:rPr>
        <w:t>with use of</w:t>
      </w:r>
      <w:r w:rsidRPr="00954679" w:rsidR="00061BE9">
        <w:rPr>
          <w:rFonts w:ascii="Times New Roman" w:hAnsi="Times New Roman" w:cs="Times New Roman"/>
          <w:sz w:val="24"/>
          <w:szCs w:val="24"/>
        </w:rPr>
        <w:t xml:space="preserve"> a</w:t>
      </w:r>
      <w:r w:rsidRPr="00954679">
        <w:rPr>
          <w:rFonts w:ascii="Times New Roman" w:hAnsi="Times New Roman" w:cs="Times New Roman"/>
          <w:sz w:val="24"/>
          <w:szCs w:val="24"/>
        </w:rPr>
        <w:t xml:space="preserve">n economic </w:t>
      </w:r>
      <w:r w:rsidRPr="00954679" w:rsidR="00061BE9">
        <w:rPr>
          <w:rFonts w:ascii="Times New Roman" w:hAnsi="Times New Roman" w:cs="Times New Roman"/>
          <w:sz w:val="24"/>
          <w:szCs w:val="24"/>
        </w:rPr>
        <w:t>lab experiment</w:t>
      </w:r>
      <w:r w:rsidRPr="00954679">
        <w:rPr>
          <w:rFonts w:ascii="Times New Roman" w:hAnsi="Times New Roman" w:cs="Times New Roman"/>
          <w:sz w:val="24"/>
          <w:szCs w:val="24"/>
        </w:rPr>
        <w:t>, so named because they have historically been conducted within university computer labs designed for such research</w:t>
      </w:r>
      <w:r w:rsidRPr="00954679" w:rsidR="00D60EDE">
        <w:rPr>
          <w:rFonts w:ascii="Times New Roman" w:hAnsi="Times New Roman" w:cs="Times New Roman"/>
          <w:sz w:val="24"/>
          <w:szCs w:val="24"/>
        </w:rPr>
        <w:t xml:space="preserve">.  The key features of most economic lab experiments are as follows: </w:t>
      </w:r>
      <w:r w:rsidR="00954679">
        <w:rPr>
          <w:rFonts w:ascii="Times New Roman" w:hAnsi="Times New Roman" w:cs="Times New Roman"/>
          <w:sz w:val="24"/>
          <w:szCs w:val="24"/>
        </w:rPr>
        <w:t xml:space="preserve"> </w:t>
      </w:r>
      <w:r w:rsidRPr="00954679" w:rsidR="00D60EDE">
        <w:rPr>
          <w:rFonts w:ascii="Times New Roman" w:hAnsi="Times New Roman" w:cs="Times New Roman"/>
          <w:sz w:val="24"/>
          <w:szCs w:val="24"/>
        </w:rPr>
        <w:t>1</w:t>
      </w:r>
      <w:r w:rsidR="004667DC">
        <w:rPr>
          <w:rFonts w:ascii="Times New Roman" w:hAnsi="Times New Roman" w:cs="Times New Roman"/>
          <w:sz w:val="24"/>
          <w:szCs w:val="24"/>
        </w:rPr>
        <w:t>.</w:t>
      </w:r>
      <w:r w:rsidRPr="00954679" w:rsidR="00061BE9">
        <w:rPr>
          <w:rFonts w:ascii="Times New Roman" w:hAnsi="Times New Roman" w:cs="Times New Roman"/>
          <w:sz w:val="24"/>
          <w:szCs w:val="24"/>
        </w:rPr>
        <w:t xml:space="preserve"> </w:t>
      </w:r>
      <w:r w:rsidR="004667DC">
        <w:rPr>
          <w:rFonts w:ascii="Times New Roman" w:hAnsi="Times New Roman" w:cs="Times New Roman"/>
          <w:sz w:val="24"/>
          <w:szCs w:val="24"/>
        </w:rPr>
        <w:t xml:space="preserve"> </w:t>
      </w:r>
      <w:r w:rsidRPr="00954679">
        <w:rPr>
          <w:rFonts w:ascii="Times New Roman" w:hAnsi="Times New Roman" w:cs="Times New Roman"/>
          <w:sz w:val="24"/>
          <w:szCs w:val="24"/>
        </w:rPr>
        <w:t xml:space="preserve">participants </w:t>
      </w:r>
      <w:r w:rsidRPr="00954679" w:rsidR="00061BE9">
        <w:rPr>
          <w:rFonts w:ascii="Times New Roman" w:hAnsi="Times New Roman" w:cs="Times New Roman"/>
          <w:sz w:val="24"/>
          <w:szCs w:val="24"/>
        </w:rPr>
        <w:t xml:space="preserve">are asked to make </w:t>
      </w:r>
      <w:r w:rsidRPr="00954679" w:rsidR="00C15367">
        <w:rPr>
          <w:rFonts w:ascii="Times New Roman" w:hAnsi="Times New Roman" w:cs="Times New Roman"/>
          <w:sz w:val="24"/>
          <w:szCs w:val="24"/>
        </w:rPr>
        <w:t xml:space="preserve">choices within </w:t>
      </w:r>
      <w:r w:rsidRPr="00954679">
        <w:rPr>
          <w:rFonts w:ascii="Times New Roman" w:hAnsi="Times New Roman" w:cs="Times New Roman"/>
          <w:sz w:val="24"/>
          <w:szCs w:val="24"/>
        </w:rPr>
        <w:t xml:space="preserve">hypothetical </w:t>
      </w:r>
      <w:r w:rsidRPr="00954679" w:rsidR="00C15367">
        <w:rPr>
          <w:rFonts w:ascii="Times New Roman" w:hAnsi="Times New Roman" w:cs="Times New Roman"/>
          <w:sz w:val="24"/>
          <w:szCs w:val="24"/>
        </w:rPr>
        <w:t xml:space="preserve">scenarios that are constructed to </w:t>
      </w:r>
      <w:r w:rsidRPr="00954679" w:rsidR="00D60EDE">
        <w:rPr>
          <w:rFonts w:ascii="Times New Roman" w:hAnsi="Times New Roman" w:cs="Times New Roman"/>
          <w:sz w:val="24"/>
          <w:szCs w:val="24"/>
        </w:rPr>
        <w:t>capture</w:t>
      </w:r>
      <w:r w:rsidRPr="00954679" w:rsidR="00C15367">
        <w:rPr>
          <w:rFonts w:ascii="Times New Roman" w:hAnsi="Times New Roman" w:cs="Times New Roman"/>
          <w:sz w:val="24"/>
          <w:szCs w:val="24"/>
        </w:rPr>
        <w:t xml:space="preserve"> the key features of the actual choice environments being studied</w:t>
      </w:r>
      <w:r w:rsidRPr="00954679" w:rsidR="00D60EDE">
        <w:rPr>
          <w:rFonts w:ascii="Times New Roman" w:hAnsi="Times New Roman" w:cs="Times New Roman"/>
          <w:sz w:val="24"/>
          <w:szCs w:val="24"/>
        </w:rPr>
        <w:t>; and 2</w:t>
      </w:r>
      <w:r w:rsidR="004667DC">
        <w:rPr>
          <w:rFonts w:ascii="Times New Roman" w:hAnsi="Times New Roman" w:cs="Times New Roman"/>
          <w:sz w:val="24"/>
          <w:szCs w:val="24"/>
        </w:rPr>
        <w:t>.</w:t>
      </w:r>
      <w:r w:rsidRPr="00954679" w:rsidR="00D60EDE">
        <w:rPr>
          <w:rFonts w:ascii="Times New Roman" w:hAnsi="Times New Roman" w:cs="Times New Roman"/>
          <w:sz w:val="24"/>
          <w:szCs w:val="24"/>
        </w:rPr>
        <w:t xml:space="preserve"> treatments are variations in key aspects of the scenarios that are randomly assigned to participants to avoid any </w:t>
      </w:r>
      <w:r w:rsidRPr="00954679" w:rsidR="00790338">
        <w:rPr>
          <w:rFonts w:ascii="Times New Roman" w:hAnsi="Times New Roman" w:cs="Times New Roman"/>
          <w:sz w:val="24"/>
          <w:szCs w:val="24"/>
        </w:rPr>
        <w:t>influence of potentially confounding drivers of the choices asked of the participants.</w:t>
      </w:r>
      <w:r w:rsidRPr="00954679" w:rsidR="00D60EDE">
        <w:rPr>
          <w:rFonts w:ascii="Times New Roman" w:hAnsi="Times New Roman" w:cs="Times New Roman"/>
          <w:sz w:val="24"/>
          <w:szCs w:val="24"/>
        </w:rPr>
        <w:t xml:space="preserve"> </w:t>
      </w:r>
    </w:p>
    <w:p w:rsidRPr="00954679" w:rsidR="00E648B4" w:rsidP="00E648B4" w:rsidRDefault="00C15367" w14:paraId="5A1AF019" w14:textId="45293F1E">
      <w:pPr>
        <w:rPr>
          <w:rFonts w:ascii="Times New Roman" w:hAnsi="Times New Roman" w:cs="Times New Roman"/>
          <w:sz w:val="24"/>
          <w:szCs w:val="24"/>
        </w:rPr>
      </w:pPr>
      <w:r w:rsidRPr="00954679">
        <w:rPr>
          <w:rFonts w:ascii="Times New Roman" w:hAnsi="Times New Roman" w:cs="Times New Roman"/>
          <w:sz w:val="24"/>
          <w:szCs w:val="24"/>
        </w:rPr>
        <w:t xml:space="preserve">For this study, </w:t>
      </w:r>
      <w:r w:rsidRPr="00954679" w:rsidR="00E648B4">
        <w:rPr>
          <w:rFonts w:ascii="Times New Roman" w:hAnsi="Times New Roman" w:cs="Times New Roman"/>
          <w:sz w:val="24"/>
          <w:szCs w:val="24"/>
        </w:rPr>
        <w:t xml:space="preserve">USDA </w:t>
      </w:r>
      <w:r w:rsidRPr="00954679">
        <w:rPr>
          <w:rFonts w:ascii="Times New Roman" w:hAnsi="Times New Roman" w:cs="Times New Roman"/>
          <w:sz w:val="24"/>
          <w:szCs w:val="24"/>
        </w:rPr>
        <w:t>is applying</w:t>
      </w:r>
      <w:r w:rsidRPr="00954679" w:rsidR="00E648B4">
        <w:rPr>
          <w:rFonts w:ascii="Times New Roman" w:hAnsi="Times New Roman" w:cs="Times New Roman"/>
          <w:sz w:val="24"/>
          <w:szCs w:val="24"/>
        </w:rPr>
        <w:t xml:space="preserve"> insights from behavioral economics research about defaults (e.g.: starting points) and information provision</w:t>
      </w:r>
      <w:r w:rsidRPr="00954679">
        <w:rPr>
          <w:rFonts w:ascii="Times New Roman" w:hAnsi="Times New Roman" w:cs="Times New Roman"/>
          <w:sz w:val="24"/>
          <w:szCs w:val="24"/>
        </w:rPr>
        <w:t xml:space="preserve"> to the context of conservation auctions such as </w:t>
      </w:r>
      <w:r w:rsidRPr="00954679">
        <w:rPr>
          <w:rFonts w:ascii="Times New Roman" w:hAnsi="Times New Roman" w:cs="Times New Roman"/>
          <w:sz w:val="24"/>
          <w:szCs w:val="24"/>
        </w:rPr>
        <w:lastRenderedPageBreak/>
        <w:t>CRP</w:t>
      </w:r>
      <w:r w:rsidRPr="00954679" w:rsidR="00E648B4">
        <w:rPr>
          <w:rFonts w:ascii="Times New Roman" w:hAnsi="Times New Roman" w:cs="Times New Roman"/>
          <w:sz w:val="24"/>
          <w:szCs w:val="24"/>
        </w:rPr>
        <w:t xml:space="preserve">.  In many decision contexts, opt-out defaults have been shown to </w:t>
      </w:r>
      <w:r w:rsidR="002D5245">
        <w:rPr>
          <w:rFonts w:ascii="Times New Roman" w:hAnsi="Times New Roman" w:cs="Times New Roman"/>
          <w:sz w:val="24"/>
          <w:szCs w:val="24"/>
        </w:rPr>
        <w:t>influence</w:t>
      </w:r>
      <w:r w:rsidRPr="00954679" w:rsidR="00E648B4">
        <w:rPr>
          <w:rFonts w:ascii="Times New Roman" w:hAnsi="Times New Roman" w:cs="Times New Roman"/>
          <w:sz w:val="24"/>
          <w:szCs w:val="24"/>
        </w:rPr>
        <w:t xml:space="preserve"> final decisions</w:t>
      </w:r>
      <w:r w:rsidRPr="00954679">
        <w:rPr>
          <w:rFonts w:ascii="Times New Roman" w:hAnsi="Times New Roman" w:cs="Times New Roman"/>
          <w:sz w:val="24"/>
          <w:szCs w:val="24"/>
        </w:rPr>
        <w:t xml:space="preserve"> (Attachment J)</w:t>
      </w:r>
      <w:r w:rsidRPr="00954679" w:rsidR="00E648B4">
        <w:rPr>
          <w:rFonts w:ascii="Times New Roman" w:hAnsi="Times New Roman" w:cs="Times New Roman"/>
          <w:sz w:val="24"/>
          <w:szCs w:val="24"/>
        </w:rPr>
        <w:t xml:space="preserve">.  </w:t>
      </w:r>
      <w:r w:rsidR="004667DC">
        <w:rPr>
          <w:rFonts w:ascii="Times New Roman" w:hAnsi="Times New Roman" w:cs="Times New Roman"/>
          <w:sz w:val="24"/>
          <w:szCs w:val="24"/>
        </w:rPr>
        <w:t xml:space="preserve"> </w:t>
      </w:r>
      <w:r w:rsidRPr="00954679" w:rsidR="00E648B4">
        <w:rPr>
          <w:rFonts w:ascii="Times New Roman" w:hAnsi="Times New Roman" w:cs="Times New Roman"/>
          <w:sz w:val="24"/>
          <w:szCs w:val="24"/>
        </w:rPr>
        <w:t xml:space="preserve">When the decision environment is complex, final decisions can also be </w:t>
      </w:r>
      <w:r w:rsidR="002D5245">
        <w:rPr>
          <w:rFonts w:ascii="Times New Roman" w:hAnsi="Times New Roman" w:cs="Times New Roman"/>
          <w:sz w:val="24"/>
          <w:szCs w:val="24"/>
        </w:rPr>
        <w:t>affected</w:t>
      </w:r>
      <w:r w:rsidRPr="00954679" w:rsidR="00E648B4">
        <w:rPr>
          <w:rFonts w:ascii="Times New Roman" w:hAnsi="Times New Roman" w:cs="Times New Roman"/>
          <w:sz w:val="24"/>
          <w:szCs w:val="24"/>
        </w:rPr>
        <w:t xml:space="preserve"> by the timing of information that decision-makers receive. </w:t>
      </w:r>
      <w:r w:rsidR="00954679">
        <w:rPr>
          <w:rFonts w:ascii="Times New Roman" w:hAnsi="Times New Roman" w:cs="Times New Roman"/>
          <w:sz w:val="24"/>
          <w:szCs w:val="24"/>
        </w:rPr>
        <w:t xml:space="preserve"> </w:t>
      </w:r>
      <w:r w:rsidRPr="00954679" w:rsidR="002E5715">
        <w:rPr>
          <w:rFonts w:ascii="Times New Roman" w:hAnsi="Times New Roman" w:cs="Times New Roman"/>
          <w:sz w:val="24"/>
          <w:szCs w:val="24"/>
        </w:rPr>
        <w:t xml:space="preserve">These behavioral aspects of choices are relevant to conservation auctions because key aspects of these auctions – such as the software used for enrollment in CRP and the interaction between program agency staff and potential enrollments – </w:t>
      </w:r>
      <w:r w:rsidRPr="00954679" w:rsidR="00173DE5">
        <w:rPr>
          <w:rFonts w:ascii="Times New Roman" w:hAnsi="Times New Roman" w:cs="Times New Roman"/>
          <w:sz w:val="24"/>
          <w:szCs w:val="24"/>
        </w:rPr>
        <w:t>necessarily</w:t>
      </w:r>
      <w:r w:rsidRPr="00954679" w:rsidR="002E5715">
        <w:rPr>
          <w:rFonts w:ascii="Times New Roman" w:hAnsi="Times New Roman" w:cs="Times New Roman"/>
          <w:sz w:val="24"/>
          <w:szCs w:val="24"/>
        </w:rPr>
        <w:t xml:space="preserve"> </w:t>
      </w:r>
      <w:r w:rsidRPr="00954679" w:rsidR="00173DE5">
        <w:rPr>
          <w:rFonts w:ascii="Times New Roman" w:hAnsi="Times New Roman" w:cs="Times New Roman"/>
          <w:sz w:val="24"/>
          <w:szCs w:val="24"/>
        </w:rPr>
        <w:t>involve</w:t>
      </w:r>
      <w:r w:rsidRPr="00954679" w:rsidR="002E5715">
        <w:rPr>
          <w:rFonts w:ascii="Times New Roman" w:hAnsi="Times New Roman" w:cs="Times New Roman"/>
          <w:sz w:val="24"/>
          <w:szCs w:val="24"/>
        </w:rPr>
        <w:t xml:space="preserve"> decisions about defaults and information provision.</w:t>
      </w:r>
    </w:p>
    <w:p w:rsidRPr="00954679" w:rsidR="00E648B4" w:rsidP="0046218E" w:rsidRDefault="00E648B4" w14:paraId="08EBB667" w14:textId="539DBE7B">
      <w:pPr>
        <w:rPr>
          <w:rFonts w:ascii="Times New Roman" w:hAnsi="Times New Roman" w:cs="Times New Roman"/>
          <w:sz w:val="24"/>
          <w:szCs w:val="24"/>
        </w:rPr>
      </w:pPr>
      <w:r w:rsidRPr="00954679">
        <w:rPr>
          <w:rFonts w:ascii="Times New Roman" w:hAnsi="Times New Roman" w:cs="Times New Roman"/>
          <w:sz w:val="24"/>
          <w:szCs w:val="24"/>
        </w:rPr>
        <w:t xml:space="preserve">Using a stylized version of the enrollment software to create a simulated (artefactual) CRP auction, </w:t>
      </w:r>
      <w:r w:rsidRPr="00954679" w:rsidR="00173DE5">
        <w:rPr>
          <w:rFonts w:ascii="Times New Roman" w:hAnsi="Times New Roman" w:cs="Times New Roman"/>
          <w:sz w:val="24"/>
          <w:szCs w:val="24"/>
        </w:rPr>
        <w:t>this study</w:t>
      </w:r>
      <w:r w:rsidRPr="00954679">
        <w:rPr>
          <w:rFonts w:ascii="Times New Roman" w:hAnsi="Times New Roman" w:cs="Times New Roman"/>
          <w:sz w:val="24"/>
          <w:szCs w:val="24"/>
        </w:rPr>
        <w:t xml:space="preserve"> will test the impacts </w:t>
      </w:r>
      <w:r w:rsidRPr="00954679" w:rsidR="00173DE5">
        <w:rPr>
          <w:rFonts w:ascii="Times New Roman" w:hAnsi="Times New Roman" w:cs="Times New Roman"/>
          <w:sz w:val="24"/>
          <w:szCs w:val="24"/>
        </w:rPr>
        <w:t>of</w:t>
      </w:r>
      <w:r w:rsidRPr="00954679">
        <w:rPr>
          <w:rFonts w:ascii="Times New Roman" w:hAnsi="Times New Roman" w:cs="Times New Roman"/>
          <w:sz w:val="24"/>
          <w:szCs w:val="24"/>
        </w:rPr>
        <w:t xml:space="preserve"> two behavioral interventions:</w:t>
      </w:r>
      <w:r w:rsidR="00954679">
        <w:rPr>
          <w:rFonts w:ascii="Times New Roman" w:hAnsi="Times New Roman" w:cs="Times New Roman"/>
          <w:sz w:val="24"/>
          <w:szCs w:val="24"/>
        </w:rPr>
        <w:t xml:space="preserve"> </w:t>
      </w:r>
      <w:r w:rsidRPr="00954679">
        <w:rPr>
          <w:rFonts w:ascii="Times New Roman" w:hAnsi="Times New Roman" w:cs="Times New Roman"/>
          <w:sz w:val="24"/>
          <w:szCs w:val="24"/>
        </w:rPr>
        <w:t>(i)</w:t>
      </w:r>
      <w:r w:rsidR="004667DC">
        <w:rPr>
          <w:rFonts w:ascii="Times New Roman" w:hAnsi="Times New Roman" w:cs="Times New Roman"/>
          <w:sz w:val="24"/>
          <w:szCs w:val="24"/>
        </w:rPr>
        <w:t xml:space="preserve"> </w:t>
      </w:r>
      <w:r w:rsidRPr="00954679">
        <w:rPr>
          <w:rFonts w:ascii="Times New Roman" w:hAnsi="Times New Roman" w:cs="Times New Roman"/>
          <w:sz w:val="24"/>
          <w:szCs w:val="24"/>
        </w:rPr>
        <w:t>a high-</w:t>
      </w:r>
      <w:r w:rsidRPr="00954679" w:rsidR="006F57F1">
        <w:rPr>
          <w:rFonts w:ascii="Times New Roman" w:hAnsi="Times New Roman" w:cs="Times New Roman"/>
          <w:sz w:val="24"/>
          <w:szCs w:val="24"/>
        </w:rPr>
        <w:t>scoring</w:t>
      </w:r>
      <w:r w:rsidRPr="00954679">
        <w:rPr>
          <w:rFonts w:ascii="Times New Roman" w:hAnsi="Times New Roman" w:cs="Times New Roman"/>
          <w:sz w:val="24"/>
          <w:szCs w:val="24"/>
        </w:rPr>
        <w:t xml:space="preserve"> default starting offer; and (ii) live updates on the offer score at the point of offer selection.</w:t>
      </w:r>
      <w:r w:rsidRPr="00954679" w:rsidR="00173DE5">
        <w:rPr>
          <w:rFonts w:ascii="Times New Roman" w:hAnsi="Times New Roman" w:cs="Times New Roman"/>
          <w:sz w:val="24"/>
          <w:szCs w:val="24"/>
        </w:rPr>
        <w:t xml:space="preserve"> </w:t>
      </w:r>
      <w:r w:rsidR="00931675">
        <w:rPr>
          <w:rFonts w:ascii="Times New Roman" w:hAnsi="Times New Roman" w:cs="Times New Roman"/>
          <w:sz w:val="24"/>
          <w:szCs w:val="24"/>
        </w:rPr>
        <w:t xml:space="preserve"> </w:t>
      </w:r>
      <w:r w:rsidRPr="00954679" w:rsidR="00173DE5">
        <w:rPr>
          <w:rFonts w:ascii="Times New Roman" w:hAnsi="Times New Roman" w:cs="Times New Roman"/>
          <w:sz w:val="24"/>
          <w:szCs w:val="24"/>
        </w:rPr>
        <w:t>The outcome of interest is the average offer structure – the selected conservation cover, which influences offer quality, and the rental payment, which influences offer cost.</w:t>
      </w:r>
      <w:r w:rsidRPr="00954679">
        <w:rPr>
          <w:rFonts w:ascii="Times New Roman" w:hAnsi="Times New Roman" w:cs="Times New Roman"/>
          <w:sz w:val="24"/>
          <w:szCs w:val="24"/>
        </w:rPr>
        <w:t xml:space="preserve">  </w:t>
      </w:r>
    </w:p>
    <w:p w:rsidRPr="00954679" w:rsidR="0046218E" w:rsidP="00E648B4" w:rsidRDefault="00E648B4" w14:paraId="0AE98292" w14:textId="3C08521D">
      <w:pPr>
        <w:rPr>
          <w:rFonts w:ascii="Times New Roman" w:hAnsi="Times New Roman" w:cs="Times New Roman"/>
          <w:b/>
          <w:bCs/>
          <w:sz w:val="24"/>
          <w:szCs w:val="24"/>
        </w:rPr>
      </w:pPr>
      <w:r w:rsidRPr="00954679">
        <w:rPr>
          <w:rFonts w:ascii="Times New Roman" w:hAnsi="Times New Roman" w:cs="Times New Roman"/>
          <w:b/>
          <w:bCs/>
          <w:sz w:val="24"/>
          <w:szCs w:val="24"/>
        </w:rPr>
        <w:t xml:space="preserve">2: </w:t>
      </w:r>
      <w:r w:rsidRPr="00954679" w:rsidR="0046218E">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Pr="00954679" w:rsidR="00E648B4" w:rsidP="0046218E" w:rsidRDefault="00E22D21" w14:paraId="4F71E7CE" w14:textId="609C5232">
      <w:pPr>
        <w:rPr>
          <w:rFonts w:ascii="Times New Roman" w:hAnsi="Times New Roman" w:cs="Times New Roman"/>
          <w:sz w:val="24"/>
          <w:szCs w:val="24"/>
        </w:rPr>
      </w:pPr>
      <w:r>
        <w:rPr>
          <w:rFonts w:ascii="Times New Roman" w:hAnsi="Times New Roman" w:cs="Times New Roman"/>
          <w:sz w:val="24"/>
          <w:szCs w:val="24"/>
        </w:rPr>
        <w:t xml:space="preserve">This study will collect data on choice made using a lab-in-the-field experiment, in which the study participants, farmers who have previously participated in a recent CRP signup, will be asked to make a set of hypothetical offers to a simulated CRP signup.  The data collection is being conducted by USDA Economic Research Service in collaboration with researchers from the University of Delaware’s Center for Behavioral and Experimental Agrienvironmental Research (CBEAR). </w:t>
      </w:r>
      <w:r w:rsidRPr="00954679" w:rsidR="00BA3FD6">
        <w:rPr>
          <w:rFonts w:ascii="Times New Roman" w:hAnsi="Times New Roman" w:cs="Times New Roman"/>
          <w:sz w:val="24"/>
          <w:szCs w:val="24"/>
        </w:rPr>
        <w:t xml:space="preserve">This information will potentially be of use to USDA’s Farm Service Agency when conducting signups for CRP.  If FSA continues in the current mode of implementing signups by having farmers directly interact with county </w:t>
      </w:r>
      <w:r w:rsidRPr="00954679" w:rsidR="004D0574">
        <w:rPr>
          <w:rFonts w:ascii="Times New Roman" w:hAnsi="Times New Roman" w:cs="Times New Roman"/>
          <w:sz w:val="24"/>
          <w:szCs w:val="24"/>
        </w:rPr>
        <w:t>field offices</w:t>
      </w:r>
      <w:r w:rsidRPr="00954679" w:rsidR="00BA3FD6">
        <w:rPr>
          <w:rFonts w:ascii="Times New Roman" w:hAnsi="Times New Roman" w:cs="Times New Roman"/>
          <w:sz w:val="24"/>
          <w:szCs w:val="24"/>
        </w:rPr>
        <w:t xml:space="preserve">, then </w:t>
      </w:r>
      <w:r w:rsidRPr="00954679" w:rsidR="004278A9">
        <w:rPr>
          <w:rFonts w:ascii="Times New Roman" w:hAnsi="Times New Roman" w:cs="Times New Roman"/>
          <w:sz w:val="24"/>
          <w:szCs w:val="24"/>
        </w:rPr>
        <w:t xml:space="preserve">information on the expected impacts of </w:t>
      </w:r>
      <w:r w:rsidRPr="00954679" w:rsidR="00BA3FD6">
        <w:rPr>
          <w:rFonts w:ascii="Times New Roman" w:hAnsi="Times New Roman" w:cs="Times New Roman"/>
          <w:sz w:val="24"/>
          <w:szCs w:val="24"/>
        </w:rPr>
        <w:t xml:space="preserve">defaults and score updating could </w:t>
      </w:r>
      <w:r w:rsidRPr="00954679" w:rsidR="006F57F1">
        <w:rPr>
          <w:rFonts w:ascii="Times New Roman" w:hAnsi="Times New Roman" w:cs="Times New Roman"/>
          <w:sz w:val="24"/>
          <w:szCs w:val="24"/>
        </w:rPr>
        <w:t>inform decisions about</w:t>
      </w:r>
      <w:r w:rsidRPr="00954679" w:rsidR="004D0574">
        <w:rPr>
          <w:rFonts w:ascii="Times New Roman" w:hAnsi="Times New Roman" w:cs="Times New Roman"/>
          <w:sz w:val="24"/>
          <w:szCs w:val="24"/>
        </w:rPr>
        <w:t xml:space="preserve"> how the field offices prepare alternative enrollment scenarios.  If FSA moves toward greater online development of scenarios by farmers themselves, such as with NRCS’s Conservation Gateway</w:t>
      </w:r>
      <w:r w:rsidRPr="00954679" w:rsidR="006F57F1">
        <w:rPr>
          <w:rFonts w:ascii="Times New Roman" w:hAnsi="Times New Roman" w:cs="Times New Roman"/>
          <w:sz w:val="24"/>
          <w:szCs w:val="24"/>
        </w:rPr>
        <w:t xml:space="preserve"> or Farmers.gov</w:t>
      </w:r>
      <w:r w:rsidRPr="00954679" w:rsidR="004D0574">
        <w:rPr>
          <w:rFonts w:ascii="Times New Roman" w:hAnsi="Times New Roman" w:cs="Times New Roman"/>
          <w:sz w:val="24"/>
          <w:szCs w:val="24"/>
        </w:rPr>
        <w:t xml:space="preserve">, then the CRP enrollment software (TERRA) could be redesigned to </w:t>
      </w:r>
      <w:r w:rsidRPr="00954679" w:rsidR="004278A9">
        <w:rPr>
          <w:rFonts w:ascii="Times New Roman" w:hAnsi="Times New Roman" w:cs="Times New Roman"/>
          <w:sz w:val="24"/>
          <w:szCs w:val="24"/>
        </w:rPr>
        <w:t>incorporate</w:t>
      </w:r>
      <w:r w:rsidRPr="00954679" w:rsidR="004D0574">
        <w:rPr>
          <w:rFonts w:ascii="Times New Roman" w:hAnsi="Times New Roman" w:cs="Times New Roman"/>
          <w:sz w:val="24"/>
          <w:szCs w:val="24"/>
        </w:rPr>
        <w:t xml:space="preserve"> defaults and score updating.  </w:t>
      </w:r>
    </w:p>
    <w:p w:rsidRPr="00954679" w:rsidR="0046218E" w:rsidP="00E648B4" w:rsidRDefault="00E648B4" w14:paraId="756B3FCA" w14:textId="1ECC9B1D">
      <w:pPr>
        <w:rPr>
          <w:rFonts w:ascii="Times New Roman" w:hAnsi="Times New Roman" w:cs="Times New Roman"/>
          <w:b/>
          <w:bCs/>
          <w:sz w:val="24"/>
          <w:szCs w:val="24"/>
        </w:rPr>
      </w:pPr>
      <w:r w:rsidRPr="00954679">
        <w:rPr>
          <w:rFonts w:ascii="Times New Roman" w:hAnsi="Times New Roman" w:cs="Times New Roman"/>
          <w:b/>
          <w:bCs/>
          <w:sz w:val="24"/>
          <w:szCs w:val="24"/>
        </w:rPr>
        <w:t xml:space="preserve">3: </w:t>
      </w:r>
      <w:r w:rsidRPr="00954679" w:rsidR="0046218E">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54679" w:rsidR="004D0574" w:rsidP="006932CE" w:rsidRDefault="004D0574" w14:paraId="3E500832" w14:textId="1311A813">
      <w:pPr>
        <w:rPr>
          <w:rFonts w:ascii="Times New Roman" w:hAnsi="Times New Roman" w:cs="Times New Roman"/>
          <w:sz w:val="24"/>
          <w:szCs w:val="24"/>
        </w:rPr>
      </w:pPr>
      <w:r w:rsidRPr="00954679">
        <w:rPr>
          <w:rFonts w:ascii="Times New Roman" w:hAnsi="Times New Roman" w:cs="Times New Roman"/>
          <w:sz w:val="24"/>
          <w:szCs w:val="24"/>
        </w:rPr>
        <w:t xml:space="preserve">The experimental treatments will be implemented similarly to how they could be implemented in the General Signup software.  The auction outcome, in terms of annual payment and cover practice selection, will also be structured to mimic the outcomes and incentives of the CRP auction.  The participants will make offers in multiple rounds of an artefactual auction using software developed by </w:t>
      </w:r>
      <w:r w:rsidRPr="00954679" w:rsidR="00362F7E">
        <w:rPr>
          <w:rFonts w:ascii="Times New Roman" w:hAnsi="Times New Roman" w:cs="Times New Roman"/>
          <w:sz w:val="24"/>
          <w:szCs w:val="24"/>
        </w:rPr>
        <w:t>University of Delaware’s Center for Behavioral and Experimental Agri-environmental Research (</w:t>
      </w:r>
      <w:r w:rsidRPr="00954679">
        <w:rPr>
          <w:rFonts w:ascii="Times New Roman" w:hAnsi="Times New Roman" w:cs="Times New Roman"/>
          <w:sz w:val="24"/>
          <w:szCs w:val="24"/>
        </w:rPr>
        <w:t>CBEAR</w:t>
      </w:r>
      <w:r w:rsidRPr="00954679" w:rsidR="00362F7E">
        <w:rPr>
          <w:rFonts w:ascii="Times New Roman" w:hAnsi="Times New Roman" w:cs="Times New Roman"/>
          <w:sz w:val="24"/>
          <w:szCs w:val="24"/>
        </w:rPr>
        <w:t>)</w:t>
      </w:r>
      <w:r w:rsidRPr="00954679">
        <w:rPr>
          <w:rFonts w:ascii="Times New Roman" w:hAnsi="Times New Roman" w:cs="Times New Roman"/>
          <w:sz w:val="24"/>
          <w:szCs w:val="24"/>
        </w:rPr>
        <w:t xml:space="preserve">.  To reduce hypothetical bias, which can occur when experimental subjects do not internalize the incentives of their task, </w:t>
      </w:r>
      <w:r w:rsidRPr="00954679" w:rsidR="00362F7E">
        <w:rPr>
          <w:rFonts w:ascii="Times New Roman" w:hAnsi="Times New Roman" w:cs="Times New Roman"/>
          <w:sz w:val="24"/>
          <w:szCs w:val="24"/>
        </w:rPr>
        <w:t>the study</w:t>
      </w:r>
      <w:r w:rsidRPr="00954679">
        <w:rPr>
          <w:rFonts w:ascii="Times New Roman" w:hAnsi="Times New Roman" w:cs="Times New Roman"/>
          <w:sz w:val="24"/>
          <w:szCs w:val="24"/>
        </w:rPr>
        <w:t xml:space="preserve"> will provide payments to participants based on their success in getting offers accepted</w:t>
      </w:r>
      <w:r w:rsidRPr="00954679" w:rsidR="00187C2F">
        <w:rPr>
          <w:rFonts w:ascii="Times New Roman" w:hAnsi="Times New Roman" w:cs="Times New Roman"/>
          <w:sz w:val="24"/>
          <w:szCs w:val="24"/>
        </w:rPr>
        <w:t xml:space="preserve"> (Attachment H)</w:t>
      </w:r>
      <w:r w:rsidRPr="00954679">
        <w:rPr>
          <w:rFonts w:ascii="Times New Roman" w:hAnsi="Times New Roman" w:cs="Times New Roman"/>
          <w:sz w:val="24"/>
          <w:szCs w:val="24"/>
        </w:rPr>
        <w:t>.</w:t>
      </w:r>
    </w:p>
    <w:p w:rsidR="006932CE" w:rsidP="006932CE" w:rsidRDefault="004D0574" w14:paraId="5DE9D516" w14:textId="643A1777">
      <w:pPr>
        <w:rPr>
          <w:rFonts w:ascii="Times New Roman" w:hAnsi="Times New Roman" w:cs="Times New Roman"/>
          <w:sz w:val="24"/>
          <w:szCs w:val="24"/>
        </w:rPr>
      </w:pPr>
      <w:r w:rsidRPr="00954679">
        <w:rPr>
          <w:rFonts w:ascii="Times New Roman" w:hAnsi="Times New Roman" w:cs="Times New Roman"/>
          <w:sz w:val="24"/>
          <w:szCs w:val="24"/>
        </w:rPr>
        <w:lastRenderedPageBreak/>
        <w:t>The experiment will be implemented using an online website portal</w:t>
      </w:r>
      <w:r w:rsidR="00E934FC">
        <w:rPr>
          <w:rFonts w:ascii="Times New Roman" w:hAnsi="Times New Roman" w:cs="Times New Roman"/>
          <w:sz w:val="24"/>
          <w:szCs w:val="24"/>
        </w:rPr>
        <w:t xml:space="preserve"> hosted by USDA</w:t>
      </w:r>
      <w:r w:rsidRPr="00954679">
        <w:rPr>
          <w:rFonts w:ascii="Times New Roman" w:hAnsi="Times New Roman" w:cs="Times New Roman"/>
          <w:sz w:val="24"/>
          <w:szCs w:val="24"/>
        </w:rPr>
        <w:t xml:space="preserve">.  This will help recruitment and reduce respondent burden by </w:t>
      </w:r>
      <w:r w:rsidRPr="00954679" w:rsidR="00BB2A05">
        <w:rPr>
          <w:rFonts w:ascii="Times New Roman" w:hAnsi="Times New Roman" w:cs="Times New Roman"/>
          <w:sz w:val="24"/>
          <w:szCs w:val="24"/>
        </w:rPr>
        <w:t xml:space="preserve">avoiding travel expense and time that is required for laboratory auction experiments.  </w:t>
      </w:r>
      <w:r w:rsidRPr="00954679" w:rsidR="00362F7E">
        <w:rPr>
          <w:rFonts w:ascii="Times New Roman" w:hAnsi="Times New Roman" w:cs="Times New Roman"/>
          <w:sz w:val="24"/>
          <w:szCs w:val="24"/>
        </w:rPr>
        <w:t>Many prior conservation auction experiments have operated using in-person participation in university research labs, which has high coordination costs and results in small participant pools limited by the size of the lab.</w:t>
      </w:r>
      <w:r w:rsidRPr="00954679" w:rsidR="00BB2A05">
        <w:rPr>
          <w:rFonts w:ascii="Times New Roman" w:hAnsi="Times New Roman" w:cs="Times New Roman"/>
          <w:sz w:val="24"/>
          <w:szCs w:val="24"/>
        </w:rPr>
        <w:t xml:space="preserve">  The </w:t>
      </w:r>
      <w:r w:rsidRPr="00954679" w:rsidR="00362F7E">
        <w:rPr>
          <w:rFonts w:ascii="Times New Roman" w:hAnsi="Times New Roman" w:cs="Times New Roman"/>
          <w:sz w:val="24"/>
          <w:szCs w:val="24"/>
        </w:rPr>
        <w:t xml:space="preserve">use of an </w:t>
      </w:r>
      <w:r w:rsidRPr="00954679" w:rsidR="00BB2A05">
        <w:rPr>
          <w:rFonts w:ascii="Times New Roman" w:hAnsi="Times New Roman" w:cs="Times New Roman"/>
          <w:sz w:val="24"/>
          <w:szCs w:val="24"/>
        </w:rPr>
        <w:t>online portal</w:t>
      </w:r>
      <w:r w:rsidRPr="00954679" w:rsidR="00362F7E">
        <w:rPr>
          <w:rFonts w:ascii="Times New Roman" w:hAnsi="Times New Roman" w:cs="Times New Roman"/>
          <w:sz w:val="24"/>
          <w:szCs w:val="24"/>
        </w:rPr>
        <w:t xml:space="preserve"> will allow for a large pool of participants and for a mult</w:t>
      </w:r>
      <w:r w:rsidRPr="00954679" w:rsidR="00AF0BB3">
        <w:rPr>
          <w:rFonts w:ascii="Times New Roman" w:hAnsi="Times New Roman" w:cs="Times New Roman"/>
          <w:sz w:val="24"/>
          <w:szCs w:val="24"/>
        </w:rPr>
        <w:t>i</w:t>
      </w:r>
      <w:r w:rsidRPr="00954679" w:rsidR="00362F7E">
        <w:rPr>
          <w:rFonts w:ascii="Times New Roman" w:hAnsi="Times New Roman" w:cs="Times New Roman"/>
          <w:sz w:val="24"/>
          <w:szCs w:val="24"/>
        </w:rPr>
        <w:t xml:space="preserve">-week enrollment period, both features that closely mirror </w:t>
      </w:r>
      <w:r w:rsidRPr="00954679" w:rsidR="00BB2A05">
        <w:rPr>
          <w:rFonts w:ascii="Times New Roman" w:hAnsi="Times New Roman" w:cs="Times New Roman"/>
          <w:sz w:val="24"/>
          <w:szCs w:val="24"/>
        </w:rPr>
        <w:t xml:space="preserve">the CRP </w:t>
      </w:r>
      <w:r w:rsidRPr="00954679" w:rsidR="00AF0BB3">
        <w:rPr>
          <w:rFonts w:ascii="Times New Roman" w:hAnsi="Times New Roman" w:cs="Times New Roman"/>
          <w:sz w:val="24"/>
          <w:szCs w:val="24"/>
        </w:rPr>
        <w:t>General Signup</w:t>
      </w:r>
      <w:r w:rsidRPr="00954679" w:rsidR="00BB2A05">
        <w:rPr>
          <w:rFonts w:ascii="Times New Roman" w:hAnsi="Times New Roman" w:cs="Times New Roman"/>
          <w:sz w:val="24"/>
          <w:szCs w:val="24"/>
        </w:rPr>
        <w:t xml:space="preserve">. </w:t>
      </w:r>
    </w:p>
    <w:p w:rsidRPr="00954679" w:rsidR="002D5245" w:rsidP="006932CE" w:rsidRDefault="002D5245" w14:paraId="0899F07F" w14:textId="0B42C325">
      <w:pPr>
        <w:rPr>
          <w:rFonts w:ascii="Times New Roman" w:hAnsi="Times New Roman" w:cs="Times New Roman"/>
          <w:sz w:val="24"/>
          <w:szCs w:val="24"/>
        </w:rPr>
      </w:pPr>
      <w:r w:rsidRPr="00954679">
        <w:rPr>
          <w:rFonts w:ascii="Times New Roman" w:hAnsi="Times New Roman" w:cs="Times New Roman"/>
          <w:sz w:val="24"/>
          <w:szCs w:val="24"/>
        </w:rPr>
        <w:t xml:space="preserve">This study will use an artefactual field experiment (‘lab in the field”), which involves a set of choices in a context that closely resembles real world decisions and involves actual financial payouts to participants based on their decisions (Harrison and List, 2004).  In comparison to laboratory experiments, artefactual experiments have better external validity for the purpose of informing the design of the CRP General Signup.  </w:t>
      </w:r>
    </w:p>
    <w:p w:rsidRPr="00954679" w:rsidR="0046218E" w:rsidP="00E648B4" w:rsidRDefault="00E648B4" w14:paraId="1FE6E3C0" w14:textId="1F1AA10A">
      <w:pPr>
        <w:rPr>
          <w:rFonts w:ascii="Times New Roman" w:hAnsi="Times New Roman" w:cs="Times New Roman"/>
          <w:b/>
          <w:bCs/>
          <w:sz w:val="24"/>
          <w:szCs w:val="24"/>
        </w:rPr>
      </w:pPr>
      <w:r w:rsidRPr="00954679">
        <w:rPr>
          <w:rFonts w:ascii="Times New Roman" w:hAnsi="Times New Roman" w:cs="Times New Roman"/>
          <w:b/>
          <w:bCs/>
          <w:sz w:val="24"/>
          <w:szCs w:val="24"/>
        </w:rPr>
        <w:t xml:space="preserve">4: </w:t>
      </w:r>
      <w:r w:rsidRPr="00954679" w:rsidR="0046218E">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Pr="00954679" w:rsidR="006932CE" w:rsidP="006932CE" w:rsidRDefault="00BB2A05" w14:paraId="13D1BB5E" w14:textId="28E68AC2">
      <w:pPr>
        <w:rPr>
          <w:rFonts w:ascii="Times New Roman" w:hAnsi="Times New Roman" w:cs="Times New Roman"/>
          <w:sz w:val="24"/>
          <w:szCs w:val="24"/>
        </w:rPr>
      </w:pPr>
      <w:r w:rsidRPr="00954679">
        <w:rPr>
          <w:rFonts w:ascii="Times New Roman" w:hAnsi="Times New Roman" w:cs="Times New Roman"/>
          <w:sz w:val="24"/>
          <w:szCs w:val="24"/>
        </w:rPr>
        <w:t>ERS literature review did not reveal any studies of defaults or score updating with the conservation auction laboratory research</w:t>
      </w:r>
      <w:r w:rsidRPr="00954679" w:rsidR="00C84C7D">
        <w:rPr>
          <w:rFonts w:ascii="Times New Roman" w:hAnsi="Times New Roman" w:cs="Times New Roman"/>
          <w:sz w:val="24"/>
          <w:szCs w:val="24"/>
        </w:rPr>
        <w:t xml:space="preserve"> (Attachment J)</w:t>
      </w:r>
      <w:r w:rsidRPr="00954679">
        <w:rPr>
          <w:rFonts w:ascii="Times New Roman" w:hAnsi="Times New Roman" w:cs="Times New Roman"/>
          <w:sz w:val="24"/>
          <w:szCs w:val="24"/>
        </w:rPr>
        <w:t>.</w:t>
      </w:r>
      <w:r w:rsidRPr="00954679" w:rsidR="00187C2F">
        <w:rPr>
          <w:rFonts w:ascii="Times New Roman" w:hAnsi="Times New Roman" w:cs="Times New Roman"/>
          <w:sz w:val="24"/>
          <w:szCs w:val="24"/>
        </w:rPr>
        <w:t xml:space="preserve"> </w:t>
      </w:r>
      <w:r w:rsidR="004667DC">
        <w:rPr>
          <w:rFonts w:ascii="Times New Roman" w:hAnsi="Times New Roman" w:cs="Times New Roman"/>
          <w:sz w:val="24"/>
          <w:szCs w:val="24"/>
        </w:rPr>
        <w:t xml:space="preserve"> </w:t>
      </w:r>
      <w:r w:rsidRPr="00954679" w:rsidR="00187C2F">
        <w:rPr>
          <w:rFonts w:ascii="Times New Roman" w:hAnsi="Times New Roman" w:cs="Times New Roman"/>
          <w:sz w:val="24"/>
          <w:szCs w:val="24"/>
        </w:rPr>
        <w:t>While there are hundreds of studies using experimental methods to test various aspects of auction designs (Dech</w:t>
      </w:r>
      <w:r w:rsidRPr="00954679" w:rsidR="001F0C08">
        <w:rPr>
          <w:rFonts w:ascii="Times New Roman" w:hAnsi="Times New Roman" w:cs="Times New Roman"/>
          <w:sz w:val="24"/>
          <w:szCs w:val="24"/>
        </w:rPr>
        <w:t>e</w:t>
      </w:r>
      <w:r w:rsidRPr="00954679" w:rsidR="00187C2F">
        <w:rPr>
          <w:rFonts w:ascii="Times New Roman" w:hAnsi="Times New Roman" w:cs="Times New Roman"/>
          <w:sz w:val="24"/>
          <w:szCs w:val="24"/>
        </w:rPr>
        <w:t>naux et al. 201</w:t>
      </w:r>
      <w:r w:rsidRPr="00954679" w:rsidR="001F0C08">
        <w:rPr>
          <w:rFonts w:ascii="Times New Roman" w:hAnsi="Times New Roman" w:cs="Times New Roman"/>
          <w:sz w:val="24"/>
          <w:szCs w:val="24"/>
        </w:rPr>
        <w:t>5</w:t>
      </w:r>
      <w:r w:rsidRPr="00954679" w:rsidR="00187C2F">
        <w:rPr>
          <w:rFonts w:ascii="Times New Roman" w:hAnsi="Times New Roman" w:cs="Times New Roman"/>
          <w:sz w:val="24"/>
          <w:szCs w:val="24"/>
        </w:rPr>
        <w:t xml:space="preserve">) and </w:t>
      </w:r>
      <w:r w:rsidRPr="00954679" w:rsidR="00E015CD">
        <w:rPr>
          <w:rFonts w:ascii="Times New Roman" w:hAnsi="Times New Roman" w:cs="Times New Roman"/>
          <w:sz w:val="24"/>
          <w:szCs w:val="24"/>
        </w:rPr>
        <w:t>dozens of</w:t>
      </w:r>
      <w:r w:rsidRPr="00954679" w:rsidR="00187C2F">
        <w:rPr>
          <w:rFonts w:ascii="Times New Roman" w:hAnsi="Times New Roman" w:cs="Times New Roman"/>
          <w:sz w:val="24"/>
          <w:szCs w:val="24"/>
        </w:rPr>
        <w:t xml:space="preserve"> experimental studies focusing exclusively on conservation auctions (Sch</w:t>
      </w:r>
      <w:r w:rsidRPr="00954679" w:rsidR="00BA6FA5">
        <w:rPr>
          <w:rFonts w:ascii="Times New Roman" w:hAnsi="Times New Roman" w:cs="Times New Roman"/>
          <w:sz w:val="24"/>
          <w:szCs w:val="24"/>
        </w:rPr>
        <w:t>i</w:t>
      </w:r>
      <w:r w:rsidRPr="00954679" w:rsidR="00187C2F">
        <w:rPr>
          <w:rFonts w:ascii="Times New Roman" w:hAnsi="Times New Roman" w:cs="Times New Roman"/>
          <w:sz w:val="24"/>
          <w:szCs w:val="24"/>
        </w:rPr>
        <w:t xml:space="preserve">lizzi 2017), </w:t>
      </w:r>
      <w:r w:rsidRPr="00954679" w:rsidR="001F0C08">
        <w:rPr>
          <w:rFonts w:ascii="Times New Roman" w:hAnsi="Times New Roman" w:cs="Times New Roman"/>
          <w:sz w:val="24"/>
          <w:szCs w:val="24"/>
        </w:rPr>
        <w:t>nearly</w:t>
      </w:r>
      <w:r w:rsidRPr="00954679" w:rsidR="00187C2F">
        <w:rPr>
          <w:rFonts w:ascii="Times New Roman" w:hAnsi="Times New Roman" w:cs="Times New Roman"/>
          <w:sz w:val="24"/>
          <w:szCs w:val="24"/>
        </w:rPr>
        <w:t xml:space="preserve"> all of these studies focus on “structural” design factors such as auction clearing rules</w:t>
      </w:r>
      <w:r w:rsidRPr="00954679" w:rsidR="00E015CD">
        <w:rPr>
          <w:rFonts w:ascii="Times New Roman" w:hAnsi="Times New Roman" w:cs="Times New Roman"/>
          <w:sz w:val="24"/>
          <w:szCs w:val="24"/>
        </w:rPr>
        <w:t>, price setting (uniform price versus pay-as-bid), and mechanisms for communication between participants.</w:t>
      </w:r>
      <w:r w:rsidRPr="00954679" w:rsidR="00BA6FA5">
        <w:rPr>
          <w:rFonts w:ascii="Times New Roman" w:hAnsi="Times New Roman" w:cs="Times New Roman"/>
          <w:sz w:val="24"/>
          <w:szCs w:val="24"/>
        </w:rPr>
        <w:t xml:space="preserve"> </w:t>
      </w:r>
      <w:r w:rsidRPr="00954679">
        <w:rPr>
          <w:rFonts w:ascii="Times New Roman" w:hAnsi="Times New Roman" w:cs="Times New Roman"/>
          <w:sz w:val="24"/>
          <w:szCs w:val="24"/>
        </w:rPr>
        <w:t xml:space="preserve"> </w:t>
      </w:r>
      <w:r w:rsidRPr="00954679" w:rsidR="00E015CD">
        <w:rPr>
          <w:rFonts w:ascii="Times New Roman" w:hAnsi="Times New Roman" w:cs="Times New Roman"/>
          <w:sz w:val="24"/>
          <w:szCs w:val="24"/>
        </w:rPr>
        <w:t xml:space="preserve">In the behavioral economics literature, which commonly uses experimental methods but rarely focuses on auctions, evidence from many different domains shows </w:t>
      </w:r>
      <w:r w:rsidRPr="00954679" w:rsidR="00AF0BB3">
        <w:rPr>
          <w:rFonts w:ascii="Times New Roman" w:hAnsi="Times New Roman" w:cs="Times New Roman"/>
          <w:sz w:val="24"/>
          <w:szCs w:val="24"/>
        </w:rPr>
        <w:t>that defaults often have significant anchoring effects</w:t>
      </w:r>
      <w:r w:rsidRPr="00954679" w:rsidR="001F0C08">
        <w:rPr>
          <w:rFonts w:ascii="Times New Roman" w:hAnsi="Times New Roman" w:cs="Times New Roman"/>
          <w:sz w:val="24"/>
          <w:szCs w:val="24"/>
        </w:rPr>
        <w:t xml:space="preserve"> (</w:t>
      </w:r>
      <w:r w:rsidRPr="00954679" w:rsidR="00183BC9">
        <w:rPr>
          <w:rFonts w:ascii="Times New Roman" w:hAnsi="Times New Roman" w:cs="Times New Roman"/>
          <w:sz w:val="24"/>
          <w:szCs w:val="24"/>
        </w:rPr>
        <w:t>Furnham and Boo 2011</w:t>
      </w:r>
      <w:r w:rsidRPr="00954679" w:rsidR="001F0C08">
        <w:rPr>
          <w:rFonts w:ascii="Times New Roman" w:hAnsi="Times New Roman" w:cs="Times New Roman"/>
          <w:sz w:val="24"/>
          <w:szCs w:val="24"/>
        </w:rPr>
        <w:t>)</w:t>
      </w:r>
      <w:r w:rsidRPr="00954679" w:rsidR="00AF0BB3">
        <w:rPr>
          <w:rFonts w:ascii="Times New Roman" w:hAnsi="Times New Roman" w:cs="Times New Roman"/>
          <w:sz w:val="24"/>
          <w:szCs w:val="24"/>
        </w:rPr>
        <w:t xml:space="preserve">.  </w:t>
      </w:r>
      <w:r w:rsidRPr="00954679" w:rsidR="00183BC9">
        <w:rPr>
          <w:rFonts w:ascii="Times New Roman" w:hAnsi="Times New Roman" w:cs="Times New Roman"/>
          <w:sz w:val="24"/>
          <w:szCs w:val="24"/>
        </w:rPr>
        <w:t xml:space="preserve">There is evidence that anchoring can </w:t>
      </w:r>
      <w:r w:rsidRPr="00954679" w:rsidR="000A0C23">
        <w:rPr>
          <w:rFonts w:ascii="Times New Roman" w:hAnsi="Times New Roman" w:cs="Times New Roman"/>
          <w:sz w:val="24"/>
          <w:szCs w:val="24"/>
        </w:rPr>
        <w:t>influence</w:t>
      </w:r>
      <w:r w:rsidRPr="00954679" w:rsidR="00183BC9">
        <w:rPr>
          <w:rFonts w:ascii="Times New Roman" w:hAnsi="Times New Roman" w:cs="Times New Roman"/>
          <w:sz w:val="24"/>
          <w:szCs w:val="24"/>
        </w:rPr>
        <w:t xml:space="preserve"> bidding in IPO auctions (Gao et al. 2018). </w:t>
      </w:r>
      <w:r w:rsidRPr="00954679" w:rsidR="00262EDB">
        <w:rPr>
          <w:rFonts w:ascii="Times New Roman" w:hAnsi="Times New Roman" w:cs="Times New Roman"/>
          <w:sz w:val="24"/>
          <w:szCs w:val="24"/>
        </w:rPr>
        <w:t xml:space="preserve">In one study that did look at bidding behavior of farmers within a very generic auction design, evidence of anchoring effects was mixed (Holst et al. 2015). </w:t>
      </w:r>
      <w:r w:rsidR="003F5B11">
        <w:rPr>
          <w:rFonts w:ascii="Times New Roman" w:hAnsi="Times New Roman" w:cs="Times New Roman"/>
          <w:sz w:val="24"/>
          <w:szCs w:val="24"/>
        </w:rPr>
        <w:t xml:space="preserve"> </w:t>
      </w:r>
      <w:r w:rsidRPr="00954679" w:rsidR="00262EDB">
        <w:rPr>
          <w:rFonts w:ascii="Times New Roman" w:hAnsi="Times New Roman" w:cs="Times New Roman"/>
          <w:sz w:val="24"/>
          <w:szCs w:val="24"/>
        </w:rPr>
        <w:t xml:space="preserve">The research team for this proposed study did not find any studies that examined </w:t>
      </w:r>
      <w:r w:rsidRPr="00954679" w:rsidR="00AF0BB3">
        <w:rPr>
          <w:rFonts w:ascii="Times New Roman" w:hAnsi="Times New Roman" w:cs="Times New Roman"/>
          <w:sz w:val="24"/>
          <w:szCs w:val="24"/>
        </w:rPr>
        <w:t>the role of defaults in conservation auctions</w:t>
      </w:r>
      <w:r w:rsidRPr="00954679" w:rsidR="00262EDB">
        <w:rPr>
          <w:rFonts w:ascii="Times New Roman" w:hAnsi="Times New Roman" w:cs="Times New Roman"/>
          <w:sz w:val="24"/>
          <w:szCs w:val="24"/>
        </w:rPr>
        <w:t xml:space="preserve">.  Based on this literature review, an important research questions for the design of the CRP and other conservation auctions </w:t>
      </w:r>
      <w:r w:rsidR="003F5B11">
        <w:rPr>
          <w:rFonts w:ascii="Times New Roman" w:hAnsi="Times New Roman" w:cs="Times New Roman"/>
          <w:sz w:val="24"/>
          <w:szCs w:val="24"/>
        </w:rPr>
        <w:t xml:space="preserve">are </w:t>
      </w:r>
      <w:r w:rsidRPr="00954679" w:rsidR="00262EDB">
        <w:rPr>
          <w:rFonts w:ascii="Times New Roman" w:hAnsi="Times New Roman" w:cs="Times New Roman"/>
          <w:sz w:val="24"/>
          <w:szCs w:val="24"/>
        </w:rPr>
        <w:t xml:space="preserve">whether </w:t>
      </w:r>
      <w:r w:rsidRPr="00954679" w:rsidR="00AF0BB3">
        <w:rPr>
          <w:rFonts w:ascii="Times New Roman" w:hAnsi="Times New Roman" w:cs="Times New Roman"/>
          <w:sz w:val="24"/>
          <w:szCs w:val="24"/>
        </w:rPr>
        <w:t xml:space="preserve">the findings of anchoring effects in </w:t>
      </w:r>
      <w:r w:rsidRPr="00954679" w:rsidR="00262EDB">
        <w:rPr>
          <w:rFonts w:ascii="Times New Roman" w:hAnsi="Times New Roman" w:cs="Times New Roman"/>
          <w:sz w:val="24"/>
          <w:szCs w:val="24"/>
        </w:rPr>
        <w:t>other domains</w:t>
      </w:r>
      <w:r w:rsidRPr="00954679" w:rsidR="00AF0BB3">
        <w:rPr>
          <w:rFonts w:ascii="Times New Roman" w:hAnsi="Times New Roman" w:cs="Times New Roman"/>
          <w:sz w:val="24"/>
          <w:szCs w:val="24"/>
        </w:rPr>
        <w:t xml:space="preserve"> are relevant for a multi-unit, reverse auction with ranking on both quality and cost</w:t>
      </w:r>
      <w:r w:rsidRPr="00954679">
        <w:rPr>
          <w:rFonts w:ascii="Times New Roman" w:hAnsi="Times New Roman" w:cs="Times New Roman"/>
          <w:sz w:val="24"/>
          <w:szCs w:val="24"/>
        </w:rPr>
        <w:t>.</w:t>
      </w:r>
    </w:p>
    <w:p w:rsidRPr="00954679" w:rsidR="0046218E" w:rsidP="00E648B4" w:rsidRDefault="00E648B4" w14:paraId="15631866" w14:textId="65EF9316">
      <w:pPr>
        <w:rPr>
          <w:rFonts w:ascii="Times New Roman" w:hAnsi="Times New Roman" w:cs="Times New Roman"/>
          <w:b/>
          <w:bCs/>
          <w:sz w:val="24"/>
          <w:szCs w:val="24"/>
        </w:rPr>
      </w:pPr>
      <w:r w:rsidRPr="00954679">
        <w:rPr>
          <w:rFonts w:ascii="Times New Roman" w:hAnsi="Times New Roman" w:cs="Times New Roman"/>
          <w:b/>
          <w:bCs/>
          <w:sz w:val="24"/>
          <w:szCs w:val="24"/>
        </w:rPr>
        <w:t xml:space="preserve">5: </w:t>
      </w:r>
      <w:r w:rsidRPr="00954679" w:rsidR="0046218E">
        <w:rPr>
          <w:rFonts w:ascii="Times New Roman" w:hAnsi="Times New Roman" w:cs="Times New Roman"/>
          <w:b/>
          <w:bCs/>
          <w:sz w:val="24"/>
          <w:szCs w:val="24"/>
        </w:rPr>
        <w:t>If the collection of information impacts small businesses or other small entities (Item 5 of OMB Form 83-I), describe any methods used to minimize burden.</w:t>
      </w:r>
    </w:p>
    <w:p w:rsidRPr="00867A6A" w:rsidR="008D6BDC" w:rsidP="008D6BDC" w:rsidRDefault="00BB2A05" w14:paraId="7DFCD75D" w14:textId="3045E09D">
      <w:pPr>
        <w:rPr>
          <w:rFonts w:ascii="Times New Roman" w:hAnsi="Times New Roman" w:cs="Times New Roman"/>
          <w:sz w:val="24"/>
          <w:szCs w:val="24"/>
        </w:rPr>
      </w:pPr>
      <w:r w:rsidRPr="00954679">
        <w:rPr>
          <w:rFonts w:ascii="Times New Roman" w:hAnsi="Times New Roman" w:cs="Times New Roman"/>
          <w:sz w:val="24"/>
          <w:szCs w:val="24"/>
        </w:rPr>
        <w:t>The information collection would impact small agricultural business</w:t>
      </w:r>
      <w:r w:rsidR="00E22D21">
        <w:rPr>
          <w:rFonts w:ascii="Times New Roman" w:hAnsi="Times New Roman" w:cs="Times New Roman"/>
          <w:sz w:val="24"/>
          <w:szCs w:val="24"/>
        </w:rPr>
        <w:t>es</w:t>
      </w:r>
      <w:r w:rsidR="0006260C">
        <w:rPr>
          <w:rFonts w:ascii="Times New Roman" w:hAnsi="Times New Roman" w:cs="Times New Roman"/>
          <w:sz w:val="24"/>
          <w:szCs w:val="24"/>
        </w:rPr>
        <w:t>,</w:t>
      </w:r>
      <w:r w:rsidR="00E22D21">
        <w:rPr>
          <w:rFonts w:ascii="Times New Roman" w:hAnsi="Times New Roman" w:cs="Times New Roman"/>
          <w:sz w:val="24"/>
          <w:szCs w:val="24"/>
        </w:rPr>
        <w:t xml:space="preserve"> farmers who have previously participated in a CRP General Signup</w:t>
      </w:r>
      <w:r w:rsidRPr="00954679">
        <w:rPr>
          <w:rFonts w:ascii="Times New Roman" w:hAnsi="Times New Roman" w:cs="Times New Roman"/>
          <w:sz w:val="24"/>
          <w:szCs w:val="24"/>
        </w:rPr>
        <w:t xml:space="preserve">.  </w:t>
      </w:r>
      <w:r w:rsidRPr="00954679" w:rsidR="00AF0BB3">
        <w:rPr>
          <w:rFonts w:ascii="Times New Roman" w:hAnsi="Times New Roman" w:cs="Times New Roman"/>
          <w:sz w:val="24"/>
          <w:szCs w:val="24"/>
        </w:rPr>
        <w:t xml:space="preserve">To minimize respondent burden, the study uses an </w:t>
      </w:r>
      <w:r w:rsidRPr="00954679">
        <w:rPr>
          <w:rFonts w:ascii="Times New Roman" w:hAnsi="Times New Roman" w:cs="Times New Roman"/>
          <w:sz w:val="24"/>
          <w:szCs w:val="24"/>
        </w:rPr>
        <w:t>online portal</w:t>
      </w:r>
      <w:r w:rsidRPr="00954679" w:rsidR="00A63C37">
        <w:rPr>
          <w:rFonts w:ascii="Times New Roman" w:hAnsi="Times New Roman" w:cs="Times New Roman"/>
          <w:sz w:val="24"/>
          <w:szCs w:val="24"/>
        </w:rPr>
        <w:t>, a mu</w:t>
      </w:r>
      <w:r w:rsidRPr="00954679" w:rsidR="003D206C">
        <w:rPr>
          <w:rFonts w:ascii="Times New Roman" w:hAnsi="Times New Roman" w:cs="Times New Roman"/>
          <w:sz w:val="24"/>
          <w:szCs w:val="24"/>
        </w:rPr>
        <w:t>l</w:t>
      </w:r>
      <w:r w:rsidRPr="00954679" w:rsidR="00A63C37">
        <w:rPr>
          <w:rFonts w:ascii="Times New Roman" w:hAnsi="Times New Roman" w:cs="Times New Roman"/>
          <w:sz w:val="24"/>
          <w:szCs w:val="24"/>
        </w:rPr>
        <w:t xml:space="preserve">ti-week participation window, and limits the study to a practice round, three experimental auction rounds, and a short set of follow-on questions.  </w:t>
      </w:r>
      <w:r w:rsidR="00D71112">
        <w:rPr>
          <w:rFonts w:ascii="Times New Roman" w:hAnsi="Times New Roman" w:cs="Times New Roman"/>
          <w:sz w:val="24"/>
          <w:szCs w:val="24"/>
        </w:rPr>
        <w:t>In addition, the project team revised the treatment design to reduce the number of rounds from the original plan for nine auction rounds.</w:t>
      </w:r>
      <w:r w:rsidRPr="00652286" w:rsidR="00D71112">
        <w:rPr>
          <w:rFonts w:ascii="Times New Roman" w:hAnsi="Times New Roman" w:cs="Times New Roman"/>
          <w:sz w:val="24"/>
          <w:szCs w:val="24"/>
        </w:rPr>
        <w:t xml:space="preserve">  </w:t>
      </w:r>
      <w:r w:rsidRPr="00954679" w:rsidR="00A63C37">
        <w:rPr>
          <w:rFonts w:ascii="Times New Roman" w:hAnsi="Times New Roman" w:cs="Times New Roman"/>
          <w:sz w:val="24"/>
          <w:szCs w:val="24"/>
        </w:rPr>
        <w:t xml:space="preserve">Participation in the study is expected to </w:t>
      </w:r>
      <w:r w:rsidR="00705EE3">
        <w:rPr>
          <w:rFonts w:ascii="Times New Roman" w:hAnsi="Times New Roman" w:cs="Times New Roman"/>
          <w:sz w:val="24"/>
          <w:szCs w:val="24"/>
        </w:rPr>
        <w:t>take</w:t>
      </w:r>
      <w:r w:rsidRPr="00954679" w:rsidR="00A63C37">
        <w:rPr>
          <w:rFonts w:ascii="Times New Roman" w:hAnsi="Times New Roman" w:cs="Times New Roman"/>
          <w:sz w:val="24"/>
          <w:szCs w:val="24"/>
        </w:rPr>
        <w:t xml:space="preserve"> between 20 and 30 minutes per participant.</w:t>
      </w:r>
      <w:r w:rsidR="00867A6A">
        <w:rPr>
          <w:rFonts w:ascii="Times New Roman" w:hAnsi="Times New Roman" w:cs="Times New Roman"/>
          <w:sz w:val="24"/>
          <w:szCs w:val="24"/>
        </w:rPr>
        <w:t xml:space="preserve"> The study will solicitation participation from </w:t>
      </w:r>
      <w:r w:rsidR="00D71112">
        <w:rPr>
          <w:rFonts w:ascii="Times New Roman" w:hAnsi="Times New Roman" w:cs="Times New Roman"/>
          <w:sz w:val="24"/>
          <w:szCs w:val="24"/>
        </w:rPr>
        <w:t xml:space="preserve">a simple random sample </w:t>
      </w:r>
      <w:r w:rsidR="00867A6A">
        <w:rPr>
          <w:rFonts w:ascii="Times New Roman" w:hAnsi="Times New Roman" w:cs="Times New Roman"/>
          <w:sz w:val="24"/>
          <w:szCs w:val="24"/>
        </w:rPr>
        <w:t>of 1</w:t>
      </w:r>
      <w:r w:rsidR="006E09D0">
        <w:rPr>
          <w:rFonts w:ascii="Times New Roman" w:hAnsi="Times New Roman" w:cs="Times New Roman"/>
          <w:sz w:val="24"/>
          <w:szCs w:val="24"/>
        </w:rPr>
        <w:t>1</w:t>
      </w:r>
      <w:r w:rsidR="00867A6A">
        <w:rPr>
          <w:rFonts w:ascii="Times New Roman" w:hAnsi="Times New Roman" w:cs="Times New Roman"/>
          <w:sz w:val="24"/>
          <w:szCs w:val="24"/>
        </w:rPr>
        <w:t xml:space="preserve">,000 </w:t>
      </w:r>
      <w:r w:rsidR="00867A6A">
        <w:rPr>
          <w:rFonts w:ascii="Times New Roman" w:hAnsi="Times New Roman" w:cs="Times New Roman"/>
          <w:sz w:val="24"/>
          <w:szCs w:val="24"/>
        </w:rPr>
        <w:lastRenderedPageBreak/>
        <w:t>farms</w:t>
      </w:r>
      <w:r w:rsidR="00D71112">
        <w:rPr>
          <w:rFonts w:ascii="Times New Roman" w:hAnsi="Times New Roman" w:cs="Times New Roman"/>
          <w:sz w:val="24"/>
          <w:szCs w:val="24"/>
        </w:rPr>
        <w:t xml:space="preserve"> drawn from a population of recent CRP participants.  This sample</w:t>
      </w:r>
      <w:r w:rsidR="00867A6A">
        <w:rPr>
          <w:rFonts w:ascii="Times New Roman" w:hAnsi="Times New Roman" w:cs="Times New Roman"/>
          <w:sz w:val="24"/>
          <w:szCs w:val="24"/>
        </w:rPr>
        <w:t xml:space="preserve"> represents less than one percent of all farms.  The study focuses exclusively on recent participants in CRP General signups, since they are representative of the majority of likely future CRP General Signup participants.  The study expects to receive 1,</w:t>
      </w:r>
      <w:r w:rsidR="006E09D0">
        <w:rPr>
          <w:rFonts w:ascii="Times New Roman" w:hAnsi="Times New Roman" w:cs="Times New Roman"/>
          <w:sz w:val="24"/>
          <w:szCs w:val="24"/>
        </w:rPr>
        <w:t>1</w:t>
      </w:r>
      <w:r w:rsidR="00867A6A">
        <w:rPr>
          <w:rFonts w:ascii="Times New Roman" w:hAnsi="Times New Roman" w:cs="Times New Roman"/>
          <w:sz w:val="24"/>
          <w:szCs w:val="24"/>
        </w:rPr>
        <w:t>00 participants</w:t>
      </w:r>
      <w:r w:rsidR="00E22D21">
        <w:rPr>
          <w:rFonts w:ascii="Times New Roman" w:hAnsi="Times New Roman" w:cs="Times New Roman"/>
          <w:sz w:val="24"/>
          <w:szCs w:val="24"/>
        </w:rPr>
        <w:t>, all small business,</w:t>
      </w:r>
      <w:r w:rsidR="00867A6A">
        <w:rPr>
          <w:rFonts w:ascii="Times New Roman" w:hAnsi="Times New Roman" w:cs="Times New Roman"/>
          <w:sz w:val="24"/>
          <w:szCs w:val="24"/>
        </w:rPr>
        <w:t xml:space="preserve"> out the recruitment pool, which represents 1.</w:t>
      </w:r>
      <w:r w:rsidR="006E09D0">
        <w:rPr>
          <w:rFonts w:ascii="Times New Roman" w:hAnsi="Times New Roman" w:cs="Times New Roman"/>
          <w:sz w:val="24"/>
          <w:szCs w:val="24"/>
        </w:rPr>
        <w:t>5</w:t>
      </w:r>
      <w:r w:rsidR="00867A6A">
        <w:rPr>
          <w:rFonts w:ascii="Times New Roman" w:hAnsi="Times New Roman" w:cs="Times New Roman"/>
          <w:sz w:val="24"/>
          <w:szCs w:val="24"/>
        </w:rPr>
        <w:t xml:space="preserve"> percent of participants in the two most recent CRP General Signups.</w:t>
      </w:r>
    </w:p>
    <w:p w:rsidRPr="00954679" w:rsidR="0046218E" w:rsidP="00E648B4" w:rsidRDefault="00E648B4" w14:paraId="486D2BBC" w14:textId="72E8A051">
      <w:pPr>
        <w:rPr>
          <w:rFonts w:ascii="Times New Roman" w:hAnsi="Times New Roman" w:cs="Times New Roman"/>
          <w:b/>
          <w:bCs/>
          <w:sz w:val="24"/>
          <w:szCs w:val="24"/>
        </w:rPr>
      </w:pPr>
      <w:r w:rsidRPr="00954679">
        <w:rPr>
          <w:rFonts w:ascii="Times New Roman" w:hAnsi="Times New Roman" w:cs="Times New Roman"/>
          <w:b/>
          <w:bCs/>
          <w:sz w:val="24"/>
          <w:szCs w:val="24"/>
        </w:rPr>
        <w:t xml:space="preserve">6: </w:t>
      </w:r>
      <w:r w:rsidRPr="00954679" w:rsidR="0046218E">
        <w:rPr>
          <w:rFonts w:ascii="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Pr="00954679" w:rsidR="006932CE" w:rsidP="006932CE" w:rsidRDefault="00BB2A05" w14:paraId="570C3AA1" w14:textId="1765621E">
      <w:pPr>
        <w:rPr>
          <w:rFonts w:ascii="Times New Roman" w:hAnsi="Times New Roman" w:cs="Times New Roman"/>
          <w:sz w:val="24"/>
          <w:szCs w:val="24"/>
        </w:rPr>
      </w:pPr>
      <w:r w:rsidRPr="00954679">
        <w:rPr>
          <w:rFonts w:ascii="Times New Roman" w:hAnsi="Times New Roman" w:cs="Times New Roman"/>
          <w:sz w:val="24"/>
          <w:szCs w:val="24"/>
        </w:rPr>
        <w:t xml:space="preserve">If this study is not </w:t>
      </w:r>
      <w:r w:rsidRPr="00954679" w:rsidR="00A63C37">
        <w:rPr>
          <w:rFonts w:ascii="Times New Roman" w:hAnsi="Times New Roman" w:cs="Times New Roman"/>
          <w:sz w:val="24"/>
          <w:szCs w:val="24"/>
        </w:rPr>
        <w:t xml:space="preserve">conducted, USDA </w:t>
      </w:r>
      <w:r w:rsidR="00837F75">
        <w:rPr>
          <w:rFonts w:ascii="Times New Roman" w:hAnsi="Times New Roman" w:cs="Times New Roman"/>
          <w:sz w:val="24"/>
          <w:szCs w:val="24"/>
        </w:rPr>
        <w:t xml:space="preserve">would lack context-specific research when considering program spending on software redesign </w:t>
      </w:r>
      <w:r w:rsidRPr="00954679" w:rsidR="00A63C37">
        <w:rPr>
          <w:rFonts w:ascii="Times New Roman" w:hAnsi="Times New Roman" w:cs="Times New Roman"/>
          <w:sz w:val="24"/>
          <w:szCs w:val="24"/>
        </w:rPr>
        <w:t>to</w:t>
      </w:r>
      <w:r w:rsidR="00837F75">
        <w:rPr>
          <w:rFonts w:ascii="Times New Roman" w:hAnsi="Times New Roman" w:cs="Times New Roman"/>
          <w:sz w:val="24"/>
          <w:szCs w:val="24"/>
        </w:rPr>
        <w:t xml:space="preserve"> change the defaults used in the enrollment software or training of </w:t>
      </w:r>
      <w:r w:rsidRPr="00954679">
        <w:rPr>
          <w:rFonts w:ascii="Times New Roman" w:hAnsi="Times New Roman" w:cs="Times New Roman"/>
          <w:sz w:val="24"/>
          <w:szCs w:val="24"/>
        </w:rPr>
        <w:t xml:space="preserve">field agents </w:t>
      </w:r>
      <w:r w:rsidR="00837F75">
        <w:rPr>
          <w:rFonts w:ascii="Times New Roman" w:hAnsi="Times New Roman" w:cs="Times New Roman"/>
          <w:sz w:val="24"/>
          <w:szCs w:val="24"/>
        </w:rPr>
        <w:t xml:space="preserve">to change the </w:t>
      </w:r>
      <w:r w:rsidRPr="00954679">
        <w:rPr>
          <w:rFonts w:ascii="Times New Roman" w:hAnsi="Times New Roman" w:cs="Times New Roman"/>
          <w:sz w:val="24"/>
          <w:szCs w:val="24"/>
        </w:rPr>
        <w:t>defaults</w:t>
      </w:r>
      <w:r w:rsidR="00837F75">
        <w:rPr>
          <w:rFonts w:ascii="Times New Roman" w:hAnsi="Times New Roman" w:cs="Times New Roman"/>
          <w:sz w:val="24"/>
          <w:szCs w:val="24"/>
        </w:rPr>
        <w:t xml:space="preserve"> used when advising farmers on program enrollment</w:t>
      </w:r>
      <w:r w:rsidRPr="00954679">
        <w:rPr>
          <w:rFonts w:ascii="Times New Roman" w:hAnsi="Times New Roman" w:cs="Times New Roman"/>
          <w:sz w:val="24"/>
          <w:szCs w:val="24"/>
        </w:rPr>
        <w:t>.</w:t>
      </w:r>
    </w:p>
    <w:p w:rsidRPr="00954679" w:rsidR="0046218E" w:rsidP="00E648B4" w:rsidRDefault="00E648B4" w14:paraId="59565C5D" w14:textId="402920EC">
      <w:pPr>
        <w:rPr>
          <w:rFonts w:ascii="Times New Roman" w:hAnsi="Times New Roman" w:cs="Times New Roman"/>
          <w:b/>
          <w:bCs/>
          <w:sz w:val="24"/>
          <w:szCs w:val="24"/>
        </w:rPr>
      </w:pPr>
      <w:r w:rsidRPr="00954679">
        <w:rPr>
          <w:rFonts w:ascii="Times New Roman" w:hAnsi="Times New Roman" w:cs="Times New Roman"/>
          <w:b/>
          <w:bCs/>
          <w:sz w:val="24"/>
          <w:szCs w:val="24"/>
        </w:rPr>
        <w:t xml:space="preserve">7: </w:t>
      </w:r>
      <w:r w:rsidRPr="00954679" w:rsidR="0046218E">
        <w:rPr>
          <w:rFonts w:ascii="Times New Roman" w:hAnsi="Times New Roman" w:cs="Times New Roman"/>
          <w:b/>
          <w:bCs/>
          <w:sz w:val="24"/>
          <w:szCs w:val="24"/>
        </w:rPr>
        <w:t>Explain any special circumstances that would cause an information collection to be conducted in a manner inconsistent with the general information guidelines in 5 CFR 1320.5.</w:t>
      </w:r>
    </w:p>
    <w:p w:rsidRPr="00954679" w:rsidR="0046218E" w:rsidP="0046218E" w:rsidRDefault="0046218E" w14:paraId="07FE78CE" w14:textId="7A4657D2">
      <w:pPr>
        <w:rPr>
          <w:rFonts w:ascii="Times New Roman" w:hAnsi="Times New Roman" w:cs="Times New Roman"/>
          <w:sz w:val="24"/>
          <w:szCs w:val="24"/>
        </w:rPr>
      </w:pPr>
      <w:r w:rsidRPr="00954679">
        <w:rPr>
          <w:rFonts w:ascii="Times New Roman" w:hAnsi="Times New Roman" w:cs="Times New Roman"/>
          <w:sz w:val="24"/>
          <w:szCs w:val="24"/>
        </w:rPr>
        <w:t>There are no special circumstances associated with this information collection.</w:t>
      </w:r>
      <w:r w:rsidRPr="00954679" w:rsidR="00E50FE5">
        <w:rPr>
          <w:rFonts w:ascii="Times New Roman" w:hAnsi="Times New Roman" w:cs="Times New Roman"/>
          <w:sz w:val="24"/>
          <w:szCs w:val="24"/>
        </w:rPr>
        <w:t xml:space="preserve">  All responses will be one</w:t>
      </w:r>
      <w:r w:rsidRPr="00954679" w:rsidR="000A0C23">
        <w:rPr>
          <w:rFonts w:ascii="Times New Roman" w:hAnsi="Times New Roman" w:cs="Times New Roman"/>
          <w:sz w:val="24"/>
          <w:szCs w:val="24"/>
        </w:rPr>
        <w:t>-</w:t>
      </w:r>
      <w:r w:rsidRPr="00954679" w:rsidR="00E50FE5">
        <w:rPr>
          <w:rFonts w:ascii="Times New Roman" w:hAnsi="Times New Roman" w:cs="Times New Roman"/>
          <w:sz w:val="24"/>
          <w:szCs w:val="24"/>
        </w:rPr>
        <w:t>time responses.</w:t>
      </w:r>
    </w:p>
    <w:p w:rsidRPr="00954679" w:rsidR="00C75600" w:rsidP="00E648B4" w:rsidRDefault="00E648B4" w14:paraId="36EC1A3C" w14:textId="018FB4D2">
      <w:pPr>
        <w:rPr>
          <w:rFonts w:ascii="Times New Roman" w:hAnsi="Times New Roman" w:cs="Times New Roman"/>
          <w:b/>
          <w:bCs/>
          <w:sz w:val="24"/>
          <w:szCs w:val="24"/>
        </w:rPr>
      </w:pPr>
      <w:r w:rsidRPr="00954679">
        <w:rPr>
          <w:rFonts w:ascii="Times New Roman" w:hAnsi="Times New Roman" w:cs="Times New Roman"/>
          <w:b/>
          <w:bCs/>
          <w:sz w:val="24"/>
          <w:szCs w:val="24"/>
        </w:rPr>
        <w:t xml:space="preserve">8: </w:t>
      </w:r>
      <w:r w:rsidRPr="00954679" w:rsidR="0046218E">
        <w:rPr>
          <w:rFonts w:ascii="Times New Roman" w:hAnsi="Times New Roman" w:cs="Times New Roman"/>
          <w:b/>
          <w:bCs/>
          <w:sz w:val="24"/>
          <w:szCs w:val="24"/>
        </w:rPr>
        <w:t>Provide a copy and identify the date and page number of publication in the Federal Register of the agency</w:t>
      </w:r>
      <w:r w:rsidRPr="00954679" w:rsidR="006932CE">
        <w:rPr>
          <w:rFonts w:ascii="Times New Roman" w:hAnsi="Times New Roman" w:cs="Times New Roman"/>
          <w:b/>
          <w:bCs/>
          <w:sz w:val="24"/>
          <w:szCs w:val="24"/>
        </w:rPr>
        <w:t>’</w:t>
      </w:r>
      <w:r w:rsidRPr="00954679" w:rsidR="0046218E">
        <w:rPr>
          <w:rFonts w:ascii="Times New Roman" w:hAnsi="Times New Roman" w:cs="Times New Roman"/>
          <w:b/>
          <w:bCs/>
          <w:sz w:val="24"/>
          <w:szCs w:val="24"/>
        </w:rPr>
        <w:t>s notice, required by 5 CFR 1320.8 (d), soliciting comments on the information collection prior to submission to OMB.  Summarize public comments received in response to that notice and describe actions taken by the agency in response to these comments.</w:t>
      </w:r>
    </w:p>
    <w:p w:rsidRPr="00FE77B3" w:rsidR="006932CE" w:rsidP="0046218E" w:rsidRDefault="006272AD" w14:paraId="1B96B29A" w14:textId="2311412B">
      <w:pPr>
        <w:rPr>
          <w:rFonts w:ascii="Times New Roman" w:hAnsi="Times New Roman" w:cs="Times New Roman"/>
          <w:sz w:val="24"/>
          <w:szCs w:val="24"/>
        </w:rPr>
      </w:pPr>
      <w:r w:rsidRPr="00954679">
        <w:rPr>
          <w:rFonts w:ascii="Times New Roman" w:hAnsi="Times New Roman" w:cs="Times New Roman"/>
          <w:sz w:val="24"/>
          <w:szCs w:val="24"/>
        </w:rPr>
        <w:t xml:space="preserve">The notice of intent to request this data collections was </w:t>
      </w:r>
      <w:r w:rsidR="008D6BDC">
        <w:rPr>
          <w:rFonts w:ascii="Times New Roman" w:hAnsi="Times New Roman" w:cs="Times New Roman"/>
          <w:sz w:val="24"/>
          <w:szCs w:val="24"/>
        </w:rPr>
        <w:t xml:space="preserve">published </w:t>
      </w:r>
      <w:r w:rsidRPr="00954679">
        <w:rPr>
          <w:rFonts w:ascii="Times New Roman" w:hAnsi="Times New Roman" w:cs="Times New Roman"/>
          <w:sz w:val="24"/>
          <w:szCs w:val="24"/>
        </w:rPr>
        <w:t xml:space="preserve">on January 7, 2021 </w:t>
      </w:r>
      <w:r w:rsidR="003F5B11">
        <w:rPr>
          <w:rFonts w:ascii="Times New Roman" w:hAnsi="Times New Roman" w:cs="Times New Roman"/>
          <w:sz w:val="24"/>
          <w:szCs w:val="24"/>
        </w:rPr>
        <w:t>(</w:t>
      </w:r>
      <w:r w:rsidRPr="00954679">
        <w:rPr>
          <w:rFonts w:ascii="Times New Roman" w:hAnsi="Times New Roman" w:cs="Times New Roman"/>
          <w:sz w:val="24"/>
          <w:szCs w:val="24"/>
        </w:rPr>
        <w:t>o</w:t>
      </w:r>
      <w:r w:rsidR="003F5B11">
        <w:rPr>
          <w:rFonts w:ascii="Times New Roman" w:hAnsi="Times New Roman" w:cs="Times New Roman"/>
          <w:sz w:val="24"/>
          <w:szCs w:val="24"/>
        </w:rPr>
        <w:t>n</w:t>
      </w:r>
      <w:r w:rsidRPr="00954679">
        <w:rPr>
          <w:rFonts w:ascii="Times New Roman" w:hAnsi="Times New Roman" w:cs="Times New Roman"/>
          <w:sz w:val="24"/>
          <w:szCs w:val="24"/>
        </w:rPr>
        <w:t xml:space="preserve"> </w:t>
      </w:r>
      <w:r w:rsidR="003F5B11">
        <w:rPr>
          <w:rFonts w:ascii="Times New Roman" w:hAnsi="Times New Roman" w:cs="Times New Roman"/>
          <w:sz w:val="24"/>
          <w:szCs w:val="24"/>
        </w:rPr>
        <w:t xml:space="preserve">86 FR </w:t>
      </w:r>
      <w:r w:rsidRPr="00954679">
        <w:rPr>
          <w:rFonts w:ascii="Times New Roman" w:hAnsi="Times New Roman" w:cs="Times New Roman"/>
          <w:sz w:val="24"/>
          <w:szCs w:val="24"/>
        </w:rPr>
        <w:t>1084</w:t>
      </w:r>
      <w:r w:rsidR="003F5B11">
        <w:rPr>
          <w:rFonts w:ascii="Times New Roman" w:hAnsi="Times New Roman" w:cs="Times New Roman"/>
          <w:sz w:val="24"/>
          <w:szCs w:val="24"/>
        </w:rPr>
        <w:t>)</w:t>
      </w:r>
      <w:r w:rsidRPr="00954679">
        <w:rPr>
          <w:rFonts w:ascii="Times New Roman" w:hAnsi="Times New Roman" w:cs="Times New Roman"/>
          <w:sz w:val="24"/>
          <w:szCs w:val="24"/>
        </w:rPr>
        <w:t>. (A</w:t>
      </w:r>
      <w:r w:rsidRPr="00954679" w:rsidR="006932CE">
        <w:rPr>
          <w:rFonts w:ascii="Times New Roman" w:hAnsi="Times New Roman" w:cs="Times New Roman"/>
          <w:sz w:val="24"/>
          <w:szCs w:val="24"/>
        </w:rPr>
        <w:t>ttachmen</w:t>
      </w:r>
      <w:r w:rsidRPr="00954679" w:rsidR="00BB2A05">
        <w:rPr>
          <w:rFonts w:ascii="Times New Roman" w:hAnsi="Times New Roman" w:cs="Times New Roman"/>
          <w:sz w:val="24"/>
          <w:szCs w:val="24"/>
        </w:rPr>
        <w:t xml:space="preserve">t </w:t>
      </w:r>
      <w:r w:rsidRPr="00954679" w:rsidR="007C1D06">
        <w:rPr>
          <w:rFonts w:ascii="Times New Roman" w:hAnsi="Times New Roman" w:cs="Times New Roman"/>
          <w:sz w:val="24"/>
          <w:szCs w:val="24"/>
        </w:rPr>
        <w:t>B</w:t>
      </w:r>
      <w:r w:rsidRPr="00954679">
        <w:rPr>
          <w:rFonts w:ascii="Times New Roman" w:hAnsi="Times New Roman" w:cs="Times New Roman"/>
          <w:sz w:val="24"/>
          <w:szCs w:val="24"/>
        </w:rPr>
        <w:t xml:space="preserve">).  </w:t>
      </w:r>
      <w:r w:rsidR="008D6BDC">
        <w:rPr>
          <w:rFonts w:ascii="Times New Roman" w:hAnsi="Times New Roman" w:cs="Times New Roman"/>
          <w:sz w:val="24"/>
          <w:szCs w:val="24"/>
        </w:rPr>
        <w:t xml:space="preserve">ERS </w:t>
      </w:r>
      <w:r w:rsidRPr="00954679">
        <w:rPr>
          <w:rFonts w:ascii="Times New Roman" w:hAnsi="Times New Roman" w:cs="Times New Roman"/>
          <w:sz w:val="24"/>
          <w:szCs w:val="24"/>
        </w:rPr>
        <w:t>received two public comments</w:t>
      </w:r>
      <w:r w:rsidR="00705EE3">
        <w:rPr>
          <w:rFonts w:ascii="Times New Roman" w:hAnsi="Times New Roman" w:cs="Times New Roman"/>
          <w:sz w:val="24"/>
          <w:szCs w:val="24"/>
        </w:rPr>
        <w:t xml:space="preserve"> that raised concerns about the CRP in general and suggest greater use of pretesting.</w:t>
      </w:r>
      <w:r w:rsidRPr="00954679">
        <w:rPr>
          <w:rFonts w:ascii="Times New Roman" w:hAnsi="Times New Roman" w:cs="Times New Roman"/>
          <w:sz w:val="24"/>
          <w:szCs w:val="24"/>
        </w:rPr>
        <w:t xml:space="preserve"> </w:t>
      </w:r>
      <w:r w:rsidR="00705EE3">
        <w:rPr>
          <w:rFonts w:ascii="Times New Roman" w:hAnsi="Times New Roman" w:cs="Times New Roman"/>
          <w:sz w:val="24"/>
          <w:szCs w:val="24"/>
        </w:rPr>
        <w:t>T</w:t>
      </w:r>
      <w:r w:rsidRPr="00954679">
        <w:rPr>
          <w:rFonts w:ascii="Times New Roman" w:hAnsi="Times New Roman" w:cs="Times New Roman"/>
          <w:sz w:val="24"/>
          <w:szCs w:val="24"/>
        </w:rPr>
        <w:t>he project team has provided responses</w:t>
      </w:r>
      <w:r w:rsidR="00705EE3">
        <w:rPr>
          <w:rFonts w:ascii="Times New Roman" w:hAnsi="Times New Roman" w:cs="Times New Roman"/>
          <w:sz w:val="24"/>
          <w:szCs w:val="24"/>
        </w:rPr>
        <w:t>, including a description of how the Nash Equilibrium simulation allows the sort of study calibration in lieu of what would otherwise be an extensive pretesting calibration process</w:t>
      </w:r>
      <w:r w:rsidRPr="00954679">
        <w:rPr>
          <w:rFonts w:ascii="Times New Roman" w:hAnsi="Times New Roman" w:cs="Times New Roman"/>
          <w:sz w:val="24"/>
          <w:szCs w:val="24"/>
        </w:rPr>
        <w:t xml:space="preserve">. </w:t>
      </w:r>
      <w:r w:rsidRPr="00FE77B3">
        <w:rPr>
          <w:rFonts w:ascii="Times New Roman" w:hAnsi="Times New Roman" w:cs="Times New Roman"/>
          <w:sz w:val="24"/>
          <w:szCs w:val="24"/>
        </w:rPr>
        <w:t>(Attachments</w:t>
      </w:r>
      <w:r w:rsidRPr="00FE77B3" w:rsidR="00BB2A05">
        <w:rPr>
          <w:rFonts w:ascii="Times New Roman" w:hAnsi="Times New Roman" w:cs="Times New Roman"/>
          <w:sz w:val="24"/>
          <w:szCs w:val="24"/>
        </w:rPr>
        <w:t xml:space="preserve"> </w:t>
      </w:r>
      <w:r w:rsidRPr="00FE77B3" w:rsidR="007C1D06">
        <w:rPr>
          <w:rFonts w:ascii="Times New Roman" w:hAnsi="Times New Roman" w:cs="Times New Roman"/>
          <w:sz w:val="24"/>
          <w:szCs w:val="24"/>
        </w:rPr>
        <w:t>C</w:t>
      </w:r>
      <w:r w:rsidRPr="00FE77B3" w:rsidR="00FD1548">
        <w:rPr>
          <w:rFonts w:ascii="Times New Roman" w:hAnsi="Times New Roman" w:cs="Times New Roman"/>
          <w:sz w:val="24"/>
          <w:szCs w:val="24"/>
        </w:rPr>
        <w:t xml:space="preserve">1 and </w:t>
      </w:r>
      <w:r w:rsidRPr="00FE77B3" w:rsidR="007C1D06">
        <w:rPr>
          <w:rFonts w:ascii="Times New Roman" w:hAnsi="Times New Roman" w:cs="Times New Roman"/>
          <w:sz w:val="24"/>
          <w:szCs w:val="24"/>
        </w:rPr>
        <w:t>C</w:t>
      </w:r>
      <w:r w:rsidRPr="00FE77B3" w:rsidR="00FD1548">
        <w:rPr>
          <w:rFonts w:ascii="Times New Roman" w:hAnsi="Times New Roman" w:cs="Times New Roman"/>
          <w:sz w:val="24"/>
          <w:szCs w:val="24"/>
        </w:rPr>
        <w:t>2</w:t>
      </w:r>
      <w:r w:rsidRPr="00FE77B3">
        <w:rPr>
          <w:rFonts w:ascii="Times New Roman" w:hAnsi="Times New Roman" w:cs="Times New Roman"/>
          <w:sz w:val="24"/>
          <w:szCs w:val="24"/>
        </w:rPr>
        <w:t>)</w:t>
      </w:r>
      <w:r w:rsidRPr="00FE77B3" w:rsidR="00BB2A05">
        <w:rPr>
          <w:rFonts w:ascii="Times New Roman" w:hAnsi="Times New Roman" w:cs="Times New Roman"/>
          <w:sz w:val="24"/>
          <w:szCs w:val="24"/>
        </w:rPr>
        <w:t>.</w:t>
      </w:r>
    </w:p>
    <w:p w:rsidRPr="00954679" w:rsidR="0046218E" w:rsidP="0046218E" w:rsidRDefault="0046218E" w14:paraId="5677DD97" w14:textId="0B321685">
      <w:pPr>
        <w:rPr>
          <w:rFonts w:ascii="Times New Roman" w:hAnsi="Times New Roman" w:cs="Times New Roman"/>
          <w:b/>
          <w:bCs/>
          <w:sz w:val="24"/>
          <w:szCs w:val="24"/>
        </w:rPr>
      </w:pPr>
      <w:r w:rsidRPr="00954679">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54679" w:rsidR="00AB3E32" w:rsidP="0046218E" w:rsidRDefault="00AB3E32" w14:paraId="5BD92851" w14:textId="22641C8D">
      <w:pPr>
        <w:rPr>
          <w:rFonts w:ascii="Times New Roman" w:hAnsi="Times New Roman" w:cs="Times New Roman"/>
          <w:sz w:val="24"/>
          <w:szCs w:val="24"/>
        </w:rPr>
      </w:pPr>
      <w:r w:rsidRPr="00954679">
        <w:rPr>
          <w:rFonts w:ascii="Times New Roman" w:hAnsi="Times New Roman" w:cs="Times New Roman"/>
          <w:sz w:val="24"/>
          <w:szCs w:val="24"/>
        </w:rPr>
        <w:t xml:space="preserve">In the early stages of this project, the research team </w:t>
      </w:r>
      <w:r w:rsidRPr="00954679" w:rsidR="007A1BED">
        <w:rPr>
          <w:rFonts w:ascii="Times New Roman" w:hAnsi="Times New Roman" w:cs="Times New Roman"/>
          <w:sz w:val="24"/>
          <w:szCs w:val="24"/>
        </w:rPr>
        <w:t xml:space="preserve">consulted </w:t>
      </w:r>
      <w:r w:rsidRPr="00954679">
        <w:rPr>
          <w:rFonts w:ascii="Times New Roman" w:hAnsi="Times New Roman" w:cs="Times New Roman"/>
          <w:sz w:val="24"/>
          <w:szCs w:val="24"/>
        </w:rPr>
        <w:t>with field staff from the Farm Service Agency to learn how the actual CRP signup software is designed.  The data collection for this instrument is explicitly design</w:t>
      </w:r>
      <w:r w:rsidRPr="00954679" w:rsidR="007A1BED">
        <w:rPr>
          <w:rFonts w:ascii="Times New Roman" w:hAnsi="Times New Roman" w:cs="Times New Roman"/>
          <w:sz w:val="24"/>
          <w:szCs w:val="24"/>
        </w:rPr>
        <w:t>ed</w:t>
      </w:r>
      <w:r w:rsidRPr="00954679">
        <w:rPr>
          <w:rFonts w:ascii="Times New Roman" w:hAnsi="Times New Roman" w:cs="Times New Roman"/>
          <w:sz w:val="24"/>
          <w:szCs w:val="24"/>
        </w:rPr>
        <w:t xml:space="preserve"> to be a stylized, simplified version of that software.</w:t>
      </w:r>
    </w:p>
    <w:p w:rsidRPr="00954679" w:rsidR="006272AD" w:rsidP="0046218E" w:rsidRDefault="006272AD" w14:paraId="71AA7FF4" w14:textId="5CDD8928">
      <w:pPr>
        <w:rPr>
          <w:rFonts w:ascii="Times New Roman" w:hAnsi="Times New Roman" w:cs="Times New Roman"/>
          <w:sz w:val="24"/>
          <w:szCs w:val="24"/>
        </w:rPr>
      </w:pPr>
      <w:r w:rsidRPr="00954679">
        <w:rPr>
          <w:rFonts w:ascii="Times New Roman" w:hAnsi="Times New Roman" w:cs="Times New Roman"/>
          <w:sz w:val="24"/>
          <w:szCs w:val="24"/>
        </w:rPr>
        <w:t xml:space="preserve">The study does not collect personal information from participants.  </w:t>
      </w:r>
      <w:r w:rsidRPr="00954679" w:rsidR="00AB3E32">
        <w:rPr>
          <w:rFonts w:ascii="Times New Roman" w:hAnsi="Times New Roman" w:cs="Times New Roman"/>
          <w:sz w:val="24"/>
          <w:szCs w:val="24"/>
        </w:rPr>
        <w:t>Participants</w:t>
      </w:r>
      <w:r w:rsidRPr="00954679">
        <w:rPr>
          <w:rFonts w:ascii="Times New Roman" w:hAnsi="Times New Roman" w:cs="Times New Roman"/>
          <w:sz w:val="24"/>
          <w:szCs w:val="24"/>
        </w:rPr>
        <w:t xml:space="preserve"> will be asked to make choices about hypothetical fields (parcels) in a simulated auction.  Since they do not need </w:t>
      </w:r>
      <w:r w:rsidRPr="00954679">
        <w:rPr>
          <w:rFonts w:ascii="Times New Roman" w:hAnsi="Times New Roman" w:cs="Times New Roman"/>
          <w:sz w:val="24"/>
          <w:szCs w:val="24"/>
        </w:rPr>
        <w:lastRenderedPageBreak/>
        <w:t xml:space="preserve">to recall any personal information, there was no need to check on the availability of data or </w:t>
      </w:r>
      <w:r w:rsidRPr="00954679" w:rsidR="0053359E">
        <w:rPr>
          <w:rFonts w:ascii="Times New Roman" w:hAnsi="Times New Roman" w:cs="Times New Roman"/>
          <w:sz w:val="24"/>
          <w:szCs w:val="24"/>
        </w:rPr>
        <w:t>extent of record keeping.</w:t>
      </w:r>
    </w:p>
    <w:p w:rsidRPr="00954679" w:rsidR="0053359E" w:rsidP="0046218E" w:rsidRDefault="0053359E" w14:paraId="37693A37" w14:textId="5B76384A">
      <w:pPr>
        <w:rPr>
          <w:rFonts w:ascii="Times New Roman" w:hAnsi="Times New Roman" w:cs="Times New Roman"/>
          <w:sz w:val="24"/>
          <w:szCs w:val="24"/>
        </w:rPr>
      </w:pPr>
      <w:r w:rsidRPr="00954679">
        <w:rPr>
          <w:rFonts w:ascii="Times New Roman" w:hAnsi="Times New Roman" w:cs="Times New Roman"/>
          <w:sz w:val="24"/>
          <w:szCs w:val="24"/>
        </w:rPr>
        <w:t>To assess basic comprehension of the study instructions and format, and to confirm the expected time required for participation, the research team conducted six pre-tests of the study with students from the University of Delaware. The details of that pilot are provided in Attachment N</w:t>
      </w:r>
      <w:r w:rsidRPr="007D7F1C">
        <w:rPr>
          <w:rFonts w:ascii="Times New Roman" w:hAnsi="Times New Roman" w:cs="Times New Roman"/>
          <w:sz w:val="24"/>
          <w:szCs w:val="24"/>
        </w:rPr>
        <w:t>.</w:t>
      </w:r>
    </w:p>
    <w:p w:rsidRPr="00954679" w:rsidR="006932CE" w:rsidP="0046218E" w:rsidRDefault="0053359E" w14:paraId="372EECD6" w14:textId="56B99C92">
      <w:pPr>
        <w:rPr>
          <w:rFonts w:ascii="Times New Roman" w:hAnsi="Times New Roman" w:cs="Times New Roman"/>
          <w:sz w:val="24"/>
          <w:szCs w:val="24"/>
        </w:rPr>
      </w:pPr>
      <w:r w:rsidRPr="00954679">
        <w:rPr>
          <w:rFonts w:ascii="Times New Roman" w:hAnsi="Times New Roman" w:cs="Times New Roman"/>
          <w:sz w:val="24"/>
          <w:szCs w:val="24"/>
        </w:rPr>
        <w:t xml:space="preserve">Since the value of experimental studies is heavily dependent on several aspects of experimental design, the Economic Research Service instituted a formal external review of the </w:t>
      </w:r>
      <w:r w:rsidRPr="00954679" w:rsidR="00AB3E32">
        <w:rPr>
          <w:rFonts w:ascii="Times New Roman" w:hAnsi="Times New Roman" w:cs="Times New Roman"/>
          <w:sz w:val="24"/>
          <w:szCs w:val="24"/>
        </w:rPr>
        <w:t>project during the development phase.  The research team produced</w:t>
      </w:r>
      <w:r w:rsidRPr="00954679" w:rsidR="00BB2A05">
        <w:rPr>
          <w:rFonts w:ascii="Times New Roman" w:hAnsi="Times New Roman" w:cs="Times New Roman"/>
          <w:sz w:val="24"/>
          <w:szCs w:val="24"/>
        </w:rPr>
        <w:t xml:space="preserve"> an experimental design and analysis plan </w:t>
      </w:r>
      <w:r w:rsidRPr="007D7F1C" w:rsidR="00BB2A05">
        <w:rPr>
          <w:rFonts w:ascii="Times New Roman" w:hAnsi="Times New Roman" w:cs="Times New Roman"/>
          <w:sz w:val="24"/>
          <w:szCs w:val="24"/>
        </w:rPr>
        <w:t>(</w:t>
      </w:r>
      <w:r w:rsidRPr="007D7F1C" w:rsidR="00AB3E32">
        <w:rPr>
          <w:rFonts w:ascii="Times New Roman" w:hAnsi="Times New Roman" w:cs="Times New Roman"/>
          <w:sz w:val="24"/>
          <w:szCs w:val="24"/>
        </w:rPr>
        <w:t>Attachment D)</w:t>
      </w:r>
      <w:r w:rsidRPr="00954679" w:rsidR="00AB3E32">
        <w:rPr>
          <w:rFonts w:ascii="Times New Roman" w:hAnsi="Times New Roman" w:cs="Times New Roman"/>
          <w:sz w:val="24"/>
          <w:szCs w:val="24"/>
        </w:rPr>
        <w:t xml:space="preserve"> which was then reviewed by three external reviewers </w:t>
      </w:r>
      <w:r w:rsidRPr="007D7F1C" w:rsidR="00AB3E32">
        <w:rPr>
          <w:rFonts w:ascii="Times New Roman" w:hAnsi="Times New Roman" w:cs="Times New Roman"/>
          <w:sz w:val="24"/>
          <w:szCs w:val="24"/>
        </w:rPr>
        <w:t xml:space="preserve">(Attachments </w:t>
      </w:r>
      <w:r w:rsidRPr="007D7F1C" w:rsidR="0084592A">
        <w:rPr>
          <w:rFonts w:ascii="Times New Roman" w:hAnsi="Times New Roman" w:cs="Times New Roman"/>
          <w:sz w:val="24"/>
          <w:szCs w:val="24"/>
        </w:rPr>
        <w:t>E</w:t>
      </w:r>
      <w:r w:rsidRPr="007D7F1C" w:rsidR="009561A1">
        <w:rPr>
          <w:rFonts w:ascii="Times New Roman" w:hAnsi="Times New Roman" w:cs="Times New Roman"/>
          <w:sz w:val="24"/>
          <w:szCs w:val="24"/>
        </w:rPr>
        <w:t xml:space="preserve">1, </w:t>
      </w:r>
      <w:r w:rsidRPr="007D7F1C" w:rsidR="0084592A">
        <w:rPr>
          <w:rFonts w:ascii="Times New Roman" w:hAnsi="Times New Roman" w:cs="Times New Roman"/>
          <w:sz w:val="24"/>
          <w:szCs w:val="24"/>
        </w:rPr>
        <w:t>E</w:t>
      </w:r>
      <w:r w:rsidRPr="007D7F1C" w:rsidR="009561A1">
        <w:rPr>
          <w:rFonts w:ascii="Times New Roman" w:hAnsi="Times New Roman" w:cs="Times New Roman"/>
          <w:sz w:val="24"/>
          <w:szCs w:val="24"/>
        </w:rPr>
        <w:t>2</w:t>
      </w:r>
      <w:r w:rsidRPr="007D7F1C" w:rsidR="00AB3E32">
        <w:rPr>
          <w:rFonts w:ascii="Times New Roman" w:hAnsi="Times New Roman" w:cs="Times New Roman"/>
          <w:sz w:val="24"/>
          <w:szCs w:val="24"/>
        </w:rPr>
        <w:t>, and</w:t>
      </w:r>
      <w:r w:rsidRPr="007D7F1C" w:rsidR="009561A1">
        <w:rPr>
          <w:rFonts w:ascii="Times New Roman" w:hAnsi="Times New Roman" w:cs="Times New Roman"/>
          <w:sz w:val="24"/>
          <w:szCs w:val="24"/>
        </w:rPr>
        <w:t xml:space="preserve"> </w:t>
      </w:r>
      <w:r w:rsidRPr="007D7F1C" w:rsidR="0084592A">
        <w:rPr>
          <w:rFonts w:ascii="Times New Roman" w:hAnsi="Times New Roman" w:cs="Times New Roman"/>
          <w:sz w:val="24"/>
          <w:szCs w:val="24"/>
        </w:rPr>
        <w:t>E</w:t>
      </w:r>
      <w:r w:rsidRPr="007D7F1C" w:rsidR="009561A1">
        <w:rPr>
          <w:rFonts w:ascii="Times New Roman" w:hAnsi="Times New Roman" w:cs="Times New Roman"/>
          <w:sz w:val="24"/>
          <w:szCs w:val="24"/>
        </w:rPr>
        <w:t>3</w:t>
      </w:r>
      <w:r w:rsidRPr="007D7F1C" w:rsidR="00AB3E32">
        <w:rPr>
          <w:rFonts w:ascii="Times New Roman" w:hAnsi="Times New Roman" w:cs="Times New Roman"/>
          <w:sz w:val="24"/>
          <w:szCs w:val="24"/>
        </w:rPr>
        <w:t>)</w:t>
      </w:r>
      <w:r w:rsidRPr="00954679" w:rsidR="00AB3E32">
        <w:rPr>
          <w:rFonts w:ascii="Times New Roman" w:hAnsi="Times New Roman" w:cs="Times New Roman"/>
          <w:sz w:val="24"/>
          <w:szCs w:val="24"/>
        </w:rPr>
        <w:t xml:space="preserve"> A summary of the reviewer comments and the response of the research team is provided in </w:t>
      </w:r>
      <w:r w:rsidRPr="007D7F1C" w:rsidR="00AB3E32">
        <w:rPr>
          <w:rFonts w:ascii="Times New Roman" w:hAnsi="Times New Roman" w:cs="Times New Roman"/>
          <w:sz w:val="24"/>
          <w:szCs w:val="24"/>
        </w:rPr>
        <w:t>Attachment</w:t>
      </w:r>
      <w:r w:rsidRPr="007D7F1C" w:rsidR="0057016F">
        <w:rPr>
          <w:rFonts w:ascii="Times New Roman" w:hAnsi="Times New Roman" w:cs="Times New Roman"/>
          <w:sz w:val="24"/>
          <w:szCs w:val="24"/>
        </w:rPr>
        <w:t xml:space="preserve"> </w:t>
      </w:r>
      <w:r w:rsidRPr="007D7F1C" w:rsidR="0084592A">
        <w:rPr>
          <w:rFonts w:ascii="Times New Roman" w:hAnsi="Times New Roman" w:cs="Times New Roman"/>
          <w:sz w:val="24"/>
          <w:szCs w:val="24"/>
        </w:rPr>
        <w:t>F</w:t>
      </w:r>
      <w:r w:rsidRPr="00954679" w:rsidR="00BB2A05">
        <w:rPr>
          <w:rFonts w:ascii="Times New Roman" w:hAnsi="Times New Roman" w:cs="Times New Roman"/>
          <w:sz w:val="24"/>
          <w:szCs w:val="24"/>
        </w:rPr>
        <w:t>.</w:t>
      </w:r>
      <w:r w:rsidR="000F5691">
        <w:rPr>
          <w:rFonts w:ascii="Times New Roman" w:hAnsi="Times New Roman" w:cs="Times New Roman"/>
          <w:sz w:val="24"/>
          <w:szCs w:val="24"/>
        </w:rPr>
        <w:t xml:space="preserve"> </w:t>
      </w:r>
      <w:r w:rsidR="00450B80">
        <w:rPr>
          <w:rFonts w:ascii="Times New Roman" w:hAnsi="Times New Roman" w:cs="Times New Roman"/>
          <w:sz w:val="24"/>
          <w:szCs w:val="24"/>
        </w:rPr>
        <w:t xml:space="preserve">The peer reviewers were </w:t>
      </w:r>
      <w:r w:rsidR="00450B80">
        <w:rPr>
          <w:rFonts w:ascii="Times New Roman" w:hAnsi="Times New Roman" w:cs="Times New Roman"/>
          <w:sz w:val="24"/>
          <w:szCs w:val="24"/>
        </w:rPr>
        <w:t>Sarah Jacobson, Associate Professor of Economics, Williams College, (413) 597-4766</w:t>
      </w:r>
      <w:r w:rsidR="00450B80">
        <w:rPr>
          <w:rFonts w:ascii="Times New Roman" w:hAnsi="Times New Roman" w:cs="Times New Roman"/>
          <w:sz w:val="24"/>
          <w:szCs w:val="24"/>
        </w:rPr>
        <w:t xml:space="preserve">, </w:t>
      </w:r>
      <w:r w:rsidR="00450B80">
        <w:rPr>
          <w:rFonts w:ascii="Times New Roman" w:hAnsi="Times New Roman" w:cs="Times New Roman"/>
          <w:sz w:val="24"/>
          <w:szCs w:val="24"/>
        </w:rPr>
        <w:t>Zedekiah Higgs, Research Assistant, University of Maryland</w:t>
      </w:r>
      <w:r w:rsidR="00450B80">
        <w:rPr>
          <w:rFonts w:ascii="Times New Roman" w:hAnsi="Times New Roman" w:cs="Times New Roman"/>
          <w:sz w:val="24"/>
          <w:szCs w:val="24"/>
        </w:rPr>
        <w:t xml:space="preserve">, and </w:t>
      </w:r>
      <w:r w:rsidR="00450B80">
        <w:rPr>
          <w:rFonts w:ascii="Times New Roman" w:hAnsi="Times New Roman" w:cs="Times New Roman"/>
          <w:sz w:val="24"/>
          <w:szCs w:val="24"/>
        </w:rPr>
        <w:t>Andrew Card, Research Assistant, University of Maryland</w:t>
      </w:r>
      <w:r w:rsidR="00450B80">
        <w:rPr>
          <w:rFonts w:ascii="Times New Roman" w:hAnsi="Times New Roman" w:cs="Times New Roman"/>
          <w:sz w:val="24"/>
          <w:szCs w:val="24"/>
        </w:rPr>
        <w:t xml:space="preserve">.  The latter two reviewers can be reached through </w:t>
      </w:r>
      <w:r w:rsidR="00450B80">
        <w:rPr>
          <w:rFonts w:ascii="Times New Roman" w:hAnsi="Times New Roman" w:cs="Times New Roman"/>
          <w:sz w:val="24"/>
          <w:szCs w:val="24"/>
        </w:rPr>
        <w:t>Loretta Lynch, Chair of Agriculture and Resource Economics Department, Professor of Economics, University of Maryland, (301) 405-1264</w:t>
      </w:r>
      <w:r w:rsidR="00450B80">
        <w:rPr>
          <w:rFonts w:ascii="Times New Roman" w:hAnsi="Times New Roman" w:cs="Times New Roman"/>
          <w:sz w:val="24"/>
          <w:szCs w:val="24"/>
        </w:rPr>
        <w:t>, who coordinated those two reviews</w:t>
      </w:r>
      <w:r w:rsidR="00450B80">
        <w:rPr>
          <w:rFonts w:ascii="Times New Roman" w:hAnsi="Times New Roman" w:cs="Times New Roman"/>
          <w:sz w:val="24"/>
          <w:szCs w:val="24"/>
        </w:rPr>
        <w:t>.</w:t>
      </w:r>
    </w:p>
    <w:p w:rsidRPr="00954679" w:rsidR="0046218E" w:rsidP="0046218E" w:rsidRDefault="0046218E" w14:paraId="0943CDEF" w14:textId="0A606B2C">
      <w:pPr>
        <w:rPr>
          <w:rFonts w:ascii="Times New Roman" w:hAnsi="Times New Roman" w:cs="Times New Roman"/>
          <w:b/>
          <w:bCs/>
          <w:sz w:val="24"/>
          <w:szCs w:val="24"/>
        </w:rPr>
      </w:pPr>
      <w:r w:rsidRPr="00954679">
        <w:rPr>
          <w:rFonts w:ascii="Times New Roman" w:hAnsi="Times New Roman" w:cs="Times New Roman"/>
          <w:b/>
          <w:bCs/>
          <w:sz w:val="24"/>
          <w:szCs w:val="24"/>
        </w:rPr>
        <w:t>Planned Outreach</w:t>
      </w:r>
    </w:p>
    <w:p w:rsidRPr="00954679" w:rsidR="009561A1" w:rsidP="0046218E" w:rsidRDefault="00BB2A05" w14:paraId="2CD53F4C" w14:textId="0EBBF6F1">
      <w:pPr>
        <w:rPr>
          <w:rFonts w:ascii="Times New Roman" w:hAnsi="Times New Roman" w:cs="Times New Roman"/>
          <w:sz w:val="24"/>
          <w:szCs w:val="24"/>
        </w:rPr>
      </w:pPr>
      <w:r w:rsidRPr="00954679">
        <w:rPr>
          <w:rFonts w:ascii="Times New Roman" w:hAnsi="Times New Roman" w:cs="Times New Roman"/>
          <w:sz w:val="24"/>
          <w:szCs w:val="24"/>
        </w:rPr>
        <w:t>The study will not be promoted beyond the recruitment materials.  ERS and FSA will communicate the existence of the study to the county offices in case farmers have questions</w:t>
      </w:r>
      <w:r w:rsidR="00D71112">
        <w:rPr>
          <w:rFonts w:ascii="Times New Roman" w:hAnsi="Times New Roman" w:cs="Times New Roman"/>
          <w:sz w:val="24"/>
          <w:szCs w:val="24"/>
        </w:rPr>
        <w:t xml:space="preserve"> and</w:t>
      </w:r>
      <w:r w:rsidRPr="00954679">
        <w:rPr>
          <w:rFonts w:ascii="Times New Roman" w:hAnsi="Times New Roman" w:cs="Times New Roman"/>
          <w:sz w:val="24"/>
          <w:szCs w:val="24"/>
        </w:rPr>
        <w:t xml:space="preserve"> provide a phone number in the recruitment materials.</w:t>
      </w:r>
      <w:r w:rsidRPr="00954679" w:rsidR="009561A1">
        <w:rPr>
          <w:rFonts w:ascii="Times New Roman" w:hAnsi="Times New Roman" w:cs="Times New Roman"/>
          <w:sz w:val="24"/>
          <w:szCs w:val="24"/>
        </w:rPr>
        <w:t xml:space="preserve">  Farmers will be recruited</w:t>
      </w:r>
      <w:r w:rsidR="00153849">
        <w:rPr>
          <w:rFonts w:ascii="Times New Roman" w:hAnsi="Times New Roman" w:cs="Times New Roman"/>
          <w:sz w:val="24"/>
          <w:szCs w:val="24"/>
        </w:rPr>
        <w:t xml:space="preserve"> from list of prior CRP General Signup participants</w:t>
      </w:r>
      <w:r w:rsidRPr="00954679" w:rsidR="009561A1">
        <w:rPr>
          <w:rFonts w:ascii="Times New Roman" w:hAnsi="Times New Roman" w:cs="Times New Roman"/>
          <w:sz w:val="24"/>
          <w:szCs w:val="24"/>
        </w:rPr>
        <w:t xml:space="preserve"> using a priming postcard, a primary letter containing their log-in code, and </w:t>
      </w:r>
      <w:r w:rsidRPr="00954679" w:rsidR="00AB3E32">
        <w:rPr>
          <w:rFonts w:ascii="Times New Roman" w:hAnsi="Times New Roman" w:cs="Times New Roman"/>
          <w:sz w:val="24"/>
          <w:szCs w:val="24"/>
        </w:rPr>
        <w:t>up to two</w:t>
      </w:r>
      <w:r w:rsidRPr="00954679" w:rsidR="009561A1">
        <w:rPr>
          <w:rFonts w:ascii="Times New Roman" w:hAnsi="Times New Roman" w:cs="Times New Roman"/>
          <w:sz w:val="24"/>
          <w:szCs w:val="24"/>
        </w:rPr>
        <w:t xml:space="preserve"> follow-up postcard</w:t>
      </w:r>
      <w:r w:rsidRPr="00954679" w:rsidR="00AB3E32">
        <w:rPr>
          <w:rFonts w:ascii="Times New Roman" w:hAnsi="Times New Roman" w:cs="Times New Roman"/>
          <w:sz w:val="24"/>
          <w:szCs w:val="24"/>
        </w:rPr>
        <w:t>s</w:t>
      </w:r>
      <w:r w:rsidRPr="00954679" w:rsidR="009561A1">
        <w:rPr>
          <w:rFonts w:ascii="Times New Roman" w:hAnsi="Times New Roman" w:cs="Times New Roman"/>
          <w:sz w:val="24"/>
          <w:szCs w:val="24"/>
        </w:rPr>
        <w:t xml:space="preserve">.  </w:t>
      </w:r>
      <w:r w:rsidRPr="007D7F1C" w:rsidR="009561A1">
        <w:rPr>
          <w:rFonts w:ascii="Times New Roman" w:hAnsi="Times New Roman" w:cs="Times New Roman"/>
          <w:sz w:val="24"/>
          <w:szCs w:val="24"/>
        </w:rPr>
        <w:t xml:space="preserve">The recruitment materials are shown in attachment </w:t>
      </w:r>
      <w:r w:rsidRPr="007D7F1C" w:rsidR="0084592A">
        <w:rPr>
          <w:rFonts w:ascii="Times New Roman" w:hAnsi="Times New Roman" w:cs="Times New Roman"/>
          <w:sz w:val="24"/>
          <w:szCs w:val="24"/>
        </w:rPr>
        <w:t>G</w:t>
      </w:r>
      <w:r w:rsidRPr="007D7F1C" w:rsidR="009561A1">
        <w:rPr>
          <w:rFonts w:ascii="Times New Roman" w:hAnsi="Times New Roman" w:cs="Times New Roman"/>
          <w:sz w:val="24"/>
          <w:szCs w:val="24"/>
        </w:rPr>
        <w:t>.</w:t>
      </w:r>
      <w:r w:rsidRPr="00954679" w:rsidR="00CA0C52">
        <w:rPr>
          <w:rFonts w:ascii="Times New Roman" w:hAnsi="Times New Roman" w:cs="Times New Roman"/>
          <w:sz w:val="24"/>
          <w:szCs w:val="24"/>
        </w:rPr>
        <w:t xml:space="preserve"> </w:t>
      </w:r>
    </w:p>
    <w:p w:rsidRPr="00954679" w:rsidR="0046218E" w:rsidP="00E648B4" w:rsidRDefault="00E648B4" w14:paraId="66DA68C7" w14:textId="033B9110">
      <w:pPr>
        <w:rPr>
          <w:rFonts w:ascii="Times New Roman" w:hAnsi="Times New Roman" w:cs="Times New Roman"/>
          <w:b/>
          <w:bCs/>
          <w:sz w:val="24"/>
          <w:szCs w:val="24"/>
        </w:rPr>
      </w:pPr>
      <w:r w:rsidRPr="00954679">
        <w:rPr>
          <w:rFonts w:ascii="Times New Roman" w:hAnsi="Times New Roman" w:cs="Times New Roman"/>
          <w:b/>
          <w:bCs/>
          <w:sz w:val="24"/>
          <w:szCs w:val="24"/>
        </w:rPr>
        <w:t xml:space="preserve">9: </w:t>
      </w:r>
      <w:r w:rsidRPr="00954679" w:rsidR="0046218E">
        <w:rPr>
          <w:rFonts w:ascii="Times New Roman" w:hAnsi="Times New Roman" w:cs="Times New Roman"/>
          <w:b/>
          <w:bCs/>
          <w:sz w:val="24"/>
          <w:szCs w:val="24"/>
        </w:rPr>
        <w:t>Explain any decision to provide any payment or gift to respondents.</w:t>
      </w:r>
    </w:p>
    <w:p w:rsidRPr="00954679" w:rsidR="008F271D" w:rsidP="0046218E" w:rsidRDefault="00BB2A05" w14:paraId="15C9E50F" w14:textId="1C7E1FC5">
      <w:pPr>
        <w:rPr>
          <w:rFonts w:ascii="Times New Roman" w:hAnsi="Times New Roman" w:cs="Times New Roman"/>
          <w:sz w:val="24"/>
          <w:szCs w:val="24"/>
        </w:rPr>
      </w:pPr>
      <w:r w:rsidRPr="00954679">
        <w:rPr>
          <w:rFonts w:ascii="Times New Roman" w:hAnsi="Times New Roman" w:cs="Times New Roman"/>
          <w:sz w:val="24"/>
          <w:szCs w:val="24"/>
        </w:rPr>
        <w:t xml:space="preserve">Participants in this study will receive a final payment that is a combination of a </w:t>
      </w:r>
      <w:r w:rsidRPr="00954679" w:rsidR="00ED747F">
        <w:rPr>
          <w:rFonts w:ascii="Times New Roman" w:hAnsi="Times New Roman" w:cs="Times New Roman"/>
          <w:sz w:val="24"/>
          <w:szCs w:val="24"/>
        </w:rPr>
        <w:t>participation payment</w:t>
      </w:r>
      <w:r w:rsidRPr="00954679" w:rsidR="00954057">
        <w:rPr>
          <w:rFonts w:ascii="Times New Roman" w:hAnsi="Times New Roman" w:cs="Times New Roman"/>
          <w:sz w:val="24"/>
          <w:szCs w:val="24"/>
        </w:rPr>
        <w:t xml:space="preserve"> </w:t>
      </w:r>
      <w:r w:rsidRPr="00954679" w:rsidR="00ED747F">
        <w:rPr>
          <w:rFonts w:ascii="Times New Roman" w:hAnsi="Times New Roman" w:cs="Times New Roman"/>
          <w:sz w:val="24"/>
          <w:szCs w:val="24"/>
        </w:rPr>
        <w:t>and an incentive payment.</w:t>
      </w:r>
      <w:r w:rsidRPr="00954679" w:rsidR="008E08F4">
        <w:rPr>
          <w:rFonts w:ascii="Times New Roman" w:hAnsi="Times New Roman" w:cs="Times New Roman"/>
          <w:sz w:val="24"/>
          <w:szCs w:val="24"/>
        </w:rPr>
        <w:t xml:space="preserve"> </w:t>
      </w:r>
      <w:r w:rsidRPr="007D7F1C" w:rsidR="008E08F4">
        <w:rPr>
          <w:rFonts w:ascii="Times New Roman" w:hAnsi="Times New Roman" w:cs="Times New Roman"/>
          <w:sz w:val="24"/>
          <w:szCs w:val="24"/>
        </w:rPr>
        <w:t>ERS has used payments as part of the study design in prior work (e.g.: OMB Control Number 0536-0076).  Under the approval for that study</w:t>
      </w:r>
      <w:r w:rsidR="00973F4D">
        <w:rPr>
          <w:rFonts w:ascii="Times New Roman" w:hAnsi="Times New Roman" w:cs="Times New Roman"/>
          <w:sz w:val="24"/>
          <w:szCs w:val="24"/>
        </w:rPr>
        <w:t>, which has since expired</w:t>
      </w:r>
      <w:r w:rsidRPr="007D7F1C" w:rsidR="008E08F4">
        <w:rPr>
          <w:rFonts w:ascii="Times New Roman" w:hAnsi="Times New Roman" w:cs="Times New Roman"/>
          <w:sz w:val="24"/>
          <w:szCs w:val="24"/>
        </w:rPr>
        <w:t>, ERS completed an extensive review of the use of payments for economic experiments (Attachment H).</w:t>
      </w:r>
    </w:p>
    <w:p w:rsidRPr="00954679" w:rsidR="008F271D" w:rsidP="0046218E" w:rsidRDefault="00B8245C" w14:paraId="70CD706A" w14:textId="604A1A98">
      <w:pPr>
        <w:rPr>
          <w:rFonts w:ascii="Times New Roman" w:hAnsi="Times New Roman" w:cs="Times New Roman"/>
          <w:sz w:val="24"/>
          <w:szCs w:val="24"/>
        </w:rPr>
      </w:pPr>
      <w:r w:rsidRPr="00954679">
        <w:rPr>
          <w:rFonts w:ascii="Times New Roman" w:hAnsi="Times New Roman" w:cs="Times New Roman"/>
          <w:sz w:val="24"/>
          <w:szCs w:val="24"/>
        </w:rPr>
        <w:t xml:space="preserve">Participant payments </w:t>
      </w:r>
      <w:r w:rsidRPr="00954679" w:rsidR="00E6105D">
        <w:rPr>
          <w:rFonts w:ascii="Times New Roman" w:hAnsi="Times New Roman" w:cs="Times New Roman"/>
          <w:sz w:val="24"/>
          <w:szCs w:val="24"/>
        </w:rPr>
        <w:t xml:space="preserve">can be used </w:t>
      </w:r>
      <w:r w:rsidRPr="00954679">
        <w:rPr>
          <w:rFonts w:ascii="Times New Roman" w:hAnsi="Times New Roman" w:cs="Times New Roman"/>
          <w:sz w:val="24"/>
          <w:szCs w:val="24"/>
        </w:rPr>
        <w:t xml:space="preserve">to increase response rates. </w:t>
      </w:r>
      <w:r w:rsidR="003F5B11">
        <w:rPr>
          <w:rFonts w:ascii="Times New Roman" w:hAnsi="Times New Roman" w:cs="Times New Roman"/>
          <w:sz w:val="24"/>
          <w:szCs w:val="24"/>
        </w:rPr>
        <w:t xml:space="preserve"> </w:t>
      </w:r>
      <w:r w:rsidRPr="00954679" w:rsidR="008F271D">
        <w:rPr>
          <w:rFonts w:ascii="Times New Roman" w:hAnsi="Times New Roman" w:cs="Times New Roman"/>
          <w:sz w:val="24"/>
          <w:szCs w:val="24"/>
        </w:rPr>
        <w:t>For enumerated surveys, they are most effective at increasing response rate</w:t>
      </w:r>
      <w:r w:rsidRPr="00954679" w:rsidR="00E6105D">
        <w:rPr>
          <w:rFonts w:ascii="Times New Roman" w:hAnsi="Times New Roman" w:cs="Times New Roman"/>
          <w:sz w:val="24"/>
          <w:szCs w:val="24"/>
        </w:rPr>
        <w:t>s</w:t>
      </w:r>
      <w:r w:rsidRPr="00954679" w:rsidR="008F271D">
        <w:rPr>
          <w:rFonts w:ascii="Times New Roman" w:hAnsi="Times New Roman" w:cs="Times New Roman"/>
          <w:sz w:val="24"/>
          <w:szCs w:val="24"/>
        </w:rPr>
        <w:t xml:space="preserve"> when baselines response rates are low (Singer et al. 1999).  While this study is not enumerated, recent </w:t>
      </w:r>
      <w:r w:rsidRPr="00954679" w:rsidR="00954057">
        <w:rPr>
          <w:rFonts w:ascii="Times New Roman" w:hAnsi="Times New Roman" w:cs="Times New Roman"/>
          <w:sz w:val="24"/>
          <w:szCs w:val="24"/>
        </w:rPr>
        <w:t>studies</w:t>
      </w:r>
      <w:r w:rsidRPr="00954679" w:rsidR="008F271D">
        <w:rPr>
          <w:rFonts w:ascii="Times New Roman" w:hAnsi="Times New Roman" w:cs="Times New Roman"/>
          <w:sz w:val="24"/>
          <w:szCs w:val="24"/>
        </w:rPr>
        <w:t xml:space="preserve"> </w:t>
      </w:r>
      <w:r w:rsidRPr="00954679" w:rsidR="00954057">
        <w:rPr>
          <w:rFonts w:ascii="Times New Roman" w:hAnsi="Times New Roman" w:cs="Times New Roman"/>
          <w:sz w:val="24"/>
          <w:szCs w:val="24"/>
        </w:rPr>
        <w:t xml:space="preserve">using </w:t>
      </w:r>
      <w:r w:rsidRPr="00954679" w:rsidR="008F271D">
        <w:rPr>
          <w:rFonts w:ascii="Times New Roman" w:hAnsi="Times New Roman" w:cs="Times New Roman"/>
          <w:sz w:val="24"/>
          <w:szCs w:val="24"/>
        </w:rPr>
        <w:t xml:space="preserve">lab-in-the-field experiments with farmers typically </w:t>
      </w:r>
      <w:r w:rsidRPr="00954679" w:rsidR="00954057">
        <w:rPr>
          <w:rFonts w:ascii="Times New Roman" w:hAnsi="Times New Roman" w:cs="Times New Roman"/>
          <w:sz w:val="24"/>
          <w:szCs w:val="24"/>
        </w:rPr>
        <w:t>have</w:t>
      </w:r>
      <w:r w:rsidRPr="00954679" w:rsidR="008F271D">
        <w:rPr>
          <w:rFonts w:ascii="Times New Roman" w:hAnsi="Times New Roman" w:cs="Times New Roman"/>
          <w:sz w:val="24"/>
          <w:szCs w:val="24"/>
        </w:rPr>
        <w:t xml:space="preserve"> </w:t>
      </w:r>
      <w:r w:rsidRPr="00954679" w:rsidR="00954057">
        <w:rPr>
          <w:rFonts w:ascii="Times New Roman" w:hAnsi="Times New Roman" w:cs="Times New Roman"/>
          <w:sz w:val="24"/>
          <w:szCs w:val="24"/>
        </w:rPr>
        <w:t>low</w:t>
      </w:r>
      <w:r w:rsidRPr="00954679" w:rsidR="008F271D">
        <w:rPr>
          <w:rFonts w:ascii="Times New Roman" w:hAnsi="Times New Roman" w:cs="Times New Roman"/>
          <w:sz w:val="24"/>
          <w:szCs w:val="24"/>
        </w:rPr>
        <w:t xml:space="preserve"> response rates</w:t>
      </w:r>
      <w:r w:rsidRPr="00954679" w:rsidR="007A1BED">
        <w:rPr>
          <w:rFonts w:ascii="Times New Roman" w:hAnsi="Times New Roman" w:cs="Times New Roman"/>
          <w:sz w:val="24"/>
          <w:szCs w:val="24"/>
        </w:rPr>
        <w:t xml:space="preserve"> (Weigel et al. 2021)</w:t>
      </w:r>
      <w:r w:rsidRPr="00954679" w:rsidR="008F271D">
        <w:rPr>
          <w:rFonts w:ascii="Times New Roman" w:hAnsi="Times New Roman" w:cs="Times New Roman"/>
          <w:sz w:val="24"/>
          <w:szCs w:val="24"/>
        </w:rPr>
        <w:t xml:space="preserve">. </w:t>
      </w:r>
      <w:r w:rsidR="003F5B11">
        <w:rPr>
          <w:rFonts w:ascii="Times New Roman" w:hAnsi="Times New Roman" w:cs="Times New Roman"/>
          <w:sz w:val="24"/>
          <w:szCs w:val="24"/>
        </w:rPr>
        <w:t xml:space="preserve"> </w:t>
      </w:r>
      <w:r w:rsidRPr="00954679" w:rsidR="00954057">
        <w:rPr>
          <w:rFonts w:ascii="Times New Roman" w:hAnsi="Times New Roman" w:cs="Times New Roman"/>
          <w:sz w:val="24"/>
          <w:szCs w:val="24"/>
        </w:rPr>
        <w:t>Th</w:t>
      </w:r>
      <w:r w:rsidRPr="00954679" w:rsidR="007A1BED">
        <w:rPr>
          <w:rFonts w:ascii="Times New Roman" w:hAnsi="Times New Roman" w:cs="Times New Roman"/>
          <w:sz w:val="24"/>
          <w:szCs w:val="24"/>
        </w:rPr>
        <w:t xml:space="preserve">is study uses a minimum payment (“show-up fee”) of $10 for farmers.  </w:t>
      </w:r>
      <w:r w:rsidRPr="00954679" w:rsidR="00613E10">
        <w:rPr>
          <w:rFonts w:ascii="Times New Roman" w:hAnsi="Times New Roman" w:cs="Times New Roman"/>
          <w:sz w:val="24"/>
          <w:szCs w:val="24"/>
        </w:rPr>
        <w:t xml:space="preserve">Approximately 20 percent of the total payments </w:t>
      </w:r>
      <w:r w:rsidRPr="00954679" w:rsidR="008E08F4">
        <w:rPr>
          <w:rFonts w:ascii="Times New Roman" w:hAnsi="Times New Roman" w:cs="Times New Roman"/>
          <w:sz w:val="24"/>
          <w:szCs w:val="24"/>
        </w:rPr>
        <w:t xml:space="preserve">in this study </w:t>
      </w:r>
      <w:r w:rsidRPr="00954679" w:rsidR="00613E10">
        <w:rPr>
          <w:rFonts w:ascii="Times New Roman" w:hAnsi="Times New Roman" w:cs="Times New Roman"/>
          <w:sz w:val="24"/>
          <w:szCs w:val="24"/>
        </w:rPr>
        <w:t>will go toward the participation payment.</w:t>
      </w:r>
    </w:p>
    <w:p w:rsidRPr="00954679" w:rsidR="00B8245C" w:rsidP="00266505" w:rsidRDefault="00F355C2" w14:paraId="4AC67C39" w14:textId="4EC2954A">
      <w:pPr>
        <w:rPr>
          <w:rFonts w:ascii="Times New Roman" w:hAnsi="Times New Roman" w:cs="Times New Roman"/>
          <w:sz w:val="24"/>
          <w:szCs w:val="24"/>
        </w:rPr>
      </w:pPr>
      <w:r w:rsidRPr="00954679">
        <w:rPr>
          <w:rFonts w:ascii="Times New Roman" w:hAnsi="Times New Roman" w:cs="Times New Roman"/>
          <w:sz w:val="24"/>
          <w:szCs w:val="24"/>
        </w:rPr>
        <w:t>P</w:t>
      </w:r>
      <w:r w:rsidRPr="00954679" w:rsidR="004A321B">
        <w:rPr>
          <w:rFonts w:ascii="Times New Roman" w:hAnsi="Times New Roman" w:cs="Times New Roman"/>
          <w:sz w:val="24"/>
          <w:szCs w:val="24"/>
        </w:rPr>
        <w:t>roviding incentive payment</w:t>
      </w:r>
      <w:r w:rsidRPr="00954679">
        <w:rPr>
          <w:rFonts w:ascii="Times New Roman" w:hAnsi="Times New Roman" w:cs="Times New Roman"/>
          <w:sz w:val="24"/>
          <w:szCs w:val="24"/>
        </w:rPr>
        <w:t>s</w:t>
      </w:r>
      <w:r w:rsidRPr="00954679" w:rsidR="004A321B">
        <w:rPr>
          <w:rFonts w:ascii="Times New Roman" w:hAnsi="Times New Roman" w:cs="Times New Roman"/>
          <w:sz w:val="24"/>
          <w:szCs w:val="24"/>
        </w:rPr>
        <w:t xml:space="preserve"> in </w:t>
      </w:r>
      <w:r w:rsidRPr="00954679">
        <w:rPr>
          <w:rFonts w:ascii="Times New Roman" w:hAnsi="Times New Roman" w:cs="Times New Roman"/>
          <w:sz w:val="24"/>
          <w:szCs w:val="24"/>
        </w:rPr>
        <w:t>economic</w:t>
      </w:r>
      <w:r w:rsidRPr="00954679" w:rsidR="004A321B">
        <w:rPr>
          <w:rFonts w:ascii="Times New Roman" w:hAnsi="Times New Roman" w:cs="Times New Roman"/>
          <w:sz w:val="24"/>
          <w:szCs w:val="24"/>
        </w:rPr>
        <w:t xml:space="preserve"> experiment</w:t>
      </w:r>
      <w:r w:rsidRPr="00954679">
        <w:rPr>
          <w:rFonts w:ascii="Times New Roman" w:hAnsi="Times New Roman" w:cs="Times New Roman"/>
          <w:sz w:val="24"/>
          <w:szCs w:val="24"/>
        </w:rPr>
        <w:t>s</w:t>
      </w:r>
      <w:r w:rsidRPr="00954679" w:rsidR="004A321B">
        <w:rPr>
          <w:rFonts w:ascii="Times New Roman" w:hAnsi="Times New Roman" w:cs="Times New Roman"/>
          <w:sz w:val="24"/>
          <w:szCs w:val="24"/>
        </w:rPr>
        <w:t xml:space="preserve"> is a</w:t>
      </w:r>
      <w:r w:rsidRPr="00954679">
        <w:rPr>
          <w:rFonts w:ascii="Times New Roman" w:hAnsi="Times New Roman" w:cs="Times New Roman"/>
          <w:sz w:val="24"/>
          <w:szCs w:val="24"/>
        </w:rPr>
        <w:t>n element of</w:t>
      </w:r>
      <w:r w:rsidRPr="00954679" w:rsidR="004A321B">
        <w:rPr>
          <w:rFonts w:ascii="Times New Roman" w:hAnsi="Times New Roman" w:cs="Times New Roman"/>
          <w:sz w:val="24"/>
          <w:szCs w:val="24"/>
        </w:rPr>
        <w:t xml:space="preserve"> study design </w:t>
      </w:r>
      <w:r w:rsidRPr="00954679">
        <w:rPr>
          <w:rFonts w:ascii="Times New Roman" w:hAnsi="Times New Roman" w:cs="Times New Roman"/>
          <w:sz w:val="24"/>
          <w:szCs w:val="24"/>
        </w:rPr>
        <w:t xml:space="preserve">intended to </w:t>
      </w:r>
      <w:r w:rsidR="00153849">
        <w:rPr>
          <w:rFonts w:ascii="Times New Roman" w:hAnsi="Times New Roman" w:cs="Times New Roman"/>
          <w:sz w:val="24"/>
          <w:szCs w:val="24"/>
        </w:rPr>
        <w:t>ensure</w:t>
      </w:r>
      <w:r w:rsidRPr="00954679">
        <w:rPr>
          <w:rFonts w:ascii="Times New Roman" w:hAnsi="Times New Roman" w:cs="Times New Roman"/>
          <w:sz w:val="24"/>
          <w:szCs w:val="24"/>
        </w:rPr>
        <w:t xml:space="preserve"> there is some </w:t>
      </w:r>
      <w:r w:rsidRPr="00954679" w:rsidR="004A321B">
        <w:rPr>
          <w:rFonts w:ascii="Times New Roman" w:hAnsi="Times New Roman" w:cs="Times New Roman"/>
          <w:sz w:val="24"/>
          <w:szCs w:val="24"/>
        </w:rPr>
        <w:t>form of pecuniary tradeoff</w:t>
      </w:r>
      <w:r w:rsidRPr="00954679">
        <w:rPr>
          <w:rFonts w:ascii="Times New Roman" w:hAnsi="Times New Roman" w:cs="Times New Roman"/>
          <w:sz w:val="24"/>
          <w:szCs w:val="24"/>
        </w:rPr>
        <w:t xml:space="preserve"> serving as an analog to the </w:t>
      </w:r>
      <w:r w:rsidRPr="00954679" w:rsidR="003A3806">
        <w:rPr>
          <w:rFonts w:ascii="Times New Roman" w:hAnsi="Times New Roman" w:cs="Times New Roman"/>
          <w:sz w:val="24"/>
          <w:szCs w:val="24"/>
        </w:rPr>
        <w:t>real-world</w:t>
      </w:r>
      <w:r w:rsidRPr="00954679">
        <w:rPr>
          <w:rFonts w:ascii="Times New Roman" w:hAnsi="Times New Roman" w:cs="Times New Roman"/>
          <w:sz w:val="24"/>
          <w:szCs w:val="24"/>
        </w:rPr>
        <w:t xml:space="preserve"> tradeoff that is the basis for the research questions.</w:t>
      </w:r>
      <w:r w:rsidRPr="00954679" w:rsidR="004A321B">
        <w:rPr>
          <w:rFonts w:ascii="Times New Roman" w:hAnsi="Times New Roman" w:cs="Times New Roman"/>
          <w:sz w:val="24"/>
          <w:szCs w:val="24"/>
        </w:rPr>
        <w:t xml:space="preserve"> </w:t>
      </w:r>
      <w:r w:rsidR="003F5B11">
        <w:rPr>
          <w:rFonts w:ascii="Times New Roman" w:hAnsi="Times New Roman" w:cs="Times New Roman"/>
          <w:sz w:val="24"/>
          <w:szCs w:val="24"/>
        </w:rPr>
        <w:t xml:space="preserve"> </w:t>
      </w:r>
      <w:r w:rsidRPr="00954679" w:rsidR="00B8245C">
        <w:rPr>
          <w:rFonts w:ascii="Times New Roman" w:hAnsi="Times New Roman" w:cs="Times New Roman"/>
          <w:sz w:val="24"/>
          <w:szCs w:val="24"/>
        </w:rPr>
        <w:t xml:space="preserve">Incentive payments </w:t>
      </w:r>
      <w:r w:rsidRPr="00954679" w:rsidR="00E6105D">
        <w:rPr>
          <w:rFonts w:ascii="Times New Roman" w:hAnsi="Times New Roman" w:cs="Times New Roman"/>
          <w:sz w:val="24"/>
          <w:szCs w:val="24"/>
        </w:rPr>
        <w:t xml:space="preserve">are </w:t>
      </w:r>
      <w:r w:rsidRPr="00954679" w:rsidR="001B7EEC">
        <w:rPr>
          <w:rFonts w:ascii="Times New Roman" w:hAnsi="Times New Roman" w:cs="Times New Roman"/>
          <w:sz w:val="24"/>
          <w:szCs w:val="24"/>
        </w:rPr>
        <w:t>commonly</w:t>
      </w:r>
      <w:r w:rsidRPr="00954679" w:rsidR="00E6105D">
        <w:rPr>
          <w:rFonts w:ascii="Times New Roman" w:hAnsi="Times New Roman" w:cs="Times New Roman"/>
          <w:sz w:val="24"/>
          <w:szCs w:val="24"/>
        </w:rPr>
        <w:t xml:space="preserve"> used in </w:t>
      </w:r>
      <w:r w:rsidRPr="00954679" w:rsidR="001B7EEC">
        <w:rPr>
          <w:rFonts w:ascii="Times New Roman" w:hAnsi="Times New Roman" w:cs="Times New Roman"/>
          <w:sz w:val="24"/>
          <w:szCs w:val="24"/>
        </w:rPr>
        <w:t xml:space="preserve">economic lab experiments </w:t>
      </w:r>
      <w:r w:rsidRPr="00954679" w:rsidR="00E6105D">
        <w:rPr>
          <w:rFonts w:ascii="Times New Roman" w:hAnsi="Times New Roman" w:cs="Times New Roman"/>
          <w:sz w:val="24"/>
          <w:szCs w:val="24"/>
        </w:rPr>
        <w:t xml:space="preserve">to reduce </w:t>
      </w:r>
      <w:r w:rsidRPr="00954679" w:rsidR="001B7EEC">
        <w:rPr>
          <w:rFonts w:ascii="Times New Roman" w:hAnsi="Times New Roman" w:cs="Times New Roman"/>
          <w:sz w:val="24"/>
          <w:szCs w:val="24"/>
        </w:rPr>
        <w:t xml:space="preserve">the risk of </w:t>
      </w:r>
      <w:r w:rsidRPr="00954679" w:rsidR="00E6105D">
        <w:rPr>
          <w:rFonts w:ascii="Times New Roman" w:hAnsi="Times New Roman" w:cs="Times New Roman"/>
          <w:sz w:val="24"/>
          <w:szCs w:val="24"/>
        </w:rPr>
        <w:t>hypothetical bias</w:t>
      </w:r>
      <w:r w:rsidRPr="00954679" w:rsidR="008E08F4">
        <w:rPr>
          <w:rFonts w:ascii="Times New Roman" w:hAnsi="Times New Roman" w:cs="Times New Roman"/>
          <w:sz w:val="24"/>
          <w:szCs w:val="24"/>
        </w:rPr>
        <w:t>.</w:t>
      </w:r>
      <w:r w:rsidR="003F5B11">
        <w:rPr>
          <w:rFonts w:ascii="Times New Roman" w:hAnsi="Times New Roman" w:cs="Times New Roman"/>
          <w:sz w:val="24"/>
          <w:szCs w:val="24"/>
        </w:rPr>
        <w:t xml:space="preserve"> </w:t>
      </w:r>
      <w:r w:rsidRPr="00954679">
        <w:rPr>
          <w:rFonts w:ascii="Times New Roman" w:hAnsi="Times New Roman" w:cs="Times New Roman"/>
          <w:sz w:val="24"/>
          <w:szCs w:val="24"/>
        </w:rPr>
        <w:t xml:space="preserve"> If participants treat the study scenarios as </w:t>
      </w:r>
      <w:r w:rsidRPr="00954679">
        <w:rPr>
          <w:rFonts w:ascii="Times New Roman" w:hAnsi="Times New Roman" w:cs="Times New Roman"/>
          <w:sz w:val="24"/>
          <w:szCs w:val="24"/>
        </w:rPr>
        <w:lastRenderedPageBreak/>
        <w:t>purely hypothetical scenarios with no consequences attached to their individual choices, then they will potentially try to meet other objectives when participating tha</w:t>
      </w:r>
      <w:r w:rsidR="00D6558A">
        <w:rPr>
          <w:rFonts w:ascii="Times New Roman" w:hAnsi="Times New Roman" w:cs="Times New Roman"/>
          <w:sz w:val="24"/>
          <w:szCs w:val="24"/>
        </w:rPr>
        <w:t>n</w:t>
      </w:r>
      <w:r w:rsidRPr="00954679">
        <w:rPr>
          <w:rFonts w:ascii="Times New Roman" w:hAnsi="Times New Roman" w:cs="Times New Roman"/>
          <w:sz w:val="24"/>
          <w:szCs w:val="24"/>
        </w:rPr>
        <w:t xml:space="preserve"> what is being asked in the study. For example</w:t>
      </w:r>
      <w:r w:rsidRPr="00954679" w:rsidR="006D6603">
        <w:rPr>
          <w:rFonts w:ascii="Times New Roman" w:hAnsi="Times New Roman" w:cs="Times New Roman"/>
          <w:sz w:val="24"/>
          <w:szCs w:val="24"/>
        </w:rPr>
        <w:t xml:space="preserve">, </w:t>
      </w:r>
      <w:r w:rsidRPr="00954679">
        <w:rPr>
          <w:rFonts w:ascii="Times New Roman" w:hAnsi="Times New Roman" w:cs="Times New Roman"/>
          <w:sz w:val="24"/>
          <w:szCs w:val="24"/>
        </w:rPr>
        <w:t xml:space="preserve">participants in </w:t>
      </w:r>
      <w:r w:rsidRPr="00954679" w:rsidR="006D6603">
        <w:rPr>
          <w:rFonts w:ascii="Times New Roman" w:hAnsi="Times New Roman" w:cs="Times New Roman"/>
          <w:sz w:val="24"/>
          <w:szCs w:val="24"/>
        </w:rPr>
        <w:t xml:space="preserve">real-world conservation auctions face </w:t>
      </w:r>
      <w:r w:rsidRPr="00954679">
        <w:rPr>
          <w:rFonts w:ascii="Times New Roman" w:hAnsi="Times New Roman" w:cs="Times New Roman"/>
          <w:sz w:val="24"/>
          <w:szCs w:val="24"/>
        </w:rPr>
        <w:t xml:space="preserve">a tradeoff between their net returns if they win the auction and the probability that their offer is accepted.  Empirical evidence using observational data from conservation auctions is consistent with this theory (Wallander et al. 2013). </w:t>
      </w:r>
      <w:r w:rsidRPr="00954679" w:rsidR="006D6603">
        <w:rPr>
          <w:rFonts w:ascii="Times New Roman" w:hAnsi="Times New Roman" w:cs="Times New Roman"/>
          <w:sz w:val="24"/>
          <w:szCs w:val="24"/>
        </w:rPr>
        <w:t>If a lab experiment of</w:t>
      </w:r>
      <w:r w:rsidRPr="00954679" w:rsidR="00266505">
        <w:rPr>
          <w:rFonts w:ascii="Times New Roman" w:hAnsi="Times New Roman" w:cs="Times New Roman"/>
          <w:sz w:val="24"/>
          <w:szCs w:val="24"/>
        </w:rPr>
        <w:t xml:space="preserve"> a</w:t>
      </w:r>
      <w:r w:rsidRPr="00954679" w:rsidR="006D6603">
        <w:rPr>
          <w:rFonts w:ascii="Times New Roman" w:hAnsi="Times New Roman" w:cs="Times New Roman"/>
          <w:sz w:val="24"/>
          <w:szCs w:val="24"/>
        </w:rPr>
        <w:t xml:space="preserve"> simulated auction did not include a</w:t>
      </w:r>
      <w:r w:rsidRPr="00954679" w:rsidR="00266505">
        <w:rPr>
          <w:rFonts w:ascii="Times New Roman" w:hAnsi="Times New Roman" w:cs="Times New Roman"/>
          <w:sz w:val="24"/>
          <w:szCs w:val="24"/>
        </w:rPr>
        <w:t>n incentive payment</w:t>
      </w:r>
      <w:r w:rsidRPr="00954679" w:rsidR="006D6603">
        <w:rPr>
          <w:rFonts w:ascii="Times New Roman" w:hAnsi="Times New Roman" w:cs="Times New Roman"/>
          <w:sz w:val="24"/>
          <w:szCs w:val="24"/>
        </w:rPr>
        <w:t xml:space="preserve">, then some participants might be more likely attempt </w:t>
      </w:r>
      <w:r w:rsidRPr="00954679">
        <w:rPr>
          <w:rFonts w:ascii="Times New Roman" w:hAnsi="Times New Roman" w:cs="Times New Roman"/>
          <w:sz w:val="24"/>
          <w:szCs w:val="24"/>
        </w:rPr>
        <w:t>to “win” the auction by simply trying to maximize the probability of acceptance rather than by trying to maximize the expected net return.</w:t>
      </w:r>
      <w:r w:rsidRPr="00954679" w:rsidR="006D6603">
        <w:rPr>
          <w:rFonts w:ascii="Times New Roman" w:hAnsi="Times New Roman" w:cs="Times New Roman"/>
          <w:sz w:val="24"/>
          <w:szCs w:val="24"/>
        </w:rPr>
        <w:t xml:space="preserve">  This would be expected to reduce the precision of any treatment effect estimates.  </w:t>
      </w:r>
      <w:r w:rsidRPr="00954679" w:rsidR="004A321B">
        <w:rPr>
          <w:rFonts w:ascii="Times New Roman" w:hAnsi="Times New Roman" w:cs="Times New Roman"/>
          <w:sz w:val="24"/>
          <w:szCs w:val="24"/>
        </w:rPr>
        <w:t xml:space="preserve">ERS’s review of payments for experimental studies found some evidence of less precision in treatment effect efforts for </w:t>
      </w:r>
      <w:r w:rsidRPr="00954679" w:rsidR="008E08F4">
        <w:rPr>
          <w:rFonts w:ascii="Times New Roman" w:hAnsi="Times New Roman" w:cs="Times New Roman"/>
          <w:sz w:val="24"/>
          <w:szCs w:val="24"/>
        </w:rPr>
        <w:t>stud</w:t>
      </w:r>
      <w:r w:rsidRPr="00954679" w:rsidR="004A321B">
        <w:rPr>
          <w:rFonts w:ascii="Times New Roman" w:hAnsi="Times New Roman" w:cs="Times New Roman"/>
          <w:sz w:val="24"/>
          <w:szCs w:val="24"/>
        </w:rPr>
        <w:t>ies</w:t>
      </w:r>
      <w:r w:rsidRPr="00954679" w:rsidR="008E08F4">
        <w:rPr>
          <w:rFonts w:ascii="Times New Roman" w:hAnsi="Times New Roman" w:cs="Times New Roman"/>
          <w:sz w:val="24"/>
          <w:szCs w:val="24"/>
        </w:rPr>
        <w:t xml:space="preserve"> in which participants </w:t>
      </w:r>
      <w:r w:rsidRPr="00954679" w:rsidR="004A321B">
        <w:rPr>
          <w:rFonts w:ascii="Times New Roman" w:hAnsi="Times New Roman" w:cs="Times New Roman"/>
          <w:sz w:val="24"/>
          <w:szCs w:val="24"/>
        </w:rPr>
        <w:t xml:space="preserve">have lower incentive payments </w:t>
      </w:r>
      <w:r w:rsidRPr="00954679" w:rsidR="00E6105D">
        <w:rPr>
          <w:rFonts w:ascii="Times New Roman" w:hAnsi="Times New Roman" w:cs="Times New Roman"/>
          <w:sz w:val="24"/>
          <w:szCs w:val="24"/>
        </w:rPr>
        <w:t xml:space="preserve">(Attachment H). </w:t>
      </w:r>
    </w:p>
    <w:p w:rsidRPr="00954679" w:rsidR="00F801B4" w:rsidP="0046218E" w:rsidRDefault="00266505" w14:paraId="218F34FE" w14:textId="1B53F76C">
      <w:pPr>
        <w:rPr>
          <w:rFonts w:ascii="Times New Roman" w:hAnsi="Times New Roman" w:cs="Times New Roman"/>
          <w:sz w:val="24"/>
          <w:szCs w:val="24"/>
        </w:rPr>
      </w:pPr>
      <w:r w:rsidRPr="00954679">
        <w:rPr>
          <w:rFonts w:ascii="Times New Roman" w:hAnsi="Times New Roman" w:cs="Times New Roman"/>
          <w:sz w:val="24"/>
          <w:szCs w:val="24"/>
        </w:rPr>
        <w:t>T</w:t>
      </w:r>
      <w:r w:rsidRPr="00954679" w:rsidR="00ED747F">
        <w:rPr>
          <w:rFonts w:ascii="Times New Roman" w:hAnsi="Times New Roman" w:cs="Times New Roman"/>
          <w:sz w:val="24"/>
          <w:szCs w:val="24"/>
        </w:rPr>
        <w:t>he incentive payment</w:t>
      </w:r>
      <w:r w:rsidRPr="00954679" w:rsidR="002F6A53">
        <w:rPr>
          <w:rFonts w:ascii="Times New Roman" w:hAnsi="Times New Roman" w:cs="Times New Roman"/>
          <w:sz w:val="24"/>
          <w:szCs w:val="24"/>
        </w:rPr>
        <w:t xml:space="preserve"> in this study</w:t>
      </w:r>
      <w:r w:rsidRPr="00954679" w:rsidR="00ED747F">
        <w:rPr>
          <w:rFonts w:ascii="Times New Roman" w:hAnsi="Times New Roman" w:cs="Times New Roman"/>
          <w:sz w:val="24"/>
          <w:szCs w:val="24"/>
        </w:rPr>
        <w:t xml:space="preserve"> depend</w:t>
      </w:r>
      <w:r w:rsidRPr="00954679" w:rsidR="002F6A53">
        <w:rPr>
          <w:rFonts w:ascii="Times New Roman" w:hAnsi="Times New Roman" w:cs="Times New Roman"/>
          <w:sz w:val="24"/>
          <w:szCs w:val="24"/>
        </w:rPr>
        <w:t>s</w:t>
      </w:r>
      <w:r w:rsidRPr="00954679" w:rsidR="00ED747F">
        <w:rPr>
          <w:rFonts w:ascii="Times New Roman" w:hAnsi="Times New Roman" w:cs="Times New Roman"/>
          <w:sz w:val="24"/>
          <w:szCs w:val="24"/>
        </w:rPr>
        <w:t xml:space="preserve"> </w:t>
      </w:r>
      <w:r w:rsidRPr="00954679" w:rsidR="00FB1BE3">
        <w:rPr>
          <w:rFonts w:ascii="Times New Roman" w:hAnsi="Times New Roman" w:cs="Times New Roman"/>
          <w:sz w:val="24"/>
          <w:szCs w:val="24"/>
        </w:rPr>
        <w:t>upon the structure of the offer and</w:t>
      </w:r>
      <w:r w:rsidRPr="00954679" w:rsidR="00ED747F">
        <w:rPr>
          <w:rFonts w:ascii="Times New Roman" w:hAnsi="Times New Roman" w:cs="Times New Roman"/>
          <w:sz w:val="24"/>
          <w:szCs w:val="24"/>
        </w:rPr>
        <w:t xml:space="preserve"> whether the offer is accepted.  </w:t>
      </w:r>
      <w:r w:rsidRPr="00954679" w:rsidR="002B4496">
        <w:rPr>
          <w:rFonts w:ascii="Times New Roman" w:hAnsi="Times New Roman" w:cs="Times New Roman"/>
          <w:sz w:val="24"/>
          <w:szCs w:val="24"/>
        </w:rPr>
        <w:t xml:space="preserve">For </w:t>
      </w:r>
      <w:r w:rsidR="00153849">
        <w:rPr>
          <w:rFonts w:ascii="Times New Roman" w:hAnsi="Times New Roman" w:cs="Times New Roman"/>
          <w:sz w:val="24"/>
          <w:szCs w:val="24"/>
        </w:rPr>
        <w:t>each hypothetical</w:t>
      </w:r>
      <w:r w:rsidRPr="00954679" w:rsidR="002B4496">
        <w:rPr>
          <w:rFonts w:ascii="Times New Roman" w:hAnsi="Times New Roman" w:cs="Times New Roman"/>
          <w:sz w:val="24"/>
          <w:szCs w:val="24"/>
        </w:rPr>
        <w:t xml:space="preserve"> field with a particular set of assigned characteristics,</w:t>
      </w:r>
      <w:r w:rsidRPr="00954679">
        <w:rPr>
          <w:rFonts w:ascii="Times New Roman" w:hAnsi="Times New Roman" w:cs="Times New Roman"/>
          <w:sz w:val="24"/>
          <w:szCs w:val="24"/>
        </w:rPr>
        <w:t xml:space="preserve"> a participant can increase the probability of acceptance</w:t>
      </w:r>
      <w:r w:rsidR="00127834">
        <w:rPr>
          <w:rFonts w:ascii="Times New Roman" w:hAnsi="Times New Roman" w:cs="Times New Roman"/>
          <w:sz w:val="24"/>
          <w:szCs w:val="24"/>
        </w:rPr>
        <w:t>,</w:t>
      </w:r>
      <w:r w:rsidRPr="00954679">
        <w:rPr>
          <w:rFonts w:ascii="Times New Roman" w:hAnsi="Times New Roman" w:cs="Times New Roman"/>
          <w:sz w:val="24"/>
          <w:szCs w:val="24"/>
        </w:rPr>
        <w:t xml:space="preserve"> </w:t>
      </w:r>
      <w:r w:rsidR="00127834">
        <w:rPr>
          <w:rFonts w:ascii="Times New Roman" w:hAnsi="Times New Roman" w:cs="Times New Roman"/>
          <w:sz w:val="24"/>
          <w:szCs w:val="24"/>
        </w:rPr>
        <w:t xml:space="preserve">at the cost of simultaneously </w:t>
      </w:r>
      <w:r w:rsidRPr="00954679">
        <w:rPr>
          <w:rFonts w:ascii="Times New Roman" w:hAnsi="Times New Roman" w:cs="Times New Roman"/>
          <w:sz w:val="24"/>
          <w:szCs w:val="24"/>
        </w:rPr>
        <w:t xml:space="preserve">decreasing the payoff if </w:t>
      </w:r>
      <w:r w:rsidR="00127834">
        <w:rPr>
          <w:rFonts w:ascii="Times New Roman" w:hAnsi="Times New Roman" w:cs="Times New Roman"/>
          <w:sz w:val="24"/>
          <w:szCs w:val="24"/>
        </w:rPr>
        <w:t>accepted,</w:t>
      </w:r>
      <w:r w:rsidRPr="00954679">
        <w:rPr>
          <w:rFonts w:ascii="Times New Roman" w:hAnsi="Times New Roman" w:cs="Times New Roman"/>
          <w:sz w:val="24"/>
          <w:szCs w:val="24"/>
        </w:rPr>
        <w:t xml:space="preserve"> by</w:t>
      </w:r>
      <w:r w:rsidRPr="00954679" w:rsidR="002B4496">
        <w:rPr>
          <w:rFonts w:ascii="Times New Roman" w:hAnsi="Times New Roman" w:cs="Times New Roman"/>
          <w:sz w:val="24"/>
          <w:szCs w:val="24"/>
        </w:rPr>
        <w:t xml:space="preserve"> selecting a better </w:t>
      </w:r>
      <w:r w:rsidRPr="00954679">
        <w:rPr>
          <w:rFonts w:ascii="Times New Roman" w:hAnsi="Times New Roman" w:cs="Times New Roman"/>
          <w:sz w:val="24"/>
          <w:szCs w:val="24"/>
        </w:rPr>
        <w:t xml:space="preserve">(higher scoring and more expensive) </w:t>
      </w:r>
      <w:r w:rsidRPr="00954679" w:rsidR="002B4496">
        <w:rPr>
          <w:rFonts w:ascii="Times New Roman" w:hAnsi="Times New Roman" w:cs="Times New Roman"/>
          <w:sz w:val="24"/>
          <w:szCs w:val="24"/>
        </w:rPr>
        <w:t>conservation practice or offering a discount on the “rental” payment.</w:t>
      </w:r>
      <w:r w:rsidRPr="00954679" w:rsidR="00F801B4">
        <w:rPr>
          <w:rFonts w:ascii="Times New Roman" w:hAnsi="Times New Roman" w:cs="Times New Roman"/>
          <w:sz w:val="24"/>
          <w:szCs w:val="24"/>
        </w:rPr>
        <w:t xml:space="preserve">  The study used a numerical Nash equilibrium model of the auction to calibrate the expect offer given the auction design parameters – the points and costs for different practices, the points for lower rental rates, and the distribution of field characteristics – and the payment structure to induce a distribution of expected baseline choices (practices and per-acre payments</w:t>
      </w:r>
      <w:r w:rsidRPr="00954679" w:rsidR="00C344BA">
        <w:rPr>
          <w:rFonts w:ascii="Times New Roman" w:hAnsi="Times New Roman" w:cs="Times New Roman"/>
          <w:sz w:val="24"/>
          <w:szCs w:val="24"/>
        </w:rPr>
        <w:t xml:space="preserve"> in the absence of any treatment effects</w:t>
      </w:r>
      <w:r w:rsidRPr="00954679" w:rsidR="00F801B4">
        <w:rPr>
          <w:rFonts w:ascii="Times New Roman" w:hAnsi="Times New Roman" w:cs="Times New Roman"/>
          <w:sz w:val="24"/>
          <w:szCs w:val="24"/>
        </w:rPr>
        <w:t xml:space="preserve">) that is roughly comparable to the existing set of offers </w:t>
      </w:r>
      <w:r w:rsidRPr="00954679" w:rsidR="00C344BA">
        <w:rPr>
          <w:rFonts w:ascii="Times New Roman" w:hAnsi="Times New Roman" w:cs="Times New Roman"/>
          <w:sz w:val="24"/>
          <w:szCs w:val="24"/>
        </w:rPr>
        <w:t>in the CRP General Signup.</w:t>
      </w:r>
    </w:p>
    <w:p w:rsidRPr="00954679" w:rsidR="0046218E" w:rsidP="0046218E" w:rsidRDefault="00C344BA" w14:paraId="39F05824" w14:textId="71A0E502">
      <w:pPr>
        <w:rPr>
          <w:rFonts w:ascii="Times New Roman" w:hAnsi="Times New Roman" w:cs="Times New Roman"/>
          <w:sz w:val="24"/>
          <w:szCs w:val="24"/>
        </w:rPr>
      </w:pPr>
      <w:r w:rsidRPr="00954679">
        <w:rPr>
          <w:rFonts w:ascii="Times New Roman" w:hAnsi="Times New Roman" w:cs="Times New Roman"/>
          <w:sz w:val="24"/>
          <w:szCs w:val="24"/>
        </w:rPr>
        <w:t>For farmers, the expected average payment</w:t>
      </w:r>
      <w:r w:rsidRPr="00954679" w:rsidR="00593E93">
        <w:rPr>
          <w:rFonts w:ascii="Times New Roman" w:hAnsi="Times New Roman" w:cs="Times New Roman"/>
          <w:sz w:val="24"/>
          <w:szCs w:val="24"/>
        </w:rPr>
        <w:t xml:space="preserve"> for participation in this study</w:t>
      </w:r>
      <w:r w:rsidRPr="00954679">
        <w:rPr>
          <w:rFonts w:ascii="Times New Roman" w:hAnsi="Times New Roman" w:cs="Times New Roman"/>
          <w:sz w:val="24"/>
          <w:szCs w:val="24"/>
        </w:rPr>
        <w:t xml:space="preserve"> is $42</w:t>
      </w:r>
      <w:r w:rsidRPr="00954679" w:rsidR="00593E93">
        <w:rPr>
          <w:rFonts w:ascii="Times New Roman" w:hAnsi="Times New Roman" w:cs="Times New Roman"/>
          <w:sz w:val="24"/>
          <w:szCs w:val="24"/>
        </w:rPr>
        <w:t xml:space="preserve"> (see table).  </w:t>
      </w:r>
      <w:r w:rsidR="00127834">
        <w:rPr>
          <w:rFonts w:ascii="Times New Roman" w:hAnsi="Times New Roman" w:cs="Times New Roman"/>
          <w:sz w:val="24"/>
          <w:szCs w:val="24"/>
        </w:rPr>
        <w:t>An estimated 55 percent of the farmer participants would receive only t</w:t>
      </w:r>
      <w:r w:rsidRPr="00954679" w:rsidR="00593E93">
        <w:rPr>
          <w:rFonts w:ascii="Times New Roman" w:hAnsi="Times New Roman" w:cs="Times New Roman"/>
          <w:sz w:val="24"/>
          <w:szCs w:val="24"/>
        </w:rPr>
        <w:t xml:space="preserve">he minimum participation payment </w:t>
      </w:r>
      <w:r w:rsidR="00127834">
        <w:rPr>
          <w:rFonts w:ascii="Times New Roman" w:hAnsi="Times New Roman" w:cs="Times New Roman"/>
          <w:sz w:val="24"/>
          <w:szCs w:val="24"/>
        </w:rPr>
        <w:t>(</w:t>
      </w:r>
      <w:r w:rsidRPr="00954679" w:rsidR="00593E93">
        <w:rPr>
          <w:rFonts w:ascii="Times New Roman" w:hAnsi="Times New Roman" w:cs="Times New Roman"/>
          <w:sz w:val="24"/>
          <w:szCs w:val="24"/>
        </w:rPr>
        <w:t>$10</w:t>
      </w:r>
      <w:r w:rsidR="00127834">
        <w:rPr>
          <w:rFonts w:ascii="Times New Roman" w:hAnsi="Times New Roman" w:cs="Times New Roman"/>
          <w:sz w:val="24"/>
          <w:szCs w:val="24"/>
        </w:rPr>
        <w:t>),</w:t>
      </w:r>
      <w:r w:rsidRPr="00954679" w:rsidR="00593E93">
        <w:rPr>
          <w:rFonts w:ascii="Times New Roman" w:hAnsi="Times New Roman" w:cs="Times New Roman"/>
          <w:sz w:val="24"/>
          <w:szCs w:val="24"/>
        </w:rPr>
        <w:t xml:space="preserve"> if the distribution of offers is close to the prediction of the Nash Equilibrium model).  For the estimated 45 percent of participants who will have an accepted offer, the payments will range from $70-$103 </w:t>
      </w:r>
      <w:r w:rsidR="00127834">
        <w:rPr>
          <w:rFonts w:ascii="Times New Roman" w:hAnsi="Times New Roman" w:cs="Times New Roman"/>
          <w:sz w:val="24"/>
          <w:szCs w:val="24"/>
        </w:rPr>
        <w:t xml:space="preserve">(including the $10 participation payment) </w:t>
      </w:r>
      <w:r w:rsidRPr="00954679" w:rsidR="00593E93">
        <w:rPr>
          <w:rFonts w:ascii="Times New Roman" w:hAnsi="Times New Roman" w:cs="Times New Roman"/>
          <w:sz w:val="24"/>
          <w:szCs w:val="24"/>
        </w:rPr>
        <w:t>at the Nash Equilibrium offers.  A maximum payment of almost $143</w:t>
      </w:r>
      <w:r w:rsidR="00D71112">
        <w:rPr>
          <w:rFonts w:ascii="Times New Roman" w:hAnsi="Times New Roman" w:cs="Times New Roman"/>
          <w:sz w:val="24"/>
          <w:szCs w:val="24"/>
        </w:rPr>
        <w:t xml:space="preserve"> (including the participation payment)</w:t>
      </w:r>
      <w:r w:rsidRPr="00954679" w:rsidR="00593E93">
        <w:rPr>
          <w:rFonts w:ascii="Times New Roman" w:hAnsi="Times New Roman" w:cs="Times New Roman"/>
          <w:sz w:val="24"/>
          <w:szCs w:val="24"/>
        </w:rPr>
        <w:t xml:space="preserve"> i</w:t>
      </w:r>
      <w:r w:rsidRPr="00954679" w:rsidR="00664FDD">
        <w:rPr>
          <w:rFonts w:ascii="Times New Roman" w:hAnsi="Times New Roman" w:cs="Times New Roman"/>
          <w:sz w:val="24"/>
          <w:szCs w:val="24"/>
        </w:rPr>
        <w:t>s</w:t>
      </w:r>
      <w:r w:rsidRPr="00954679" w:rsidR="00593E93">
        <w:rPr>
          <w:rFonts w:ascii="Times New Roman" w:hAnsi="Times New Roman" w:cs="Times New Roman"/>
          <w:sz w:val="24"/>
          <w:szCs w:val="24"/>
        </w:rPr>
        <w:t xml:space="preserve"> </w:t>
      </w:r>
      <w:r w:rsidR="00D71112">
        <w:rPr>
          <w:rFonts w:ascii="Times New Roman" w:hAnsi="Times New Roman" w:cs="Times New Roman"/>
          <w:sz w:val="24"/>
          <w:szCs w:val="24"/>
        </w:rPr>
        <w:t xml:space="preserve">theoretically </w:t>
      </w:r>
      <w:r w:rsidRPr="00954679" w:rsidR="00593E93">
        <w:rPr>
          <w:rFonts w:ascii="Times New Roman" w:hAnsi="Times New Roman" w:cs="Times New Roman"/>
          <w:sz w:val="24"/>
          <w:szCs w:val="24"/>
        </w:rPr>
        <w:t>possible give the study parameters, although an offer with this payment would be highly uncompetitive and would only be accepted if the large majority of participants select the maximum payment levels and the minimum practices.</w:t>
      </w:r>
      <w:r w:rsidR="00153849">
        <w:rPr>
          <w:rFonts w:ascii="Times New Roman" w:hAnsi="Times New Roman" w:cs="Times New Roman"/>
          <w:sz w:val="24"/>
          <w:szCs w:val="24"/>
        </w:rPr>
        <w:t xml:space="preserve"> Participants will be given the option to receive the final payment through Paypal or as a Walmart or Amazon electronic gift card.  Provide this form or rapid and flexible payment options provides salience for the financial incentives, which is important for the payments to </w:t>
      </w:r>
      <w:r w:rsidR="00127834">
        <w:rPr>
          <w:rFonts w:ascii="Times New Roman" w:hAnsi="Times New Roman" w:cs="Times New Roman"/>
          <w:sz w:val="24"/>
          <w:szCs w:val="24"/>
        </w:rPr>
        <w:t>serve the role of reducing hypothetical bias.</w:t>
      </w:r>
      <w:r w:rsidR="0015384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525"/>
        <w:gridCol w:w="1440"/>
        <w:gridCol w:w="1530"/>
        <w:gridCol w:w="1620"/>
        <w:gridCol w:w="2790"/>
      </w:tblGrid>
      <w:tr w:rsidRPr="00954679" w:rsidR="00381012" w:rsidTr="00381012" w14:paraId="7D85107B" w14:textId="77777777">
        <w:tc>
          <w:tcPr>
            <w:tcW w:w="1525" w:type="dxa"/>
          </w:tcPr>
          <w:p w:rsidRPr="00954679" w:rsidR="00381012" w:rsidP="00367C8C" w:rsidRDefault="00381012" w14:paraId="090FE23C" w14:textId="4AD7C48C">
            <w:pPr>
              <w:rPr>
                <w:rFonts w:ascii="Times New Roman" w:hAnsi="Times New Roman" w:cs="Times New Roman"/>
                <w:sz w:val="24"/>
                <w:szCs w:val="24"/>
              </w:rPr>
            </w:pPr>
            <w:r w:rsidRPr="00954679">
              <w:rPr>
                <w:rFonts w:ascii="Times New Roman" w:hAnsi="Times New Roman" w:cs="Times New Roman"/>
                <w:sz w:val="24"/>
                <w:szCs w:val="24"/>
              </w:rPr>
              <w:t>Population</w:t>
            </w:r>
          </w:p>
        </w:tc>
        <w:tc>
          <w:tcPr>
            <w:tcW w:w="1440" w:type="dxa"/>
          </w:tcPr>
          <w:p w:rsidRPr="00954679" w:rsidR="00381012" w:rsidP="00381012" w:rsidRDefault="00381012" w14:paraId="6447240D" w14:textId="4E67D0C1">
            <w:pPr>
              <w:jc w:val="center"/>
              <w:rPr>
                <w:rFonts w:ascii="Times New Roman" w:hAnsi="Times New Roman" w:cs="Times New Roman"/>
                <w:sz w:val="24"/>
                <w:szCs w:val="24"/>
              </w:rPr>
            </w:pPr>
            <w:r w:rsidRPr="00954679">
              <w:rPr>
                <w:rFonts w:ascii="Times New Roman" w:hAnsi="Times New Roman" w:cs="Times New Roman"/>
                <w:sz w:val="24"/>
                <w:szCs w:val="24"/>
              </w:rPr>
              <w:t>Average Payment</w:t>
            </w:r>
          </w:p>
        </w:tc>
        <w:tc>
          <w:tcPr>
            <w:tcW w:w="1530" w:type="dxa"/>
          </w:tcPr>
          <w:p w:rsidRPr="00954679" w:rsidR="00381012" w:rsidP="00381012" w:rsidRDefault="00381012" w14:paraId="4166BE29" w14:textId="2FC1F406">
            <w:pPr>
              <w:jc w:val="center"/>
              <w:rPr>
                <w:rFonts w:ascii="Times New Roman" w:hAnsi="Times New Roman" w:cs="Times New Roman"/>
                <w:sz w:val="24"/>
                <w:szCs w:val="24"/>
              </w:rPr>
            </w:pPr>
            <w:r w:rsidRPr="00954679">
              <w:rPr>
                <w:rFonts w:ascii="Times New Roman" w:hAnsi="Times New Roman" w:cs="Times New Roman"/>
                <w:sz w:val="24"/>
                <w:szCs w:val="24"/>
              </w:rPr>
              <w:t>Minimum Payment</w:t>
            </w:r>
          </w:p>
        </w:tc>
        <w:tc>
          <w:tcPr>
            <w:tcW w:w="1620" w:type="dxa"/>
          </w:tcPr>
          <w:p w:rsidRPr="00954679" w:rsidR="00381012" w:rsidP="00381012" w:rsidRDefault="00381012" w14:paraId="1D9A04BC" w14:textId="5E8846FE">
            <w:pPr>
              <w:jc w:val="center"/>
              <w:rPr>
                <w:rFonts w:ascii="Times New Roman" w:hAnsi="Times New Roman" w:cs="Times New Roman"/>
                <w:sz w:val="24"/>
                <w:szCs w:val="24"/>
              </w:rPr>
            </w:pPr>
            <w:r w:rsidRPr="00954679">
              <w:rPr>
                <w:rFonts w:ascii="Times New Roman" w:hAnsi="Times New Roman" w:cs="Times New Roman"/>
                <w:sz w:val="24"/>
                <w:szCs w:val="24"/>
              </w:rPr>
              <w:t>Maximum Possible Payment</w:t>
            </w:r>
          </w:p>
        </w:tc>
        <w:tc>
          <w:tcPr>
            <w:tcW w:w="2790" w:type="dxa"/>
          </w:tcPr>
          <w:p w:rsidRPr="00954679" w:rsidR="00381012" w:rsidP="00381012" w:rsidRDefault="00381012" w14:paraId="38B471F8" w14:textId="492FD464">
            <w:pPr>
              <w:jc w:val="center"/>
              <w:rPr>
                <w:rFonts w:ascii="Times New Roman" w:hAnsi="Times New Roman" w:cs="Times New Roman"/>
                <w:sz w:val="24"/>
                <w:szCs w:val="24"/>
              </w:rPr>
            </w:pPr>
            <w:r w:rsidRPr="00954679">
              <w:rPr>
                <w:rFonts w:ascii="Times New Roman" w:hAnsi="Times New Roman" w:cs="Times New Roman"/>
                <w:sz w:val="24"/>
                <w:szCs w:val="24"/>
              </w:rPr>
              <w:t>Nash Equilibrium Payment Range on Accepted Offers</w:t>
            </w:r>
          </w:p>
        </w:tc>
      </w:tr>
      <w:tr w:rsidRPr="00954679" w:rsidR="00381012" w:rsidTr="00381012" w14:paraId="374EFEB8" w14:textId="77777777">
        <w:tc>
          <w:tcPr>
            <w:tcW w:w="1525" w:type="dxa"/>
          </w:tcPr>
          <w:p w:rsidRPr="00954679" w:rsidR="00381012" w:rsidP="00367C8C" w:rsidRDefault="00381012" w14:paraId="74D63345" w14:textId="0A123A75">
            <w:pPr>
              <w:rPr>
                <w:rFonts w:ascii="Times New Roman" w:hAnsi="Times New Roman" w:cs="Times New Roman"/>
                <w:sz w:val="24"/>
                <w:szCs w:val="24"/>
              </w:rPr>
            </w:pPr>
            <w:r w:rsidRPr="00954679">
              <w:rPr>
                <w:rFonts w:ascii="Times New Roman" w:hAnsi="Times New Roman" w:cs="Times New Roman"/>
                <w:sz w:val="24"/>
                <w:szCs w:val="24"/>
              </w:rPr>
              <w:t>Farmers</w:t>
            </w:r>
          </w:p>
        </w:tc>
        <w:tc>
          <w:tcPr>
            <w:tcW w:w="1440" w:type="dxa"/>
          </w:tcPr>
          <w:p w:rsidRPr="00954679" w:rsidR="00381012" w:rsidP="00381012" w:rsidRDefault="00381012" w14:paraId="3FD21F21" w14:textId="21EC8E1C">
            <w:pPr>
              <w:jc w:val="center"/>
              <w:rPr>
                <w:rFonts w:ascii="Times New Roman" w:hAnsi="Times New Roman" w:cs="Times New Roman"/>
                <w:sz w:val="24"/>
                <w:szCs w:val="24"/>
              </w:rPr>
            </w:pPr>
            <w:r w:rsidRPr="00954679">
              <w:rPr>
                <w:rFonts w:ascii="Times New Roman" w:hAnsi="Times New Roman" w:cs="Times New Roman"/>
                <w:sz w:val="24"/>
                <w:szCs w:val="24"/>
              </w:rPr>
              <w:t>$42</w:t>
            </w:r>
          </w:p>
        </w:tc>
        <w:tc>
          <w:tcPr>
            <w:tcW w:w="1530" w:type="dxa"/>
          </w:tcPr>
          <w:p w:rsidRPr="00954679" w:rsidR="00381012" w:rsidP="00381012" w:rsidRDefault="00381012" w14:paraId="5879D02E" w14:textId="183EE489">
            <w:pPr>
              <w:jc w:val="center"/>
              <w:rPr>
                <w:rFonts w:ascii="Times New Roman" w:hAnsi="Times New Roman" w:cs="Times New Roman"/>
                <w:sz w:val="24"/>
                <w:szCs w:val="24"/>
              </w:rPr>
            </w:pPr>
            <w:r w:rsidRPr="00954679">
              <w:rPr>
                <w:rFonts w:ascii="Times New Roman" w:hAnsi="Times New Roman" w:cs="Times New Roman"/>
                <w:sz w:val="24"/>
                <w:szCs w:val="24"/>
              </w:rPr>
              <w:t>$10</w:t>
            </w:r>
          </w:p>
        </w:tc>
        <w:tc>
          <w:tcPr>
            <w:tcW w:w="1620" w:type="dxa"/>
          </w:tcPr>
          <w:p w:rsidRPr="00954679" w:rsidR="00381012" w:rsidP="00381012" w:rsidRDefault="00381012" w14:paraId="54346720" w14:textId="775D4F65">
            <w:pPr>
              <w:jc w:val="center"/>
              <w:rPr>
                <w:rFonts w:ascii="Times New Roman" w:hAnsi="Times New Roman" w:cs="Times New Roman"/>
                <w:sz w:val="24"/>
                <w:szCs w:val="24"/>
              </w:rPr>
            </w:pPr>
            <w:r w:rsidRPr="00954679">
              <w:rPr>
                <w:rFonts w:ascii="Times New Roman" w:hAnsi="Times New Roman" w:cs="Times New Roman"/>
                <w:sz w:val="24"/>
                <w:szCs w:val="24"/>
              </w:rPr>
              <w:t>$142.50</w:t>
            </w:r>
          </w:p>
        </w:tc>
        <w:tc>
          <w:tcPr>
            <w:tcW w:w="2790" w:type="dxa"/>
          </w:tcPr>
          <w:p w:rsidRPr="00954679" w:rsidR="00381012" w:rsidP="00381012" w:rsidRDefault="00381012" w14:paraId="79651E79" w14:textId="1AD03693">
            <w:pPr>
              <w:jc w:val="center"/>
              <w:rPr>
                <w:rFonts w:ascii="Times New Roman" w:hAnsi="Times New Roman" w:cs="Times New Roman"/>
                <w:sz w:val="24"/>
                <w:szCs w:val="24"/>
              </w:rPr>
            </w:pPr>
            <w:r w:rsidRPr="00954679">
              <w:rPr>
                <w:rFonts w:ascii="Times New Roman" w:hAnsi="Times New Roman" w:cs="Times New Roman"/>
                <w:sz w:val="24"/>
                <w:szCs w:val="24"/>
              </w:rPr>
              <w:t>$70 to $103</w:t>
            </w:r>
          </w:p>
        </w:tc>
      </w:tr>
    </w:tbl>
    <w:p w:rsidRPr="00954679" w:rsidR="009534B8" w:rsidP="00367C8C" w:rsidRDefault="009534B8" w14:paraId="38C97AEF" w14:textId="00A69BD3">
      <w:pPr>
        <w:rPr>
          <w:rFonts w:ascii="Times New Roman" w:hAnsi="Times New Roman" w:cs="Times New Roman"/>
          <w:sz w:val="24"/>
          <w:szCs w:val="24"/>
        </w:rPr>
      </w:pPr>
    </w:p>
    <w:p w:rsidRPr="00954679" w:rsidR="00B8245C" w:rsidP="00367C8C" w:rsidRDefault="009534B8" w14:paraId="106928B0" w14:textId="3F410C5B">
      <w:pPr>
        <w:rPr>
          <w:rFonts w:ascii="Times New Roman" w:hAnsi="Times New Roman" w:cs="Times New Roman"/>
          <w:sz w:val="24"/>
          <w:szCs w:val="24"/>
        </w:rPr>
      </w:pPr>
      <w:r w:rsidRPr="00982527">
        <w:rPr>
          <w:rFonts w:ascii="Times New Roman" w:hAnsi="Times New Roman" w:cs="Times New Roman"/>
          <w:sz w:val="24"/>
          <w:szCs w:val="24"/>
        </w:rPr>
        <w:lastRenderedPageBreak/>
        <w:t xml:space="preserve">The payment level for farmers is commensurate with the expectation that farmers have a high opportunity cost of time and so will need larger incentives to make the tradeoff between net return and probability of acceptance salient.  </w:t>
      </w:r>
    </w:p>
    <w:p w:rsidRPr="00954679" w:rsidR="00B8245C" w:rsidP="00367C8C" w:rsidRDefault="006E09D0" w14:paraId="569E402E" w14:textId="3BFFE408">
      <w:pPr>
        <w:rPr>
          <w:rFonts w:ascii="Times New Roman" w:hAnsi="Times New Roman" w:cs="Times New Roman"/>
          <w:sz w:val="24"/>
          <w:szCs w:val="24"/>
        </w:rPr>
      </w:pPr>
      <w:r>
        <w:rPr>
          <w:rFonts w:ascii="Times New Roman" w:hAnsi="Times New Roman" w:cs="Times New Roman"/>
          <w:sz w:val="24"/>
          <w:szCs w:val="24"/>
        </w:rPr>
        <w:t>T</w:t>
      </w:r>
      <w:r w:rsidRPr="00954679" w:rsidR="00C35A2F">
        <w:rPr>
          <w:rFonts w:ascii="Times New Roman" w:hAnsi="Times New Roman" w:cs="Times New Roman"/>
          <w:sz w:val="24"/>
          <w:szCs w:val="24"/>
        </w:rPr>
        <w:t xml:space="preserve">he overall payments are considerably smaller than the average CRP contracts. </w:t>
      </w:r>
      <w:r w:rsidR="003F5B11">
        <w:rPr>
          <w:rFonts w:ascii="Times New Roman" w:hAnsi="Times New Roman" w:cs="Times New Roman"/>
          <w:sz w:val="24"/>
          <w:szCs w:val="24"/>
        </w:rPr>
        <w:t xml:space="preserve"> </w:t>
      </w:r>
      <w:r w:rsidRPr="00954679" w:rsidR="00C35A2F">
        <w:rPr>
          <w:rFonts w:ascii="Times New Roman" w:hAnsi="Times New Roman" w:cs="Times New Roman"/>
          <w:sz w:val="24"/>
          <w:szCs w:val="24"/>
        </w:rPr>
        <w:t>However, since the payments are based on net gains from acceptance in the experimental auction, a more detailed comparison is informative with respect to the external validity of this study.</w:t>
      </w:r>
      <w:r w:rsidRPr="00954679" w:rsidR="00282C37">
        <w:rPr>
          <w:rFonts w:ascii="Times New Roman" w:hAnsi="Times New Roman" w:cs="Times New Roman"/>
          <w:sz w:val="24"/>
          <w:szCs w:val="24"/>
        </w:rPr>
        <w:t xml:space="preserve">  The average annual rental payment for offers in the most recent CRP General Signup was about $3,600</w:t>
      </w:r>
      <w:r w:rsidR="003F5B11">
        <w:rPr>
          <w:rFonts w:ascii="Times New Roman" w:hAnsi="Times New Roman" w:cs="Times New Roman"/>
          <w:sz w:val="24"/>
          <w:szCs w:val="24"/>
        </w:rPr>
        <w:t xml:space="preserve"> </w:t>
      </w:r>
      <w:r w:rsidRPr="00954679" w:rsidR="0084592A">
        <w:rPr>
          <w:rFonts w:ascii="Times New Roman" w:hAnsi="Times New Roman" w:cs="Times New Roman"/>
          <w:sz w:val="24"/>
          <w:szCs w:val="24"/>
        </w:rPr>
        <w:t>(The median annual rental payment was about $2,100)</w:t>
      </w:r>
      <w:r w:rsidR="003F5B11">
        <w:rPr>
          <w:rFonts w:ascii="Times New Roman" w:hAnsi="Times New Roman" w:cs="Times New Roman"/>
          <w:sz w:val="24"/>
          <w:szCs w:val="24"/>
        </w:rPr>
        <w:t>.</w:t>
      </w:r>
      <w:r w:rsidRPr="00954679" w:rsidR="00282C37">
        <w:rPr>
          <w:rFonts w:ascii="Times New Roman" w:hAnsi="Times New Roman" w:cs="Times New Roman"/>
          <w:sz w:val="24"/>
          <w:szCs w:val="24"/>
        </w:rPr>
        <w:t xml:space="preserve">  </w:t>
      </w:r>
      <w:r w:rsidRPr="00954679" w:rsidR="0084592A">
        <w:rPr>
          <w:rFonts w:ascii="Times New Roman" w:hAnsi="Times New Roman" w:cs="Times New Roman"/>
          <w:sz w:val="24"/>
          <w:szCs w:val="24"/>
        </w:rPr>
        <w:t xml:space="preserve">When deciding whether and how to participation in CRP (or any other conservation auction), farmers are </w:t>
      </w:r>
      <w:r w:rsidRPr="00954679" w:rsidR="002D0192">
        <w:rPr>
          <w:rFonts w:ascii="Times New Roman" w:hAnsi="Times New Roman" w:cs="Times New Roman"/>
          <w:sz w:val="24"/>
          <w:szCs w:val="24"/>
        </w:rPr>
        <w:t xml:space="preserve">thought to be evaluating this annual rental payment, net of the costs of establishing a conservation cover, against the opportunity costs.  These opportunity costs are typically thought to be well approximated by returns from renting the same land for crop production.  However, the actual </w:t>
      </w:r>
      <w:r w:rsidRPr="00954679" w:rsidR="00282C37">
        <w:rPr>
          <w:rFonts w:ascii="Times New Roman" w:hAnsi="Times New Roman" w:cs="Times New Roman"/>
          <w:sz w:val="24"/>
          <w:szCs w:val="24"/>
        </w:rPr>
        <w:t>opportunity cost of enrollment</w:t>
      </w:r>
      <w:r w:rsidRPr="00954679" w:rsidR="002D0192">
        <w:rPr>
          <w:rFonts w:ascii="Times New Roman" w:hAnsi="Times New Roman" w:cs="Times New Roman"/>
          <w:sz w:val="24"/>
          <w:szCs w:val="24"/>
        </w:rPr>
        <w:t xml:space="preserve"> will vary</w:t>
      </w:r>
      <w:r w:rsidRPr="00954679" w:rsidR="00282C37">
        <w:rPr>
          <w:rFonts w:ascii="Times New Roman" w:hAnsi="Times New Roman" w:cs="Times New Roman"/>
          <w:sz w:val="24"/>
          <w:szCs w:val="24"/>
        </w:rPr>
        <w:t xml:space="preserve"> for actual CRP participants is </w:t>
      </w:r>
      <w:r w:rsidRPr="00954679" w:rsidR="002D0192">
        <w:rPr>
          <w:rFonts w:ascii="Times New Roman" w:hAnsi="Times New Roman" w:cs="Times New Roman"/>
          <w:sz w:val="24"/>
          <w:szCs w:val="24"/>
        </w:rPr>
        <w:t xml:space="preserve">generally unobservable by agency staff or researchers studying CRP.  For the present comparison, if we assume that </w:t>
      </w:r>
      <w:r w:rsidRPr="00954679" w:rsidR="00282C37">
        <w:rPr>
          <w:rFonts w:ascii="Times New Roman" w:hAnsi="Times New Roman" w:cs="Times New Roman"/>
          <w:sz w:val="24"/>
          <w:szCs w:val="24"/>
        </w:rPr>
        <w:t>the average net return to enrollment, after accounting for cover practice costs, is about 10 percent</w:t>
      </w:r>
      <w:r w:rsidRPr="00954679" w:rsidR="002D0192">
        <w:rPr>
          <w:rFonts w:ascii="Times New Roman" w:hAnsi="Times New Roman" w:cs="Times New Roman"/>
          <w:sz w:val="24"/>
          <w:szCs w:val="24"/>
        </w:rPr>
        <w:t xml:space="preserve"> above the opportunity costs</w:t>
      </w:r>
      <w:r w:rsidRPr="00954679" w:rsidR="00282C37">
        <w:rPr>
          <w:rFonts w:ascii="Times New Roman" w:hAnsi="Times New Roman" w:cs="Times New Roman"/>
          <w:sz w:val="24"/>
          <w:szCs w:val="24"/>
        </w:rPr>
        <w:t>, then CRP participants are making about</w:t>
      </w:r>
      <w:r w:rsidRPr="00954679" w:rsidR="005D62C5">
        <w:rPr>
          <w:rFonts w:ascii="Times New Roman" w:hAnsi="Times New Roman" w:cs="Times New Roman"/>
          <w:sz w:val="24"/>
          <w:szCs w:val="24"/>
        </w:rPr>
        <w:t xml:space="preserve"> </w:t>
      </w:r>
      <w:r w:rsidRPr="00954679" w:rsidR="002D0192">
        <w:rPr>
          <w:rFonts w:ascii="Times New Roman" w:hAnsi="Times New Roman" w:cs="Times New Roman"/>
          <w:sz w:val="24"/>
          <w:szCs w:val="24"/>
        </w:rPr>
        <w:t xml:space="preserve">a net gain of about </w:t>
      </w:r>
      <w:r w:rsidRPr="00954679" w:rsidR="005D62C5">
        <w:rPr>
          <w:rFonts w:ascii="Times New Roman" w:hAnsi="Times New Roman" w:cs="Times New Roman"/>
          <w:sz w:val="24"/>
          <w:szCs w:val="24"/>
        </w:rPr>
        <w:t>$360 per year for the average contract.  At that level of return, this study would be providing a</w:t>
      </w:r>
      <w:r w:rsidRPr="00954679" w:rsidR="009534B8">
        <w:rPr>
          <w:rFonts w:ascii="Times New Roman" w:hAnsi="Times New Roman" w:cs="Times New Roman"/>
          <w:sz w:val="24"/>
          <w:szCs w:val="24"/>
        </w:rPr>
        <w:t xml:space="preserve"> </w:t>
      </w:r>
      <w:r w:rsidRPr="00954679" w:rsidR="005D62C5">
        <w:rPr>
          <w:rFonts w:ascii="Times New Roman" w:hAnsi="Times New Roman" w:cs="Times New Roman"/>
          <w:sz w:val="24"/>
          <w:szCs w:val="24"/>
        </w:rPr>
        <w:t>payment</w:t>
      </w:r>
      <w:r w:rsidRPr="00954679" w:rsidR="009534B8">
        <w:rPr>
          <w:rFonts w:ascii="Times New Roman" w:hAnsi="Times New Roman" w:cs="Times New Roman"/>
          <w:sz w:val="24"/>
          <w:szCs w:val="24"/>
        </w:rPr>
        <w:t xml:space="preserve"> on accepted offers </w:t>
      </w:r>
      <w:r w:rsidRPr="00954679" w:rsidR="005D62C5">
        <w:rPr>
          <w:rFonts w:ascii="Times New Roman" w:hAnsi="Times New Roman" w:cs="Times New Roman"/>
          <w:sz w:val="24"/>
          <w:szCs w:val="24"/>
        </w:rPr>
        <w:t>that is about 19 to 29 percent of the annual gain from actual CRP participation</w:t>
      </w:r>
      <w:r w:rsidRPr="00954679" w:rsidR="009534B8">
        <w:rPr>
          <w:rFonts w:ascii="Times New Roman" w:hAnsi="Times New Roman" w:cs="Times New Roman"/>
          <w:sz w:val="24"/>
          <w:szCs w:val="24"/>
        </w:rPr>
        <w:t xml:space="preserve"> </w:t>
      </w:r>
      <w:r w:rsidRPr="003A3806" w:rsidR="009534B8">
        <w:rPr>
          <w:rFonts w:ascii="Times New Roman" w:hAnsi="Times New Roman" w:cs="Times New Roman"/>
          <w:sz w:val="24"/>
          <w:szCs w:val="24"/>
        </w:rPr>
        <w:t xml:space="preserve">under the assumptions </w:t>
      </w:r>
      <w:r w:rsidR="003A3806">
        <w:rPr>
          <w:rFonts w:ascii="Times New Roman" w:hAnsi="Times New Roman" w:cs="Times New Roman"/>
          <w:sz w:val="24"/>
          <w:szCs w:val="24"/>
        </w:rPr>
        <w:t>described</w:t>
      </w:r>
      <w:r w:rsidRPr="003A3806" w:rsidR="009534B8">
        <w:rPr>
          <w:rFonts w:ascii="Times New Roman" w:hAnsi="Times New Roman" w:cs="Times New Roman"/>
          <w:sz w:val="24"/>
          <w:szCs w:val="24"/>
        </w:rPr>
        <w:t xml:space="preserve"> here</w:t>
      </w:r>
      <w:r w:rsidRPr="00954679" w:rsidR="009534B8">
        <w:rPr>
          <w:rFonts w:ascii="Times New Roman" w:hAnsi="Times New Roman" w:cs="Times New Roman"/>
          <w:sz w:val="24"/>
          <w:szCs w:val="24"/>
        </w:rPr>
        <w:t>.</w:t>
      </w:r>
    </w:p>
    <w:p w:rsidRPr="00954679" w:rsidR="00790338" w:rsidP="00653FA4" w:rsidRDefault="00E648B4" w14:paraId="22A913A9" w14:textId="451FBE99">
      <w:pPr>
        <w:rPr>
          <w:rFonts w:ascii="Times New Roman" w:hAnsi="Times New Roman" w:cs="Times New Roman"/>
          <w:b/>
          <w:bCs/>
          <w:sz w:val="24"/>
          <w:szCs w:val="24"/>
        </w:rPr>
      </w:pPr>
      <w:r w:rsidRPr="00954679">
        <w:rPr>
          <w:rFonts w:ascii="Times New Roman" w:hAnsi="Times New Roman" w:cs="Times New Roman"/>
          <w:b/>
          <w:bCs/>
          <w:sz w:val="24"/>
          <w:szCs w:val="24"/>
        </w:rPr>
        <w:t xml:space="preserve">10: </w:t>
      </w:r>
      <w:r w:rsidR="003F5B11">
        <w:rPr>
          <w:rFonts w:ascii="Times New Roman" w:hAnsi="Times New Roman" w:cs="Times New Roman"/>
          <w:b/>
          <w:bCs/>
          <w:sz w:val="24"/>
          <w:szCs w:val="24"/>
        </w:rPr>
        <w:t xml:space="preserve"> </w:t>
      </w:r>
      <w:r w:rsidRPr="00954679" w:rsidR="0046218E">
        <w:rPr>
          <w:rFonts w:ascii="Times New Roman" w:hAnsi="Times New Roman" w:cs="Times New Roman"/>
          <w:b/>
          <w:bCs/>
          <w:sz w:val="24"/>
          <w:szCs w:val="24"/>
        </w:rPr>
        <w:t>Describe any assurance of confidentiality provided to respondents and the basis for the assurance in statute, regulation, or agency policy.</w:t>
      </w:r>
    </w:p>
    <w:p w:rsidRPr="00954679" w:rsidR="00AE63C0" w:rsidP="00ED747F" w:rsidRDefault="00653FA4" w14:paraId="6B492F9D" w14:textId="0320DC20">
      <w:pPr>
        <w:rPr>
          <w:rFonts w:ascii="Times New Roman" w:hAnsi="Times New Roman" w:cs="Times New Roman"/>
          <w:sz w:val="24"/>
          <w:szCs w:val="24"/>
        </w:rPr>
      </w:pPr>
      <w:r w:rsidRPr="00954679">
        <w:rPr>
          <w:rFonts w:ascii="Times New Roman" w:hAnsi="Times New Roman" w:cs="Times New Roman"/>
          <w:sz w:val="24"/>
          <w:szCs w:val="24"/>
        </w:rPr>
        <w:t>Respondent data will be protected by</w:t>
      </w:r>
      <w:r w:rsidRPr="00954679" w:rsidR="00790338">
        <w:rPr>
          <w:rFonts w:ascii="Times New Roman" w:hAnsi="Times New Roman" w:cs="Times New Roman"/>
          <w:sz w:val="24"/>
          <w:szCs w:val="24"/>
        </w:rPr>
        <w:t xml:space="preserve"> the Confidential Information Protection and Statistical Efficiency Act of 2002 (CIPSEA)</w:t>
      </w:r>
      <w:r w:rsidRPr="00954679" w:rsidR="0057094F">
        <w:rPr>
          <w:rFonts w:ascii="Times New Roman" w:hAnsi="Times New Roman" w:cs="Times New Roman"/>
          <w:sz w:val="24"/>
          <w:szCs w:val="24"/>
        </w:rPr>
        <w:t>.</w:t>
      </w:r>
      <w:r w:rsidR="005635D9">
        <w:rPr>
          <w:rFonts w:ascii="Times New Roman" w:hAnsi="Times New Roman" w:cs="Times New Roman"/>
          <w:sz w:val="24"/>
          <w:szCs w:val="24"/>
        </w:rPr>
        <w:t xml:space="preserve">  </w:t>
      </w:r>
      <w:r w:rsidR="00D71112">
        <w:rPr>
          <w:rFonts w:ascii="Times New Roman" w:hAnsi="Times New Roman" w:cs="Times New Roman"/>
          <w:sz w:val="24"/>
          <w:szCs w:val="24"/>
        </w:rPr>
        <w:t xml:space="preserve">Participants will consent to the study at the start of the experiment (Attachment I). </w:t>
      </w:r>
      <w:r w:rsidRPr="00954679">
        <w:rPr>
          <w:rFonts w:ascii="Times New Roman" w:hAnsi="Times New Roman" w:cs="Times New Roman"/>
          <w:sz w:val="24"/>
          <w:szCs w:val="24"/>
        </w:rPr>
        <w:t xml:space="preserve">They will be allowed to withdraw from the study at any time.  </w:t>
      </w:r>
      <w:r w:rsidRPr="00954679" w:rsidR="00CA72C8">
        <w:rPr>
          <w:rFonts w:ascii="Times New Roman" w:hAnsi="Times New Roman" w:cs="Times New Roman"/>
          <w:sz w:val="24"/>
          <w:szCs w:val="24"/>
        </w:rPr>
        <w:t xml:space="preserve">Participants </w:t>
      </w:r>
      <w:r w:rsidRPr="00954679">
        <w:rPr>
          <w:rFonts w:ascii="Times New Roman" w:hAnsi="Times New Roman" w:cs="Times New Roman"/>
          <w:sz w:val="24"/>
          <w:szCs w:val="24"/>
        </w:rPr>
        <w:t xml:space="preserve">will </w:t>
      </w:r>
      <w:r w:rsidRPr="00954679" w:rsidR="00CA72C8">
        <w:rPr>
          <w:rFonts w:ascii="Times New Roman" w:hAnsi="Times New Roman" w:cs="Times New Roman"/>
          <w:sz w:val="24"/>
          <w:szCs w:val="24"/>
        </w:rPr>
        <w:t>provide an email to receive their electronic payment</w:t>
      </w:r>
      <w:r w:rsidRPr="00954679">
        <w:rPr>
          <w:rFonts w:ascii="Times New Roman" w:hAnsi="Times New Roman" w:cs="Times New Roman"/>
          <w:sz w:val="24"/>
          <w:szCs w:val="24"/>
        </w:rPr>
        <w:t xml:space="preserve">, but this information will be </w:t>
      </w:r>
      <w:r w:rsidRPr="00954679" w:rsidR="00CA72C8">
        <w:rPr>
          <w:rFonts w:ascii="Times New Roman" w:hAnsi="Times New Roman" w:cs="Times New Roman"/>
          <w:sz w:val="24"/>
          <w:szCs w:val="24"/>
        </w:rPr>
        <w:t>deleted once payments are processed</w:t>
      </w:r>
      <w:r w:rsidRPr="00954679">
        <w:rPr>
          <w:rFonts w:ascii="Times New Roman" w:hAnsi="Times New Roman" w:cs="Times New Roman"/>
          <w:sz w:val="24"/>
          <w:szCs w:val="24"/>
        </w:rPr>
        <w:t xml:space="preserve">.  </w:t>
      </w:r>
      <w:r w:rsidRPr="00954679" w:rsidR="0054162E">
        <w:rPr>
          <w:rFonts w:ascii="Times New Roman" w:hAnsi="Times New Roman" w:cs="Times New Roman"/>
          <w:sz w:val="24"/>
          <w:szCs w:val="24"/>
        </w:rPr>
        <w:t xml:space="preserve">The </w:t>
      </w:r>
      <w:r w:rsidRPr="00954679" w:rsidR="00100DF7">
        <w:rPr>
          <w:rFonts w:ascii="Times New Roman" w:hAnsi="Times New Roman" w:cs="Times New Roman"/>
          <w:sz w:val="24"/>
          <w:szCs w:val="24"/>
        </w:rPr>
        <w:t xml:space="preserve">consent screen </w:t>
      </w:r>
      <w:r w:rsidRPr="00954679" w:rsidR="0054162E">
        <w:rPr>
          <w:rFonts w:ascii="Times New Roman" w:hAnsi="Times New Roman" w:cs="Times New Roman"/>
          <w:sz w:val="24"/>
          <w:szCs w:val="24"/>
        </w:rPr>
        <w:t>study</w:t>
      </w:r>
      <w:r w:rsidRPr="00954679" w:rsidR="0046218E">
        <w:rPr>
          <w:rFonts w:ascii="Times New Roman" w:hAnsi="Times New Roman" w:cs="Times New Roman"/>
          <w:sz w:val="24"/>
          <w:szCs w:val="24"/>
        </w:rPr>
        <w:t xml:space="preserve"> </w:t>
      </w:r>
      <w:r w:rsidRPr="00954679" w:rsidR="00790338">
        <w:rPr>
          <w:rFonts w:ascii="Times New Roman" w:hAnsi="Times New Roman" w:cs="Times New Roman"/>
          <w:sz w:val="24"/>
          <w:szCs w:val="24"/>
        </w:rPr>
        <w:t>include</w:t>
      </w:r>
      <w:r w:rsidR="00107CCD">
        <w:rPr>
          <w:rFonts w:ascii="Times New Roman" w:hAnsi="Times New Roman" w:cs="Times New Roman"/>
          <w:sz w:val="24"/>
          <w:szCs w:val="24"/>
        </w:rPr>
        <w:t>s</w:t>
      </w:r>
      <w:r w:rsidRPr="00954679" w:rsidR="00790338">
        <w:rPr>
          <w:rFonts w:ascii="Times New Roman" w:hAnsi="Times New Roman" w:cs="Times New Roman"/>
          <w:sz w:val="24"/>
          <w:szCs w:val="24"/>
        </w:rPr>
        <w:t xml:space="preserve"> the</w:t>
      </w:r>
      <w:r w:rsidRPr="003A3806" w:rsidR="00790338">
        <w:rPr>
          <w:rFonts w:ascii="Times New Roman" w:hAnsi="Times New Roman" w:cs="Times New Roman"/>
          <w:sz w:val="24"/>
          <w:szCs w:val="24"/>
        </w:rPr>
        <w:t xml:space="preserve"> </w:t>
      </w:r>
      <w:r w:rsidRPr="003A3806" w:rsidR="00C952AD">
        <w:rPr>
          <w:rFonts w:ascii="Times New Roman" w:hAnsi="Times New Roman" w:cs="Times New Roman"/>
          <w:sz w:val="24"/>
          <w:szCs w:val="24"/>
        </w:rPr>
        <w:t>P</w:t>
      </w:r>
      <w:r w:rsidRPr="003A3806" w:rsidR="005635D9">
        <w:rPr>
          <w:rFonts w:ascii="Times New Roman" w:hAnsi="Times New Roman" w:cs="Times New Roman"/>
          <w:sz w:val="24"/>
          <w:szCs w:val="24"/>
        </w:rPr>
        <w:t xml:space="preserve">ublic Burden Statement </w:t>
      </w:r>
      <w:r w:rsidRPr="003A3806" w:rsidR="00C952AD">
        <w:rPr>
          <w:rFonts w:ascii="Times New Roman" w:hAnsi="Times New Roman" w:cs="Times New Roman"/>
          <w:sz w:val="24"/>
          <w:szCs w:val="24"/>
        </w:rPr>
        <w:t xml:space="preserve">and CIPSEA </w:t>
      </w:r>
      <w:r w:rsidRPr="003A3806" w:rsidR="00790338">
        <w:rPr>
          <w:rFonts w:ascii="Times New Roman" w:hAnsi="Times New Roman" w:cs="Times New Roman"/>
          <w:sz w:val="24"/>
          <w:szCs w:val="24"/>
        </w:rPr>
        <w:t>statement</w:t>
      </w:r>
      <w:r w:rsidRPr="003A3806" w:rsidR="00F41E44">
        <w:rPr>
          <w:rFonts w:ascii="Times New Roman" w:hAnsi="Times New Roman" w:cs="Times New Roman"/>
          <w:sz w:val="24"/>
          <w:szCs w:val="24"/>
        </w:rPr>
        <w:t>.</w:t>
      </w:r>
      <w:r w:rsidR="00F41E44">
        <w:rPr>
          <w:rFonts w:ascii="Times New Roman" w:hAnsi="Times New Roman" w:cs="Times New Roman"/>
          <w:sz w:val="24"/>
          <w:szCs w:val="24"/>
          <w:highlight w:val="yellow"/>
        </w:rPr>
        <w:t xml:space="preserve"> </w:t>
      </w:r>
    </w:p>
    <w:p w:rsidRPr="00954679" w:rsidR="0046218E" w:rsidP="00E648B4" w:rsidRDefault="00E648B4" w14:paraId="1669B1FB" w14:textId="03A65035">
      <w:pPr>
        <w:rPr>
          <w:rFonts w:ascii="Times New Roman" w:hAnsi="Times New Roman" w:cs="Times New Roman"/>
          <w:b/>
          <w:bCs/>
          <w:sz w:val="24"/>
          <w:szCs w:val="24"/>
        </w:rPr>
      </w:pPr>
      <w:r w:rsidRPr="00954679">
        <w:rPr>
          <w:rFonts w:ascii="Times New Roman" w:hAnsi="Times New Roman" w:cs="Times New Roman"/>
          <w:b/>
          <w:bCs/>
          <w:sz w:val="24"/>
          <w:szCs w:val="24"/>
        </w:rPr>
        <w:t xml:space="preserve">11: </w:t>
      </w:r>
      <w:r w:rsidRPr="00954679" w:rsidR="0046218E">
        <w:rPr>
          <w:rFonts w:ascii="Times New Roman" w:hAnsi="Times New Roman" w:cs="Times New Roman"/>
          <w:b/>
          <w:bCs/>
          <w:sz w:val="24"/>
          <w:szCs w:val="24"/>
        </w:rPr>
        <w:t>Provide additional justification for any questions of a sensitive nature.</w:t>
      </w:r>
    </w:p>
    <w:p w:rsidR="0046218E" w:rsidP="0046218E" w:rsidRDefault="0046218E" w14:paraId="403362B9" w14:textId="30D7BEA8">
      <w:pPr>
        <w:rPr>
          <w:rFonts w:ascii="Times New Roman" w:hAnsi="Times New Roman" w:cs="Times New Roman"/>
          <w:sz w:val="24"/>
          <w:szCs w:val="24"/>
        </w:rPr>
      </w:pPr>
      <w:r w:rsidRPr="00954679">
        <w:rPr>
          <w:rFonts w:ascii="Times New Roman" w:hAnsi="Times New Roman" w:cs="Times New Roman"/>
          <w:sz w:val="24"/>
          <w:szCs w:val="24"/>
        </w:rPr>
        <w:t>There are no questions of a sensitive nature.</w:t>
      </w:r>
      <w:r w:rsidRPr="00954679" w:rsidR="00367D11">
        <w:rPr>
          <w:rFonts w:ascii="Times New Roman" w:hAnsi="Times New Roman" w:cs="Times New Roman"/>
          <w:sz w:val="24"/>
          <w:szCs w:val="24"/>
        </w:rPr>
        <w:t xml:space="preserve">  Participants are asked to make two choices – conservation cover practice and annual rental payment – for hypothetical fields (land parcels) with pre-assigned traits to enroll in a hypothetical conservation program through a simulated auction.  They will repeat these two choices in four rounds of the auction, including in one practice round.  After completing those four rounds, all participants will be asked a series of questions to assess their comprehension of the auction and requested tasks</w:t>
      </w:r>
      <w:r w:rsidR="006E09D0">
        <w:rPr>
          <w:rFonts w:ascii="Times New Roman" w:hAnsi="Times New Roman" w:cs="Times New Roman"/>
          <w:sz w:val="24"/>
          <w:szCs w:val="24"/>
        </w:rPr>
        <w:t>.</w:t>
      </w:r>
      <w:r w:rsidR="003A4D97">
        <w:rPr>
          <w:rFonts w:ascii="Times New Roman" w:hAnsi="Times New Roman" w:cs="Times New Roman"/>
          <w:sz w:val="24"/>
          <w:szCs w:val="24"/>
        </w:rPr>
        <w:t xml:space="preserve"> </w:t>
      </w:r>
      <w:r w:rsidRPr="00954679" w:rsidR="00367D11">
        <w:rPr>
          <w:rFonts w:ascii="Times New Roman" w:hAnsi="Times New Roman" w:cs="Times New Roman"/>
          <w:sz w:val="24"/>
          <w:szCs w:val="24"/>
        </w:rPr>
        <w:t xml:space="preserve">In addition, the </w:t>
      </w:r>
      <w:r w:rsidR="003A4D97">
        <w:rPr>
          <w:rFonts w:ascii="Times New Roman" w:hAnsi="Times New Roman" w:cs="Times New Roman"/>
          <w:sz w:val="24"/>
          <w:szCs w:val="24"/>
        </w:rPr>
        <w:t>participants</w:t>
      </w:r>
      <w:r w:rsidRPr="00954679" w:rsidR="00367D11">
        <w:rPr>
          <w:rFonts w:ascii="Times New Roman" w:hAnsi="Times New Roman" w:cs="Times New Roman"/>
          <w:sz w:val="24"/>
          <w:szCs w:val="24"/>
        </w:rPr>
        <w:t xml:space="preserve"> will be asked a series of questions </w:t>
      </w:r>
      <w:r w:rsidRPr="00954679" w:rsidR="004A7FE1">
        <w:rPr>
          <w:rFonts w:ascii="Times New Roman" w:hAnsi="Times New Roman" w:cs="Times New Roman"/>
          <w:sz w:val="24"/>
          <w:szCs w:val="24"/>
        </w:rPr>
        <w:t>to evaluate how the simulated auction compares to the actual CRP, which will provide statistics related to the external validity of the study design.</w:t>
      </w:r>
    </w:p>
    <w:p w:rsidR="00EC0A7A" w:rsidP="0046218E" w:rsidRDefault="00E648B4" w14:paraId="56B16A7F" w14:textId="77777777">
      <w:pPr>
        <w:rPr>
          <w:rFonts w:ascii="Times New Roman" w:hAnsi="Times New Roman" w:cs="Times New Roman"/>
          <w:b/>
          <w:bCs/>
          <w:sz w:val="24"/>
          <w:szCs w:val="24"/>
        </w:rPr>
      </w:pPr>
      <w:r w:rsidRPr="00954679">
        <w:rPr>
          <w:rFonts w:ascii="Times New Roman" w:hAnsi="Times New Roman" w:cs="Times New Roman"/>
          <w:b/>
          <w:bCs/>
          <w:sz w:val="24"/>
          <w:szCs w:val="24"/>
        </w:rPr>
        <w:t xml:space="preserve">12: </w:t>
      </w:r>
      <w:r w:rsidRPr="00954679" w:rsidR="0046218E">
        <w:rPr>
          <w:rFonts w:ascii="Times New Roman" w:hAnsi="Times New Roman" w:cs="Times New Roman"/>
          <w:b/>
          <w:bCs/>
          <w:sz w:val="24"/>
          <w:szCs w:val="24"/>
        </w:rPr>
        <w:t xml:space="preserve">Provide estimates of the hour burden of the collection of information.  The statement should indicate the number of respondents, frequency of response, annual hour burden, and an explanation of how the burden was estimated.  If this request for approval covers </w:t>
      </w:r>
      <w:r w:rsidRPr="00954679" w:rsidR="0046218E">
        <w:rPr>
          <w:rFonts w:ascii="Times New Roman" w:hAnsi="Times New Roman" w:cs="Times New Roman"/>
          <w:b/>
          <w:bCs/>
          <w:sz w:val="24"/>
          <w:szCs w:val="24"/>
        </w:rPr>
        <w:lastRenderedPageBreak/>
        <w:t xml:space="preserve">more than one form, provide separate hour burden estimates for each form and aggregate the hour burdens in Item 13 of OMB Form 83-I.  </w:t>
      </w:r>
      <w:r w:rsidRPr="00EC0A7A" w:rsidR="0046218E">
        <w:rPr>
          <w:rFonts w:ascii="Times New Roman" w:hAnsi="Times New Roman" w:cs="Times New Roman"/>
          <w:b/>
          <w:bCs/>
          <w:sz w:val="24"/>
          <w:szCs w:val="24"/>
        </w:rPr>
        <w:t>Provide estimates of annualized cost to respondents for the hour burdens for collections of information, identifying and using appropriate wage rate categories.</w:t>
      </w:r>
    </w:p>
    <w:p w:rsidR="003C7ED3" w:rsidP="0046218E" w:rsidRDefault="003C7ED3" w14:paraId="0FC0CEFF" w14:textId="5CB46FF9">
      <w:pPr>
        <w:rPr>
          <w:rFonts w:ascii="Times New Roman" w:hAnsi="Times New Roman" w:cs="Times New Roman"/>
          <w:sz w:val="24"/>
          <w:szCs w:val="24"/>
        </w:rPr>
      </w:pPr>
      <w:r w:rsidRPr="00982527">
        <w:rPr>
          <w:rFonts w:ascii="Times New Roman" w:hAnsi="Times New Roman" w:cs="Times New Roman"/>
          <w:sz w:val="24"/>
          <w:szCs w:val="24"/>
        </w:rPr>
        <w:t xml:space="preserve">The total estimated hour burden of collection </w:t>
      </w:r>
      <w:r w:rsidRPr="00982527" w:rsidR="00772AB6">
        <w:rPr>
          <w:rFonts w:ascii="Times New Roman" w:hAnsi="Times New Roman" w:cs="Times New Roman"/>
          <w:sz w:val="24"/>
          <w:szCs w:val="24"/>
        </w:rPr>
        <w:t>1,466.7</w:t>
      </w:r>
      <w:r w:rsidRPr="00982527">
        <w:rPr>
          <w:rFonts w:ascii="Times New Roman" w:hAnsi="Times New Roman" w:cs="Times New Roman"/>
          <w:sz w:val="24"/>
          <w:szCs w:val="24"/>
        </w:rPr>
        <w:t xml:space="preserve"> burden hours.  This includes a burden of </w:t>
      </w:r>
      <w:r w:rsidRPr="00982527" w:rsidR="00772AB6">
        <w:rPr>
          <w:rFonts w:ascii="Times New Roman" w:hAnsi="Times New Roman" w:cs="Times New Roman"/>
          <w:sz w:val="24"/>
          <w:szCs w:val="24"/>
        </w:rPr>
        <w:t>916.7</w:t>
      </w:r>
      <w:r w:rsidRPr="00982527">
        <w:rPr>
          <w:rFonts w:ascii="Times New Roman" w:hAnsi="Times New Roman" w:cs="Times New Roman"/>
          <w:sz w:val="24"/>
          <w:szCs w:val="24"/>
        </w:rPr>
        <w:t xml:space="preserve"> hours for study participants (responses).  This assumes</w:t>
      </w:r>
      <w:r w:rsidRPr="00982527" w:rsidR="00772AB6">
        <w:rPr>
          <w:rFonts w:ascii="Times New Roman" w:hAnsi="Times New Roman" w:cs="Times New Roman"/>
          <w:sz w:val="24"/>
          <w:szCs w:val="24"/>
        </w:rPr>
        <w:t>:</w:t>
      </w:r>
      <w:r w:rsidRPr="00982527">
        <w:rPr>
          <w:rFonts w:ascii="Times New Roman" w:hAnsi="Times New Roman" w:cs="Times New Roman"/>
          <w:sz w:val="24"/>
          <w:szCs w:val="24"/>
        </w:rPr>
        <w:t xml:space="preserve"> 1,</w:t>
      </w:r>
      <w:r w:rsidRPr="00982527" w:rsidR="00772AB6">
        <w:rPr>
          <w:rFonts w:ascii="Times New Roman" w:hAnsi="Times New Roman" w:cs="Times New Roman"/>
          <w:sz w:val="24"/>
          <w:szCs w:val="24"/>
        </w:rPr>
        <w:t>1</w:t>
      </w:r>
      <w:r w:rsidRPr="00982527">
        <w:rPr>
          <w:rFonts w:ascii="Times New Roman" w:hAnsi="Times New Roman" w:cs="Times New Roman"/>
          <w:sz w:val="24"/>
          <w:szCs w:val="24"/>
        </w:rPr>
        <w:t xml:space="preserve">00 participants; 30 minutes for study participation for each participant; and 5 minutes of recruitment burden.  For non-responses, the recruitment burden is </w:t>
      </w:r>
      <w:r w:rsidR="003A4D97">
        <w:rPr>
          <w:rFonts w:ascii="Times New Roman" w:hAnsi="Times New Roman" w:cs="Times New Roman"/>
          <w:sz w:val="24"/>
          <w:szCs w:val="24"/>
        </w:rPr>
        <w:t>825</w:t>
      </w:r>
      <w:r w:rsidRPr="00982527" w:rsidR="00772AB6">
        <w:rPr>
          <w:rFonts w:ascii="Times New Roman" w:hAnsi="Times New Roman" w:cs="Times New Roman"/>
          <w:sz w:val="24"/>
          <w:szCs w:val="24"/>
        </w:rPr>
        <w:t>.0</w:t>
      </w:r>
      <w:r w:rsidRPr="00982527">
        <w:rPr>
          <w:rFonts w:ascii="Times New Roman" w:hAnsi="Times New Roman" w:cs="Times New Roman"/>
          <w:sz w:val="24"/>
          <w:szCs w:val="24"/>
        </w:rPr>
        <w:t xml:space="preserve"> hours based on an expected 10 percent response rate</w:t>
      </w:r>
      <w:r w:rsidRPr="00982527" w:rsidR="00772AB6">
        <w:rPr>
          <w:rFonts w:ascii="Times New Roman" w:hAnsi="Times New Roman" w:cs="Times New Roman"/>
          <w:sz w:val="24"/>
          <w:szCs w:val="24"/>
        </w:rPr>
        <w:t>.</w:t>
      </w:r>
      <w:r w:rsidRPr="00982527">
        <w:rPr>
          <w:rFonts w:ascii="Times New Roman" w:hAnsi="Times New Roman" w:cs="Times New Roman"/>
          <w:sz w:val="24"/>
          <w:szCs w:val="24"/>
        </w:rPr>
        <w:t xml:space="preserve"> </w:t>
      </w:r>
    </w:p>
    <w:p w:rsidR="0057281C" w:rsidP="0046218E" w:rsidRDefault="0057281C" w14:paraId="11389640" w14:textId="42E8D337">
      <w:pPr>
        <w:rPr>
          <w:rFonts w:ascii="Times New Roman" w:hAnsi="Times New Roman" w:cs="Times New Roman"/>
          <w:sz w:val="24"/>
          <w:szCs w:val="24"/>
        </w:rPr>
      </w:pPr>
    </w:p>
    <w:p w:rsidR="0057281C" w:rsidP="0046218E" w:rsidRDefault="0057281C" w14:paraId="78FBC722" w14:textId="77777777">
      <w:pPr>
        <w:rPr>
          <w:rFonts w:ascii="Times New Roman" w:hAnsi="Times New Roman" w:cs="Times New Roman"/>
          <w:sz w:val="24"/>
          <w:szCs w:val="24"/>
        </w:rPr>
      </w:pPr>
    </w:p>
    <w:tbl>
      <w:tblPr>
        <w:tblW w:w="10300" w:type="dxa"/>
        <w:tblLook w:val="04A0" w:firstRow="1" w:lastRow="0" w:firstColumn="1" w:lastColumn="0" w:noHBand="0" w:noVBand="1"/>
      </w:tblPr>
      <w:tblGrid>
        <w:gridCol w:w="1480"/>
        <w:gridCol w:w="1300"/>
        <w:gridCol w:w="1160"/>
        <w:gridCol w:w="1120"/>
        <w:gridCol w:w="1100"/>
        <w:gridCol w:w="960"/>
        <w:gridCol w:w="1160"/>
        <w:gridCol w:w="1060"/>
        <w:gridCol w:w="960"/>
      </w:tblGrid>
      <w:tr w:rsidRPr="00772AB6" w:rsidR="00982527" w:rsidTr="00772AB6" w14:paraId="594C4CEF" w14:textId="77777777">
        <w:trPr>
          <w:trHeight w:val="300"/>
        </w:trPr>
        <w:tc>
          <w:tcPr>
            <w:tcW w:w="1480" w:type="dxa"/>
            <w:tcBorders>
              <w:top w:val="single" w:color="auto" w:sz="8" w:space="0"/>
              <w:left w:val="single" w:color="auto" w:sz="8" w:space="0"/>
              <w:bottom w:val="nil"/>
              <w:right w:val="nil"/>
            </w:tcBorders>
            <w:shd w:val="clear" w:color="auto" w:fill="auto"/>
            <w:noWrap/>
            <w:vAlign w:val="bottom"/>
            <w:hideMark/>
          </w:tcPr>
          <w:p w:rsidRPr="00772AB6" w:rsidR="00772AB6" w:rsidP="00772AB6" w:rsidRDefault="00772AB6" w14:paraId="0310EAF7"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 </w:t>
            </w:r>
          </w:p>
        </w:tc>
        <w:tc>
          <w:tcPr>
            <w:tcW w:w="8820" w:type="dxa"/>
            <w:gridSpan w:val="8"/>
            <w:tcBorders>
              <w:top w:val="single" w:color="auto" w:sz="8" w:space="0"/>
              <w:left w:val="nil"/>
              <w:bottom w:val="nil"/>
              <w:right w:val="single" w:color="000000" w:sz="8" w:space="0"/>
            </w:tcBorders>
            <w:shd w:val="clear" w:color="auto" w:fill="auto"/>
            <w:noWrap/>
            <w:vAlign w:val="bottom"/>
            <w:hideMark/>
          </w:tcPr>
          <w:p w:rsidRPr="00772AB6" w:rsidR="00772AB6" w:rsidP="00772AB6" w:rsidRDefault="00772AB6" w14:paraId="3B12BF93"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Burden Hours: 10% Response Rate</w:t>
            </w:r>
          </w:p>
        </w:tc>
      </w:tr>
      <w:tr w:rsidRPr="00772AB6" w:rsidR="00982527" w:rsidTr="00772AB6" w14:paraId="4FF7607E" w14:textId="77777777">
        <w:trPr>
          <w:trHeight w:val="300"/>
        </w:trPr>
        <w:tc>
          <w:tcPr>
            <w:tcW w:w="1480" w:type="dxa"/>
            <w:tcBorders>
              <w:top w:val="nil"/>
              <w:left w:val="single" w:color="auto" w:sz="8" w:space="0"/>
              <w:bottom w:val="nil"/>
              <w:right w:val="nil"/>
            </w:tcBorders>
            <w:shd w:val="clear" w:color="auto" w:fill="auto"/>
            <w:noWrap/>
            <w:vAlign w:val="bottom"/>
            <w:hideMark/>
          </w:tcPr>
          <w:p w:rsidRPr="00772AB6" w:rsidR="00772AB6" w:rsidP="00772AB6" w:rsidRDefault="00772AB6" w14:paraId="5F305832"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5CB45B2A"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338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772AB6" w:rsidR="00772AB6" w:rsidP="00772AB6" w:rsidRDefault="00772AB6" w14:paraId="0E1A54C5"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Responses</w:t>
            </w:r>
          </w:p>
        </w:tc>
        <w:tc>
          <w:tcPr>
            <w:tcW w:w="3180" w:type="dxa"/>
            <w:gridSpan w:val="3"/>
            <w:tcBorders>
              <w:top w:val="single" w:color="auto" w:sz="4" w:space="0"/>
              <w:left w:val="nil"/>
              <w:bottom w:val="nil"/>
              <w:right w:val="single" w:color="000000" w:sz="4" w:space="0"/>
            </w:tcBorders>
            <w:shd w:val="clear" w:color="auto" w:fill="auto"/>
            <w:noWrap/>
            <w:vAlign w:val="bottom"/>
            <w:hideMark/>
          </w:tcPr>
          <w:p w:rsidRPr="00772AB6" w:rsidR="00772AB6" w:rsidP="00772AB6" w:rsidRDefault="00772AB6" w14:paraId="2332BC5F"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Non-Response</w:t>
            </w:r>
          </w:p>
        </w:tc>
        <w:tc>
          <w:tcPr>
            <w:tcW w:w="960" w:type="dxa"/>
            <w:tcBorders>
              <w:top w:val="nil"/>
              <w:left w:val="nil"/>
              <w:bottom w:val="nil"/>
              <w:right w:val="single" w:color="auto" w:sz="8" w:space="0"/>
            </w:tcBorders>
            <w:shd w:val="clear" w:color="auto" w:fill="auto"/>
            <w:noWrap/>
            <w:vAlign w:val="bottom"/>
            <w:hideMark/>
          </w:tcPr>
          <w:p w:rsidRPr="00772AB6" w:rsidR="00772AB6" w:rsidP="00772AB6" w:rsidRDefault="00772AB6" w14:paraId="6C7141D4"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r>
      <w:tr w:rsidRPr="00772AB6" w:rsidR="00982527" w:rsidTr="00772AB6" w14:paraId="55999408" w14:textId="77777777">
        <w:trPr>
          <w:trHeight w:val="900"/>
        </w:trPr>
        <w:tc>
          <w:tcPr>
            <w:tcW w:w="1480" w:type="dxa"/>
            <w:tcBorders>
              <w:top w:val="nil"/>
              <w:left w:val="single" w:color="auto" w:sz="8" w:space="0"/>
              <w:bottom w:val="nil"/>
              <w:right w:val="nil"/>
            </w:tcBorders>
            <w:shd w:val="clear" w:color="auto" w:fill="auto"/>
            <w:noWrap/>
            <w:vAlign w:val="bottom"/>
            <w:hideMark/>
          </w:tcPr>
          <w:p w:rsidRPr="00772AB6" w:rsidR="00772AB6" w:rsidP="00772AB6" w:rsidRDefault="00772AB6" w14:paraId="603DB2FD"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 </w:t>
            </w:r>
          </w:p>
        </w:tc>
        <w:tc>
          <w:tcPr>
            <w:tcW w:w="1300" w:type="dxa"/>
            <w:tcBorders>
              <w:top w:val="nil"/>
              <w:left w:val="single" w:color="auto" w:sz="4" w:space="0"/>
              <w:bottom w:val="single" w:color="auto" w:sz="4" w:space="0"/>
              <w:right w:val="nil"/>
            </w:tcBorders>
            <w:shd w:val="clear" w:color="auto" w:fill="auto"/>
            <w:vAlign w:val="bottom"/>
            <w:hideMark/>
          </w:tcPr>
          <w:p w:rsidRPr="00772AB6" w:rsidR="00772AB6" w:rsidP="00772AB6" w:rsidRDefault="00772AB6" w14:paraId="3A087F5C"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Sample Size</w:t>
            </w:r>
          </w:p>
        </w:tc>
        <w:tc>
          <w:tcPr>
            <w:tcW w:w="1160" w:type="dxa"/>
            <w:tcBorders>
              <w:top w:val="nil"/>
              <w:left w:val="single" w:color="auto" w:sz="4" w:space="0"/>
              <w:bottom w:val="single" w:color="auto" w:sz="4" w:space="0"/>
              <w:right w:val="single" w:color="auto" w:sz="4" w:space="0"/>
            </w:tcBorders>
            <w:shd w:val="clear" w:color="auto" w:fill="auto"/>
            <w:vAlign w:val="bottom"/>
            <w:hideMark/>
          </w:tcPr>
          <w:p w:rsidRPr="00772AB6" w:rsidR="00772AB6" w:rsidP="00772AB6" w:rsidRDefault="00772AB6" w14:paraId="730AB207"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Count</w:t>
            </w:r>
          </w:p>
        </w:tc>
        <w:tc>
          <w:tcPr>
            <w:tcW w:w="1120" w:type="dxa"/>
            <w:tcBorders>
              <w:top w:val="nil"/>
              <w:left w:val="nil"/>
              <w:bottom w:val="single" w:color="auto" w:sz="4" w:space="0"/>
              <w:right w:val="single" w:color="auto" w:sz="4" w:space="0"/>
            </w:tcBorders>
            <w:shd w:val="clear" w:color="auto" w:fill="auto"/>
            <w:vAlign w:val="bottom"/>
            <w:hideMark/>
          </w:tcPr>
          <w:p w:rsidRPr="00772AB6" w:rsidR="00772AB6" w:rsidP="00772AB6" w:rsidRDefault="00772AB6" w14:paraId="7C5CACED"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Minutes / response</w:t>
            </w:r>
          </w:p>
        </w:tc>
        <w:tc>
          <w:tcPr>
            <w:tcW w:w="1100" w:type="dxa"/>
            <w:tcBorders>
              <w:top w:val="nil"/>
              <w:left w:val="nil"/>
              <w:bottom w:val="single" w:color="auto" w:sz="4" w:space="0"/>
              <w:right w:val="single" w:color="auto" w:sz="4" w:space="0"/>
            </w:tcBorders>
            <w:shd w:val="clear" w:color="auto" w:fill="auto"/>
            <w:vAlign w:val="bottom"/>
            <w:hideMark/>
          </w:tcPr>
          <w:p w:rsidRPr="00772AB6" w:rsidR="00772AB6" w:rsidP="00772AB6" w:rsidRDefault="00772AB6" w14:paraId="0A630001"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Subtotal Burden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772AB6" w:rsidR="00772AB6" w:rsidP="00772AB6" w:rsidRDefault="00772AB6" w14:paraId="1303DC3D"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Count</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772AB6" w:rsidR="00772AB6" w:rsidP="00772AB6" w:rsidRDefault="00772AB6" w14:paraId="1624DAA4"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Minutes / Response</w:t>
            </w:r>
          </w:p>
        </w:tc>
        <w:tc>
          <w:tcPr>
            <w:tcW w:w="1060" w:type="dxa"/>
            <w:tcBorders>
              <w:top w:val="single" w:color="auto" w:sz="4" w:space="0"/>
              <w:left w:val="nil"/>
              <w:bottom w:val="single" w:color="auto" w:sz="4" w:space="0"/>
              <w:right w:val="single" w:color="auto" w:sz="4" w:space="0"/>
            </w:tcBorders>
            <w:shd w:val="clear" w:color="auto" w:fill="auto"/>
            <w:vAlign w:val="bottom"/>
            <w:hideMark/>
          </w:tcPr>
          <w:p w:rsidRPr="00772AB6" w:rsidR="00772AB6" w:rsidP="00772AB6" w:rsidRDefault="00772AB6" w14:paraId="1EE48E30"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Subtotal Burden Hours</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772AB6" w:rsidR="00772AB6" w:rsidP="00772AB6" w:rsidRDefault="00772AB6" w14:paraId="412F7B4A"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Total Burden Hours</w:t>
            </w:r>
          </w:p>
        </w:tc>
      </w:tr>
      <w:tr w:rsidRPr="00772AB6" w:rsidR="00982527" w:rsidTr="00772AB6" w14:paraId="4E80B00D" w14:textId="77777777">
        <w:trPr>
          <w:trHeight w:val="300"/>
        </w:trPr>
        <w:tc>
          <w:tcPr>
            <w:tcW w:w="1480" w:type="dxa"/>
            <w:tcBorders>
              <w:top w:val="nil"/>
              <w:left w:val="single" w:color="auto" w:sz="8" w:space="0"/>
              <w:bottom w:val="nil"/>
              <w:right w:val="nil"/>
            </w:tcBorders>
            <w:shd w:val="clear" w:color="auto" w:fill="auto"/>
            <w:noWrap/>
            <w:vAlign w:val="bottom"/>
            <w:hideMark/>
          </w:tcPr>
          <w:p w:rsidRPr="00772AB6" w:rsidR="00772AB6" w:rsidP="00772AB6" w:rsidRDefault="00772AB6" w14:paraId="7FD0E20D"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Recruitment</w:t>
            </w:r>
          </w:p>
        </w:tc>
        <w:tc>
          <w:tcPr>
            <w:tcW w:w="1300" w:type="dxa"/>
            <w:tcBorders>
              <w:top w:val="nil"/>
              <w:left w:val="single" w:color="auto" w:sz="4" w:space="0"/>
              <w:bottom w:val="nil"/>
              <w:right w:val="single" w:color="auto" w:sz="4" w:space="0"/>
            </w:tcBorders>
            <w:shd w:val="clear" w:color="auto" w:fill="auto"/>
            <w:noWrap/>
            <w:vAlign w:val="bottom"/>
            <w:hideMark/>
          </w:tcPr>
          <w:p w:rsidRPr="00772AB6" w:rsidR="00772AB6" w:rsidP="00772AB6" w:rsidRDefault="00772AB6" w14:paraId="0B7D0330"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11,000</w:t>
            </w:r>
          </w:p>
        </w:tc>
        <w:tc>
          <w:tcPr>
            <w:tcW w:w="1160" w:type="dxa"/>
            <w:tcBorders>
              <w:top w:val="nil"/>
              <w:left w:val="nil"/>
              <w:bottom w:val="nil"/>
              <w:right w:val="single" w:color="auto" w:sz="4" w:space="0"/>
            </w:tcBorders>
            <w:shd w:val="clear" w:color="auto" w:fill="auto"/>
            <w:noWrap/>
            <w:vAlign w:val="bottom"/>
            <w:hideMark/>
          </w:tcPr>
          <w:p w:rsidRPr="00772AB6" w:rsidR="00772AB6" w:rsidP="00772AB6" w:rsidRDefault="00772AB6" w14:paraId="55F002A8"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1,100</w:t>
            </w:r>
          </w:p>
        </w:tc>
        <w:tc>
          <w:tcPr>
            <w:tcW w:w="1120" w:type="dxa"/>
            <w:tcBorders>
              <w:top w:val="nil"/>
              <w:left w:val="nil"/>
              <w:bottom w:val="nil"/>
              <w:right w:val="single" w:color="auto" w:sz="4" w:space="0"/>
            </w:tcBorders>
            <w:shd w:val="clear" w:color="auto" w:fill="auto"/>
            <w:noWrap/>
            <w:vAlign w:val="bottom"/>
            <w:hideMark/>
          </w:tcPr>
          <w:p w:rsidRPr="00772AB6" w:rsidR="00772AB6" w:rsidP="00772AB6" w:rsidRDefault="00772AB6" w14:paraId="73A2C60A"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5</w:t>
            </w:r>
          </w:p>
        </w:tc>
        <w:tc>
          <w:tcPr>
            <w:tcW w:w="1100" w:type="dxa"/>
            <w:tcBorders>
              <w:top w:val="nil"/>
              <w:left w:val="nil"/>
              <w:bottom w:val="nil"/>
              <w:right w:val="single" w:color="auto" w:sz="4" w:space="0"/>
            </w:tcBorders>
            <w:shd w:val="clear" w:color="auto" w:fill="auto"/>
            <w:noWrap/>
            <w:vAlign w:val="bottom"/>
            <w:hideMark/>
          </w:tcPr>
          <w:p w:rsidRPr="00772AB6" w:rsidR="00772AB6" w:rsidP="00772AB6" w:rsidRDefault="00772AB6" w14:paraId="469453C3"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91.7</w:t>
            </w:r>
          </w:p>
        </w:tc>
        <w:tc>
          <w:tcPr>
            <w:tcW w:w="960" w:type="dxa"/>
            <w:tcBorders>
              <w:top w:val="nil"/>
              <w:left w:val="nil"/>
              <w:bottom w:val="nil"/>
              <w:right w:val="single" w:color="auto" w:sz="4" w:space="0"/>
            </w:tcBorders>
            <w:shd w:val="clear" w:color="auto" w:fill="auto"/>
            <w:noWrap/>
            <w:vAlign w:val="bottom"/>
            <w:hideMark/>
          </w:tcPr>
          <w:p w:rsidRPr="00772AB6" w:rsidR="00772AB6" w:rsidP="00772AB6" w:rsidRDefault="00772AB6" w14:paraId="435E297F"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9,900</w:t>
            </w:r>
          </w:p>
        </w:tc>
        <w:tc>
          <w:tcPr>
            <w:tcW w:w="1160" w:type="dxa"/>
            <w:tcBorders>
              <w:top w:val="nil"/>
              <w:left w:val="nil"/>
              <w:bottom w:val="nil"/>
              <w:right w:val="single" w:color="auto" w:sz="4" w:space="0"/>
            </w:tcBorders>
            <w:shd w:val="clear" w:color="auto" w:fill="auto"/>
            <w:noWrap/>
            <w:vAlign w:val="bottom"/>
            <w:hideMark/>
          </w:tcPr>
          <w:p w:rsidRPr="00772AB6" w:rsidR="00772AB6" w:rsidP="00772AB6" w:rsidRDefault="00772AB6" w14:paraId="0E6AB5D2"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5</w:t>
            </w:r>
          </w:p>
        </w:tc>
        <w:tc>
          <w:tcPr>
            <w:tcW w:w="1060" w:type="dxa"/>
            <w:tcBorders>
              <w:top w:val="nil"/>
              <w:left w:val="nil"/>
              <w:bottom w:val="nil"/>
              <w:right w:val="single" w:color="auto" w:sz="4" w:space="0"/>
            </w:tcBorders>
            <w:shd w:val="clear" w:color="auto" w:fill="auto"/>
            <w:noWrap/>
            <w:vAlign w:val="bottom"/>
            <w:hideMark/>
          </w:tcPr>
          <w:p w:rsidRPr="00772AB6" w:rsidR="00772AB6" w:rsidP="00772AB6" w:rsidRDefault="00772AB6" w14:paraId="2ECDF41C"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825.0</w:t>
            </w:r>
          </w:p>
        </w:tc>
        <w:tc>
          <w:tcPr>
            <w:tcW w:w="960" w:type="dxa"/>
            <w:tcBorders>
              <w:top w:val="nil"/>
              <w:left w:val="nil"/>
              <w:bottom w:val="nil"/>
              <w:right w:val="single" w:color="auto" w:sz="8" w:space="0"/>
            </w:tcBorders>
            <w:shd w:val="clear" w:color="auto" w:fill="auto"/>
            <w:noWrap/>
            <w:vAlign w:val="bottom"/>
            <w:hideMark/>
          </w:tcPr>
          <w:p w:rsidRPr="00772AB6" w:rsidR="00772AB6" w:rsidP="00772AB6" w:rsidRDefault="00772AB6" w14:paraId="2E1AA034"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916.7</w:t>
            </w:r>
          </w:p>
        </w:tc>
      </w:tr>
      <w:tr w:rsidRPr="00772AB6" w:rsidR="00982527" w:rsidTr="00772AB6" w14:paraId="02E066B7" w14:textId="77777777">
        <w:trPr>
          <w:trHeight w:val="300"/>
        </w:trPr>
        <w:tc>
          <w:tcPr>
            <w:tcW w:w="1480" w:type="dxa"/>
            <w:tcBorders>
              <w:top w:val="nil"/>
              <w:left w:val="single" w:color="auto" w:sz="8" w:space="0"/>
              <w:bottom w:val="nil"/>
              <w:right w:val="nil"/>
            </w:tcBorders>
            <w:shd w:val="clear" w:color="auto" w:fill="auto"/>
            <w:noWrap/>
            <w:vAlign w:val="bottom"/>
            <w:hideMark/>
          </w:tcPr>
          <w:p w:rsidRPr="00772AB6" w:rsidR="00772AB6" w:rsidP="00772AB6" w:rsidRDefault="00772AB6" w14:paraId="39EEAF4D"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Participation</w:t>
            </w:r>
          </w:p>
        </w:tc>
        <w:tc>
          <w:tcPr>
            <w:tcW w:w="1300" w:type="dxa"/>
            <w:tcBorders>
              <w:top w:val="nil"/>
              <w:left w:val="single" w:color="auto" w:sz="4" w:space="0"/>
              <w:bottom w:val="single" w:color="auto" w:sz="4" w:space="0"/>
              <w:right w:val="single" w:color="auto" w:sz="4" w:space="0"/>
            </w:tcBorders>
            <w:shd w:val="clear" w:color="auto" w:fill="auto"/>
            <w:noWrap/>
            <w:vAlign w:val="bottom"/>
            <w:hideMark/>
          </w:tcPr>
          <w:p w:rsidRPr="00772AB6" w:rsidR="00772AB6" w:rsidP="00772AB6" w:rsidRDefault="00772AB6" w14:paraId="14C7E8E1"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543DB34A"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1,100</w:t>
            </w:r>
          </w:p>
        </w:tc>
        <w:tc>
          <w:tcPr>
            <w:tcW w:w="112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5E13F685"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30</w:t>
            </w:r>
          </w:p>
        </w:tc>
        <w:tc>
          <w:tcPr>
            <w:tcW w:w="110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3EE547F3"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550.0</w:t>
            </w:r>
          </w:p>
        </w:tc>
        <w:tc>
          <w:tcPr>
            <w:tcW w:w="96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7D0603E0"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6ACF96F8"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72AB6" w:rsidR="00772AB6" w:rsidP="00772AB6" w:rsidRDefault="00772AB6" w14:paraId="38DF85D4"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960" w:type="dxa"/>
            <w:tcBorders>
              <w:top w:val="nil"/>
              <w:left w:val="nil"/>
              <w:bottom w:val="single" w:color="auto" w:sz="4" w:space="0"/>
              <w:right w:val="single" w:color="auto" w:sz="8" w:space="0"/>
            </w:tcBorders>
            <w:shd w:val="clear" w:color="auto" w:fill="auto"/>
            <w:noWrap/>
            <w:vAlign w:val="bottom"/>
            <w:hideMark/>
          </w:tcPr>
          <w:p w:rsidRPr="00772AB6" w:rsidR="00772AB6" w:rsidP="00772AB6" w:rsidRDefault="00772AB6" w14:paraId="721DF8D8"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550.0</w:t>
            </w:r>
          </w:p>
        </w:tc>
      </w:tr>
      <w:tr w:rsidRPr="00772AB6" w:rsidR="00982527" w:rsidTr="00772AB6" w14:paraId="7968927E" w14:textId="77777777">
        <w:trPr>
          <w:trHeight w:val="315"/>
        </w:trPr>
        <w:tc>
          <w:tcPr>
            <w:tcW w:w="1480" w:type="dxa"/>
            <w:tcBorders>
              <w:top w:val="nil"/>
              <w:left w:val="single" w:color="auto" w:sz="8" w:space="0"/>
              <w:bottom w:val="single" w:color="auto" w:sz="8" w:space="0"/>
              <w:right w:val="nil"/>
            </w:tcBorders>
            <w:shd w:val="clear" w:color="auto" w:fill="auto"/>
            <w:noWrap/>
            <w:vAlign w:val="bottom"/>
            <w:hideMark/>
          </w:tcPr>
          <w:p w:rsidRPr="00772AB6" w:rsidR="00772AB6" w:rsidP="00772AB6" w:rsidRDefault="00772AB6" w14:paraId="75D131D9" w14:textId="77777777">
            <w:pPr>
              <w:spacing w:after="0" w:line="240" w:lineRule="auto"/>
              <w:rPr>
                <w:rFonts w:ascii="Calibri" w:hAnsi="Calibri" w:eastAsia="Times New Roman" w:cs="Calibri"/>
                <w:color w:val="000000"/>
              </w:rPr>
            </w:pPr>
            <w:r w:rsidRPr="00772AB6">
              <w:rPr>
                <w:rFonts w:ascii="Calibri" w:hAnsi="Calibri" w:eastAsia="Times New Roman" w:cs="Calibri"/>
                <w:color w:val="000000"/>
              </w:rPr>
              <w:t> </w:t>
            </w:r>
          </w:p>
        </w:tc>
        <w:tc>
          <w:tcPr>
            <w:tcW w:w="1300" w:type="dxa"/>
            <w:tcBorders>
              <w:top w:val="nil"/>
              <w:left w:val="nil"/>
              <w:bottom w:val="single" w:color="auto" w:sz="8" w:space="0"/>
              <w:right w:val="nil"/>
            </w:tcBorders>
            <w:shd w:val="clear" w:color="auto" w:fill="auto"/>
            <w:noWrap/>
            <w:vAlign w:val="bottom"/>
            <w:hideMark/>
          </w:tcPr>
          <w:p w:rsidRPr="00772AB6" w:rsidR="00772AB6" w:rsidP="00772AB6" w:rsidRDefault="00772AB6" w14:paraId="75725AF3"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60" w:type="dxa"/>
            <w:tcBorders>
              <w:top w:val="nil"/>
              <w:left w:val="nil"/>
              <w:bottom w:val="single" w:color="auto" w:sz="8" w:space="0"/>
              <w:right w:val="nil"/>
            </w:tcBorders>
            <w:shd w:val="clear" w:color="auto" w:fill="auto"/>
            <w:noWrap/>
            <w:vAlign w:val="bottom"/>
            <w:hideMark/>
          </w:tcPr>
          <w:p w:rsidRPr="00772AB6" w:rsidR="00772AB6" w:rsidP="00772AB6" w:rsidRDefault="00772AB6" w14:paraId="3F181CA1"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20" w:type="dxa"/>
            <w:tcBorders>
              <w:top w:val="nil"/>
              <w:left w:val="nil"/>
              <w:bottom w:val="single" w:color="auto" w:sz="8" w:space="0"/>
              <w:right w:val="nil"/>
            </w:tcBorders>
            <w:shd w:val="clear" w:color="auto" w:fill="auto"/>
            <w:noWrap/>
            <w:vAlign w:val="bottom"/>
            <w:hideMark/>
          </w:tcPr>
          <w:p w:rsidRPr="00772AB6" w:rsidR="00772AB6" w:rsidP="00772AB6" w:rsidRDefault="00772AB6" w14:paraId="1B0F2C2D"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00" w:type="dxa"/>
            <w:tcBorders>
              <w:top w:val="nil"/>
              <w:left w:val="nil"/>
              <w:bottom w:val="single" w:color="auto" w:sz="8" w:space="0"/>
              <w:right w:val="nil"/>
            </w:tcBorders>
            <w:shd w:val="clear" w:color="auto" w:fill="auto"/>
            <w:noWrap/>
            <w:vAlign w:val="bottom"/>
            <w:hideMark/>
          </w:tcPr>
          <w:p w:rsidRPr="00772AB6" w:rsidR="00772AB6" w:rsidP="00772AB6" w:rsidRDefault="00772AB6" w14:paraId="301E6C1A"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960" w:type="dxa"/>
            <w:tcBorders>
              <w:top w:val="nil"/>
              <w:left w:val="nil"/>
              <w:bottom w:val="single" w:color="auto" w:sz="8" w:space="0"/>
              <w:right w:val="nil"/>
            </w:tcBorders>
            <w:shd w:val="clear" w:color="auto" w:fill="auto"/>
            <w:noWrap/>
            <w:vAlign w:val="bottom"/>
            <w:hideMark/>
          </w:tcPr>
          <w:p w:rsidRPr="00772AB6" w:rsidR="00772AB6" w:rsidP="00772AB6" w:rsidRDefault="00772AB6" w14:paraId="1A25EC4D"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160" w:type="dxa"/>
            <w:tcBorders>
              <w:top w:val="nil"/>
              <w:left w:val="nil"/>
              <w:bottom w:val="single" w:color="auto" w:sz="8" w:space="0"/>
              <w:right w:val="nil"/>
            </w:tcBorders>
            <w:shd w:val="clear" w:color="auto" w:fill="auto"/>
            <w:noWrap/>
            <w:vAlign w:val="bottom"/>
            <w:hideMark/>
          </w:tcPr>
          <w:p w:rsidRPr="00772AB6" w:rsidR="00772AB6" w:rsidP="00772AB6" w:rsidRDefault="00772AB6" w14:paraId="3BE70B0F"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1060" w:type="dxa"/>
            <w:tcBorders>
              <w:top w:val="nil"/>
              <w:left w:val="nil"/>
              <w:bottom w:val="single" w:color="auto" w:sz="8" w:space="0"/>
              <w:right w:val="nil"/>
            </w:tcBorders>
            <w:shd w:val="clear" w:color="auto" w:fill="auto"/>
            <w:noWrap/>
            <w:vAlign w:val="bottom"/>
            <w:hideMark/>
          </w:tcPr>
          <w:p w:rsidRPr="00772AB6" w:rsidR="00772AB6" w:rsidP="00772AB6" w:rsidRDefault="00772AB6" w14:paraId="29A0040F"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 </w:t>
            </w:r>
          </w:p>
        </w:tc>
        <w:tc>
          <w:tcPr>
            <w:tcW w:w="960" w:type="dxa"/>
            <w:tcBorders>
              <w:top w:val="nil"/>
              <w:left w:val="nil"/>
              <w:bottom w:val="single" w:color="auto" w:sz="8" w:space="0"/>
              <w:right w:val="single" w:color="auto" w:sz="8" w:space="0"/>
            </w:tcBorders>
            <w:shd w:val="clear" w:color="auto" w:fill="auto"/>
            <w:noWrap/>
            <w:vAlign w:val="bottom"/>
            <w:hideMark/>
          </w:tcPr>
          <w:p w:rsidRPr="00772AB6" w:rsidR="00772AB6" w:rsidP="00772AB6" w:rsidRDefault="00772AB6" w14:paraId="7AC88378" w14:textId="77777777">
            <w:pPr>
              <w:spacing w:after="0" w:line="240" w:lineRule="auto"/>
              <w:jc w:val="center"/>
              <w:rPr>
                <w:rFonts w:ascii="Calibri" w:hAnsi="Calibri" w:eastAsia="Times New Roman" w:cs="Calibri"/>
                <w:color w:val="000000"/>
              </w:rPr>
            </w:pPr>
            <w:r w:rsidRPr="00772AB6">
              <w:rPr>
                <w:rFonts w:ascii="Calibri" w:hAnsi="Calibri" w:eastAsia="Times New Roman" w:cs="Calibri"/>
                <w:color w:val="000000"/>
              </w:rPr>
              <w:t>1,466.7</w:t>
            </w:r>
          </w:p>
        </w:tc>
      </w:tr>
    </w:tbl>
    <w:p w:rsidR="00653FA4" w:rsidP="0046218E" w:rsidRDefault="00653FA4" w14:paraId="07B73E08" w14:textId="247A03A5">
      <w:pPr>
        <w:rPr>
          <w:rFonts w:ascii="Times New Roman" w:hAnsi="Times New Roman" w:cs="Times New Roman"/>
          <w:sz w:val="24"/>
          <w:szCs w:val="24"/>
        </w:rPr>
      </w:pPr>
    </w:p>
    <w:p w:rsidR="00EC0A7A" w:rsidP="00EC0A7A" w:rsidRDefault="00EC0A7A" w14:paraId="1971970A" w14:textId="511C451C">
      <w:pPr>
        <w:rPr>
          <w:rFonts w:ascii="Times New Roman" w:hAnsi="Times New Roman" w:cs="Times New Roman"/>
          <w:sz w:val="24"/>
          <w:szCs w:val="24"/>
        </w:rPr>
      </w:pPr>
      <w:r w:rsidRPr="00EC0A7A">
        <w:rPr>
          <w:rFonts w:ascii="Times New Roman" w:hAnsi="Times New Roman" w:cs="Times New Roman"/>
          <w:sz w:val="24"/>
          <w:szCs w:val="24"/>
        </w:rPr>
        <w:t xml:space="preserve">Respondent cost per hour </w:t>
      </w:r>
      <w:r w:rsidR="00245904">
        <w:rPr>
          <w:rFonts w:ascii="Times New Roman" w:hAnsi="Times New Roman" w:cs="Times New Roman"/>
          <w:sz w:val="24"/>
          <w:szCs w:val="24"/>
        </w:rPr>
        <w:t xml:space="preserve">for the farmer population </w:t>
      </w:r>
      <w:r w:rsidRPr="00EC0A7A">
        <w:rPr>
          <w:rFonts w:ascii="Times New Roman" w:hAnsi="Times New Roman" w:cs="Times New Roman"/>
          <w:sz w:val="24"/>
          <w:szCs w:val="24"/>
        </w:rPr>
        <w:t xml:space="preserve">was derived by using U.S. Bureau of Labor Statistics Occupational Employment and Wages, May 2020, 11-9013 Farmers, Ranchers, and Other Agricultural Managers. The U.S. mean household income, as measured by the Bureau of Labor, is $41.35.  </w:t>
      </w:r>
      <w:bookmarkStart w:name="_Hlk39766164" w:id="0"/>
      <w:r w:rsidRPr="00EC0A7A">
        <w:rPr>
          <w:rFonts w:ascii="Times New Roman" w:hAnsi="Times New Roman" w:cs="Times New Roman"/>
          <w:sz w:val="24"/>
          <w:szCs w:val="24"/>
        </w:rPr>
        <w:t>Fringe benefits for all private industry workers are an additional 29.9 percent,</w:t>
      </w:r>
      <w:r w:rsidRPr="00EC0A7A">
        <w:rPr>
          <w:rFonts w:ascii="Times New Roman" w:hAnsi="Times New Roman" w:cs="Times New Roman"/>
          <w:sz w:val="24"/>
          <w:szCs w:val="24"/>
          <w:vertAlign w:val="superscript"/>
        </w:rPr>
        <w:footnoteReference w:id="1"/>
      </w:r>
      <w:r w:rsidRPr="00EC0A7A">
        <w:rPr>
          <w:rFonts w:ascii="Times New Roman" w:hAnsi="Times New Roman" w:cs="Times New Roman"/>
          <w:sz w:val="24"/>
          <w:szCs w:val="24"/>
        </w:rPr>
        <w:t xml:space="preserve"> or $12.36, resulting in a total of $53.71 per hour.  </w:t>
      </w:r>
      <w:bookmarkEnd w:id="0"/>
      <w:r w:rsidRPr="00EC0A7A">
        <w:rPr>
          <w:rFonts w:ascii="Times New Roman" w:hAnsi="Times New Roman" w:cs="Times New Roman"/>
          <w:sz w:val="24"/>
          <w:szCs w:val="24"/>
        </w:rPr>
        <w:t xml:space="preserve">The estimated respondent cost is </w:t>
      </w:r>
      <w:bookmarkStart w:name="_Hlk39777561" w:id="1"/>
      <w:r w:rsidRPr="00EC0A7A">
        <w:rPr>
          <w:rFonts w:ascii="Times New Roman" w:hAnsi="Times New Roman" w:cs="Times New Roman"/>
          <w:sz w:val="24"/>
          <w:szCs w:val="24"/>
        </w:rPr>
        <w:t>$</w:t>
      </w:r>
      <w:r w:rsidR="00245904">
        <w:rPr>
          <w:rFonts w:ascii="Times New Roman" w:hAnsi="Times New Roman" w:cs="Times New Roman"/>
          <w:sz w:val="24"/>
          <w:szCs w:val="24"/>
        </w:rPr>
        <w:t>71,612</w:t>
      </w:r>
      <w:r w:rsidRPr="00EC0A7A">
        <w:rPr>
          <w:rFonts w:ascii="Times New Roman" w:hAnsi="Times New Roman" w:cs="Times New Roman"/>
          <w:sz w:val="24"/>
          <w:szCs w:val="24"/>
        </w:rPr>
        <w:t xml:space="preserve"> </w:t>
      </w:r>
      <w:bookmarkEnd w:id="1"/>
      <w:r w:rsidRPr="00EC0A7A">
        <w:rPr>
          <w:rFonts w:ascii="Times New Roman" w:hAnsi="Times New Roman" w:cs="Times New Roman"/>
          <w:sz w:val="24"/>
          <w:szCs w:val="24"/>
        </w:rPr>
        <w:t>($53.71 x</w:t>
      </w:r>
      <w:r w:rsidR="00245904">
        <w:rPr>
          <w:rFonts w:ascii="Times New Roman" w:hAnsi="Times New Roman" w:cs="Times New Roman"/>
          <w:sz w:val="24"/>
          <w:szCs w:val="24"/>
        </w:rPr>
        <w:t xml:space="preserve"> 1,333.3) including recruitment burden for both responses and non-responses.</w:t>
      </w:r>
    </w:p>
    <w:p w:rsidRPr="00954679" w:rsidR="0046218E" w:rsidP="006932CE" w:rsidRDefault="00E648B4" w14:paraId="123A5562" w14:textId="2548CC5B">
      <w:pPr>
        <w:rPr>
          <w:rFonts w:ascii="Times New Roman" w:hAnsi="Times New Roman" w:cs="Times New Roman"/>
          <w:b/>
          <w:bCs/>
          <w:sz w:val="24"/>
          <w:szCs w:val="24"/>
        </w:rPr>
      </w:pPr>
      <w:r w:rsidRPr="00954679">
        <w:rPr>
          <w:rFonts w:ascii="Times New Roman" w:hAnsi="Times New Roman" w:cs="Times New Roman"/>
          <w:b/>
          <w:bCs/>
          <w:sz w:val="24"/>
          <w:szCs w:val="24"/>
        </w:rPr>
        <w:t xml:space="preserve">13: </w:t>
      </w:r>
      <w:r w:rsidRPr="00954679" w:rsidR="0046218E">
        <w:rPr>
          <w:rFonts w:ascii="Times New Roman" w:hAnsi="Times New Roman" w:cs="Times New Roman"/>
          <w:b/>
          <w:bCs/>
          <w:sz w:val="24"/>
          <w:szCs w:val="24"/>
        </w:rPr>
        <w:t>Provide an estimate of the total annual cost burden to respondents or record-keepers resulting from the collection of information.</w:t>
      </w:r>
    </w:p>
    <w:p w:rsidRPr="00954679" w:rsidR="0046218E" w:rsidP="0046218E" w:rsidRDefault="00196724" w14:paraId="17898830" w14:textId="19018690">
      <w:pPr>
        <w:rPr>
          <w:rFonts w:ascii="Times New Roman" w:hAnsi="Times New Roman" w:cs="Times New Roman"/>
          <w:sz w:val="24"/>
          <w:szCs w:val="24"/>
        </w:rPr>
      </w:pPr>
      <w:r w:rsidRPr="00954679">
        <w:rPr>
          <w:rFonts w:ascii="Times New Roman" w:hAnsi="Times New Roman" w:cs="Times New Roman"/>
          <w:sz w:val="24"/>
          <w:szCs w:val="24"/>
        </w:rPr>
        <w:t>There are no capital/start-up or ongoing operation/maintenance costs associated with this information collection.</w:t>
      </w:r>
    </w:p>
    <w:p w:rsidRPr="00954679" w:rsidR="006932CE" w:rsidP="006932CE" w:rsidRDefault="006932CE" w14:paraId="0E388851" w14:textId="0359435C">
      <w:pPr>
        <w:rPr>
          <w:rFonts w:ascii="Times New Roman" w:hAnsi="Times New Roman" w:cs="Times New Roman"/>
          <w:b/>
          <w:bCs/>
          <w:sz w:val="24"/>
          <w:szCs w:val="24"/>
        </w:rPr>
      </w:pPr>
      <w:r w:rsidRPr="00954679">
        <w:rPr>
          <w:rFonts w:ascii="Times New Roman" w:hAnsi="Times New Roman" w:cs="Times New Roman"/>
          <w:b/>
          <w:bCs/>
          <w:sz w:val="24"/>
          <w:szCs w:val="24"/>
        </w:rPr>
        <w:t>14. 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323FDA" w:rsidR="00612BAD" w:rsidP="00323FDA" w:rsidRDefault="006932CE" w14:paraId="7193F669" w14:textId="0848912C">
      <w:pPr>
        <w:spacing w:line="20" w:lineRule="atLeast"/>
      </w:pPr>
      <w:r w:rsidRPr="00954679">
        <w:rPr>
          <w:rFonts w:ascii="Times New Roman" w:hAnsi="Times New Roman" w:cs="Times New Roman"/>
          <w:sz w:val="24"/>
          <w:szCs w:val="24"/>
        </w:rPr>
        <w:t>The total cost to the Federal Government for th</w:t>
      </w:r>
      <w:r w:rsidRPr="00954679" w:rsidR="009C422F">
        <w:rPr>
          <w:rFonts w:ascii="Times New Roman" w:hAnsi="Times New Roman" w:cs="Times New Roman"/>
          <w:sz w:val="24"/>
          <w:szCs w:val="24"/>
        </w:rPr>
        <w:t xml:space="preserve">is study </w:t>
      </w:r>
      <w:r w:rsidRPr="00954679">
        <w:rPr>
          <w:rFonts w:ascii="Times New Roman" w:hAnsi="Times New Roman" w:cs="Times New Roman"/>
          <w:sz w:val="24"/>
          <w:szCs w:val="24"/>
        </w:rPr>
        <w:t>is approximately $</w:t>
      </w:r>
      <w:r w:rsidR="00323FDA">
        <w:rPr>
          <w:rFonts w:ascii="Times New Roman" w:hAnsi="Times New Roman" w:cs="Times New Roman"/>
          <w:sz w:val="24"/>
          <w:szCs w:val="24"/>
        </w:rPr>
        <w:t>269,376</w:t>
      </w:r>
      <w:r w:rsidRPr="00954679">
        <w:rPr>
          <w:rFonts w:ascii="Times New Roman" w:hAnsi="Times New Roman" w:cs="Times New Roman"/>
          <w:sz w:val="24"/>
          <w:szCs w:val="24"/>
        </w:rPr>
        <w:t xml:space="preserve">. </w:t>
      </w:r>
      <w:r w:rsidR="00503D4E">
        <w:rPr>
          <w:rFonts w:ascii="Times New Roman" w:hAnsi="Times New Roman" w:cs="Times New Roman"/>
          <w:sz w:val="24"/>
          <w:szCs w:val="24"/>
        </w:rPr>
        <w:t>This includes</w:t>
      </w:r>
      <w:r w:rsidRPr="00954679" w:rsidR="008D26B0">
        <w:rPr>
          <w:rFonts w:ascii="Times New Roman" w:hAnsi="Times New Roman" w:cs="Times New Roman"/>
          <w:sz w:val="24"/>
          <w:szCs w:val="24"/>
        </w:rPr>
        <w:t xml:space="preserve"> a $200,000 cooperative agreement with the Center for Behavioral and Experimental Agri-environmental Research </w:t>
      </w:r>
      <w:r w:rsidR="00503D4E">
        <w:rPr>
          <w:rFonts w:ascii="Times New Roman" w:hAnsi="Times New Roman" w:cs="Times New Roman"/>
          <w:sz w:val="24"/>
          <w:szCs w:val="24"/>
        </w:rPr>
        <w:t xml:space="preserve">(CBEAR) </w:t>
      </w:r>
      <w:r w:rsidRPr="00954679" w:rsidR="008D26B0">
        <w:rPr>
          <w:rFonts w:ascii="Times New Roman" w:hAnsi="Times New Roman" w:cs="Times New Roman"/>
          <w:sz w:val="24"/>
          <w:szCs w:val="24"/>
        </w:rPr>
        <w:t xml:space="preserve">at the University of Delaware. Approximately one-third of </w:t>
      </w:r>
      <w:r w:rsidRPr="00954679" w:rsidR="008D26B0">
        <w:rPr>
          <w:rFonts w:ascii="Times New Roman" w:hAnsi="Times New Roman" w:cs="Times New Roman"/>
          <w:sz w:val="24"/>
          <w:szCs w:val="24"/>
        </w:rPr>
        <w:lastRenderedPageBreak/>
        <w:t>this cost is for personnel who are designing and implementing the study</w:t>
      </w:r>
      <w:r w:rsidR="00503D4E">
        <w:rPr>
          <w:rFonts w:ascii="Times New Roman" w:hAnsi="Times New Roman" w:cs="Times New Roman"/>
          <w:sz w:val="24"/>
          <w:szCs w:val="24"/>
        </w:rPr>
        <w:t>, and the remainder is for participant payments</w:t>
      </w:r>
      <w:r w:rsidRPr="00954679" w:rsidR="008D26B0">
        <w:rPr>
          <w:rFonts w:ascii="Times New Roman" w:hAnsi="Times New Roman" w:cs="Times New Roman"/>
          <w:sz w:val="24"/>
          <w:szCs w:val="24"/>
        </w:rPr>
        <w:t xml:space="preserve">.  In addition, there is a cost to USDA </w:t>
      </w:r>
      <w:r w:rsidRPr="00954679" w:rsidR="00AB20F5">
        <w:rPr>
          <w:rFonts w:ascii="Times New Roman" w:hAnsi="Times New Roman" w:cs="Times New Roman"/>
          <w:sz w:val="24"/>
          <w:szCs w:val="24"/>
        </w:rPr>
        <w:t>of approximate</w:t>
      </w:r>
      <w:r w:rsidRPr="00954679" w:rsidR="00632FAE">
        <w:rPr>
          <w:rFonts w:ascii="Times New Roman" w:hAnsi="Times New Roman" w:cs="Times New Roman"/>
          <w:sz w:val="24"/>
          <w:szCs w:val="24"/>
        </w:rPr>
        <w:t>ly</w:t>
      </w:r>
      <w:r w:rsidRPr="00954679" w:rsidR="00AB20F5">
        <w:rPr>
          <w:rFonts w:ascii="Times New Roman" w:hAnsi="Times New Roman" w:cs="Times New Roman"/>
          <w:sz w:val="24"/>
          <w:szCs w:val="24"/>
        </w:rPr>
        <w:t xml:space="preserve"> </w:t>
      </w:r>
      <w:r w:rsidR="00323FDA">
        <w:rPr>
          <w:rFonts w:ascii="Times New Roman" w:hAnsi="Times New Roman" w:cs="Times New Roman"/>
          <w:sz w:val="24"/>
          <w:szCs w:val="24"/>
        </w:rPr>
        <w:t>$69,376 (800 hours of research staff time for design, implementation, and analysis of the data collection at $86.72 per hour based on 2021 General Schedule, Grade 14, Step 5, Washington D.C. locality with 29.9 percent in fringe benefit costs.)</w:t>
      </w:r>
    </w:p>
    <w:p w:rsidRPr="00954679" w:rsidR="006932CE" w:rsidP="006932CE" w:rsidRDefault="006932CE" w14:paraId="1BFD8943" w14:textId="33AF26B5">
      <w:pPr>
        <w:rPr>
          <w:rFonts w:ascii="Times New Roman" w:hAnsi="Times New Roman" w:cs="Times New Roman"/>
          <w:b/>
          <w:bCs/>
          <w:sz w:val="24"/>
          <w:szCs w:val="24"/>
        </w:rPr>
      </w:pPr>
      <w:r w:rsidRPr="00954679">
        <w:rPr>
          <w:rFonts w:ascii="Times New Roman" w:hAnsi="Times New Roman" w:cs="Times New Roman"/>
          <w:b/>
          <w:bCs/>
          <w:sz w:val="24"/>
          <w:szCs w:val="24"/>
        </w:rPr>
        <w:t>15. Explain the reasons for any program changes or adjustments reported in Items 13 or 14 of the OMB Form 83-I (reasons for changes in burden).</w:t>
      </w:r>
    </w:p>
    <w:p w:rsidRPr="00954679" w:rsidR="00C75600" w:rsidP="00C75600" w:rsidRDefault="006932CE" w14:paraId="700C0A49" w14:textId="4D2B33AC">
      <w:pPr>
        <w:rPr>
          <w:rFonts w:ascii="Times New Roman" w:hAnsi="Times New Roman" w:cs="Times New Roman"/>
          <w:sz w:val="24"/>
          <w:szCs w:val="24"/>
        </w:rPr>
      </w:pPr>
      <w:r w:rsidRPr="00954679">
        <w:rPr>
          <w:rFonts w:ascii="Times New Roman" w:hAnsi="Times New Roman" w:cs="Times New Roman"/>
          <w:sz w:val="24"/>
          <w:szCs w:val="24"/>
        </w:rPr>
        <w:t>This is a new data collection package</w:t>
      </w:r>
      <w:r w:rsidRPr="00954679" w:rsidR="00B63CE5">
        <w:rPr>
          <w:rFonts w:ascii="Times New Roman" w:hAnsi="Times New Roman" w:cs="Times New Roman"/>
          <w:sz w:val="24"/>
          <w:szCs w:val="24"/>
        </w:rPr>
        <w:t>,</w:t>
      </w:r>
      <w:r w:rsidRPr="00954679">
        <w:rPr>
          <w:rFonts w:ascii="Times New Roman" w:hAnsi="Times New Roman" w:cs="Times New Roman"/>
          <w:sz w:val="24"/>
          <w:szCs w:val="24"/>
        </w:rPr>
        <w:t xml:space="preserve"> so all changes are due to program changes.</w:t>
      </w:r>
    </w:p>
    <w:p w:rsidRPr="00954679" w:rsidR="006932CE" w:rsidP="006932CE" w:rsidRDefault="006932CE" w14:paraId="61366042" w14:textId="6F04DEF1">
      <w:pPr>
        <w:rPr>
          <w:rFonts w:ascii="Times New Roman" w:hAnsi="Times New Roman" w:cs="Times New Roman"/>
          <w:b/>
          <w:bCs/>
          <w:sz w:val="24"/>
          <w:szCs w:val="24"/>
        </w:rPr>
      </w:pPr>
      <w:r w:rsidRPr="00954679">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54679" w:rsidR="001A0FFD" w:rsidP="006932CE" w:rsidRDefault="004B16E9" w14:paraId="09FE2521" w14:textId="1EA96A81">
      <w:pPr>
        <w:rPr>
          <w:rFonts w:ascii="Times New Roman" w:hAnsi="Times New Roman" w:cs="Times New Roman"/>
          <w:sz w:val="24"/>
          <w:szCs w:val="24"/>
        </w:rPr>
      </w:pPr>
      <w:r w:rsidRPr="00954679">
        <w:rPr>
          <w:rFonts w:ascii="Times New Roman" w:hAnsi="Times New Roman" w:cs="Times New Roman"/>
          <w:sz w:val="24"/>
          <w:szCs w:val="24"/>
        </w:rPr>
        <w:t>The study was initiate</w:t>
      </w:r>
      <w:r w:rsidRPr="00954679" w:rsidR="000072B8">
        <w:rPr>
          <w:rFonts w:ascii="Times New Roman" w:hAnsi="Times New Roman" w:cs="Times New Roman"/>
          <w:sz w:val="24"/>
          <w:szCs w:val="24"/>
        </w:rPr>
        <w:t>d</w:t>
      </w:r>
      <w:r w:rsidRPr="00954679">
        <w:rPr>
          <w:rFonts w:ascii="Times New Roman" w:hAnsi="Times New Roman" w:cs="Times New Roman"/>
          <w:sz w:val="24"/>
          <w:szCs w:val="24"/>
        </w:rPr>
        <w:t xml:space="preserve"> with an initial cooperative agreement in late fiscal year 2017.  Based on the initial experimental design and power analysis conducted with the cooperators under that agreement, and based on feedback from a </w:t>
      </w:r>
      <w:r w:rsidRPr="00954679" w:rsidR="00632FAE">
        <w:rPr>
          <w:rFonts w:ascii="Times New Roman" w:hAnsi="Times New Roman" w:cs="Times New Roman"/>
          <w:sz w:val="24"/>
          <w:szCs w:val="24"/>
        </w:rPr>
        <w:t>consultation</w:t>
      </w:r>
      <w:r w:rsidRPr="00954679">
        <w:rPr>
          <w:rFonts w:ascii="Times New Roman" w:hAnsi="Times New Roman" w:cs="Times New Roman"/>
          <w:sz w:val="24"/>
          <w:szCs w:val="24"/>
        </w:rPr>
        <w:t xml:space="preserve"> with OMB, additional funding was provided in an amendment to the cooperative agreement in late fiscal year 2018 in order to increase the sample size for the farmer population and to add the student population.  During 2019, the project team developed the full experimental design and analysis plan (Attachment D) and the agency conducted an external peer review of that plan (Attachments E1, E2, and E3).  During 2020, the project team developed and refined the </w:t>
      </w:r>
      <w:r w:rsidRPr="00954679" w:rsidR="001A0FFD">
        <w:rPr>
          <w:rFonts w:ascii="Times New Roman" w:hAnsi="Times New Roman" w:cs="Times New Roman"/>
          <w:sz w:val="24"/>
          <w:szCs w:val="24"/>
        </w:rPr>
        <w:t>software package that will be used to conduct the experiment (Attachment I).  In early 2021, the agency began the PRA approval process (Attachment B).</w:t>
      </w:r>
    </w:p>
    <w:p w:rsidRPr="00954679" w:rsidR="001A0FFD" w:rsidP="006932CE" w:rsidRDefault="001A0FFD" w14:paraId="0991CB85" w14:textId="3B7286C3">
      <w:pPr>
        <w:rPr>
          <w:rFonts w:ascii="Times New Roman" w:hAnsi="Times New Roman" w:cs="Times New Roman"/>
          <w:sz w:val="24"/>
          <w:szCs w:val="24"/>
        </w:rPr>
      </w:pPr>
      <w:r w:rsidRPr="00954679">
        <w:rPr>
          <w:rFonts w:ascii="Times New Roman" w:hAnsi="Times New Roman" w:cs="Times New Roman"/>
          <w:sz w:val="24"/>
          <w:szCs w:val="24"/>
        </w:rPr>
        <w:t>The expected schedule for data collection is:</w:t>
      </w:r>
    </w:p>
    <w:p w:rsidRPr="00954679" w:rsidR="001A0FFD" w:rsidP="006932CE" w:rsidRDefault="006E09D0" w14:paraId="7477FF8C" w14:textId="71A18FA8">
      <w:pPr>
        <w:rPr>
          <w:rFonts w:ascii="Times New Roman" w:hAnsi="Times New Roman" w:cs="Times New Roman"/>
          <w:sz w:val="24"/>
          <w:szCs w:val="24"/>
        </w:rPr>
      </w:pPr>
      <w:r>
        <w:rPr>
          <w:rFonts w:ascii="Times New Roman" w:hAnsi="Times New Roman" w:cs="Times New Roman"/>
          <w:sz w:val="24"/>
          <w:szCs w:val="24"/>
        </w:rPr>
        <w:t>1</w:t>
      </w:r>
      <w:r w:rsidR="00612BAD">
        <w:rPr>
          <w:rFonts w:ascii="Times New Roman" w:hAnsi="Times New Roman" w:cs="Times New Roman"/>
          <w:sz w:val="24"/>
          <w:szCs w:val="24"/>
        </w:rPr>
        <w:t>.</w:t>
      </w:r>
      <w:r w:rsidRPr="00954679" w:rsidR="001A0FFD">
        <w:rPr>
          <w:rFonts w:ascii="Times New Roman" w:hAnsi="Times New Roman" w:cs="Times New Roman"/>
          <w:sz w:val="24"/>
          <w:szCs w:val="24"/>
        </w:rPr>
        <w:t xml:space="preserve"> </w:t>
      </w:r>
      <w:r w:rsidR="00612BAD">
        <w:rPr>
          <w:rFonts w:ascii="Times New Roman" w:hAnsi="Times New Roman" w:cs="Times New Roman"/>
          <w:sz w:val="24"/>
          <w:szCs w:val="24"/>
        </w:rPr>
        <w:t xml:space="preserve"> </w:t>
      </w:r>
      <w:r>
        <w:rPr>
          <w:rFonts w:ascii="Times New Roman" w:hAnsi="Times New Roman" w:cs="Times New Roman"/>
          <w:sz w:val="24"/>
          <w:szCs w:val="24"/>
        </w:rPr>
        <w:t>April to June</w:t>
      </w:r>
      <w:r w:rsidRPr="00954679" w:rsidR="001A0FFD">
        <w:rPr>
          <w:rFonts w:ascii="Times New Roman" w:hAnsi="Times New Roman" w:cs="Times New Roman"/>
          <w:sz w:val="24"/>
          <w:szCs w:val="24"/>
        </w:rPr>
        <w:t>, 202</w:t>
      </w:r>
      <w:r w:rsidR="00CD0966">
        <w:rPr>
          <w:rFonts w:ascii="Times New Roman" w:hAnsi="Times New Roman" w:cs="Times New Roman"/>
          <w:sz w:val="24"/>
          <w:szCs w:val="24"/>
        </w:rPr>
        <w:t>2</w:t>
      </w:r>
      <w:r w:rsidRPr="00954679" w:rsidR="001A0FFD">
        <w:rPr>
          <w:rFonts w:ascii="Times New Roman" w:hAnsi="Times New Roman" w:cs="Times New Roman"/>
          <w:sz w:val="24"/>
          <w:szCs w:val="24"/>
        </w:rPr>
        <w:t>: Conduct the study with the farmer population in one to three recruitment waves with the exact timing coordinate with FSA to avoid conflict with the actual CRP General Signup period.</w:t>
      </w:r>
    </w:p>
    <w:p w:rsidRPr="00954679" w:rsidR="001A0FFD" w:rsidP="006932CE" w:rsidRDefault="006E09D0" w14:paraId="60484392" w14:textId="1D650F72">
      <w:pPr>
        <w:rPr>
          <w:rFonts w:ascii="Times New Roman" w:hAnsi="Times New Roman" w:cs="Times New Roman"/>
          <w:sz w:val="24"/>
          <w:szCs w:val="24"/>
        </w:rPr>
      </w:pPr>
      <w:r>
        <w:rPr>
          <w:rFonts w:ascii="Times New Roman" w:hAnsi="Times New Roman" w:cs="Times New Roman"/>
          <w:sz w:val="24"/>
          <w:szCs w:val="24"/>
        </w:rPr>
        <w:t>2</w:t>
      </w:r>
      <w:r w:rsidR="00612BAD">
        <w:rPr>
          <w:rFonts w:ascii="Times New Roman" w:hAnsi="Times New Roman" w:cs="Times New Roman"/>
          <w:sz w:val="24"/>
          <w:szCs w:val="24"/>
        </w:rPr>
        <w:t>.</w:t>
      </w:r>
      <w:r w:rsidRPr="00954679" w:rsidR="001A0FFD">
        <w:rPr>
          <w:rFonts w:ascii="Times New Roman" w:hAnsi="Times New Roman" w:cs="Times New Roman"/>
          <w:sz w:val="24"/>
          <w:szCs w:val="24"/>
        </w:rPr>
        <w:t xml:space="preserve"> </w:t>
      </w:r>
      <w:r w:rsidR="00612BAD">
        <w:rPr>
          <w:rFonts w:ascii="Times New Roman" w:hAnsi="Times New Roman" w:cs="Times New Roman"/>
          <w:sz w:val="24"/>
          <w:szCs w:val="24"/>
        </w:rPr>
        <w:t xml:space="preserve"> </w:t>
      </w:r>
      <w:r w:rsidRPr="00954679" w:rsidR="001A0FFD">
        <w:rPr>
          <w:rFonts w:ascii="Times New Roman" w:hAnsi="Times New Roman" w:cs="Times New Roman"/>
          <w:sz w:val="24"/>
          <w:szCs w:val="24"/>
        </w:rPr>
        <w:t>July-August, 202</w:t>
      </w:r>
      <w:r w:rsidR="00CD0966">
        <w:rPr>
          <w:rFonts w:ascii="Times New Roman" w:hAnsi="Times New Roman" w:cs="Times New Roman"/>
          <w:sz w:val="24"/>
          <w:szCs w:val="24"/>
        </w:rPr>
        <w:t>2</w:t>
      </w:r>
      <w:r w:rsidRPr="00954679" w:rsidR="001A0FFD">
        <w:rPr>
          <w:rFonts w:ascii="Times New Roman" w:hAnsi="Times New Roman" w:cs="Times New Roman"/>
          <w:sz w:val="24"/>
          <w:szCs w:val="24"/>
        </w:rPr>
        <w:t>: Complete the estimates of the treatment effects for each population.  Since the study involves an experiment design with pre-determined statistical tests, the analysis can be immediately upon the completion of data collection.</w:t>
      </w:r>
    </w:p>
    <w:p w:rsidRPr="00954679" w:rsidR="00A15E37" w:rsidP="006932CE" w:rsidRDefault="006E09D0" w14:paraId="52C970AD" w14:textId="490E5511">
      <w:pPr>
        <w:rPr>
          <w:rFonts w:ascii="Times New Roman" w:hAnsi="Times New Roman" w:cs="Times New Roman"/>
          <w:sz w:val="24"/>
          <w:szCs w:val="24"/>
        </w:rPr>
      </w:pPr>
      <w:r>
        <w:rPr>
          <w:rFonts w:ascii="Times New Roman" w:hAnsi="Times New Roman" w:cs="Times New Roman"/>
          <w:sz w:val="24"/>
          <w:szCs w:val="24"/>
        </w:rPr>
        <w:t>3</w:t>
      </w:r>
      <w:r w:rsidR="00612BAD">
        <w:rPr>
          <w:rFonts w:ascii="Times New Roman" w:hAnsi="Times New Roman" w:cs="Times New Roman"/>
          <w:sz w:val="24"/>
          <w:szCs w:val="24"/>
        </w:rPr>
        <w:t>.</w:t>
      </w:r>
      <w:r w:rsidRPr="00954679" w:rsidR="001A0FFD">
        <w:rPr>
          <w:rFonts w:ascii="Times New Roman" w:hAnsi="Times New Roman" w:cs="Times New Roman"/>
          <w:sz w:val="24"/>
          <w:szCs w:val="24"/>
        </w:rPr>
        <w:t xml:space="preserve"> </w:t>
      </w:r>
      <w:r w:rsidR="00612BAD">
        <w:rPr>
          <w:rFonts w:ascii="Times New Roman" w:hAnsi="Times New Roman" w:cs="Times New Roman"/>
          <w:sz w:val="24"/>
          <w:szCs w:val="24"/>
        </w:rPr>
        <w:t xml:space="preserve"> </w:t>
      </w:r>
      <w:r w:rsidRPr="00954679" w:rsidR="001A0FFD">
        <w:rPr>
          <w:rFonts w:ascii="Times New Roman" w:hAnsi="Times New Roman" w:cs="Times New Roman"/>
          <w:sz w:val="24"/>
          <w:szCs w:val="24"/>
        </w:rPr>
        <w:t>Fall, 202</w:t>
      </w:r>
      <w:r w:rsidR="00CD0966">
        <w:rPr>
          <w:rFonts w:ascii="Times New Roman" w:hAnsi="Times New Roman" w:cs="Times New Roman"/>
          <w:sz w:val="24"/>
          <w:szCs w:val="24"/>
        </w:rPr>
        <w:t>2</w:t>
      </w:r>
      <w:r w:rsidRPr="00954679" w:rsidR="001A0FFD">
        <w:rPr>
          <w:rFonts w:ascii="Times New Roman" w:hAnsi="Times New Roman" w:cs="Times New Roman"/>
          <w:sz w:val="24"/>
          <w:szCs w:val="24"/>
        </w:rPr>
        <w:t xml:space="preserve">: Finalize the </w:t>
      </w:r>
      <w:r w:rsidRPr="00954679" w:rsidR="00A15E37">
        <w:rPr>
          <w:rFonts w:ascii="Times New Roman" w:hAnsi="Times New Roman" w:cs="Times New Roman"/>
          <w:sz w:val="24"/>
          <w:szCs w:val="24"/>
        </w:rPr>
        <w:t>manuscript for the study and submit for peer review.  Expected publication date is Fall, 2022 to Spring, 2023.</w:t>
      </w:r>
    </w:p>
    <w:p w:rsidRPr="00954679" w:rsidR="006932CE" w:rsidP="006932CE" w:rsidRDefault="006932CE" w14:paraId="21F2134B" w14:textId="64A65472">
      <w:pPr>
        <w:rPr>
          <w:rFonts w:ascii="Times New Roman" w:hAnsi="Times New Roman" w:cs="Times New Roman"/>
          <w:b/>
          <w:bCs/>
          <w:sz w:val="24"/>
          <w:szCs w:val="24"/>
        </w:rPr>
      </w:pPr>
      <w:r w:rsidRPr="00954679">
        <w:rPr>
          <w:rFonts w:ascii="Times New Roman" w:hAnsi="Times New Roman" w:cs="Times New Roman"/>
          <w:b/>
          <w:bCs/>
          <w:sz w:val="24"/>
          <w:szCs w:val="24"/>
        </w:rPr>
        <w:t xml:space="preserve">17. If seeking approval to not display the expiration date for OMB approval of the information collection, </w:t>
      </w:r>
      <w:r w:rsidRPr="009C06A8">
        <w:rPr>
          <w:rFonts w:ascii="Times New Roman" w:hAnsi="Times New Roman" w:cs="Times New Roman"/>
          <w:b/>
          <w:bCs/>
          <w:sz w:val="24"/>
          <w:szCs w:val="24"/>
        </w:rPr>
        <w:t>explain the reasons that display would be inappropriate.</w:t>
      </w:r>
    </w:p>
    <w:p w:rsidR="006932CE" w:rsidP="006932CE" w:rsidRDefault="006932CE" w14:paraId="10C5B584" w14:textId="3A323FA4">
      <w:pPr>
        <w:rPr>
          <w:rFonts w:ascii="Times New Roman" w:hAnsi="Times New Roman" w:cs="Times New Roman"/>
          <w:sz w:val="24"/>
          <w:szCs w:val="24"/>
        </w:rPr>
      </w:pPr>
      <w:r w:rsidRPr="00954679">
        <w:rPr>
          <w:rFonts w:ascii="Times New Roman" w:hAnsi="Times New Roman" w:cs="Times New Roman"/>
          <w:sz w:val="24"/>
          <w:szCs w:val="24"/>
        </w:rPr>
        <w:t>There is no request for approval of non-display of the expiration date</w:t>
      </w:r>
      <w:r w:rsidRPr="009C06A8">
        <w:rPr>
          <w:rFonts w:ascii="Times New Roman" w:hAnsi="Times New Roman" w:cs="Times New Roman"/>
          <w:sz w:val="24"/>
          <w:szCs w:val="24"/>
        </w:rPr>
        <w:t>.</w:t>
      </w:r>
    </w:p>
    <w:p w:rsidRPr="00954679" w:rsidR="006932CE" w:rsidP="006932CE" w:rsidRDefault="006932CE" w14:paraId="73F4260C" w14:textId="0DE90307">
      <w:pPr>
        <w:rPr>
          <w:rFonts w:ascii="Times New Roman" w:hAnsi="Times New Roman" w:cs="Times New Roman"/>
          <w:b/>
          <w:bCs/>
          <w:sz w:val="24"/>
          <w:szCs w:val="24"/>
        </w:rPr>
      </w:pPr>
      <w:r w:rsidRPr="00954679">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954679" w:rsidR="006932CE" w:rsidP="006932CE" w:rsidRDefault="006932CE" w14:paraId="78647FBC" w14:textId="77777777">
      <w:pPr>
        <w:rPr>
          <w:rFonts w:ascii="Times New Roman" w:hAnsi="Times New Roman" w:cs="Times New Roman"/>
          <w:sz w:val="24"/>
          <w:szCs w:val="24"/>
        </w:rPr>
      </w:pPr>
      <w:r w:rsidRPr="00954679">
        <w:rPr>
          <w:rFonts w:ascii="Times New Roman" w:hAnsi="Times New Roman" w:cs="Times New Roman"/>
          <w:sz w:val="24"/>
          <w:szCs w:val="24"/>
        </w:rPr>
        <w:t>There are no exceptions to the certification statement.</w:t>
      </w:r>
    </w:p>
    <w:p w:rsidR="00BA1440" w:rsidP="006932CE" w:rsidRDefault="00BA1440" w14:paraId="6F1D8AF2" w14:textId="77777777">
      <w:pPr>
        <w:rPr>
          <w:b/>
          <w:bCs/>
        </w:rPr>
      </w:pPr>
    </w:p>
    <w:p w:rsidR="006932CE" w:rsidP="006932CE" w:rsidRDefault="006932CE" w14:paraId="252C28E9" w14:textId="644F63E7">
      <w:pPr>
        <w:rPr>
          <w:b/>
          <w:bCs/>
        </w:rPr>
      </w:pPr>
      <w:r w:rsidRPr="006932CE">
        <w:rPr>
          <w:b/>
          <w:bCs/>
        </w:rPr>
        <w:t>List of Attachments</w:t>
      </w:r>
    </w:p>
    <w:p w:rsidR="00CD1FBF" w:rsidP="006932CE" w:rsidRDefault="00CD1FBF" w14:paraId="6FC047E0" w14:textId="459FD611">
      <w:r w:rsidRPr="00C84C7D">
        <w:t>A: Legal Authority</w:t>
      </w:r>
    </w:p>
    <w:p w:rsidRPr="00F53140" w:rsidR="00FD1548" w:rsidP="006932CE" w:rsidRDefault="007C1D06" w14:paraId="2DFBE28B" w14:textId="22018108">
      <w:r>
        <w:t>B</w:t>
      </w:r>
      <w:r w:rsidRPr="00F53140" w:rsidR="00FD1548">
        <w:t>: Federal Register Notice</w:t>
      </w:r>
    </w:p>
    <w:p w:rsidRPr="00F53140" w:rsidR="00FD1548" w:rsidP="006932CE" w:rsidRDefault="007C1D06" w14:paraId="7423A253" w14:textId="28517232">
      <w:r>
        <w:t>C</w:t>
      </w:r>
      <w:r w:rsidRPr="00F53140" w:rsidR="00FD1548">
        <w:t xml:space="preserve">1 – </w:t>
      </w:r>
      <w:r>
        <w:t>C</w:t>
      </w:r>
      <w:r w:rsidRPr="00F53140" w:rsidR="00FD1548">
        <w:t>2: Comments and Responses to Federal Register Notice</w:t>
      </w:r>
    </w:p>
    <w:p w:rsidRPr="00F53140" w:rsidR="00FD1548" w:rsidP="006932CE" w:rsidRDefault="007C1D06" w14:paraId="6969F2BF" w14:textId="3BB3DE86">
      <w:r>
        <w:t>D</w:t>
      </w:r>
      <w:r w:rsidRPr="00F53140" w:rsidR="00FD1548">
        <w:t xml:space="preserve">: </w:t>
      </w:r>
      <w:r w:rsidRPr="00F53140" w:rsidR="00F53140">
        <w:t>Experimental Design and Analysis Plan (EDAP)</w:t>
      </w:r>
    </w:p>
    <w:p w:rsidRPr="00F53140" w:rsidR="00F53140" w:rsidP="006932CE" w:rsidRDefault="007C1D06" w14:paraId="5F5244E0" w14:textId="00C697BD">
      <w:r>
        <w:t>E</w:t>
      </w:r>
      <w:r w:rsidR="009C422F">
        <w:t xml:space="preserve">1 – </w:t>
      </w:r>
      <w:r>
        <w:t>E</w:t>
      </w:r>
      <w:r w:rsidR="009C422F">
        <w:t>3</w:t>
      </w:r>
      <w:r w:rsidRPr="00F53140" w:rsidR="00F53140">
        <w:t>: EDAP External Reviewer Comments</w:t>
      </w:r>
    </w:p>
    <w:p w:rsidRPr="00F53140" w:rsidR="00F53140" w:rsidP="006932CE" w:rsidRDefault="007C1D06" w14:paraId="4546F72E" w14:textId="019CF178">
      <w:r>
        <w:t>F</w:t>
      </w:r>
      <w:r w:rsidRPr="00F53140" w:rsidR="00F53140">
        <w:t>: Response to EDAP Reviewers</w:t>
      </w:r>
    </w:p>
    <w:p w:rsidR="00F53140" w:rsidP="006932CE" w:rsidRDefault="007C1D06" w14:paraId="672E8BB8" w14:textId="6EBD0349">
      <w:r>
        <w:t>G</w:t>
      </w:r>
      <w:r w:rsidRPr="00F53140" w:rsidR="00F53140">
        <w:t>: Recruitment Materials</w:t>
      </w:r>
    </w:p>
    <w:p w:rsidRPr="00B11470" w:rsidR="009C422F" w:rsidP="006932CE" w:rsidRDefault="007C1D06" w14:paraId="1ABFD8D6" w14:textId="09CFF61F">
      <w:r w:rsidRPr="007C1D06">
        <w:t>H</w:t>
      </w:r>
      <w:r w:rsidRPr="007C1D06" w:rsidR="009C422F">
        <w:t>: Payments Whitepaper</w:t>
      </w:r>
    </w:p>
    <w:p w:rsidRPr="00CD1FBF" w:rsidR="00F53140" w:rsidP="006932CE" w:rsidRDefault="007C1D06" w14:paraId="5DC7A719" w14:textId="0D11B7DD">
      <w:r>
        <w:t>I</w:t>
      </w:r>
      <w:r w:rsidRPr="00CD1FBF" w:rsidR="00F53140">
        <w:t>: Survey Instrument</w:t>
      </w:r>
    </w:p>
    <w:p w:rsidR="00F53140" w:rsidP="006932CE" w:rsidRDefault="00C84C7D" w14:paraId="010F7344" w14:textId="37E339F8">
      <w:r>
        <w:t>J</w:t>
      </w:r>
      <w:r w:rsidRPr="00CD1FBF" w:rsidR="00F53140">
        <w:t>: Literature Review</w:t>
      </w:r>
    </w:p>
    <w:p w:rsidR="00AC6891" w:rsidP="006932CE" w:rsidRDefault="00AC6891" w14:paraId="5126F488" w14:textId="62B09F8D">
      <w:r>
        <w:t>M: Instructional Slides</w:t>
      </w:r>
    </w:p>
    <w:p w:rsidR="00AC6891" w:rsidP="006932CE" w:rsidRDefault="00AC6891" w14:paraId="278A4B2A" w14:textId="377B5782">
      <w:r>
        <w:t>N: Pre-testing report</w:t>
      </w:r>
    </w:p>
    <w:p w:rsidR="006F7C14" w:rsidP="006932CE" w:rsidRDefault="006F7C14" w14:paraId="11D8D4A5" w14:textId="7A3A915F">
      <w:r>
        <w:t>O: Summary of NASS ICR Review and ERS Response</w:t>
      </w:r>
    </w:p>
    <w:p w:rsidR="00FD1548" w:rsidP="006932CE" w:rsidRDefault="00CD1FBF" w14:paraId="378301B7" w14:textId="31416AAB">
      <w:r>
        <w:t>Form 83-I</w:t>
      </w:r>
    </w:p>
    <w:p w:rsidR="00BA1440" w:rsidP="006932CE" w:rsidRDefault="00BA1440" w14:paraId="4FCBF717" w14:textId="77777777">
      <w:pPr>
        <w:rPr>
          <w:b/>
          <w:bCs/>
        </w:rPr>
      </w:pPr>
    </w:p>
    <w:p w:rsidRPr="00195939" w:rsidR="00901BA0" w:rsidP="006932CE" w:rsidRDefault="00901BA0" w14:paraId="1BF1E6EC" w14:textId="13E0D450">
      <w:pPr>
        <w:rPr>
          <w:b/>
          <w:bCs/>
        </w:rPr>
      </w:pPr>
      <w:r w:rsidRPr="00195939">
        <w:rPr>
          <w:b/>
          <w:bCs/>
        </w:rPr>
        <w:t>References</w:t>
      </w:r>
    </w:p>
    <w:p w:rsidR="001F0C08" w:rsidP="006932CE" w:rsidRDefault="001F0C08" w14:paraId="2BE12D1C" w14:textId="3A27B86C">
      <w:r>
        <w:t xml:space="preserve">Dechenaux, E., Kovenock, D., &amp; Sheremeta, R. M. (2015). A survey of experimental research on contests, all-pay auctions and tournaments. </w:t>
      </w:r>
      <w:r>
        <w:rPr>
          <w:i/>
          <w:iCs/>
        </w:rPr>
        <w:t>Experimental Economics</w:t>
      </w:r>
      <w:r>
        <w:t xml:space="preserve">, </w:t>
      </w:r>
      <w:r>
        <w:rPr>
          <w:i/>
          <w:iCs/>
        </w:rPr>
        <w:t>18</w:t>
      </w:r>
      <w:r>
        <w:t>(4), 609-669.</w:t>
      </w:r>
    </w:p>
    <w:p w:rsidR="00183BC9" w:rsidP="006932CE" w:rsidRDefault="00183BC9" w14:paraId="5DE5C250" w14:textId="11EC15C8">
      <w:r>
        <w:t xml:space="preserve">Furnham, A., &amp; Boo, H. C. (2011). A literature review of the anchoring effect. </w:t>
      </w:r>
      <w:r>
        <w:rPr>
          <w:i/>
          <w:iCs/>
        </w:rPr>
        <w:t>The journal of socio-economics</w:t>
      </w:r>
      <w:r>
        <w:t xml:space="preserve">, </w:t>
      </w:r>
      <w:r>
        <w:rPr>
          <w:i/>
          <w:iCs/>
        </w:rPr>
        <w:t>40</w:t>
      </w:r>
      <w:r>
        <w:t>(1), 35-42.</w:t>
      </w:r>
    </w:p>
    <w:p w:rsidR="00183BC9" w:rsidP="006932CE" w:rsidRDefault="00183BC9" w14:paraId="2C6E1F81" w14:textId="17176687">
      <w:r>
        <w:t xml:space="preserve">Gao, S., Meng, Q., Chan, J. Y., &amp; Chan, K. C. (2018). Cognitive reference points, institutional investors' bid prices, and IPO pricing: Evidence from IPO auctions in China. </w:t>
      </w:r>
      <w:r>
        <w:rPr>
          <w:i/>
          <w:iCs/>
        </w:rPr>
        <w:t>Journal of Financial Markets</w:t>
      </w:r>
      <w:r>
        <w:t xml:space="preserve">, </w:t>
      </w:r>
      <w:r>
        <w:rPr>
          <w:i/>
          <w:iCs/>
        </w:rPr>
        <w:t>38</w:t>
      </w:r>
      <w:r>
        <w:t>, 124-140.</w:t>
      </w:r>
    </w:p>
    <w:p w:rsidR="00667E5A" w:rsidP="006932CE" w:rsidRDefault="00667E5A" w14:paraId="00846F9E" w14:textId="045F133C">
      <w:r>
        <w:t xml:space="preserve">Harrison, G. W., &amp; List, J. A. (2004). Field experiments. </w:t>
      </w:r>
      <w:r>
        <w:rPr>
          <w:i/>
          <w:iCs/>
        </w:rPr>
        <w:t>Journal of Economic literature</w:t>
      </w:r>
      <w:r>
        <w:t xml:space="preserve">, </w:t>
      </w:r>
      <w:r>
        <w:rPr>
          <w:i/>
          <w:iCs/>
        </w:rPr>
        <w:t>42</w:t>
      </w:r>
      <w:r>
        <w:t>(4), 1009-1055.</w:t>
      </w:r>
    </w:p>
    <w:p w:rsidR="00901BA0" w:rsidP="006932CE" w:rsidRDefault="00901BA0" w14:paraId="22380ADC" w14:textId="0A7EF95E">
      <w:r>
        <w:t xml:space="preserve">Hellerstein, D. M. (2017). The US Conservation Reserve Program: The evolution of an enrollment mechanism. </w:t>
      </w:r>
      <w:r>
        <w:rPr>
          <w:i/>
          <w:iCs/>
        </w:rPr>
        <w:t>Land Use Policy</w:t>
      </w:r>
      <w:r>
        <w:t xml:space="preserve">, </w:t>
      </w:r>
      <w:r>
        <w:rPr>
          <w:i/>
          <w:iCs/>
        </w:rPr>
        <w:t>63</w:t>
      </w:r>
      <w:r>
        <w:t>, 601-610.</w:t>
      </w:r>
    </w:p>
    <w:p w:rsidR="00AE6E45" w:rsidP="006932CE" w:rsidRDefault="00AE6E45" w14:paraId="284160FE" w14:textId="1EB503C0">
      <w:r>
        <w:t xml:space="preserve">Higgins, N., Hellerstein, D., Wallander, S., &amp; Lynch, L. (2017). </w:t>
      </w:r>
      <w:r>
        <w:rPr>
          <w:i/>
          <w:iCs/>
        </w:rPr>
        <w:t>Economic experiments for policy analysis and program design: a guide for agricultural decisionmakers</w:t>
      </w:r>
      <w:r>
        <w:t xml:space="preserve"> (No. 1477-2017-3947).</w:t>
      </w:r>
    </w:p>
    <w:p w:rsidR="00CC74C3" w:rsidP="006932CE" w:rsidRDefault="00CC74C3" w14:paraId="25FAB180" w14:textId="161788E0">
      <w:r>
        <w:t xml:space="preserve">Holst, G. S., Hermann, D., &amp; Musshoff, O. (2015). Anchoring effects in an experimental auction–Are farmers anchored?. </w:t>
      </w:r>
      <w:r>
        <w:rPr>
          <w:i/>
          <w:iCs/>
        </w:rPr>
        <w:t>Journal of Economic Psychology</w:t>
      </w:r>
      <w:r>
        <w:t xml:space="preserve">, </w:t>
      </w:r>
      <w:r>
        <w:rPr>
          <w:i/>
          <w:iCs/>
        </w:rPr>
        <w:t>48</w:t>
      </w:r>
      <w:r>
        <w:t>, 106-117.</w:t>
      </w:r>
    </w:p>
    <w:p w:rsidR="00BA6FA5" w:rsidP="006932CE" w:rsidRDefault="00BA6FA5" w14:paraId="779A3ADE" w14:textId="1500ECE9">
      <w:r>
        <w:lastRenderedPageBreak/>
        <w:t xml:space="preserve">Schilizzi, S. G. (2017). An overview of laboratory research on conservation auctions. </w:t>
      </w:r>
      <w:r>
        <w:rPr>
          <w:i/>
          <w:iCs/>
        </w:rPr>
        <w:t>Land Use Policy</w:t>
      </w:r>
      <w:r>
        <w:t xml:space="preserve">, </w:t>
      </w:r>
      <w:r>
        <w:rPr>
          <w:i/>
          <w:iCs/>
        </w:rPr>
        <w:t>63</w:t>
      </w:r>
      <w:r>
        <w:t>, 572-583.</w:t>
      </w:r>
    </w:p>
    <w:p w:rsidR="00954057" w:rsidP="006932CE" w:rsidRDefault="00954057" w14:paraId="4F8C2567" w14:textId="6442362D">
      <w:r>
        <w:t xml:space="preserve">Singer, E., &amp; Gebler, N. R. T., Van Hoewyk, J., Katherine McGonagle, 1999. The effect of incentives in interviewer-mediated surveys. </w:t>
      </w:r>
      <w:r>
        <w:rPr>
          <w:i/>
          <w:iCs/>
        </w:rPr>
        <w:t>Journal of Official Statistics</w:t>
      </w:r>
      <w:r>
        <w:t xml:space="preserve">, </w:t>
      </w:r>
      <w:r>
        <w:rPr>
          <w:i/>
          <w:iCs/>
        </w:rPr>
        <w:t>15</w:t>
      </w:r>
      <w:r>
        <w:t>, 217-230.</w:t>
      </w:r>
    </w:p>
    <w:p w:rsidR="00901BA0" w:rsidP="006932CE" w:rsidRDefault="00901BA0" w14:paraId="7E6B5E2A" w14:textId="4058DAA7">
      <w:r>
        <w:t xml:space="preserve">Wallander, S., Aillery, M., Hellerstein, D., &amp; Hand, M. (2013). The role of conservation programs in drought risk adaptation. </w:t>
      </w:r>
      <w:r w:rsidR="00AE6E45">
        <w:t xml:space="preserve">USDA </w:t>
      </w:r>
      <w:r>
        <w:rPr>
          <w:i/>
          <w:iCs/>
        </w:rPr>
        <w:t>Economic Research Service ERR</w:t>
      </w:r>
      <w:r>
        <w:t xml:space="preserve">, </w:t>
      </w:r>
      <w:r>
        <w:rPr>
          <w:i/>
          <w:iCs/>
        </w:rPr>
        <w:t>148</w:t>
      </w:r>
      <w:r>
        <w:t>.</w:t>
      </w:r>
    </w:p>
    <w:p w:rsidRPr="0057281C" w:rsidR="00C75600" w:rsidP="0057281C" w:rsidRDefault="007A1BED" w14:paraId="1202804E" w14:textId="58C30D4E">
      <w:r>
        <w:t xml:space="preserve">Weigel, C., Paul, L. A., Ferraro, P. J., &amp; Messer, K. D. (2021). Challenges in recruiting US farmers for policy‐relevant economic field experiments. </w:t>
      </w:r>
      <w:r>
        <w:rPr>
          <w:i/>
          <w:iCs/>
        </w:rPr>
        <w:t>Applied Economic Perspectives and Policy</w:t>
      </w:r>
      <w:r>
        <w:t xml:space="preserve">, </w:t>
      </w:r>
      <w:r>
        <w:rPr>
          <w:i/>
          <w:iCs/>
        </w:rPr>
        <w:t>43</w:t>
      </w:r>
      <w:r>
        <w:t>(2), 556-572.</w:t>
      </w:r>
    </w:p>
    <w:sectPr w:rsidRPr="0057281C" w:rsidR="00C756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B13D" w14:textId="77777777" w:rsidR="004D0574" w:rsidRDefault="004D0574" w:rsidP="004D0574">
      <w:pPr>
        <w:spacing w:after="0" w:line="240" w:lineRule="auto"/>
      </w:pPr>
      <w:r>
        <w:separator/>
      </w:r>
    </w:p>
  </w:endnote>
  <w:endnote w:type="continuationSeparator" w:id="0">
    <w:p w14:paraId="41EADB1E" w14:textId="77777777" w:rsidR="004D0574" w:rsidRDefault="004D0574" w:rsidP="004D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0F18" w14:textId="6231292E" w:rsidR="004D0574" w:rsidRDefault="004D0574">
    <w:pPr>
      <w:pStyle w:val="Footer"/>
      <w:jc w:val="right"/>
    </w:pPr>
    <w:r>
      <w:t xml:space="preserve">Page </w:t>
    </w:r>
    <w:sdt>
      <w:sdtPr>
        <w:id w:val="689344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582214" w14:textId="775CB8BC" w:rsidR="004D0574" w:rsidRDefault="004D0574">
    <w:pPr>
      <w:pStyle w:val="Footer"/>
    </w:pPr>
    <w:r>
      <w:t>Supporting Statement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F233" w14:textId="77777777" w:rsidR="004D0574" w:rsidRDefault="004D0574" w:rsidP="004D0574">
      <w:pPr>
        <w:spacing w:after="0" w:line="240" w:lineRule="auto"/>
      </w:pPr>
      <w:r>
        <w:separator/>
      </w:r>
    </w:p>
  </w:footnote>
  <w:footnote w:type="continuationSeparator" w:id="0">
    <w:p w14:paraId="14707EEA" w14:textId="77777777" w:rsidR="004D0574" w:rsidRDefault="004D0574" w:rsidP="004D0574">
      <w:pPr>
        <w:spacing w:after="0" w:line="240" w:lineRule="auto"/>
      </w:pPr>
      <w:r>
        <w:continuationSeparator/>
      </w:r>
    </w:p>
  </w:footnote>
  <w:footnote w:id="1">
    <w:p w14:paraId="35BC1FB8" w14:textId="77777777" w:rsidR="00EC0A7A" w:rsidRDefault="00EC0A7A" w:rsidP="00EC0A7A">
      <w:pPr>
        <w:pStyle w:val="FootnoteText"/>
      </w:pPr>
      <w:r>
        <w:rPr>
          <w:rStyle w:val="FootnoteReference"/>
          <w:rFonts w:eastAsiaTheme="majorEastAsia"/>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A5B"/>
    <w:multiLevelType w:val="hybridMultilevel"/>
    <w:tmpl w:val="A894E2C4"/>
    <w:lvl w:ilvl="0" w:tplc="31AC1A6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514D8"/>
    <w:multiLevelType w:val="hybridMultilevel"/>
    <w:tmpl w:val="9C0A9616"/>
    <w:lvl w:ilvl="0" w:tplc="34C841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B2290"/>
    <w:multiLevelType w:val="hybridMultilevel"/>
    <w:tmpl w:val="E7D2EA6A"/>
    <w:lvl w:ilvl="0" w:tplc="7034E1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1E47AE"/>
    <w:multiLevelType w:val="hybridMultilevel"/>
    <w:tmpl w:val="422C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00"/>
    <w:rsid w:val="000072B8"/>
    <w:rsid w:val="00007450"/>
    <w:rsid w:val="0002635A"/>
    <w:rsid w:val="00061BE9"/>
    <w:rsid w:val="0006260C"/>
    <w:rsid w:val="0008015E"/>
    <w:rsid w:val="000A0C23"/>
    <w:rsid w:val="000D50CC"/>
    <w:rsid w:val="000F5691"/>
    <w:rsid w:val="00100DF7"/>
    <w:rsid w:val="00107CCD"/>
    <w:rsid w:val="00127834"/>
    <w:rsid w:val="00153849"/>
    <w:rsid w:val="0017003D"/>
    <w:rsid w:val="00173DE5"/>
    <w:rsid w:val="001832D7"/>
    <w:rsid w:val="00183BC9"/>
    <w:rsid w:val="001845C7"/>
    <w:rsid w:val="00185A23"/>
    <w:rsid w:val="00187C2F"/>
    <w:rsid w:val="00195939"/>
    <w:rsid w:val="00195DC0"/>
    <w:rsid w:val="00196724"/>
    <w:rsid w:val="001A0FFD"/>
    <w:rsid w:val="001B7EEC"/>
    <w:rsid w:val="001C09A1"/>
    <w:rsid w:val="001F0C08"/>
    <w:rsid w:val="00220226"/>
    <w:rsid w:val="00245904"/>
    <w:rsid w:val="00262EDB"/>
    <w:rsid w:val="00266505"/>
    <w:rsid w:val="00282C37"/>
    <w:rsid w:val="002B4496"/>
    <w:rsid w:val="002B45D2"/>
    <w:rsid w:val="002C4490"/>
    <w:rsid w:val="002D0192"/>
    <w:rsid w:val="002D5245"/>
    <w:rsid w:val="002E5715"/>
    <w:rsid w:val="002F6A53"/>
    <w:rsid w:val="002F7318"/>
    <w:rsid w:val="00310FF8"/>
    <w:rsid w:val="00317F2A"/>
    <w:rsid w:val="00320E21"/>
    <w:rsid w:val="00323FDA"/>
    <w:rsid w:val="0033107B"/>
    <w:rsid w:val="00362F7E"/>
    <w:rsid w:val="00367C8C"/>
    <w:rsid w:val="00367D11"/>
    <w:rsid w:val="00376378"/>
    <w:rsid w:val="00381012"/>
    <w:rsid w:val="003A3806"/>
    <w:rsid w:val="003A4D97"/>
    <w:rsid w:val="003C505B"/>
    <w:rsid w:val="003C7ED3"/>
    <w:rsid w:val="003D110E"/>
    <w:rsid w:val="003D206C"/>
    <w:rsid w:val="003F5B11"/>
    <w:rsid w:val="0041226D"/>
    <w:rsid w:val="00423397"/>
    <w:rsid w:val="004278A9"/>
    <w:rsid w:val="00450B80"/>
    <w:rsid w:val="0046218E"/>
    <w:rsid w:val="004667DC"/>
    <w:rsid w:val="00474136"/>
    <w:rsid w:val="0048456F"/>
    <w:rsid w:val="004A321B"/>
    <w:rsid w:val="004A7FE1"/>
    <w:rsid w:val="004B16E9"/>
    <w:rsid w:val="004D0574"/>
    <w:rsid w:val="004F2618"/>
    <w:rsid w:val="00503D4E"/>
    <w:rsid w:val="00512841"/>
    <w:rsid w:val="0053359E"/>
    <w:rsid w:val="005372D5"/>
    <w:rsid w:val="005374E1"/>
    <w:rsid w:val="0054162E"/>
    <w:rsid w:val="0056151D"/>
    <w:rsid w:val="00562E4C"/>
    <w:rsid w:val="005635D9"/>
    <w:rsid w:val="0057016F"/>
    <w:rsid w:val="0057094F"/>
    <w:rsid w:val="0057281C"/>
    <w:rsid w:val="00593E93"/>
    <w:rsid w:val="005D62C5"/>
    <w:rsid w:val="00602437"/>
    <w:rsid w:val="0060302B"/>
    <w:rsid w:val="006040FE"/>
    <w:rsid w:val="00612BAD"/>
    <w:rsid w:val="00613E10"/>
    <w:rsid w:val="00625254"/>
    <w:rsid w:val="006272AD"/>
    <w:rsid w:val="00632FAE"/>
    <w:rsid w:val="0064636F"/>
    <w:rsid w:val="00653FA4"/>
    <w:rsid w:val="00656047"/>
    <w:rsid w:val="00664FDD"/>
    <w:rsid w:val="00666383"/>
    <w:rsid w:val="00667E5A"/>
    <w:rsid w:val="006932CE"/>
    <w:rsid w:val="006B5D57"/>
    <w:rsid w:val="006D6603"/>
    <w:rsid w:val="006E09D0"/>
    <w:rsid w:val="006F57F1"/>
    <w:rsid w:val="006F7C14"/>
    <w:rsid w:val="00705EE3"/>
    <w:rsid w:val="00772AB6"/>
    <w:rsid w:val="007731FA"/>
    <w:rsid w:val="00790338"/>
    <w:rsid w:val="00796E3C"/>
    <w:rsid w:val="007A1BED"/>
    <w:rsid w:val="007C1D06"/>
    <w:rsid w:val="007C340A"/>
    <w:rsid w:val="007D7F1C"/>
    <w:rsid w:val="008062B3"/>
    <w:rsid w:val="00834FB7"/>
    <w:rsid w:val="00837F75"/>
    <w:rsid w:val="0084592A"/>
    <w:rsid w:val="00867A6A"/>
    <w:rsid w:val="0089014D"/>
    <w:rsid w:val="008D26B0"/>
    <w:rsid w:val="008D6BDC"/>
    <w:rsid w:val="008E08F4"/>
    <w:rsid w:val="008F271D"/>
    <w:rsid w:val="00901BA0"/>
    <w:rsid w:val="00931675"/>
    <w:rsid w:val="00935FE0"/>
    <w:rsid w:val="009534B8"/>
    <w:rsid w:val="00954057"/>
    <w:rsid w:val="00954679"/>
    <w:rsid w:val="009561A1"/>
    <w:rsid w:val="00960B55"/>
    <w:rsid w:val="009614E5"/>
    <w:rsid w:val="00973F4D"/>
    <w:rsid w:val="00982527"/>
    <w:rsid w:val="00986CFA"/>
    <w:rsid w:val="009C06A8"/>
    <w:rsid w:val="009C422F"/>
    <w:rsid w:val="00A05CE2"/>
    <w:rsid w:val="00A15E37"/>
    <w:rsid w:val="00A52F7B"/>
    <w:rsid w:val="00A63C37"/>
    <w:rsid w:val="00A6547A"/>
    <w:rsid w:val="00A65E75"/>
    <w:rsid w:val="00A74842"/>
    <w:rsid w:val="00A8653C"/>
    <w:rsid w:val="00AB20F5"/>
    <w:rsid w:val="00AB3E32"/>
    <w:rsid w:val="00AC6891"/>
    <w:rsid w:val="00AD2483"/>
    <w:rsid w:val="00AE63C0"/>
    <w:rsid w:val="00AE6E45"/>
    <w:rsid w:val="00AF0BB3"/>
    <w:rsid w:val="00B11470"/>
    <w:rsid w:val="00B44C14"/>
    <w:rsid w:val="00B46A4A"/>
    <w:rsid w:val="00B5792F"/>
    <w:rsid w:val="00B627CF"/>
    <w:rsid w:val="00B63CE5"/>
    <w:rsid w:val="00B8245C"/>
    <w:rsid w:val="00B939B2"/>
    <w:rsid w:val="00BA1440"/>
    <w:rsid w:val="00BA3FD6"/>
    <w:rsid w:val="00BA6FA5"/>
    <w:rsid w:val="00BB2A05"/>
    <w:rsid w:val="00BC0B65"/>
    <w:rsid w:val="00BF5970"/>
    <w:rsid w:val="00C12BB2"/>
    <w:rsid w:val="00C15367"/>
    <w:rsid w:val="00C344BA"/>
    <w:rsid w:val="00C35A2F"/>
    <w:rsid w:val="00C40798"/>
    <w:rsid w:val="00C75600"/>
    <w:rsid w:val="00C84C7D"/>
    <w:rsid w:val="00C952AD"/>
    <w:rsid w:val="00CA0C52"/>
    <w:rsid w:val="00CA72C8"/>
    <w:rsid w:val="00CC744B"/>
    <w:rsid w:val="00CC74C3"/>
    <w:rsid w:val="00CD0966"/>
    <w:rsid w:val="00CD1FBF"/>
    <w:rsid w:val="00D60EDE"/>
    <w:rsid w:val="00D6558A"/>
    <w:rsid w:val="00D71112"/>
    <w:rsid w:val="00D91817"/>
    <w:rsid w:val="00DA3E3C"/>
    <w:rsid w:val="00DC6BB9"/>
    <w:rsid w:val="00DD1F06"/>
    <w:rsid w:val="00DE3177"/>
    <w:rsid w:val="00E015CD"/>
    <w:rsid w:val="00E0692C"/>
    <w:rsid w:val="00E22D21"/>
    <w:rsid w:val="00E50FE5"/>
    <w:rsid w:val="00E57BE5"/>
    <w:rsid w:val="00E6105D"/>
    <w:rsid w:val="00E648B4"/>
    <w:rsid w:val="00E934FC"/>
    <w:rsid w:val="00EB55A0"/>
    <w:rsid w:val="00EC0A7A"/>
    <w:rsid w:val="00EC7404"/>
    <w:rsid w:val="00ED747F"/>
    <w:rsid w:val="00EF1884"/>
    <w:rsid w:val="00F05624"/>
    <w:rsid w:val="00F23C5D"/>
    <w:rsid w:val="00F355C2"/>
    <w:rsid w:val="00F41E44"/>
    <w:rsid w:val="00F53140"/>
    <w:rsid w:val="00F53DCE"/>
    <w:rsid w:val="00F5528D"/>
    <w:rsid w:val="00F801B4"/>
    <w:rsid w:val="00FB1BE3"/>
    <w:rsid w:val="00FC622C"/>
    <w:rsid w:val="00FD1548"/>
    <w:rsid w:val="00FE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81D202"/>
  <w15:chartTrackingRefBased/>
  <w15:docId w15:val="{3F805E87-D457-4F26-AAC3-5385753D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8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074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600"/>
    <w:pPr>
      <w:ind w:left="720"/>
      <w:contextualSpacing/>
    </w:pPr>
  </w:style>
  <w:style w:type="character" w:styleId="CommentReference">
    <w:name w:val="annotation reference"/>
    <w:basedOn w:val="DefaultParagraphFont"/>
    <w:semiHidden/>
    <w:unhideWhenUsed/>
    <w:rsid w:val="00C75600"/>
    <w:rPr>
      <w:sz w:val="16"/>
      <w:szCs w:val="16"/>
    </w:rPr>
  </w:style>
  <w:style w:type="paragraph" w:styleId="CommentText">
    <w:name w:val="annotation text"/>
    <w:basedOn w:val="Normal"/>
    <w:link w:val="CommentTextChar"/>
    <w:semiHidden/>
    <w:unhideWhenUsed/>
    <w:rsid w:val="00C7560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7560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648B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574"/>
  </w:style>
  <w:style w:type="paragraph" w:styleId="Footer">
    <w:name w:val="footer"/>
    <w:basedOn w:val="Normal"/>
    <w:link w:val="FooterChar"/>
    <w:uiPriority w:val="99"/>
    <w:unhideWhenUsed/>
    <w:rsid w:val="004D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574"/>
  </w:style>
  <w:style w:type="table" w:styleId="TableGrid">
    <w:name w:val="Table Grid"/>
    <w:basedOn w:val="TableNormal"/>
    <w:uiPriority w:val="39"/>
    <w:rsid w:val="0036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3C0"/>
    <w:rPr>
      <w:color w:val="0563C1" w:themeColor="hyperlink"/>
      <w:u w:val="single"/>
    </w:rPr>
  </w:style>
  <w:style w:type="character" w:styleId="UnresolvedMention">
    <w:name w:val="Unresolved Mention"/>
    <w:basedOn w:val="DefaultParagraphFont"/>
    <w:uiPriority w:val="99"/>
    <w:semiHidden/>
    <w:unhideWhenUsed/>
    <w:rsid w:val="00AE63C0"/>
    <w:rPr>
      <w:color w:val="605E5C"/>
      <w:shd w:val="clear" w:color="auto" w:fill="E1DFDD"/>
    </w:rPr>
  </w:style>
  <w:style w:type="paragraph" w:styleId="FootnoteText">
    <w:name w:val="footnote text"/>
    <w:basedOn w:val="Normal"/>
    <w:link w:val="FootnoteTextChar"/>
    <w:uiPriority w:val="99"/>
    <w:unhideWhenUsed/>
    <w:rsid w:val="00185A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85A2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85A23"/>
    <w:rPr>
      <w:vertAlign w:val="superscript"/>
    </w:rPr>
  </w:style>
  <w:style w:type="character" w:customStyle="1" w:styleId="Heading2Char">
    <w:name w:val="Heading 2 Char"/>
    <w:basedOn w:val="DefaultParagraphFont"/>
    <w:link w:val="Heading2"/>
    <w:uiPriority w:val="9"/>
    <w:semiHidden/>
    <w:rsid w:val="0000745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374E1"/>
    <w:pPr>
      <w:spacing w:after="0" w:line="240" w:lineRule="auto"/>
    </w:pPr>
  </w:style>
  <w:style w:type="paragraph" w:styleId="CommentSubject">
    <w:name w:val="annotation subject"/>
    <w:basedOn w:val="CommentText"/>
    <w:next w:val="CommentText"/>
    <w:link w:val="CommentSubjectChar"/>
    <w:uiPriority w:val="99"/>
    <w:semiHidden/>
    <w:unhideWhenUsed/>
    <w:rsid w:val="00FE77B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77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45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45177">
      <w:bodyDiv w:val="1"/>
      <w:marLeft w:val="0"/>
      <w:marRight w:val="0"/>
      <w:marTop w:val="0"/>
      <w:marBottom w:val="0"/>
      <w:divBdr>
        <w:top w:val="none" w:sz="0" w:space="0" w:color="auto"/>
        <w:left w:val="none" w:sz="0" w:space="0" w:color="auto"/>
        <w:bottom w:val="none" w:sz="0" w:space="0" w:color="auto"/>
        <w:right w:val="none" w:sz="0" w:space="0" w:color="auto"/>
      </w:divBdr>
    </w:div>
    <w:div w:id="1224563602">
      <w:bodyDiv w:val="1"/>
      <w:marLeft w:val="0"/>
      <w:marRight w:val="0"/>
      <w:marTop w:val="0"/>
      <w:marBottom w:val="0"/>
      <w:divBdr>
        <w:top w:val="none" w:sz="0" w:space="0" w:color="auto"/>
        <w:left w:val="none" w:sz="0" w:space="0" w:color="auto"/>
        <w:bottom w:val="none" w:sz="0" w:space="0" w:color="auto"/>
        <w:right w:val="none" w:sz="0" w:space="0" w:color="auto"/>
      </w:divBdr>
    </w:div>
    <w:div w:id="1295715908">
      <w:bodyDiv w:val="1"/>
      <w:marLeft w:val="0"/>
      <w:marRight w:val="0"/>
      <w:marTop w:val="0"/>
      <w:marBottom w:val="0"/>
      <w:divBdr>
        <w:top w:val="none" w:sz="0" w:space="0" w:color="auto"/>
        <w:left w:val="none" w:sz="0" w:space="0" w:color="auto"/>
        <w:bottom w:val="none" w:sz="0" w:space="0" w:color="auto"/>
        <w:right w:val="none" w:sz="0" w:space="0" w:color="auto"/>
      </w:divBdr>
    </w:div>
    <w:div w:id="1357778632">
      <w:bodyDiv w:val="1"/>
      <w:marLeft w:val="0"/>
      <w:marRight w:val="0"/>
      <w:marTop w:val="0"/>
      <w:marBottom w:val="0"/>
      <w:divBdr>
        <w:top w:val="none" w:sz="0" w:space="0" w:color="auto"/>
        <w:left w:val="none" w:sz="0" w:space="0" w:color="auto"/>
        <w:bottom w:val="none" w:sz="0" w:space="0" w:color="auto"/>
        <w:right w:val="none" w:sz="0" w:space="0" w:color="auto"/>
      </w:divBdr>
    </w:div>
    <w:div w:id="1540581476">
      <w:bodyDiv w:val="1"/>
      <w:marLeft w:val="0"/>
      <w:marRight w:val="0"/>
      <w:marTop w:val="0"/>
      <w:marBottom w:val="0"/>
      <w:divBdr>
        <w:top w:val="none" w:sz="0" w:space="0" w:color="auto"/>
        <w:left w:val="none" w:sz="0" w:space="0" w:color="auto"/>
        <w:bottom w:val="none" w:sz="0" w:space="0" w:color="auto"/>
        <w:right w:val="none" w:sz="0" w:space="0" w:color="auto"/>
      </w:divBdr>
      <w:divsChild>
        <w:div w:id="673189418">
          <w:marLeft w:val="0"/>
          <w:marRight w:val="0"/>
          <w:marTop w:val="0"/>
          <w:marBottom w:val="0"/>
          <w:divBdr>
            <w:top w:val="none" w:sz="0" w:space="0" w:color="auto"/>
            <w:left w:val="none" w:sz="0" w:space="0" w:color="auto"/>
            <w:bottom w:val="none" w:sz="0" w:space="0" w:color="auto"/>
            <w:right w:val="none" w:sz="0" w:space="0" w:color="auto"/>
          </w:divBdr>
        </w:div>
      </w:divsChild>
    </w:div>
    <w:div w:id="1763181913">
      <w:bodyDiv w:val="1"/>
      <w:marLeft w:val="0"/>
      <w:marRight w:val="0"/>
      <w:marTop w:val="0"/>
      <w:marBottom w:val="0"/>
      <w:divBdr>
        <w:top w:val="none" w:sz="0" w:space="0" w:color="auto"/>
        <w:left w:val="none" w:sz="0" w:space="0" w:color="auto"/>
        <w:bottom w:val="none" w:sz="0" w:space="0" w:color="auto"/>
        <w:right w:val="none" w:sz="0" w:space="0" w:color="auto"/>
      </w:divBdr>
      <w:divsChild>
        <w:div w:id="759957854">
          <w:marLeft w:val="0"/>
          <w:marRight w:val="0"/>
          <w:marTop w:val="0"/>
          <w:marBottom w:val="0"/>
          <w:divBdr>
            <w:top w:val="none" w:sz="0" w:space="0" w:color="auto"/>
            <w:left w:val="none" w:sz="0" w:space="0" w:color="auto"/>
            <w:bottom w:val="none" w:sz="0" w:space="0" w:color="auto"/>
            <w:right w:val="none" w:sz="0" w:space="0" w:color="auto"/>
          </w:divBdr>
        </w:div>
      </w:divsChild>
    </w:div>
    <w:div w:id="1971132261">
      <w:bodyDiv w:val="1"/>
      <w:marLeft w:val="0"/>
      <w:marRight w:val="0"/>
      <w:marTop w:val="0"/>
      <w:marBottom w:val="0"/>
      <w:divBdr>
        <w:top w:val="none" w:sz="0" w:space="0" w:color="auto"/>
        <w:left w:val="none" w:sz="0" w:space="0" w:color="auto"/>
        <w:bottom w:val="none" w:sz="0" w:space="0" w:color="auto"/>
        <w:right w:val="none" w:sz="0" w:space="0" w:color="auto"/>
      </w:divBdr>
    </w:div>
    <w:div w:id="20080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07B2-B0F7-499E-BC07-BB567693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REE-ERS, Washington, DC</dc:creator>
  <cp:keywords/>
  <dc:description/>
  <cp:lastModifiedBy>Wallander, Steve - REE-ERS, Washington, DC</cp:lastModifiedBy>
  <cp:revision>4</cp:revision>
  <dcterms:created xsi:type="dcterms:W3CDTF">2022-03-24T20:15:00Z</dcterms:created>
  <dcterms:modified xsi:type="dcterms:W3CDTF">2022-03-29T21:02:00Z</dcterms:modified>
</cp:coreProperties>
</file>