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A2604E" w:rsidP="00A2604E" w:rsidRDefault="00A2604E" w14:paraId="6E444933" w14:textId="77777777">
      <w:pPr>
        <w:jc w:val="center"/>
      </w:pPr>
      <w:smartTag w:uri="urn:schemas-microsoft-com:office:smarttags" w:element="country-region">
        <w:smartTag w:uri="urn:schemas-microsoft-com:office:smarttags" w:element="place">
          <w:r>
            <w:t>UNITED STATES OF AMERICA</w:t>
          </w:r>
        </w:smartTag>
      </w:smartTag>
    </w:p>
    <w:p w:rsidR="00A2604E" w:rsidP="00A2604E" w:rsidRDefault="00A2604E" w14:paraId="4CB90DC8" w14:textId="77777777">
      <w:pPr>
        <w:jc w:val="center"/>
      </w:pPr>
      <w:r>
        <w:t>FEDERAL ENERGY REGULATORY COMMISSION</w:t>
      </w:r>
    </w:p>
    <w:p w:rsidR="00A2604E" w:rsidP="00A2604E" w:rsidRDefault="00A2604E" w14:paraId="72528CFE" w14:textId="77777777"/>
    <w:p w:rsidR="00A2604E" w:rsidP="00A2604E" w:rsidRDefault="00A2604E" w14:paraId="63F7D638" w14:textId="08FEF4E3">
      <w:pPr>
        <w:jc w:val="center"/>
      </w:pPr>
      <w:r w:rsidRPr="00AC750B">
        <w:t xml:space="preserve">[Docket </w:t>
      </w:r>
      <w:r w:rsidRPr="009D3BAE">
        <w:t xml:space="preserve">No. </w:t>
      </w:r>
      <w:r w:rsidRPr="002B64A0" w:rsidR="00337D1F">
        <w:t>IC</w:t>
      </w:r>
      <w:r w:rsidRPr="002B64A0" w:rsidR="009D3BAE">
        <w:t>22</w:t>
      </w:r>
      <w:r w:rsidRPr="002B64A0" w:rsidR="00337D1F">
        <w:t>-</w:t>
      </w:r>
      <w:r w:rsidRPr="002B64A0" w:rsidR="009D3BAE">
        <w:t>9</w:t>
      </w:r>
      <w:r w:rsidRPr="002B64A0" w:rsidR="00337D1F">
        <w:t>-000</w:t>
      </w:r>
      <w:r w:rsidRPr="00486FC9">
        <w:t>]</w:t>
      </w:r>
    </w:p>
    <w:p w:rsidR="00A2604E" w:rsidP="00A2604E" w:rsidRDefault="00A2604E" w14:paraId="35E21C8D" w14:textId="77777777"/>
    <w:p w:rsidR="00A2604E" w:rsidP="00A2604E" w:rsidRDefault="00A2604E" w14:paraId="3E6E30E1" w14:textId="34E43F12">
      <w:pPr>
        <w:jc w:val="center"/>
      </w:pPr>
      <w:r>
        <w:t>COMMISSION INFORMATION COLLECTION ACTIVITIES (</w:t>
      </w:r>
      <w:r w:rsidR="00337D1F">
        <w:t>FERC-912</w:t>
      </w:r>
      <w:r>
        <w:t>);</w:t>
      </w:r>
    </w:p>
    <w:p w:rsidR="00A2604E" w:rsidP="00A2604E" w:rsidRDefault="00A2604E" w14:paraId="2455F18B" w14:textId="77777777">
      <w:pPr>
        <w:jc w:val="center"/>
      </w:pPr>
      <w:r>
        <w:t>COMMENT REQUEST; EXTENSION</w:t>
      </w:r>
    </w:p>
    <w:p w:rsidR="00810D18" w:rsidP="00810D18" w:rsidRDefault="00810D18" w14:paraId="1020381E" w14:textId="77777777"/>
    <w:p w:rsidR="008017C6" w:rsidP="004F158B" w:rsidRDefault="004F158B" w14:paraId="7F4072C7" w14:textId="38054B9B">
      <w:pPr>
        <w:jc w:val="center"/>
      </w:pPr>
      <w:r w:rsidRPr="004F158B">
        <w:t>(</w:t>
      </w:r>
      <w:r w:rsidR="0002127D">
        <w:t>DATE</w:t>
      </w:r>
      <w:r w:rsidRPr="004F158B">
        <w:t>)</w:t>
      </w:r>
    </w:p>
    <w:p w:rsidRPr="004F158B" w:rsidR="004F158B" w:rsidP="004F158B" w:rsidRDefault="004F158B" w14:paraId="4706553A" w14:textId="77777777"/>
    <w:p w:rsidR="00A2604E" w:rsidP="00A2604E" w:rsidRDefault="00A2604E" w14:paraId="373A1B90" w14:textId="77777777">
      <w:r w:rsidRPr="00AB4DBF">
        <w:rPr>
          <w:b/>
        </w:rPr>
        <w:t>AGENCY:</w:t>
      </w:r>
      <w:r w:rsidRPr="00AB4DBF">
        <w:t xml:space="preserve">  Federal Energy Regulatory Commission.</w:t>
      </w:r>
    </w:p>
    <w:p w:rsidRPr="00AB4DBF" w:rsidR="00A2604E" w:rsidP="00A2604E" w:rsidRDefault="00A2604E" w14:paraId="4B402D0B" w14:textId="77777777"/>
    <w:p w:rsidR="00A2604E" w:rsidP="00A2604E" w:rsidRDefault="00A2604E" w14:paraId="780CCEA4" w14:textId="77777777">
      <w:pPr>
        <w:spacing w:line="480" w:lineRule="auto"/>
      </w:pPr>
      <w:r w:rsidRPr="00CE64F2">
        <w:rPr>
          <w:b/>
        </w:rPr>
        <w:t>ACTION:</w:t>
      </w:r>
      <w:r>
        <w:t xml:space="preserve">  Notice of information collection and request for comments.</w:t>
      </w:r>
    </w:p>
    <w:p w:rsidR="00A2604E" w:rsidP="00A2604E" w:rsidRDefault="00A2604E" w14:paraId="1E606D01" w14:textId="2D23CBFE">
      <w:pPr>
        <w:spacing w:line="480" w:lineRule="auto"/>
      </w:pPr>
      <w:r w:rsidRPr="00CE64F2">
        <w:rPr>
          <w:b/>
        </w:rPr>
        <w:t>SUMMARY:</w:t>
      </w:r>
      <w:r>
        <w:t xml:space="preserve">  In compliance with the requirements of the Paperwork Reduction Act of 1995, the Federal Energy Regulatory Commission (Commission or FERC) is soliciting public comment on the currently approved information collection, </w:t>
      </w:r>
      <w:r w:rsidR="00337D1F">
        <w:t>FERC-912</w:t>
      </w:r>
      <w:r w:rsidRPr="00D36594" w:rsidR="00D36594">
        <w:t xml:space="preserve"> (</w:t>
      </w:r>
      <w:r w:rsidRPr="00337D1F" w:rsidR="00337D1F">
        <w:t>PURPA Section 210(m) Notification Requirements Applicable to Cogeneration and Small Power Production Facilities</w:t>
      </w:r>
      <w:r w:rsidRPr="00D36594" w:rsidR="00D36594">
        <w:t>)</w:t>
      </w:r>
      <w:r w:rsidR="00D36594">
        <w:t>.</w:t>
      </w:r>
    </w:p>
    <w:p w:rsidR="00A2604E" w:rsidP="00A2604E" w:rsidRDefault="00A2604E" w14:paraId="744289EA" w14:textId="187122D4">
      <w:pPr>
        <w:spacing w:line="480" w:lineRule="auto"/>
      </w:pPr>
      <w:r w:rsidRPr="00CE64F2">
        <w:rPr>
          <w:b/>
        </w:rPr>
        <w:t>DATES:</w:t>
      </w:r>
      <w:r>
        <w:t xml:space="preserve">  Comments on the collection of information are due [</w:t>
      </w:r>
      <w:r w:rsidR="008017C6">
        <w:rPr>
          <w:b/>
        </w:rPr>
        <w:t>I</w:t>
      </w:r>
      <w:r w:rsidRPr="006825C4">
        <w:rPr>
          <w:b/>
        </w:rPr>
        <w:t>nsert date 60 days after</w:t>
      </w:r>
      <w:r w:rsidRPr="006825C4" w:rsidR="00CA6D76">
        <w:rPr>
          <w:b/>
        </w:rPr>
        <w:t xml:space="preserve"> </w:t>
      </w:r>
      <w:r w:rsidRPr="006825C4">
        <w:rPr>
          <w:b/>
        </w:rPr>
        <w:t>publication in the Federal Register</w:t>
      </w:r>
      <w:r>
        <w:t xml:space="preserve">]. </w:t>
      </w:r>
    </w:p>
    <w:p w:rsidRPr="00686E77" w:rsidR="00686E77" w:rsidP="00686E77" w:rsidRDefault="00A2604E" w14:paraId="545EAB83" w14:textId="297B8733">
      <w:pPr>
        <w:spacing w:line="480" w:lineRule="auto"/>
      </w:pPr>
      <w:r w:rsidRPr="00AC750B">
        <w:rPr>
          <w:b/>
        </w:rPr>
        <w:t>ADDRESSES:</w:t>
      </w:r>
      <w:r w:rsidRPr="00AC750B">
        <w:t xml:space="preserve">  </w:t>
      </w:r>
      <w:r w:rsidRPr="00686E77" w:rsidR="00686E77">
        <w:rPr>
          <w:iCs/>
        </w:rPr>
        <w:t>Send written comments on FERC-</w:t>
      </w:r>
      <w:r w:rsidR="00686E77">
        <w:rPr>
          <w:iCs/>
        </w:rPr>
        <w:t>912 (IC22-</w:t>
      </w:r>
      <w:r w:rsidR="009D3BAE">
        <w:rPr>
          <w:iCs/>
        </w:rPr>
        <w:t>9</w:t>
      </w:r>
      <w:r w:rsidR="00686E77">
        <w:rPr>
          <w:iCs/>
        </w:rPr>
        <w:t>-000)</w:t>
      </w:r>
      <w:r w:rsidRPr="00686E77" w:rsidR="00686E77">
        <w:rPr>
          <w:iCs/>
        </w:rPr>
        <w:t xml:space="preserve"> </w:t>
      </w:r>
      <w:r w:rsidRPr="00686E77" w:rsidR="00686E77">
        <w:t>to the Commission.  You may submit copies of your comments by one of the following methods:</w:t>
      </w:r>
    </w:p>
    <w:p w:rsidRPr="00686E77" w:rsidR="00686E77" w:rsidP="00686E77" w:rsidRDefault="00686E77" w14:paraId="4EE6A8E4" w14:textId="77777777">
      <w:pPr>
        <w:spacing w:line="480" w:lineRule="auto"/>
      </w:pPr>
      <w:r w:rsidRPr="00686E77">
        <w:t xml:space="preserve">Electronic filing through </w:t>
      </w:r>
      <w:hyperlink w:history="1" r:id="rId13">
        <w:r w:rsidRPr="00686E77">
          <w:rPr>
            <w:rStyle w:val="Hyperlink"/>
          </w:rPr>
          <w:t>http://www.ferc.gov</w:t>
        </w:r>
      </w:hyperlink>
      <w:r w:rsidRPr="00686E77">
        <w:t>, is preferred.</w:t>
      </w:r>
    </w:p>
    <w:p w:rsidRPr="00686E77" w:rsidR="00686E77" w:rsidP="00686E77" w:rsidRDefault="00686E77" w14:paraId="01EA06AD" w14:textId="77777777">
      <w:pPr>
        <w:numPr>
          <w:ilvl w:val="0"/>
          <w:numId w:val="7"/>
        </w:numPr>
        <w:spacing w:line="480" w:lineRule="auto"/>
      </w:pPr>
      <w:r w:rsidRPr="00686E77">
        <w:t xml:space="preserve">Electronic Filing:  Documents must be filed in acceptable native applications and print-to-PDF, but not in scanned or picture format. </w:t>
      </w:r>
    </w:p>
    <w:p w:rsidRPr="00686E77" w:rsidR="00686E77" w:rsidP="00686E77" w:rsidRDefault="00686E77" w14:paraId="0A0ED825" w14:textId="77777777">
      <w:pPr>
        <w:numPr>
          <w:ilvl w:val="0"/>
          <w:numId w:val="7"/>
        </w:numPr>
        <w:spacing w:line="480" w:lineRule="auto"/>
      </w:pPr>
      <w:r w:rsidRPr="00686E77">
        <w:t>For those unable to file electronically, comments may be filed by USPS mail or by hand (including courier) delivery.</w:t>
      </w:r>
    </w:p>
    <w:p w:rsidRPr="00686E77" w:rsidR="00686E77" w:rsidP="00686E77" w:rsidRDefault="00686E77" w14:paraId="7686A6E2" w14:textId="77777777">
      <w:pPr>
        <w:numPr>
          <w:ilvl w:val="1"/>
          <w:numId w:val="7"/>
        </w:numPr>
        <w:spacing w:line="480" w:lineRule="auto"/>
      </w:pPr>
      <w:r w:rsidRPr="00686E77">
        <w:lastRenderedPageBreak/>
        <w:t>Mail via U.S. Postal Service Only Addressed to: Federal Energy Regulatory Commission, Secretary of the Commission, 888 First Street, N.E., Washington, DC 20426.</w:t>
      </w:r>
    </w:p>
    <w:p w:rsidRPr="00686E77" w:rsidR="00686E77" w:rsidP="00686E77" w:rsidRDefault="00686E77" w14:paraId="26BD19B7" w14:textId="77777777">
      <w:pPr>
        <w:numPr>
          <w:ilvl w:val="1"/>
          <w:numId w:val="7"/>
        </w:numPr>
        <w:spacing w:line="480" w:lineRule="auto"/>
      </w:pPr>
      <w:r w:rsidRPr="00686E77">
        <w:t>Hand (including courier) delivery to: Federal Energy Regulatory Commission, 12225 Wilkins Avenue, Rockville, MD 20852.</w:t>
      </w:r>
    </w:p>
    <w:p w:rsidRPr="00686E77" w:rsidR="00686E77" w:rsidP="00686E77" w:rsidRDefault="00686E77" w14:paraId="3F904225" w14:textId="77777777">
      <w:pPr>
        <w:spacing w:line="480" w:lineRule="auto"/>
      </w:pPr>
      <w:r w:rsidRPr="00686E77">
        <w:rPr>
          <w:i/>
        </w:rPr>
        <w:t>Instructions</w:t>
      </w:r>
      <w:r w:rsidRPr="00686E77">
        <w:rPr>
          <w:iCs/>
        </w:rPr>
        <w:t>:</w:t>
      </w:r>
      <w:r w:rsidRPr="00686E77">
        <w:rPr>
          <w:i/>
        </w:rPr>
        <w:t xml:space="preserve">  </w:t>
      </w:r>
      <w:r w:rsidRPr="00686E77">
        <w:rPr>
          <w:i/>
          <w:iCs/>
        </w:rPr>
        <w:t>FERC submissions</w:t>
      </w:r>
      <w:r w:rsidRPr="00686E77">
        <w:t xml:space="preserve"> </w:t>
      </w:r>
      <w:bookmarkStart w:name="_Hlk38028397" w:id="0"/>
      <w:r w:rsidRPr="00686E77">
        <w:t>must be formatted and filed in accordance with submission guidelines at</w:t>
      </w:r>
      <w:bookmarkEnd w:id="0"/>
      <w:r w:rsidRPr="00686E77">
        <w:t xml:space="preserve">: </w:t>
      </w:r>
      <w:hyperlink w:history="1" r:id="rId14">
        <w:r w:rsidRPr="00686E77">
          <w:rPr>
            <w:rStyle w:val="Hyperlink"/>
          </w:rPr>
          <w:t>http://www.ferc.gov</w:t>
        </w:r>
      </w:hyperlink>
      <w:r w:rsidRPr="00686E77">
        <w:t>.  For user assistance, contact FERC Online Support by e-mail at ferconlinesupport@ferc.gov, or by phone at: (866) 208-3676 (toll-free).</w:t>
      </w:r>
    </w:p>
    <w:p w:rsidRPr="00686E77" w:rsidR="00686E77" w:rsidP="00686E77" w:rsidRDefault="00686E77" w14:paraId="1C4655EB" w14:textId="77777777">
      <w:pPr>
        <w:spacing w:line="480" w:lineRule="auto"/>
      </w:pPr>
      <w:r w:rsidRPr="00686E77">
        <w:rPr>
          <w:i/>
        </w:rPr>
        <w:t>Docket</w:t>
      </w:r>
      <w:r w:rsidRPr="00686E77">
        <w:rPr>
          <w:iCs/>
        </w:rPr>
        <w:t xml:space="preserve">:  </w:t>
      </w:r>
      <w:r w:rsidRPr="00686E77">
        <w:t xml:space="preserve">Users interested in receiving automatic notification of activity in this docket or in viewing/downloading comments and issuances in this docket may do so at </w:t>
      </w:r>
      <w:hyperlink w:history="1" r:id="rId15">
        <w:r w:rsidRPr="00686E77">
          <w:rPr>
            <w:rStyle w:val="Hyperlink"/>
          </w:rPr>
          <w:t>https://www.ferc.gov/ferc-online/overview</w:t>
        </w:r>
      </w:hyperlink>
      <w:r w:rsidRPr="00686E77">
        <w:t xml:space="preserve">. </w:t>
      </w:r>
    </w:p>
    <w:p w:rsidR="00A2604E" w:rsidP="00686E77" w:rsidRDefault="00A2604E" w14:paraId="238ACD8E" w14:textId="1F426A82">
      <w:pPr>
        <w:spacing w:line="480" w:lineRule="auto"/>
      </w:pPr>
      <w:r w:rsidRPr="00656DF0">
        <w:rPr>
          <w:b/>
        </w:rPr>
        <w:t>FOR FURTHER INFORMATION:</w:t>
      </w:r>
      <w:r>
        <w:t xml:space="preserve">  </w:t>
      </w:r>
      <w:smartTag w:uri="urn:schemas-microsoft-com:office:smarttags" w:element="PersonName">
        <w:r w:rsidRPr="007731D6">
          <w:t>Ellen Brown</w:t>
        </w:r>
      </w:smartTag>
      <w:r>
        <w:t xml:space="preserve"> may be reached by e-mail at </w:t>
      </w:r>
      <w:hyperlink w:history="1" r:id="rId16">
        <w:r w:rsidRPr="00006D4B">
          <w:rPr>
            <w:rStyle w:val="Hyperlink"/>
          </w:rPr>
          <w:t>DataClearance@FERC.gov</w:t>
        </w:r>
      </w:hyperlink>
      <w:r>
        <w:t>, telephone at (202) 502-8663</w:t>
      </w:r>
      <w:r w:rsidR="00686E77">
        <w:t>.</w:t>
      </w:r>
    </w:p>
    <w:p w:rsidRPr="00853ABC" w:rsidR="00A2604E" w:rsidP="00C1124F" w:rsidRDefault="00A2604E" w14:paraId="1EFC842C" w14:textId="77777777">
      <w:pPr>
        <w:tabs>
          <w:tab w:val="left" w:pos="7880"/>
        </w:tabs>
        <w:spacing w:line="480" w:lineRule="auto"/>
      </w:pPr>
      <w:r>
        <w:t xml:space="preserve"> </w:t>
      </w:r>
      <w:r w:rsidRPr="001C3703">
        <w:rPr>
          <w:b/>
        </w:rPr>
        <w:t>SUPPLEMENTARY INFORMATION:</w:t>
      </w:r>
      <w:r>
        <w:t xml:space="preserve">  </w:t>
      </w:r>
    </w:p>
    <w:p w:rsidR="00B01B16" w:rsidP="00B01B16" w:rsidRDefault="00B01B16" w14:paraId="58675FAE" w14:textId="6BBBDB88">
      <w:pPr>
        <w:spacing w:line="480" w:lineRule="auto"/>
        <w:rPr>
          <w:i/>
        </w:rPr>
      </w:pPr>
      <w:r>
        <w:rPr>
          <w:i/>
        </w:rPr>
        <w:t xml:space="preserve">Title: </w:t>
      </w:r>
      <w:r w:rsidR="00337D1F">
        <w:t>FERC-912</w:t>
      </w:r>
      <w:r w:rsidR="006765C9">
        <w:t>,</w:t>
      </w:r>
      <w:r w:rsidRPr="006765C9" w:rsidR="006765C9">
        <w:t xml:space="preserve"> </w:t>
      </w:r>
      <w:r w:rsidRPr="00337D1F" w:rsidR="00337D1F">
        <w:t>PURPA Section 210(m) Notification Requirements Applicable to Cogeneration and Small Power Production Facilities</w:t>
      </w:r>
    </w:p>
    <w:p w:rsidR="00B01B16" w:rsidP="00B01B16" w:rsidRDefault="00B01B16" w14:paraId="10CE6BEF" w14:textId="5716C1C8">
      <w:pPr>
        <w:spacing w:line="480" w:lineRule="auto"/>
      </w:pPr>
      <w:r>
        <w:rPr>
          <w:i/>
        </w:rPr>
        <w:t>OMB Control No.:</w:t>
      </w:r>
      <w:r w:rsidRPr="00F50EDA">
        <w:t xml:space="preserve"> </w:t>
      </w:r>
      <w:r w:rsidR="00F405C0">
        <w:t>1902-0237</w:t>
      </w:r>
    </w:p>
    <w:p w:rsidRPr="00B5364C" w:rsidR="00B01B16" w:rsidP="00B01B16" w:rsidRDefault="00B01B16" w14:paraId="5A0F5B82" w14:textId="1240B764">
      <w:pPr>
        <w:spacing w:line="480" w:lineRule="auto"/>
      </w:pPr>
      <w:r>
        <w:rPr>
          <w:i/>
        </w:rPr>
        <w:t>Type of Request:</w:t>
      </w:r>
      <w:r>
        <w:t xml:space="preserve"> Three-year extension of the </w:t>
      </w:r>
      <w:r w:rsidR="00337D1F">
        <w:t>FERC-912</w:t>
      </w:r>
      <w:r>
        <w:t xml:space="preserve"> information collection requirements with no changes to the current reporting requirements. </w:t>
      </w:r>
    </w:p>
    <w:p w:rsidR="00710EEE" w:rsidP="00710EEE" w:rsidRDefault="00710EEE" w14:paraId="5C146488" w14:textId="3A54B66E">
      <w:pPr>
        <w:spacing w:line="480" w:lineRule="auto"/>
      </w:pPr>
      <w:r>
        <w:rPr>
          <w:i/>
        </w:rPr>
        <w:lastRenderedPageBreak/>
        <w:t xml:space="preserve">Abstract: </w:t>
      </w:r>
      <w:r>
        <w:t>On 8/8/2005, the Energy Policy Act of 2005 (</w:t>
      </w:r>
      <w:proofErr w:type="spellStart"/>
      <w:r>
        <w:t>EPAct</w:t>
      </w:r>
      <w:proofErr w:type="spellEnd"/>
      <w:r>
        <w:t xml:space="preserve"> 2005)</w:t>
      </w:r>
      <w:r>
        <w:rPr>
          <w:rStyle w:val="FootnoteReference"/>
          <w:b w:val="0"/>
        </w:rPr>
        <w:footnoteReference w:id="1"/>
      </w:r>
      <w:r>
        <w:t xml:space="preserve"> was signed into law.  Section 1253(a) of </w:t>
      </w:r>
      <w:proofErr w:type="spellStart"/>
      <w:r>
        <w:t>EPAct</w:t>
      </w:r>
      <w:proofErr w:type="spellEnd"/>
      <w:r>
        <w:t xml:space="preserve"> 2005 amends Section 210 of the Public Utility Regulatory Policies Act of 1978 (PURPA) by adding subsection “(m),” that provides, based on a specified showing, for the termination and subsequent reinstatement of an electric utility’s obligation to purchase from, and sell energy and capacity to, qualifying facilities (QFs). </w:t>
      </w:r>
      <w:r w:rsidR="009D06AD">
        <w:t xml:space="preserve"> </w:t>
      </w:r>
      <w:r w:rsidR="00926472">
        <w:t>In 2019</w:t>
      </w:r>
      <w:r w:rsidR="00746ED0">
        <w:t xml:space="preserve"> the Commission revised its regulations in </w:t>
      </w:r>
      <w:r w:rsidR="00B71C58">
        <w:t xml:space="preserve">18 </w:t>
      </w:r>
      <w:r w:rsidR="00746ED0">
        <w:t xml:space="preserve">CFR 292.309 – 292.313 in Docket No. </w:t>
      </w:r>
      <w:r w:rsidR="00926472">
        <w:t>RM</w:t>
      </w:r>
      <w:r>
        <w:t>1</w:t>
      </w:r>
      <w:r w:rsidR="00926472">
        <w:t>9-15-000</w:t>
      </w:r>
      <w:r w:rsidR="00746ED0">
        <w:t xml:space="preserve"> to account for industry changes</w:t>
      </w:r>
      <w:r w:rsidR="00626B1D">
        <w:t>.  These industry changes include:</w:t>
      </w:r>
      <w:r w:rsidR="00926472">
        <w:t xml:space="preserve"> the decrease in reliance on oil and natural gas, the increase of natural gas</w:t>
      </w:r>
      <w:r w:rsidR="00626B1D">
        <w:t xml:space="preserve"> supply</w:t>
      </w:r>
      <w:r w:rsidR="00926472">
        <w:t xml:space="preserve"> due to </w:t>
      </w:r>
      <w:r w:rsidR="00166E2F">
        <w:t>access of shale reserves, and the decreasing costs of renewable energy sources</w:t>
      </w:r>
      <w:proofErr w:type="gramStart"/>
      <w:r w:rsidR="00166E2F">
        <w:t xml:space="preserve">. </w:t>
      </w:r>
      <w:proofErr w:type="gramEnd"/>
      <w:r w:rsidR="00746ED0">
        <w:t>Due to the modifications in t</w:t>
      </w:r>
      <w:r w:rsidR="00626B1D">
        <w:t xml:space="preserve">he </w:t>
      </w:r>
      <w:r w:rsidR="00746ED0">
        <w:t>rulemaking, t</w:t>
      </w:r>
      <w:r w:rsidR="00166E2F">
        <w:t xml:space="preserve">he </w:t>
      </w:r>
      <w:r w:rsidR="00746ED0">
        <w:t xml:space="preserve">Commission </w:t>
      </w:r>
      <w:r w:rsidR="00626B1D">
        <w:t>revised</w:t>
      </w:r>
      <w:r w:rsidR="00746ED0">
        <w:t xml:space="preserve"> its information collection requirements. </w:t>
      </w:r>
      <w:r w:rsidR="00626B1D">
        <w:t xml:space="preserve"> </w:t>
      </w:r>
      <w:r w:rsidR="00746ED0">
        <w:t>The Commission now collects the following information on FERC Form 912</w:t>
      </w:r>
      <w:r>
        <w:t>:</w:t>
      </w:r>
    </w:p>
    <w:p w:rsidRPr="00F133B5" w:rsidR="00166E2F" w:rsidDel="000F32D3" w:rsidP="00166E2F" w:rsidRDefault="00166E2F" w14:paraId="2A4537B8" w14:textId="77777777">
      <w:pPr>
        <w:pStyle w:val="ListParagraph"/>
        <w:numPr>
          <w:ilvl w:val="0"/>
          <w:numId w:val="3"/>
        </w:numPr>
        <w:spacing w:after="0"/>
        <w:rPr>
          <w:rFonts w:ascii="Times New Roman" w:hAnsi="Times New Roman"/>
          <w:sz w:val="26"/>
          <w:szCs w:val="26"/>
        </w:rPr>
      </w:pPr>
      <w:r w:rsidRPr="00F133B5" w:rsidDel="000F32D3">
        <w:rPr>
          <w:rFonts w:ascii="Times New Roman" w:hAnsi="Times New Roman"/>
          <w:sz w:val="26"/>
          <w:szCs w:val="26"/>
        </w:rPr>
        <w:t xml:space="preserve">§292.310: an electric utility’s application for the </w:t>
      </w:r>
      <w:r w:rsidRPr="002B64A0" w:rsidDel="000F32D3">
        <w:rPr>
          <w:rFonts w:ascii="Times New Roman" w:hAnsi="Times New Roman"/>
          <w:sz w:val="26"/>
          <w:szCs w:val="26"/>
          <w:u w:val="single"/>
        </w:rPr>
        <w:t>termination of its obligation</w:t>
      </w:r>
      <w:r w:rsidRPr="00F133B5" w:rsidDel="000F32D3">
        <w:rPr>
          <w:rFonts w:ascii="Times New Roman" w:hAnsi="Times New Roman"/>
          <w:sz w:val="26"/>
          <w:szCs w:val="26"/>
        </w:rPr>
        <w:t xml:space="preserve"> to purchase energy from a QF,</w:t>
      </w:r>
    </w:p>
    <w:p w:rsidRPr="00F133B5" w:rsidR="00166E2F" w:rsidDel="000F32D3" w:rsidP="00166E2F" w:rsidRDefault="00166E2F" w14:paraId="3C774ECF" w14:textId="77777777">
      <w:pPr>
        <w:pStyle w:val="ListParagraph"/>
        <w:numPr>
          <w:ilvl w:val="0"/>
          <w:numId w:val="3"/>
        </w:numPr>
        <w:spacing w:after="0"/>
        <w:rPr>
          <w:rFonts w:ascii="Times New Roman" w:hAnsi="Times New Roman"/>
          <w:sz w:val="26"/>
          <w:szCs w:val="26"/>
        </w:rPr>
      </w:pPr>
      <w:r w:rsidRPr="00F133B5" w:rsidDel="000F32D3">
        <w:rPr>
          <w:rFonts w:ascii="Times New Roman" w:hAnsi="Times New Roman"/>
          <w:sz w:val="26"/>
          <w:szCs w:val="26"/>
        </w:rPr>
        <w:t xml:space="preserve">§292.311: an affected entity or person’s application to the Commission for an order </w:t>
      </w:r>
      <w:r w:rsidRPr="002B64A0" w:rsidDel="000F32D3">
        <w:rPr>
          <w:rFonts w:ascii="Times New Roman" w:hAnsi="Times New Roman"/>
          <w:sz w:val="26"/>
          <w:szCs w:val="26"/>
          <w:u w:val="single"/>
        </w:rPr>
        <w:t>reinstating the electric utility’s obligation</w:t>
      </w:r>
      <w:r w:rsidRPr="00F133B5" w:rsidDel="000F32D3">
        <w:rPr>
          <w:rFonts w:ascii="Times New Roman" w:hAnsi="Times New Roman"/>
          <w:sz w:val="26"/>
          <w:szCs w:val="26"/>
        </w:rPr>
        <w:t xml:space="preserve"> to purchase energy from a QF,</w:t>
      </w:r>
    </w:p>
    <w:p w:rsidRPr="00F133B5" w:rsidR="00166E2F" w:rsidDel="000F32D3" w:rsidP="00166E2F" w:rsidRDefault="00166E2F" w14:paraId="4817212F" w14:textId="77777777">
      <w:pPr>
        <w:pStyle w:val="ListParagraph"/>
        <w:numPr>
          <w:ilvl w:val="0"/>
          <w:numId w:val="3"/>
        </w:numPr>
        <w:spacing w:after="0"/>
        <w:rPr>
          <w:rFonts w:ascii="Times New Roman" w:hAnsi="Times New Roman"/>
          <w:sz w:val="26"/>
          <w:szCs w:val="26"/>
        </w:rPr>
      </w:pPr>
      <w:r w:rsidRPr="00F133B5" w:rsidDel="000F32D3">
        <w:rPr>
          <w:rFonts w:ascii="Times New Roman" w:hAnsi="Times New Roman"/>
          <w:sz w:val="26"/>
          <w:szCs w:val="26"/>
        </w:rPr>
        <w:t xml:space="preserve">§292.312: an electric utility’s application for the </w:t>
      </w:r>
      <w:r w:rsidRPr="002B64A0" w:rsidDel="000F32D3">
        <w:rPr>
          <w:rFonts w:ascii="Times New Roman" w:hAnsi="Times New Roman"/>
          <w:sz w:val="26"/>
          <w:szCs w:val="26"/>
          <w:u w:val="single"/>
        </w:rPr>
        <w:t>termination of its obligation</w:t>
      </w:r>
      <w:r w:rsidRPr="00F133B5" w:rsidDel="000F32D3">
        <w:rPr>
          <w:rFonts w:ascii="Times New Roman" w:hAnsi="Times New Roman"/>
          <w:sz w:val="26"/>
          <w:szCs w:val="26"/>
        </w:rPr>
        <w:t xml:space="preserve"> to sell energy and capacity to QFs, and</w:t>
      </w:r>
    </w:p>
    <w:p w:rsidR="00710EEE" w:rsidP="00166E2F" w:rsidRDefault="00166E2F" w14:paraId="5BD52924" w14:textId="10C36CEE">
      <w:pPr>
        <w:numPr>
          <w:ilvl w:val="0"/>
          <w:numId w:val="3"/>
        </w:numPr>
      </w:pPr>
      <w:r w:rsidRPr="00F133B5" w:rsidDel="000F32D3">
        <w:rPr>
          <w:szCs w:val="26"/>
        </w:rPr>
        <w:t xml:space="preserve">§292.313: an affected entity or person’s application to the Commission for an order </w:t>
      </w:r>
      <w:r w:rsidRPr="002B64A0" w:rsidDel="000F32D3">
        <w:rPr>
          <w:szCs w:val="26"/>
          <w:u w:val="single"/>
        </w:rPr>
        <w:t>reinstating the electric utility’s obligation</w:t>
      </w:r>
      <w:r w:rsidRPr="00F133B5" w:rsidDel="000F32D3">
        <w:rPr>
          <w:szCs w:val="26"/>
        </w:rPr>
        <w:t xml:space="preserve"> to sell energy and capacity to QFs</w:t>
      </w:r>
      <w:r w:rsidR="00710EEE">
        <w:t>.</w:t>
      </w:r>
      <w:r w:rsidR="00710EEE">
        <w:rPr>
          <w:rStyle w:val="FootnoteReference"/>
          <w:b w:val="0"/>
        </w:rPr>
        <w:footnoteReference w:id="2"/>
      </w:r>
    </w:p>
    <w:p w:rsidR="00166E2F" w:rsidP="00166E2F" w:rsidRDefault="00166E2F" w14:paraId="34369ECF" w14:textId="77777777">
      <w:pPr>
        <w:ind w:left="360"/>
      </w:pPr>
    </w:p>
    <w:p w:rsidR="00710EEE" w:rsidP="00710EEE" w:rsidRDefault="00710EEE" w14:paraId="1B983DD8" w14:textId="032C3E83">
      <w:pPr>
        <w:spacing w:line="480" w:lineRule="auto"/>
      </w:pPr>
      <w:r>
        <w:rPr>
          <w:i/>
        </w:rPr>
        <w:t xml:space="preserve">Type of Respondents: </w:t>
      </w:r>
      <w:r>
        <w:t>Electric utilities</w:t>
      </w:r>
      <w:r w:rsidR="00871393">
        <w:t>.</w:t>
      </w:r>
    </w:p>
    <w:p w:rsidR="00156BBB" w:rsidP="006765C9" w:rsidRDefault="00B01B16" w14:paraId="6A953AD9" w14:textId="51FCC861">
      <w:pPr>
        <w:spacing w:line="480" w:lineRule="auto"/>
      </w:pPr>
      <w:r>
        <w:rPr>
          <w:i/>
        </w:rPr>
        <w:lastRenderedPageBreak/>
        <w:t>Estimate of Annual Burden</w:t>
      </w:r>
      <w:r w:rsidR="00B54A51">
        <w:rPr>
          <w:i/>
        </w:rPr>
        <w:t>:</w:t>
      </w:r>
      <w:r>
        <w:rPr>
          <w:rStyle w:val="FootnoteReference"/>
          <w:i/>
        </w:rPr>
        <w:footnoteReference w:id="3"/>
      </w:r>
      <w:r>
        <w:rPr>
          <w:i/>
        </w:rPr>
        <w:t xml:space="preserve"> </w:t>
      </w:r>
      <w:r>
        <w:t xml:space="preserve">The Commission estimates the total </w:t>
      </w:r>
      <w:r w:rsidR="00F077B1">
        <w:t>Public Reporting B</w:t>
      </w:r>
      <w:r w:rsidR="00482D43">
        <w:t>ur</w:t>
      </w:r>
      <w:r w:rsidR="00F077B1">
        <w:t>den</w:t>
      </w:r>
      <w:r w:rsidR="00486FC9">
        <w:t xml:space="preserve"> </w:t>
      </w:r>
      <w:r w:rsidR="00EA689F">
        <w:t xml:space="preserve">and cost </w:t>
      </w:r>
      <w:r>
        <w:t>for this information collection as</w:t>
      </w:r>
      <w:r w:rsidR="00EA689F">
        <w:t xml:space="preserve"> follows</w:t>
      </w:r>
      <w:r w:rsidR="00F077B1">
        <w:t>:</w:t>
      </w:r>
    </w:p>
    <w:tbl>
      <w:tblPr>
        <w:tblW w:w="1061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1468"/>
        <w:gridCol w:w="1322"/>
        <w:gridCol w:w="1530"/>
        <w:gridCol w:w="1440"/>
        <w:gridCol w:w="1710"/>
        <w:gridCol w:w="1800"/>
        <w:gridCol w:w="1345"/>
      </w:tblGrid>
      <w:tr w:rsidRPr="00AA3C2A" w:rsidR="00482D43" w:rsidTr="00076A0B" w14:paraId="67A3E8A4" w14:textId="0CE5C463">
        <w:trPr>
          <w:trHeight w:val="347"/>
          <w:jc w:val="center"/>
        </w:trPr>
        <w:tc>
          <w:tcPr>
            <w:tcW w:w="10615" w:type="dxa"/>
            <w:gridSpan w:val="7"/>
            <w:shd w:val="clear" w:color="auto" w:fill="D9D9D9"/>
            <w:vAlign w:val="center"/>
          </w:tcPr>
          <w:p w:rsidRPr="00F077B1" w:rsidR="00482D43" w:rsidP="00337450" w:rsidRDefault="00482D43" w14:paraId="65ABB7E5" w14:textId="3CE6E3A7">
            <w:pPr>
              <w:jc w:val="center"/>
              <w:rPr>
                <w:b/>
                <w:smallCaps/>
                <w:sz w:val="20"/>
                <w:szCs w:val="20"/>
              </w:rPr>
            </w:pPr>
            <w:r w:rsidRPr="00F077B1">
              <w:rPr>
                <w:b/>
                <w:smallCaps/>
                <w:sz w:val="20"/>
                <w:szCs w:val="20"/>
              </w:rPr>
              <w:t xml:space="preserve">FERC-912 </w:t>
            </w:r>
            <w:r w:rsidRPr="00486FC9">
              <w:rPr>
                <w:b/>
                <w:smallCaps/>
                <w:sz w:val="20"/>
                <w:szCs w:val="20"/>
              </w:rPr>
              <w:t>(</w:t>
            </w:r>
            <w:r w:rsidRPr="002B64A0">
              <w:rPr>
                <w:b/>
                <w:smallCaps/>
                <w:sz w:val="20"/>
                <w:szCs w:val="20"/>
              </w:rPr>
              <w:t>IC</w:t>
            </w:r>
            <w:r w:rsidRPr="002B64A0" w:rsidR="00C32C13">
              <w:rPr>
                <w:b/>
                <w:smallCaps/>
                <w:sz w:val="20"/>
                <w:szCs w:val="20"/>
              </w:rPr>
              <w:t>22</w:t>
            </w:r>
            <w:r w:rsidRPr="002B64A0">
              <w:rPr>
                <w:b/>
                <w:smallCaps/>
                <w:sz w:val="20"/>
                <w:szCs w:val="20"/>
              </w:rPr>
              <w:t>-</w:t>
            </w:r>
            <w:r w:rsidRPr="002B64A0" w:rsidR="00C32C13">
              <w:rPr>
                <w:b/>
                <w:smallCaps/>
                <w:sz w:val="20"/>
                <w:szCs w:val="20"/>
              </w:rPr>
              <w:t>9</w:t>
            </w:r>
            <w:r w:rsidRPr="002B64A0">
              <w:rPr>
                <w:b/>
                <w:smallCaps/>
                <w:sz w:val="20"/>
                <w:szCs w:val="20"/>
              </w:rPr>
              <w:t>-000</w:t>
            </w:r>
            <w:r w:rsidRPr="000F7DFC">
              <w:rPr>
                <w:b/>
                <w:smallCaps/>
                <w:sz w:val="20"/>
                <w:szCs w:val="20"/>
              </w:rPr>
              <w:t>):</w:t>
            </w:r>
            <w:r w:rsidRPr="00F077B1">
              <w:rPr>
                <w:b/>
                <w:sz w:val="20"/>
                <w:szCs w:val="20"/>
              </w:rPr>
              <w:t xml:space="preserve">  Cogeneration and Small Power Production, PURPA Section 210(m) Regulations for Termination or Reinstatement of Obligation to Purchase or Sell</w:t>
            </w:r>
          </w:p>
        </w:tc>
      </w:tr>
      <w:tr w:rsidRPr="00AA3C2A" w:rsidR="004F5455" w:rsidTr="00076A0B" w14:paraId="7A0ED3E8" w14:textId="07BAB34C">
        <w:trPr>
          <w:trHeight w:val="638"/>
          <w:jc w:val="center"/>
        </w:trPr>
        <w:tc>
          <w:tcPr>
            <w:tcW w:w="1468" w:type="dxa"/>
            <w:shd w:val="clear" w:color="auto" w:fill="D9D9D9"/>
            <w:vAlign w:val="center"/>
          </w:tcPr>
          <w:p w:rsidRPr="00AA3C2A" w:rsidR="00F077B1" w:rsidP="00482D43" w:rsidRDefault="00F077B1" w14:paraId="1620C9E0" w14:textId="77777777">
            <w:pPr>
              <w:jc w:val="center"/>
              <w:rPr>
                <w:b/>
                <w:sz w:val="20"/>
                <w:szCs w:val="20"/>
              </w:rPr>
            </w:pPr>
          </w:p>
        </w:tc>
        <w:tc>
          <w:tcPr>
            <w:tcW w:w="1322" w:type="dxa"/>
            <w:shd w:val="clear" w:color="auto" w:fill="D9D9D9"/>
            <w:vAlign w:val="center"/>
          </w:tcPr>
          <w:p w:rsidR="00482D43" w:rsidP="00482D43" w:rsidRDefault="00482D43" w14:paraId="23751508" w14:textId="77777777">
            <w:pPr>
              <w:jc w:val="center"/>
              <w:rPr>
                <w:b/>
                <w:sz w:val="20"/>
                <w:szCs w:val="20"/>
              </w:rPr>
            </w:pPr>
          </w:p>
          <w:p w:rsidR="003B15A8" w:rsidP="00482D43" w:rsidRDefault="003B15A8" w14:paraId="0717C17C" w14:textId="77777777">
            <w:pPr>
              <w:jc w:val="center"/>
              <w:rPr>
                <w:b/>
                <w:sz w:val="20"/>
                <w:szCs w:val="20"/>
              </w:rPr>
            </w:pPr>
          </w:p>
          <w:p w:rsidR="00F077B1" w:rsidP="00482D43" w:rsidRDefault="00F077B1" w14:paraId="02ED583E" w14:textId="77777777">
            <w:pPr>
              <w:jc w:val="center"/>
              <w:rPr>
                <w:b/>
                <w:sz w:val="20"/>
                <w:szCs w:val="20"/>
              </w:rPr>
            </w:pPr>
            <w:r w:rsidRPr="00AA3C2A">
              <w:rPr>
                <w:b/>
                <w:sz w:val="20"/>
                <w:szCs w:val="20"/>
              </w:rPr>
              <w:t>Number of Respondents</w:t>
            </w:r>
          </w:p>
          <w:p w:rsidR="00482D43" w:rsidP="00482D43" w:rsidRDefault="00482D43" w14:paraId="3A4E79A6" w14:textId="77777777">
            <w:pPr>
              <w:jc w:val="center"/>
              <w:rPr>
                <w:b/>
                <w:sz w:val="20"/>
                <w:szCs w:val="20"/>
              </w:rPr>
            </w:pPr>
          </w:p>
          <w:p w:rsidRPr="00AA3C2A" w:rsidR="00F077B1" w:rsidP="00482D43" w:rsidRDefault="00F077B1" w14:paraId="621EE60C" w14:textId="520E8886">
            <w:pPr>
              <w:jc w:val="center"/>
              <w:rPr>
                <w:b/>
                <w:sz w:val="20"/>
                <w:szCs w:val="20"/>
              </w:rPr>
            </w:pPr>
            <w:r>
              <w:rPr>
                <w:b/>
                <w:sz w:val="20"/>
                <w:szCs w:val="20"/>
              </w:rPr>
              <w:t>(1</w:t>
            </w:r>
            <w:r w:rsidRPr="00AA3C2A">
              <w:rPr>
                <w:b/>
                <w:sz w:val="20"/>
                <w:szCs w:val="20"/>
              </w:rPr>
              <w:t>)</w:t>
            </w:r>
          </w:p>
        </w:tc>
        <w:tc>
          <w:tcPr>
            <w:tcW w:w="1530" w:type="dxa"/>
            <w:shd w:val="clear" w:color="auto" w:fill="D9D9D9"/>
            <w:vAlign w:val="center"/>
          </w:tcPr>
          <w:p w:rsidR="00482D43" w:rsidP="00482D43" w:rsidRDefault="00482D43" w14:paraId="5DB4A49A" w14:textId="77777777">
            <w:pPr>
              <w:jc w:val="center"/>
              <w:rPr>
                <w:b/>
                <w:sz w:val="20"/>
                <w:szCs w:val="20"/>
              </w:rPr>
            </w:pPr>
          </w:p>
          <w:p w:rsidR="00F077B1" w:rsidP="00482D43" w:rsidRDefault="00F077B1" w14:paraId="566C3ACB" w14:textId="77777777">
            <w:pPr>
              <w:jc w:val="center"/>
              <w:rPr>
                <w:b/>
                <w:sz w:val="20"/>
                <w:szCs w:val="20"/>
              </w:rPr>
            </w:pPr>
            <w:r w:rsidRPr="00AA3C2A">
              <w:rPr>
                <w:b/>
                <w:sz w:val="20"/>
                <w:szCs w:val="20"/>
              </w:rPr>
              <w:t>Number of Responses Per Respondent</w:t>
            </w:r>
          </w:p>
          <w:p w:rsidRPr="00AA3C2A" w:rsidR="00482D43" w:rsidP="00482D43" w:rsidRDefault="00482D43" w14:paraId="6F9DAB52" w14:textId="77777777">
            <w:pPr>
              <w:jc w:val="center"/>
              <w:rPr>
                <w:b/>
                <w:sz w:val="20"/>
                <w:szCs w:val="20"/>
              </w:rPr>
            </w:pPr>
          </w:p>
          <w:p w:rsidRPr="00AA3C2A" w:rsidR="00F077B1" w:rsidP="00482D43" w:rsidRDefault="00F077B1" w14:paraId="6C94964B" w14:textId="7D1311C1">
            <w:pPr>
              <w:jc w:val="center"/>
              <w:rPr>
                <w:b/>
                <w:sz w:val="20"/>
                <w:szCs w:val="20"/>
              </w:rPr>
            </w:pPr>
            <w:r>
              <w:rPr>
                <w:b/>
                <w:sz w:val="20"/>
                <w:szCs w:val="20"/>
              </w:rPr>
              <w:t>(2)</w:t>
            </w:r>
          </w:p>
        </w:tc>
        <w:tc>
          <w:tcPr>
            <w:tcW w:w="1440" w:type="dxa"/>
            <w:shd w:val="clear" w:color="auto" w:fill="D9D9D9"/>
            <w:vAlign w:val="center"/>
          </w:tcPr>
          <w:p w:rsidR="00482D43" w:rsidP="00482D43" w:rsidRDefault="00482D43" w14:paraId="761B99D5" w14:textId="77777777">
            <w:pPr>
              <w:jc w:val="center"/>
              <w:rPr>
                <w:b/>
                <w:sz w:val="20"/>
                <w:szCs w:val="20"/>
              </w:rPr>
            </w:pPr>
          </w:p>
          <w:p w:rsidR="00482D43" w:rsidP="00482D43" w:rsidRDefault="00482D43" w14:paraId="1BE9842E" w14:textId="77777777">
            <w:pPr>
              <w:jc w:val="center"/>
              <w:rPr>
                <w:b/>
                <w:sz w:val="20"/>
                <w:szCs w:val="20"/>
              </w:rPr>
            </w:pPr>
          </w:p>
          <w:p w:rsidR="00F077B1" w:rsidP="00482D43" w:rsidRDefault="00F077B1" w14:paraId="1B56AA71" w14:textId="77777777">
            <w:pPr>
              <w:jc w:val="center"/>
              <w:rPr>
                <w:b/>
                <w:sz w:val="20"/>
                <w:szCs w:val="20"/>
              </w:rPr>
            </w:pPr>
            <w:r w:rsidRPr="00AA3C2A">
              <w:rPr>
                <w:b/>
                <w:sz w:val="20"/>
                <w:szCs w:val="20"/>
              </w:rPr>
              <w:t>Total Number of Responses</w:t>
            </w:r>
          </w:p>
          <w:p w:rsidR="00F077B1" w:rsidP="00482D43" w:rsidRDefault="00F077B1" w14:paraId="66D579CE" w14:textId="77777777">
            <w:pPr>
              <w:jc w:val="center"/>
              <w:rPr>
                <w:b/>
                <w:sz w:val="20"/>
                <w:szCs w:val="20"/>
              </w:rPr>
            </w:pPr>
          </w:p>
          <w:p w:rsidRPr="00AA3C2A" w:rsidR="00F077B1" w:rsidP="00482D43" w:rsidRDefault="00F077B1" w14:paraId="26AEBBFD" w14:textId="40370C42">
            <w:pPr>
              <w:ind w:left="72"/>
              <w:jc w:val="center"/>
              <w:rPr>
                <w:b/>
                <w:sz w:val="20"/>
                <w:szCs w:val="20"/>
              </w:rPr>
            </w:pPr>
            <w:r>
              <w:rPr>
                <w:b/>
                <w:sz w:val="20"/>
                <w:szCs w:val="20"/>
              </w:rPr>
              <w:t>(1) x (2</w:t>
            </w:r>
            <w:r w:rsidRPr="00AA3C2A">
              <w:rPr>
                <w:b/>
                <w:sz w:val="20"/>
                <w:szCs w:val="20"/>
              </w:rPr>
              <w:t>)</w:t>
            </w:r>
            <w:r>
              <w:rPr>
                <w:b/>
                <w:sz w:val="20"/>
                <w:szCs w:val="20"/>
              </w:rPr>
              <w:t xml:space="preserve"> </w:t>
            </w:r>
            <w:r w:rsidRPr="00AA3C2A">
              <w:rPr>
                <w:b/>
                <w:sz w:val="20"/>
                <w:szCs w:val="20"/>
              </w:rPr>
              <w:t>=</w:t>
            </w:r>
            <w:r>
              <w:rPr>
                <w:b/>
                <w:sz w:val="20"/>
                <w:szCs w:val="20"/>
              </w:rPr>
              <w:t xml:space="preserve"> (3</w:t>
            </w:r>
            <w:r w:rsidRPr="00AA3C2A">
              <w:rPr>
                <w:b/>
                <w:sz w:val="20"/>
                <w:szCs w:val="20"/>
              </w:rPr>
              <w:t>)</w:t>
            </w:r>
          </w:p>
        </w:tc>
        <w:tc>
          <w:tcPr>
            <w:tcW w:w="1710" w:type="dxa"/>
            <w:shd w:val="clear" w:color="auto" w:fill="D9D9D9"/>
            <w:vAlign w:val="center"/>
          </w:tcPr>
          <w:p w:rsidR="00BC703F" w:rsidP="00BC703F" w:rsidRDefault="00F077B1" w14:paraId="44EF2152" w14:textId="0F724FFE">
            <w:pPr>
              <w:jc w:val="center"/>
              <w:rPr>
                <w:b/>
                <w:sz w:val="20"/>
                <w:szCs w:val="20"/>
              </w:rPr>
            </w:pPr>
            <w:r w:rsidRPr="00AA3C2A">
              <w:rPr>
                <w:b/>
                <w:sz w:val="20"/>
                <w:szCs w:val="20"/>
              </w:rPr>
              <w:t xml:space="preserve">Average Burden </w:t>
            </w:r>
            <w:r w:rsidR="003B15A8">
              <w:rPr>
                <w:b/>
                <w:sz w:val="20"/>
                <w:szCs w:val="20"/>
              </w:rPr>
              <w:t xml:space="preserve">Hours </w:t>
            </w:r>
            <w:r w:rsidR="00482D43">
              <w:rPr>
                <w:b/>
                <w:sz w:val="20"/>
                <w:szCs w:val="20"/>
              </w:rPr>
              <w:t xml:space="preserve">&amp; </w:t>
            </w:r>
            <w:r w:rsidR="004E3C19">
              <w:rPr>
                <w:b/>
                <w:sz w:val="20"/>
                <w:szCs w:val="20"/>
              </w:rPr>
              <w:t xml:space="preserve">Average </w:t>
            </w:r>
            <w:r w:rsidR="00482D43">
              <w:rPr>
                <w:b/>
                <w:sz w:val="20"/>
                <w:szCs w:val="20"/>
              </w:rPr>
              <w:t>Cost per Response ($)</w:t>
            </w:r>
            <w:r w:rsidR="00482D43">
              <w:rPr>
                <w:rStyle w:val="FootnoteReference"/>
                <w:rFonts w:eastAsia="Calibri"/>
                <w:b w:val="0"/>
              </w:rPr>
              <w:footnoteReference w:id="4"/>
            </w:r>
          </w:p>
          <w:p w:rsidR="00BC703F" w:rsidP="00BC703F" w:rsidRDefault="00BC703F" w14:paraId="1788DB48" w14:textId="77777777">
            <w:pPr>
              <w:jc w:val="center"/>
              <w:rPr>
                <w:b/>
                <w:sz w:val="20"/>
                <w:szCs w:val="20"/>
              </w:rPr>
            </w:pPr>
          </w:p>
          <w:p w:rsidRPr="00AA3C2A" w:rsidR="00F077B1" w:rsidP="00482D43" w:rsidRDefault="00F077B1" w14:paraId="46CC9EB5" w14:textId="545AC690">
            <w:pPr>
              <w:jc w:val="center"/>
              <w:rPr>
                <w:b/>
                <w:sz w:val="20"/>
                <w:szCs w:val="20"/>
              </w:rPr>
            </w:pPr>
            <w:r>
              <w:rPr>
                <w:b/>
                <w:sz w:val="20"/>
                <w:szCs w:val="20"/>
              </w:rPr>
              <w:t>(4</w:t>
            </w:r>
            <w:r w:rsidRPr="00AA3C2A">
              <w:rPr>
                <w:b/>
                <w:sz w:val="20"/>
                <w:szCs w:val="20"/>
              </w:rPr>
              <w:t>)</w:t>
            </w:r>
          </w:p>
        </w:tc>
        <w:tc>
          <w:tcPr>
            <w:tcW w:w="1800" w:type="dxa"/>
            <w:shd w:val="clear" w:color="auto" w:fill="D9D9D9"/>
            <w:vAlign w:val="center"/>
          </w:tcPr>
          <w:p w:rsidR="00F077B1" w:rsidP="00482D43" w:rsidRDefault="00F077B1" w14:paraId="32F1636A" w14:textId="39AE7111">
            <w:pPr>
              <w:jc w:val="center"/>
              <w:rPr>
                <w:b/>
                <w:sz w:val="20"/>
                <w:szCs w:val="20"/>
              </w:rPr>
            </w:pPr>
            <w:r w:rsidRPr="00AA3C2A">
              <w:rPr>
                <w:b/>
                <w:sz w:val="20"/>
                <w:szCs w:val="20"/>
              </w:rPr>
              <w:t>Total Annual Burden</w:t>
            </w:r>
            <w:r>
              <w:rPr>
                <w:b/>
                <w:sz w:val="20"/>
                <w:szCs w:val="20"/>
              </w:rPr>
              <w:t xml:space="preserve"> Hours </w:t>
            </w:r>
            <w:r w:rsidR="00482D43">
              <w:rPr>
                <w:b/>
                <w:sz w:val="20"/>
                <w:szCs w:val="20"/>
              </w:rPr>
              <w:t xml:space="preserve">&amp; </w:t>
            </w:r>
            <w:r>
              <w:rPr>
                <w:b/>
                <w:sz w:val="20"/>
                <w:szCs w:val="20"/>
              </w:rPr>
              <w:t>Total Annual Cost</w:t>
            </w:r>
            <w:r w:rsidR="00482D43">
              <w:rPr>
                <w:b/>
                <w:sz w:val="20"/>
                <w:szCs w:val="20"/>
              </w:rPr>
              <w:t xml:space="preserve"> ($)</w:t>
            </w:r>
          </w:p>
          <w:p w:rsidR="00F077B1" w:rsidP="00482D43" w:rsidRDefault="00F077B1" w14:paraId="717FB54B" w14:textId="77777777">
            <w:pPr>
              <w:jc w:val="center"/>
              <w:rPr>
                <w:b/>
                <w:sz w:val="20"/>
                <w:szCs w:val="20"/>
              </w:rPr>
            </w:pPr>
          </w:p>
          <w:p w:rsidRPr="00AA3C2A" w:rsidR="00F077B1" w:rsidP="00482D43" w:rsidRDefault="00F077B1" w14:paraId="4B5AEBA4" w14:textId="5DC475A5">
            <w:pPr>
              <w:jc w:val="center"/>
              <w:rPr>
                <w:b/>
                <w:sz w:val="20"/>
                <w:szCs w:val="20"/>
              </w:rPr>
            </w:pPr>
            <w:r>
              <w:rPr>
                <w:b/>
                <w:sz w:val="20"/>
                <w:szCs w:val="20"/>
              </w:rPr>
              <w:t>(3</w:t>
            </w:r>
            <w:r w:rsidRPr="00AA3C2A">
              <w:rPr>
                <w:b/>
                <w:sz w:val="20"/>
                <w:szCs w:val="20"/>
              </w:rPr>
              <w:t>)</w:t>
            </w:r>
            <w:r>
              <w:rPr>
                <w:b/>
                <w:sz w:val="20"/>
                <w:szCs w:val="20"/>
              </w:rPr>
              <w:t xml:space="preserve"> </w:t>
            </w:r>
            <w:r w:rsidRPr="00AA3C2A">
              <w:rPr>
                <w:b/>
                <w:sz w:val="20"/>
                <w:szCs w:val="20"/>
              </w:rPr>
              <w:t>x</w:t>
            </w:r>
            <w:r>
              <w:rPr>
                <w:b/>
                <w:sz w:val="20"/>
                <w:szCs w:val="20"/>
              </w:rPr>
              <w:t xml:space="preserve"> </w:t>
            </w:r>
            <w:r w:rsidR="00482D43">
              <w:rPr>
                <w:b/>
                <w:sz w:val="20"/>
                <w:szCs w:val="20"/>
              </w:rPr>
              <w:t>(4) = (5)</w:t>
            </w:r>
          </w:p>
        </w:tc>
        <w:tc>
          <w:tcPr>
            <w:tcW w:w="1345" w:type="dxa"/>
            <w:shd w:val="clear" w:color="auto" w:fill="D9D9D9"/>
            <w:vAlign w:val="center"/>
          </w:tcPr>
          <w:p w:rsidR="00482D43" w:rsidP="00482D43" w:rsidRDefault="00482D43" w14:paraId="68809FAA" w14:textId="77777777">
            <w:pPr>
              <w:jc w:val="center"/>
              <w:rPr>
                <w:b/>
                <w:sz w:val="20"/>
                <w:szCs w:val="20"/>
              </w:rPr>
            </w:pPr>
          </w:p>
          <w:p w:rsidR="003B15A8" w:rsidP="00482D43" w:rsidRDefault="003B15A8" w14:paraId="16ABC009" w14:textId="77777777">
            <w:pPr>
              <w:jc w:val="center"/>
              <w:rPr>
                <w:b/>
                <w:sz w:val="20"/>
                <w:szCs w:val="20"/>
              </w:rPr>
            </w:pPr>
          </w:p>
          <w:p w:rsidR="00F077B1" w:rsidP="00482D43" w:rsidRDefault="00482D43" w14:paraId="15F9F893" w14:textId="77777777">
            <w:pPr>
              <w:jc w:val="center"/>
              <w:rPr>
                <w:b/>
                <w:sz w:val="20"/>
                <w:szCs w:val="20"/>
              </w:rPr>
            </w:pPr>
            <w:r>
              <w:rPr>
                <w:b/>
                <w:sz w:val="20"/>
                <w:szCs w:val="20"/>
              </w:rPr>
              <w:t>Cost per Respondent ($)</w:t>
            </w:r>
          </w:p>
          <w:p w:rsidR="00482D43" w:rsidP="00482D43" w:rsidRDefault="00482D43" w14:paraId="73A714B3" w14:textId="77777777">
            <w:pPr>
              <w:jc w:val="center"/>
              <w:rPr>
                <w:b/>
                <w:sz w:val="20"/>
                <w:szCs w:val="20"/>
              </w:rPr>
            </w:pPr>
          </w:p>
          <w:p w:rsidRPr="00AA3C2A" w:rsidR="00482D43" w:rsidP="00482D43" w:rsidRDefault="00482D43" w14:paraId="207D1BB1" w14:textId="53A71CC8">
            <w:pPr>
              <w:jc w:val="center"/>
              <w:rPr>
                <w:b/>
                <w:sz w:val="20"/>
                <w:szCs w:val="20"/>
              </w:rPr>
            </w:pPr>
            <w:r>
              <w:rPr>
                <w:b/>
                <w:sz w:val="20"/>
                <w:szCs w:val="20"/>
              </w:rPr>
              <w:t>(5</w:t>
            </w:r>
            <w:r w:rsidRPr="00482D43">
              <w:rPr>
                <w:b/>
                <w:sz w:val="20"/>
                <w:szCs w:val="20"/>
              </w:rPr>
              <w:t>)</w:t>
            </w:r>
            <w:r w:rsidRPr="00482D43">
              <w:rPr>
                <w:rFonts w:eastAsia="Calibri"/>
                <w:b/>
                <w:sz w:val="20"/>
                <w:szCs w:val="20"/>
              </w:rPr>
              <w:t xml:space="preserve"> ÷ (1)</w:t>
            </w:r>
            <w:r w:rsidR="001B77FD">
              <w:rPr>
                <w:rFonts w:eastAsia="Calibri"/>
                <w:b/>
                <w:sz w:val="20"/>
                <w:szCs w:val="20"/>
              </w:rPr>
              <w:t xml:space="preserve"> = (6)</w:t>
            </w:r>
          </w:p>
        </w:tc>
      </w:tr>
      <w:tr w:rsidRPr="00AA3C2A" w:rsidR="004F5455" w:rsidTr="00076A0B" w14:paraId="29A8094F" w14:textId="7A9C07CD">
        <w:trPr>
          <w:jc w:val="center"/>
        </w:trPr>
        <w:tc>
          <w:tcPr>
            <w:tcW w:w="1468" w:type="dxa"/>
            <w:vAlign w:val="center"/>
          </w:tcPr>
          <w:p w:rsidRPr="00AA3C2A" w:rsidR="00F077B1" w:rsidP="00482D43" w:rsidRDefault="00F077B1" w14:paraId="25E4699D" w14:textId="31C1D221">
            <w:pPr>
              <w:rPr>
                <w:sz w:val="20"/>
                <w:szCs w:val="20"/>
              </w:rPr>
            </w:pPr>
            <w:r w:rsidRPr="00AA3C2A">
              <w:rPr>
                <w:sz w:val="20"/>
                <w:szCs w:val="20"/>
              </w:rPr>
              <w:t>Termination of obligation to purchase</w:t>
            </w:r>
          </w:p>
        </w:tc>
        <w:tc>
          <w:tcPr>
            <w:tcW w:w="1322" w:type="dxa"/>
            <w:vAlign w:val="center"/>
          </w:tcPr>
          <w:p w:rsidRPr="00EF1939" w:rsidR="00F077B1" w:rsidP="00482D43" w:rsidRDefault="002F59A0" w14:paraId="46B4691A" w14:textId="00B84F32">
            <w:pPr>
              <w:pStyle w:val="LegalFormat"/>
              <w:numPr>
                <w:ilvl w:val="0"/>
                <w:numId w:val="0"/>
              </w:numPr>
              <w:spacing w:line="276" w:lineRule="auto"/>
              <w:jc w:val="right"/>
              <w:rPr>
                <w:sz w:val="20"/>
                <w:szCs w:val="20"/>
                <w:u w:val="none"/>
              </w:rPr>
            </w:pPr>
            <w:r>
              <w:rPr>
                <w:sz w:val="20"/>
                <w:szCs w:val="20"/>
                <w:u w:val="none"/>
              </w:rPr>
              <w:t>10</w:t>
            </w:r>
          </w:p>
        </w:tc>
        <w:tc>
          <w:tcPr>
            <w:tcW w:w="1530" w:type="dxa"/>
            <w:vAlign w:val="center"/>
          </w:tcPr>
          <w:p w:rsidRPr="00EF1939" w:rsidR="00F077B1" w:rsidP="00482D43" w:rsidRDefault="00F077B1" w14:paraId="1230E5B6" w14:textId="2802F79A">
            <w:pPr>
              <w:pStyle w:val="LegalFormat"/>
              <w:numPr>
                <w:ilvl w:val="0"/>
                <w:numId w:val="0"/>
              </w:numPr>
              <w:spacing w:line="276" w:lineRule="auto"/>
              <w:jc w:val="right"/>
              <w:rPr>
                <w:sz w:val="20"/>
                <w:szCs w:val="20"/>
                <w:u w:val="none"/>
              </w:rPr>
            </w:pPr>
            <w:r w:rsidRPr="00EF1939">
              <w:rPr>
                <w:sz w:val="20"/>
                <w:szCs w:val="20"/>
                <w:u w:val="none"/>
              </w:rPr>
              <w:t>1</w:t>
            </w:r>
            <w:r w:rsidR="00806D6F">
              <w:rPr>
                <w:sz w:val="20"/>
                <w:szCs w:val="20"/>
                <w:u w:val="none"/>
              </w:rPr>
              <w:t>.5</w:t>
            </w:r>
          </w:p>
        </w:tc>
        <w:tc>
          <w:tcPr>
            <w:tcW w:w="1440" w:type="dxa"/>
            <w:vAlign w:val="center"/>
          </w:tcPr>
          <w:p w:rsidRPr="00EF1939" w:rsidR="00F077B1" w:rsidP="00482D43" w:rsidRDefault="00806D6F" w14:paraId="78E933BB" w14:textId="39C2D641">
            <w:pPr>
              <w:pStyle w:val="LegalFormat"/>
              <w:numPr>
                <w:ilvl w:val="0"/>
                <w:numId w:val="0"/>
              </w:numPr>
              <w:spacing w:line="276" w:lineRule="auto"/>
              <w:jc w:val="right"/>
              <w:rPr>
                <w:sz w:val="20"/>
                <w:szCs w:val="20"/>
                <w:u w:val="none"/>
              </w:rPr>
            </w:pPr>
            <w:r>
              <w:rPr>
                <w:sz w:val="20"/>
                <w:szCs w:val="20"/>
                <w:u w:val="none"/>
              </w:rPr>
              <w:t>15</w:t>
            </w:r>
          </w:p>
        </w:tc>
        <w:tc>
          <w:tcPr>
            <w:tcW w:w="1710" w:type="dxa"/>
            <w:vAlign w:val="center"/>
          </w:tcPr>
          <w:p w:rsidR="00F077B1" w:rsidP="00482D43" w:rsidRDefault="00F077B1" w14:paraId="64418BDD" w14:textId="77777777">
            <w:pPr>
              <w:pStyle w:val="LegalFormat"/>
              <w:numPr>
                <w:ilvl w:val="0"/>
                <w:numId w:val="0"/>
              </w:numPr>
              <w:spacing w:line="276" w:lineRule="auto"/>
              <w:jc w:val="right"/>
              <w:rPr>
                <w:sz w:val="20"/>
                <w:szCs w:val="20"/>
                <w:u w:val="none"/>
              </w:rPr>
            </w:pPr>
            <w:r w:rsidRPr="00EF1939">
              <w:rPr>
                <w:sz w:val="20"/>
                <w:szCs w:val="20"/>
                <w:u w:val="none"/>
              </w:rPr>
              <w:t>12</w:t>
            </w:r>
          </w:p>
          <w:p w:rsidRPr="00EF1939" w:rsidR="00FF2321" w:rsidP="00482D43" w:rsidRDefault="00FF2321" w14:paraId="25728B1D" w14:textId="02A25216">
            <w:pPr>
              <w:pStyle w:val="LegalFormat"/>
              <w:numPr>
                <w:ilvl w:val="0"/>
                <w:numId w:val="0"/>
              </w:numPr>
              <w:spacing w:line="276" w:lineRule="auto"/>
              <w:jc w:val="right"/>
              <w:rPr>
                <w:sz w:val="20"/>
                <w:szCs w:val="20"/>
                <w:u w:val="none"/>
              </w:rPr>
            </w:pPr>
            <w:r>
              <w:rPr>
                <w:sz w:val="20"/>
                <w:szCs w:val="20"/>
                <w:u w:val="none"/>
              </w:rPr>
              <w:t>$</w:t>
            </w:r>
            <w:r w:rsidR="00806D6F">
              <w:rPr>
                <w:sz w:val="20"/>
                <w:szCs w:val="20"/>
                <w:u w:val="none"/>
              </w:rPr>
              <w:t>1,044</w:t>
            </w:r>
          </w:p>
        </w:tc>
        <w:tc>
          <w:tcPr>
            <w:tcW w:w="1800" w:type="dxa"/>
            <w:vAlign w:val="center"/>
          </w:tcPr>
          <w:p w:rsidR="00F077B1" w:rsidP="00482D43" w:rsidRDefault="00806D6F" w14:paraId="6BD50F43" w14:textId="2833C619">
            <w:pPr>
              <w:pStyle w:val="LegalFormat"/>
              <w:numPr>
                <w:ilvl w:val="0"/>
                <w:numId w:val="0"/>
              </w:numPr>
              <w:spacing w:line="276" w:lineRule="auto"/>
              <w:jc w:val="right"/>
              <w:rPr>
                <w:sz w:val="20"/>
                <w:szCs w:val="20"/>
                <w:u w:val="none"/>
              </w:rPr>
            </w:pPr>
            <w:r>
              <w:rPr>
                <w:sz w:val="20"/>
                <w:szCs w:val="20"/>
                <w:u w:val="none"/>
              </w:rPr>
              <w:t>180</w:t>
            </w:r>
          </w:p>
          <w:p w:rsidRPr="00EF1939" w:rsidR="00FF2321" w:rsidP="00CD672B" w:rsidRDefault="00FF2321" w14:paraId="364FACE1" w14:textId="65437816">
            <w:pPr>
              <w:pStyle w:val="LegalFormat"/>
              <w:numPr>
                <w:ilvl w:val="0"/>
                <w:numId w:val="0"/>
              </w:numPr>
              <w:spacing w:line="276" w:lineRule="auto"/>
              <w:jc w:val="right"/>
              <w:rPr>
                <w:sz w:val="20"/>
                <w:szCs w:val="20"/>
                <w:u w:val="none"/>
              </w:rPr>
            </w:pPr>
            <w:r>
              <w:rPr>
                <w:sz w:val="20"/>
                <w:szCs w:val="20"/>
                <w:u w:val="none"/>
              </w:rPr>
              <w:t>$</w:t>
            </w:r>
            <w:r w:rsidR="00806D6F">
              <w:rPr>
                <w:sz w:val="20"/>
                <w:szCs w:val="20"/>
                <w:u w:val="none"/>
              </w:rPr>
              <w:t>15,660</w:t>
            </w:r>
          </w:p>
        </w:tc>
        <w:tc>
          <w:tcPr>
            <w:tcW w:w="1345" w:type="dxa"/>
            <w:vAlign w:val="center"/>
          </w:tcPr>
          <w:p w:rsidRPr="00EF1939" w:rsidR="00F077B1" w:rsidP="00482D43" w:rsidRDefault="00FF2321" w14:paraId="4EE42DA5" w14:textId="6862CE03">
            <w:pPr>
              <w:pStyle w:val="LegalFormat"/>
              <w:numPr>
                <w:ilvl w:val="0"/>
                <w:numId w:val="0"/>
              </w:numPr>
              <w:spacing w:line="276" w:lineRule="auto"/>
              <w:jc w:val="right"/>
              <w:rPr>
                <w:sz w:val="20"/>
                <w:szCs w:val="20"/>
                <w:u w:val="none"/>
              </w:rPr>
            </w:pPr>
            <w:r>
              <w:rPr>
                <w:sz w:val="20"/>
                <w:szCs w:val="20"/>
                <w:u w:val="none"/>
              </w:rPr>
              <w:t>$</w:t>
            </w:r>
            <w:r w:rsidR="00806D6F">
              <w:rPr>
                <w:sz w:val="20"/>
                <w:szCs w:val="20"/>
                <w:u w:val="none"/>
              </w:rPr>
              <w:t>1,566</w:t>
            </w:r>
          </w:p>
        </w:tc>
      </w:tr>
      <w:tr w:rsidRPr="00AA3C2A" w:rsidR="004F5455" w:rsidTr="00076A0B" w14:paraId="686C75ED" w14:textId="22B7FB9E">
        <w:trPr>
          <w:jc w:val="center"/>
        </w:trPr>
        <w:tc>
          <w:tcPr>
            <w:tcW w:w="1468" w:type="dxa"/>
            <w:vAlign w:val="center"/>
          </w:tcPr>
          <w:p w:rsidRPr="00AA3C2A" w:rsidR="00F077B1" w:rsidP="00482D43" w:rsidRDefault="00F077B1" w14:paraId="2E79DFCF" w14:textId="77777777">
            <w:pPr>
              <w:rPr>
                <w:sz w:val="20"/>
                <w:szCs w:val="20"/>
              </w:rPr>
            </w:pPr>
            <w:r w:rsidRPr="00AA3C2A">
              <w:rPr>
                <w:sz w:val="20"/>
                <w:szCs w:val="20"/>
              </w:rPr>
              <w:t>Reinstatement of obligations to purchase</w:t>
            </w:r>
          </w:p>
        </w:tc>
        <w:tc>
          <w:tcPr>
            <w:tcW w:w="1322" w:type="dxa"/>
            <w:vAlign w:val="center"/>
          </w:tcPr>
          <w:p w:rsidRPr="00EF1939" w:rsidR="00F077B1" w:rsidP="00482D43" w:rsidRDefault="00F077B1" w14:paraId="148BE650" w14:textId="77777777">
            <w:pPr>
              <w:pStyle w:val="LegalFormat"/>
              <w:numPr>
                <w:ilvl w:val="0"/>
                <w:numId w:val="0"/>
              </w:numPr>
              <w:spacing w:line="276" w:lineRule="auto"/>
              <w:jc w:val="right"/>
              <w:rPr>
                <w:sz w:val="20"/>
                <w:szCs w:val="20"/>
                <w:u w:val="none"/>
              </w:rPr>
            </w:pPr>
            <w:r w:rsidRPr="00EF1939">
              <w:rPr>
                <w:sz w:val="20"/>
                <w:szCs w:val="20"/>
                <w:u w:val="none"/>
              </w:rPr>
              <w:t>0</w:t>
            </w:r>
          </w:p>
        </w:tc>
        <w:tc>
          <w:tcPr>
            <w:tcW w:w="1530" w:type="dxa"/>
            <w:vAlign w:val="center"/>
          </w:tcPr>
          <w:p w:rsidRPr="00EF1939" w:rsidR="00F077B1" w:rsidP="00482D43" w:rsidRDefault="00F077B1" w14:paraId="560F43EF" w14:textId="77777777">
            <w:pPr>
              <w:pStyle w:val="LegalFormat"/>
              <w:numPr>
                <w:ilvl w:val="0"/>
                <w:numId w:val="0"/>
              </w:numPr>
              <w:spacing w:line="276" w:lineRule="auto"/>
              <w:jc w:val="right"/>
              <w:rPr>
                <w:sz w:val="20"/>
                <w:szCs w:val="20"/>
                <w:u w:val="none"/>
              </w:rPr>
            </w:pPr>
            <w:r w:rsidRPr="00EF1939">
              <w:rPr>
                <w:sz w:val="20"/>
                <w:szCs w:val="20"/>
                <w:u w:val="none"/>
              </w:rPr>
              <w:t>0</w:t>
            </w:r>
          </w:p>
        </w:tc>
        <w:tc>
          <w:tcPr>
            <w:tcW w:w="1440" w:type="dxa"/>
            <w:vAlign w:val="center"/>
          </w:tcPr>
          <w:p w:rsidRPr="00EF1939" w:rsidR="00F077B1" w:rsidP="00482D43" w:rsidRDefault="00F077B1" w14:paraId="22ADFC7F" w14:textId="77777777">
            <w:pPr>
              <w:pStyle w:val="LegalFormat"/>
              <w:numPr>
                <w:ilvl w:val="0"/>
                <w:numId w:val="0"/>
              </w:numPr>
              <w:spacing w:line="276" w:lineRule="auto"/>
              <w:jc w:val="right"/>
              <w:rPr>
                <w:sz w:val="20"/>
                <w:szCs w:val="20"/>
                <w:u w:val="none"/>
              </w:rPr>
            </w:pPr>
            <w:r w:rsidRPr="00EF1939">
              <w:rPr>
                <w:sz w:val="20"/>
                <w:szCs w:val="20"/>
                <w:u w:val="none"/>
              </w:rPr>
              <w:t>0</w:t>
            </w:r>
          </w:p>
        </w:tc>
        <w:tc>
          <w:tcPr>
            <w:tcW w:w="1710" w:type="dxa"/>
            <w:vAlign w:val="center"/>
          </w:tcPr>
          <w:p w:rsidR="00F077B1" w:rsidP="00482D43" w:rsidRDefault="00F077B1" w14:paraId="1F7003DE" w14:textId="77777777">
            <w:pPr>
              <w:pStyle w:val="LegalFormat"/>
              <w:numPr>
                <w:ilvl w:val="0"/>
                <w:numId w:val="0"/>
              </w:numPr>
              <w:spacing w:line="276" w:lineRule="auto"/>
              <w:jc w:val="right"/>
              <w:rPr>
                <w:sz w:val="20"/>
                <w:szCs w:val="20"/>
                <w:u w:val="none"/>
              </w:rPr>
            </w:pPr>
            <w:r w:rsidRPr="00EF1939">
              <w:rPr>
                <w:sz w:val="20"/>
                <w:szCs w:val="20"/>
                <w:u w:val="none"/>
              </w:rPr>
              <w:t>0</w:t>
            </w:r>
          </w:p>
          <w:p w:rsidRPr="00EF1939" w:rsidR="00FF2321" w:rsidP="00482D43" w:rsidRDefault="00FF2321" w14:paraId="07BC515B" w14:textId="27510FBA">
            <w:pPr>
              <w:pStyle w:val="LegalFormat"/>
              <w:numPr>
                <w:ilvl w:val="0"/>
                <w:numId w:val="0"/>
              </w:numPr>
              <w:spacing w:line="276" w:lineRule="auto"/>
              <w:jc w:val="right"/>
              <w:rPr>
                <w:sz w:val="20"/>
                <w:szCs w:val="20"/>
                <w:u w:val="none"/>
              </w:rPr>
            </w:pPr>
            <w:r>
              <w:rPr>
                <w:sz w:val="20"/>
                <w:szCs w:val="20"/>
                <w:u w:val="none"/>
              </w:rPr>
              <w:t>$0</w:t>
            </w:r>
          </w:p>
        </w:tc>
        <w:tc>
          <w:tcPr>
            <w:tcW w:w="1800" w:type="dxa"/>
            <w:vAlign w:val="center"/>
          </w:tcPr>
          <w:p w:rsidR="00F077B1" w:rsidP="00482D43" w:rsidRDefault="00F077B1" w14:paraId="63BAF6C5" w14:textId="77777777">
            <w:pPr>
              <w:pStyle w:val="LegalFormat"/>
              <w:numPr>
                <w:ilvl w:val="0"/>
                <w:numId w:val="0"/>
              </w:numPr>
              <w:spacing w:line="276" w:lineRule="auto"/>
              <w:jc w:val="right"/>
              <w:rPr>
                <w:sz w:val="20"/>
                <w:szCs w:val="20"/>
                <w:u w:val="none"/>
              </w:rPr>
            </w:pPr>
            <w:r w:rsidRPr="00EF1939">
              <w:rPr>
                <w:sz w:val="20"/>
                <w:szCs w:val="20"/>
                <w:u w:val="none"/>
              </w:rPr>
              <w:t>0</w:t>
            </w:r>
          </w:p>
          <w:p w:rsidRPr="00EF1939" w:rsidR="00FF2321" w:rsidP="00482D43" w:rsidRDefault="00FF2321" w14:paraId="5E89D2E5" w14:textId="1699E246">
            <w:pPr>
              <w:pStyle w:val="LegalFormat"/>
              <w:numPr>
                <w:ilvl w:val="0"/>
                <w:numId w:val="0"/>
              </w:numPr>
              <w:spacing w:line="276" w:lineRule="auto"/>
              <w:jc w:val="right"/>
              <w:rPr>
                <w:sz w:val="20"/>
                <w:szCs w:val="20"/>
                <w:u w:val="none"/>
              </w:rPr>
            </w:pPr>
            <w:r>
              <w:rPr>
                <w:sz w:val="20"/>
                <w:szCs w:val="20"/>
                <w:u w:val="none"/>
              </w:rPr>
              <w:t>$0</w:t>
            </w:r>
          </w:p>
        </w:tc>
        <w:tc>
          <w:tcPr>
            <w:tcW w:w="1345" w:type="dxa"/>
            <w:vAlign w:val="center"/>
          </w:tcPr>
          <w:p w:rsidRPr="00EF1939" w:rsidR="00F077B1" w:rsidP="00482D43" w:rsidRDefault="00FF2321" w14:paraId="073CACBA" w14:textId="288A50D4">
            <w:pPr>
              <w:pStyle w:val="LegalFormat"/>
              <w:numPr>
                <w:ilvl w:val="0"/>
                <w:numId w:val="0"/>
              </w:numPr>
              <w:spacing w:line="276" w:lineRule="auto"/>
              <w:jc w:val="right"/>
              <w:rPr>
                <w:sz w:val="20"/>
                <w:szCs w:val="20"/>
                <w:u w:val="none"/>
              </w:rPr>
            </w:pPr>
            <w:r>
              <w:rPr>
                <w:sz w:val="20"/>
                <w:szCs w:val="20"/>
                <w:u w:val="none"/>
              </w:rPr>
              <w:t>$0</w:t>
            </w:r>
          </w:p>
        </w:tc>
      </w:tr>
      <w:tr w:rsidRPr="00AA3C2A" w:rsidR="004F5455" w:rsidTr="00076A0B" w14:paraId="33AF5A24" w14:textId="3DBB0442">
        <w:trPr>
          <w:jc w:val="center"/>
        </w:trPr>
        <w:tc>
          <w:tcPr>
            <w:tcW w:w="1468" w:type="dxa"/>
            <w:vAlign w:val="center"/>
          </w:tcPr>
          <w:p w:rsidRPr="00AA3C2A" w:rsidR="00F077B1" w:rsidP="00482D43" w:rsidRDefault="00F077B1" w14:paraId="23F50407" w14:textId="77777777">
            <w:pPr>
              <w:rPr>
                <w:sz w:val="20"/>
                <w:szCs w:val="20"/>
              </w:rPr>
            </w:pPr>
            <w:r w:rsidRPr="00AA3C2A">
              <w:rPr>
                <w:sz w:val="20"/>
                <w:szCs w:val="20"/>
              </w:rPr>
              <w:t>Termination of obligation to sell</w:t>
            </w:r>
          </w:p>
        </w:tc>
        <w:tc>
          <w:tcPr>
            <w:tcW w:w="1322" w:type="dxa"/>
            <w:vAlign w:val="center"/>
          </w:tcPr>
          <w:p w:rsidRPr="00EF1939" w:rsidR="00F077B1" w:rsidP="00482D43" w:rsidRDefault="00CD672B" w14:paraId="09A84ED9" w14:textId="09829B16">
            <w:pPr>
              <w:pStyle w:val="LegalFormat"/>
              <w:numPr>
                <w:ilvl w:val="0"/>
                <w:numId w:val="0"/>
              </w:numPr>
              <w:spacing w:line="276" w:lineRule="auto"/>
              <w:jc w:val="right"/>
              <w:rPr>
                <w:sz w:val="20"/>
                <w:szCs w:val="20"/>
                <w:u w:val="none"/>
              </w:rPr>
            </w:pPr>
            <w:r>
              <w:rPr>
                <w:sz w:val="20"/>
                <w:szCs w:val="20"/>
                <w:u w:val="none"/>
              </w:rPr>
              <w:t>2</w:t>
            </w:r>
          </w:p>
        </w:tc>
        <w:tc>
          <w:tcPr>
            <w:tcW w:w="1530" w:type="dxa"/>
            <w:vAlign w:val="center"/>
          </w:tcPr>
          <w:p w:rsidRPr="00EF1939" w:rsidR="00F077B1" w:rsidP="00482D43" w:rsidRDefault="00CD672B" w14:paraId="18E58731" w14:textId="7284513D">
            <w:pPr>
              <w:pStyle w:val="LegalFormat"/>
              <w:numPr>
                <w:ilvl w:val="0"/>
                <w:numId w:val="0"/>
              </w:numPr>
              <w:spacing w:line="276" w:lineRule="auto"/>
              <w:jc w:val="right"/>
              <w:rPr>
                <w:sz w:val="20"/>
                <w:szCs w:val="20"/>
                <w:u w:val="none"/>
              </w:rPr>
            </w:pPr>
            <w:r>
              <w:rPr>
                <w:sz w:val="20"/>
                <w:szCs w:val="20"/>
                <w:u w:val="none"/>
              </w:rPr>
              <w:t>1</w:t>
            </w:r>
          </w:p>
        </w:tc>
        <w:tc>
          <w:tcPr>
            <w:tcW w:w="1440" w:type="dxa"/>
            <w:vAlign w:val="center"/>
          </w:tcPr>
          <w:p w:rsidRPr="00EF1939" w:rsidR="00F077B1" w:rsidP="00482D43" w:rsidRDefault="00CD672B" w14:paraId="38802AA8" w14:textId="592D7E7B">
            <w:pPr>
              <w:pStyle w:val="LegalFormat"/>
              <w:numPr>
                <w:ilvl w:val="0"/>
                <w:numId w:val="0"/>
              </w:numPr>
              <w:spacing w:line="276" w:lineRule="auto"/>
              <w:jc w:val="right"/>
              <w:rPr>
                <w:sz w:val="20"/>
                <w:szCs w:val="20"/>
                <w:u w:val="none"/>
              </w:rPr>
            </w:pPr>
            <w:r>
              <w:rPr>
                <w:sz w:val="20"/>
                <w:szCs w:val="20"/>
                <w:u w:val="none"/>
              </w:rPr>
              <w:t>2</w:t>
            </w:r>
          </w:p>
        </w:tc>
        <w:tc>
          <w:tcPr>
            <w:tcW w:w="1710" w:type="dxa"/>
            <w:vAlign w:val="center"/>
          </w:tcPr>
          <w:p w:rsidR="00F077B1" w:rsidP="00482D43" w:rsidRDefault="00CD672B" w14:paraId="5D4B8DBC" w14:textId="415A0F1F">
            <w:pPr>
              <w:pStyle w:val="LegalFormat"/>
              <w:numPr>
                <w:ilvl w:val="0"/>
                <w:numId w:val="0"/>
              </w:numPr>
              <w:spacing w:line="276" w:lineRule="auto"/>
              <w:jc w:val="right"/>
              <w:rPr>
                <w:sz w:val="20"/>
                <w:szCs w:val="20"/>
                <w:u w:val="none"/>
              </w:rPr>
            </w:pPr>
            <w:r>
              <w:rPr>
                <w:sz w:val="20"/>
                <w:szCs w:val="20"/>
                <w:u w:val="none"/>
              </w:rPr>
              <w:t>8</w:t>
            </w:r>
          </w:p>
          <w:p w:rsidRPr="00EF1939" w:rsidR="00FF2321" w:rsidP="00CD672B" w:rsidRDefault="00E0023A" w14:paraId="27F1504A" w14:textId="31864A1E">
            <w:pPr>
              <w:pStyle w:val="LegalFormat"/>
              <w:numPr>
                <w:ilvl w:val="0"/>
                <w:numId w:val="0"/>
              </w:numPr>
              <w:spacing w:line="276" w:lineRule="auto"/>
              <w:jc w:val="right"/>
              <w:rPr>
                <w:sz w:val="20"/>
                <w:szCs w:val="20"/>
                <w:u w:val="none"/>
              </w:rPr>
            </w:pPr>
            <w:r>
              <w:rPr>
                <w:sz w:val="20"/>
                <w:szCs w:val="20"/>
                <w:u w:val="none"/>
              </w:rPr>
              <w:t>$</w:t>
            </w:r>
            <w:r w:rsidR="00806D6F">
              <w:rPr>
                <w:sz w:val="20"/>
                <w:szCs w:val="20"/>
                <w:u w:val="none"/>
              </w:rPr>
              <w:t>696</w:t>
            </w:r>
          </w:p>
        </w:tc>
        <w:tc>
          <w:tcPr>
            <w:tcW w:w="1800" w:type="dxa"/>
            <w:vAlign w:val="center"/>
          </w:tcPr>
          <w:p w:rsidR="00F077B1" w:rsidP="00482D43" w:rsidRDefault="00CD672B" w14:paraId="4D2AB226" w14:textId="08703137">
            <w:pPr>
              <w:pStyle w:val="LegalFormat"/>
              <w:numPr>
                <w:ilvl w:val="0"/>
                <w:numId w:val="0"/>
              </w:numPr>
              <w:spacing w:line="276" w:lineRule="auto"/>
              <w:jc w:val="right"/>
              <w:rPr>
                <w:sz w:val="20"/>
                <w:szCs w:val="20"/>
                <w:u w:val="none"/>
              </w:rPr>
            </w:pPr>
            <w:r>
              <w:rPr>
                <w:sz w:val="20"/>
                <w:szCs w:val="20"/>
                <w:u w:val="none"/>
              </w:rPr>
              <w:t>16</w:t>
            </w:r>
          </w:p>
          <w:p w:rsidRPr="00EF1939" w:rsidR="00FF2321" w:rsidP="00CD672B" w:rsidRDefault="00CD672B" w14:paraId="6FA1F7E1" w14:textId="07D63280">
            <w:pPr>
              <w:pStyle w:val="LegalFormat"/>
              <w:numPr>
                <w:ilvl w:val="0"/>
                <w:numId w:val="0"/>
              </w:numPr>
              <w:spacing w:line="276" w:lineRule="auto"/>
              <w:jc w:val="right"/>
              <w:rPr>
                <w:sz w:val="20"/>
                <w:szCs w:val="20"/>
                <w:u w:val="none"/>
              </w:rPr>
            </w:pPr>
            <w:r>
              <w:rPr>
                <w:sz w:val="20"/>
                <w:szCs w:val="20"/>
                <w:u w:val="none"/>
              </w:rPr>
              <w:t>$1,</w:t>
            </w:r>
            <w:r w:rsidR="00806D6F">
              <w:rPr>
                <w:sz w:val="20"/>
                <w:szCs w:val="20"/>
                <w:u w:val="none"/>
              </w:rPr>
              <w:t>392</w:t>
            </w:r>
          </w:p>
        </w:tc>
        <w:tc>
          <w:tcPr>
            <w:tcW w:w="1345" w:type="dxa"/>
            <w:vAlign w:val="center"/>
          </w:tcPr>
          <w:p w:rsidRPr="00EF1939" w:rsidR="00F077B1" w:rsidP="00CD672B" w:rsidRDefault="00E0023A" w14:paraId="4A9F23A7" w14:textId="3F5C048F">
            <w:pPr>
              <w:pStyle w:val="LegalFormat"/>
              <w:numPr>
                <w:ilvl w:val="0"/>
                <w:numId w:val="0"/>
              </w:numPr>
              <w:spacing w:line="276" w:lineRule="auto"/>
              <w:jc w:val="right"/>
              <w:rPr>
                <w:sz w:val="20"/>
                <w:szCs w:val="20"/>
                <w:u w:val="none"/>
              </w:rPr>
            </w:pPr>
            <w:r>
              <w:rPr>
                <w:sz w:val="20"/>
                <w:szCs w:val="20"/>
                <w:u w:val="none"/>
              </w:rPr>
              <w:t>$</w:t>
            </w:r>
            <w:r w:rsidR="00806D6F">
              <w:rPr>
                <w:sz w:val="20"/>
                <w:szCs w:val="20"/>
                <w:u w:val="none"/>
              </w:rPr>
              <w:t>696</w:t>
            </w:r>
          </w:p>
        </w:tc>
      </w:tr>
      <w:tr w:rsidRPr="00AA3C2A" w:rsidR="004F5455" w:rsidTr="00076A0B" w14:paraId="400864A1" w14:textId="5627A90A">
        <w:trPr>
          <w:jc w:val="center"/>
        </w:trPr>
        <w:tc>
          <w:tcPr>
            <w:tcW w:w="1468" w:type="dxa"/>
            <w:vAlign w:val="center"/>
          </w:tcPr>
          <w:p w:rsidRPr="00AA3C2A" w:rsidR="00F077B1" w:rsidP="00482D43" w:rsidRDefault="00F077B1" w14:paraId="6921E407" w14:textId="77777777">
            <w:pPr>
              <w:rPr>
                <w:sz w:val="20"/>
                <w:szCs w:val="20"/>
              </w:rPr>
            </w:pPr>
            <w:r w:rsidRPr="00AA3C2A">
              <w:rPr>
                <w:sz w:val="20"/>
                <w:szCs w:val="20"/>
              </w:rPr>
              <w:t>Reinstatement of obligation to sell</w:t>
            </w:r>
          </w:p>
        </w:tc>
        <w:tc>
          <w:tcPr>
            <w:tcW w:w="1322" w:type="dxa"/>
            <w:vAlign w:val="center"/>
          </w:tcPr>
          <w:p w:rsidRPr="00EF1939" w:rsidR="00F077B1" w:rsidP="00482D43" w:rsidRDefault="00F077B1" w14:paraId="5435CF49" w14:textId="77777777">
            <w:pPr>
              <w:pStyle w:val="LegalFormat"/>
              <w:numPr>
                <w:ilvl w:val="0"/>
                <w:numId w:val="0"/>
              </w:numPr>
              <w:spacing w:line="276" w:lineRule="auto"/>
              <w:jc w:val="right"/>
              <w:rPr>
                <w:sz w:val="20"/>
                <w:szCs w:val="20"/>
                <w:u w:val="none"/>
              </w:rPr>
            </w:pPr>
            <w:r w:rsidRPr="00EF1939">
              <w:rPr>
                <w:sz w:val="20"/>
                <w:szCs w:val="20"/>
                <w:u w:val="none"/>
              </w:rPr>
              <w:t>0</w:t>
            </w:r>
          </w:p>
        </w:tc>
        <w:tc>
          <w:tcPr>
            <w:tcW w:w="1530" w:type="dxa"/>
            <w:vAlign w:val="center"/>
          </w:tcPr>
          <w:p w:rsidRPr="00EF1939" w:rsidR="00F077B1" w:rsidP="00482D43" w:rsidRDefault="00F077B1" w14:paraId="2F5E0F31" w14:textId="77777777">
            <w:pPr>
              <w:pStyle w:val="LegalFormat"/>
              <w:numPr>
                <w:ilvl w:val="0"/>
                <w:numId w:val="0"/>
              </w:numPr>
              <w:spacing w:line="276" w:lineRule="auto"/>
              <w:jc w:val="right"/>
              <w:rPr>
                <w:sz w:val="20"/>
                <w:szCs w:val="20"/>
                <w:u w:val="none"/>
              </w:rPr>
            </w:pPr>
            <w:r w:rsidRPr="00EF1939">
              <w:rPr>
                <w:sz w:val="20"/>
                <w:szCs w:val="20"/>
                <w:u w:val="none"/>
              </w:rPr>
              <w:t>0</w:t>
            </w:r>
          </w:p>
        </w:tc>
        <w:tc>
          <w:tcPr>
            <w:tcW w:w="1440" w:type="dxa"/>
            <w:vAlign w:val="center"/>
          </w:tcPr>
          <w:p w:rsidRPr="00EF1939" w:rsidR="00F077B1" w:rsidP="00482D43" w:rsidRDefault="00F077B1" w14:paraId="4679A550" w14:textId="77777777">
            <w:pPr>
              <w:pStyle w:val="LegalFormat"/>
              <w:numPr>
                <w:ilvl w:val="0"/>
                <w:numId w:val="0"/>
              </w:numPr>
              <w:spacing w:line="276" w:lineRule="auto"/>
              <w:jc w:val="right"/>
              <w:rPr>
                <w:sz w:val="20"/>
                <w:szCs w:val="20"/>
                <w:u w:val="none"/>
              </w:rPr>
            </w:pPr>
            <w:r w:rsidRPr="00EF1939">
              <w:rPr>
                <w:sz w:val="20"/>
                <w:szCs w:val="20"/>
                <w:u w:val="none"/>
              </w:rPr>
              <w:t>0</w:t>
            </w:r>
          </w:p>
        </w:tc>
        <w:tc>
          <w:tcPr>
            <w:tcW w:w="1710" w:type="dxa"/>
            <w:vAlign w:val="center"/>
          </w:tcPr>
          <w:p w:rsidR="00F077B1" w:rsidP="00482D43" w:rsidRDefault="00F077B1" w14:paraId="4420252E" w14:textId="77777777">
            <w:pPr>
              <w:pStyle w:val="LegalFormat"/>
              <w:numPr>
                <w:ilvl w:val="0"/>
                <w:numId w:val="0"/>
              </w:numPr>
              <w:spacing w:line="276" w:lineRule="auto"/>
              <w:jc w:val="right"/>
              <w:rPr>
                <w:sz w:val="20"/>
                <w:szCs w:val="20"/>
                <w:u w:val="none"/>
              </w:rPr>
            </w:pPr>
            <w:r w:rsidRPr="00EF1939">
              <w:rPr>
                <w:sz w:val="20"/>
                <w:szCs w:val="20"/>
                <w:u w:val="none"/>
              </w:rPr>
              <w:t>0</w:t>
            </w:r>
          </w:p>
          <w:p w:rsidRPr="00EF1939" w:rsidR="00FF2321" w:rsidP="00482D43" w:rsidRDefault="00FF2321" w14:paraId="43C7D816" w14:textId="203F273C">
            <w:pPr>
              <w:pStyle w:val="LegalFormat"/>
              <w:numPr>
                <w:ilvl w:val="0"/>
                <w:numId w:val="0"/>
              </w:numPr>
              <w:spacing w:line="276" w:lineRule="auto"/>
              <w:jc w:val="right"/>
              <w:rPr>
                <w:sz w:val="20"/>
                <w:szCs w:val="20"/>
                <w:u w:val="none"/>
              </w:rPr>
            </w:pPr>
            <w:r>
              <w:rPr>
                <w:sz w:val="20"/>
                <w:szCs w:val="20"/>
                <w:u w:val="none"/>
              </w:rPr>
              <w:t>$0</w:t>
            </w:r>
          </w:p>
        </w:tc>
        <w:tc>
          <w:tcPr>
            <w:tcW w:w="1800" w:type="dxa"/>
            <w:vAlign w:val="center"/>
          </w:tcPr>
          <w:p w:rsidR="00F077B1" w:rsidP="00482D43" w:rsidRDefault="00F077B1" w14:paraId="31D0F440" w14:textId="77777777">
            <w:pPr>
              <w:pStyle w:val="LegalFormat"/>
              <w:numPr>
                <w:ilvl w:val="0"/>
                <w:numId w:val="0"/>
              </w:numPr>
              <w:spacing w:line="276" w:lineRule="auto"/>
              <w:jc w:val="right"/>
              <w:rPr>
                <w:sz w:val="20"/>
                <w:szCs w:val="20"/>
                <w:u w:val="none"/>
              </w:rPr>
            </w:pPr>
            <w:r w:rsidRPr="00EF1939">
              <w:rPr>
                <w:sz w:val="20"/>
                <w:szCs w:val="20"/>
                <w:u w:val="none"/>
              </w:rPr>
              <w:t>0</w:t>
            </w:r>
          </w:p>
          <w:p w:rsidRPr="00EF1939" w:rsidR="00FF2321" w:rsidP="00482D43" w:rsidRDefault="00FF2321" w14:paraId="64B99EA7" w14:textId="383711B8">
            <w:pPr>
              <w:pStyle w:val="LegalFormat"/>
              <w:numPr>
                <w:ilvl w:val="0"/>
                <w:numId w:val="0"/>
              </w:numPr>
              <w:spacing w:line="276" w:lineRule="auto"/>
              <w:jc w:val="right"/>
              <w:rPr>
                <w:sz w:val="20"/>
                <w:szCs w:val="20"/>
                <w:u w:val="none"/>
              </w:rPr>
            </w:pPr>
            <w:r>
              <w:rPr>
                <w:sz w:val="20"/>
                <w:szCs w:val="20"/>
                <w:u w:val="none"/>
              </w:rPr>
              <w:t>$0</w:t>
            </w:r>
          </w:p>
        </w:tc>
        <w:tc>
          <w:tcPr>
            <w:tcW w:w="1345" w:type="dxa"/>
            <w:vAlign w:val="center"/>
          </w:tcPr>
          <w:p w:rsidRPr="00EF1939" w:rsidR="00F077B1" w:rsidP="00482D43" w:rsidRDefault="00FF2321" w14:paraId="4A8CC9A3" w14:textId="33AF8AD9">
            <w:pPr>
              <w:pStyle w:val="LegalFormat"/>
              <w:numPr>
                <w:ilvl w:val="0"/>
                <w:numId w:val="0"/>
              </w:numPr>
              <w:spacing w:line="276" w:lineRule="auto"/>
              <w:jc w:val="right"/>
              <w:rPr>
                <w:sz w:val="20"/>
                <w:szCs w:val="20"/>
                <w:u w:val="none"/>
              </w:rPr>
            </w:pPr>
            <w:r>
              <w:rPr>
                <w:sz w:val="20"/>
                <w:szCs w:val="20"/>
                <w:u w:val="none"/>
              </w:rPr>
              <w:t>$0</w:t>
            </w:r>
          </w:p>
        </w:tc>
      </w:tr>
      <w:tr w:rsidRPr="00B45609" w:rsidR="00482D43" w:rsidTr="00076A0B" w14:paraId="0844090D" w14:textId="1620465D">
        <w:trPr>
          <w:trHeight w:val="443"/>
          <w:jc w:val="center"/>
        </w:trPr>
        <w:tc>
          <w:tcPr>
            <w:tcW w:w="1468" w:type="dxa"/>
            <w:vAlign w:val="center"/>
          </w:tcPr>
          <w:p w:rsidRPr="00B45609" w:rsidR="00482D43" w:rsidP="00482D43" w:rsidRDefault="00482D43" w14:paraId="1D0946E9" w14:textId="77777777">
            <w:pPr>
              <w:rPr>
                <w:b/>
                <w:sz w:val="20"/>
                <w:szCs w:val="20"/>
              </w:rPr>
            </w:pPr>
            <w:r w:rsidRPr="00B45609">
              <w:rPr>
                <w:b/>
                <w:sz w:val="20"/>
                <w:szCs w:val="20"/>
              </w:rPr>
              <w:t>Total</w:t>
            </w:r>
          </w:p>
        </w:tc>
        <w:tc>
          <w:tcPr>
            <w:tcW w:w="6002" w:type="dxa"/>
            <w:gridSpan w:val="4"/>
            <w:vAlign w:val="center"/>
          </w:tcPr>
          <w:p w:rsidRPr="00B45609" w:rsidR="00482D43" w:rsidP="00482D43" w:rsidRDefault="00482D43" w14:paraId="57BDC3D2" w14:textId="77777777">
            <w:pPr>
              <w:pStyle w:val="LegalFormat"/>
              <w:numPr>
                <w:ilvl w:val="0"/>
                <w:numId w:val="0"/>
              </w:numPr>
              <w:spacing w:line="240" w:lineRule="auto"/>
              <w:jc w:val="right"/>
              <w:rPr>
                <w:b/>
                <w:sz w:val="20"/>
                <w:szCs w:val="20"/>
                <w:u w:val="none"/>
              </w:rPr>
            </w:pPr>
          </w:p>
        </w:tc>
        <w:tc>
          <w:tcPr>
            <w:tcW w:w="1800" w:type="dxa"/>
            <w:vAlign w:val="center"/>
          </w:tcPr>
          <w:p w:rsidRPr="00B45609" w:rsidR="00482D43" w:rsidP="00482D43" w:rsidRDefault="00806D6F" w14:paraId="4CE20E69" w14:textId="4827B44C">
            <w:pPr>
              <w:pStyle w:val="LegalFormat"/>
              <w:numPr>
                <w:ilvl w:val="0"/>
                <w:numId w:val="0"/>
              </w:numPr>
              <w:spacing w:line="240" w:lineRule="auto"/>
              <w:jc w:val="right"/>
              <w:rPr>
                <w:b/>
                <w:sz w:val="20"/>
                <w:szCs w:val="20"/>
                <w:u w:val="none"/>
              </w:rPr>
            </w:pPr>
            <w:r>
              <w:rPr>
                <w:b/>
                <w:sz w:val="20"/>
                <w:szCs w:val="20"/>
                <w:u w:val="none"/>
              </w:rPr>
              <w:t>196</w:t>
            </w:r>
            <w:r w:rsidR="00674612">
              <w:rPr>
                <w:b/>
                <w:sz w:val="20"/>
                <w:szCs w:val="20"/>
                <w:u w:val="none"/>
              </w:rPr>
              <w:t xml:space="preserve"> hours</w:t>
            </w:r>
          </w:p>
          <w:p w:rsidRPr="00B45609" w:rsidR="00B45609" w:rsidP="00CD672B" w:rsidRDefault="00B45609" w14:paraId="260E28E8" w14:textId="363C92FD">
            <w:pPr>
              <w:pStyle w:val="LegalFormat"/>
              <w:numPr>
                <w:ilvl w:val="0"/>
                <w:numId w:val="0"/>
              </w:numPr>
              <w:spacing w:line="240" w:lineRule="auto"/>
              <w:jc w:val="right"/>
              <w:rPr>
                <w:b/>
                <w:sz w:val="20"/>
                <w:szCs w:val="20"/>
                <w:u w:val="none"/>
              </w:rPr>
            </w:pPr>
            <w:r w:rsidRPr="00B45609">
              <w:rPr>
                <w:b/>
                <w:sz w:val="20"/>
                <w:szCs w:val="20"/>
                <w:u w:val="none"/>
              </w:rPr>
              <w:t>$</w:t>
            </w:r>
            <w:r w:rsidR="00806D6F">
              <w:rPr>
                <w:b/>
                <w:sz w:val="20"/>
                <w:szCs w:val="20"/>
                <w:u w:val="none"/>
              </w:rPr>
              <w:t>17,052</w:t>
            </w:r>
          </w:p>
        </w:tc>
        <w:tc>
          <w:tcPr>
            <w:tcW w:w="1345" w:type="dxa"/>
            <w:vAlign w:val="center"/>
          </w:tcPr>
          <w:p w:rsidRPr="00B45609" w:rsidR="00482D43" w:rsidP="00CD672B" w:rsidRDefault="00B45609" w14:paraId="6F381096" w14:textId="4CDFC369">
            <w:pPr>
              <w:pStyle w:val="LegalFormat"/>
              <w:numPr>
                <w:ilvl w:val="0"/>
                <w:numId w:val="0"/>
              </w:numPr>
              <w:spacing w:line="240" w:lineRule="auto"/>
              <w:jc w:val="right"/>
              <w:rPr>
                <w:b/>
                <w:sz w:val="20"/>
                <w:szCs w:val="20"/>
                <w:u w:val="none"/>
              </w:rPr>
            </w:pPr>
            <w:r w:rsidRPr="00B45609">
              <w:rPr>
                <w:b/>
                <w:sz w:val="20"/>
                <w:szCs w:val="20"/>
                <w:u w:val="none"/>
              </w:rPr>
              <w:t>$</w:t>
            </w:r>
            <w:r w:rsidR="00806D6F">
              <w:rPr>
                <w:b/>
                <w:sz w:val="20"/>
                <w:szCs w:val="20"/>
                <w:u w:val="none"/>
              </w:rPr>
              <w:t>2,262</w:t>
            </w:r>
          </w:p>
        </w:tc>
      </w:tr>
    </w:tbl>
    <w:p w:rsidR="00A636D8" w:rsidP="00AE1F12" w:rsidRDefault="00A636D8" w14:paraId="086F697E" w14:textId="77777777">
      <w:pPr>
        <w:spacing w:line="480" w:lineRule="auto"/>
        <w:rPr>
          <w:i/>
        </w:rPr>
      </w:pPr>
    </w:p>
    <w:p w:rsidR="00AE1F12" w:rsidP="00AE1F12" w:rsidRDefault="00AE1F12" w14:paraId="06D77A52" w14:textId="459BE365">
      <w:pPr>
        <w:spacing w:line="480" w:lineRule="auto"/>
      </w:pPr>
      <w:r>
        <w:rPr>
          <w:i/>
        </w:rPr>
        <w:t xml:space="preserve">Comments:  </w:t>
      </w:r>
      <w:r>
        <w:t xml:space="preserve">Comments are invited on:  (1) whether the collection of information is necessary for the proper performance of the functions of the Commission, including whether the information will have practical utility; (2) the accuracy of the agency’s estimate of the burden and cost of the collection of information, including the validity of </w:t>
      </w:r>
      <w:r>
        <w:lastRenderedPageBreak/>
        <w:t xml:space="preserve">the methodology and assumptions used; (3) ways to enhance the quality, utility and clarity of the information collection; and (4) ways to minimize the burden of the collection of information on those who are to respond, including the use of automated collection techniques or other forms of information technology.  </w:t>
      </w:r>
    </w:p>
    <w:p w:rsidR="00AE1F12" w:rsidP="00AE1F12" w:rsidRDefault="00AE1F12" w14:paraId="137C4514" w14:textId="77777777"/>
    <w:p w:rsidR="004F158B" w:rsidP="004F158B" w:rsidRDefault="004F158B" w14:paraId="2DB4CF59" w14:textId="6A1C8F6C"/>
    <w:p w:rsidRPr="00686E77" w:rsidR="00686E77" w:rsidP="002B64A0" w:rsidRDefault="00686E77" w14:paraId="42373B36" w14:textId="77777777">
      <w:pPr>
        <w:ind w:left="2160" w:firstLine="720"/>
        <w:jc w:val="center"/>
      </w:pPr>
      <w:r w:rsidRPr="00686E77">
        <w:t>Kimberly D. Bose,</w:t>
      </w:r>
    </w:p>
    <w:p w:rsidRPr="004F158B" w:rsidR="004F158B" w:rsidP="004F158B" w:rsidRDefault="004F158B" w14:paraId="3E7D0594" w14:textId="3CBEC3B6">
      <w:pPr>
        <w:ind w:firstLine="2606"/>
        <w:jc w:val="center"/>
      </w:pPr>
      <w:r w:rsidRPr="004F158B">
        <w:t>Secretary.</w:t>
      </w:r>
    </w:p>
    <w:p w:rsidR="004F158B" w:rsidP="004F158B" w:rsidRDefault="004F158B" w14:paraId="166FF96D" w14:textId="77777777"/>
    <w:sectPr w:rsidR="004F158B" w:rsidSect="00BF2D74">
      <w:headerReference w:type="default" r:id="rId17"/>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B8A9E1" w14:textId="77777777" w:rsidR="0079457F" w:rsidRDefault="0079457F" w:rsidP="00B01B16">
      <w:r>
        <w:separator/>
      </w:r>
    </w:p>
  </w:endnote>
  <w:endnote w:type="continuationSeparator" w:id="0">
    <w:p w14:paraId="6C245420" w14:textId="77777777" w:rsidR="0079457F" w:rsidRDefault="0079457F" w:rsidP="00B01B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F0B977" w14:textId="77777777" w:rsidR="0079457F" w:rsidRDefault="0079457F" w:rsidP="00B01B16">
      <w:r>
        <w:separator/>
      </w:r>
    </w:p>
  </w:footnote>
  <w:footnote w:type="continuationSeparator" w:id="0">
    <w:p w14:paraId="3B8B83DA" w14:textId="77777777" w:rsidR="0079457F" w:rsidRDefault="0079457F" w:rsidP="00B01B16">
      <w:r>
        <w:continuationSeparator/>
      </w:r>
    </w:p>
  </w:footnote>
  <w:footnote w:id="1">
    <w:p w14:paraId="3A89534C" w14:textId="77777777" w:rsidR="00710EEE" w:rsidRDefault="00710EEE" w:rsidP="00710EEE">
      <w:pPr>
        <w:pStyle w:val="FootnoteText"/>
        <w:rPr>
          <w:sz w:val="26"/>
          <w:szCs w:val="26"/>
        </w:rPr>
      </w:pPr>
      <w:r>
        <w:rPr>
          <w:rStyle w:val="FootnoteReference"/>
          <w:b w:val="0"/>
        </w:rPr>
        <w:footnoteRef/>
      </w:r>
      <w:r>
        <w:rPr>
          <w:b/>
          <w:sz w:val="26"/>
          <w:szCs w:val="26"/>
        </w:rPr>
        <w:t xml:space="preserve"> </w:t>
      </w:r>
      <w:r>
        <w:rPr>
          <w:sz w:val="26"/>
          <w:szCs w:val="26"/>
        </w:rPr>
        <w:t>Public Law 109-58, 119 Stat. 594 (2005)</w:t>
      </w:r>
    </w:p>
  </w:footnote>
  <w:footnote w:id="2">
    <w:p w14:paraId="500AED59" w14:textId="68E10142" w:rsidR="00710EEE" w:rsidRDefault="00710EEE" w:rsidP="00710EEE">
      <w:pPr>
        <w:pStyle w:val="FootnoteText"/>
        <w:tabs>
          <w:tab w:val="left" w:pos="6090"/>
        </w:tabs>
        <w:rPr>
          <w:b/>
          <w:sz w:val="26"/>
          <w:szCs w:val="26"/>
        </w:rPr>
      </w:pPr>
      <w:r>
        <w:rPr>
          <w:rStyle w:val="FootnoteReference"/>
          <w:b w:val="0"/>
        </w:rPr>
        <w:footnoteRef/>
      </w:r>
      <w:r>
        <w:rPr>
          <w:b/>
          <w:sz w:val="26"/>
          <w:szCs w:val="26"/>
        </w:rPr>
        <w:t xml:space="preserve"> </w:t>
      </w:r>
      <w:r>
        <w:rPr>
          <w:sz w:val="26"/>
          <w:szCs w:val="26"/>
        </w:rPr>
        <w:t>18 CFR 292.311 and 292.313.</w:t>
      </w:r>
    </w:p>
  </w:footnote>
  <w:footnote w:id="3">
    <w:p w14:paraId="5D423E05" w14:textId="4B39916B" w:rsidR="00AE1F12" w:rsidRPr="006536D8" w:rsidRDefault="00B01B16" w:rsidP="00B01B16">
      <w:pPr>
        <w:pStyle w:val="FootnoteText"/>
        <w:rPr>
          <w:sz w:val="26"/>
          <w:szCs w:val="26"/>
        </w:rPr>
      </w:pPr>
      <w:r w:rsidRPr="006536D8">
        <w:rPr>
          <w:rStyle w:val="FootnoteReference"/>
        </w:rPr>
        <w:footnoteRef/>
      </w:r>
      <w:r w:rsidRPr="006536D8">
        <w:rPr>
          <w:sz w:val="26"/>
          <w:szCs w:val="26"/>
        </w:rPr>
        <w:t xml:space="preserve"> </w:t>
      </w:r>
      <w:r w:rsidR="00486FC9">
        <w:rPr>
          <w:sz w:val="26"/>
          <w:szCs w:val="26"/>
        </w:rPr>
        <w:t>B</w:t>
      </w:r>
      <w:r w:rsidRPr="006536D8">
        <w:rPr>
          <w:sz w:val="26"/>
          <w:szCs w:val="26"/>
        </w:rPr>
        <w:t>urden</w:t>
      </w:r>
      <w:r w:rsidR="00F077B1">
        <w:rPr>
          <w:sz w:val="26"/>
          <w:szCs w:val="26"/>
        </w:rPr>
        <w:t xml:space="preserve"> as</w:t>
      </w:r>
      <w:r w:rsidRPr="006536D8">
        <w:rPr>
          <w:sz w:val="26"/>
          <w:szCs w:val="26"/>
        </w:rPr>
        <w:t xml:space="preserve"> the total time, effort, or financial resources expended by persons to generate, maintain, retain, or disclose or provide information to or for a Federal agency. For further explanation of what is included in the information collection burden, </w:t>
      </w:r>
      <w:r w:rsidR="00376525" w:rsidRPr="006536D8">
        <w:rPr>
          <w:sz w:val="26"/>
          <w:szCs w:val="26"/>
        </w:rPr>
        <w:t xml:space="preserve">refer to Title </w:t>
      </w:r>
      <w:r w:rsidRPr="006536D8">
        <w:rPr>
          <w:sz w:val="26"/>
          <w:szCs w:val="26"/>
        </w:rPr>
        <w:t>5 Code of Federal Regulations 1320.3.</w:t>
      </w:r>
    </w:p>
  </w:footnote>
  <w:footnote w:id="4">
    <w:p w14:paraId="09F58A0B" w14:textId="59C68F1F" w:rsidR="00482D43" w:rsidRPr="00F077B1" w:rsidRDefault="00482D43" w:rsidP="00482D43">
      <w:pPr>
        <w:pStyle w:val="FootnoteText"/>
        <w:rPr>
          <w:sz w:val="26"/>
          <w:szCs w:val="26"/>
        </w:rPr>
      </w:pPr>
      <w:r w:rsidRPr="00F077B1">
        <w:rPr>
          <w:rStyle w:val="FootnoteReference"/>
        </w:rPr>
        <w:footnoteRef/>
      </w:r>
      <w:r w:rsidRPr="00F077B1">
        <w:rPr>
          <w:sz w:val="26"/>
          <w:szCs w:val="26"/>
        </w:rPr>
        <w:t xml:space="preserve"> The estimates for cost per response are derived using the following formula: Average Burden Hours per Response * $</w:t>
      </w:r>
      <w:r w:rsidR="00871393" w:rsidRPr="000F7DFC">
        <w:rPr>
          <w:sz w:val="26"/>
          <w:szCs w:val="26"/>
        </w:rPr>
        <w:t>87</w:t>
      </w:r>
      <w:r w:rsidRPr="000F7DFC">
        <w:rPr>
          <w:sz w:val="26"/>
          <w:szCs w:val="26"/>
        </w:rPr>
        <w:t>.00</w:t>
      </w:r>
      <w:r w:rsidRPr="00F077B1">
        <w:rPr>
          <w:sz w:val="26"/>
          <w:szCs w:val="26"/>
        </w:rPr>
        <w:t xml:space="preserve"> per Hour = Average Cost per Response. The hourly cost figure comes from the FERC average salary ($1</w:t>
      </w:r>
      <w:r w:rsidR="00871393">
        <w:rPr>
          <w:sz w:val="26"/>
          <w:szCs w:val="26"/>
        </w:rPr>
        <w:t>80</w:t>
      </w:r>
      <w:r w:rsidRPr="00F077B1">
        <w:rPr>
          <w:sz w:val="26"/>
          <w:szCs w:val="26"/>
        </w:rPr>
        <w:t>,</w:t>
      </w:r>
      <w:r w:rsidR="00871393">
        <w:rPr>
          <w:sz w:val="26"/>
          <w:szCs w:val="26"/>
        </w:rPr>
        <w:t>702</w:t>
      </w:r>
      <w:r w:rsidRPr="00F077B1">
        <w:rPr>
          <w:sz w:val="26"/>
          <w:szCs w:val="26"/>
        </w:rPr>
        <w:t>/year). Commission staff believes th</w:t>
      </w:r>
      <w:r w:rsidR="00A636D8">
        <w:rPr>
          <w:sz w:val="26"/>
          <w:szCs w:val="26"/>
        </w:rPr>
        <w:t>e 2021 FERC</w:t>
      </w:r>
      <w:r w:rsidRPr="00F077B1">
        <w:rPr>
          <w:sz w:val="26"/>
          <w:szCs w:val="26"/>
        </w:rPr>
        <w:t xml:space="preserve"> average salary to be </w:t>
      </w:r>
      <w:r w:rsidR="001747DE">
        <w:rPr>
          <w:sz w:val="26"/>
          <w:szCs w:val="26"/>
        </w:rPr>
        <w:t xml:space="preserve">a </w:t>
      </w:r>
      <w:r w:rsidRPr="00F077B1">
        <w:rPr>
          <w:sz w:val="26"/>
          <w:szCs w:val="26"/>
        </w:rPr>
        <w:t>representative wage for industry respondents.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E20AF7" w14:textId="741F6F86" w:rsidR="00810D18" w:rsidRDefault="00810D18" w:rsidP="00810D18">
    <w:pPr>
      <w:pStyle w:val="Header"/>
    </w:pPr>
    <w:r w:rsidRPr="00486FC9">
      <w:t xml:space="preserve">Docket No. </w:t>
    </w:r>
    <w:r w:rsidR="00337D1F" w:rsidRPr="002B64A0">
      <w:t>IC</w:t>
    </w:r>
    <w:r w:rsidR="009D3BAE" w:rsidRPr="002B64A0">
      <w:t>22</w:t>
    </w:r>
    <w:r w:rsidR="00337D1F" w:rsidRPr="002B64A0">
      <w:t>-</w:t>
    </w:r>
    <w:r w:rsidR="009D3BAE" w:rsidRPr="002B64A0">
      <w:t>9</w:t>
    </w:r>
    <w:r w:rsidR="00337D1F" w:rsidRPr="002B64A0">
      <w:t>-000</w:t>
    </w:r>
    <w:r>
      <w:tab/>
    </w:r>
    <w:sdt>
      <w:sdtPr>
        <w:id w:val="1515886245"/>
        <w:docPartObj>
          <w:docPartGallery w:val="Page Numbers (Top of Page)"/>
          <w:docPartUnique/>
        </w:docPartObj>
      </w:sdtPr>
      <w:sdtEndPr>
        <w:rPr>
          <w:noProof/>
        </w:rPr>
      </w:sdtEndPr>
      <w:sdtContent>
        <w:r w:rsidR="006A4EF4">
          <w:tab/>
        </w:r>
        <w:r>
          <w:fldChar w:fldCharType="begin"/>
        </w:r>
        <w:r>
          <w:instrText xml:space="preserve"> PAGE   \* MERGEFORMAT </w:instrText>
        </w:r>
        <w:r>
          <w:fldChar w:fldCharType="separate"/>
        </w:r>
        <w:r w:rsidR="00871331">
          <w:rPr>
            <w:noProof/>
          </w:rPr>
          <w:t>2</w:t>
        </w:r>
        <w:r>
          <w:rPr>
            <w:noProof/>
          </w:rPr>
          <w:fldChar w:fldCharType="end"/>
        </w:r>
      </w:sdtContent>
    </w:sdt>
  </w:p>
  <w:p w14:paraId="11CB63B3" w14:textId="77777777" w:rsidR="00BF2D74" w:rsidRDefault="00BF2D7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6F0CC7"/>
    <w:multiLevelType w:val="hybridMultilevel"/>
    <w:tmpl w:val="0DF61C7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10F02A8"/>
    <w:multiLevelType w:val="hybridMultilevel"/>
    <w:tmpl w:val="1F3240CC"/>
    <w:lvl w:ilvl="0" w:tplc="DE32E332">
      <w:start w:val="1"/>
      <w:numFmt w:val="bullet"/>
      <w:lvlText w:val=""/>
      <w:lvlJc w:val="left"/>
      <w:pPr>
        <w:tabs>
          <w:tab w:val="num" w:pos="1500"/>
        </w:tabs>
        <w:ind w:left="1500" w:hanging="360"/>
      </w:pPr>
      <w:rPr>
        <w:rFonts w:ascii="Symbol" w:hAnsi="Symbol" w:hint="default"/>
        <w:color w:val="auto"/>
      </w:rPr>
    </w:lvl>
    <w:lvl w:ilvl="1" w:tplc="04090003">
      <w:start w:val="1"/>
      <w:numFmt w:val="bullet"/>
      <w:lvlText w:val="o"/>
      <w:lvlJc w:val="left"/>
      <w:pPr>
        <w:tabs>
          <w:tab w:val="num" w:pos="1500"/>
        </w:tabs>
        <w:ind w:left="1500" w:hanging="360"/>
      </w:pPr>
      <w:rPr>
        <w:rFonts w:ascii="Courier New" w:hAnsi="Courier New" w:cs="Courier New"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cs="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cs="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2" w15:restartNumberingAfterBreak="0">
    <w:nsid w:val="2C5152ED"/>
    <w:multiLevelType w:val="hybridMultilevel"/>
    <w:tmpl w:val="48B0E9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3156D43"/>
    <w:multiLevelType w:val="multilevel"/>
    <w:tmpl w:val="B140707E"/>
    <w:lvl w:ilvl="0">
      <w:start w:val="1"/>
      <w:numFmt w:val="decimal"/>
      <w:pStyle w:val="ListContinue"/>
      <w:lvlText w:val="%1."/>
      <w:lvlJc w:val="left"/>
      <w:pPr>
        <w:tabs>
          <w:tab w:val="num" w:pos="360"/>
        </w:tabs>
        <w:ind w:left="360" w:hanging="360"/>
      </w:pPr>
      <w:rPr>
        <w:b w:val="0"/>
      </w:rPr>
    </w:lvl>
    <w:lvl w:ilvl="1">
      <w:start w:val="1"/>
      <w:numFmt w:val="decimal"/>
      <w:lvlText w:val="%2."/>
      <w:lvlJc w:val="left"/>
      <w:pPr>
        <w:tabs>
          <w:tab w:val="num" w:pos="720"/>
        </w:tabs>
        <w:ind w:left="720" w:hanging="360"/>
      </w:pPr>
    </w:lvl>
    <w:lvl w:ilvl="2">
      <w:start w:val="1"/>
      <w:numFmt w:val="decimal"/>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decimal"/>
      <w:lvlText w:val="%5."/>
      <w:lvlJc w:val="left"/>
      <w:pPr>
        <w:tabs>
          <w:tab w:val="num" w:pos="1800"/>
        </w:tabs>
        <w:ind w:left="1800" w:hanging="360"/>
      </w:pPr>
    </w:lvl>
    <w:lvl w:ilvl="5">
      <w:start w:val="1"/>
      <w:numFmt w:val="decimal"/>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decimal"/>
      <w:lvlText w:val="%8."/>
      <w:lvlJc w:val="left"/>
      <w:pPr>
        <w:tabs>
          <w:tab w:val="num" w:pos="2880"/>
        </w:tabs>
        <w:ind w:left="2880" w:hanging="360"/>
      </w:pPr>
    </w:lvl>
    <w:lvl w:ilvl="8">
      <w:start w:val="1"/>
      <w:numFmt w:val="decimal"/>
      <w:lvlText w:val="%9."/>
      <w:lvlJc w:val="left"/>
      <w:pPr>
        <w:tabs>
          <w:tab w:val="num" w:pos="3240"/>
        </w:tabs>
        <w:ind w:left="3240" w:hanging="360"/>
      </w:pPr>
    </w:lvl>
  </w:abstractNum>
  <w:abstractNum w:abstractNumId="4" w15:restartNumberingAfterBreak="0">
    <w:nsid w:val="34387D0C"/>
    <w:multiLevelType w:val="hybridMultilevel"/>
    <w:tmpl w:val="21622E3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59E7312B"/>
    <w:multiLevelType w:val="hybridMultilevel"/>
    <w:tmpl w:val="2C68D9A6"/>
    <w:lvl w:ilvl="0" w:tplc="042ECDC8">
      <w:start w:val="6"/>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4"/>
  </w:num>
  <w:num w:numId="4">
    <w:abstractNumId w:val="3"/>
  </w:num>
  <w:num w:numId="5">
    <w:abstractNumId w:val="5"/>
  </w:num>
  <w:num w:numId="6">
    <w:abstractNumId w:val="2"/>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defaultTabStop w:val="720"/>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1B16"/>
    <w:rsid w:val="0002127D"/>
    <w:rsid w:val="000459B6"/>
    <w:rsid w:val="00062427"/>
    <w:rsid w:val="00076A0B"/>
    <w:rsid w:val="000A0250"/>
    <w:rsid w:val="000A5EB7"/>
    <w:rsid w:val="000A7E68"/>
    <w:rsid w:val="000B1CE7"/>
    <w:rsid w:val="000E2568"/>
    <w:rsid w:val="000F7DFC"/>
    <w:rsid w:val="00156BBB"/>
    <w:rsid w:val="001600DF"/>
    <w:rsid w:val="00162E44"/>
    <w:rsid w:val="00166E2F"/>
    <w:rsid w:val="00171725"/>
    <w:rsid w:val="001747DE"/>
    <w:rsid w:val="00181BF7"/>
    <w:rsid w:val="001A6AD6"/>
    <w:rsid w:val="001B1CF6"/>
    <w:rsid w:val="001B77FD"/>
    <w:rsid w:val="001B78B8"/>
    <w:rsid w:val="001C19C9"/>
    <w:rsid w:val="001C1C9C"/>
    <w:rsid w:val="001C3865"/>
    <w:rsid w:val="001E38F6"/>
    <w:rsid w:val="00244035"/>
    <w:rsid w:val="00251BE0"/>
    <w:rsid w:val="002A257F"/>
    <w:rsid w:val="002A796B"/>
    <w:rsid w:val="002B1897"/>
    <w:rsid w:val="002B64A0"/>
    <w:rsid w:val="002C75FA"/>
    <w:rsid w:val="002D3CFE"/>
    <w:rsid w:val="002E43AC"/>
    <w:rsid w:val="002F59A0"/>
    <w:rsid w:val="002F62EC"/>
    <w:rsid w:val="003017CB"/>
    <w:rsid w:val="00311D90"/>
    <w:rsid w:val="003149BC"/>
    <w:rsid w:val="00320CAF"/>
    <w:rsid w:val="00337450"/>
    <w:rsid w:val="00337D1F"/>
    <w:rsid w:val="00347F01"/>
    <w:rsid w:val="003673EC"/>
    <w:rsid w:val="00376525"/>
    <w:rsid w:val="0039753C"/>
    <w:rsid w:val="003B15A8"/>
    <w:rsid w:val="003C3E7A"/>
    <w:rsid w:val="003E44AD"/>
    <w:rsid w:val="00443282"/>
    <w:rsid w:val="004559FF"/>
    <w:rsid w:val="00462DA2"/>
    <w:rsid w:val="00466C10"/>
    <w:rsid w:val="00472CF2"/>
    <w:rsid w:val="00482D43"/>
    <w:rsid w:val="00486FC9"/>
    <w:rsid w:val="004C70C8"/>
    <w:rsid w:val="004E3C19"/>
    <w:rsid w:val="004F158B"/>
    <w:rsid w:val="004F5455"/>
    <w:rsid w:val="00502DD5"/>
    <w:rsid w:val="00510FCF"/>
    <w:rsid w:val="0054746C"/>
    <w:rsid w:val="00567282"/>
    <w:rsid w:val="0058544A"/>
    <w:rsid w:val="005A2F24"/>
    <w:rsid w:val="005A6A4C"/>
    <w:rsid w:val="005B4DA4"/>
    <w:rsid w:val="005D58B8"/>
    <w:rsid w:val="005E1FA1"/>
    <w:rsid w:val="00606F0E"/>
    <w:rsid w:val="006128A5"/>
    <w:rsid w:val="0061661C"/>
    <w:rsid w:val="00626B1D"/>
    <w:rsid w:val="00637F43"/>
    <w:rsid w:val="006413DD"/>
    <w:rsid w:val="00644A1B"/>
    <w:rsid w:val="006465E7"/>
    <w:rsid w:val="006536D8"/>
    <w:rsid w:val="00653732"/>
    <w:rsid w:val="00654BA4"/>
    <w:rsid w:val="00674612"/>
    <w:rsid w:val="006765C9"/>
    <w:rsid w:val="00681A35"/>
    <w:rsid w:val="006825C4"/>
    <w:rsid w:val="00686E77"/>
    <w:rsid w:val="006913B7"/>
    <w:rsid w:val="006963BC"/>
    <w:rsid w:val="006A1CFC"/>
    <w:rsid w:val="006A4EF4"/>
    <w:rsid w:val="006B744D"/>
    <w:rsid w:val="006D722D"/>
    <w:rsid w:val="006E7CBB"/>
    <w:rsid w:val="006F5BF3"/>
    <w:rsid w:val="00710EEE"/>
    <w:rsid w:val="00742841"/>
    <w:rsid w:val="00746ED0"/>
    <w:rsid w:val="0075009F"/>
    <w:rsid w:val="00750DF5"/>
    <w:rsid w:val="00753DD8"/>
    <w:rsid w:val="00763112"/>
    <w:rsid w:val="0079457F"/>
    <w:rsid w:val="007F00CB"/>
    <w:rsid w:val="008017C6"/>
    <w:rsid w:val="00803CA2"/>
    <w:rsid w:val="00806D6F"/>
    <w:rsid w:val="00807CAC"/>
    <w:rsid w:val="00810D18"/>
    <w:rsid w:val="008115BF"/>
    <w:rsid w:val="00824D81"/>
    <w:rsid w:val="00832D44"/>
    <w:rsid w:val="00853ABC"/>
    <w:rsid w:val="00860A08"/>
    <w:rsid w:val="00863B31"/>
    <w:rsid w:val="00871331"/>
    <w:rsid w:val="00871393"/>
    <w:rsid w:val="008764F8"/>
    <w:rsid w:val="00881405"/>
    <w:rsid w:val="0089069F"/>
    <w:rsid w:val="00893562"/>
    <w:rsid w:val="00895D18"/>
    <w:rsid w:val="00895DA2"/>
    <w:rsid w:val="00897359"/>
    <w:rsid w:val="008D25B7"/>
    <w:rsid w:val="008D4891"/>
    <w:rsid w:val="008D5479"/>
    <w:rsid w:val="008E0DF5"/>
    <w:rsid w:val="008E3273"/>
    <w:rsid w:val="009171DB"/>
    <w:rsid w:val="00926472"/>
    <w:rsid w:val="00940C0F"/>
    <w:rsid w:val="00944522"/>
    <w:rsid w:val="009744C8"/>
    <w:rsid w:val="00981886"/>
    <w:rsid w:val="00990FEC"/>
    <w:rsid w:val="009A1B08"/>
    <w:rsid w:val="009B525A"/>
    <w:rsid w:val="009C4A13"/>
    <w:rsid w:val="009D06AD"/>
    <w:rsid w:val="009D3BAE"/>
    <w:rsid w:val="009D7120"/>
    <w:rsid w:val="009E1C9D"/>
    <w:rsid w:val="009F223A"/>
    <w:rsid w:val="009F7DE3"/>
    <w:rsid w:val="00A1074A"/>
    <w:rsid w:val="00A139D3"/>
    <w:rsid w:val="00A2604E"/>
    <w:rsid w:val="00A52CA7"/>
    <w:rsid w:val="00A569FC"/>
    <w:rsid w:val="00A636D8"/>
    <w:rsid w:val="00A664DF"/>
    <w:rsid w:val="00A713D0"/>
    <w:rsid w:val="00A732AF"/>
    <w:rsid w:val="00A82A29"/>
    <w:rsid w:val="00A93FC7"/>
    <w:rsid w:val="00AA516A"/>
    <w:rsid w:val="00AA5B0E"/>
    <w:rsid w:val="00AB005C"/>
    <w:rsid w:val="00AB39B3"/>
    <w:rsid w:val="00AB7949"/>
    <w:rsid w:val="00AC750B"/>
    <w:rsid w:val="00AD4ED6"/>
    <w:rsid w:val="00AD5AE8"/>
    <w:rsid w:val="00AE1F12"/>
    <w:rsid w:val="00AE4155"/>
    <w:rsid w:val="00AE4B7C"/>
    <w:rsid w:val="00AF349B"/>
    <w:rsid w:val="00B01B16"/>
    <w:rsid w:val="00B03A0C"/>
    <w:rsid w:val="00B273D5"/>
    <w:rsid w:val="00B447D7"/>
    <w:rsid w:val="00B45609"/>
    <w:rsid w:val="00B4757E"/>
    <w:rsid w:val="00B54A51"/>
    <w:rsid w:val="00B71C58"/>
    <w:rsid w:val="00B76A1F"/>
    <w:rsid w:val="00B77A79"/>
    <w:rsid w:val="00B82F8C"/>
    <w:rsid w:val="00B958F1"/>
    <w:rsid w:val="00BB41AE"/>
    <w:rsid w:val="00BB7D98"/>
    <w:rsid w:val="00BC703F"/>
    <w:rsid w:val="00BD033D"/>
    <w:rsid w:val="00BD74AE"/>
    <w:rsid w:val="00BE3FE7"/>
    <w:rsid w:val="00BF2D74"/>
    <w:rsid w:val="00BF4CC8"/>
    <w:rsid w:val="00C1124F"/>
    <w:rsid w:val="00C32C13"/>
    <w:rsid w:val="00C37BFF"/>
    <w:rsid w:val="00C51458"/>
    <w:rsid w:val="00C53580"/>
    <w:rsid w:val="00C53D6C"/>
    <w:rsid w:val="00C55838"/>
    <w:rsid w:val="00C77EF7"/>
    <w:rsid w:val="00C820F1"/>
    <w:rsid w:val="00C91512"/>
    <w:rsid w:val="00C96F3E"/>
    <w:rsid w:val="00CA6636"/>
    <w:rsid w:val="00CA6D76"/>
    <w:rsid w:val="00CB1528"/>
    <w:rsid w:val="00CB5083"/>
    <w:rsid w:val="00CD672B"/>
    <w:rsid w:val="00CE21CB"/>
    <w:rsid w:val="00CF4753"/>
    <w:rsid w:val="00D0083B"/>
    <w:rsid w:val="00D027FE"/>
    <w:rsid w:val="00D36594"/>
    <w:rsid w:val="00D44183"/>
    <w:rsid w:val="00D443C7"/>
    <w:rsid w:val="00D56686"/>
    <w:rsid w:val="00D60205"/>
    <w:rsid w:val="00D66D9F"/>
    <w:rsid w:val="00D745B1"/>
    <w:rsid w:val="00DA19FA"/>
    <w:rsid w:val="00DA3222"/>
    <w:rsid w:val="00DA529F"/>
    <w:rsid w:val="00DA68DB"/>
    <w:rsid w:val="00DC5017"/>
    <w:rsid w:val="00DD7F1B"/>
    <w:rsid w:val="00E0023A"/>
    <w:rsid w:val="00E11C4A"/>
    <w:rsid w:val="00E41DB9"/>
    <w:rsid w:val="00E762BB"/>
    <w:rsid w:val="00E8661B"/>
    <w:rsid w:val="00EA689F"/>
    <w:rsid w:val="00EA6D4B"/>
    <w:rsid w:val="00EE205C"/>
    <w:rsid w:val="00EF33BE"/>
    <w:rsid w:val="00F04768"/>
    <w:rsid w:val="00F077B1"/>
    <w:rsid w:val="00F17B94"/>
    <w:rsid w:val="00F309CB"/>
    <w:rsid w:val="00F405C0"/>
    <w:rsid w:val="00F44A0E"/>
    <w:rsid w:val="00F53B91"/>
    <w:rsid w:val="00F54980"/>
    <w:rsid w:val="00F55F57"/>
    <w:rsid w:val="00FB3EF0"/>
    <w:rsid w:val="00FC3F00"/>
    <w:rsid w:val="00FF1D71"/>
    <w:rsid w:val="00FF1E3D"/>
    <w:rsid w:val="00FF2321"/>
    <w:rsid w:val="00FF27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martTagType w:namespaceuri="urn:schemas-microsoft-com:office:smarttags" w:name="place"/>
  <w:smartTagType w:namespaceuri="urn:schemas-microsoft-com:office:smarttags" w:name="country-region"/>
  <w:shapeDefaults>
    <o:shapedefaults v:ext="edit" spidmax="16385"/>
    <o:shapelayout v:ext="edit">
      <o:idmap v:ext="edit" data="1"/>
    </o:shapelayout>
  </w:shapeDefaults>
  <w:decimalSymbol w:val="."/>
  <w:listSeparator w:val=","/>
  <w14:docId w14:val="75390EE5"/>
  <w15:docId w15:val="{DDF30676-75BB-499E-BA2C-1CA73FF7E2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iPriority="0"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01B16"/>
    <w:pPr>
      <w:spacing w:after="0" w:line="240" w:lineRule="auto"/>
    </w:pPr>
    <w:rPr>
      <w:rFonts w:ascii="Times New Roman" w:eastAsia="Times New Roman" w:hAnsi="Times New Roman" w:cs="Times New Roman"/>
      <w:sz w:val="26"/>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aliases w:val="o,fr,Style 13,Style 12,Style 15,Style 17,Style 9,o1,fr1,o2,fr2,o3,fr3,Style 18,(NECG) Footnote Reference,Style 20,Style 7,Styl,Style 8,Style 19,Style 28,Style 11,Style 16,Footnote Reference (EIS),fnr,Footnote reference (EA),Style 30"/>
    <w:rsid w:val="00B01B16"/>
    <w:rPr>
      <w:rFonts w:ascii="Times New Roman" w:hAnsi="Times New Roman"/>
      <w:b/>
      <w:sz w:val="26"/>
      <w:szCs w:val="26"/>
      <w:vertAlign w:val="superscript"/>
    </w:rPr>
  </w:style>
  <w:style w:type="paragraph" w:styleId="FootnoteText">
    <w:name w:val="footnote text"/>
    <w:aliases w:val="fn,Footnote Text Char1,Footnote Text Char Char,Footnote Text Char1 Char,Footnote Text Char Char Char,Footnote Text MRP,Footnote Text Char1 Char Char,Footnote Text Char1 Char1,Footnote Text Char3,Footnote Text Char2 Char,fn1,fn3,fn4,ft Char"/>
    <w:basedOn w:val="Normal"/>
    <w:link w:val="FootnoteTextChar"/>
    <w:rsid w:val="00B01B16"/>
    <w:rPr>
      <w:sz w:val="22"/>
      <w:szCs w:val="20"/>
    </w:rPr>
  </w:style>
  <w:style w:type="character" w:customStyle="1" w:styleId="FootnoteTextChar">
    <w:name w:val="Footnote Text Char"/>
    <w:aliases w:val="fn Char,Footnote Text Char1 Char2,Footnote Text Char Char Char1,Footnote Text Char1 Char Char1,Footnote Text Char Char Char Char,Footnote Text MRP Char,Footnote Text Char1 Char Char Char,Footnote Text Char1 Char1 Char,fn1 Char"/>
    <w:basedOn w:val="DefaultParagraphFont"/>
    <w:link w:val="FootnoteText"/>
    <w:rsid w:val="00B01B16"/>
    <w:rPr>
      <w:rFonts w:ascii="Times New Roman" w:eastAsia="Times New Roman" w:hAnsi="Times New Roman" w:cs="Times New Roman"/>
      <w:szCs w:val="20"/>
    </w:rPr>
  </w:style>
  <w:style w:type="character" w:styleId="Hyperlink">
    <w:name w:val="Hyperlink"/>
    <w:rsid w:val="00B01B16"/>
    <w:rPr>
      <w:color w:val="0000FF"/>
      <w:u w:val="single"/>
    </w:rPr>
  </w:style>
  <w:style w:type="paragraph" w:styleId="ListContinue">
    <w:name w:val="List Continue"/>
    <w:basedOn w:val="Normal"/>
    <w:unhideWhenUsed/>
    <w:rsid w:val="00B01B16"/>
    <w:pPr>
      <w:numPr>
        <w:numId w:val="1"/>
      </w:numPr>
      <w:spacing w:after="120" w:line="480" w:lineRule="auto"/>
    </w:pPr>
  </w:style>
  <w:style w:type="paragraph" w:customStyle="1" w:styleId="LegalFormat">
    <w:name w:val="Legal Format"/>
    <w:basedOn w:val="ListContinue"/>
    <w:rsid w:val="00B01B16"/>
    <w:pPr>
      <w:spacing w:after="0"/>
      <w:ind w:left="0"/>
    </w:pPr>
    <w:rPr>
      <w:u w:val="single"/>
    </w:rPr>
  </w:style>
  <w:style w:type="character" w:styleId="CommentReference">
    <w:name w:val="annotation reference"/>
    <w:basedOn w:val="DefaultParagraphFont"/>
    <w:uiPriority w:val="99"/>
    <w:semiHidden/>
    <w:unhideWhenUsed/>
    <w:rsid w:val="00B01B16"/>
    <w:rPr>
      <w:sz w:val="16"/>
      <w:szCs w:val="16"/>
    </w:rPr>
  </w:style>
  <w:style w:type="paragraph" w:styleId="CommentText">
    <w:name w:val="annotation text"/>
    <w:basedOn w:val="Normal"/>
    <w:link w:val="CommentTextChar"/>
    <w:uiPriority w:val="99"/>
    <w:semiHidden/>
    <w:unhideWhenUsed/>
    <w:rsid w:val="00B01B16"/>
    <w:rPr>
      <w:sz w:val="20"/>
      <w:szCs w:val="20"/>
    </w:rPr>
  </w:style>
  <w:style w:type="character" w:customStyle="1" w:styleId="CommentTextChar">
    <w:name w:val="Comment Text Char"/>
    <w:basedOn w:val="DefaultParagraphFont"/>
    <w:link w:val="CommentText"/>
    <w:uiPriority w:val="99"/>
    <w:semiHidden/>
    <w:rsid w:val="00B01B16"/>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B01B16"/>
    <w:rPr>
      <w:b/>
      <w:bCs/>
    </w:rPr>
  </w:style>
  <w:style w:type="character" w:customStyle="1" w:styleId="CommentSubjectChar">
    <w:name w:val="Comment Subject Char"/>
    <w:basedOn w:val="CommentTextChar"/>
    <w:link w:val="CommentSubject"/>
    <w:uiPriority w:val="99"/>
    <w:semiHidden/>
    <w:rsid w:val="00B01B16"/>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B01B1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01B16"/>
    <w:rPr>
      <w:rFonts w:ascii="Segoe UI" w:eastAsia="Times New Roman" w:hAnsi="Segoe UI" w:cs="Segoe UI"/>
      <w:sz w:val="18"/>
      <w:szCs w:val="18"/>
    </w:rPr>
  </w:style>
  <w:style w:type="paragraph" w:styleId="Revision">
    <w:name w:val="Revision"/>
    <w:hidden/>
    <w:uiPriority w:val="99"/>
    <w:semiHidden/>
    <w:rsid w:val="0054746C"/>
    <w:pPr>
      <w:spacing w:after="0" w:line="240" w:lineRule="auto"/>
    </w:pPr>
    <w:rPr>
      <w:rFonts w:ascii="Times New Roman" w:eastAsia="Times New Roman" w:hAnsi="Times New Roman" w:cs="Times New Roman"/>
      <w:sz w:val="26"/>
      <w:szCs w:val="24"/>
    </w:rPr>
  </w:style>
  <w:style w:type="paragraph" w:styleId="Header">
    <w:name w:val="header"/>
    <w:basedOn w:val="Normal"/>
    <w:link w:val="HeaderChar"/>
    <w:uiPriority w:val="99"/>
    <w:unhideWhenUsed/>
    <w:rsid w:val="00BF2D74"/>
    <w:pPr>
      <w:tabs>
        <w:tab w:val="center" w:pos="4680"/>
        <w:tab w:val="right" w:pos="9360"/>
      </w:tabs>
    </w:pPr>
  </w:style>
  <w:style w:type="character" w:customStyle="1" w:styleId="HeaderChar">
    <w:name w:val="Header Char"/>
    <w:basedOn w:val="DefaultParagraphFont"/>
    <w:link w:val="Header"/>
    <w:uiPriority w:val="99"/>
    <w:rsid w:val="00BF2D74"/>
    <w:rPr>
      <w:rFonts w:ascii="Times New Roman" w:eastAsia="Times New Roman" w:hAnsi="Times New Roman" w:cs="Times New Roman"/>
      <w:sz w:val="26"/>
      <w:szCs w:val="24"/>
    </w:rPr>
  </w:style>
  <w:style w:type="paragraph" w:styleId="Footer">
    <w:name w:val="footer"/>
    <w:basedOn w:val="Normal"/>
    <w:link w:val="FooterChar"/>
    <w:uiPriority w:val="99"/>
    <w:unhideWhenUsed/>
    <w:rsid w:val="00BF2D74"/>
    <w:pPr>
      <w:tabs>
        <w:tab w:val="center" w:pos="4680"/>
        <w:tab w:val="right" w:pos="9360"/>
      </w:tabs>
    </w:pPr>
  </w:style>
  <w:style w:type="character" w:customStyle="1" w:styleId="FooterChar">
    <w:name w:val="Footer Char"/>
    <w:basedOn w:val="DefaultParagraphFont"/>
    <w:link w:val="Footer"/>
    <w:uiPriority w:val="99"/>
    <w:rsid w:val="00BF2D74"/>
    <w:rPr>
      <w:rFonts w:ascii="Times New Roman" w:eastAsia="Times New Roman" w:hAnsi="Times New Roman" w:cs="Times New Roman"/>
      <w:sz w:val="26"/>
      <w:szCs w:val="24"/>
    </w:rPr>
  </w:style>
  <w:style w:type="paragraph" w:styleId="NormalWeb">
    <w:name w:val="Normal (Web)"/>
    <w:basedOn w:val="Normal"/>
    <w:uiPriority w:val="99"/>
    <w:unhideWhenUsed/>
    <w:rsid w:val="00AE4155"/>
    <w:rPr>
      <w:rFonts w:eastAsiaTheme="minorHAnsi"/>
      <w:sz w:val="24"/>
    </w:rPr>
  </w:style>
  <w:style w:type="paragraph" w:styleId="ListParagraph">
    <w:name w:val="List Paragraph"/>
    <w:basedOn w:val="Normal"/>
    <w:uiPriority w:val="34"/>
    <w:qFormat/>
    <w:rsid w:val="00166E2F"/>
    <w:pPr>
      <w:spacing w:after="200" w:line="276" w:lineRule="auto"/>
      <w:ind w:left="720"/>
      <w:contextualSpacing/>
    </w:pPr>
    <w:rPr>
      <w:rFonts w:ascii="Calibri" w:hAnsi="Calibri"/>
      <w:sz w:val="22"/>
      <w:szCs w:val="22"/>
    </w:rPr>
  </w:style>
  <w:style w:type="character" w:styleId="UnresolvedMention">
    <w:name w:val="Unresolved Mention"/>
    <w:basedOn w:val="DefaultParagraphFont"/>
    <w:uiPriority w:val="99"/>
    <w:semiHidden/>
    <w:unhideWhenUsed/>
    <w:rsid w:val="00686E7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1165813">
      <w:bodyDiv w:val="1"/>
      <w:marLeft w:val="0"/>
      <w:marRight w:val="0"/>
      <w:marTop w:val="0"/>
      <w:marBottom w:val="0"/>
      <w:divBdr>
        <w:top w:val="none" w:sz="0" w:space="0" w:color="auto"/>
        <w:left w:val="none" w:sz="0" w:space="0" w:color="auto"/>
        <w:bottom w:val="none" w:sz="0" w:space="0" w:color="auto"/>
        <w:right w:val="none" w:sz="0" w:space="0" w:color="auto"/>
      </w:divBdr>
    </w:div>
    <w:div w:id="399408519">
      <w:bodyDiv w:val="1"/>
      <w:marLeft w:val="0"/>
      <w:marRight w:val="0"/>
      <w:marTop w:val="0"/>
      <w:marBottom w:val="0"/>
      <w:divBdr>
        <w:top w:val="none" w:sz="0" w:space="0" w:color="auto"/>
        <w:left w:val="none" w:sz="0" w:space="0" w:color="auto"/>
        <w:bottom w:val="none" w:sz="0" w:space="0" w:color="auto"/>
        <w:right w:val="none" w:sz="0" w:space="0" w:color="auto"/>
      </w:divBdr>
    </w:div>
    <w:div w:id="703942100">
      <w:bodyDiv w:val="1"/>
      <w:marLeft w:val="0"/>
      <w:marRight w:val="0"/>
      <w:marTop w:val="0"/>
      <w:marBottom w:val="0"/>
      <w:divBdr>
        <w:top w:val="none" w:sz="0" w:space="0" w:color="auto"/>
        <w:left w:val="none" w:sz="0" w:space="0" w:color="auto"/>
        <w:bottom w:val="none" w:sz="0" w:space="0" w:color="auto"/>
        <w:right w:val="none" w:sz="0" w:space="0" w:color="auto"/>
      </w:divBdr>
    </w:div>
    <w:div w:id="17363905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www.ferc.gov"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mailto:DataClearance@FERC.gov"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yperlink" Target="https://www.ferc.gov/ferc-online/overview" TargetMode="External"/><Relationship Id="rId10" Type="http://schemas.openxmlformats.org/officeDocument/2006/relationships/webSettings" Target="webSetting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www.ferc.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Renewal_x0020_Document_x0020_Type xmlns="d6eefc7d-9817-4fa6-84d5-3bc009be21b8">60-Day Notice</Renewal_x0020_Document_x0020_Type>
    <Rulemaking_x0020_Document_x0020_Type xmlns="d6eefc7d-9817-4fa6-84d5-3bc009be21b8">None</Rulemaking_x0020_Document_x0020_Type>
    <_x0033__x002e__x0020_Docket_x0020_Number xmlns="d6eefc7d-9817-4fa6-84d5-3bc009be21b8" xsi:nil="true"/>
    <_x0031__x002e__x0020_Collection_x0020_Number xmlns="d6eefc7d-9817-4fa6-84d5-3bc009be21b8">912</_x0031__x002e__x0020_Collection_x0020_Number>
    <Date xmlns="d6eefc7d-9817-4fa6-84d5-3bc009be21b8">2022-03-15T04:00:00+00:00</Date>
    <Status xmlns="d6eefc7d-9817-4fa6-84d5-3bc009be21b8">Final</Status>
    <_x0032__x002e__x0020_Docket_x0020_Number xmlns="d6eefc7d-9817-4fa6-84d5-3bc009be21b8" xsi:nil="true"/>
    <_x0032__x002e__x0020_Collection_x0020_Number xmlns="d6eefc7d-9817-4fa6-84d5-3bc009be21b8" xsi:nil="true"/>
    <_x0031__x002e__x0020_Docket_x0020_Number xmlns="d6eefc7d-9817-4fa6-84d5-3bc009be21b8">IC22-9</_x0031__x002e__x0020_Docket_x0020_Number>
    <_x0033__x002e__x0020_Collection_x0020_Number xmlns="d6eefc7d-9817-4fa6-84d5-3bc009be21b8" xsi:nil="true"/>
  </documentManagement>
</p:properties>
</file>

<file path=customXml/item2.xml><?xml version="1.0" encoding="utf-8"?>
<?mso-contentType ?>
<SharedContentType xmlns="Microsoft.SharePoint.Taxonomy.ContentTypeSync" SourceId="74a4cd09-5f17-433b-814a-38e7e9115d16" ContentTypeId="0x0101" PreviousValue="false"/>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1EA51C0686BDB848B772F285AB6866B0" ma:contentTypeVersion="23" ma:contentTypeDescription="Create a new document." ma:contentTypeScope="" ma:versionID="37a1f2881e05d6d52c4fdc306c1506dc">
  <xsd:schema xmlns:xsd="http://www.w3.org/2001/XMLSchema" xmlns:xs="http://www.w3.org/2001/XMLSchema" xmlns:p="http://schemas.microsoft.com/office/2006/metadata/properties" xmlns:ns2="d6eefc7d-9817-4fa6-84d5-3bc009be21b8" targetNamespace="http://schemas.microsoft.com/office/2006/metadata/properties" ma:root="true" ma:fieldsID="487bcef7b4870127189a8c6c6c8eaef8" ns2:_="">
    <xsd:import namespace="d6eefc7d-9817-4fa6-84d5-3bc009be21b8"/>
    <xsd:element name="properties">
      <xsd:complexType>
        <xsd:sequence>
          <xsd:element name="documentManagement">
            <xsd:complexType>
              <xsd:all>
                <xsd:element ref="ns2:_x0031__x002e__x0020_Collection_x0020_Number" minOccurs="0"/>
                <xsd:element ref="ns2:_x0032__x002e__x0020_Collection_x0020_Number" minOccurs="0"/>
                <xsd:element ref="ns2:_x0033__x002e__x0020_Collection_x0020_Number" minOccurs="0"/>
                <xsd:element ref="ns2:_x0031__x002e__x0020_Docket_x0020_Number" minOccurs="0"/>
                <xsd:element ref="ns2:_x0032__x002e__x0020_Docket_x0020_Number" minOccurs="0"/>
                <xsd:element ref="ns2:_x0033__x002e__x0020_Docket_x0020_Number" minOccurs="0"/>
                <xsd:element ref="ns2:Date" minOccurs="0"/>
                <xsd:element ref="ns2:Renewal_x0020_Document_x0020_Type" minOccurs="0"/>
                <xsd:element ref="ns2:Rulemaking_x0020_Document_x0020_Type" minOccurs="0"/>
                <xsd:element ref="ns2: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6eefc7d-9817-4fa6-84d5-3bc009be21b8" elementFormDefault="qualified">
    <xsd:import namespace="http://schemas.microsoft.com/office/2006/documentManagement/types"/>
    <xsd:import namespace="http://schemas.microsoft.com/office/infopath/2007/PartnerControls"/>
    <xsd:element name="_x0031__x002e__x0020_Collection_x0020_Number" ma:index="8" nillable="true" ma:displayName="Collection 1" ma:internalName="_x0031__x002e__x0020_Collection_x0020_Number">
      <xsd:simpleType>
        <xsd:restriction base="dms:Text">
          <xsd:maxLength value="255"/>
        </xsd:restriction>
      </xsd:simpleType>
    </xsd:element>
    <xsd:element name="_x0032__x002e__x0020_Collection_x0020_Number" ma:index="9" nillable="true" ma:displayName="Collection 2" ma:internalName="_x0032__x002e__x0020_Collection_x0020_Number">
      <xsd:simpleType>
        <xsd:restriction base="dms:Text">
          <xsd:maxLength value="255"/>
        </xsd:restriction>
      </xsd:simpleType>
    </xsd:element>
    <xsd:element name="_x0033__x002e__x0020_Collection_x0020_Number" ma:index="10" nillable="true" ma:displayName="Collection 3" ma:internalName="_x0033__x002e__x0020_Collection_x0020_Number">
      <xsd:simpleType>
        <xsd:restriction base="dms:Text">
          <xsd:maxLength value="255"/>
        </xsd:restriction>
      </xsd:simpleType>
    </xsd:element>
    <xsd:element name="_x0031__x002e__x0020_Docket_x0020_Number" ma:index="11" nillable="true" ma:displayName="Docket 1" ma:internalName="_x0031__x002e__x0020_Docket_x0020_Number">
      <xsd:simpleType>
        <xsd:restriction base="dms:Text">
          <xsd:maxLength value="255"/>
        </xsd:restriction>
      </xsd:simpleType>
    </xsd:element>
    <xsd:element name="_x0032__x002e__x0020_Docket_x0020_Number" ma:index="12" nillable="true" ma:displayName="Docket 2" ma:internalName="_x0032__x002e__x0020_Docket_x0020_Number">
      <xsd:simpleType>
        <xsd:restriction base="dms:Text">
          <xsd:maxLength value="255"/>
        </xsd:restriction>
      </xsd:simpleType>
    </xsd:element>
    <xsd:element name="_x0033__x002e__x0020_Docket_x0020_Number" ma:index="13" nillable="true" ma:displayName="Docket 3" ma:internalName="_x0033__x002e__x0020_Docket_x0020_Number">
      <xsd:simpleType>
        <xsd:restriction base="dms:Text">
          <xsd:maxLength value="255"/>
        </xsd:restriction>
      </xsd:simpleType>
    </xsd:element>
    <xsd:element name="Date" ma:index="14" nillable="true" ma:displayName="Date" ma:format="DateOnly" ma:internalName="Date">
      <xsd:simpleType>
        <xsd:restriction base="dms:DateTime"/>
      </xsd:simpleType>
    </xsd:element>
    <xsd:element name="Renewal_x0020_Document_x0020_Type" ma:index="15" nillable="true" ma:displayName="Renewal Document Type" ma:default="None" ma:format="Dropdown" ma:internalName="Renewal_x0020_Document_x0020_Type">
      <xsd:simpleType>
        <xsd:restriction base="dms:Choice">
          <xsd:enumeration value="None"/>
          <xsd:enumeration value="60-Day Notice"/>
          <xsd:enumeration value="30-Day Notice"/>
          <xsd:enumeration value="OMB Supporting Statement"/>
          <xsd:enumeration value="Supporting Information"/>
          <xsd:enumeration value="Correspondence"/>
          <xsd:enumeration value="Comments"/>
          <xsd:enumeration value="OMB NOA"/>
          <xsd:enumeration value="Errata"/>
          <xsd:enumeration value="Data Instrument"/>
          <xsd:enumeration value="Other"/>
        </xsd:restriction>
      </xsd:simpleType>
    </xsd:element>
    <xsd:element name="Rulemaking_x0020_Document_x0020_Type" ma:index="16" nillable="true" ma:displayName="Rulemaking Document Type" ma:default="None" ma:format="Dropdown" ma:internalName="Rulemaking_x0020_Document_x0020_Type">
      <xsd:simpleType>
        <xsd:restriction base="dms:Choice">
          <xsd:enumeration value="None"/>
          <xsd:enumeration value="Proposed Rule"/>
          <xsd:enumeration value="Final Rule"/>
          <xsd:enumeration value="NOI, Policy Statements, and Rehearing"/>
          <xsd:enumeration value="OMB Supporting Statement"/>
          <xsd:enumeration value="Supporting Information"/>
          <xsd:enumeration value="Correspondence"/>
          <xsd:enumeration value="CRA OMB Letter"/>
          <xsd:enumeration value="CRA SBA Letter"/>
          <xsd:enumeration value="CRA Form"/>
          <xsd:enumeration value="CRA Fact Sheet"/>
          <xsd:enumeration value="OMB NOA"/>
          <xsd:enumeration value="Status and Regulations"/>
          <xsd:enumeration value="Comments"/>
          <xsd:enumeration value="Data Instrument"/>
          <xsd:enumeration value="Other"/>
        </xsd:restriction>
      </xsd:simpleType>
    </xsd:element>
    <xsd:element name="Status" ma:index="17" nillable="true" ma:displayName="Status" ma:default="None" ma:format="Dropdown" ma:internalName="Status">
      <xsd:simpleType>
        <xsd:restriction base="dms:Choice">
          <xsd:enumeration value="None"/>
          <xsd:enumeration value="Draft"/>
          <xsd:enumeration value="Final"/>
          <xsd:enumeration value="Issued"/>
          <xsd:enumeration value="Published"/>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customXsn xmlns="http://schemas.microsoft.com/office/2006/metadata/customXsn">
  <xsnLocation>http://share3.ferc.gov/sites/ProgramOffices/OED/CIO/Information Collection/Forms/Document/22bba65aa4d8dbfccustomXsn.xsn</xsnLocation>
  <cached>True</cached>
  <openByDefault>True</openByDefault>
  <xsnScope>http://share3.ferc.gov/sites/ProgramOffices/OED/CIO/Information Collection</xsnScope>
</customXsn>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BBB1DD4-8130-4FE7-964C-24C804F058DC}">
  <ds:schemaRefs>
    <ds:schemaRef ds:uri="http://schemas.microsoft.com/office/infopath/2007/PartnerControls"/>
    <ds:schemaRef ds:uri="http://purl.org/dc/elements/1.1/"/>
    <ds:schemaRef ds:uri="http://schemas.microsoft.com/office/2006/metadata/properties"/>
    <ds:schemaRef ds:uri="d6eefc7d-9817-4fa6-84d5-3bc009be21b8"/>
    <ds:schemaRef ds:uri="http://schemas.microsoft.com/office/2006/documentManagement/types"/>
    <ds:schemaRef ds:uri="http://purl.org/dc/terms/"/>
    <ds:schemaRef ds:uri="http://schemas.openxmlformats.org/package/2006/metadata/core-properties"/>
    <ds:schemaRef ds:uri="http://purl.org/dc/dcmitype/"/>
    <ds:schemaRef ds:uri="http://www.w3.org/XML/1998/namespace"/>
  </ds:schemaRefs>
</ds:datastoreItem>
</file>

<file path=customXml/itemProps2.xml><?xml version="1.0" encoding="utf-8"?>
<ds:datastoreItem xmlns:ds="http://schemas.openxmlformats.org/officeDocument/2006/customXml" ds:itemID="{B6368FA6-7061-4E38-96FD-1DCEE29BCF40}">
  <ds:schemaRefs>
    <ds:schemaRef ds:uri="Microsoft.SharePoint.Taxonomy.ContentTypeSync"/>
  </ds:schemaRefs>
</ds:datastoreItem>
</file>

<file path=customXml/itemProps3.xml><?xml version="1.0" encoding="utf-8"?>
<ds:datastoreItem xmlns:ds="http://schemas.openxmlformats.org/officeDocument/2006/customXml" ds:itemID="{374B2BA4-42E3-4037-8954-0F628E67BE67}">
  <ds:schemaRefs>
    <ds:schemaRef ds:uri="http://schemas.microsoft.com/sharepoint/v3/contenttype/forms"/>
  </ds:schemaRefs>
</ds:datastoreItem>
</file>

<file path=customXml/itemProps4.xml><?xml version="1.0" encoding="utf-8"?>
<ds:datastoreItem xmlns:ds="http://schemas.openxmlformats.org/officeDocument/2006/customXml" ds:itemID="{B342F068-A8EC-4CC1-9096-797579B440A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6eefc7d-9817-4fa6-84d5-3bc009be21b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EAF83F40-02E9-4D5E-AA0E-027C4C3648D3}">
  <ds:schemaRefs>
    <ds:schemaRef ds:uri="http://schemas.microsoft.com/office/2006/metadata/customXsn"/>
  </ds:schemaRefs>
</ds:datastoreItem>
</file>

<file path=customXml/itemProps6.xml><?xml version="1.0" encoding="utf-8"?>
<ds:datastoreItem xmlns:ds="http://schemas.openxmlformats.org/officeDocument/2006/customXml" ds:itemID="{8277BC11-242E-4081-BA5C-947978E8AD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858</Words>
  <Characters>4893</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5740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Ellen Brown</dc:creator>
  <cp:keywords/>
  <dc:description/>
  <cp:lastModifiedBy>Christopher Kozler</cp:lastModifiedBy>
  <cp:revision>2</cp:revision>
  <cp:lastPrinted>2018-03-29T18:10:00Z</cp:lastPrinted>
  <dcterms:created xsi:type="dcterms:W3CDTF">2022-03-22T19:16:00Z</dcterms:created>
  <dcterms:modified xsi:type="dcterms:W3CDTF">2022-03-22T19:16:00Z</dcterms:modified>
  <cp:category/>
  <dc:identifier/>
  <cp:contentStatus/>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0x0101001EA51C0686BDB848B772F285AB6866B0</vt:lpwstr>
  </property>
  <property fmtid="{D5CDD505-2E9C-101B-9397-08002B2CF9AE}" pid="3" name="MSIP_Label_6155a89b-0f08-4a93-8ea2-8a916d6643b5_Enabled">
    <vt:lpwstr>true</vt:lpwstr>
  </property>
  <property fmtid="{D5CDD505-2E9C-101B-9397-08002B2CF9AE}" pid="4" name="MSIP_Label_6155a89b-0f08-4a93-8ea2-8a916d6643b5_SetDate">
    <vt:lpwstr>2022-01-31T12:54:27Z</vt:lpwstr>
  </property>
  <property fmtid="{D5CDD505-2E9C-101B-9397-08002B2CF9AE}" pid="5" name="MSIP_Label_6155a89b-0f08-4a93-8ea2-8a916d6643b5_Method">
    <vt:lpwstr>Privileged</vt:lpwstr>
  </property>
  <property fmtid="{D5CDD505-2E9C-101B-9397-08002B2CF9AE}" pid="6" name="MSIP_Label_6155a89b-0f08-4a93-8ea2-8a916d6643b5_Name">
    <vt:lpwstr>6155a89b-0f08-4a93-8ea2-8a916d6643b5</vt:lpwstr>
  </property>
  <property fmtid="{D5CDD505-2E9C-101B-9397-08002B2CF9AE}" pid="7" name="MSIP_Label_6155a89b-0f08-4a93-8ea2-8a916d6643b5_SiteId">
    <vt:lpwstr>19caa9e9-04ff-43fa-885f-d77fac387903</vt:lpwstr>
  </property>
  <property fmtid="{D5CDD505-2E9C-101B-9397-08002B2CF9AE}" pid="8" name="MSIP_Label_6155a89b-0f08-4a93-8ea2-8a916d6643b5_ActionId">
    <vt:lpwstr>627baed2-2ba6-49d9-b631-527006017dc2</vt:lpwstr>
  </property>
  <property fmtid="{D5CDD505-2E9C-101B-9397-08002B2CF9AE}" pid="9" name="MSIP_Label_6155a89b-0f08-4a93-8ea2-8a916d6643b5_ContentBits">
    <vt:lpwstr>0</vt:lpwstr>
  </property>
</Properties>
</file>