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00962" w:rsidP="00B00962" w:rsidRDefault="00B00962" w14:paraId="3CE69103" w14:textId="0DEE7A40">
      <w:pPr>
        <w:spacing w:after="0" w:line="240" w:lineRule="auto"/>
        <w:rPr>
          <w:rFonts w:ascii="Arial" w:hAnsi="Arial" w:eastAsia="Times New Roman" w:cs="Arial"/>
          <w:color w:val="32434F"/>
        </w:rPr>
      </w:pPr>
      <w:r w:rsidRPr="00B00962">
        <w:rPr>
          <w:rFonts w:ascii="Arial" w:hAnsi="Arial" w:eastAsia="Times New Roman" w:cs="Arial"/>
          <w:b/>
          <w:bCs/>
          <w:color w:val="32434F"/>
        </w:rPr>
        <w:t>29 USC 791: Employment of individuals with disabilities</w:t>
      </w:r>
      <w:r w:rsidRPr="00B00962">
        <w:rPr>
          <w:rFonts w:ascii="Arial" w:hAnsi="Arial" w:eastAsia="Times New Roman" w:cs="Arial"/>
          <w:color w:val="32434F"/>
        </w:rPr>
        <w:t>Text contains those laws in effect on November 9, 2021</w:t>
      </w:r>
    </w:p>
    <w:p w:rsidRPr="00B00962" w:rsidR="00437CB5" w:rsidP="00B00962" w:rsidRDefault="00437CB5" w14:paraId="10D49948" w14:textId="77777777">
      <w:pPr>
        <w:spacing w:after="0" w:line="240" w:lineRule="auto"/>
        <w:rPr>
          <w:rFonts w:ascii="Arial" w:hAnsi="Arial" w:eastAsia="Times New Roman" w:cs="Arial"/>
          <w:color w:val="32434F"/>
        </w:rPr>
      </w:pPr>
    </w:p>
    <w:p w:rsidRPr="00B00962" w:rsidR="00B00962" w:rsidP="00B00962" w:rsidRDefault="00B00962" w14:paraId="7455FD00" w14:textId="77777777">
      <w:pPr>
        <w:spacing w:after="0" w:line="240" w:lineRule="auto"/>
        <w:rPr>
          <w:rFonts w:ascii="Arial" w:hAnsi="Arial" w:eastAsia="Times New Roman" w:cs="Arial"/>
          <w:color w:val="32434F"/>
        </w:rPr>
      </w:pPr>
      <w:r w:rsidRPr="00B00962">
        <w:rPr>
          <w:rFonts w:ascii="Arial" w:hAnsi="Arial" w:eastAsia="Times New Roman" w:cs="Arial"/>
          <w:b/>
          <w:bCs/>
          <w:color w:val="000000"/>
        </w:rPr>
        <w:t>From Title 29-LABOR</w:t>
      </w:r>
      <w:r w:rsidRPr="00B00962">
        <w:rPr>
          <w:rFonts w:ascii="Arial" w:hAnsi="Arial" w:eastAsia="Times New Roman" w:cs="Arial"/>
          <w:color w:val="000000"/>
        </w:rPr>
        <w:t>CHAPTER 16-VOCATIONAL REHABILITATION AND OTHER REHABILITATION SERVICESSUBCHAPTER V-RIGHTS AND ADVOCACY</w:t>
      </w:r>
    </w:p>
    <w:p w:rsidRPr="00B00962" w:rsidR="00B00962" w:rsidP="00B00962" w:rsidRDefault="00B00962" w14:paraId="6EB37455" w14:textId="77777777">
      <w:pPr>
        <w:spacing w:before="150" w:after="45" w:line="240" w:lineRule="auto"/>
        <w:ind w:hanging="480"/>
        <w:outlineLvl w:val="2"/>
        <w:rPr>
          <w:rFonts w:ascii="Arial" w:hAnsi="Arial" w:eastAsia="Times New Roman" w:cs="Arial"/>
          <w:b/>
          <w:bCs/>
          <w:color w:val="32434F"/>
          <w:sz w:val="27"/>
          <w:szCs w:val="27"/>
        </w:rPr>
      </w:pPr>
      <w:r w:rsidRPr="00B00962">
        <w:rPr>
          <w:rFonts w:ascii="Arial" w:hAnsi="Arial" w:eastAsia="Times New Roman" w:cs="Arial"/>
          <w:b/>
          <w:bCs/>
          <w:color w:val="32434F"/>
          <w:sz w:val="27"/>
          <w:szCs w:val="27"/>
        </w:rPr>
        <w:t>§791. Employment of individuals with disabilities</w:t>
      </w:r>
    </w:p>
    <w:p w:rsidRPr="00B00962" w:rsidR="00B00962" w:rsidP="00B00962" w:rsidRDefault="00B00962" w14:paraId="7582C56E"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a" w:id="0"/>
      <w:bookmarkEnd w:id="0"/>
      <w:r w:rsidRPr="00B00962">
        <w:rPr>
          <w:rFonts w:ascii="Arial" w:hAnsi="Arial" w:eastAsia="Times New Roman" w:cs="Arial"/>
          <w:b/>
          <w:bCs/>
          <w:color w:val="000000"/>
          <w:sz w:val="24"/>
          <w:szCs w:val="24"/>
        </w:rPr>
        <w:t>(a) Interagency Committee on Employees who are Individuals with Disabilities; establishment; membership; co-chairmen; availability of other Committee resources; purpose and functions</w:t>
      </w:r>
    </w:p>
    <w:p w:rsidRPr="00B00962" w:rsidR="00B00962" w:rsidP="00B00962" w:rsidRDefault="00B00962" w14:paraId="34DD042C"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There is established within the Federal Government an Interagency Committee on Employees who are Individuals with Disabilities (hereinafter in this section referred to as the "Committee"), comprised of such members as the President may select, including the following (or their designees whose positions are Executive Level IV or higher): the Chairman of the Equal Employment Opportunity Commission (hereafter in this section referred to as the "Commission"), the Director of the Office of Personnel Management, the Secretary of Veterans Affairs, the Secretary of Labor, the Secretary of Education, and the Secretary of Health and Human Services. Either the Director of the Office of Personnel Management and the Chairman of the Commission shall serve as co-chairpersons of the Committee or the Director or Chairman shall serve as the sole chairperson of the Committee, as the Director and Chairman jointly determine, from time to time, to be appropriate. The resources of the President's Disability Employment Partnership Board and the President's Committee for People with Intellectual Disabilities shall be made fully available to the Committee. It shall be the purpose and function of the Committee (1) to provide a focus for Federal and other employment of individuals with disabilities, and to review, on a periodic basis, in cooperation with the Commission, the adequacy of hiring, placement, and advancement practices with respect to individuals with disabilities, by each department, agency, and instrumentality in the executive branch of Government and the Smithsonian Institution, and to insure that the special needs of such individuals are being met; and (2) to consult with the Commission to assist the Commission to carry out its responsibilities under subsections (b), (c), and (d) of this section. On the basis of such review and consultation, the Committee shall periodically make to the Commission such recommendations for legislative and administrative changes as it deems necessary or desirable. The Commission shall timely transmit to the appropriate committees of Congress any such recommendations.</w:t>
      </w:r>
    </w:p>
    <w:p w:rsidRPr="00B00962" w:rsidR="00B00962" w:rsidP="00B00962" w:rsidRDefault="00B00962" w14:paraId="1DF5E587"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b" w:id="1"/>
      <w:bookmarkEnd w:id="1"/>
      <w:r w:rsidRPr="00B00962">
        <w:rPr>
          <w:rFonts w:ascii="Arial" w:hAnsi="Arial" w:eastAsia="Times New Roman" w:cs="Arial"/>
          <w:b/>
          <w:bCs/>
          <w:color w:val="000000"/>
          <w:sz w:val="24"/>
          <w:szCs w:val="24"/>
        </w:rPr>
        <w:t>(b) Federal agencies; affirmative action program plans</w:t>
      </w:r>
    </w:p>
    <w:p w:rsidRPr="00B00962" w:rsidR="00B00962" w:rsidP="00B00962" w:rsidRDefault="00B00962" w14:paraId="7D7321D7"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Each department, agency, and instrumentality (including the United States Postal Service and the Postal Regulatory Commission) in the executive branch and the Smithsonian Institution shall, within one hundred and eighty days after September 26, 1973, submit to the Commission and to the Committee an affirmative action program plan for the hiring, placement, and advancement of individuals with disabilities in such department, agency, instrumentality, or Institution. Such plan shall include a description of the extent to which and methods whereby the special needs of employees who are individuals with disabilities are being met. Such plan shall be updated annually, and shall be reviewed annually and approved by the Commission, if the Commission determines, after consultation with the Committee, that such plan provides sufficient assurances, procedures and commitments to provide adequate hiring, placement, and advancement opportunities for individuals with disabilities.</w:t>
      </w:r>
    </w:p>
    <w:p w:rsidRPr="00B00962" w:rsidR="00B00962" w:rsidP="00B00962" w:rsidRDefault="00B00962" w14:paraId="44E61EFB"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c" w:id="2"/>
      <w:bookmarkEnd w:id="2"/>
      <w:r w:rsidRPr="00B00962">
        <w:rPr>
          <w:rFonts w:ascii="Arial" w:hAnsi="Arial" w:eastAsia="Times New Roman" w:cs="Arial"/>
          <w:b/>
          <w:bCs/>
          <w:color w:val="000000"/>
          <w:sz w:val="24"/>
          <w:szCs w:val="24"/>
        </w:rPr>
        <w:t>(c) State agencies; rehabilitated individuals, employment</w:t>
      </w:r>
    </w:p>
    <w:p w:rsidRPr="00B00962" w:rsidR="00B00962" w:rsidP="00B00962" w:rsidRDefault="00B00962" w14:paraId="4B3F4FFC"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 xml:space="preserve">The Commission, after consultation with the Committee, shall develop and recommend to the Secretary for referral to the appropriate State agencies, policies and procedures which will </w:t>
      </w:r>
      <w:r w:rsidRPr="00B00962">
        <w:rPr>
          <w:rFonts w:ascii="Arial" w:hAnsi="Arial" w:eastAsia="Times New Roman" w:cs="Arial"/>
          <w:color w:val="000000"/>
        </w:rPr>
        <w:lastRenderedPageBreak/>
        <w:t>facilitate the hiring, placement, and advancement in employment of individuals who have received rehabilitation services under State vocational rehabilitation programs, veterans' programs, or any other program for individuals with disabilities, including the promotion of job opportunities for such individuals. The Secretary shall encourage such State agencies to adopt and implement such policies and procedures.</w:t>
      </w:r>
    </w:p>
    <w:p w:rsidRPr="00B00962" w:rsidR="00B00962" w:rsidP="00B00962" w:rsidRDefault="00B00962" w14:paraId="56EC575A"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d" w:id="3"/>
      <w:bookmarkEnd w:id="3"/>
      <w:r w:rsidRPr="00B00962">
        <w:rPr>
          <w:rFonts w:ascii="Arial" w:hAnsi="Arial" w:eastAsia="Times New Roman" w:cs="Arial"/>
          <w:b/>
          <w:bCs/>
          <w:color w:val="000000"/>
          <w:sz w:val="24"/>
          <w:szCs w:val="24"/>
        </w:rPr>
        <w:t>(d) Report to Congressional committees</w:t>
      </w:r>
    </w:p>
    <w:p w:rsidRPr="00B00962" w:rsidR="00B00962" w:rsidP="00B00962" w:rsidRDefault="00B00962" w14:paraId="43E00B9C"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The Commission, after consultation with the Committee, shall, on June 30, 1974, and at the end of each subsequent fiscal year, make a complete report to the appropriate committees of the Congress with respect to the practices of and achievements in hiring, placement, and advancement of individuals with disabilities by each department, agency, and instrumentality and the Smithsonian Institution and the effectiveness of the affirmative action programs required by subsection (b) of this section, together with recommendations as to legislation which have been submitted to the Commission under subsection (a) of this section, or other appropriate action to insure the adequacy of such practices. Such report shall also include an evaluation by the Committee of the effectiveness of the activities of the Commission under subsections (b) and (c) of this section.</w:t>
      </w:r>
    </w:p>
    <w:p w:rsidRPr="00B00962" w:rsidR="00B00962" w:rsidP="00B00962" w:rsidRDefault="00B00962" w14:paraId="052A3971"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e" w:id="4"/>
      <w:bookmarkEnd w:id="4"/>
      <w:r w:rsidRPr="00B00962">
        <w:rPr>
          <w:rFonts w:ascii="Arial" w:hAnsi="Arial" w:eastAsia="Times New Roman" w:cs="Arial"/>
          <w:b/>
          <w:bCs/>
          <w:color w:val="000000"/>
          <w:sz w:val="24"/>
          <w:szCs w:val="24"/>
        </w:rPr>
        <w:t>(e) Federal work experience without pay; non-Federal status</w:t>
      </w:r>
    </w:p>
    <w:p w:rsidRPr="00B00962" w:rsidR="00B00962" w:rsidP="00B00962" w:rsidRDefault="00B00962" w14:paraId="3FEA4864"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An individual who, as a part of an individualized plan for employment under a State plan approved under this chapter, participates in a program of unpaid work experience in a Federal agency, shall not, by reason thereof, be considered to be a Federal employee or to be subject to the provisions of law relating to Federal employment, including those relating to hours of work, rates of compensation, leave, unemployment compensation, and Federal employee benefits.</w:t>
      </w:r>
    </w:p>
    <w:p w:rsidRPr="00B00962" w:rsidR="00B00962" w:rsidP="00B00962" w:rsidRDefault="00B00962" w14:paraId="19E801D7" w14:textId="77777777">
      <w:pPr>
        <w:spacing w:before="105" w:after="45" w:line="240" w:lineRule="auto"/>
        <w:ind w:hanging="240"/>
        <w:outlineLvl w:val="3"/>
        <w:rPr>
          <w:rFonts w:ascii="Arial" w:hAnsi="Arial" w:eastAsia="Times New Roman" w:cs="Arial"/>
          <w:b/>
          <w:bCs/>
          <w:color w:val="000000"/>
          <w:sz w:val="24"/>
          <w:szCs w:val="24"/>
        </w:rPr>
      </w:pPr>
      <w:bookmarkStart w:name="substructure-location_f" w:id="5"/>
      <w:bookmarkEnd w:id="5"/>
      <w:r w:rsidRPr="00B00962">
        <w:rPr>
          <w:rFonts w:ascii="Arial" w:hAnsi="Arial" w:eastAsia="Times New Roman" w:cs="Arial"/>
          <w:b/>
          <w:bCs/>
          <w:color w:val="000000"/>
          <w:sz w:val="24"/>
          <w:szCs w:val="24"/>
        </w:rPr>
        <w:t>(f) Standards used in determining violation of section</w:t>
      </w:r>
    </w:p>
    <w:p w:rsidRPr="00B00962" w:rsidR="00B00962" w:rsidP="00B00962" w:rsidRDefault="00B00962" w14:paraId="749B62F4" w14:textId="77777777">
      <w:pPr>
        <w:spacing w:after="0" w:line="240" w:lineRule="auto"/>
        <w:ind w:firstLine="240"/>
        <w:rPr>
          <w:rFonts w:ascii="Arial" w:hAnsi="Arial" w:eastAsia="Times New Roman" w:cs="Arial"/>
          <w:color w:val="000000"/>
        </w:rPr>
      </w:pPr>
      <w:r w:rsidRPr="00B00962">
        <w:rPr>
          <w:rFonts w:ascii="Arial" w:hAnsi="Arial" w:eastAsia="Times New Roman" w:cs="Arial"/>
          <w:color w:val="000000"/>
        </w:rPr>
        <w:t>The standards used to determine whether this section has been violated in a complaint alleging nonaffirmative action employment discrimination under this section shall be the standards applied under title I of the Americans with Disabilities Act of 1990 (</w:t>
      </w:r>
      <w:r w:rsidRPr="00B00962">
        <w:rPr>
          <w:rFonts w:ascii="Arial" w:hAnsi="Arial" w:eastAsia="Times New Roman" w:cs="Arial"/>
          <w:color w:val="0F0D61"/>
        </w:rPr>
        <w:t>42 U.S.C. 12111 et seq.</w:t>
      </w:r>
      <w:r w:rsidRPr="00B00962">
        <w:rPr>
          <w:rFonts w:ascii="Arial" w:hAnsi="Arial" w:eastAsia="Times New Roman" w:cs="Arial"/>
          <w:color w:val="000000"/>
        </w:rPr>
        <w:t>) and the provisions of sections 501 through 504, and 510,</w:t>
      </w:r>
      <w:bookmarkStart w:name="791_1" w:id="6"/>
      <w:r w:rsidRPr="00B00962">
        <w:rPr>
          <w:rFonts w:ascii="Arial" w:hAnsi="Arial" w:eastAsia="Times New Roman" w:cs="Arial"/>
          <w:color w:val="000000"/>
          <w:vertAlign w:val="superscript"/>
        </w:rPr>
        <w:fldChar w:fldCharType="begin"/>
      </w:r>
      <w:r w:rsidRPr="00B00962">
        <w:rPr>
          <w:rFonts w:ascii="Arial" w:hAnsi="Arial" w:eastAsia="Times New Roman" w:cs="Arial"/>
          <w:color w:val="000000"/>
          <w:vertAlign w:val="superscript"/>
        </w:rPr>
        <w:instrText xml:space="preserve"> HYPERLINK "http://uscode.house.gov/view.xhtml?req=(title:29%20section:791%20edition:prelim)%20OR%20(granuleid:USC-prelim-title29-section791)&amp;f=treesort&amp;edition=prelim&amp;num=0&amp;jumpTo=true" \l "791_1_target" </w:instrText>
      </w:r>
      <w:r w:rsidRPr="00B00962">
        <w:rPr>
          <w:rFonts w:ascii="Arial" w:hAnsi="Arial" w:eastAsia="Times New Roman" w:cs="Arial"/>
          <w:color w:val="000000"/>
          <w:vertAlign w:val="superscript"/>
        </w:rPr>
        <w:fldChar w:fldCharType="separate"/>
      </w:r>
      <w:r w:rsidRPr="00B00962">
        <w:rPr>
          <w:rFonts w:ascii="Times New Roman" w:hAnsi="Times New Roman" w:eastAsia="Times New Roman" w:cs="Times New Roman"/>
          <w:color w:val="000000"/>
          <w:u w:val="single"/>
          <w:vertAlign w:val="superscript"/>
        </w:rPr>
        <w:t>1</w:t>
      </w:r>
      <w:r w:rsidRPr="00B00962">
        <w:rPr>
          <w:rFonts w:ascii="Arial" w:hAnsi="Arial" w:eastAsia="Times New Roman" w:cs="Arial"/>
          <w:color w:val="000000"/>
          <w:vertAlign w:val="superscript"/>
        </w:rPr>
        <w:fldChar w:fldCharType="end"/>
      </w:r>
      <w:bookmarkEnd w:id="6"/>
      <w:r w:rsidRPr="00B00962">
        <w:rPr>
          <w:rFonts w:ascii="Arial" w:hAnsi="Arial" w:eastAsia="Times New Roman" w:cs="Arial"/>
          <w:color w:val="000000"/>
        </w:rPr>
        <w:t> of the Americans with Disabilities Act of 1990 (</w:t>
      </w:r>
      <w:r w:rsidRPr="00B00962">
        <w:rPr>
          <w:rFonts w:ascii="Arial" w:hAnsi="Arial" w:eastAsia="Times New Roman" w:cs="Arial"/>
          <w:color w:val="0F0D61"/>
        </w:rPr>
        <w:t>42 U.S.C. 12201–12204 and 12210</w:t>
      </w:r>
      <w:r w:rsidRPr="00B00962">
        <w:rPr>
          <w:rFonts w:ascii="Arial" w:hAnsi="Arial" w:eastAsia="Times New Roman" w:cs="Arial"/>
          <w:color w:val="000000"/>
        </w:rPr>
        <w:t>), as such sections relate to employment.</w:t>
      </w:r>
    </w:p>
    <w:p w:rsidRPr="00B00962" w:rsidR="00B00962" w:rsidP="00B00962" w:rsidRDefault="00B00962" w14:paraId="08302048" w14:textId="77777777">
      <w:pPr>
        <w:spacing w:before="75" w:after="0" w:line="240" w:lineRule="auto"/>
        <w:rPr>
          <w:rFonts w:ascii="Arial" w:hAnsi="Arial" w:eastAsia="Times New Roman" w:cs="Arial"/>
          <w:color w:val="000000"/>
        </w:rPr>
      </w:pPr>
      <w:bookmarkStart w:name="sourcecredit" w:id="7"/>
      <w:bookmarkEnd w:id="7"/>
      <w:r w:rsidRPr="00B00962">
        <w:rPr>
          <w:rFonts w:ascii="Arial" w:hAnsi="Arial" w:eastAsia="Times New Roman" w:cs="Arial"/>
          <w:color w:val="000000"/>
        </w:rPr>
        <w:t>(</w:t>
      </w:r>
      <w:hyperlink w:tgtFrame="_blank" w:history="1" r:id="rId11">
        <w:r w:rsidRPr="00B00962">
          <w:rPr>
            <w:rFonts w:ascii="Times New Roman" w:hAnsi="Times New Roman" w:eastAsia="Times New Roman" w:cs="Times New Roman"/>
            <w:color w:val="0F0D61"/>
            <w:u w:val="single"/>
          </w:rPr>
          <w:t> Pub. L. 93–112, title V, §501, Sept. 26, 1973, 87 Stat. 390 </w:t>
        </w:r>
      </w:hyperlink>
      <w:r w:rsidRPr="00B00962">
        <w:rPr>
          <w:rFonts w:ascii="Arial" w:hAnsi="Arial" w:eastAsia="Times New Roman" w:cs="Arial"/>
          <w:color w:val="000000"/>
        </w:rPr>
        <w:t>; </w:t>
      </w:r>
      <w:hyperlink w:tgtFrame="_blank" w:history="1" r:id="rId12">
        <w:r w:rsidRPr="00B00962">
          <w:rPr>
            <w:rFonts w:ascii="Times New Roman" w:hAnsi="Times New Roman" w:eastAsia="Times New Roman" w:cs="Times New Roman"/>
            <w:color w:val="0F0D61"/>
            <w:u w:val="single"/>
          </w:rPr>
          <w:t>Pub. L. 98–221, title I, §104(b)(3), Feb. 22, 1984, 98 Stat. 18 </w:t>
        </w:r>
      </w:hyperlink>
      <w:r w:rsidRPr="00B00962">
        <w:rPr>
          <w:rFonts w:ascii="Arial" w:hAnsi="Arial" w:eastAsia="Times New Roman" w:cs="Arial"/>
          <w:color w:val="000000"/>
        </w:rPr>
        <w:t>; </w:t>
      </w:r>
      <w:hyperlink w:tgtFrame="_blank" w:history="1" r:id="rId13">
        <w:r w:rsidRPr="00B00962">
          <w:rPr>
            <w:rFonts w:ascii="Times New Roman" w:hAnsi="Times New Roman" w:eastAsia="Times New Roman" w:cs="Times New Roman"/>
            <w:color w:val="0F0D61"/>
            <w:u w:val="single"/>
          </w:rPr>
          <w:t>Pub. L. 99–506, title I, §103(d)(2)(C), title X, §§1001(f)(1), 1002(e)(1), (2)(A), Oct. 21, 1986, 100 Stat. 1810 </w:t>
        </w:r>
      </w:hyperlink>
      <w:r w:rsidRPr="00B00962">
        <w:rPr>
          <w:rFonts w:ascii="Arial" w:hAnsi="Arial" w:eastAsia="Times New Roman" w:cs="Arial"/>
          <w:color w:val="000000"/>
        </w:rPr>
        <w:t>, </w:t>
      </w:r>
      <w:hyperlink w:tgtFrame="_blank" w:history="1" r:id="rId14">
        <w:r w:rsidRPr="00B00962">
          <w:rPr>
            <w:rFonts w:ascii="Times New Roman" w:hAnsi="Times New Roman" w:eastAsia="Times New Roman" w:cs="Times New Roman"/>
            <w:color w:val="0F0D61"/>
            <w:u w:val="single"/>
          </w:rPr>
          <w:t>1843</w:t>
        </w:r>
      </w:hyperlink>
      <w:r w:rsidRPr="00B00962">
        <w:rPr>
          <w:rFonts w:ascii="Arial" w:hAnsi="Arial" w:eastAsia="Times New Roman" w:cs="Arial"/>
          <w:color w:val="000000"/>
        </w:rPr>
        <w:t>, </w:t>
      </w:r>
      <w:hyperlink w:tgtFrame="_blank" w:history="1" r:id="rId15">
        <w:r w:rsidRPr="00B00962">
          <w:rPr>
            <w:rFonts w:ascii="Times New Roman" w:hAnsi="Times New Roman" w:eastAsia="Times New Roman" w:cs="Times New Roman"/>
            <w:color w:val="0F0D61"/>
            <w:u w:val="single"/>
          </w:rPr>
          <w:t>1844</w:t>
        </w:r>
      </w:hyperlink>
      <w:r w:rsidRPr="00B00962">
        <w:rPr>
          <w:rFonts w:ascii="Arial" w:hAnsi="Arial" w:eastAsia="Times New Roman" w:cs="Arial"/>
          <w:color w:val="000000"/>
        </w:rPr>
        <w:t>; </w:t>
      </w:r>
      <w:hyperlink w:tgtFrame="_blank" w:history="1" r:id="rId16">
        <w:r w:rsidRPr="00B00962">
          <w:rPr>
            <w:rFonts w:ascii="Times New Roman" w:hAnsi="Times New Roman" w:eastAsia="Times New Roman" w:cs="Times New Roman"/>
            <w:color w:val="0F0D61"/>
            <w:u w:val="single"/>
          </w:rPr>
          <w:t>Pub. L. 100–630, title II, §206(a), Nov. 7, 1988, 102 Stat. 3310 </w:t>
        </w:r>
      </w:hyperlink>
      <w:r w:rsidRPr="00B00962">
        <w:rPr>
          <w:rFonts w:ascii="Arial" w:hAnsi="Arial" w:eastAsia="Times New Roman" w:cs="Arial"/>
          <w:color w:val="000000"/>
        </w:rPr>
        <w:t>; </w:t>
      </w:r>
      <w:hyperlink w:tgtFrame="_blank" w:history="1" r:id="rId17">
        <w:r w:rsidRPr="00B00962">
          <w:rPr>
            <w:rFonts w:ascii="Times New Roman" w:hAnsi="Times New Roman" w:eastAsia="Times New Roman" w:cs="Times New Roman"/>
            <w:color w:val="0F0D61"/>
            <w:u w:val="single"/>
          </w:rPr>
          <w:t>Pub. L. 102–54, §13(k)(1)(B), June 13, 1991, 105 Stat. 276 </w:t>
        </w:r>
      </w:hyperlink>
      <w:r w:rsidRPr="00B00962">
        <w:rPr>
          <w:rFonts w:ascii="Arial" w:hAnsi="Arial" w:eastAsia="Times New Roman" w:cs="Arial"/>
          <w:color w:val="000000"/>
        </w:rPr>
        <w:t>; </w:t>
      </w:r>
      <w:hyperlink w:tgtFrame="_blank" w:history="1" r:id="rId18">
        <w:r w:rsidRPr="00B00962">
          <w:rPr>
            <w:rFonts w:ascii="Times New Roman" w:hAnsi="Times New Roman" w:eastAsia="Times New Roman" w:cs="Times New Roman"/>
            <w:color w:val="0F0D61"/>
            <w:u w:val="single"/>
          </w:rPr>
          <w:t>Pub. L. 102–569, title I, §102(p)(29), title V, §503, Oct. 29, 1992, 106 Stat. 4360 </w:t>
        </w:r>
      </w:hyperlink>
      <w:r w:rsidRPr="00B00962">
        <w:rPr>
          <w:rFonts w:ascii="Arial" w:hAnsi="Arial" w:eastAsia="Times New Roman" w:cs="Arial"/>
          <w:color w:val="000000"/>
        </w:rPr>
        <w:t>, </w:t>
      </w:r>
      <w:hyperlink w:tgtFrame="_blank" w:history="1" r:id="rId19">
        <w:r w:rsidRPr="00B00962">
          <w:rPr>
            <w:rFonts w:ascii="Times New Roman" w:hAnsi="Times New Roman" w:eastAsia="Times New Roman" w:cs="Times New Roman"/>
            <w:color w:val="0F0D61"/>
            <w:u w:val="single"/>
          </w:rPr>
          <w:t>4424</w:t>
        </w:r>
      </w:hyperlink>
      <w:r w:rsidRPr="00B00962">
        <w:rPr>
          <w:rFonts w:ascii="Arial" w:hAnsi="Arial" w:eastAsia="Times New Roman" w:cs="Arial"/>
          <w:color w:val="000000"/>
        </w:rPr>
        <w:t>; </w:t>
      </w:r>
      <w:hyperlink w:tgtFrame="_blank" w:history="1" r:id="rId20">
        <w:r w:rsidRPr="00B00962">
          <w:rPr>
            <w:rFonts w:ascii="Times New Roman" w:hAnsi="Times New Roman" w:eastAsia="Times New Roman" w:cs="Times New Roman"/>
            <w:color w:val="0F0D61"/>
            <w:u w:val="single"/>
          </w:rPr>
          <w:t>Pub. L. 103–73, title I, §112(a), Aug. 11, 1993, 107 Stat. 727 </w:t>
        </w:r>
      </w:hyperlink>
      <w:r w:rsidRPr="00B00962">
        <w:rPr>
          <w:rFonts w:ascii="Arial" w:hAnsi="Arial" w:eastAsia="Times New Roman" w:cs="Arial"/>
          <w:color w:val="000000"/>
        </w:rPr>
        <w:t>; </w:t>
      </w:r>
      <w:hyperlink w:tgtFrame="_blank" w:history="1" r:id="rId21">
        <w:r w:rsidRPr="00B00962">
          <w:rPr>
            <w:rFonts w:ascii="Times New Roman" w:hAnsi="Times New Roman" w:eastAsia="Times New Roman" w:cs="Times New Roman"/>
            <w:color w:val="0F0D61"/>
            <w:u w:val="single"/>
          </w:rPr>
          <w:t>Pub. L. 105–220, title III, §341(c), title IV, §408(a)(1), Aug. 7, 1998, 112 Stat. 1092 </w:t>
        </w:r>
      </w:hyperlink>
      <w:r w:rsidRPr="00B00962">
        <w:rPr>
          <w:rFonts w:ascii="Arial" w:hAnsi="Arial" w:eastAsia="Times New Roman" w:cs="Arial"/>
          <w:color w:val="000000"/>
        </w:rPr>
        <w:t>, </w:t>
      </w:r>
      <w:hyperlink w:tgtFrame="_blank" w:history="1" r:id="rId22">
        <w:r w:rsidRPr="00B00962">
          <w:rPr>
            <w:rFonts w:ascii="Times New Roman" w:hAnsi="Times New Roman" w:eastAsia="Times New Roman" w:cs="Times New Roman"/>
            <w:color w:val="0F0D61"/>
            <w:u w:val="single"/>
          </w:rPr>
          <w:t>1202</w:t>
        </w:r>
      </w:hyperlink>
      <w:r w:rsidRPr="00B00962">
        <w:rPr>
          <w:rFonts w:ascii="Arial" w:hAnsi="Arial" w:eastAsia="Times New Roman" w:cs="Arial"/>
          <w:color w:val="000000"/>
        </w:rPr>
        <w:t>; </w:t>
      </w:r>
      <w:hyperlink w:tgtFrame="_blank" w:history="1" r:id="rId23">
        <w:r w:rsidRPr="00B00962">
          <w:rPr>
            <w:rFonts w:ascii="Times New Roman" w:hAnsi="Times New Roman" w:eastAsia="Times New Roman" w:cs="Times New Roman"/>
            <w:color w:val="0F0D61"/>
            <w:u w:val="single"/>
          </w:rPr>
          <w:t>Pub. L. 109–435, title VI, §604(d), Dec. 20, 2006, 120 Stat. 3242 </w:t>
        </w:r>
      </w:hyperlink>
      <w:r w:rsidRPr="00B00962">
        <w:rPr>
          <w:rFonts w:ascii="Arial" w:hAnsi="Arial" w:eastAsia="Times New Roman" w:cs="Arial"/>
          <w:color w:val="000000"/>
        </w:rPr>
        <w:t>; </w:t>
      </w:r>
      <w:hyperlink w:tgtFrame="_blank" w:history="1" r:id="rId24">
        <w:r w:rsidRPr="00B00962">
          <w:rPr>
            <w:rFonts w:ascii="Times New Roman" w:hAnsi="Times New Roman" w:eastAsia="Times New Roman" w:cs="Times New Roman"/>
            <w:color w:val="0F0D61"/>
            <w:u w:val="single"/>
          </w:rPr>
          <w:t>Pub. L. 111–256, §2(d)(3), Oct. 5, 2010, 124 Stat. 2643 </w:t>
        </w:r>
      </w:hyperlink>
      <w:r w:rsidRPr="00B00962">
        <w:rPr>
          <w:rFonts w:ascii="Arial" w:hAnsi="Arial" w:eastAsia="Times New Roman" w:cs="Arial"/>
          <w:color w:val="000000"/>
        </w:rPr>
        <w:t>; </w:t>
      </w:r>
      <w:hyperlink w:tgtFrame="_blank" w:history="1" r:id="rId25">
        <w:r w:rsidRPr="00B00962">
          <w:rPr>
            <w:rFonts w:ascii="Times New Roman" w:hAnsi="Times New Roman" w:eastAsia="Times New Roman" w:cs="Times New Roman"/>
            <w:color w:val="0F0D61"/>
            <w:u w:val="single"/>
          </w:rPr>
          <w:t>Pub. L. 113–128, title IV, §456(a), July 22, 2014, 128 Stat. 1675 </w:t>
        </w:r>
      </w:hyperlink>
      <w:r w:rsidRPr="00B00962">
        <w:rPr>
          <w:rFonts w:ascii="Arial" w:hAnsi="Arial" w:eastAsia="Times New Roman" w:cs="Arial"/>
          <w:color w:val="000000"/>
        </w:rPr>
        <w:t>.)</w:t>
      </w:r>
    </w:p>
    <w:p w:rsidR="006F423A" w:rsidRDefault="006F423A" w14:paraId="52D19BCF" w14:textId="77777777"/>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DF1DC" w14:textId="77777777" w:rsidR="00B00962" w:rsidRDefault="00B00962" w:rsidP="00B00962">
      <w:pPr>
        <w:spacing w:after="0" w:line="240" w:lineRule="auto"/>
      </w:pPr>
      <w:r>
        <w:separator/>
      </w:r>
    </w:p>
  </w:endnote>
  <w:endnote w:type="continuationSeparator" w:id="0">
    <w:p w14:paraId="027DAAE8" w14:textId="77777777" w:rsidR="00B00962" w:rsidRDefault="00B00962" w:rsidP="00B00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42025" w14:textId="77777777" w:rsidR="00B00962" w:rsidRDefault="00B00962" w:rsidP="00B00962">
      <w:pPr>
        <w:spacing w:after="0" w:line="240" w:lineRule="auto"/>
      </w:pPr>
      <w:r>
        <w:separator/>
      </w:r>
    </w:p>
  </w:footnote>
  <w:footnote w:type="continuationSeparator" w:id="0">
    <w:p w14:paraId="411AC6AC" w14:textId="77777777" w:rsidR="00B00962" w:rsidRDefault="00B00962" w:rsidP="00B009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62"/>
    <w:rsid w:val="00437CB5"/>
    <w:rsid w:val="006F423A"/>
    <w:rsid w:val="00B0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F9B89"/>
  <w15:chartTrackingRefBased/>
  <w15:docId w15:val="{8A514A84-9B4D-4E3F-A8D3-EB6CCF8B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82353">
      <w:bodyDiv w:val="1"/>
      <w:marLeft w:val="0"/>
      <w:marRight w:val="0"/>
      <w:marTop w:val="0"/>
      <w:marBottom w:val="0"/>
      <w:divBdr>
        <w:top w:val="none" w:sz="0" w:space="0" w:color="auto"/>
        <w:left w:val="none" w:sz="0" w:space="0" w:color="auto"/>
        <w:bottom w:val="none" w:sz="0" w:space="0" w:color="auto"/>
        <w:right w:val="none" w:sz="0" w:space="0" w:color="auto"/>
      </w:divBdr>
      <w:divsChild>
        <w:div w:id="537091079">
          <w:marLeft w:val="0"/>
          <w:marRight w:val="0"/>
          <w:marTop w:val="0"/>
          <w:marBottom w:val="0"/>
          <w:divBdr>
            <w:top w:val="none" w:sz="0" w:space="0" w:color="auto"/>
            <w:left w:val="none" w:sz="0" w:space="0" w:color="auto"/>
            <w:bottom w:val="none" w:sz="0" w:space="0" w:color="auto"/>
            <w:right w:val="none" w:sz="0" w:space="0" w:color="auto"/>
          </w:divBdr>
          <w:divsChild>
            <w:div w:id="988053077">
              <w:marLeft w:val="0"/>
              <w:marRight w:val="0"/>
              <w:marTop w:val="0"/>
              <w:marBottom w:val="0"/>
              <w:divBdr>
                <w:top w:val="none" w:sz="0" w:space="0" w:color="auto"/>
                <w:left w:val="none" w:sz="0" w:space="0" w:color="auto"/>
                <w:bottom w:val="none" w:sz="0" w:space="0" w:color="auto"/>
                <w:right w:val="none" w:sz="0" w:space="0" w:color="auto"/>
              </w:divBdr>
              <w:divsChild>
                <w:div w:id="384262634">
                  <w:marLeft w:val="0"/>
                  <w:marRight w:val="0"/>
                  <w:marTop w:val="0"/>
                  <w:marBottom w:val="0"/>
                  <w:divBdr>
                    <w:top w:val="none" w:sz="0" w:space="0" w:color="auto"/>
                    <w:left w:val="none" w:sz="0" w:space="0" w:color="auto"/>
                    <w:bottom w:val="none" w:sz="0" w:space="0" w:color="auto"/>
                    <w:right w:val="none" w:sz="0" w:space="0" w:color="auto"/>
                  </w:divBdr>
                  <w:divsChild>
                    <w:div w:id="1235163692">
                      <w:marLeft w:val="0"/>
                      <w:marRight w:val="0"/>
                      <w:marTop w:val="0"/>
                      <w:marBottom w:val="0"/>
                      <w:divBdr>
                        <w:top w:val="none" w:sz="0" w:space="0" w:color="auto"/>
                        <w:left w:val="none" w:sz="0" w:space="0" w:color="auto"/>
                        <w:bottom w:val="none" w:sz="0" w:space="0" w:color="auto"/>
                        <w:right w:val="none" w:sz="0" w:space="0" w:color="auto"/>
                      </w:divBdr>
                    </w:div>
                    <w:div w:id="241571378">
                      <w:marLeft w:val="0"/>
                      <w:marRight w:val="0"/>
                      <w:marTop w:val="0"/>
                      <w:marBottom w:val="0"/>
                      <w:divBdr>
                        <w:top w:val="none" w:sz="0" w:space="0" w:color="auto"/>
                        <w:left w:val="none" w:sz="0" w:space="0" w:color="auto"/>
                        <w:bottom w:val="none" w:sz="0" w:space="0" w:color="auto"/>
                        <w:right w:val="none" w:sz="0" w:space="0" w:color="auto"/>
                      </w:divBdr>
                    </w:div>
                  </w:divsChild>
                </w:div>
                <w:div w:id="1769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4239">
          <w:marLeft w:val="0"/>
          <w:marRight w:val="0"/>
          <w:marTop w:val="0"/>
          <w:marBottom w:val="0"/>
          <w:divBdr>
            <w:top w:val="none" w:sz="0" w:space="0" w:color="auto"/>
            <w:left w:val="none" w:sz="0" w:space="0" w:color="auto"/>
            <w:bottom w:val="none" w:sz="0" w:space="0" w:color="auto"/>
            <w:right w:val="none" w:sz="0" w:space="0" w:color="auto"/>
          </w:divBdr>
          <w:divsChild>
            <w:div w:id="246117529">
              <w:marLeft w:val="0"/>
              <w:marRight w:val="0"/>
              <w:marTop w:val="0"/>
              <w:marBottom w:val="0"/>
              <w:divBdr>
                <w:top w:val="none" w:sz="0" w:space="0" w:color="auto"/>
                <w:left w:val="none" w:sz="0" w:space="0" w:color="auto"/>
                <w:bottom w:val="none" w:sz="0" w:space="0" w:color="auto"/>
                <w:right w:val="none" w:sz="0" w:space="0" w:color="auto"/>
              </w:divBdr>
              <w:divsChild>
                <w:div w:id="2089645224">
                  <w:marLeft w:val="0"/>
                  <w:marRight w:val="0"/>
                  <w:marTop w:val="0"/>
                  <w:marBottom w:val="0"/>
                  <w:divBdr>
                    <w:top w:val="none" w:sz="0" w:space="0" w:color="auto"/>
                    <w:left w:val="none" w:sz="0" w:space="0" w:color="auto"/>
                    <w:bottom w:val="none" w:sz="0" w:space="0" w:color="auto"/>
                    <w:right w:val="none" w:sz="0" w:space="0" w:color="auto"/>
                  </w:divBdr>
                  <w:divsChild>
                    <w:div w:id="326326969">
                      <w:marLeft w:val="0"/>
                      <w:marRight w:val="0"/>
                      <w:marTop w:val="0"/>
                      <w:marBottom w:val="0"/>
                      <w:divBdr>
                        <w:top w:val="single" w:sz="18" w:space="8" w:color="CFC2B2"/>
                        <w:left w:val="single" w:sz="18" w:space="8" w:color="CFC2B2"/>
                        <w:bottom w:val="single" w:sz="18" w:space="8" w:color="CFC2B2"/>
                        <w:right w:val="single" w:sz="18" w:space="8" w:color="CFC2B2"/>
                      </w:divBdr>
                      <w:divsChild>
                        <w:div w:id="388722373">
                          <w:marLeft w:val="0"/>
                          <w:marRight w:val="0"/>
                          <w:marTop w:val="150"/>
                          <w:marBottom w:val="0"/>
                          <w:divBdr>
                            <w:top w:val="none" w:sz="0" w:space="0" w:color="auto"/>
                            <w:left w:val="none" w:sz="0" w:space="0" w:color="auto"/>
                            <w:bottom w:val="none" w:sz="0" w:space="0" w:color="auto"/>
                            <w:right w:val="none" w:sz="0" w:space="0" w:color="auto"/>
                          </w:divBdr>
                        </w:div>
                        <w:div w:id="7866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statviewer.htm?volume=100&amp;page=1810" TargetMode="External"/><Relationship Id="rId18" Type="http://schemas.openxmlformats.org/officeDocument/2006/relationships/hyperlink" Target="http://uscode.house.gov/statviewer.htm?volume=106&amp;page=436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uscode.house.gov/statviewer.htm?volume=112&amp;page=1092" TargetMode="External"/><Relationship Id="rId7" Type="http://schemas.openxmlformats.org/officeDocument/2006/relationships/settings" Target="settings.xml"/><Relationship Id="rId12" Type="http://schemas.openxmlformats.org/officeDocument/2006/relationships/hyperlink" Target="http://uscode.house.gov/statviewer.htm?volume=98&amp;page=18" TargetMode="External"/><Relationship Id="rId17" Type="http://schemas.openxmlformats.org/officeDocument/2006/relationships/hyperlink" Target="http://uscode.house.gov/statviewer.htm?volume=105&amp;page=276" TargetMode="External"/><Relationship Id="rId25" Type="http://schemas.openxmlformats.org/officeDocument/2006/relationships/hyperlink" Target="http://uscode.house.gov/statviewer.htm?volume=128&amp;page=1675" TargetMode="External"/><Relationship Id="rId2" Type="http://schemas.openxmlformats.org/officeDocument/2006/relationships/customXml" Target="../customXml/item2.xml"/><Relationship Id="rId16" Type="http://schemas.openxmlformats.org/officeDocument/2006/relationships/hyperlink" Target="http://uscode.house.gov/statviewer.htm?volume=102&amp;page=3310" TargetMode="External"/><Relationship Id="rId20" Type="http://schemas.openxmlformats.org/officeDocument/2006/relationships/hyperlink" Target="http://uscode.house.gov/statviewer.htm?volume=107&amp;page=7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code.house.gov/statviewer.htm?volume=87&amp;page=390" TargetMode="External"/><Relationship Id="rId24" Type="http://schemas.openxmlformats.org/officeDocument/2006/relationships/hyperlink" Target="http://uscode.house.gov/statviewer.htm?volume=124&amp;page=2643" TargetMode="External"/><Relationship Id="rId5" Type="http://schemas.openxmlformats.org/officeDocument/2006/relationships/customXml" Target="../customXml/item5.xml"/><Relationship Id="rId15" Type="http://schemas.openxmlformats.org/officeDocument/2006/relationships/hyperlink" Target="http://uscode.house.gov/statviewer.htm?volume=100&amp;page=1844" TargetMode="External"/><Relationship Id="rId23" Type="http://schemas.openxmlformats.org/officeDocument/2006/relationships/hyperlink" Target="http://uscode.house.gov/statviewer.htm?volume=120&amp;page=3242" TargetMode="External"/><Relationship Id="rId10" Type="http://schemas.openxmlformats.org/officeDocument/2006/relationships/endnotes" Target="endnotes.xml"/><Relationship Id="rId19" Type="http://schemas.openxmlformats.org/officeDocument/2006/relationships/hyperlink" Target="http://uscode.house.gov/statviewer.htm?volume=106&amp;page=44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scode.house.gov/statviewer.htm?volume=100&amp;page=1843" TargetMode="External"/><Relationship Id="rId22" Type="http://schemas.openxmlformats.org/officeDocument/2006/relationships/hyperlink" Target="http://uscode.house.gov/statviewer.htm?volume=112&amp;page=120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687BD8E7-51A1-4534-B1CC-51AD576AB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40ACA-4445-4419-85F9-45B0537AF2C5}">
  <ds:schemaRefs>
    <ds:schemaRef ds:uri="http://schemas.microsoft.com/office/2006/metadata/customXsn"/>
  </ds:schemaRefs>
</ds:datastoreItem>
</file>

<file path=customXml/itemProps3.xml><?xml version="1.0" encoding="utf-8"?>
<ds:datastoreItem xmlns:ds="http://schemas.openxmlformats.org/officeDocument/2006/customXml" ds:itemID="{A0B06F9A-B858-43AD-8C08-99887D3E7507}">
  <ds:schemaRefs>
    <ds:schemaRef ds:uri="Microsoft.SharePoint.Taxonomy.ContentTypeSync"/>
  </ds:schemaRefs>
</ds:datastoreItem>
</file>

<file path=customXml/itemProps4.xml><?xml version="1.0" encoding="utf-8"?>
<ds:datastoreItem xmlns:ds="http://schemas.openxmlformats.org/officeDocument/2006/customXml" ds:itemID="{36E9D0D8-E479-47E6-A1C2-73C26D918F1F}">
  <ds:schemaRefs>
    <ds:schemaRef ds:uri="http://schemas.microsoft.com/sharepoint/v3/contenttype/forms"/>
  </ds:schemaRefs>
</ds:datastoreItem>
</file>

<file path=customXml/itemProps5.xml><?xml version="1.0" encoding="utf-8"?>
<ds:datastoreItem xmlns:ds="http://schemas.openxmlformats.org/officeDocument/2006/customXml" ds:itemID="{9FA9BF17-633F-4B79-BE01-45153F096A53}">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2021-11-10T14:06:00Z</dcterms:created>
  <dcterms:modified xsi:type="dcterms:W3CDTF">2021-11-10T14:07:00Z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2021-11-10T14:06:58Z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4dfdec6e-ca1e-4f26-985f-128f07239bca</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