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D5A44" w:rsidR="0005627A" w:rsidP="0005627A" w:rsidRDefault="0005627A" w14:paraId="44453EB6" w14:textId="77777777">
      <w:pPr>
        <w:tabs>
          <w:tab w:val="left" w:pos="0"/>
        </w:tabs>
        <w:suppressAutoHyphens/>
        <w:spacing w:after="0" w:line="240" w:lineRule="auto"/>
        <w:rPr>
          <w:rFonts w:cs="Calibri"/>
          <w:sz w:val="24"/>
          <w:szCs w:val="24"/>
        </w:rPr>
      </w:pPr>
      <w:r w:rsidRPr="006D5A44">
        <w:rPr>
          <w:rFonts w:cs="Calibri"/>
          <w:sz w:val="24"/>
          <w:szCs w:val="24"/>
        </w:rPr>
        <w:t xml:space="preserve">This request is for an extension of the information collection of the requirements in the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  </w:t>
      </w:r>
    </w:p>
    <w:p w:rsidRPr="006D5A44" w:rsidR="0005627A" w:rsidP="0005627A" w:rsidRDefault="0005627A" w14:paraId="2F8394F3" w14:textId="77777777">
      <w:pPr>
        <w:tabs>
          <w:tab w:val="left" w:pos="0"/>
        </w:tabs>
        <w:suppressAutoHyphens/>
        <w:spacing w:after="0" w:line="240" w:lineRule="auto"/>
        <w:rPr>
          <w:rFonts w:cs="Calibri"/>
          <w:sz w:val="24"/>
          <w:szCs w:val="24"/>
        </w:rPr>
      </w:pPr>
    </w:p>
    <w:p w:rsidRPr="006D5A44" w:rsidR="0005627A" w:rsidP="0005627A" w:rsidRDefault="0005627A" w14:paraId="65F5F708" w14:textId="77777777">
      <w:pPr>
        <w:tabs>
          <w:tab w:val="left" w:pos="0"/>
        </w:tabs>
        <w:suppressAutoHyphens/>
        <w:spacing w:after="0" w:line="240" w:lineRule="auto"/>
        <w:rPr>
          <w:rFonts w:cs="Calibri"/>
          <w:sz w:val="24"/>
          <w:szCs w:val="24"/>
        </w:rPr>
      </w:pPr>
      <w:r w:rsidRPr="006D5A44">
        <w:rPr>
          <w:rFonts w:cs="Calibri"/>
          <w:sz w:val="24"/>
          <w:szCs w:val="24"/>
        </w:rPr>
        <w:t xml:space="preserve">These regulations continue the policies to ensure comparability between domestic institutions and foreign institutions regarding academic year definitions for non-degree programs and showing the method used to show that equivalency.  And these regulations continue requirements for the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w:t>
      </w:r>
    </w:p>
    <w:p w:rsidRPr="006D5A44" w:rsidR="0005627A" w:rsidP="0005627A" w:rsidRDefault="0005627A" w14:paraId="2812D60F" w14:textId="77777777">
      <w:pPr>
        <w:tabs>
          <w:tab w:val="left" w:pos="0"/>
        </w:tabs>
        <w:suppressAutoHyphens/>
        <w:spacing w:after="0" w:line="240" w:lineRule="auto"/>
        <w:rPr>
          <w:rFonts w:cs="Calibri"/>
          <w:sz w:val="24"/>
          <w:szCs w:val="24"/>
        </w:rPr>
      </w:pPr>
    </w:p>
    <w:p w:rsidRPr="006D5A44" w:rsidR="0005627A" w:rsidP="0005627A" w:rsidRDefault="0005627A" w14:paraId="75AAC35B" w14:textId="77777777">
      <w:pPr>
        <w:tabs>
          <w:tab w:val="left" w:pos="0"/>
        </w:tabs>
        <w:suppressAutoHyphens/>
        <w:spacing w:after="0" w:line="240" w:lineRule="auto"/>
        <w:rPr>
          <w:rFonts w:cs="Calibri"/>
          <w:sz w:val="24"/>
          <w:szCs w:val="24"/>
        </w:rPr>
      </w:pPr>
      <w:proofErr w:type="gramStart"/>
      <w:r w:rsidRPr="006D5A44">
        <w:rPr>
          <w:rFonts w:cs="Calibri"/>
          <w:sz w:val="24"/>
          <w:szCs w:val="24"/>
        </w:rPr>
        <w:t>Also</w:t>
      </w:r>
      <w:proofErr w:type="gramEnd"/>
      <w:r w:rsidRPr="006D5A44">
        <w:rPr>
          <w:rFonts w:cs="Calibri"/>
          <w:sz w:val="24"/>
          <w:szCs w:val="24"/>
        </w:rPr>
        <w:t xml:space="preserve"> the regulations continue the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w:t>
      </w:r>
      <w:proofErr w:type="gramStart"/>
      <w:r w:rsidRPr="006D5A44">
        <w:rPr>
          <w:rFonts w:cs="Calibri"/>
          <w:sz w:val="24"/>
          <w:szCs w:val="24"/>
        </w:rPr>
        <w:t>all of</w:t>
      </w:r>
      <w:proofErr w:type="gramEnd"/>
      <w:r w:rsidRPr="006D5A44">
        <w:rPr>
          <w:rFonts w:cs="Calibri"/>
          <w:sz w:val="24"/>
          <w:szCs w:val="24"/>
        </w:rPr>
        <w:t xml:space="preserve"> the languages in which instruction is offered.  </w:t>
      </w:r>
    </w:p>
    <w:p w:rsidRPr="006D5A44" w:rsidR="0005627A" w:rsidP="0005627A" w:rsidRDefault="0005627A" w14:paraId="331565F5" w14:textId="77777777">
      <w:pPr>
        <w:tabs>
          <w:tab w:val="left" w:pos="0"/>
        </w:tabs>
        <w:suppressAutoHyphens/>
        <w:spacing w:after="0" w:line="240" w:lineRule="auto"/>
        <w:rPr>
          <w:rFonts w:cs="Calibri"/>
          <w:sz w:val="24"/>
          <w:szCs w:val="24"/>
        </w:rPr>
      </w:pPr>
    </w:p>
    <w:p w:rsidRPr="006D5A44" w:rsidR="0005627A" w:rsidP="0005627A" w:rsidRDefault="0005627A" w14:paraId="56F5310F" w14:textId="77777777">
      <w:pPr>
        <w:tabs>
          <w:tab w:val="left" w:pos="0"/>
        </w:tabs>
        <w:suppressAutoHyphens/>
        <w:spacing w:after="0" w:line="240" w:lineRule="auto"/>
        <w:rPr>
          <w:rFonts w:cs="Calibri"/>
          <w:sz w:val="24"/>
          <w:szCs w:val="24"/>
        </w:rPr>
      </w:pPr>
      <w:r w:rsidRPr="006D5A44">
        <w:rPr>
          <w:rFonts w:cs="Calibri"/>
          <w:sz w:val="24"/>
          <w:szCs w:val="24"/>
        </w:rPr>
        <w:t>Finally, burden is noted for the requirement of foreign veterinary schools to provide evidence of accreditation by an accreditor acceptable to the Secretary.</w:t>
      </w:r>
    </w:p>
    <w:p w:rsidRPr="006D5A44" w:rsidR="00AE1FF3" w:rsidP="0005627A" w:rsidRDefault="00AE1FF3" w14:paraId="1767EA1D" w14:textId="77777777">
      <w:pPr>
        <w:pStyle w:val="NoSpacing"/>
        <w:rPr>
          <w:rFonts w:cs="Calibri"/>
          <w:sz w:val="24"/>
          <w:szCs w:val="24"/>
        </w:rPr>
      </w:pPr>
    </w:p>
    <w:p w:rsidRPr="006D5A44" w:rsidR="0005627A" w:rsidP="0005627A" w:rsidRDefault="0005627A" w14:paraId="088D0FF6" w14:textId="77777777">
      <w:pPr>
        <w:pStyle w:val="ListParagraph"/>
        <w:spacing w:after="0" w:line="240" w:lineRule="auto"/>
        <w:ind w:left="0"/>
        <w:rPr>
          <w:rFonts w:cs="Calibri"/>
          <w:sz w:val="24"/>
          <w:szCs w:val="24"/>
          <w:u w:val="single"/>
        </w:rPr>
      </w:pPr>
      <w:r w:rsidRPr="006D5A44">
        <w:rPr>
          <w:rFonts w:cs="Calibri"/>
          <w:sz w:val="24"/>
          <w:szCs w:val="24"/>
          <w:u w:val="single"/>
        </w:rPr>
        <w:t>§600.54 – Criteria for determining whether a foreign institution is eligible to apply to participate in the Direct Loan Program.</w:t>
      </w:r>
    </w:p>
    <w:p w:rsidRPr="006D5A44" w:rsidR="0005627A" w:rsidP="0005627A" w:rsidRDefault="0005627A" w14:paraId="26AA1767" w14:textId="77777777">
      <w:pPr>
        <w:pStyle w:val="ListParagraph"/>
        <w:spacing w:after="0" w:line="240" w:lineRule="auto"/>
        <w:ind w:left="0"/>
        <w:rPr>
          <w:rFonts w:cs="Calibri"/>
          <w:sz w:val="24"/>
          <w:szCs w:val="24"/>
          <w:u w:val="single"/>
        </w:rPr>
      </w:pPr>
    </w:p>
    <w:p w:rsidRPr="006D5A44" w:rsidR="0005627A" w:rsidP="0005627A" w:rsidRDefault="0005627A" w14:paraId="66508562" w14:textId="77777777">
      <w:pPr>
        <w:pStyle w:val="ListParagraph"/>
        <w:spacing w:after="0" w:line="240" w:lineRule="auto"/>
        <w:ind w:left="0"/>
        <w:rPr>
          <w:rFonts w:cs="Calibri"/>
          <w:sz w:val="24"/>
          <w:szCs w:val="24"/>
        </w:rPr>
      </w:pPr>
      <w:r w:rsidRPr="006D5A44">
        <w:rPr>
          <w:rFonts w:cs="Calibri"/>
          <w:sz w:val="24"/>
          <w:szCs w:val="24"/>
        </w:rPr>
        <w:t xml:space="preserve">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w:t>
      </w:r>
      <w:proofErr w:type="gramStart"/>
      <w:r w:rsidRPr="006D5A44">
        <w:rPr>
          <w:rFonts w:cs="Calibri"/>
          <w:sz w:val="24"/>
          <w:szCs w:val="24"/>
        </w:rPr>
        <w:t>program by program</w:t>
      </w:r>
      <w:proofErr w:type="gramEnd"/>
      <w:r w:rsidRPr="006D5A44">
        <w:rPr>
          <w:rFonts w:cs="Calibri"/>
          <w:sz w:val="24"/>
          <w:szCs w:val="24"/>
        </w:rPr>
        <w:t xml:space="preserve"> basis by the Department in both initial and recertification reviews.</w:t>
      </w:r>
    </w:p>
    <w:p w:rsidRPr="006D5A44" w:rsidR="0005627A" w:rsidP="0005627A" w:rsidRDefault="0005627A" w14:paraId="3A19FEEE" w14:textId="77777777">
      <w:pPr>
        <w:pStyle w:val="ListParagraph"/>
        <w:spacing w:after="0" w:line="240" w:lineRule="auto"/>
        <w:ind w:left="0"/>
        <w:rPr>
          <w:rFonts w:cs="Calibri"/>
          <w:sz w:val="24"/>
          <w:szCs w:val="24"/>
        </w:rPr>
      </w:pPr>
    </w:p>
    <w:p w:rsidRPr="006D5A44" w:rsidR="0005627A" w:rsidP="0005627A" w:rsidRDefault="0005627A" w14:paraId="1255D3BE" w14:textId="77777777">
      <w:pPr>
        <w:pStyle w:val="ListParagraph"/>
        <w:spacing w:after="0" w:line="240" w:lineRule="auto"/>
        <w:ind w:left="0"/>
        <w:rPr>
          <w:rFonts w:cs="Calibri"/>
          <w:sz w:val="24"/>
          <w:szCs w:val="24"/>
          <w:u w:val="single"/>
        </w:rPr>
      </w:pPr>
      <w:r w:rsidRPr="006D5A44">
        <w:rPr>
          <w:rFonts w:cs="Calibri"/>
          <w:bCs/>
          <w:sz w:val="24"/>
          <w:szCs w:val="24"/>
          <w:u w:val="single"/>
        </w:rPr>
        <w:t>§</w:t>
      </w:r>
      <w:r w:rsidRPr="006D5A44">
        <w:rPr>
          <w:rFonts w:cs="Calibri"/>
          <w:sz w:val="24"/>
          <w:szCs w:val="24"/>
          <w:u w:val="single"/>
        </w:rPr>
        <w:t>600.55 – Additional criteria for determining whether a foreign graduate medical school is eligible to apply to participate in the Direct Loan Program.</w:t>
      </w:r>
    </w:p>
    <w:p w:rsidRPr="006D5A44" w:rsidR="0005627A" w:rsidP="0005627A" w:rsidRDefault="0005627A" w14:paraId="01A8ED5B" w14:textId="77777777">
      <w:pPr>
        <w:pStyle w:val="ListParagraph"/>
        <w:spacing w:after="0" w:line="240" w:lineRule="auto"/>
        <w:ind w:left="0"/>
        <w:rPr>
          <w:rFonts w:cs="Calibri"/>
          <w:bCs/>
          <w:sz w:val="24"/>
          <w:szCs w:val="24"/>
          <w:u w:val="single"/>
        </w:rPr>
      </w:pPr>
    </w:p>
    <w:p w:rsidRPr="006D5A44" w:rsidR="0005627A" w:rsidP="0005627A" w:rsidRDefault="0005627A" w14:paraId="48A65A8E" w14:textId="77777777">
      <w:pPr>
        <w:pStyle w:val="ListParagraph"/>
        <w:spacing w:after="0" w:line="240" w:lineRule="auto"/>
        <w:ind w:left="0"/>
        <w:rPr>
          <w:rFonts w:cs="Calibri"/>
          <w:sz w:val="24"/>
          <w:szCs w:val="24"/>
        </w:rPr>
      </w:pPr>
      <w:r w:rsidRPr="006D5A44">
        <w:rPr>
          <w:rFonts w:cs="Calibri"/>
          <w:bCs/>
          <w:sz w:val="24"/>
          <w:szCs w:val="24"/>
        </w:rPr>
        <w:t>Regulation §</w:t>
      </w:r>
      <w:r w:rsidRPr="006D5A44">
        <w:rPr>
          <w:rFonts w:cs="Calibri"/>
          <w:sz w:val="24"/>
          <w:szCs w:val="24"/>
        </w:rPr>
        <w:t>600.55(c)(2) requires a foreign gradu</w:t>
      </w:r>
      <w:r w:rsidRPr="006D5A44">
        <w:rPr>
          <w:rStyle w:val="NormalChar"/>
          <w:rFonts w:ascii="Calibri" w:hAnsi="Calibri" w:cs="Calibri"/>
          <w:sz w:val="24"/>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6D5A44">
        <w:rPr>
          <w:rFonts w:cs="Calibri"/>
          <w:sz w:val="24"/>
          <w:szCs w:val="24"/>
        </w:rPr>
        <w:t xml:space="preserve">accepted for admission </w:t>
      </w:r>
      <w:r w:rsidRPr="006D5A44">
        <w:rPr>
          <w:rStyle w:val="NormalChar"/>
          <w:rFonts w:ascii="Calibri" w:hAnsi="Calibri" w:cs="Calibri"/>
          <w:sz w:val="24"/>
          <w:szCs w:val="24"/>
        </w:rPr>
        <w:t xml:space="preserve">to enable the foreign school to comply with the collection and submission requirements in </w:t>
      </w:r>
      <w:r w:rsidRPr="006D5A44">
        <w:rPr>
          <w:rFonts w:cs="Calibri"/>
          <w:sz w:val="24"/>
          <w:szCs w:val="24"/>
        </w:rPr>
        <w:t xml:space="preserve">§600.55(d) </w:t>
      </w:r>
      <w:r w:rsidRPr="006D5A44">
        <w:rPr>
          <w:rStyle w:val="NormalChar"/>
          <w:rFonts w:ascii="Calibri" w:hAnsi="Calibri" w:cs="Calibri"/>
          <w:sz w:val="24"/>
          <w:szCs w:val="24"/>
        </w:rPr>
        <w:t>for</w:t>
      </w:r>
      <w:r w:rsidRPr="006D5A44">
        <w:rPr>
          <w:rFonts w:cs="Calibri"/>
          <w:sz w:val="24"/>
          <w:szCs w:val="24"/>
        </w:rPr>
        <w:t xml:space="preserve"> Medical College Admission Test (MCAT) scores, residency placement, and U.S. Medical Licensing Examination (USMLE) scores.  </w:t>
      </w:r>
    </w:p>
    <w:p w:rsidRPr="006D5A44" w:rsidR="0005627A" w:rsidP="0005627A" w:rsidRDefault="0005627A" w14:paraId="30ECD0A8" w14:textId="77777777">
      <w:pPr>
        <w:pStyle w:val="ListParagraph"/>
        <w:spacing w:after="0" w:line="240" w:lineRule="auto"/>
        <w:ind w:left="0"/>
        <w:rPr>
          <w:rFonts w:cs="Calibri"/>
          <w:sz w:val="24"/>
          <w:szCs w:val="24"/>
        </w:rPr>
      </w:pPr>
    </w:p>
    <w:p w:rsidRPr="006D5A44" w:rsidR="0005627A" w:rsidP="0005627A" w:rsidRDefault="0005627A" w14:paraId="080D7E86" w14:textId="77777777">
      <w:pPr>
        <w:pStyle w:val="ListParagraph"/>
        <w:spacing w:after="0" w:line="240" w:lineRule="auto"/>
        <w:ind w:left="0"/>
        <w:rPr>
          <w:rFonts w:cs="Calibri"/>
          <w:sz w:val="24"/>
          <w:szCs w:val="24"/>
        </w:rPr>
      </w:pPr>
      <w:r w:rsidRPr="006D5A44">
        <w:rPr>
          <w:rFonts w:cs="Calibri"/>
          <w:sz w:val="24"/>
          <w:szCs w:val="24"/>
        </w:rPr>
        <w:t xml:space="preserve">Section 600.55(d) includes the changes to reporting requirements for foreign graduate medical schools as identified in HEOA Section 102(a)(2)(A)(i).  The regulations in §600.55(d)(1) require a </w:t>
      </w:r>
      <w:r w:rsidRPr="006D5A44">
        <w:rPr>
          <w:rFonts w:cs="Calibri"/>
          <w:sz w:val="24"/>
          <w:szCs w:val="24"/>
        </w:rPr>
        <w:lastRenderedPageBreak/>
        <w:t xml:space="preserve">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and step 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w:t>
      </w:r>
    </w:p>
    <w:p w:rsidRPr="006D5A44" w:rsidR="0005627A" w:rsidP="0005627A" w:rsidRDefault="0005627A" w14:paraId="08BB84B8" w14:textId="77777777">
      <w:pPr>
        <w:pStyle w:val="ListParagraph"/>
        <w:spacing w:after="0" w:line="240" w:lineRule="auto"/>
        <w:ind w:left="0"/>
        <w:rPr>
          <w:rFonts w:cs="Calibri"/>
          <w:sz w:val="24"/>
          <w:szCs w:val="24"/>
        </w:rPr>
      </w:pPr>
    </w:p>
    <w:p w:rsidRPr="006D5A44" w:rsidR="0005627A" w:rsidP="0005627A" w:rsidRDefault="0005627A" w14:paraId="1CDF3680" w14:textId="77777777">
      <w:pPr>
        <w:pStyle w:val="ListParagraph"/>
        <w:spacing w:after="0" w:line="240" w:lineRule="auto"/>
        <w:ind w:left="0"/>
        <w:rPr>
          <w:rFonts w:cs="Calibri"/>
          <w:sz w:val="24"/>
          <w:szCs w:val="24"/>
        </w:rPr>
      </w:pPr>
      <w:r w:rsidRPr="006D5A44">
        <w:rPr>
          <w:rFonts w:cs="Calibri"/>
          <w:sz w:val="24"/>
          <w:szCs w:val="24"/>
        </w:rPr>
        <w:t>Regulation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which the school agrees that the pass rates calculated will be considered conclusive for purposes of compliance with the required rates.  In this context, ECFMG or others will contract with the Department, and the school’s burden is based on development and submission of acceptable written consent to use the rates as calculated.  As of April 2022, this option although allowed by regulation is not available to foreign graduate medical schools because the ECFMG has not entered into a data sharing agreement with the Department.</w:t>
      </w:r>
    </w:p>
    <w:p w:rsidRPr="006D5A44" w:rsidR="0005627A" w:rsidP="0005627A" w:rsidRDefault="0005627A" w14:paraId="3A3A940F" w14:textId="77777777">
      <w:pPr>
        <w:pStyle w:val="ListParagraph"/>
        <w:spacing w:after="0" w:line="240" w:lineRule="auto"/>
        <w:ind w:left="0"/>
        <w:rPr>
          <w:rFonts w:cs="Calibri"/>
          <w:sz w:val="24"/>
          <w:szCs w:val="24"/>
        </w:rPr>
      </w:pPr>
    </w:p>
    <w:p w:rsidRPr="006D5A44" w:rsidR="0005627A" w:rsidP="0005627A" w:rsidRDefault="0005627A" w14:paraId="744EC8D4" w14:textId="77777777">
      <w:pPr>
        <w:widowControl w:val="0"/>
        <w:spacing w:after="0" w:line="240" w:lineRule="auto"/>
        <w:rPr>
          <w:rFonts w:cs="Calibri"/>
          <w:sz w:val="24"/>
          <w:szCs w:val="24"/>
        </w:rPr>
      </w:pPr>
      <w:r w:rsidRPr="006D5A44">
        <w:rPr>
          <w:rFonts w:cs="Calibri"/>
          <w:sz w:val="24"/>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Pr="006D5A44" w:rsidR="0005627A" w:rsidP="0005627A" w:rsidRDefault="0005627A" w14:paraId="0D7B74DD" w14:textId="77777777">
      <w:pPr>
        <w:widowControl w:val="0"/>
        <w:spacing w:after="0" w:line="240" w:lineRule="auto"/>
        <w:rPr>
          <w:rFonts w:cs="Calibri"/>
          <w:sz w:val="24"/>
          <w:szCs w:val="24"/>
        </w:rPr>
      </w:pPr>
    </w:p>
    <w:p w:rsidRPr="006D5A44" w:rsidR="0005627A" w:rsidP="0005627A" w:rsidRDefault="0005627A" w14:paraId="543F01E6" w14:textId="77777777">
      <w:pPr>
        <w:widowControl w:val="0"/>
        <w:spacing w:after="0" w:line="240" w:lineRule="auto"/>
        <w:rPr>
          <w:rFonts w:cs="Calibri"/>
          <w:sz w:val="24"/>
          <w:szCs w:val="24"/>
        </w:rPr>
      </w:pPr>
      <w:r w:rsidRPr="006D5A44">
        <w:rPr>
          <w:rFonts w:cs="Calibri"/>
          <w:sz w:val="24"/>
          <w:szCs w:val="24"/>
        </w:rPr>
        <w:t>Finally, the regulations in §600.55(g)(3) require a foreign graduate medical school to publish all the languages in which instruction is offered.</w:t>
      </w:r>
    </w:p>
    <w:p w:rsidRPr="006D5A44" w:rsidR="0005627A" w:rsidP="0005627A" w:rsidRDefault="0005627A" w14:paraId="1038B690" w14:textId="77777777">
      <w:pPr>
        <w:widowControl w:val="0"/>
        <w:spacing w:after="0" w:line="240" w:lineRule="auto"/>
        <w:rPr>
          <w:rFonts w:cs="Calibri"/>
          <w:sz w:val="24"/>
          <w:szCs w:val="24"/>
        </w:rPr>
      </w:pPr>
    </w:p>
    <w:p w:rsidRPr="006D5A44" w:rsidR="0005627A" w:rsidP="0005627A" w:rsidRDefault="0005627A" w14:paraId="6AC07C44" w14:textId="77777777">
      <w:pPr>
        <w:widowControl w:val="0"/>
        <w:spacing w:after="0" w:line="240" w:lineRule="auto"/>
        <w:rPr>
          <w:rFonts w:cs="Calibri"/>
          <w:sz w:val="24"/>
          <w:szCs w:val="24"/>
          <w:u w:val="single"/>
        </w:rPr>
      </w:pPr>
      <w:r w:rsidRPr="006D5A44">
        <w:rPr>
          <w:rFonts w:cs="Calibri"/>
          <w:sz w:val="24"/>
          <w:szCs w:val="24"/>
          <w:u w:val="single"/>
        </w:rPr>
        <w:t xml:space="preserve">§600.56 – Additional criteria for determining whether a foreign veterinary school is eligible to apply to participate in the Direct Loan Program.  </w:t>
      </w:r>
    </w:p>
    <w:p w:rsidRPr="006D5A44" w:rsidR="0005627A" w:rsidP="0005627A" w:rsidRDefault="0005627A" w14:paraId="756C2141" w14:textId="77777777">
      <w:pPr>
        <w:widowControl w:val="0"/>
        <w:spacing w:after="0" w:line="240" w:lineRule="auto"/>
        <w:rPr>
          <w:rFonts w:cs="Calibri"/>
          <w:sz w:val="24"/>
          <w:szCs w:val="24"/>
        </w:rPr>
      </w:pPr>
    </w:p>
    <w:p w:rsidRPr="006D5A44" w:rsidR="0005627A" w:rsidP="0005627A" w:rsidRDefault="0005627A" w14:paraId="5044B1AC" w14:textId="77777777">
      <w:pPr>
        <w:widowControl w:val="0"/>
        <w:spacing w:after="0" w:line="240" w:lineRule="auto"/>
        <w:rPr>
          <w:rFonts w:cs="Calibri"/>
          <w:sz w:val="24"/>
          <w:szCs w:val="24"/>
        </w:rPr>
      </w:pPr>
      <w:r w:rsidRPr="006D5A44">
        <w:rPr>
          <w:rFonts w:cs="Calibri"/>
          <w:sz w:val="24"/>
          <w:szCs w:val="24"/>
        </w:rPr>
        <w:t>The regulations specify additional Title IV, HEA eligibility criteria for foreign veterinary schools.   Foreign veterinary schools are required to be accredited or provisionally accredited by an organization deemed acceptable to the Secretary for the purpose of evaluating veterinary programs.</w:t>
      </w:r>
    </w:p>
    <w:p w:rsidRPr="006D5A44" w:rsidR="00ED41BF" w:rsidP="0005627A" w:rsidRDefault="00ED41BF" w14:paraId="76610573" w14:textId="77777777">
      <w:pPr>
        <w:pStyle w:val="NoSpacing"/>
        <w:rPr>
          <w:rFonts w:cs="Calibri"/>
          <w:sz w:val="24"/>
          <w:szCs w:val="24"/>
        </w:rPr>
      </w:pPr>
    </w:p>
    <w:p w:rsidRPr="006D5A44" w:rsidR="00ED41BF" w:rsidP="0005627A" w:rsidRDefault="00ED41BF" w14:paraId="031AF12F" w14:textId="77777777">
      <w:pPr>
        <w:pStyle w:val="NoSpacing"/>
        <w:rPr>
          <w:rFonts w:cs="Calibri"/>
          <w:sz w:val="24"/>
          <w:szCs w:val="24"/>
        </w:rPr>
      </w:pPr>
      <w:r w:rsidRPr="006D5A44">
        <w:rPr>
          <w:rFonts w:cs="Calibri"/>
          <w:sz w:val="24"/>
          <w:szCs w:val="24"/>
        </w:rPr>
        <w:t xml:space="preserve">The burden hours calculated below include time for reviewing the regulations; for determining the method and means to incorporate any changes; develop or update systems and forms and formats for gathering the required information; and to prepare any required reports.  The burden is all related to reporting.  </w:t>
      </w:r>
    </w:p>
    <w:p w:rsidRPr="006D5A44" w:rsidR="00ED41BF" w:rsidP="0005627A" w:rsidRDefault="00ED41BF" w14:paraId="3BA35AD6" w14:textId="77777777">
      <w:pPr>
        <w:pStyle w:val="NoSpacing"/>
        <w:rPr>
          <w:rFonts w:cs="Calibri"/>
          <w:sz w:val="24"/>
          <w:szCs w:val="24"/>
        </w:rPr>
      </w:pPr>
    </w:p>
    <w:p w:rsidRPr="006D5A44" w:rsidR="00482525" w:rsidP="0005627A" w:rsidRDefault="00482525" w14:paraId="04E09785" w14:textId="77777777">
      <w:pPr>
        <w:pStyle w:val="NoSpacing"/>
        <w:rPr>
          <w:rFonts w:cs="Calibri"/>
          <w:sz w:val="24"/>
          <w:szCs w:val="24"/>
        </w:rPr>
      </w:pPr>
      <w:r w:rsidRPr="006D5A44">
        <w:rPr>
          <w:rFonts w:cs="Calibri"/>
          <w:sz w:val="24"/>
          <w:szCs w:val="24"/>
        </w:rPr>
        <w:t>TOTALS</w:t>
      </w:r>
    </w:p>
    <w:p w:rsidRPr="006D5A44" w:rsidR="00482525" w:rsidP="0005627A" w:rsidRDefault="00482525" w14:paraId="37217048" w14:textId="77777777">
      <w:pPr>
        <w:pStyle w:val="NoSpacing"/>
        <w:rPr>
          <w:rFonts w:cs="Calibri"/>
          <w:sz w:val="24"/>
          <w:szCs w:val="24"/>
        </w:rPr>
      </w:pPr>
      <w:r w:rsidRPr="006D5A44">
        <w:rPr>
          <w:rFonts w:cs="Calibri"/>
          <w:sz w:val="24"/>
          <w:szCs w:val="24"/>
        </w:rPr>
        <w:tab/>
        <w:t>Responses</w:t>
      </w:r>
      <w:r w:rsidRPr="006D5A44">
        <w:rPr>
          <w:rFonts w:cs="Calibri"/>
          <w:sz w:val="24"/>
          <w:szCs w:val="24"/>
        </w:rPr>
        <w:tab/>
      </w:r>
      <w:r w:rsidRPr="006D5A44" w:rsidR="0005627A">
        <w:rPr>
          <w:rFonts w:cs="Calibri"/>
          <w:sz w:val="24"/>
          <w:szCs w:val="24"/>
        </w:rPr>
        <w:t xml:space="preserve">   2,378</w:t>
      </w:r>
    </w:p>
    <w:p w:rsidRPr="006D5A44" w:rsidR="007205C4" w:rsidP="0005627A" w:rsidRDefault="00482525" w14:paraId="18DD3F05" w14:textId="77777777">
      <w:pPr>
        <w:pStyle w:val="NoSpacing"/>
        <w:rPr>
          <w:rFonts w:cs="Calibri"/>
          <w:sz w:val="24"/>
          <w:szCs w:val="24"/>
        </w:rPr>
      </w:pPr>
      <w:r w:rsidRPr="006D5A44">
        <w:rPr>
          <w:rFonts w:cs="Calibri"/>
          <w:sz w:val="24"/>
          <w:szCs w:val="24"/>
        </w:rPr>
        <w:tab/>
        <w:t>Respondents</w:t>
      </w:r>
      <w:r w:rsidRPr="006D5A44">
        <w:rPr>
          <w:rFonts w:cs="Calibri"/>
          <w:sz w:val="24"/>
          <w:szCs w:val="24"/>
        </w:rPr>
        <w:tab/>
      </w:r>
      <w:r w:rsidRPr="006D5A44" w:rsidR="0005627A">
        <w:rPr>
          <w:rFonts w:cs="Calibri"/>
          <w:sz w:val="24"/>
          <w:szCs w:val="24"/>
        </w:rPr>
        <w:t xml:space="preserve">        17</w:t>
      </w:r>
    </w:p>
    <w:p w:rsidRPr="006D5A44" w:rsidR="00482525" w:rsidP="0005627A" w:rsidRDefault="00482525" w14:paraId="7AC75384" w14:textId="77777777">
      <w:pPr>
        <w:pStyle w:val="NoSpacing"/>
        <w:rPr>
          <w:rFonts w:cs="Calibri"/>
          <w:sz w:val="24"/>
          <w:szCs w:val="24"/>
        </w:rPr>
      </w:pPr>
      <w:r w:rsidRPr="006D5A44">
        <w:rPr>
          <w:rFonts w:cs="Calibri"/>
          <w:sz w:val="24"/>
          <w:szCs w:val="24"/>
        </w:rPr>
        <w:tab/>
        <w:t>Burden Hours</w:t>
      </w:r>
      <w:r w:rsidRPr="006D5A44">
        <w:rPr>
          <w:rFonts w:cs="Calibri"/>
          <w:sz w:val="24"/>
          <w:szCs w:val="24"/>
        </w:rPr>
        <w:tab/>
      </w:r>
      <w:r w:rsidRPr="006D5A44" w:rsidR="007205C4">
        <w:rPr>
          <w:rFonts w:cs="Calibri"/>
          <w:sz w:val="24"/>
          <w:szCs w:val="24"/>
        </w:rPr>
        <w:t xml:space="preserve">   </w:t>
      </w:r>
      <w:r w:rsidRPr="006D5A44" w:rsidR="0005627A">
        <w:rPr>
          <w:rFonts w:cs="Calibri"/>
          <w:sz w:val="24"/>
          <w:szCs w:val="24"/>
        </w:rPr>
        <w:t>1,181</w:t>
      </w:r>
    </w:p>
    <w:p w:rsidRPr="006D5A44" w:rsidR="00B36517" w:rsidP="0005627A" w:rsidRDefault="00B36517" w14:paraId="4BDBF1B4" w14:textId="77777777">
      <w:pPr>
        <w:pStyle w:val="NoSpacing"/>
        <w:rPr>
          <w:rFonts w:cs="Calibri"/>
          <w:sz w:val="24"/>
          <w:szCs w:val="24"/>
        </w:rPr>
      </w:pPr>
    </w:p>
    <w:p w:rsidRPr="006D5A44" w:rsidR="00ED41BF" w:rsidP="0005627A" w:rsidRDefault="00ED41BF" w14:paraId="4FD45EE1" w14:textId="77777777">
      <w:pPr>
        <w:pStyle w:val="NoSpacing"/>
        <w:rPr>
          <w:rFonts w:cs="Calibri"/>
          <w:sz w:val="24"/>
          <w:szCs w:val="24"/>
        </w:rPr>
      </w:pPr>
    </w:p>
    <w:sectPr w:rsidRPr="006D5A44" w:rsidR="00ED41B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DB6D1" w14:textId="77777777" w:rsidR="006D5A44" w:rsidRDefault="006D5A44" w:rsidP="00C50755">
      <w:pPr>
        <w:spacing w:after="0" w:line="240" w:lineRule="auto"/>
      </w:pPr>
      <w:r>
        <w:separator/>
      </w:r>
    </w:p>
  </w:endnote>
  <w:endnote w:type="continuationSeparator" w:id="0">
    <w:p w14:paraId="58AE0CC8" w14:textId="77777777" w:rsidR="006D5A44" w:rsidRDefault="006D5A44"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CB6F" w14:textId="77777777" w:rsidR="006D5A44" w:rsidRDefault="006D5A44" w:rsidP="00C50755">
      <w:pPr>
        <w:spacing w:after="0" w:line="240" w:lineRule="auto"/>
      </w:pPr>
      <w:r>
        <w:separator/>
      </w:r>
    </w:p>
  </w:footnote>
  <w:footnote w:type="continuationSeparator" w:id="0">
    <w:p w14:paraId="29C4911B" w14:textId="77777777" w:rsidR="006D5A44" w:rsidRDefault="006D5A44"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442B" w14:textId="77777777" w:rsidR="00C50755" w:rsidRPr="006D5A44" w:rsidRDefault="00C50755" w:rsidP="00C50755">
    <w:pPr>
      <w:rPr>
        <w:rFonts w:cs="Calibri"/>
        <w:sz w:val="20"/>
        <w:szCs w:val="20"/>
      </w:rPr>
    </w:pPr>
    <w:r w:rsidRPr="006D5A44">
      <w:rPr>
        <w:rFonts w:cs="Calibri"/>
        <w:sz w:val="20"/>
        <w:szCs w:val="20"/>
      </w:rPr>
      <w:t>1845-</w:t>
    </w:r>
    <w:r w:rsidR="00ED41BF" w:rsidRPr="006D5A44">
      <w:rPr>
        <w:rFonts w:cs="Calibri"/>
        <w:sz w:val="20"/>
        <w:szCs w:val="20"/>
      </w:rPr>
      <w:t>010</w:t>
    </w:r>
    <w:r w:rsidR="0005627A" w:rsidRPr="006D5A44">
      <w:rPr>
        <w:rFonts w:cs="Calibri"/>
        <w:sz w:val="20"/>
        <w:szCs w:val="20"/>
      </w:rPr>
      <w:t>5</w:t>
    </w:r>
    <w:r w:rsidRPr="006D5A44">
      <w:rPr>
        <w:rFonts w:cs="Calibri"/>
        <w:sz w:val="20"/>
        <w:szCs w:val="20"/>
      </w:rPr>
      <w:t xml:space="preserve"> – Affected Public </w:t>
    </w:r>
    <w:r w:rsidR="00CC2AA3" w:rsidRPr="006D5A44">
      <w:rPr>
        <w:rFonts w:cs="Calibri"/>
        <w:sz w:val="20"/>
        <w:szCs w:val="20"/>
      </w:rPr>
      <w:t>–</w:t>
    </w:r>
    <w:r w:rsidR="00E837DE" w:rsidRPr="006D5A44">
      <w:rPr>
        <w:rFonts w:cs="Calibri"/>
        <w:sz w:val="20"/>
        <w:szCs w:val="20"/>
      </w:rPr>
      <w:t xml:space="preserve"> Private</w:t>
    </w:r>
    <w:r w:rsidR="00CC2AA3" w:rsidRPr="006D5A44">
      <w:rPr>
        <w:rFonts w:cs="Calibri"/>
        <w:sz w:val="20"/>
        <w:szCs w:val="20"/>
      </w:rPr>
      <w:t xml:space="preserve"> Institutions</w:t>
    </w:r>
    <w:r w:rsidRPr="006D5A44">
      <w:rPr>
        <w:rFonts w:cs="Calibri"/>
        <w:sz w:val="20"/>
        <w:szCs w:val="20"/>
      </w:rPr>
      <w:t xml:space="preserve"> </w:t>
    </w:r>
    <w:r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19485C" w:rsidRPr="006D5A44">
      <w:rPr>
        <w:rFonts w:cs="Calibri"/>
        <w:sz w:val="20"/>
        <w:szCs w:val="20"/>
      </w:rPr>
      <w:tab/>
    </w:r>
    <w:r w:rsidR="0005627A" w:rsidRPr="006D5A44">
      <w:rPr>
        <w:rFonts w:cs="Calibri"/>
        <w:sz w:val="20"/>
        <w:szCs w:val="20"/>
      </w:rPr>
      <w:t>4/29/2022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5627A"/>
    <w:rsid w:val="000E5450"/>
    <w:rsid w:val="000E5548"/>
    <w:rsid w:val="0019485C"/>
    <w:rsid w:val="001D6E61"/>
    <w:rsid w:val="002D31AB"/>
    <w:rsid w:val="00417F9D"/>
    <w:rsid w:val="004233AE"/>
    <w:rsid w:val="00433F7B"/>
    <w:rsid w:val="004712C9"/>
    <w:rsid w:val="00482525"/>
    <w:rsid w:val="0049270B"/>
    <w:rsid w:val="004B2FDC"/>
    <w:rsid w:val="00557675"/>
    <w:rsid w:val="005C45FF"/>
    <w:rsid w:val="006D5A44"/>
    <w:rsid w:val="006F031D"/>
    <w:rsid w:val="007205C4"/>
    <w:rsid w:val="0075352A"/>
    <w:rsid w:val="00786C61"/>
    <w:rsid w:val="007F312F"/>
    <w:rsid w:val="008272DF"/>
    <w:rsid w:val="00980C7B"/>
    <w:rsid w:val="009D3795"/>
    <w:rsid w:val="00AD0241"/>
    <w:rsid w:val="00AE1FF3"/>
    <w:rsid w:val="00B01EDE"/>
    <w:rsid w:val="00B16783"/>
    <w:rsid w:val="00B36517"/>
    <w:rsid w:val="00BA1EFC"/>
    <w:rsid w:val="00C50755"/>
    <w:rsid w:val="00CB356C"/>
    <w:rsid w:val="00CC2AA3"/>
    <w:rsid w:val="00DC523B"/>
    <w:rsid w:val="00E837DE"/>
    <w:rsid w:val="00ED0DDE"/>
    <w:rsid w:val="00ED41BF"/>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9ACA29"/>
  <w15:chartTrackingRefBased/>
  <w15:docId w15:val="{0EE617CC-E6DA-4C6E-9A0A-96981194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customStyle="1" w:styleId="NormalChar">
    <w:name w:val="Normal Char"/>
    <w:rsid w:val="00ED41BF"/>
    <w:rPr>
      <w:rFonts w:ascii="Courier New" w:hAnsi="Courier New"/>
      <w:lang w:val="en-US" w:eastAsia="en-US" w:bidi="ar-SA"/>
    </w:rPr>
  </w:style>
  <w:style w:type="paragraph" w:styleId="BalloonText">
    <w:name w:val="Balloon Text"/>
    <w:basedOn w:val="Normal"/>
    <w:link w:val="BalloonTextChar"/>
    <w:uiPriority w:val="99"/>
    <w:semiHidden/>
    <w:unhideWhenUsed/>
    <w:rsid w:val="00AD02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2016-08-26T14:07:00Z</cp:lastPrinted>
  <dcterms:created xsi:type="dcterms:W3CDTF">2022-05-04T20:30:00Z</dcterms:created>
  <dcterms:modified xsi:type="dcterms:W3CDTF">2022-05-04T20:30:00Z</dcterms:modified>
</cp:coreProperties>
</file>