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7471" w:rsidR="000C2719" w:rsidP="000C2719" w:rsidRDefault="009D16A3" w14:paraId="4951CBB8" w14:textId="77777777">
      <w:pPr>
        <w:widowControl w:val="0"/>
        <w:tabs>
          <w:tab w:val="center" w:pos="4320"/>
          <w:tab w:val="right" w:pos="8640"/>
        </w:tabs>
        <w:jc w:val="center"/>
        <w:rPr>
          <w:rFonts w:eastAsia="Calibri"/>
          <w:color w:val="000000"/>
        </w:rPr>
      </w:pPr>
      <w:r>
        <w:rPr>
          <w:rFonts w:eastAsia="Calibri"/>
          <w:noProof/>
        </w:rPr>
        <w:object w:dxaOrig="1440" w:dyaOrig="1440" w14:anchorId="0D87721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68.5pt;margin-top:57.75pt;width:63.75pt;height:54pt;z-index:-251658752;visibility:visible;mso-position-horizontal-relative:page;mso-position-vertical-relative:page" o:allowincell="f" fillcolor="window" type="#_x0000_t75">
            <v:imagedata o:title="" r:id="rId12"/>
            <w10:wrap anchorx="page" anchory="page"/>
          </v:shape>
          <o:OLEObject Type="Embed" ProgID="Word.Picture.8" ShapeID="_x0000_s1026" DrawAspect="Content" ObjectID="_1714982065" r:id="rId13"/>
        </w:object>
      </w:r>
      <w:r w:rsidRPr="00344738" w:rsidR="000C2719">
        <w:rPr>
          <w:rFonts w:ascii="Arial" w:hAnsi="Arial" w:eastAsia="Calibri"/>
          <w:b/>
          <w:color w:val="008000"/>
          <w:sz w:val="20"/>
          <w:szCs w:val="20"/>
        </w:rPr>
        <w:t>DEPARTMENT OF THE TREASURY</w:t>
      </w:r>
    </w:p>
    <w:p w:rsidRPr="00157471" w:rsidR="000C2719" w:rsidP="000C2719" w:rsidRDefault="000C2719" w14:paraId="62012A2F" w14:textId="77777777">
      <w:pPr>
        <w:widowControl w:val="0"/>
        <w:tabs>
          <w:tab w:val="center" w:pos="4320"/>
          <w:tab w:val="right" w:pos="8640"/>
        </w:tabs>
        <w:rPr>
          <w:rFonts w:ascii="Arial" w:hAnsi="Arial" w:eastAsia="Calibri"/>
          <w:b/>
          <w:color w:val="008000"/>
          <w:sz w:val="20"/>
          <w:szCs w:val="20"/>
        </w:rPr>
      </w:pPr>
      <w:r>
        <w:rPr>
          <w:rFonts w:ascii="Arial" w:hAnsi="Arial" w:eastAsia="Calibri"/>
          <w:b/>
          <w:color w:val="008000"/>
          <w:sz w:val="16"/>
          <w:szCs w:val="22"/>
        </w:rPr>
        <w:t xml:space="preserve">                                                                         </w:t>
      </w:r>
      <w:r w:rsidRPr="00157471">
        <w:rPr>
          <w:rFonts w:ascii="Arial" w:hAnsi="Arial" w:eastAsia="Calibri"/>
          <w:b/>
          <w:color w:val="008000"/>
          <w:sz w:val="20"/>
          <w:szCs w:val="20"/>
        </w:rPr>
        <w:t>WASHINGTON, D.C.  20220</w:t>
      </w:r>
    </w:p>
    <w:p w:rsidRPr="00157471" w:rsidR="000C2719" w:rsidP="000C2719" w:rsidRDefault="000C2719" w14:paraId="61BC2CD5" w14:textId="77777777">
      <w:pPr>
        <w:tabs>
          <w:tab w:val="left" w:pos="0"/>
          <w:tab w:val="left" w:pos="1872"/>
          <w:tab w:val="left" w:pos="4320"/>
          <w:tab w:val="left" w:pos="5040"/>
          <w:tab w:val="left" w:pos="5760"/>
          <w:tab w:val="left" w:pos="6480"/>
          <w:tab w:val="left" w:pos="7200"/>
          <w:tab w:val="left" w:pos="7920"/>
          <w:tab w:val="left" w:pos="8640"/>
        </w:tabs>
        <w:rPr>
          <w:rFonts w:ascii="Arial" w:hAnsi="Arial" w:eastAsia="Calibri" w:cs="Arial"/>
          <w:iCs/>
        </w:rPr>
      </w:pPr>
    </w:p>
    <w:p w:rsidR="000C2719" w:rsidP="000C2719" w:rsidRDefault="000C2719" w14:paraId="0B10C677" w14:textId="77777777">
      <w:pPr>
        <w:outlineLvl w:val="0"/>
        <w:rPr>
          <w:b/>
        </w:rPr>
      </w:pPr>
    </w:p>
    <w:p w:rsidR="000C2719" w:rsidP="000C2719" w:rsidRDefault="000C2719" w14:paraId="1D9A89F7" w14:textId="77777777">
      <w:pPr>
        <w:outlineLvl w:val="0"/>
        <w:rPr>
          <w:b/>
        </w:rPr>
      </w:pPr>
    </w:p>
    <w:p w:rsidRPr="007927F6" w:rsidR="000C2719" w:rsidP="000C2719" w:rsidRDefault="000C2719" w14:paraId="4CAB8E30" w14:textId="77777777">
      <w:pPr>
        <w:ind w:left="2400"/>
        <w:outlineLvl w:val="0"/>
      </w:pPr>
      <w:r w:rsidRPr="007927F6">
        <w:rPr>
          <w:b/>
        </w:rPr>
        <w:t xml:space="preserve">         </w:t>
      </w:r>
      <w:r w:rsidRPr="007927F6">
        <w:rPr>
          <w:b/>
        </w:rPr>
        <w:tab/>
      </w:r>
      <w:r w:rsidRPr="007927F6">
        <w:rPr>
          <w:b/>
        </w:rPr>
        <w:tab/>
      </w:r>
      <w:r w:rsidRPr="007927F6">
        <w:rPr>
          <w:b/>
        </w:rPr>
        <w:tab/>
        <w:t xml:space="preserve">      </w:t>
      </w:r>
    </w:p>
    <w:p w:rsidRPr="007927F6" w:rsidR="000C2719" w:rsidP="000C2719" w:rsidRDefault="000C2719" w14:paraId="6C7AAFE3" w14:textId="77777777">
      <w:pPr>
        <w:outlineLvl w:val="0"/>
        <w:rPr>
          <w:b/>
        </w:rPr>
      </w:pPr>
      <w:r w:rsidRPr="007927F6">
        <w:rPr>
          <w:b/>
        </w:rPr>
        <w:t>TO:</w:t>
      </w:r>
      <w:r w:rsidRPr="007927F6">
        <w:rPr>
          <w:b/>
        </w:rPr>
        <w:tab/>
      </w:r>
      <w:r w:rsidRPr="007927F6">
        <w:rPr>
          <w:b/>
        </w:rPr>
        <w:tab/>
      </w:r>
      <w:r w:rsidRPr="007927F6">
        <w:t>Alex Goodenough, Office of Information and Regulatory Affairs</w:t>
      </w:r>
    </w:p>
    <w:p w:rsidRPr="007927F6" w:rsidR="000C2719" w:rsidP="000C2719" w:rsidRDefault="000C2719" w14:paraId="39BA793F" w14:textId="77777777">
      <w:pPr>
        <w:outlineLvl w:val="0"/>
        <w:rPr>
          <w:b/>
        </w:rPr>
      </w:pPr>
    </w:p>
    <w:p w:rsidRPr="007927F6" w:rsidR="000C2719" w:rsidP="000C2719" w:rsidRDefault="000C2719" w14:paraId="41CA4160" w14:textId="77777777">
      <w:pPr>
        <w:outlineLvl w:val="0"/>
      </w:pPr>
      <w:r w:rsidRPr="007927F6">
        <w:rPr>
          <w:b/>
        </w:rPr>
        <w:t>FROM:</w:t>
      </w:r>
      <w:r w:rsidRPr="007927F6">
        <w:rPr>
          <w:b/>
        </w:rPr>
        <w:tab/>
      </w:r>
      <w:r w:rsidRPr="007927F6">
        <w:t>Ryan Law, Deputy Assistant Secretary for Privacy, Transparency, and Records</w:t>
      </w:r>
    </w:p>
    <w:p w:rsidRPr="007927F6" w:rsidR="000C2719" w:rsidP="000C2719" w:rsidRDefault="000C2719" w14:paraId="073AD167" w14:textId="77777777">
      <w:pPr>
        <w:outlineLvl w:val="0"/>
      </w:pPr>
      <w:r w:rsidRPr="007927F6">
        <w:tab/>
      </w:r>
      <w:r w:rsidRPr="007927F6">
        <w:tab/>
        <w:t xml:space="preserve">         </w:t>
      </w:r>
      <w:r w:rsidRPr="007927F6">
        <w:tab/>
      </w:r>
      <w:r w:rsidRPr="007927F6">
        <w:tab/>
      </w:r>
    </w:p>
    <w:p w:rsidRPr="007927F6" w:rsidR="000C2719" w:rsidP="00063976" w:rsidRDefault="000C2719" w14:paraId="27C6AEB2" w14:textId="618E5B4B">
      <w:pPr>
        <w:pStyle w:val="Default"/>
      </w:pPr>
      <w:r w:rsidRPr="007927F6">
        <w:rPr>
          <w:b/>
        </w:rPr>
        <w:t xml:space="preserve">SUBJECT:    </w:t>
      </w:r>
      <w:r w:rsidRPr="007927F6">
        <w:rPr>
          <w:b/>
        </w:rPr>
        <w:tab/>
      </w:r>
      <w:r w:rsidRPr="007927F6">
        <w:t xml:space="preserve">Justification for Emergency Processing: </w:t>
      </w:r>
      <w:r w:rsidR="007C0D4D">
        <w:t xml:space="preserve">Interim Final Rule and </w:t>
      </w:r>
      <w:r w:rsidR="003D20E4">
        <w:t xml:space="preserve">Capital Program Reporting </w:t>
      </w:r>
      <w:r w:rsidR="00D25B8C">
        <w:t>Guidance</w:t>
      </w:r>
      <w:r w:rsidR="00C71278">
        <w:t xml:space="preserve"> </w:t>
      </w:r>
      <w:r w:rsidRPr="007927F6" w:rsidR="00BE744A">
        <w:t xml:space="preserve">for the State Small Business Credit Initiative </w:t>
      </w:r>
      <w:r w:rsidR="00C71278">
        <w:t xml:space="preserve">(SSBCI) </w:t>
      </w:r>
    </w:p>
    <w:p w:rsidRPr="007927F6" w:rsidR="00B72806" w:rsidP="00B72806" w:rsidRDefault="00B72806" w14:paraId="3FF7868F" w14:textId="24319835">
      <w:pPr>
        <w:autoSpaceDE w:val="0"/>
        <w:autoSpaceDN w:val="0"/>
      </w:pPr>
    </w:p>
    <w:p w:rsidRPr="007927F6" w:rsidR="00D72969" w:rsidP="00D72969" w:rsidRDefault="00D72969" w14:paraId="6B52E870" w14:textId="6B8576B9">
      <w:pPr>
        <w:autoSpaceDE w:val="0"/>
        <w:autoSpaceDN w:val="0"/>
      </w:pPr>
      <w:r w:rsidRPr="007927F6">
        <w:t>Pursuant to the Office of Management and Budget (OMB) procedures established at 5</w:t>
      </w:r>
      <w:r w:rsidR="00C71278">
        <w:t> </w:t>
      </w:r>
      <w:r w:rsidRPr="007927F6">
        <w:t>C.F.R.</w:t>
      </w:r>
      <w:r w:rsidR="00C71278">
        <w:t> </w:t>
      </w:r>
      <w:r w:rsidRPr="007927F6">
        <w:t xml:space="preserve">§ 1320.13, the Department of the Treasury (Treasury) requests emergency processing of </w:t>
      </w:r>
      <w:r>
        <w:t>the following</w:t>
      </w:r>
      <w:r w:rsidRPr="007927F6">
        <w:t xml:space="preserve"> new information collection request for the State Small Business Credit Initiative (SSBCI).</w:t>
      </w:r>
    </w:p>
    <w:p w:rsidR="00D72969" w:rsidP="00B72806" w:rsidRDefault="00D72969" w14:paraId="6F780B35" w14:textId="77777777">
      <w:pPr>
        <w:autoSpaceDE w:val="0"/>
        <w:autoSpaceDN w:val="0"/>
        <w:rPr>
          <w:b/>
          <w:bCs/>
          <w:i/>
          <w:iCs/>
        </w:rPr>
      </w:pPr>
    </w:p>
    <w:p w:rsidR="007927F6" w:rsidP="00B72806" w:rsidRDefault="007927F6" w14:paraId="1DA8FD8D" w14:textId="19DCB495">
      <w:pPr>
        <w:autoSpaceDE w:val="0"/>
        <w:autoSpaceDN w:val="0"/>
        <w:rPr>
          <w:b/>
          <w:bCs/>
          <w:i/>
          <w:iCs/>
        </w:rPr>
      </w:pPr>
      <w:r w:rsidRPr="007927F6">
        <w:rPr>
          <w:b/>
          <w:bCs/>
          <w:i/>
          <w:iCs/>
        </w:rPr>
        <w:t xml:space="preserve">Description of New Information Collection </w:t>
      </w:r>
    </w:p>
    <w:p w:rsidRPr="007927F6" w:rsidR="00C15C26" w:rsidP="00B72806" w:rsidRDefault="00C15C26" w14:paraId="43086EFA" w14:textId="77777777">
      <w:pPr>
        <w:autoSpaceDE w:val="0"/>
        <w:autoSpaceDN w:val="0"/>
        <w:rPr>
          <w:b/>
          <w:bCs/>
          <w:i/>
          <w:iCs/>
        </w:rPr>
      </w:pPr>
    </w:p>
    <w:p w:rsidR="002A7C96" w:rsidP="002A7C96" w:rsidRDefault="002A7C96" w14:paraId="689A28DD" w14:textId="349929E1">
      <w:pPr>
        <w:rPr>
          <w:rFonts w:eastAsiaTheme="minorHAnsi"/>
        </w:rPr>
      </w:pPr>
      <w:bookmarkStart w:name="_Hlk87003089" w:id="0"/>
      <w:r w:rsidRPr="002A7C96">
        <w:rPr>
          <w:rFonts w:eastAsiaTheme="minorHAnsi"/>
        </w:rPr>
        <w:t>The American Rescue Plan Act of 2021 (ARPA) amended the Small Business Jobs Act of 2010 (SBJA) to reauthorize and provide $10 billion to fund the SSBCI as a response to the economic effects of the COVID-19 pandemic.</w:t>
      </w:r>
      <w:r w:rsidRPr="002A7C96">
        <w:rPr>
          <w:rFonts w:eastAsiaTheme="minorHAnsi"/>
          <w:vertAlign w:val="superscript"/>
        </w:rPr>
        <w:footnoteReference w:id="2"/>
      </w:r>
      <w:r w:rsidRPr="002A7C96">
        <w:rPr>
          <w:rFonts w:eastAsiaTheme="minorHAnsi"/>
        </w:rPr>
        <w:t xml:space="preserve"> SSBCI is a federal program administered by Treasury that was created to strengthen </w:t>
      </w:r>
      <w:r w:rsidR="00D76D91">
        <w:rPr>
          <w:rFonts w:eastAsiaTheme="minorHAnsi"/>
        </w:rPr>
        <w:t xml:space="preserve">and expand </w:t>
      </w:r>
      <w:r w:rsidRPr="002A7C96">
        <w:rPr>
          <w:rFonts w:eastAsiaTheme="minorHAnsi"/>
        </w:rPr>
        <w:t xml:space="preserve">the programs of eligible jurisdictions that support private financing to small businesses. Eligible jurisdictions include states, </w:t>
      </w:r>
      <w:r w:rsidR="00DF2446">
        <w:rPr>
          <w:rFonts w:eastAsiaTheme="minorHAnsi"/>
        </w:rPr>
        <w:t xml:space="preserve">the District of Columbia, </w:t>
      </w:r>
      <w:r w:rsidRPr="002A7C96">
        <w:rPr>
          <w:rFonts w:eastAsiaTheme="minorHAnsi"/>
        </w:rPr>
        <w:t>territories, Tribal governments, and eligible municipalities. SSBCI is expected to create tens of billions of dollars in lending to, and investments in, small businesses.</w:t>
      </w:r>
    </w:p>
    <w:p w:rsidRPr="002A7C96" w:rsidR="006844FB" w:rsidP="002A7C96" w:rsidRDefault="006844FB" w14:paraId="69454630" w14:textId="77777777">
      <w:pPr>
        <w:rPr>
          <w:rFonts w:eastAsiaTheme="minorHAnsi"/>
        </w:rPr>
      </w:pPr>
    </w:p>
    <w:p w:rsidR="002A7C96" w:rsidP="002A7C96" w:rsidRDefault="006844FB" w14:paraId="7D1EA164" w14:textId="1FF7CB98">
      <w:pPr>
        <w:rPr>
          <w:rFonts w:eastAsiaTheme="minorHAnsi"/>
        </w:rPr>
      </w:pPr>
      <w:r w:rsidRPr="006844FB">
        <w:rPr>
          <w:rFonts w:eastAsiaTheme="minorHAnsi"/>
        </w:rPr>
        <w:t xml:space="preserve">The SSBCI statute, 12 U.S.C. § 5706, requires </w:t>
      </w:r>
      <w:r w:rsidR="00DF2446">
        <w:rPr>
          <w:rFonts w:eastAsiaTheme="minorHAnsi"/>
        </w:rPr>
        <w:t>participating</w:t>
      </w:r>
      <w:r w:rsidRPr="006844FB" w:rsidR="00DF2446">
        <w:rPr>
          <w:rFonts w:eastAsiaTheme="minorHAnsi"/>
        </w:rPr>
        <w:t xml:space="preserve"> </w:t>
      </w:r>
      <w:r w:rsidRPr="006844FB">
        <w:rPr>
          <w:rFonts w:eastAsiaTheme="minorHAnsi"/>
        </w:rPr>
        <w:t>jurisdictions to submit to Treasury quarterly and annual reports. These reports must contain certain data elements set forth in §</w:t>
      </w:r>
      <w:r w:rsidR="00DF2446">
        <w:rPr>
          <w:rFonts w:eastAsiaTheme="minorHAnsi"/>
        </w:rPr>
        <w:t> </w:t>
      </w:r>
      <w:r w:rsidRPr="006844FB">
        <w:rPr>
          <w:rFonts w:eastAsiaTheme="minorHAnsi"/>
        </w:rPr>
        <w:t>5706(a) and (b). Treasury also has authority under § 5709 to issue other guidance to establish additional reporting requirements that are necessary to carry out the purposes of SSBCI. Issuing guidance requiring</w:t>
      </w:r>
      <w:r>
        <w:rPr>
          <w:rFonts w:eastAsiaTheme="minorHAnsi"/>
        </w:rPr>
        <w:t xml:space="preserve"> </w:t>
      </w:r>
      <w:r w:rsidRPr="006844FB">
        <w:rPr>
          <w:rFonts w:eastAsiaTheme="minorHAnsi"/>
        </w:rPr>
        <w:t>additional reporting requirements enables Treasury to collect not only the quarterly and annual information required under § 570</w:t>
      </w:r>
      <w:r w:rsidR="00D76D91">
        <w:rPr>
          <w:rFonts w:eastAsiaTheme="minorHAnsi"/>
        </w:rPr>
        <w:t>6</w:t>
      </w:r>
      <w:r w:rsidRPr="006844FB">
        <w:rPr>
          <w:rFonts w:eastAsiaTheme="minorHAnsi"/>
        </w:rPr>
        <w:t xml:space="preserve">, but also more detailed information about the </w:t>
      </w:r>
      <w:r w:rsidR="00DF2446">
        <w:rPr>
          <w:rFonts w:eastAsiaTheme="minorHAnsi"/>
        </w:rPr>
        <w:t>participating</w:t>
      </w:r>
      <w:r w:rsidRPr="006844FB" w:rsidR="00DF2446">
        <w:rPr>
          <w:rFonts w:eastAsiaTheme="minorHAnsi"/>
        </w:rPr>
        <w:t xml:space="preserve"> </w:t>
      </w:r>
      <w:r w:rsidRPr="006844FB">
        <w:rPr>
          <w:rFonts w:eastAsiaTheme="minorHAnsi"/>
        </w:rPr>
        <w:t>jurisdictions’ SSBCI-supported programs</w:t>
      </w:r>
      <w:r>
        <w:rPr>
          <w:rFonts w:eastAsiaTheme="minorHAnsi"/>
        </w:rPr>
        <w:t>.</w:t>
      </w:r>
      <w:r w:rsidRPr="006844FB">
        <w:rPr>
          <w:rFonts w:eastAsiaTheme="minorHAnsi"/>
        </w:rPr>
        <w:t xml:space="preserve"> </w:t>
      </w:r>
    </w:p>
    <w:p w:rsidRPr="002A7C96" w:rsidR="006844FB" w:rsidP="002A7C96" w:rsidRDefault="006844FB" w14:paraId="19A263A3" w14:textId="77777777">
      <w:pPr>
        <w:rPr>
          <w:rFonts w:eastAsiaTheme="minorHAnsi"/>
        </w:rPr>
      </w:pPr>
    </w:p>
    <w:p w:rsidR="003A4F6D" w:rsidP="003A4F6D" w:rsidRDefault="003A4F6D" w14:paraId="0C761E2B" w14:textId="1AF72B8E">
      <w:r w:rsidRPr="00EC1359">
        <w:t xml:space="preserve">The </w:t>
      </w:r>
      <w:r>
        <w:t xml:space="preserve">Capital Program Reporting Guidance </w:t>
      </w:r>
      <w:r w:rsidR="00DF2446">
        <w:t xml:space="preserve">sets forth </w:t>
      </w:r>
      <w:r>
        <w:t xml:space="preserve">the SSBCI </w:t>
      </w:r>
      <w:r w:rsidRPr="00EC1359">
        <w:t>reporting requirements</w:t>
      </w:r>
      <w:r>
        <w:t xml:space="preserve"> for all participating </w:t>
      </w:r>
      <w:r w:rsidRPr="00482C0B">
        <w:t>jurisdiction</w:t>
      </w:r>
      <w:r>
        <w:t>s</w:t>
      </w:r>
      <w:r w:rsidR="00F43F48">
        <w:t xml:space="preserve"> beyond the required demographics-related data elements set forth in the SSBCI interim final rule</w:t>
      </w:r>
      <w:r>
        <w:t xml:space="preserve">. </w:t>
      </w:r>
      <w:r w:rsidR="00264AD7">
        <w:t>P</w:t>
      </w:r>
      <w:r>
        <w:t xml:space="preserve">articipating </w:t>
      </w:r>
      <w:r w:rsidR="00DF2446">
        <w:t>j</w:t>
      </w:r>
      <w:r>
        <w:t>urisdiction</w:t>
      </w:r>
      <w:r w:rsidR="00264AD7">
        <w:t>s</w:t>
      </w:r>
      <w:r>
        <w:t xml:space="preserve"> </w:t>
      </w:r>
      <w:r w:rsidRPr="00482C0B">
        <w:t xml:space="preserve">must provide </w:t>
      </w:r>
      <w:r>
        <w:t xml:space="preserve">quarterly reports and annual </w:t>
      </w:r>
      <w:r w:rsidRPr="00482C0B">
        <w:t>report</w:t>
      </w:r>
      <w:r>
        <w:t>s</w:t>
      </w:r>
      <w:r w:rsidRPr="00482C0B">
        <w:t xml:space="preserve"> to Treasury</w:t>
      </w:r>
      <w:r>
        <w:t xml:space="preserve">. </w:t>
      </w:r>
      <w:r w:rsidR="00F43F48">
        <w:t xml:space="preserve">The </w:t>
      </w:r>
      <w:r w:rsidR="006844FB">
        <w:t>quarterly</w:t>
      </w:r>
      <w:r w:rsidRPr="00482C0B" w:rsidR="006844FB">
        <w:t xml:space="preserve"> report</w:t>
      </w:r>
      <w:r w:rsidR="006844FB">
        <w:t xml:space="preserve"> from a participating jurisdiction must</w:t>
      </w:r>
      <w:r w:rsidRPr="00482C0B" w:rsidR="006844FB">
        <w:t xml:space="preserve"> </w:t>
      </w:r>
      <w:r w:rsidR="006844FB">
        <w:t xml:space="preserve">include basic information about the jurisdiction’s SSBCI-supported programs and program-level information on the use of the jurisdiction’s SSBCI funds. </w:t>
      </w:r>
      <w:r w:rsidR="00F43F48">
        <w:t xml:space="preserve">The </w:t>
      </w:r>
      <w:r>
        <w:t>annual report must</w:t>
      </w:r>
      <w:r w:rsidRPr="00482C0B">
        <w:t xml:space="preserve"> include</w:t>
      </w:r>
      <w:r>
        <w:t xml:space="preserve"> information about the jurisdiction’s SSBCI-supported program providers, its SSBCI-supported loans and investments, the specific terms of its SSBCI-supported loans and investments, and the performance of its SSBCI-supported loans and investments. </w:t>
      </w:r>
    </w:p>
    <w:p w:rsidRPr="00D76D91" w:rsidR="00D76D91" w:rsidP="003A4F6D" w:rsidRDefault="00D76D91" w14:paraId="174EA408" w14:textId="61170D0D">
      <w:pPr>
        <w:rPr>
          <w:rFonts w:eastAsiaTheme="minorHAnsi"/>
        </w:rPr>
      </w:pPr>
      <w:r w:rsidRPr="002A7C96">
        <w:rPr>
          <w:rFonts w:eastAsiaTheme="minorHAnsi"/>
        </w:rPr>
        <w:lastRenderedPageBreak/>
        <w:t xml:space="preserve">The </w:t>
      </w:r>
      <w:r>
        <w:rPr>
          <w:rFonts w:eastAsiaTheme="minorHAnsi"/>
        </w:rPr>
        <w:t>interim final rule (IFR)</w:t>
      </w:r>
      <w:r w:rsidRPr="002A7C96">
        <w:rPr>
          <w:rFonts w:eastAsiaTheme="minorHAnsi"/>
        </w:rPr>
        <w:t xml:space="preserve"> </w:t>
      </w:r>
      <w:r>
        <w:rPr>
          <w:rFonts w:eastAsiaTheme="minorHAnsi"/>
        </w:rPr>
        <w:t>is the underlying legal authority for</w:t>
      </w:r>
      <w:r w:rsidRPr="002A7C96">
        <w:rPr>
          <w:rFonts w:eastAsiaTheme="minorHAnsi"/>
        </w:rPr>
        <w:t xml:space="preserve"> </w:t>
      </w:r>
      <w:r>
        <w:rPr>
          <w:rFonts w:eastAsiaTheme="minorHAnsi"/>
        </w:rPr>
        <w:t xml:space="preserve">capital program </w:t>
      </w:r>
      <w:r w:rsidRPr="002A7C96">
        <w:rPr>
          <w:rFonts w:eastAsiaTheme="minorHAnsi"/>
        </w:rPr>
        <w:t xml:space="preserve">reporting requirements </w:t>
      </w:r>
      <w:r>
        <w:rPr>
          <w:rFonts w:eastAsiaTheme="minorHAnsi"/>
        </w:rPr>
        <w:t xml:space="preserve">and forthcoming technical assistance program reporting requirements </w:t>
      </w:r>
      <w:r w:rsidRPr="002A7C96">
        <w:rPr>
          <w:rFonts w:eastAsiaTheme="minorHAnsi"/>
        </w:rPr>
        <w:t xml:space="preserve">related to demographics for those who own or control small businesses that participate in an SSBCI capital or technical assistance program. Specifically, each jurisdiction that participates in </w:t>
      </w:r>
      <w:r>
        <w:rPr>
          <w:rFonts w:eastAsiaTheme="minorHAnsi"/>
        </w:rPr>
        <w:t xml:space="preserve">an </w:t>
      </w:r>
      <w:r w:rsidRPr="002A7C96">
        <w:rPr>
          <w:rFonts w:eastAsiaTheme="minorHAnsi"/>
        </w:rPr>
        <w:t xml:space="preserve">SSBCI </w:t>
      </w:r>
      <w:r>
        <w:rPr>
          <w:rFonts w:eastAsiaTheme="minorHAnsi"/>
        </w:rPr>
        <w:t xml:space="preserve">capital program </w:t>
      </w:r>
      <w:r w:rsidRPr="002A7C96">
        <w:rPr>
          <w:rFonts w:eastAsiaTheme="minorHAnsi"/>
        </w:rPr>
        <w:t xml:space="preserve">must provide an annual report to Treasury that includes the following data: demographics-related self-certified </w:t>
      </w:r>
      <w:r>
        <w:rPr>
          <w:rFonts w:eastAsiaTheme="minorHAnsi"/>
        </w:rPr>
        <w:t>socially and economically disadvantaged individual (</w:t>
      </w:r>
      <w:r w:rsidRPr="002A7C96">
        <w:rPr>
          <w:rFonts w:eastAsiaTheme="minorHAnsi"/>
        </w:rPr>
        <w:t>SEDI</w:t>
      </w:r>
      <w:r>
        <w:rPr>
          <w:rFonts w:eastAsiaTheme="minorHAnsi"/>
        </w:rPr>
        <w:t>)</w:t>
      </w:r>
      <w:r w:rsidRPr="002A7C96">
        <w:rPr>
          <w:rFonts w:eastAsiaTheme="minorHAnsi"/>
        </w:rPr>
        <w:t xml:space="preserve">-owned </w:t>
      </w:r>
      <w:r>
        <w:rPr>
          <w:rFonts w:eastAsiaTheme="minorHAnsi"/>
        </w:rPr>
        <w:t xml:space="preserve">and controlled </w:t>
      </w:r>
      <w:r w:rsidRPr="002A7C96">
        <w:rPr>
          <w:rFonts w:eastAsiaTheme="minorHAnsi"/>
        </w:rPr>
        <w:t xml:space="preserve">business status; minority-owned </w:t>
      </w:r>
      <w:r>
        <w:rPr>
          <w:rFonts w:eastAsiaTheme="minorHAnsi"/>
        </w:rPr>
        <w:t xml:space="preserve">or controlled </w:t>
      </w:r>
      <w:r w:rsidRPr="002A7C96">
        <w:rPr>
          <w:rFonts w:eastAsiaTheme="minorHAnsi"/>
        </w:rPr>
        <w:t xml:space="preserve">business status; women-owned </w:t>
      </w:r>
      <w:r>
        <w:rPr>
          <w:rFonts w:eastAsiaTheme="minorHAnsi"/>
        </w:rPr>
        <w:t xml:space="preserve">or controlled </w:t>
      </w:r>
      <w:r w:rsidRPr="002A7C96">
        <w:rPr>
          <w:rFonts w:eastAsiaTheme="minorHAnsi"/>
        </w:rPr>
        <w:t xml:space="preserve">business status; veteran-owned </w:t>
      </w:r>
      <w:r>
        <w:rPr>
          <w:rFonts w:eastAsiaTheme="minorHAnsi"/>
        </w:rPr>
        <w:t xml:space="preserve">or controlled </w:t>
      </w:r>
      <w:r w:rsidRPr="002A7C96">
        <w:rPr>
          <w:rFonts w:eastAsiaTheme="minorHAnsi"/>
        </w:rPr>
        <w:t>business status; and the race, ethnicity, gender, and veteran status of principal owners. For the quarterly report from jurisdictions</w:t>
      </w:r>
      <w:r>
        <w:rPr>
          <w:rFonts w:eastAsiaTheme="minorHAnsi"/>
        </w:rPr>
        <w:t xml:space="preserve"> that participate in an SSBCI capital program</w:t>
      </w:r>
      <w:r w:rsidRPr="002A7C96">
        <w:rPr>
          <w:rFonts w:eastAsiaTheme="minorHAnsi"/>
        </w:rPr>
        <w:t>, Treasury is collecting the total amount of SSBCI funds used in SSBCI</w:t>
      </w:r>
      <w:r>
        <w:rPr>
          <w:rFonts w:eastAsiaTheme="minorHAnsi"/>
        </w:rPr>
        <w:t>-supported loan and investment</w:t>
      </w:r>
      <w:r w:rsidRPr="002A7C96">
        <w:rPr>
          <w:rFonts w:eastAsiaTheme="minorHAnsi"/>
        </w:rPr>
        <w:t xml:space="preserve"> transactions involving demographics-related self-certified </w:t>
      </w:r>
      <w:r>
        <w:rPr>
          <w:rFonts w:eastAsiaTheme="minorHAnsi"/>
        </w:rPr>
        <w:t>SEDI-owned and controlled businesses</w:t>
      </w:r>
      <w:r w:rsidRPr="002A7C96">
        <w:rPr>
          <w:rFonts w:eastAsiaTheme="minorHAnsi"/>
        </w:rPr>
        <w:t>.</w:t>
      </w:r>
      <w:r>
        <w:rPr>
          <w:rFonts w:eastAsiaTheme="minorHAnsi"/>
        </w:rPr>
        <w:t xml:space="preserve">  </w:t>
      </w:r>
      <w:r w:rsidR="00F553A0">
        <w:rPr>
          <w:rFonts w:eastAsiaTheme="minorHAnsi"/>
        </w:rPr>
        <w:t>Treasury intends to require j</w:t>
      </w:r>
      <w:r>
        <w:rPr>
          <w:rFonts w:eastAsiaTheme="minorHAnsi"/>
        </w:rPr>
        <w:t xml:space="preserve">urisdictions that participate in SSBCI technical assistance programs </w:t>
      </w:r>
      <w:r w:rsidR="00F553A0">
        <w:rPr>
          <w:rFonts w:eastAsiaTheme="minorHAnsi"/>
        </w:rPr>
        <w:t>to</w:t>
      </w:r>
      <w:r>
        <w:rPr>
          <w:rFonts w:eastAsiaTheme="minorHAnsi"/>
        </w:rPr>
        <w:t xml:space="preserve"> report similar information.</w:t>
      </w:r>
    </w:p>
    <w:p w:rsidRPr="002A7C96" w:rsidR="002A7C96" w:rsidP="002A7C96" w:rsidRDefault="002A7C96" w14:paraId="115E6D9B" w14:textId="77777777">
      <w:pPr>
        <w:rPr>
          <w:rFonts w:eastAsiaTheme="minorHAnsi"/>
        </w:rPr>
      </w:pPr>
    </w:p>
    <w:p w:rsidR="003A4F6D" w:rsidP="003A4F6D" w:rsidRDefault="003A4F6D" w14:paraId="033D5894" w14:textId="6D77C272">
      <w:r>
        <w:t>The mechanics of the data reporting are as follows.</w:t>
      </w:r>
      <w:r w:rsidRPr="00BF49F7">
        <w:t xml:space="preserve"> SSBCI data reporting requirements are imposed at the</w:t>
      </w:r>
      <w:r>
        <w:t xml:space="preserve"> level of the</w:t>
      </w:r>
      <w:r w:rsidRPr="00BF49F7">
        <w:t xml:space="preserve"> </w:t>
      </w:r>
      <w:r>
        <w:t>participating</w:t>
      </w:r>
      <w:r w:rsidRPr="00BF49F7">
        <w:t xml:space="preserve"> jurisdiction (</w:t>
      </w:r>
      <w:r>
        <w:t xml:space="preserve">i.e., </w:t>
      </w:r>
      <w:r w:rsidRPr="00BF49F7">
        <w:t xml:space="preserve">state, </w:t>
      </w:r>
      <w:r>
        <w:t>the District of Columbia</w:t>
      </w:r>
      <w:r w:rsidRPr="00BF49F7">
        <w:t xml:space="preserve">, territory, Tribal government, </w:t>
      </w:r>
      <w:r w:rsidR="00903421">
        <w:t>or</w:t>
      </w:r>
      <w:r w:rsidRPr="00BF49F7" w:rsidR="00903421">
        <w:t xml:space="preserve"> </w:t>
      </w:r>
      <w:r w:rsidRPr="00BF49F7">
        <w:t xml:space="preserve">municipality). </w:t>
      </w:r>
      <w:r>
        <w:t>A participating</w:t>
      </w:r>
      <w:r w:rsidRPr="00BF49F7">
        <w:t xml:space="preserve"> jurisdiction may have </w:t>
      </w:r>
      <w:r>
        <w:t xml:space="preserve">a </w:t>
      </w:r>
      <w:r w:rsidRPr="00BF49F7">
        <w:t xml:space="preserve">direct capital program, where the jurisdiction itself runs the program and would </w:t>
      </w:r>
      <w:r>
        <w:t xml:space="preserve">directly </w:t>
      </w:r>
      <w:r w:rsidRPr="00BF49F7">
        <w:t xml:space="preserve">engage in </w:t>
      </w:r>
      <w:r>
        <w:t>the collection of data for purposes of SSBCI reporting</w:t>
      </w:r>
      <w:r w:rsidRPr="00BF49F7">
        <w:t>.</w:t>
      </w:r>
      <w:r>
        <w:t xml:space="preserve"> </w:t>
      </w:r>
      <w:r w:rsidRPr="00BF49F7">
        <w:t xml:space="preserve">However, for many programs, </w:t>
      </w:r>
      <w:r>
        <w:t xml:space="preserve">participating </w:t>
      </w:r>
      <w:r w:rsidRPr="00BF49F7">
        <w:t xml:space="preserve">jurisdictions </w:t>
      </w:r>
      <w:r>
        <w:t xml:space="preserve">may </w:t>
      </w:r>
      <w:r w:rsidRPr="00BF49F7">
        <w:t xml:space="preserve">work with </w:t>
      </w:r>
      <w:r>
        <w:t>program providers (i.e.</w:t>
      </w:r>
      <w:r w:rsidR="00903421">
        <w:t>,</w:t>
      </w:r>
      <w:r>
        <w:t xml:space="preserve"> those entities making loans or investments with SSBCI funding)</w:t>
      </w:r>
      <w:r w:rsidRPr="00BF49F7">
        <w:t xml:space="preserve"> that implement the capital programs </w:t>
      </w:r>
      <w:proofErr w:type="gramStart"/>
      <w:r>
        <w:t>in order to</w:t>
      </w:r>
      <w:proofErr w:type="gramEnd"/>
      <w:r>
        <w:t xml:space="preserve"> </w:t>
      </w:r>
      <w:r w:rsidRPr="00BF49F7">
        <w:t>collect the</w:t>
      </w:r>
      <w:r>
        <w:t xml:space="preserve"> data</w:t>
      </w:r>
      <w:r w:rsidRPr="00BF49F7">
        <w:t xml:space="preserve">. </w:t>
      </w:r>
      <w:r>
        <w:t>In these instances, the program provider would request the information that the participating jurisdiction is required to report, through a form that the borrower or investee would be asked to complete at or around the time it applies for a SSBCI-supported loan or investment. Treasury’s</w:t>
      </w:r>
      <w:r w:rsidRPr="00BF49F7">
        <w:t xml:space="preserve"> </w:t>
      </w:r>
      <w:r>
        <w:t xml:space="preserve">Capital Program Reporting Guidance </w:t>
      </w:r>
      <w:r w:rsidRPr="00BF49F7">
        <w:t xml:space="preserve">would </w:t>
      </w:r>
      <w:r>
        <w:t>impact</w:t>
      </w:r>
      <w:r w:rsidRPr="00BF49F7">
        <w:t xml:space="preserve"> </w:t>
      </w:r>
      <w:r>
        <w:t>the contents</w:t>
      </w:r>
      <w:r w:rsidRPr="00BF49F7">
        <w:t xml:space="preserve"> </w:t>
      </w:r>
      <w:r>
        <w:t>contained in</w:t>
      </w:r>
      <w:r w:rsidRPr="00BF49F7">
        <w:t xml:space="preserve"> </w:t>
      </w:r>
      <w:r>
        <w:t>such a</w:t>
      </w:r>
      <w:r w:rsidRPr="00BF49F7">
        <w:t xml:space="preserve"> form. In </w:t>
      </w:r>
      <w:r>
        <w:t xml:space="preserve">the scenario where a participating jurisdiction works with a program provider to collect information for reporting, the information collection would flow to Treasury as follows: </w:t>
      </w:r>
      <w:r w:rsidRPr="00BF49F7">
        <w:t xml:space="preserve">Borrower </w:t>
      </w:r>
      <w:r>
        <w:t>or investee</w:t>
      </w:r>
      <w:r w:rsidRPr="00BF49F7">
        <w:t xml:space="preserve"> </w:t>
      </w:r>
      <w:r w:rsidRPr="00BF49F7">
        <w:sym w:font="Wingdings" w:char="F0E0"/>
      </w:r>
      <w:r w:rsidRPr="00BF49F7">
        <w:t xml:space="preserve"> </w:t>
      </w:r>
      <w:r>
        <w:t>Program provider (e.g., bank)</w:t>
      </w:r>
      <w:r w:rsidRPr="00BF49F7">
        <w:t xml:space="preserve"> </w:t>
      </w:r>
      <w:r w:rsidRPr="00BF49F7">
        <w:sym w:font="Wingdings" w:char="F0E0"/>
      </w:r>
      <w:r w:rsidRPr="00BF49F7">
        <w:t xml:space="preserve"> </w:t>
      </w:r>
      <w:r>
        <w:t>Participating</w:t>
      </w:r>
      <w:r w:rsidRPr="00BF49F7">
        <w:t xml:space="preserve"> Jurisdiction </w:t>
      </w:r>
      <w:r w:rsidRPr="00BF49F7">
        <w:sym w:font="Wingdings" w:char="F0E0"/>
      </w:r>
      <w:r w:rsidRPr="00BF49F7">
        <w:t xml:space="preserve"> Treasury.</w:t>
      </w:r>
    </w:p>
    <w:p w:rsidRPr="002A7C96" w:rsidR="002A7C96" w:rsidP="002A7C96" w:rsidRDefault="002A7C96" w14:paraId="7B4A246F" w14:textId="77777777">
      <w:pPr>
        <w:rPr>
          <w:rFonts w:eastAsiaTheme="minorHAnsi"/>
        </w:rPr>
      </w:pPr>
    </w:p>
    <w:p w:rsidR="003A4F6D" w:rsidP="003A4F6D" w:rsidRDefault="003A4F6D" w14:paraId="48BC7C0B" w14:textId="32B0B35B">
      <w:r w:rsidRPr="005B2ACC">
        <w:t xml:space="preserve">The goal of the </w:t>
      </w:r>
      <w:r>
        <w:t>Capital Program Reporting Guidance</w:t>
      </w:r>
      <w:r w:rsidRPr="005B2ACC">
        <w:t xml:space="preserve"> is to </w:t>
      </w:r>
      <w:r>
        <w:t xml:space="preserve">provide notice to </w:t>
      </w:r>
      <w:r w:rsidR="0032460E">
        <w:t xml:space="preserve">participating jurisdictions and </w:t>
      </w:r>
      <w:r>
        <w:t xml:space="preserve">program providers as to the type of information participating jurisdictions will be required to report to Treasury, and ultimately, the type of information the </w:t>
      </w:r>
      <w:r w:rsidR="0032460E">
        <w:t xml:space="preserve">participating jurisdictions or </w:t>
      </w:r>
      <w:r>
        <w:t xml:space="preserve">program providers will need to collect from the small business borrowers or investees who receive SSBCI money. Treasury expects the </w:t>
      </w:r>
      <w:r w:rsidR="0032460E">
        <w:t xml:space="preserve">participating jurisdictions and </w:t>
      </w:r>
      <w:r>
        <w:t>program providers to use the Reporting Guidance to put in place systems and processes for the collection of data set forth in the guidance, and for reporting such information to the SSBCI participating jurisdiction</w:t>
      </w:r>
      <w:r w:rsidR="00903421">
        <w:t>, which will report this information to Treasury</w:t>
      </w:r>
      <w:r>
        <w:t xml:space="preserve">. </w:t>
      </w:r>
    </w:p>
    <w:p w:rsidR="001B3537" w:rsidP="003A4F6D" w:rsidRDefault="001B3537" w14:paraId="3FDD7690" w14:textId="2E1A373F"/>
    <w:p w:rsidRPr="001B3537" w:rsidR="001B3537" w:rsidP="003A4F6D" w:rsidRDefault="001B3537" w14:paraId="3EC649EC" w14:textId="3DB7890E">
      <w:pPr>
        <w:rPr>
          <w:rFonts w:eastAsiaTheme="minorHAnsi"/>
        </w:rPr>
      </w:pPr>
      <w:r>
        <w:rPr>
          <w:rFonts w:eastAsiaTheme="minorHAnsi"/>
        </w:rPr>
        <w:t xml:space="preserve">One </w:t>
      </w:r>
      <w:r w:rsidRPr="002A7C96">
        <w:rPr>
          <w:rFonts w:eastAsiaTheme="minorHAnsi"/>
        </w:rPr>
        <w:t>goal of the IFR is to help facilitate eligible jurisdictions’ interactions with their contracted entities that help implement the program with regards to collecting demographics-related data of those who own or control small businesses that participate in SSBCI. This is because there may be legal restrictions on lenders and other financial entities on collecting such demographics-</w:t>
      </w:r>
      <w:r w:rsidRPr="002A7C96">
        <w:rPr>
          <w:rFonts w:eastAsiaTheme="minorHAnsi"/>
        </w:rPr>
        <w:lastRenderedPageBreak/>
        <w:t>related data; the IFR provide</w:t>
      </w:r>
      <w:r w:rsidR="000A55AF">
        <w:rPr>
          <w:rFonts w:eastAsiaTheme="minorHAnsi"/>
        </w:rPr>
        <w:t>s</w:t>
      </w:r>
      <w:r w:rsidRPr="002A7C96">
        <w:rPr>
          <w:rFonts w:eastAsiaTheme="minorHAnsi"/>
        </w:rPr>
        <w:t xml:space="preserve"> a regulation that will provide certain </w:t>
      </w:r>
      <w:r>
        <w:rPr>
          <w:rFonts w:eastAsiaTheme="minorHAnsi"/>
        </w:rPr>
        <w:t xml:space="preserve">entities </w:t>
      </w:r>
      <w:r w:rsidRPr="002A7C96">
        <w:rPr>
          <w:rFonts w:eastAsiaTheme="minorHAnsi"/>
        </w:rPr>
        <w:t>with the legal authority they need to obtain this information</w:t>
      </w:r>
      <w:r w:rsidRPr="007927F6">
        <w:t>.</w:t>
      </w:r>
      <w:r w:rsidRPr="007927F6">
        <w:rPr>
          <w:vertAlign w:val="superscript"/>
        </w:rPr>
        <w:footnoteReference w:id="3"/>
      </w:r>
    </w:p>
    <w:p w:rsidRPr="00BF49F7" w:rsidR="003A4F6D" w:rsidP="003A4F6D" w:rsidRDefault="003A4F6D" w14:paraId="0939A987" w14:textId="77777777"/>
    <w:p w:rsidR="004D256C" w:rsidP="00B72806" w:rsidRDefault="006669A8" w14:paraId="79658AA6" w14:textId="36B7B659">
      <w:pPr>
        <w:rPr>
          <w:b/>
          <w:bCs/>
          <w:i/>
          <w:iCs/>
        </w:rPr>
      </w:pPr>
      <w:r w:rsidRPr="006669A8">
        <w:rPr>
          <w:b/>
          <w:bCs/>
          <w:i/>
          <w:iCs/>
        </w:rPr>
        <w:t>Why Treasury is Requesting Emergency Processing</w:t>
      </w:r>
    </w:p>
    <w:p w:rsidRPr="00D72969" w:rsidR="00C15C26" w:rsidP="00B72806" w:rsidRDefault="00C15C26" w14:paraId="40DB5703" w14:textId="77777777">
      <w:pPr>
        <w:rPr>
          <w:b/>
          <w:bCs/>
          <w:i/>
          <w:iCs/>
        </w:rPr>
      </w:pPr>
    </w:p>
    <w:p w:rsidR="00D72969" w:rsidP="00B72806" w:rsidRDefault="002A7C96" w14:paraId="58B8C7AA" w14:textId="3FCA21E3">
      <w:bookmarkStart w:name="_Hlk87003178" w:id="1"/>
      <w:bookmarkStart w:name="_Hlk66273216" w:id="2"/>
      <w:bookmarkEnd w:id="0"/>
      <w:r w:rsidRPr="002A7C96">
        <w:t xml:space="preserve">Eligible jurisdictions need to know what the reporting requirements are </w:t>
      </w:r>
      <w:proofErr w:type="gramStart"/>
      <w:r w:rsidRPr="002A7C96">
        <w:t>in order for</w:t>
      </w:r>
      <w:proofErr w:type="gramEnd"/>
      <w:r w:rsidRPr="002A7C96">
        <w:t xml:space="preserve"> them</w:t>
      </w:r>
      <w:r w:rsidR="0032460E">
        <w:t xml:space="preserve"> and</w:t>
      </w:r>
      <w:r w:rsidRPr="002A7C96">
        <w:t xml:space="preserve"> their </w:t>
      </w:r>
      <w:r w:rsidR="00E34BC7">
        <w:t xml:space="preserve">program providers (e.g., </w:t>
      </w:r>
      <w:r w:rsidRPr="002A7C96">
        <w:t>lenders and other financial entities</w:t>
      </w:r>
      <w:r w:rsidR="00E34BC7">
        <w:t>)</w:t>
      </w:r>
      <w:r w:rsidRPr="002A7C96">
        <w:t xml:space="preserve"> to build and modify their data collection systems to obtain this information. Lenders and other financial entities </w:t>
      </w:r>
      <w:r w:rsidR="00835ECF">
        <w:t>need</w:t>
      </w:r>
      <w:r w:rsidRPr="002A7C96">
        <w:t xml:space="preserve"> to know what the requirements are before agreeing to partner with eligible jurisdictions to implement their SSBCI capital programs. </w:t>
      </w:r>
    </w:p>
    <w:p w:rsidR="00D72969" w:rsidP="00B72806" w:rsidRDefault="00D72969" w14:paraId="67A782A7" w14:textId="77777777"/>
    <w:p w:rsidRPr="007927F6" w:rsidR="00BD27D0" w:rsidP="00B72806" w:rsidRDefault="00D72969" w14:paraId="61DE6918" w14:textId="259F488B">
      <w:r w:rsidRPr="00D72969">
        <w:t>T</w:t>
      </w:r>
      <w:r>
        <w:t>he</w:t>
      </w:r>
      <w:r w:rsidRPr="00D72969">
        <w:t xml:space="preserve"> </w:t>
      </w:r>
      <w:r>
        <w:t>information collection</w:t>
      </w:r>
      <w:r w:rsidRPr="00D72969">
        <w:t xml:space="preserve"> </w:t>
      </w:r>
      <w:r w:rsidR="00795DE7">
        <w:t xml:space="preserve">of small business data </w:t>
      </w:r>
      <w:r w:rsidR="00F43F48">
        <w:t>will</w:t>
      </w:r>
      <w:r w:rsidRPr="00D72969" w:rsidR="00F43F48">
        <w:t xml:space="preserve"> </w:t>
      </w:r>
      <w:r w:rsidRPr="00B30229" w:rsidR="00D35E7E">
        <w:t xml:space="preserve">begin </w:t>
      </w:r>
      <w:r w:rsidRPr="00B30229" w:rsidR="00C15C26">
        <w:t xml:space="preserve">very quickly after </w:t>
      </w:r>
      <w:r w:rsidRPr="00B30229" w:rsidR="00795DE7">
        <w:t xml:space="preserve">Treasury approves an </w:t>
      </w:r>
      <w:r w:rsidRPr="00B30229">
        <w:t>eligible jurisdiction</w:t>
      </w:r>
      <w:r w:rsidRPr="00B30229" w:rsidR="00795DE7">
        <w:t>’</w:t>
      </w:r>
      <w:r w:rsidRPr="00B30229">
        <w:t>s</w:t>
      </w:r>
      <w:r w:rsidRPr="00B30229" w:rsidR="00795DE7">
        <w:t xml:space="preserve"> </w:t>
      </w:r>
      <w:r w:rsidRPr="00B30229">
        <w:t>capital program application and enter</w:t>
      </w:r>
      <w:r w:rsidRPr="00B30229" w:rsidR="00C15C26">
        <w:t>s</w:t>
      </w:r>
      <w:r w:rsidRPr="00B30229">
        <w:t xml:space="preserve"> into </w:t>
      </w:r>
      <w:r w:rsidRPr="00B30229" w:rsidR="00795DE7">
        <w:t>an</w:t>
      </w:r>
      <w:r w:rsidRPr="00B30229">
        <w:t xml:space="preserve"> Allocation Agreement</w:t>
      </w:r>
      <w:r w:rsidRPr="00B30229" w:rsidR="00795DE7">
        <w:t xml:space="preserve"> with that jurisdiction</w:t>
      </w:r>
      <w:r w:rsidRPr="00B30229">
        <w:t xml:space="preserve">. </w:t>
      </w:r>
      <w:r w:rsidRPr="00B30229" w:rsidR="00795DE7">
        <w:t xml:space="preserve"> </w:t>
      </w:r>
      <w:r w:rsidRPr="00B30229">
        <w:t xml:space="preserve">This could be as soon as </w:t>
      </w:r>
      <w:r w:rsidR="000A55AF">
        <w:t xml:space="preserve">May </w:t>
      </w:r>
      <w:r w:rsidR="00233AFA">
        <w:t>19</w:t>
      </w:r>
      <w:r w:rsidR="00B96B4A">
        <w:t>, 2022</w:t>
      </w:r>
      <w:r w:rsidR="00F43F48">
        <w:t xml:space="preserve">, </w:t>
      </w:r>
      <w:r w:rsidRPr="00F6436F" w:rsidR="0032460E">
        <w:t xml:space="preserve">as Treasury has begun </w:t>
      </w:r>
      <w:r w:rsidR="00B96B4A">
        <w:t>approving</w:t>
      </w:r>
      <w:r w:rsidRPr="00F6436F" w:rsidR="0032460E">
        <w:t xml:space="preserve"> applications</w:t>
      </w:r>
      <w:r w:rsidR="00D76D91">
        <w:t xml:space="preserve"> and </w:t>
      </w:r>
      <w:r w:rsidR="007C0D4D">
        <w:t>jurisdictions have executed the Allocation Agreements</w:t>
      </w:r>
      <w:r w:rsidRPr="00B30229">
        <w:t xml:space="preserve">.  </w:t>
      </w:r>
      <w:r w:rsidRPr="00B30229" w:rsidR="00795DE7">
        <w:t xml:space="preserve">Thus, </w:t>
      </w:r>
      <w:r w:rsidRPr="00B30229" w:rsidR="005B1B04">
        <w:t xml:space="preserve">Treasury would like to </w:t>
      </w:r>
      <w:r w:rsidRPr="00B30229" w:rsidR="004D256C">
        <w:t xml:space="preserve">get </w:t>
      </w:r>
      <w:r w:rsidRPr="00B30229" w:rsidR="00795DE7">
        <w:t>approval under the Paperwork Reduction Act (PRA) for this information collection</w:t>
      </w:r>
      <w:r w:rsidRPr="00B30229" w:rsidR="005B1B04">
        <w:t xml:space="preserve"> </w:t>
      </w:r>
      <w:r w:rsidRPr="00B30229" w:rsidR="004D256C">
        <w:t xml:space="preserve">by </w:t>
      </w:r>
      <w:r w:rsidR="00B96B4A">
        <w:t xml:space="preserve">May </w:t>
      </w:r>
      <w:r w:rsidR="00D76D91">
        <w:t>2</w:t>
      </w:r>
      <w:r w:rsidR="00FD7E84">
        <w:t>5</w:t>
      </w:r>
      <w:r w:rsidR="00B96B4A">
        <w:t>, 2022</w:t>
      </w:r>
      <w:r w:rsidR="003A4F6D">
        <w:t>,</w:t>
      </w:r>
      <w:r w:rsidRPr="00B30229" w:rsidR="005B1B04">
        <w:t xml:space="preserve"> </w:t>
      </w:r>
      <w:r w:rsidRPr="0032460E" w:rsidR="0032460E">
        <w:t xml:space="preserve">to provide jurisdictions and their financial entity partners ample time to prepare for the collection of information set forth in the </w:t>
      </w:r>
      <w:r w:rsidR="00D51EB1">
        <w:t xml:space="preserve">Capital Program </w:t>
      </w:r>
      <w:r w:rsidR="0032460E">
        <w:t>R</w:t>
      </w:r>
      <w:r w:rsidRPr="0032460E" w:rsidR="0032460E">
        <w:t xml:space="preserve">eporting </w:t>
      </w:r>
      <w:r w:rsidR="0032460E">
        <w:t>G</w:t>
      </w:r>
      <w:r w:rsidRPr="0032460E" w:rsidR="0032460E">
        <w:t>uidance</w:t>
      </w:r>
      <w:r w:rsidR="001B3537">
        <w:t xml:space="preserve"> and IFR</w:t>
      </w:r>
      <w:r w:rsidRPr="0032460E" w:rsidR="0032460E">
        <w:t xml:space="preserve">. </w:t>
      </w:r>
      <w:r w:rsidR="001B3537">
        <w:t>T</w:t>
      </w:r>
      <w:r w:rsidRPr="00B30229" w:rsidR="001B3537">
        <w:t xml:space="preserve">o provide an opportunity for public input, Treasury </w:t>
      </w:r>
      <w:r w:rsidR="001B3537">
        <w:t xml:space="preserve">has </w:t>
      </w:r>
      <w:r w:rsidRPr="00B30229" w:rsidR="001B3537">
        <w:t>collect</w:t>
      </w:r>
      <w:r w:rsidR="001B3537">
        <w:t>ed</w:t>
      </w:r>
      <w:r w:rsidRPr="00B30229" w:rsidR="001B3537">
        <w:t xml:space="preserve"> comments, including on the IFR’s PRA analysis, for 30 days after the effective date of the IFR. If Treasury identifies any appropriate changes to the IFR based on the public comments, Treasury will revise the rule accordingly.</w:t>
      </w:r>
      <w:r w:rsidR="001B3537">
        <w:t xml:space="preserve"> </w:t>
      </w:r>
      <w:r w:rsidRPr="0032460E" w:rsidR="0032460E">
        <w:t xml:space="preserve">Jurisdictions and their financial entity partners cannot commence their capital programs </w:t>
      </w:r>
      <w:r w:rsidR="00D51EB1">
        <w:t xml:space="preserve">after approval from Treasury </w:t>
      </w:r>
      <w:r w:rsidRPr="0032460E" w:rsidR="0032460E">
        <w:t>without knowing what information must be collected.</w:t>
      </w:r>
    </w:p>
    <w:p w:rsidR="007927F6" w:rsidP="00B72806" w:rsidRDefault="007927F6" w14:paraId="4851BAC6" w14:textId="34E82DD4"/>
    <w:p w:rsidRPr="00ED0301" w:rsidR="00335E64" w:rsidP="00ED0301" w:rsidRDefault="00D72969" w14:paraId="581262A8" w14:textId="15B2A0C8">
      <w:pPr>
        <w:autoSpaceDE w:val="0"/>
        <w:autoSpaceDN w:val="0"/>
        <w:adjustRightInd w:val="0"/>
        <w:rPr>
          <w:rFonts w:eastAsiaTheme="minorHAnsi"/>
          <w:bCs/>
          <w:color w:val="000000"/>
        </w:rPr>
      </w:pPr>
      <w:r>
        <w:t>As mentioned above, SSBCI was reauthorized under ARPA</w:t>
      </w:r>
      <w:r w:rsidR="004F34A4">
        <w:t>, which was enacted in March of 2021 to address an unprecedented historic public health and economic crisis</w:t>
      </w:r>
      <w:r>
        <w:t xml:space="preserve">. The reauthorization included several new allocations, including </w:t>
      </w:r>
      <w:r w:rsidR="00ED0301">
        <w:t xml:space="preserve">allocations related to SEDI-owned </w:t>
      </w:r>
      <w:r w:rsidR="00835ECF">
        <w:t xml:space="preserve">and controlled </w:t>
      </w:r>
      <w:r w:rsidR="00ED0301">
        <w:t xml:space="preserve">businesses (SEDI-related allocations). </w:t>
      </w:r>
      <w:r w:rsidR="00795DE7">
        <w:t xml:space="preserve">In May and June of 2021, </w:t>
      </w:r>
      <w:r w:rsidR="00795DE7">
        <w:rPr>
          <w:rFonts w:eastAsiaTheme="minorHAnsi"/>
          <w:color w:val="000000"/>
        </w:rPr>
        <w:t>f</w:t>
      </w:r>
      <w:r w:rsidRPr="00ED0301" w:rsidR="00ED0301">
        <w:rPr>
          <w:rFonts w:eastAsiaTheme="minorHAnsi"/>
          <w:color w:val="000000"/>
        </w:rPr>
        <w:t xml:space="preserve">ederal courts imposed preliminary injunctions on </w:t>
      </w:r>
      <w:r w:rsidR="00C15C26">
        <w:rPr>
          <w:rFonts w:eastAsiaTheme="minorHAnsi"/>
          <w:color w:val="000000"/>
        </w:rPr>
        <w:t xml:space="preserve">certain </w:t>
      </w:r>
      <w:r w:rsidRPr="00ED0301" w:rsidR="00ED0301">
        <w:rPr>
          <w:rFonts w:eastAsiaTheme="minorHAnsi"/>
          <w:color w:val="000000"/>
        </w:rPr>
        <w:t>coronavirus relief programs that involve</w:t>
      </w:r>
      <w:r w:rsidR="00795DE7">
        <w:rPr>
          <w:rFonts w:eastAsiaTheme="minorHAnsi"/>
          <w:color w:val="000000"/>
        </w:rPr>
        <w:t>d</w:t>
      </w:r>
      <w:r w:rsidRPr="00ED0301" w:rsidR="00ED0301">
        <w:rPr>
          <w:rFonts w:eastAsiaTheme="minorHAnsi"/>
          <w:color w:val="000000"/>
        </w:rPr>
        <w:t xml:space="preserve"> race-based policies</w:t>
      </w:r>
      <w:r w:rsidR="00C15C26">
        <w:rPr>
          <w:rFonts w:eastAsiaTheme="minorHAnsi"/>
          <w:color w:val="000000"/>
        </w:rPr>
        <w:t>.</w:t>
      </w:r>
      <w:r w:rsidRPr="00ED0301" w:rsidR="00ED0301">
        <w:rPr>
          <w:rFonts w:eastAsiaTheme="minorHAnsi"/>
          <w:color w:val="000000"/>
          <w:vertAlign w:val="superscript"/>
        </w:rPr>
        <w:footnoteReference w:id="4"/>
      </w:r>
      <w:r w:rsidRPr="00ED0301" w:rsidR="00ED0301">
        <w:rPr>
          <w:rFonts w:eastAsiaTheme="minorHAnsi"/>
          <w:bCs/>
          <w:color w:val="000000"/>
        </w:rPr>
        <w:t xml:space="preserve"> </w:t>
      </w:r>
    </w:p>
    <w:p w:rsidRPr="007927F6" w:rsidR="007927F6" w:rsidP="007927F6" w:rsidRDefault="00C15C26" w14:paraId="06B36C5C" w14:textId="3E8CBD81">
      <w:r>
        <w:t xml:space="preserve">These cases necessitated extensive collaboration between </w:t>
      </w:r>
      <w:r w:rsidR="00ED0301">
        <w:t>Treasury</w:t>
      </w:r>
      <w:r>
        <w:t xml:space="preserve">, the </w:t>
      </w:r>
      <w:r w:rsidR="00ED0301">
        <w:t>Department of Justice</w:t>
      </w:r>
      <w:r>
        <w:t>, and others</w:t>
      </w:r>
      <w:r w:rsidR="00ED0301">
        <w:t xml:space="preserve"> to </w:t>
      </w:r>
      <w:r>
        <w:t xml:space="preserve">determine </w:t>
      </w:r>
      <w:r w:rsidR="00ED0301">
        <w:t xml:space="preserve">an </w:t>
      </w:r>
      <w:r>
        <w:t xml:space="preserve">appropriate </w:t>
      </w:r>
      <w:r w:rsidR="00ED0301">
        <w:t xml:space="preserve">approach related to </w:t>
      </w:r>
      <w:r>
        <w:t>the structuring of SSBCI</w:t>
      </w:r>
      <w:r w:rsidR="00ED0301">
        <w:t xml:space="preserve">. </w:t>
      </w:r>
      <w:r>
        <w:t xml:space="preserve"> </w:t>
      </w:r>
      <w:r w:rsidR="00335E64">
        <w:t xml:space="preserve">Only after </w:t>
      </w:r>
      <w:r>
        <w:t xml:space="preserve">those issues were resolved </w:t>
      </w:r>
      <w:r w:rsidR="00335E64">
        <w:t xml:space="preserve">could Treasury focus on </w:t>
      </w:r>
      <w:r w:rsidR="008C0E60">
        <w:t xml:space="preserve">regulations and guidance related to </w:t>
      </w:r>
      <w:r w:rsidR="00335E64">
        <w:t>reporting and compliance related to such allocations.</w:t>
      </w:r>
      <w:r w:rsidR="009B7D6B">
        <w:t xml:space="preserve"> </w:t>
      </w:r>
    </w:p>
    <w:bookmarkEnd w:id="1"/>
    <w:p w:rsidRPr="007927F6" w:rsidR="00BD27D0" w:rsidP="00B72806" w:rsidRDefault="00BD27D0" w14:paraId="442A0F3E" w14:textId="60786A7A">
      <w:pPr>
        <w:pStyle w:val="Default"/>
      </w:pPr>
      <w:r w:rsidRPr="007927F6">
        <w:tab/>
      </w:r>
      <w:bookmarkEnd w:id="2"/>
    </w:p>
    <w:sectPr w:rsidRPr="007927F6" w:rsidR="00BD27D0" w:rsidSect="000B05E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E307" w14:textId="77777777" w:rsidR="00D4703E" w:rsidRDefault="00D4703E">
      <w:r>
        <w:separator/>
      </w:r>
    </w:p>
  </w:endnote>
  <w:endnote w:type="continuationSeparator" w:id="0">
    <w:p w14:paraId="474E0B0D" w14:textId="77777777" w:rsidR="00D4703E" w:rsidRDefault="00D4703E">
      <w:r>
        <w:continuationSeparator/>
      </w:r>
    </w:p>
  </w:endnote>
  <w:endnote w:type="continuationNotice" w:id="1">
    <w:p w14:paraId="6F13BD4C" w14:textId="77777777" w:rsidR="00D4703E" w:rsidRDefault="00D47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400682"/>
      <w:docPartObj>
        <w:docPartGallery w:val="Page Numbers (Bottom of Page)"/>
        <w:docPartUnique/>
      </w:docPartObj>
    </w:sdtPr>
    <w:sdtEndPr>
      <w:rPr>
        <w:noProof/>
      </w:rPr>
    </w:sdtEndPr>
    <w:sdtContent>
      <w:p w14:paraId="34D72F2F" w14:textId="51197B7B" w:rsidR="007927F6" w:rsidRDefault="007927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1C0DA" w14:textId="77777777" w:rsidR="007927F6" w:rsidRDefault="00792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ADD3" w14:textId="77777777" w:rsidR="00D4703E" w:rsidRDefault="00D4703E">
      <w:r>
        <w:separator/>
      </w:r>
    </w:p>
  </w:footnote>
  <w:footnote w:type="continuationSeparator" w:id="0">
    <w:p w14:paraId="0427A0F7" w14:textId="77777777" w:rsidR="00D4703E" w:rsidRDefault="00D4703E">
      <w:r>
        <w:continuationSeparator/>
      </w:r>
    </w:p>
  </w:footnote>
  <w:footnote w:type="continuationNotice" w:id="1">
    <w:p w14:paraId="43F20240" w14:textId="77777777" w:rsidR="00D4703E" w:rsidRDefault="00D4703E"/>
  </w:footnote>
  <w:footnote w:id="2">
    <w:p w14:paraId="41C95EA2" w14:textId="1BB330CE" w:rsidR="002A7C96" w:rsidRPr="00A66F97" w:rsidRDefault="002A7C96" w:rsidP="002A7C96">
      <w:pPr>
        <w:pStyle w:val="FootnoteText"/>
      </w:pPr>
      <w:r w:rsidRPr="00A66F97">
        <w:rPr>
          <w:rStyle w:val="FootnoteReference"/>
        </w:rPr>
        <w:footnoteRef/>
      </w:r>
      <w:r w:rsidRPr="00A66F97">
        <w:t xml:space="preserve"> ARPA sec. 3301, codified at 12 U.S.C. </w:t>
      </w:r>
      <w:r w:rsidR="00835ECF">
        <w:t xml:space="preserve">§ </w:t>
      </w:r>
      <w:r w:rsidRPr="00A66F97">
        <w:t>5701</w:t>
      </w:r>
      <w:r>
        <w:t xml:space="preserve">-10. </w:t>
      </w:r>
      <w:r w:rsidRPr="00A66F97">
        <w:t>SSBCI was originally established in Title III of the SBJA</w:t>
      </w:r>
      <w:r>
        <w:t>.</w:t>
      </w:r>
    </w:p>
  </w:footnote>
  <w:footnote w:id="3">
    <w:p w14:paraId="4828C7CA" w14:textId="77777777" w:rsidR="001B3537" w:rsidRPr="00A66F97" w:rsidRDefault="001B3537" w:rsidP="001B3537">
      <w:pPr>
        <w:pStyle w:val="FootnoteText"/>
      </w:pPr>
      <w:r w:rsidRPr="00A66F97">
        <w:rPr>
          <w:rStyle w:val="FootnoteReference"/>
        </w:rPr>
        <w:footnoteRef/>
      </w:r>
      <w:r w:rsidRPr="00A66F97">
        <w:t xml:space="preserve"> For example, under the Equal Credit </w:t>
      </w:r>
      <w:r>
        <w:t>Opportunity</w:t>
      </w:r>
      <w:r w:rsidRPr="00A66F97">
        <w:t xml:space="preserve"> Act and Regulation</w:t>
      </w:r>
      <w:r>
        <w:t> </w:t>
      </w:r>
      <w:r w:rsidRPr="00A66F97">
        <w:t xml:space="preserve">B, creditors are generally prohibited from inquiring about the race, color, religion, national origin, or sex of an applicant or any other person in connection with a credit transaction. </w:t>
      </w:r>
      <w:r w:rsidRPr="00EB631B">
        <w:rPr>
          <w:i/>
          <w:iCs/>
        </w:rPr>
        <w:t>See</w:t>
      </w:r>
      <w:r>
        <w:t xml:space="preserve"> </w:t>
      </w:r>
      <w:r w:rsidRPr="00A66F97">
        <w:t xml:space="preserve">12 CFR § 1002.5(b). However, a creditor may obtain information required by a regulation. </w:t>
      </w:r>
      <w:r w:rsidRPr="00EB631B">
        <w:rPr>
          <w:i/>
          <w:iCs/>
        </w:rPr>
        <w:t>See</w:t>
      </w:r>
      <w:r>
        <w:t xml:space="preserve"> </w:t>
      </w:r>
      <w:r w:rsidRPr="00A66F97">
        <w:t>12 CFR § 1002.5(a)(2).</w:t>
      </w:r>
    </w:p>
  </w:footnote>
  <w:footnote w:id="4">
    <w:p w14:paraId="2BCFC487" w14:textId="384ECF29" w:rsidR="00ED0301" w:rsidRPr="002166AA" w:rsidRDefault="00ED0301" w:rsidP="00ED0301">
      <w:pPr>
        <w:pStyle w:val="FootnoteText"/>
      </w:pPr>
      <w:r w:rsidRPr="002166AA">
        <w:rPr>
          <w:rStyle w:val="FootnoteReference"/>
        </w:rPr>
        <w:footnoteRef/>
      </w:r>
      <w:r w:rsidRPr="002166AA">
        <w:t xml:space="preserve"> </w:t>
      </w:r>
      <w:r w:rsidRPr="002166AA">
        <w:rPr>
          <w:i/>
          <w:iCs/>
        </w:rPr>
        <w:t>See</w:t>
      </w:r>
      <w:r w:rsidRPr="002166AA">
        <w:t xml:space="preserve"> </w:t>
      </w:r>
      <w:proofErr w:type="spellStart"/>
      <w:r w:rsidRPr="002166AA">
        <w:rPr>
          <w:i/>
          <w:iCs/>
        </w:rPr>
        <w:t>Vitolo</w:t>
      </w:r>
      <w:proofErr w:type="spellEnd"/>
      <w:r w:rsidRPr="002166AA">
        <w:rPr>
          <w:i/>
          <w:iCs/>
        </w:rPr>
        <w:t xml:space="preserve"> v. Guzman</w:t>
      </w:r>
      <w:r w:rsidRPr="002166AA">
        <w:t>, 999 F.3d 353 (6th Cir. 2021)</w:t>
      </w:r>
      <w:r w:rsidR="00C15C26">
        <w:t xml:space="preserve">; </w:t>
      </w:r>
      <w:r w:rsidR="00C15C26" w:rsidRPr="002166AA">
        <w:t xml:space="preserve">Decision and Order Granting Plaintiffs’ Motion for a Temporary Restraining Order, </w:t>
      </w:r>
      <w:r w:rsidR="00C15C26" w:rsidRPr="002166AA">
        <w:rPr>
          <w:i/>
          <w:iCs/>
        </w:rPr>
        <w:t>Faust v. Vilsack</w:t>
      </w:r>
      <w:r w:rsidR="00C15C26" w:rsidRPr="002166AA">
        <w:t>, Case No. 21-C-548 (June 10, 2021)</w:t>
      </w:r>
      <w:r w:rsidRPr="002166A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005E4"/>
    <w:multiLevelType w:val="hybridMultilevel"/>
    <w:tmpl w:val="DF90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9"/>
    <w:rsid w:val="00053124"/>
    <w:rsid w:val="00063976"/>
    <w:rsid w:val="000740C8"/>
    <w:rsid w:val="00080F9D"/>
    <w:rsid w:val="000A09AE"/>
    <w:rsid w:val="000A2ADE"/>
    <w:rsid w:val="000A55AF"/>
    <w:rsid w:val="000B05E7"/>
    <w:rsid w:val="000B08FF"/>
    <w:rsid w:val="000B41CE"/>
    <w:rsid w:val="000C2719"/>
    <w:rsid w:val="00141940"/>
    <w:rsid w:val="001447DE"/>
    <w:rsid w:val="00147227"/>
    <w:rsid w:val="00161E0B"/>
    <w:rsid w:val="00172A38"/>
    <w:rsid w:val="00184FED"/>
    <w:rsid w:val="001871F3"/>
    <w:rsid w:val="001A65E6"/>
    <w:rsid w:val="001B3537"/>
    <w:rsid w:val="001E7447"/>
    <w:rsid w:val="002027A0"/>
    <w:rsid w:val="00233AFA"/>
    <w:rsid w:val="00234747"/>
    <w:rsid w:val="00264AD7"/>
    <w:rsid w:val="00272FAE"/>
    <w:rsid w:val="0027749C"/>
    <w:rsid w:val="002803C6"/>
    <w:rsid w:val="002813EC"/>
    <w:rsid w:val="002A5698"/>
    <w:rsid w:val="002A6AA3"/>
    <w:rsid w:val="002A7C96"/>
    <w:rsid w:val="002B0D22"/>
    <w:rsid w:val="00313E1D"/>
    <w:rsid w:val="0032460E"/>
    <w:rsid w:val="00335E64"/>
    <w:rsid w:val="00362C38"/>
    <w:rsid w:val="00372552"/>
    <w:rsid w:val="00382BA3"/>
    <w:rsid w:val="003A4F6D"/>
    <w:rsid w:val="003B72DD"/>
    <w:rsid w:val="003D20E4"/>
    <w:rsid w:val="004330E5"/>
    <w:rsid w:val="004454A3"/>
    <w:rsid w:val="00447BA5"/>
    <w:rsid w:val="00461D06"/>
    <w:rsid w:val="00467325"/>
    <w:rsid w:val="00485D79"/>
    <w:rsid w:val="00493A6E"/>
    <w:rsid w:val="004C64E6"/>
    <w:rsid w:val="004D256C"/>
    <w:rsid w:val="004F34A4"/>
    <w:rsid w:val="004F5CBC"/>
    <w:rsid w:val="00547A6E"/>
    <w:rsid w:val="005523D3"/>
    <w:rsid w:val="005B1B04"/>
    <w:rsid w:val="005E088B"/>
    <w:rsid w:val="005E7203"/>
    <w:rsid w:val="00663A11"/>
    <w:rsid w:val="006669A8"/>
    <w:rsid w:val="006844FB"/>
    <w:rsid w:val="00692B4C"/>
    <w:rsid w:val="006C5561"/>
    <w:rsid w:val="00703696"/>
    <w:rsid w:val="007076D7"/>
    <w:rsid w:val="00745DCA"/>
    <w:rsid w:val="00750DC5"/>
    <w:rsid w:val="00786BBA"/>
    <w:rsid w:val="007927F6"/>
    <w:rsid w:val="00795DE7"/>
    <w:rsid w:val="007A14AD"/>
    <w:rsid w:val="007C0D4D"/>
    <w:rsid w:val="007D6A55"/>
    <w:rsid w:val="007E6E1C"/>
    <w:rsid w:val="007F0144"/>
    <w:rsid w:val="008246DD"/>
    <w:rsid w:val="0083382B"/>
    <w:rsid w:val="00835ECF"/>
    <w:rsid w:val="008530D8"/>
    <w:rsid w:val="0088488E"/>
    <w:rsid w:val="008A5DE8"/>
    <w:rsid w:val="008B7E28"/>
    <w:rsid w:val="008C0E60"/>
    <w:rsid w:val="008D194A"/>
    <w:rsid w:val="008E730A"/>
    <w:rsid w:val="008F5477"/>
    <w:rsid w:val="00903421"/>
    <w:rsid w:val="00904908"/>
    <w:rsid w:val="00976E6E"/>
    <w:rsid w:val="009A45CC"/>
    <w:rsid w:val="009B7D6B"/>
    <w:rsid w:val="009C09B9"/>
    <w:rsid w:val="009C448B"/>
    <w:rsid w:val="009D16A3"/>
    <w:rsid w:val="009F486E"/>
    <w:rsid w:val="00A01AE3"/>
    <w:rsid w:val="00A44C89"/>
    <w:rsid w:val="00A83BAE"/>
    <w:rsid w:val="00AB257F"/>
    <w:rsid w:val="00AC361C"/>
    <w:rsid w:val="00AF11DA"/>
    <w:rsid w:val="00B30229"/>
    <w:rsid w:val="00B4003D"/>
    <w:rsid w:val="00B40C0D"/>
    <w:rsid w:val="00B40F91"/>
    <w:rsid w:val="00B47275"/>
    <w:rsid w:val="00B70BD1"/>
    <w:rsid w:val="00B72806"/>
    <w:rsid w:val="00B81532"/>
    <w:rsid w:val="00B83313"/>
    <w:rsid w:val="00B96B4A"/>
    <w:rsid w:val="00B96F82"/>
    <w:rsid w:val="00BA12BF"/>
    <w:rsid w:val="00BD27D0"/>
    <w:rsid w:val="00BE744A"/>
    <w:rsid w:val="00BF7FF8"/>
    <w:rsid w:val="00C00F6F"/>
    <w:rsid w:val="00C135FE"/>
    <w:rsid w:val="00C15C26"/>
    <w:rsid w:val="00C43CB9"/>
    <w:rsid w:val="00C45DD0"/>
    <w:rsid w:val="00C559B8"/>
    <w:rsid w:val="00C70213"/>
    <w:rsid w:val="00C71278"/>
    <w:rsid w:val="00CD6629"/>
    <w:rsid w:val="00CE6AE6"/>
    <w:rsid w:val="00D121B2"/>
    <w:rsid w:val="00D25B8C"/>
    <w:rsid w:val="00D35E7E"/>
    <w:rsid w:val="00D41A10"/>
    <w:rsid w:val="00D4703E"/>
    <w:rsid w:val="00D51EB1"/>
    <w:rsid w:val="00D65338"/>
    <w:rsid w:val="00D72969"/>
    <w:rsid w:val="00D76D91"/>
    <w:rsid w:val="00D85E4C"/>
    <w:rsid w:val="00D95638"/>
    <w:rsid w:val="00D97A74"/>
    <w:rsid w:val="00DA2029"/>
    <w:rsid w:val="00DD1BF8"/>
    <w:rsid w:val="00DF2446"/>
    <w:rsid w:val="00DF268C"/>
    <w:rsid w:val="00DF730B"/>
    <w:rsid w:val="00E20A51"/>
    <w:rsid w:val="00E24EAD"/>
    <w:rsid w:val="00E34BC7"/>
    <w:rsid w:val="00E52B04"/>
    <w:rsid w:val="00E65C71"/>
    <w:rsid w:val="00EA661C"/>
    <w:rsid w:val="00ED0301"/>
    <w:rsid w:val="00F005F9"/>
    <w:rsid w:val="00F11CE9"/>
    <w:rsid w:val="00F161F6"/>
    <w:rsid w:val="00F27B79"/>
    <w:rsid w:val="00F37897"/>
    <w:rsid w:val="00F43F48"/>
    <w:rsid w:val="00F553A0"/>
    <w:rsid w:val="00F55914"/>
    <w:rsid w:val="00F6436F"/>
    <w:rsid w:val="00F71796"/>
    <w:rsid w:val="00F94D04"/>
    <w:rsid w:val="00FC4608"/>
    <w:rsid w:val="00FD6BFE"/>
    <w:rsid w:val="00FD7E84"/>
    <w:rsid w:val="00FE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C61CBB"/>
  <w15:chartTrackingRefBased/>
  <w15:docId w15:val="{74E325CD-D4FE-467A-8F2A-8C806532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C2719"/>
    <w:rPr>
      <w:sz w:val="16"/>
      <w:szCs w:val="16"/>
    </w:rPr>
  </w:style>
  <w:style w:type="paragraph" w:styleId="CommentText">
    <w:name w:val="annotation text"/>
    <w:basedOn w:val="Normal"/>
    <w:link w:val="CommentTextChar"/>
    <w:rsid w:val="000C2719"/>
    <w:rPr>
      <w:sz w:val="20"/>
      <w:szCs w:val="20"/>
    </w:rPr>
  </w:style>
  <w:style w:type="character" w:customStyle="1" w:styleId="CommentTextChar">
    <w:name w:val="Comment Text Char"/>
    <w:basedOn w:val="DefaultParagraphFont"/>
    <w:link w:val="CommentText"/>
    <w:rsid w:val="000C2719"/>
    <w:rPr>
      <w:rFonts w:ascii="Times New Roman" w:eastAsia="Times New Roman" w:hAnsi="Times New Roman" w:cs="Times New Roman"/>
      <w:sz w:val="20"/>
      <w:szCs w:val="20"/>
    </w:rPr>
  </w:style>
  <w:style w:type="paragraph" w:customStyle="1" w:styleId="Default">
    <w:name w:val="Default"/>
    <w:rsid w:val="000C2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0C2719"/>
    <w:pPr>
      <w:tabs>
        <w:tab w:val="center" w:pos="4680"/>
        <w:tab w:val="right" w:pos="9360"/>
      </w:tabs>
    </w:pPr>
  </w:style>
  <w:style w:type="character" w:customStyle="1" w:styleId="HeaderChar">
    <w:name w:val="Header Char"/>
    <w:basedOn w:val="DefaultParagraphFont"/>
    <w:link w:val="Header"/>
    <w:rsid w:val="000C27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2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19"/>
    <w:rPr>
      <w:rFonts w:ascii="Segoe UI" w:eastAsia="Times New Roman" w:hAnsi="Segoe UI" w:cs="Segoe UI"/>
      <w:sz w:val="18"/>
      <w:szCs w:val="18"/>
    </w:rPr>
  </w:style>
  <w:style w:type="paragraph" w:styleId="Footer">
    <w:name w:val="footer"/>
    <w:basedOn w:val="Normal"/>
    <w:link w:val="FooterChar"/>
    <w:uiPriority w:val="99"/>
    <w:unhideWhenUsed/>
    <w:rsid w:val="00D85E4C"/>
    <w:pPr>
      <w:tabs>
        <w:tab w:val="center" w:pos="4680"/>
        <w:tab w:val="right" w:pos="9360"/>
      </w:tabs>
    </w:pPr>
  </w:style>
  <w:style w:type="character" w:customStyle="1" w:styleId="FooterChar">
    <w:name w:val="Footer Char"/>
    <w:basedOn w:val="DefaultParagraphFont"/>
    <w:link w:val="Footer"/>
    <w:uiPriority w:val="99"/>
    <w:rsid w:val="00D85E4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A14AD"/>
    <w:rPr>
      <w:b/>
      <w:bCs/>
    </w:rPr>
  </w:style>
  <w:style w:type="character" w:customStyle="1" w:styleId="CommentSubjectChar">
    <w:name w:val="Comment Subject Char"/>
    <w:basedOn w:val="CommentTextChar"/>
    <w:link w:val="CommentSubject"/>
    <w:uiPriority w:val="99"/>
    <w:semiHidden/>
    <w:rsid w:val="007A14A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B08FF"/>
    <w:rPr>
      <w:color w:val="0563C1" w:themeColor="hyperlink"/>
      <w:u w:val="single"/>
    </w:rPr>
  </w:style>
  <w:style w:type="character" w:styleId="UnresolvedMention">
    <w:name w:val="Unresolved Mention"/>
    <w:basedOn w:val="DefaultParagraphFont"/>
    <w:uiPriority w:val="99"/>
    <w:semiHidden/>
    <w:unhideWhenUsed/>
    <w:rsid w:val="000B08FF"/>
    <w:rPr>
      <w:color w:val="605E5C"/>
      <w:shd w:val="clear" w:color="auto" w:fill="E1DFDD"/>
    </w:rPr>
  </w:style>
  <w:style w:type="paragraph" w:styleId="Revision">
    <w:name w:val="Revision"/>
    <w:hidden/>
    <w:uiPriority w:val="99"/>
    <w:semiHidden/>
    <w:rsid w:val="008530D8"/>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5E088B"/>
    <w:rPr>
      <w:sz w:val="20"/>
      <w:szCs w:val="20"/>
    </w:rPr>
  </w:style>
  <w:style w:type="character" w:customStyle="1" w:styleId="FootnoteTextChar">
    <w:name w:val="Footnote Text Char"/>
    <w:basedOn w:val="DefaultParagraphFont"/>
    <w:link w:val="FootnoteText"/>
    <w:uiPriority w:val="99"/>
    <w:rsid w:val="005E088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E088B"/>
    <w:rPr>
      <w:vertAlign w:val="superscript"/>
    </w:rPr>
  </w:style>
  <w:style w:type="paragraph" w:styleId="ListParagraph">
    <w:name w:val="List Paragraph"/>
    <w:basedOn w:val="Normal"/>
    <w:uiPriority w:val="34"/>
    <w:qFormat/>
    <w:rsid w:val="00792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0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DODOMFIN-1956947440-4796</_dlc_DocId>
    <_dlc_DocIdUrl xmlns="52222ef0-b167-44f5-92f7-438fda0857cd">
      <Url>https://my.treas.gov/Collab/domfin/SSBCI/_layouts/15/DocIdRedir.aspx?ID=DODOMFIN-1956947440-4796</Url>
      <Description>DODOMFIN-1956947440-4796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2BD3D61513AC4BA99E5DBE295102ED" ma:contentTypeVersion="1" ma:contentTypeDescription="Create a new document." ma:contentTypeScope="" ma:versionID="e9dd2495c9efeabde8e0da501891fa14">
  <xsd:schema xmlns:xsd="http://www.w3.org/2001/XMLSchema" xmlns:xs="http://www.w3.org/2001/XMLSchema" xmlns:p="http://schemas.microsoft.com/office/2006/metadata/properties" xmlns:ns2="52222ef0-b167-44f5-92f7-438fda0857cd" xmlns:ns3="6dc6ffde-68b2-4aa4-9a57-440fe459c362" targetNamespace="http://schemas.microsoft.com/office/2006/metadata/properties" ma:root="true" ma:fieldsID="b8195415f53ca83274d1e70d10e7f1a7" ns2:_="" ns3:_="">
    <xsd:import namespace="52222ef0-b167-44f5-92f7-438fda0857cd"/>
    <xsd:import namespace="6dc6ffde-68b2-4aa4-9a57-440fe459c36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c6ffde-68b2-4aa4-9a57-440fe459c3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14C1E-7042-4BF2-8277-2EAEC569F0AE}">
  <ds:schemaRefs>
    <ds:schemaRef ds:uri="http://schemas.microsoft.com/office/2006/metadata/properties"/>
    <ds:schemaRef ds:uri="http://schemas.microsoft.com/office/infopath/2007/PartnerControls"/>
    <ds:schemaRef ds:uri="52222ef0-b167-44f5-92f7-438fda0857cd"/>
  </ds:schemaRefs>
</ds:datastoreItem>
</file>

<file path=customXml/itemProps2.xml><?xml version="1.0" encoding="utf-8"?>
<ds:datastoreItem xmlns:ds="http://schemas.openxmlformats.org/officeDocument/2006/customXml" ds:itemID="{25BE76D3-FB4D-4621-BA5A-7689BDB92205}">
  <ds:schemaRefs>
    <ds:schemaRef ds:uri="http://schemas.microsoft.com/sharepoint/events"/>
  </ds:schemaRefs>
</ds:datastoreItem>
</file>

<file path=customXml/itemProps3.xml><?xml version="1.0" encoding="utf-8"?>
<ds:datastoreItem xmlns:ds="http://schemas.openxmlformats.org/officeDocument/2006/customXml" ds:itemID="{4E5F596D-E726-4827-AD1D-7F7BD857594F}">
  <ds:schemaRefs>
    <ds:schemaRef ds:uri="http://schemas.openxmlformats.org/officeDocument/2006/bibliography"/>
  </ds:schemaRefs>
</ds:datastoreItem>
</file>

<file path=customXml/itemProps4.xml><?xml version="1.0" encoding="utf-8"?>
<ds:datastoreItem xmlns:ds="http://schemas.openxmlformats.org/officeDocument/2006/customXml" ds:itemID="{764C566F-B779-4102-8B23-E45472A98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dc6ffde-68b2-4aa4-9a57-440fe459c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3B60A1-52B9-42E7-95E4-734748104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7709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Benjamin</dc:creator>
  <cp:keywords/>
  <dc:description/>
  <cp:lastModifiedBy>Clark, Spencer</cp:lastModifiedBy>
  <cp:revision>2</cp:revision>
  <cp:lastPrinted>2022-02-03T21:50:00Z</cp:lastPrinted>
  <dcterms:created xsi:type="dcterms:W3CDTF">2022-05-25T15:08:00Z</dcterms:created>
  <dcterms:modified xsi:type="dcterms:W3CDTF">2022-05-25T15:08:00Z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0x010100A22BD3D61513AC4BA99E5DBE295102ED</vt:lpwstr>
  </property>
  <property fmtid="{D5CDD505-2E9C-101B-9397-08002B2CF9AE}" pid="3" name="_dlc_DocIdItemGuid">
    <vt:lpwstr>0a04644b-4ef8-4ac3-a805-731093ce2c49</vt:lpwstr>
  </property>
</Properties>
</file>