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55D2" w:rsidR="006655D2" w:rsidP="006655D2" w:rsidRDefault="006655D2" w14:paraId="511BE151" w14:textId="77777777">
      <w:pPr>
        <w:spacing w:after="0" w:line="240" w:lineRule="auto"/>
        <w:rPr>
          <w:rFonts w:ascii="Calibri" w:hAnsi="Calibri" w:eastAsia="Times New Roman" w:cs="Arial"/>
          <w:b/>
          <w:sz w:val="36"/>
          <w:szCs w:val="28"/>
        </w:rPr>
      </w:pPr>
    </w:p>
    <w:p w:rsidRPr="006655D2" w:rsidR="006655D2" w:rsidP="006655D2" w:rsidRDefault="006655D2" w14:paraId="359FCF3F" w14:textId="77777777">
      <w:pPr>
        <w:spacing w:after="0" w:line="240" w:lineRule="auto"/>
        <w:rPr>
          <w:rFonts w:ascii="Calibri" w:hAnsi="Calibri" w:eastAsia="Times New Roman" w:cs="Arial"/>
          <w:b/>
          <w:sz w:val="36"/>
          <w:szCs w:val="28"/>
        </w:rPr>
      </w:pPr>
    </w:p>
    <w:p w:rsidRPr="006655D2" w:rsidR="006655D2" w:rsidP="006655D2" w:rsidRDefault="006655D2" w14:paraId="4EDE702A" w14:textId="77777777">
      <w:pPr>
        <w:spacing w:after="0" w:line="240" w:lineRule="auto"/>
        <w:contextualSpacing/>
        <w:jc w:val="center"/>
        <w:rPr>
          <w:rFonts w:ascii="Arial" w:hAnsi="Arial" w:eastAsia="Calibri" w:cs="Arial"/>
          <w:b/>
          <w:bCs/>
          <w:sz w:val="40"/>
          <w:szCs w:val="40"/>
        </w:rPr>
      </w:pPr>
    </w:p>
    <w:p w:rsidRPr="006655D2" w:rsidR="006655D2" w:rsidP="006655D2" w:rsidRDefault="006655D2" w14:paraId="4681D1A6" w14:textId="0A1A8C44">
      <w:pPr>
        <w:spacing w:after="0" w:line="240" w:lineRule="auto"/>
        <w:contextualSpacing/>
        <w:jc w:val="center"/>
        <w:rPr>
          <w:rFonts w:ascii="Arial" w:hAnsi="Arial" w:eastAsia="Calibri" w:cs="Arial"/>
          <w:b/>
          <w:bCs/>
          <w:sz w:val="40"/>
          <w:szCs w:val="40"/>
        </w:rPr>
      </w:pPr>
      <w:r w:rsidRPr="006655D2">
        <w:rPr>
          <w:rFonts w:ascii="Arial" w:hAnsi="Arial" w:eastAsia="Calibri" w:cs="Arial"/>
          <w:b/>
          <w:bCs/>
          <w:sz w:val="40"/>
          <w:szCs w:val="40"/>
        </w:rPr>
        <w:t>Understanding Economic Risk for Families with Low</w:t>
      </w:r>
      <w:r w:rsidR="00934844">
        <w:rPr>
          <w:rFonts w:ascii="Arial" w:hAnsi="Arial" w:eastAsia="Calibri" w:cs="Arial"/>
          <w:b/>
          <w:bCs/>
          <w:sz w:val="40"/>
          <w:szCs w:val="40"/>
        </w:rPr>
        <w:t xml:space="preserve"> </w:t>
      </w:r>
      <w:r w:rsidRPr="006655D2">
        <w:rPr>
          <w:rFonts w:ascii="Arial" w:hAnsi="Arial" w:eastAsia="Calibri" w:cs="Arial"/>
          <w:b/>
          <w:bCs/>
          <w:sz w:val="40"/>
          <w:szCs w:val="40"/>
        </w:rPr>
        <w:t>Incomes: Economic Security, Program Benefits, and Decisions About Work</w:t>
      </w:r>
    </w:p>
    <w:p w:rsidRPr="006655D2" w:rsidR="006655D2" w:rsidP="006655D2" w:rsidRDefault="006655D2" w14:paraId="7D54B7B3" w14:textId="77777777">
      <w:pPr>
        <w:spacing w:after="0" w:line="240" w:lineRule="auto"/>
        <w:contextualSpacing/>
        <w:jc w:val="center"/>
        <w:rPr>
          <w:rFonts w:ascii="Arial" w:hAnsi="Arial" w:eastAsia="Calibri" w:cs="Arial"/>
          <w:b/>
          <w:bCs/>
          <w:sz w:val="40"/>
          <w:szCs w:val="40"/>
        </w:rPr>
      </w:pPr>
    </w:p>
    <w:p w:rsidRPr="006655D2" w:rsidR="006655D2" w:rsidP="006655D2" w:rsidRDefault="006655D2" w14:paraId="36184B88" w14:textId="77777777">
      <w:pPr>
        <w:spacing w:after="0" w:line="240" w:lineRule="auto"/>
        <w:contextualSpacing/>
        <w:jc w:val="center"/>
        <w:rPr>
          <w:rFonts w:ascii="Arial" w:hAnsi="Arial" w:eastAsia="Calibri" w:cs="Arial"/>
          <w:b/>
          <w:bCs/>
          <w:sz w:val="40"/>
          <w:szCs w:val="40"/>
        </w:rPr>
      </w:pPr>
    </w:p>
    <w:p w:rsidRPr="006655D2" w:rsidR="006655D2" w:rsidP="006655D2" w:rsidRDefault="006655D2" w14:paraId="5D1683D6" w14:textId="77777777">
      <w:pPr>
        <w:spacing w:after="0" w:line="240" w:lineRule="auto"/>
        <w:contextualSpacing/>
        <w:jc w:val="center"/>
        <w:rPr>
          <w:rFonts w:ascii="Arial" w:hAnsi="Arial" w:eastAsia="Calibri" w:cs="Arial"/>
          <w:b/>
          <w:bCs/>
          <w:sz w:val="40"/>
          <w:szCs w:val="40"/>
        </w:rPr>
      </w:pPr>
    </w:p>
    <w:p w:rsidRPr="006655D2" w:rsidR="006655D2" w:rsidP="006655D2" w:rsidRDefault="006655D2" w14:paraId="43CC8401" w14:textId="77777777">
      <w:pPr>
        <w:spacing w:after="0" w:line="240" w:lineRule="auto"/>
        <w:contextualSpacing/>
        <w:jc w:val="center"/>
        <w:rPr>
          <w:rFonts w:ascii="Arial" w:hAnsi="Arial" w:eastAsia="Calibri" w:cs="Arial"/>
          <w:b/>
          <w:bCs/>
          <w:sz w:val="40"/>
          <w:szCs w:val="40"/>
        </w:rPr>
      </w:pPr>
      <w:r w:rsidRPr="006655D2">
        <w:rPr>
          <w:rFonts w:ascii="Arial" w:hAnsi="Arial" w:eastAsia="Calibri" w:cs="Arial"/>
          <w:b/>
          <w:bCs/>
          <w:sz w:val="40"/>
          <w:szCs w:val="40"/>
        </w:rPr>
        <w:t>OMB Information Collection Request</w:t>
      </w:r>
    </w:p>
    <w:p w:rsidRPr="006655D2" w:rsidR="006655D2" w:rsidP="006655D2" w:rsidRDefault="006655D2" w14:paraId="17F0FD59" w14:textId="77777777">
      <w:pPr>
        <w:spacing w:after="0" w:line="240" w:lineRule="auto"/>
        <w:contextualSpacing/>
        <w:jc w:val="center"/>
        <w:rPr>
          <w:rFonts w:ascii="Arial" w:hAnsi="Arial" w:eastAsia="Calibri" w:cs="Arial"/>
          <w:b/>
          <w:bCs/>
          <w:sz w:val="40"/>
          <w:szCs w:val="40"/>
        </w:rPr>
      </w:pPr>
      <w:r w:rsidRPr="006655D2">
        <w:rPr>
          <w:rFonts w:ascii="Arial" w:hAnsi="Arial" w:eastAsia="Calibri" w:cs="Arial"/>
          <w:b/>
          <w:bCs/>
          <w:sz w:val="40"/>
          <w:szCs w:val="40"/>
        </w:rPr>
        <w:t>XXXX-XXXX</w:t>
      </w:r>
    </w:p>
    <w:p w:rsidRPr="006655D2" w:rsidR="006655D2" w:rsidP="006655D2" w:rsidRDefault="006655D2" w14:paraId="1333F0CA" w14:textId="77777777">
      <w:pPr>
        <w:spacing w:after="0" w:line="240" w:lineRule="auto"/>
        <w:contextualSpacing/>
        <w:jc w:val="center"/>
        <w:rPr>
          <w:rFonts w:ascii="Arial" w:hAnsi="Arial" w:eastAsia="Calibri" w:cs="Arial"/>
          <w:b/>
          <w:bCs/>
          <w:sz w:val="40"/>
          <w:szCs w:val="40"/>
        </w:rPr>
      </w:pPr>
    </w:p>
    <w:p w:rsidRPr="006655D2" w:rsidR="006655D2" w:rsidP="006655D2" w:rsidRDefault="006655D2" w14:paraId="4AA9245D" w14:textId="77777777">
      <w:pPr>
        <w:spacing w:after="0" w:line="240" w:lineRule="auto"/>
        <w:contextualSpacing/>
        <w:jc w:val="center"/>
        <w:rPr>
          <w:rFonts w:ascii="Arial" w:hAnsi="Arial" w:eastAsia="Calibri" w:cs="Arial"/>
          <w:b/>
          <w:bCs/>
          <w:sz w:val="40"/>
          <w:szCs w:val="40"/>
        </w:rPr>
      </w:pPr>
    </w:p>
    <w:p w:rsidRPr="006655D2" w:rsidR="006655D2" w:rsidP="006655D2" w:rsidRDefault="006655D2" w14:paraId="55E4D95A" w14:textId="77777777">
      <w:pPr>
        <w:spacing w:after="0" w:line="240" w:lineRule="auto"/>
        <w:contextualSpacing/>
        <w:jc w:val="center"/>
        <w:rPr>
          <w:rFonts w:ascii="Arial" w:hAnsi="Arial" w:eastAsia="Times New Roman" w:cs="Arial"/>
          <w:b/>
          <w:bCs/>
          <w:sz w:val="48"/>
          <w:szCs w:val="48"/>
        </w:rPr>
      </w:pPr>
      <w:r w:rsidRPr="006655D2">
        <w:rPr>
          <w:rFonts w:ascii="Arial" w:hAnsi="Arial" w:eastAsia="Times New Roman" w:cs="Arial"/>
          <w:b/>
          <w:bCs/>
          <w:sz w:val="48"/>
          <w:szCs w:val="48"/>
        </w:rPr>
        <w:t>Supporting Statement</w:t>
      </w:r>
    </w:p>
    <w:p w:rsidRPr="006655D2" w:rsidR="006655D2" w:rsidP="006655D2" w:rsidRDefault="006655D2" w14:paraId="47733C2B" w14:textId="77777777">
      <w:pPr>
        <w:spacing w:after="0" w:line="240" w:lineRule="auto"/>
        <w:contextualSpacing/>
        <w:jc w:val="center"/>
        <w:rPr>
          <w:rFonts w:ascii="Arial" w:hAnsi="Arial" w:eastAsia="Times New Roman" w:cs="Arial"/>
          <w:b/>
          <w:bCs/>
          <w:sz w:val="48"/>
          <w:szCs w:val="48"/>
        </w:rPr>
      </w:pPr>
      <w:r w:rsidRPr="006655D2">
        <w:rPr>
          <w:rFonts w:ascii="Arial" w:hAnsi="Arial" w:eastAsia="Times New Roman" w:cs="Arial"/>
          <w:b/>
          <w:bCs/>
          <w:sz w:val="48"/>
          <w:szCs w:val="48"/>
        </w:rPr>
        <w:t>Part A</w:t>
      </w:r>
    </w:p>
    <w:p w:rsidRPr="006655D2" w:rsidR="006655D2" w:rsidP="006655D2" w:rsidRDefault="006655D2" w14:paraId="2AD81BBC" w14:textId="77777777">
      <w:pPr>
        <w:spacing w:after="0" w:line="240" w:lineRule="auto"/>
        <w:contextualSpacing/>
        <w:jc w:val="center"/>
        <w:rPr>
          <w:rFonts w:ascii="Arial" w:hAnsi="Arial" w:eastAsia="Times New Roman" w:cs="Arial"/>
          <w:b/>
          <w:bCs/>
          <w:sz w:val="52"/>
          <w:szCs w:val="52"/>
        </w:rPr>
      </w:pPr>
    </w:p>
    <w:p w:rsidRPr="006655D2" w:rsidR="006655D2" w:rsidP="006655D2" w:rsidRDefault="006655D2" w14:paraId="3FACB42B" w14:textId="77777777">
      <w:pPr>
        <w:spacing w:after="0" w:line="240" w:lineRule="auto"/>
        <w:contextualSpacing/>
        <w:jc w:val="center"/>
        <w:rPr>
          <w:rFonts w:ascii="Arial" w:hAnsi="Arial" w:eastAsia="Times New Roman" w:cs="Arial"/>
          <w:b/>
          <w:bCs/>
          <w:sz w:val="24"/>
          <w:szCs w:val="24"/>
        </w:rPr>
      </w:pPr>
    </w:p>
    <w:p w:rsidRPr="006655D2" w:rsidR="006655D2" w:rsidP="006655D2" w:rsidRDefault="006655D2" w14:paraId="5F88AA4A" w14:textId="77777777">
      <w:pPr>
        <w:spacing w:after="0" w:line="240" w:lineRule="auto"/>
        <w:contextualSpacing/>
        <w:jc w:val="center"/>
        <w:rPr>
          <w:rFonts w:ascii="Arial" w:hAnsi="Arial" w:eastAsia="Times New Roman" w:cs="Arial"/>
          <w:b/>
          <w:bCs/>
          <w:sz w:val="24"/>
          <w:szCs w:val="24"/>
        </w:rPr>
      </w:pPr>
      <w:r w:rsidRPr="006655D2">
        <w:rPr>
          <w:rFonts w:ascii="Arial" w:hAnsi="Arial" w:eastAsia="Times New Roman" w:cs="Arial"/>
          <w:b/>
          <w:bCs/>
          <w:sz w:val="24"/>
          <w:szCs w:val="24"/>
        </w:rPr>
        <w:t>May 2022</w:t>
      </w:r>
    </w:p>
    <w:p w:rsidRPr="006655D2" w:rsidR="006655D2" w:rsidP="006655D2" w:rsidRDefault="006655D2" w14:paraId="18F9BC77" w14:textId="77777777">
      <w:pPr>
        <w:spacing w:after="0" w:line="240" w:lineRule="auto"/>
        <w:contextualSpacing/>
        <w:jc w:val="center"/>
        <w:rPr>
          <w:rFonts w:ascii="Calibri" w:hAnsi="Calibri" w:eastAsia="Times New Roman" w:cs="Arial"/>
        </w:rPr>
      </w:pPr>
    </w:p>
    <w:p w:rsidRPr="006655D2" w:rsidR="006655D2" w:rsidP="006655D2" w:rsidRDefault="006655D2" w14:paraId="3FBFE411" w14:textId="77777777">
      <w:pPr>
        <w:spacing w:after="0" w:line="240" w:lineRule="auto"/>
        <w:contextualSpacing/>
        <w:jc w:val="center"/>
        <w:rPr>
          <w:rFonts w:ascii="Calibri" w:hAnsi="Calibri" w:eastAsia="Times New Roman" w:cs="Arial"/>
        </w:rPr>
      </w:pPr>
    </w:p>
    <w:p w:rsidRPr="006655D2" w:rsidR="006655D2" w:rsidP="006655D2" w:rsidRDefault="006655D2" w14:paraId="3F9D3AEA" w14:textId="77777777">
      <w:pPr>
        <w:spacing w:after="0" w:line="240" w:lineRule="auto"/>
        <w:contextualSpacing/>
        <w:jc w:val="center"/>
        <w:rPr>
          <w:rFonts w:ascii="Calibri" w:hAnsi="Calibri" w:eastAsia="Times New Roman" w:cs="Arial"/>
        </w:rPr>
      </w:pPr>
    </w:p>
    <w:p w:rsidRPr="006655D2" w:rsidR="006655D2" w:rsidP="006655D2" w:rsidRDefault="006655D2" w14:paraId="0DE9FB94" w14:textId="77777777">
      <w:pPr>
        <w:spacing w:after="0" w:line="240" w:lineRule="auto"/>
        <w:contextualSpacing/>
        <w:rPr>
          <w:rFonts w:ascii="Calibri" w:hAnsi="Calibri" w:eastAsia="Times New Roman" w:cs="Arial"/>
        </w:rPr>
      </w:pPr>
    </w:p>
    <w:p w:rsidRPr="006655D2" w:rsidR="006655D2" w:rsidP="006655D2" w:rsidRDefault="006655D2" w14:paraId="646504B3" w14:textId="77777777">
      <w:pPr>
        <w:spacing w:after="0" w:line="240" w:lineRule="auto"/>
        <w:jc w:val="center"/>
        <w:rPr>
          <w:rFonts w:ascii="Arial" w:hAnsi="Arial" w:eastAsia="Times New Roman" w:cs="Arial"/>
          <w:sz w:val="24"/>
          <w:szCs w:val="24"/>
        </w:rPr>
      </w:pPr>
      <w:r w:rsidRPr="006655D2">
        <w:rPr>
          <w:rFonts w:ascii="Arial" w:hAnsi="Arial" w:eastAsia="Times New Roman" w:cs="Arial"/>
          <w:sz w:val="24"/>
          <w:szCs w:val="24"/>
        </w:rPr>
        <w:t>Submitted by:</w:t>
      </w:r>
    </w:p>
    <w:p w:rsidRPr="006655D2" w:rsidR="006655D2" w:rsidP="006655D2" w:rsidRDefault="006655D2" w14:paraId="1272401D" w14:textId="77777777">
      <w:pPr>
        <w:spacing w:after="0" w:line="240" w:lineRule="auto"/>
        <w:jc w:val="center"/>
        <w:rPr>
          <w:rFonts w:ascii="Arial" w:hAnsi="Arial" w:eastAsia="Times New Roman" w:cs="Arial"/>
          <w:sz w:val="24"/>
          <w:szCs w:val="24"/>
        </w:rPr>
      </w:pPr>
      <w:r w:rsidRPr="006655D2">
        <w:rPr>
          <w:rFonts w:ascii="Arial" w:hAnsi="Arial" w:eastAsia="Times New Roman" w:cs="Arial"/>
          <w:sz w:val="24"/>
          <w:szCs w:val="24"/>
        </w:rPr>
        <w:t>The Office of the Assistant Secretary of Planning and Evaluation</w:t>
      </w:r>
    </w:p>
    <w:p w:rsidRPr="006655D2" w:rsidR="006655D2" w:rsidP="006655D2" w:rsidRDefault="006655D2" w14:paraId="44126064" w14:textId="77777777">
      <w:pPr>
        <w:spacing w:after="0" w:line="240" w:lineRule="auto"/>
        <w:jc w:val="center"/>
        <w:rPr>
          <w:rFonts w:ascii="Arial" w:hAnsi="Arial" w:eastAsia="Times New Roman" w:cs="Arial"/>
          <w:sz w:val="24"/>
          <w:szCs w:val="24"/>
        </w:rPr>
      </w:pPr>
      <w:r w:rsidRPr="006655D2">
        <w:rPr>
          <w:rFonts w:ascii="Arial" w:hAnsi="Arial" w:eastAsia="Times New Roman" w:cs="Arial"/>
          <w:sz w:val="24"/>
          <w:szCs w:val="24"/>
        </w:rPr>
        <w:t>U.S. Department of Health and Human Services</w:t>
      </w:r>
    </w:p>
    <w:p w:rsidRPr="006655D2" w:rsidR="006655D2" w:rsidP="006655D2" w:rsidRDefault="006655D2" w14:paraId="1008BD97" w14:textId="77777777">
      <w:pPr>
        <w:spacing w:after="0" w:line="240" w:lineRule="auto"/>
        <w:rPr>
          <w:rFonts w:ascii="Arial" w:hAnsi="Arial" w:eastAsia="Times New Roman" w:cs="Arial"/>
          <w:sz w:val="24"/>
          <w:szCs w:val="24"/>
        </w:rPr>
      </w:pPr>
    </w:p>
    <w:p w:rsidRPr="006655D2" w:rsidR="006655D2" w:rsidP="006655D2" w:rsidRDefault="006655D2" w14:paraId="3A5DF47E" w14:textId="77777777">
      <w:pPr>
        <w:spacing w:after="0" w:line="240" w:lineRule="auto"/>
        <w:jc w:val="center"/>
        <w:rPr>
          <w:rFonts w:ascii="Arial" w:hAnsi="Arial" w:eastAsia="Times New Roman" w:cs="Arial"/>
          <w:sz w:val="24"/>
          <w:szCs w:val="24"/>
        </w:rPr>
      </w:pPr>
      <w:r w:rsidRPr="006655D2">
        <w:rPr>
          <w:rFonts w:ascii="Arial" w:hAnsi="Arial" w:eastAsia="Times New Roman" w:cs="Arial"/>
          <w:sz w:val="24"/>
          <w:szCs w:val="24"/>
        </w:rPr>
        <w:t>200 Independent Avenue, SW</w:t>
      </w:r>
    </w:p>
    <w:p w:rsidRPr="006655D2" w:rsidR="006655D2" w:rsidP="006655D2" w:rsidRDefault="006655D2" w14:paraId="417946D0" w14:textId="77777777">
      <w:pPr>
        <w:spacing w:after="0" w:line="240" w:lineRule="auto"/>
        <w:jc w:val="center"/>
        <w:rPr>
          <w:rFonts w:ascii="Arial" w:hAnsi="Arial" w:eastAsia="Times New Roman" w:cs="Arial"/>
          <w:sz w:val="24"/>
          <w:szCs w:val="24"/>
        </w:rPr>
      </w:pPr>
      <w:r w:rsidRPr="006655D2">
        <w:rPr>
          <w:rFonts w:ascii="Arial" w:hAnsi="Arial" w:eastAsia="Times New Roman" w:cs="Arial"/>
          <w:sz w:val="24"/>
          <w:szCs w:val="24"/>
        </w:rPr>
        <w:t>Washington, DC 20201</w:t>
      </w:r>
    </w:p>
    <w:p w:rsidRPr="006655D2" w:rsidR="006655D2" w:rsidP="006655D2" w:rsidRDefault="006655D2" w14:paraId="649E6683" w14:textId="77777777">
      <w:pPr>
        <w:spacing w:after="0" w:line="240" w:lineRule="auto"/>
        <w:jc w:val="center"/>
        <w:rPr>
          <w:rFonts w:ascii="Arial" w:hAnsi="Arial" w:eastAsia="Times New Roman" w:cs="Arial"/>
          <w:sz w:val="24"/>
          <w:szCs w:val="24"/>
        </w:rPr>
      </w:pPr>
    </w:p>
    <w:p w:rsidRPr="006655D2" w:rsidR="006655D2" w:rsidP="006655D2" w:rsidRDefault="006655D2" w14:paraId="2BCF9E56" w14:textId="77777777">
      <w:pPr>
        <w:spacing w:after="0" w:line="240" w:lineRule="auto"/>
        <w:jc w:val="center"/>
        <w:rPr>
          <w:rFonts w:ascii="Arial" w:hAnsi="Arial" w:eastAsia="Times New Roman" w:cs="Arial"/>
          <w:sz w:val="24"/>
          <w:szCs w:val="24"/>
        </w:rPr>
      </w:pPr>
      <w:r w:rsidRPr="006655D2">
        <w:rPr>
          <w:rFonts w:ascii="Arial" w:hAnsi="Arial" w:eastAsia="Times New Roman" w:cs="Arial"/>
          <w:sz w:val="24"/>
          <w:szCs w:val="24"/>
        </w:rPr>
        <w:t>Project officers: Amanda Benton, Nina Chien, Suzanne Macartney</w:t>
      </w:r>
    </w:p>
    <w:p w:rsidR="006655D2" w:rsidP="0036310A" w:rsidRDefault="006655D2" w14:paraId="1E4DEFD0" w14:textId="77777777">
      <w:pPr>
        <w:pStyle w:val="Paragraph"/>
        <w:sectPr w:rsidR="006655D2" w:rsidSect="00867B2D">
          <w:headerReference w:type="default" r:id="rId9"/>
          <w:headerReference w:type="first" r:id="rId10"/>
          <w:footerReference w:type="first" r:id="rId11"/>
          <w:pgSz w:w="12240" w:h="15840"/>
          <w:pgMar w:top="1440" w:right="1440" w:bottom="1440" w:left="1440" w:header="720" w:footer="720" w:gutter="0"/>
          <w:cols w:space="720"/>
          <w:docGrid w:linePitch="299"/>
        </w:sectPr>
      </w:pPr>
    </w:p>
    <w:sdt>
      <w:sdtPr>
        <w:rPr>
          <w:rFonts w:cs="Times New Roman" w:asciiTheme="minorHAnsi" w:hAnsiTheme="minorHAnsi" w:eastAsiaTheme="minorEastAsia"/>
          <w:b w:val="0"/>
          <w:sz w:val="20"/>
          <w:szCs w:val="3276"/>
        </w:rPr>
        <w:id w:val="-962956099"/>
        <w:docPartObj>
          <w:docPartGallery w:val="Table of Contents"/>
          <w:docPartUnique/>
        </w:docPartObj>
      </w:sdtPr>
      <w:sdtEndPr>
        <w:rPr>
          <w:rFonts w:eastAsiaTheme="minorHAnsi" w:cstheme="minorBidi"/>
          <w:sz w:val="22"/>
          <w:szCs w:val="22"/>
        </w:rPr>
      </w:sdtEndPr>
      <w:sdtContent>
        <w:p w:rsidR="004C0CB6" w:rsidP="004E6EF8" w:rsidRDefault="004C0CB6" w14:paraId="7D4FE3FF" w14:textId="77777777">
          <w:pPr>
            <w:pStyle w:val="TOCHeading"/>
          </w:pPr>
          <w:r>
            <w:t>Contents</w:t>
          </w:r>
        </w:p>
        <w:p w:rsidR="004C0CB6" w:rsidP="004C0CB6" w:rsidRDefault="004C0CB6" w14:paraId="499D2CDD" w14:textId="435518E4">
          <w:pPr>
            <w:pStyle w:val="TOC1"/>
            <w:ind w:left="630" w:hanging="630"/>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 </w:instrText>
          </w:r>
          <w:r>
            <w:fldChar w:fldCharType="separate"/>
          </w:r>
          <w:hyperlink w:history="1" w:anchor="_Toc102388386">
            <w:r w:rsidRPr="0055125D">
              <w:rPr>
                <w:rStyle w:val="Hyperlink"/>
                <w:noProof/>
              </w:rPr>
              <w:t>Executive Summary</w:t>
            </w:r>
            <w:r>
              <w:rPr>
                <w:noProof/>
                <w:webHidden/>
              </w:rPr>
              <w:tab/>
            </w:r>
            <w:r>
              <w:rPr>
                <w:noProof/>
                <w:webHidden/>
              </w:rPr>
              <w:fldChar w:fldCharType="begin"/>
            </w:r>
            <w:r>
              <w:rPr>
                <w:noProof/>
                <w:webHidden/>
              </w:rPr>
              <w:instrText xml:space="preserve"> PAGEREF _Toc102388386 \h </w:instrText>
            </w:r>
            <w:r>
              <w:rPr>
                <w:noProof/>
                <w:webHidden/>
              </w:rPr>
            </w:r>
            <w:r>
              <w:rPr>
                <w:noProof/>
                <w:webHidden/>
              </w:rPr>
              <w:fldChar w:fldCharType="separate"/>
            </w:r>
            <w:r>
              <w:rPr>
                <w:noProof/>
                <w:webHidden/>
              </w:rPr>
              <w:t>1</w:t>
            </w:r>
            <w:r>
              <w:rPr>
                <w:noProof/>
                <w:webHidden/>
              </w:rPr>
              <w:fldChar w:fldCharType="end"/>
            </w:r>
          </w:hyperlink>
        </w:p>
        <w:p w:rsidR="004C0CB6" w:rsidP="004C0CB6" w:rsidRDefault="00FF7288" w14:paraId="2DCEEC7C" w14:textId="301BB5DF">
          <w:pPr>
            <w:pStyle w:val="TOC2"/>
            <w:tabs>
              <w:tab w:val="left" w:pos="1296"/>
            </w:tabs>
            <w:ind w:left="630" w:hanging="630"/>
            <w:rPr>
              <w:rFonts w:asciiTheme="minorHAnsi" w:hAnsiTheme="minorHAnsi" w:eastAsiaTheme="minorEastAsia"/>
              <w:noProof/>
            </w:rPr>
          </w:pPr>
          <w:hyperlink w:history="1" w:anchor="_Toc102388387">
            <w:r w:rsidRPr="0055125D" w:rsidR="004C0CB6">
              <w:rPr>
                <w:rStyle w:val="Hyperlink"/>
                <w:noProof/>
              </w:rPr>
              <w:t xml:space="preserve">A.1. </w:t>
            </w:r>
            <w:r w:rsidR="004C0CB6">
              <w:rPr>
                <w:rFonts w:asciiTheme="minorHAnsi" w:hAnsiTheme="minorHAnsi" w:eastAsiaTheme="minorEastAsia"/>
                <w:noProof/>
              </w:rPr>
              <w:tab/>
            </w:r>
            <w:r w:rsidRPr="0055125D" w:rsidR="004C0CB6">
              <w:rPr>
                <w:rStyle w:val="Hyperlink"/>
                <w:noProof/>
              </w:rPr>
              <w:t>Circumstances making the collection of information necessary</w:t>
            </w:r>
            <w:r w:rsidR="004C0CB6">
              <w:rPr>
                <w:noProof/>
                <w:webHidden/>
              </w:rPr>
              <w:tab/>
            </w:r>
            <w:r w:rsidR="004C0CB6">
              <w:rPr>
                <w:noProof/>
                <w:webHidden/>
              </w:rPr>
              <w:fldChar w:fldCharType="begin"/>
            </w:r>
            <w:r w:rsidR="004C0CB6">
              <w:rPr>
                <w:noProof/>
                <w:webHidden/>
              </w:rPr>
              <w:instrText xml:space="preserve"> PAGEREF _Toc102388387 \h </w:instrText>
            </w:r>
            <w:r w:rsidR="004C0CB6">
              <w:rPr>
                <w:noProof/>
                <w:webHidden/>
              </w:rPr>
            </w:r>
            <w:r w:rsidR="004C0CB6">
              <w:rPr>
                <w:noProof/>
                <w:webHidden/>
              </w:rPr>
              <w:fldChar w:fldCharType="separate"/>
            </w:r>
            <w:r w:rsidR="004C0CB6">
              <w:rPr>
                <w:noProof/>
                <w:webHidden/>
              </w:rPr>
              <w:t>1</w:t>
            </w:r>
            <w:r w:rsidR="004C0CB6">
              <w:rPr>
                <w:noProof/>
                <w:webHidden/>
              </w:rPr>
              <w:fldChar w:fldCharType="end"/>
            </w:r>
          </w:hyperlink>
        </w:p>
        <w:p w:rsidR="004C0CB6" w:rsidP="004C0CB6" w:rsidRDefault="00FF7288" w14:paraId="76530E7C" w14:textId="5EF27E66">
          <w:pPr>
            <w:pStyle w:val="TOC2"/>
            <w:tabs>
              <w:tab w:val="left" w:pos="1296"/>
            </w:tabs>
            <w:ind w:left="630" w:hanging="630"/>
            <w:rPr>
              <w:rFonts w:asciiTheme="minorHAnsi" w:hAnsiTheme="minorHAnsi" w:eastAsiaTheme="minorEastAsia"/>
              <w:noProof/>
            </w:rPr>
          </w:pPr>
          <w:hyperlink w:history="1" w:anchor="_Toc102388388">
            <w:r w:rsidRPr="0055125D" w:rsidR="004C0CB6">
              <w:rPr>
                <w:rStyle w:val="Hyperlink"/>
                <w:noProof/>
              </w:rPr>
              <w:t xml:space="preserve">A.2. </w:t>
            </w:r>
            <w:r w:rsidR="004C0CB6">
              <w:rPr>
                <w:rFonts w:asciiTheme="minorHAnsi" w:hAnsiTheme="minorHAnsi" w:eastAsiaTheme="minorEastAsia"/>
                <w:noProof/>
              </w:rPr>
              <w:tab/>
            </w:r>
            <w:r w:rsidRPr="0055125D" w:rsidR="004C0CB6">
              <w:rPr>
                <w:rStyle w:val="Hyperlink"/>
                <w:noProof/>
              </w:rPr>
              <w:t>Purpose and use of the information collection</w:t>
            </w:r>
            <w:r w:rsidR="004C0CB6">
              <w:rPr>
                <w:noProof/>
                <w:webHidden/>
              </w:rPr>
              <w:tab/>
            </w:r>
            <w:r w:rsidR="004C0CB6">
              <w:rPr>
                <w:noProof/>
                <w:webHidden/>
              </w:rPr>
              <w:fldChar w:fldCharType="begin"/>
            </w:r>
            <w:r w:rsidR="004C0CB6">
              <w:rPr>
                <w:noProof/>
                <w:webHidden/>
              </w:rPr>
              <w:instrText xml:space="preserve"> PAGEREF _Toc102388388 \h </w:instrText>
            </w:r>
            <w:r w:rsidR="004C0CB6">
              <w:rPr>
                <w:noProof/>
                <w:webHidden/>
              </w:rPr>
            </w:r>
            <w:r w:rsidR="004C0CB6">
              <w:rPr>
                <w:noProof/>
                <w:webHidden/>
              </w:rPr>
              <w:fldChar w:fldCharType="separate"/>
            </w:r>
            <w:r w:rsidR="004C0CB6">
              <w:rPr>
                <w:noProof/>
                <w:webHidden/>
              </w:rPr>
              <w:t>2</w:t>
            </w:r>
            <w:r w:rsidR="004C0CB6">
              <w:rPr>
                <w:noProof/>
                <w:webHidden/>
              </w:rPr>
              <w:fldChar w:fldCharType="end"/>
            </w:r>
          </w:hyperlink>
        </w:p>
        <w:p w:rsidR="004C0CB6" w:rsidP="004C0CB6" w:rsidRDefault="00FF7288" w14:paraId="6B5FA926" w14:textId="70743E4B">
          <w:pPr>
            <w:pStyle w:val="TOC2"/>
            <w:tabs>
              <w:tab w:val="left" w:pos="1296"/>
            </w:tabs>
            <w:ind w:left="630" w:hanging="630"/>
            <w:rPr>
              <w:rFonts w:asciiTheme="minorHAnsi" w:hAnsiTheme="minorHAnsi" w:eastAsiaTheme="minorEastAsia"/>
              <w:noProof/>
            </w:rPr>
          </w:pPr>
          <w:hyperlink w:history="1" w:anchor="_Toc102388389">
            <w:r w:rsidRPr="0055125D" w:rsidR="004C0CB6">
              <w:rPr>
                <w:rStyle w:val="Hyperlink"/>
                <w:noProof/>
              </w:rPr>
              <w:t>A.3.</w:t>
            </w:r>
            <w:r w:rsidR="004C0CB6">
              <w:rPr>
                <w:rFonts w:asciiTheme="minorHAnsi" w:hAnsiTheme="minorHAnsi" w:eastAsiaTheme="minorEastAsia"/>
                <w:noProof/>
              </w:rPr>
              <w:tab/>
            </w:r>
            <w:r w:rsidRPr="0055125D" w:rsidR="004C0CB6">
              <w:rPr>
                <w:rStyle w:val="Hyperlink"/>
                <w:noProof/>
              </w:rPr>
              <w:t>Use of improved information technology and burden reduction</w:t>
            </w:r>
            <w:r w:rsidR="004C0CB6">
              <w:rPr>
                <w:noProof/>
                <w:webHidden/>
              </w:rPr>
              <w:tab/>
            </w:r>
            <w:r w:rsidR="004C0CB6">
              <w:rPr>
                <w:noProof/>
                <w:webHidden/>
              </w:rPr>
              <w:fldChar w:fldCharType="begin"/>
            </w:r>
            <w:r w:rsidR="004C0CB6">
              <w:rPr>
                <w:noProof/>
                <w:webHidden/>
              </w:rPr>
              <w:instrText xml:space="preserve"> PAGEREF _Toc102388389 \h </w:instrText>
            </w:r>
            <w:r w:rsidR="004C0CB6">
              <w:rPr>
                <w:noProof/>
                <w:webHidden/>
              </w:rPr>
            </w:r>
            <w:r w:rsidR="004C0CB6">
              <w:rPr>
                <w:noProof/>
                <w:webHidden/>
              </w:rPr>
              <w:fldChar w:fldCharType="separate"/>
            </w:r>
            <w:r w:rsidR="004C0CB6">
              <w:rPr>
                <w:noProof/>
                <w:webHidden/>
              </w:rPr>
              <w:t>5</w:t>
            </w:r>
            <w:r w:rsidR="004C0CB6">
              <w:rPr>
                <w:noProof/>
                <w:webHidden/>
              </w:rPr>
              <w:fldChar w:fldCharType="end"/>
            </w:r>
          </w:hyperlink>
        </w:p>
        <w:p w:rsidR="004C0CB6" w:rsidP="004C0CB6" w:rsidRDefault="00FF7288" w14:paraId="4FE90B9E" w14:textId="3686BAD5">
          <w:pPr>
            <w:pStyle w:val="TOC2"/>
            <w:tabs>
              <w:tab w:val="left" w:pos="1296"/>
            </w:tabs>
            <w:ind w:left="630" w:hanging="630"/>
            <w:rPr>
              <w:rFonts w:asciiTheme="minorHAnsi" w:hAnsiTheme="minorHAnsi" w:eastAsiaTheme="minorEastAsia"/>
              <w:noProof/>
            </w:rPr>
          </w:pPr>
          <w:hyperlink w:history="1" w:anchor="_Toc102388390">
            <w:r w:rsidRPr="0055125D" w:rsidR="004C0CB6">
              <w:rPr>
                <w:rStyle w:val="Hyperlink"/>
                <w:noProof/>
              </w:rPr>
              <w:t>A.4.</w:t>
            </w:r>
            <w:r w:rsidR="004C0CB6">
              <w:rPr>
                <w:rFonts w:asciiTheme="minorHAnsi" w:hAnsiTheme="minorHAnsi" w:eastAsiaTheme="minorEastAsia"/>
                <w:noProof/>
              </w:rPr>
              <w:tab/>
            </w:r>
            <w:r w:rsidRPr="0055125D" w:rsidR="004C0CB6">
              <w:rPr>
                <w:rStyle w:val="Hyperlink"/>
                <w:noProof/>
              </w:rPr>
              <w:t>Efforts to identify duplication and use of similar information</w:t>
            </w:r>
            <w:r w:rsidR="004C0CB6">
              <w:rPr>
                <w:noProof/>
                <w:webHidden/>
              </w:rPr>
              <w:tab/>
            </w:r>
            <w:r w:rsidR="004C0CB6">
              <w:rPr>
                <w:noProof/>
                <w:webHidden/>
              </w:rPr>
              <w:fldChar w:fldCharType="begin"/>
            </w:r>
            <w:r w:rsidR="004C0CB6">
              <w:rPr>
                <w:noProof/>
                <w:webHidden/>
              </w:rPr>
              <w:instrText xml:space="preserve"> PAGEREF _Toc102388390 \h </w:instrText>
            </w:r>
            <w:r w:rsidR="004C0CB6">
              <w:rPr>
                <w:noProof/>
                <w:webHidden/>
              </w:rPr>
            </w:r>
            <w:r w:rsidR="004C0CB6">
              <w:rPr>
                <w:noProof/>
                <w:webHidden/>
              </w:rPr>
              <w:fldChar w:fldCharType="separate"/>
            </w:r>
            <w:r w:rsidR="004C0CB6">
              <w:rPr>
                <w:noProof/>
                <w:webHidden/>
              </w:rPr>
              <w:t>5</w:t>
            </w:r>
            <w:r w:rsidR="004C0CB6">
              <w:rPr>
                <w:noProof/>
                <w:webHidden/>
              </w:rPr>
              <w:fldChar w:fldCharType="end"/>
            </w:r>
          </w:hyperlink>
        </w:p>
        <w:p w:rsidR="004C0CB6" w:rsidP="004C0CB6" w:rsidRDefault="00FF7288" w14:paraId="3A6F8D22" w14:textId="2C1B57BE">
          <w:pPr>
            <w:pStyle w:val="TOC2"/>
            <w:tabs>
              <w:tab w:val="left" w:pos="1296"/>
            </w:tabs>
            <w:ind w:left="630" w:hanging="630"/>
            <w:rPr>
              <w:rFonts w:asciiTheme="minorHAnsi" w:hAnsiTheme="minorHAnsi" w:eastAsiaTheme="minorEastAsia"/>
              <w:noProof/>
            </w:rPr>
          </w:pPr>
          <w:hyperlink w:history="1" w:anchor="_Toc102388391">
            <w:r w:rsidRPr="0055125D" w:rsidR="004C0CB6">
              <w:rPr>
                <w:rStyle w:val="Hyperlink"/>
                <w:noProof/>
              </w:rPr>
              <w:t>A.5.</w:t>
            </w:r>
            <w:r w:rsidR="004C0CB6">
              <w:rPr>
                <w:rFonts w:asciiTheme="minorHAnsi" w:hAnsiTheme="minorHAnsi" w:eastAsiaTheme="minorEastAsia"/>
                <w:noProof/>
              </w:rPr>
              <w:tab/>
            </w:r>
            <w:r w:rsidRPr="0055125D" w:rsidR="004C0CB6">
              <w:rPr>
                <w:rStyle w:val="Hyperlink"/>
                <w:noProof/>
              </w:rPr>
              <w:t>Impact on small businesses or other small entities</w:t>
            </w:r>
            <w:r w:rsidR="004C0CB6">
              <w:rPr>
                <w:noProof/>
                <w:webHidden/>
              </w:rPr>
              <w:tab/>
            </w:r>
            <w:r w:rsidR="004C0CB6">
              <w:rPr>
                <w:noProof/>
                <w:webHidden/>
              </w:rPr>
              <w:fldChar w:fldCharType="begin"/>
            </w:r>
            <w:r w:rsidR="004C0CB6">
              <w:rPr>
                <w:noProof/>
                <w:webHidden/>
              </w:rPr>
              <w:instrText xml:space="preserve"> PAGEREF _Toc102388391 \h </w:instrText>
            </w:r>
            <w:r w:rsidR="004C0CB6">
              <w:rPr>
                <w:noProof/>
                <w:webHidden/>
              </w:rPr>
            </w:r>
            <w:r w:rsidR="004C0CB6">
              <w:rPr>
                <w:noProof/>
                <w:webHidden/>
              </w:rPr>
              <w:fldChar w:fldCharType="separate"/>
            </w:r>
            <w:r w:rsidR="004C0CB6">
              <w:rPr>
                <w:noProof/>
                <w:webHidden/>
              </w:rPr>
              <w:t>5</w:t>
            </w:r>
            <w:r w:rsidR="004C0CB6">
              <w:rPr>
                <w:noProof/>
                <w:webHidden/>
              </w:rPr>
              <w:fldChar w:fldCharType="end"/>
            </w:r>
          </w:hyperlink>
        </w:p>
        <w:p w:rsidR="004C0CB6" w:rsidP="004C0CB6" w:rsidRDefault="00FF7288" w14:paraId="648617EF" w14:textId="3001DD88">
          <w:pPr>
            <w:pStyle w:val="TOC2"/>
            <w:tabs>
              <w:tab w:val="left" w:pos="1296"/>
            </w:tabs>
            <w:ind w:left="630" w:hanging="630"/>
            <w:rPr>
              <w:rFonts w:asciiTheme="minorHAnsi" w:hAnsiTheme="minorHAnsi" w:eastAsiaTheme="minorEastAsia"/>
              <w:noProof/>
            </w:rPr>
          </w:pPr>
          <w:hyperlink w:history="1" w:anchor="_Toc102388392">
            <w:r w:rsidRPr="0055125D" w:rsidR="004C0CB6">
              <w:rPr>
                <w:rStyle w:val="Hyperlink"/>
                <w:noProof/>
              </w:rPr>
              <w:t>A.6.</w:t>
            </w:r>
            <w:r w:rsidR="004C0CB6">
              <w:rPr>
                <w:rFonts w:asciiTheme="minorHAnsi" w:hAnsiTheme="minorHAnsi" w:eastAsiaTheme="minorEastAsia"/>
                <w:noProof/>
              </w:rPr>
              <w:tab/>
            </w:r>
            <w:r w:rsidRPr="0055125D" w:rsidR="004C0CB6">
              <w:rPr>
                <w:rStyle w:val="Hyperlink"/>
                <w:noProof/>
              </w:rPr>
              <w:t>Consequences of collecting the information less frequently</w:t>
            </w:r>
            <w:r w:rsidR="004C0CB6">
              <w:rPr>
                <w:noProof/>
                <w:webHidden/>
              </w:rPr>
              <w:tab/>
            </w:r>
            <w:r w:rsidR="004C0CB6">
              <w:rPr>
                <w:noProof/>
                <w:webHidden/>
              </w:rPr>
              <w:fldChar w:fldCharType="begin"/>
            </w:r>
            <w:r w:rsidR="004C0CB6">
              <w:rPr>
                <w:noProof/>
                <w:webHidden/>
              </w:rPr>
              <w:instrText xml:space="preserve"> PAGEREF _Toc102388392 \h </w:instrText>
            </w:r>
            <w:r w:rsidR="004C0CB6">
              <w:rPr>
                <w:noProof/>
                <w:webHidden/>
              </w:rPr>
            </w:r>
            <w:r w:rsidR="004C0CB6">
              <w:rPr>
                <w:noProof/>
                <w:webHidden/>
              </w:rPr>
              <w:fldChar w:fldCharType="separate"/>
            </w:r>
            <w:r w:rsidR="004C0CB6">
              <w:rPr>
                <w:noProof/>
                <w:webHidden/>
              </w:rPr>
              <w:t>5</w:t>
            </w:r>
            <w:r w:rsidR="004C0CB6">
              <w:rPr>
                <w:noProof/>
                <w:webHidden/>
              </w:rPr>
              <w:fldChar w:fldCharType="end"/>
            </w:r>
          </w:hyperlink>
        </w:p>
        <w:p w:rsidR="004C0CB6" w:rsidP="004C0CB6" w:rsidRDefault="00FF7288" w14:paraId="075109B7" w14:textId="07D1C19A">
          <w:pPr>
            <w:pStyle w:val="TOC2"/>
            <w:tabs>
              <w:tab w:val="left" w:pos="1296"/>
            </w:tabs>
            <w:ind w:left="630" w:hanging="630"/>
            <w:rPr>
              <w:rFonts w:asciiTheme="minorHAnsi" w:hAnsiTheme="minorHAnsi" w:eastAsiaTheme="minorEastAsia"/>
              <w:noProof/>
            </w:rPr>
          </w:pPr>
          <w:hyperlink w:history="1" w:anchor="_Toc102388393">
            <w:r w:rsidRPr="0055125D" w:rsidR="004C0CB6">
              <w:rPr>
                <w:rStyle w:val="Hyperlink"/>
                <w:noProof/>
              </w:rPr>
              <w:t xml:space="preserve">A.7. </w:t>
            </w:r>
            <w:r w:rsidR="004C0CB6">
              <w:rPr>
                <w:rFonts w:asciiTheme="minorHAnsi" w:hAnsiTheme="minorHAnsi" w:eastAsiaTheme="minorEastAsia"/>
                <w:noProof/>
              </w:rPr>
              <w:tab/>
            </w:r>
            <w:r w:rsidRPr="0055125D" w:rsidR="004C0CB6">
              <w:rPr>
                <w:rStyle w:val="Hyperlink"/>
                <w:noProof/>
              </w:rPr>
              <w:t>Special circumstances relating to the guidelines of 5 CFR 1320.5</w:t>
            </w:r>
            <w:r w:rsidR="004C0CB6">
              <w:rPr>
                <w:noProof/>
                <w:webHidden/>
              </w:rPr>
              <w:tab/>
            </w:r>
            <w:r w:rsidR="004C0CB6">
              <w:rPr>
                <w:noProof/>
                <w:webHidden/>
              </w:rPr>
              <w:fldChar w:fldCharType="begin"/>
            </w:r>
            <w:r w:rsidR="004C0CB6">
              <w:rPr>
                <w:noProof/>
                <w:webHidden/>
              </w:rPr>
              <w:instrText xml:space="preserve"> PAGEREF _Toc102388393 \h </w:instrText>
            </w:r>
            <w:r w:rsidR="004C0CB6">
              <w:rPr>
                <w:noProof/>
                <w:webHidden/>
              </w:rPr>
            </w:r>
            <w:r w:rsidR="004C0CB6">
              <w:rPr>
                <w:noProof/>
                <w:webHidden/>
              </w:rPr>
              <w:fldChar w:fldCharType="separate"/>
            </w:r>
            <w:r w:rsidR="004C0CB6">
              <w:rPr>
                <w:noProof/>
                <w:webHidden/>
              </w:rPr>
              <w:t>5</w:t>
            </w:r>
            <w:r w:rsidR="004C0CB6">
              <w:rPr>
                <w:noProof/>
                <w:webHidden/>
              </w:rPr>
              <w:fldChar w:fldCharType="end"/>
            </w:r>
          </w:hyperlink>
        </w:p>
        <w:p w:rsidR="004C0CB6" w:rsidP="004C0CB6" w:rsidRDefault="00FF7288" w14:paraId="4AEE5572" w14:textId="306DE223">
          <w:pPr>
            <w:pStyle w:val="TOC2"/>
            <w:tabs>
              <w:tab w:val="left" w:pos="1296"/>
            </w:tabs>
            <w:ind w:left="630" w:hanging="630"/>
            <w:rPr>
              <w:rFonts w:asciiTheme="minorHAnsi" w:hAnsiTheme="minorHAnsi" w:eastAsiaTheme="minorEastAsia"/>
              <w:noProof/>
            </w:rPr>
          </w:pPr>
          <w:hyperlink w:history="1" w:anchor="_Toc102388394">
            <w:r w:rsidRPr="0055125D" w:rsidR="004C0CB6">
              <w:rPr>
                <w:rStyle w:val="Hyperlink"/>
                <w:noProof/>
              </w:rPr>
              <w:t>A.8.</w:t>
            </w:r>
            <w:r w:rsidR="004C0CB6">
              <w:rPr>
                <w:rFonts w:asciiTheme="minorHAnsi" w:hAnsiTheme="minorHAnsi" w:eastAsiaTheme="minorEastAsia"/>
                <w:noProof/>
              </w:rPr>
              <w:tab/>
            </w:r>
            <w:r w:rsidRPr="0055125D" w:rsidR="004C0CB6">
              <w:rPr>
                <w:rStyle w:val="Hyperlink"/>
                <w:noProof/>
              </w:rPr>
              <w:t>Comments in response to the Federal Register Notice and efforts to consult outside the agency</w:t>
            </w:r>
            <w:r w:rsidR="004C0CB6">
              <w:rPr>
                <w:noProof/>
                <w:webHidden/>
              </w:rPr>
              <w:tab/>
            </w:r>
            <w:r w:rsidR="004C0CB6">
              <w:rPr>
                <w:noProof/>
                <w:webHidden/>
              </w:rPr>
              <w:fldChar w:fldCharType="begin"/>
            </w:r>
            <w:r w:rsidR="004C0CB6">
              <w:rPr>
                <w:noProof/>
                <w:webHidden/>
              </w:rPr>
              <w:instrText xml:space="preserve"> PAGEREF _Toc102388394 \h </w:instrText>
            </w:r>
            <w:r w:rsidR="004C0CB6">
              <w:rPr>
                <w:noProof/>
                <w:webHidden/>
              </w:rPr>
            </w:r>
            <w:r w:rsidR="004C0CB6">
              <w:rPr>
                <w:noProof/>
                <w:webHidden/>
              </w:rPr>
              <w:fldChar w:fldCharType="separate"/>
            </w:r>
            <w:r w:rsidR="004C0CB6">
              <w:rPr>
                <w:noProof/>
                <w:webHidden/>
              </w:rPr>
              <w:t>6</w:t>
            </w:r>
            <w:r w:rsidR="004C0CB6">
              <w:rPr>
                <w:noProof/>
                <w:webHidden/>
              </w:rPr>
              <w:fldChar w:fldCharType="end"/>
            </w:r>
          </w:hyperlink>
        </w:p>
        <w:p w:rsidR="004C0CB6" w:rsidP="004C0CB6" w:rsidRDefault="00FF7288" w14:paraId="3450D772" w14:textId="302739A9">
          <w:pPr>
            <w:pStyle w:val="TOC2"/>
            <w:tabs>
              <w:tab w:val="left" w:pos="1296"/>
            </w:tabs>
            <w:ind w:left="630" w:hanging="630"/>
            <w:rPr>
              <w:rFonts w:asciiTheme="minorHAnsi" w:hAnsiTheme="minorHAnsi" w:eastAsiaTheme="minorEastAsia"/>
              <w:noProof/>
            </w:rPr>
          </w:pPr>
          <w:hyperlink w:history="1" w:anchor="_Toc102388395">
            <w:r w:rsidRPr="0055125D" w:rsidR="004C0CB6">
              <w:rPr>
                <w:rStyle w:val="Hyperlink"/>
                <w:noProof/>
              </w:rPr>
              <w:t xml:space="preserve">A.9. </w:t>
            </w:r>
            <w:r w:rsidR="004C0CB6">
              <w:rPr>
                <w:rFonts w:asciiTheme="minorHAnsi" w:hAnsiTheme="minorHAnsi" w:eastAsiaTheme="minorEastAsia"/>
                <w:noProof/>
              </w:rPr>
              <w:tab/>
            </w:r>
            <w:r w:rsidRPr="0055125D" w:rsidR="004C0CB6">
              <w:rPr>
                <w:rStyle w:val="Hyperlink"/>
                <w:noProof/>
              </w:rPr>
              <w:t>Explanation of any payment or gift to respondents</w:t>
            </w:r>
            <w:r w:rsidR="004C0CB6">
              <w:rPr>
                <w:noProof/>
                <w:webHidden/>
              </w:rPr>
              <w:tab/>
            </w:r>
            <w:r w:rsidR="004C0CB6">
              <w:rPr>
                <w:noProof/>
                <w:webHidden/>
              </w:rPr>
              <w:fldChar w:fldCharType="begin"/>
            </w:r>
            <w:r w:rsidR="004C0CB6">
              <w:rPr>
                <w:noProof/>
                <w:webHidden/>
              </w:rPr>
              <w:instrText xml:space="preserve"> PAGEREF _Toc102388395 \h </w:instrText>
            </w:r>
            <w:r w:rsidR="004C0CB6">
              <w:rPr>
                <w:noProof/>
                <w:webHidden/>
              </w:rPr>
            </w:r>
            <w:r w:rsidR="004C0CB6">
              <w:rPr>
                <w:noProof/>
                <w:webHidden/>
              </w:rPr>
              <w:fldChar w:fldCharType="separate"/>
            </w:r>
            <w:r w:rsidR="004C0CB6">
              <w:rPr>
                <w:noProof/>
                <w:webHidden/>
              </w:rPr>
              <w:t>6</w:t>
            </w:r>
            <w:r w:rsidR="004C0CB6">
              <w:rPr>
                <w:noProof/>
                <w:webHidden/>
              </w:rPr>
              <w:fldChar w:fldCharType="end"/>
            </w:r>
          </w:hyperlink>
        </w:p>
        <w:p w:rsidR="004C0CB6" w:rsidP="004C0CB6" w:rsidRDefault="00FF7288" w14:paraId="1C6612DF" w14:textId="1437A295">
          <w:pPr>
            <w:pStyle w:val="TOC2"/>
            <w:tabs>
              <w:tab w:val="left" w:pos="1296"/>
            </w:tabs>
            <w:ind w:left="630" w:hanging="630"/>
            <w:rPr>
              <w:rFonts w:asciiTheme="minorHAnsi" w:hAnsiTheme="minorHAnsi" w:eastAsiaTheme="minorEastAsia"/>
              <w:noProof/>
            </w:rPr>
          </w:pPr>
          <w:hyperlink w:history="1" w:anchor="_Toc102388396">
            <w:r w:rsidRPr="0055125D" w:rsidR="004C0CB6">
              <w:rPr>
                <w:rStyle w:val="Hyperlink"/>
                <w:noProof/>
              </w:rPr>
              <w:t>A.10.</w:t>
            </w:r>
            <w:r w:rsidR="004C0CB6">
              <w:rPr>
                <w:rFonts w:asciiTheme="minorHAnsi" w:hAnsiTheme="minorHAnsi" w:eastAsiaTheme="minorEastAsia"/>
                <w:noProof/>
              </w:rPr>
              <w:tab/>
            </w:r>
            <w:r w:rsidRPr="0055125D" w:rsidR="004C0CB6">
              <w:rPr>
                <w:rStyle w:val="Hyperlink"/>
                <w:noProof/>
              </w:rPr>
              <w:t>Assurance of confidentiality provided to respondents</w:t>
            </w:r>
            <w:r w:rsidR="004C0CB6">
              <w:rPr>
                <w:noProof/>
                <w:webHidden/>
              </w:rPr>
              <w:tab/>
            </w:r>
            <w:r w:rsidR="004C0CB6">
              <w:rPr>
                <w:noProof/>
                <w:webHidden/>
              </w:rPr>
              <w:fldChar w:fldCharType="begin"/>
            </w:r>
            <w:r w:rsidR="004C0CB6">
              <w:rPr>
                <w:noProof/>
                <w:webHidden/>
              </w:rPr>
              <w:instrText xml:space="preserve"> PAGEREF _Toc102388396 \h </w:instrText>
            </w:r>
            <w:r w:rsidR="004C0CB6">
              <w:rPr>
                <w:noProof/>
                <w:webHidden/>
              </w:rPr>
            </w:r>
            <w:r w:rsidR="004C0CB6">
              <w:rPr>
                <w:noProof/>
                <w:webHidden/>
              </w:rPr>
              <w:fldChar w:fldCharType="separate"/>
            </w:r>
            <w:r w:rsidR="004C0CB6">
              <w:rPr>
                <w:noProof/>
                <w:webHidden/>
              </w:rPr>
              <w:t>6</w:t>
            </w:r>
            <w:r w:rsidR="004C0CB6">
              <w:rPr>
                <w:noProof/>
                <w:webHidden/>
              </w:rPr>
              <w:fldChar w:fldCharType="end"/>
            </w:r>
          </w:hyperlink>
        </w:p>
        <w:p w:rsidR="004C0CB6" w:rsidP="004C0CB6" w:rsidRDefault="00FF7288" w14:paraId="12EEC26A" w14:textId="4DC648F3">
          <w:pPr>
            <w:pStyle w:val="TOC2"/>
            <w:tabs>
              <w:tab w:val="left" w:pos="1296"/>
            </w:tabs>
            <w:ind w:left="630" w:hanging="630"/>
            <w:rPr>
              <w:rFonts w:asciiTheme="minorHAnsi" w:hAnsiTheme="minorHAnsi" w:eastAsiaTheme="minorEastAsia"/>
              <w:noProof/>
            </w:rPr>
          </w:pPr>
          <w:hyperlink w:history="1" w:anchor="_Toc102388397">
            <w:r w:rsidRPr="0055125D" w:rsidR="004C0CB6">
              <w:rPr>
                <w:rStyle w:val="Hyperlink"/>
                <w:noProof/>
              </w:rPr>
              <w:t>A.11.</w:t>
            </w:r>
            <w:r w:rsidR="004C0CB6">
              <w:rPr>
                <w:rFonts w:asciiTheme="minorHAnsi" w:hAnsiTheme="minorHAnsi" w:eastAsiaTheme="minorEastAsia"/>
                <w:noProof/>
              </w:rPr>
              <w:tab/>
            </w:r>
            <w:r w:rsidRPr="0055125D" w:rsidR="004C0CB6">
              <w:rPr>
                <w:rStyle w:val="Hyperlink"/>
                <w:noProof/>
              </w:rPr>
              <w:t>Justification for sensitive questions</w:t>
            </w:r>
            <w:r w:rsidR="004C0CB6">
              <w:rPr>
                <w:noProof/>
                <w:webHidden/>
              </w:rPr>
              <w:tab/>
            </w:r>
            <w:r w:rsidR="004C0CB6">
              <w:rPr>
                <w:noProof/>
                <w:webHidden/>
              </w:rPr>
              <w:fldChar w:fldCharType="begin"/>
            </w:r>
            <w:r w:rsidR="004C0CB6">
              <w:rPr>
                <w:noProof/>
                <w:webHidden/>
              </w:rPr>
              <w:instrText xml:space="preserve"> PAGEREF _Toc102388397 \h </w:instrText>
            </w:r>
            <w:r w:rsidR="004C0CB6">
              <w:rPr>
                <w:noProof/>
                <w:webHidden/>
              </w:rPr>
            </w:r>
            <w:r w:rsidR="004C0CB6">
              <w:rPr>
                <w:noProof/>
                <w:webHidden/>
              </w:rPr>
              <w:fldChar w:fldCharType="separate"/>
            </w:r>
            <w:r w:rsidR="004C0CB6">
              <w:rPr>
                <w:noProof/>
                <w:webHidden/>
              </w:rPr>
              <w:t>7</w:t>
            </w:r>
            <w:r w:rsidR="004C0CB6">
              <w:rPr>
                <w:noProof/>
                <w:webHidden/>
              </w:rPr>
              <w:fldChar w:fldCharType="end"/>
            </w:r>
          </w:hyperlink>
        </w:p>
        <w:p w:rsidR="004C0CB6" w:rsidP="004C0CB6" w:rsidRDefault="00FF7288" w14:paraId="6CA52855" w14:textId="5030DECB">
          <w:pPr>
            <w:pStyle w:val="TOC2"/>
            <w:tabs>
              <w:tab w:val="left" w:pos="1296"/>
            </w:tabs>
            <w:ind w:left="630" w:hanging="630"/>
            <w:rPr>
              <w:rFonts w:asciiTheme="minorHAnsi" w:hAnsiTheme="minorHAnsi" w:eastAsiaTheme="minorEastAsia"/>
              <w:noProof/>
            </w:rPr>
          </w:pPr>
          <w:hyperlink w:history="1" w:anchor="_Toc102388398">
            <w:r w:rsidRPr="0055125D" w:rsidR="004C0CB6">
              <w:rPr>
                <w:rStyle w:val="Hyperlink"/>
                <w:noProof/>
              </w:rPr>
              <w:t>A.12.</w:t>
            </w:r>
            <w:r w:rsidR="004C0CB6">
              <w:rPr>
                <w:rFonts w:asciiTheme="minorHAnsi" w:hAnsiTheme="minorHAnsi" w:eastAsiaTheme="minorEastAsia"/>
                <w:noProof/>
              </w:rPr>
              <w:tab/>
            </w:r>
            <w:r w:rsidRPr="0055125D" w:rsidR="004C0CB6">
              <w:rPr>
                <w:rStyle w:val="Hyperlink"/>
                <w:noProof/>
              </w:rPr>
              <w:t>Estimates of annualized burden hours and costs</w:t>
            </w:r>
            <w:r w:rsidR="004C0CB6">
              <w:rPr>
                <w:noProof/>
                <w:webHidden/>
              </w:rPr>
              <w:tab/>
            </w:r>
            <w:r w:rsidR="004C0CB6">
              <w:rPr>
                <w:noProof/>
                <w:webHidden/>
              </w:rPr>
              <w:fldChar w:fldCharType="begin"/>
            </w:r>
            <w:r w:rsidR="004C0CB6">
              <w:rPr>
                <w:noProof/>
                <w:webHidden/>
              </w:rPr>
              <w:instrText xml:space="preserve"> PAGEREF _Toc102388398 \h </w:instrText>
            </w:r>
            <w:r w:rsidR="004C0CB6">
              <w:rPr>
                <w:noProof/>
                <w:webHidden/>
              </w:rPr>
            </w:r>
            <w:r w:rsidR="004C0CB6">
              <w:rPr>
                <w:noProof/>
                <w:webHidden/>
              </w:rPr>
              <w:fldChar w:fldCharType="separate"/>
            </w:r>
            <w:r w:rsidR="004C0CB6">
              <w:rPr>
                <w:noProof/>
                <w:webHidden/>
              </w:rPr>
              <w:t>7</w:t>
            </w:r>
            <w:r w:rsidR="004C0CB6">
              <w:rPr>
                <w:noProof/>
                <w:webHidden/>
              </w:rPr>
              <w:fldChar w:fldCharType="end"/>
            </w:r>
          </w:hyperlink>
        </w:p>
        <w:p w:rsidR="004C0CB6" w:rsidP="004C0CB6" w:rsidRDefault="00FF7288" w14:paraId="17093E31" w14:textId="4AFF605D">
          <w:pPr>
            <w:pStyle w:val="TOC2"/>
            <w:tabs>
              <w:tab w:val="left" w:pos="1296"/>
            </w:tabs>
            <w:ind w:left="630" w:hanging="630"/>
            <w:rPr>
              <w:rFonts w:asciiTheme="minorHAnsi" w:hAnsiTheme="minorHAnsi" w:eastAsiaTheme="minorEastAsia"/>
              <w:noProof/>
            </w:rPr>
          </w:pPr>
          <w:hyperlink w:history="1" w:anchor="_Toc102388399">
            <w:r w:rsidRPr="0055125D" w:rsidR="004C0CB6">
              <w:rPr>
                <w:rStyle w:val="Hyperlink"/>
                <w:noProof/>
              </w:rPr>
              <w:t>A.13.</w:t>
            </w:r>
            <w:r w:rsidR="004C0CB6">
              <w:rPr>
                <w:rFonts w:asciiTheme="minorHAnsi" w:hAnsiTheme="minorHAnsi" w:eastAsiaTheme="minorEastAsia"/>
                <w:noProof/>
              </w:rPr>
              <w:tab/>
            </w:r>
            <w:r w:rsidRPr="0055125D" w:rsidR="004C0CB6">
              <w:rPr>
                <w:rStyle w:val="Hyperlink"/>
                <w:noProof/>
              </w:rPr>
              <w:t>Estimates of annualized burden hours and costs</w:t>
            </w:r>
            <w:r w:rsidR="004C0CB6">
              <w:rPr>
                <w:noProof/>
                <w:webHidden/>
              </w:rPr>
              <w:tab/>
            </w:r>
            <w:r w:rsidR="004C0CB6">
              <w:rPr>
                <w:noProof/>
                <w:webHidden/>
              </w:rPr>
              <w:fldChar w:fldCharType="begin"/>
            </w:r>
            <w:r w:rsidR="004C0CB6">
              <w:rPr>
                <w:noProof/>
                <w:webHidden/>
              </w:rPr>
              <w:instrText xml:space="preserve"> PAGEREF _Toc102388399 \h </w:instrText>
            </w:r>
            <w:r w:rsidR="004C0CB6">
              <w:rPr>
                <w:noProof/>
                <w:webHidden/>
              </w:rPr>
            </w:r>
            <w:r w:rsidR="004C0CB6">
              <w:rPr>
                <w:noProof/>
                <w:webHidden/>
              </w:rPr>
              <w:fldChar w:fldCharType="separate"/>
            </w:r>
            <w:r w:rsidR="004C0CB6">
              <w:rPr>
                <w:noProof/>
                <w:webHidden/>
              </w:rPr>
              <w:t>8</w:t>
            </w:r>
            <w:r w:rsidR="004C0CB6">
              <w:rPr>
                <w:noProof/>
                <w:webHidden/>
              </w:rPr>
              <w:fldChar w:fldCharType="end"/>
            </w:r>
          </w:hyperlink>
        </w:p>
        <w:p w:rsidR="004C0CB6" w:rsidP="004C0CB6" w:rsidRDefault="00FF7288" w14:paraId="58A39446" w14:textId="2DB22762">
          <w:pPr>
            <w:pStyle w:val="TOC2"/>
            <w:tabs>
              <w:tab w:val="left" w:pos="1296"/>
            </w:tabs>
            <w:ind w:left="630" w:hanging="630"/>
            <w:rPr>
              <w:rFonts w:asciiTheme="minorHAnsi" w:hAnsiTheme="minorHAnsi" w:eastAsiaTheme="minorEastAsia"/>
              <w:noProof/>
            </w:rPr>
          </w:pPr>
          <w:hyperlink w:history="1" w:anchor="_Toc102388400">
            <w:r w:rsidRPr="0055125D" w:rsidR="004C0CB6">
              <w:rPr>
                <w:rStyle w:val="Hyperlink"/>
                <w:noProof/>
              </w:rPr>
              <w:t>A.14.</w:t>
            </w:r>
            <w:r w:rsidR="004C0CB6">
              <w:rPr>
                <w:rFonts w:asciiTheme="minorHAnsi" w:hAnsiTheme="minorHAnsi" w:eastAsiaTheme="minorEastAsia"/>
                <w:noProof/>
              </w:rPr>
              <w:tab/>
            </w:r>
            <w:r w:rsidRPr="0055125D" w:rsidR="004C0CB6">
              <w:rPr>
                <w:rStyle w:val="Hyperlink"/>
                <w:noProof/>
              </w:rPr>
              <w:t>Annualized cost to the government</w:t>
            </w:r>
            <w:r w:rsidR="004C0CB6">
              <w:rPr>
                <w:noProof/>
                <w:webHidden/>
              </w:rPr>
              <w:tab/>
            </w:r>
            <w:r w:rsidR="004C0CB6">
              <w:rPr>
                <w:noProof/>
                <w:webHidden/>
              </w:rPr>
              <w:fldChar w:fldCharType="begin"/>
            </w:r>
            <w:r w:rsidR="004C0CB6">
              <w:rPr>
                <w:noProof/>
                <w:webHidden/>
              </w:rPr>
              <w:instrText xml:space="preserve"> PAGEREF _Toc102388400 \h </w:instrText>
            </w:r>
            <w:r w:rsidR="004C0CB6">
              <w:rPr>
                <w:noProof/>
                <w:webHidden/>
              </w:rPr>
            </w:r>
            <w:r w:rsidR="004C0CB6">
              <w:rPr>
                <w:noProof/>
                <w:webHidden/>
              </w:rPr>
              <w:fldChar w:fldCharType="separate"/>
            </w:r>
            <w:r w:rsidR="004C0CB6">
              <w:rPr>
                <w:noProof/>
                <w:webHidden/>
              </w:rPr>
              <w:t>8</w:t>
            </w:r>
            <w:r w:rsidR="004C0CB6">
              <w:rPr>
                <w:noProof/>
                <w:webHidden/>
              </w:rPr>
              <w:fldChar w:fldCharType="end"/>
            </w:r>
          </w:hyperlink>
        </w:p>
        <w:p w:rsidR="004C0CB6" w:rsidP="004C0CB6" w:rsidRDefault="00FF7288" w14:paraId="167C1D4B" w14:textId="7BAAF052">
          <w:pPr>
            <w:pStyle w:val="TOC2"/>
            <w:tabs>
              <w:tab w:val="left" w:pos="1296"/>
            </w:tabs>
            <w:ind w:left="630" w:hanging="630"/>
            <w:rPr>
              <w:rFonts w:asciiTheme="minorHAnsi" w:hAnsiTheme="minorHAnsi" w:eastAsiaTheme="minorEastAsia"/>
              <w:noProof/>
            </w:rPr>
          </w:pPr>
          <w:hyperlink w:history="1" w:anchor="_Toc102388401">
            <w:r w:rsidRPr="0055125D" w:rsidR="004C0CB6">
              <w:rPr>
                <w:rStyle w:val="Hyperlink"/>
                <w:noProof/>
              </w:rPr>
              <w:t>A.15.</w:t>
            </w:r>
            <w:r w:rsidR="004C0CB6">
              <w:rPr>
                <w:rFonts w:asciiTheme="minorHAnsi" w:hAnsiTheme="minorHAnsi" w:eastAsiaTheme="minorEastAsia"/>
                <w:noProof/>
              </w:rPr>
              <w:tab/>
            </w:r>
            <w:r w:rsidRPr="0055125D" w:rsidR="004C0CB6">
              <w:rPr>
                <w:rStyle w:val="Hyperlink"/>
                <w:noProof/>
              </w:rPr>
              <w:t>Explanation for program changes or adjustments</w:t>
            </w:r>
            <w:r w:rsidR="004C0CB6">
              <w:rPr>
                <w:noProof/>
                <w:webHidden/>
              </w:rPr>
              <w:tab/>
            </w:r>
            <w:r w:rsidR="004C0CB6">
              <w:rPr>
                <w:noProof/>
                <w:webHidden/>
              </w:rPr>
              <w:fldChar w:fldCharType="begin"/>
            </w:r>
            <w:r w:rsidR="004C0CB6">
              <w:rPr>
                <w:noProof/>
                <w:webHidden/>
              </w:rPr>
              <w:instrText xml:space="preserve"> PAGEREF _Toc102388401 \h </w:instrText>
            </w:r>
            <w:r w:rsidR="004C0CB6">
              <w:rPr>
                <w:noProof/>
                <w:webHidden/>
              </w:rPr>
            </w:r>
            <w:r w:rsidR="004C0CB6">
              <w:rPr>
                <w:noProof/>
                <w:webHidden/>
              </w:rPr>
              <w:fldChar w:fldCharType="separate"/>
            </w:r>
            <w:r w:rsidR="004C0CB6">
              <w:rPr>
                <w:noProof/>
                <w:webHidden/>
              </w:rPr>
              <w:t>9</w:t>
            </w:r>
            <w:r w:rsidR="004C0CB6">
              <w:rPr>
                <w:noProof/>
                <w:webHidden/>
              </w:rPr>
              <w:fldChar w:fldCharType="end"/>
            </w:r>
          </w:hyperlink>
        </w:p>
        <w:p w:rsidR="004C0CB6" w:rsidP="004C0CB6" w:rsidRDefault="00FF7288" w14:paraId="327C943F" w14:textId="190BDF7E">
          <w:pPr>
            <w:pStyle w:val="TOC2"/>
            <w:tabs>
              <w:tab w:val="left" w:pos="1296"/>
            </w:tabs>
            <w:ind w:left="630" w:hanging="630"/>
            <w:rPr>
              <w:rFonts w:asciiTheme="minorHAnsi" w:hAnsiTheme="minorHAnsi" w:eastAsiaTheme="minorEastAsia"/>
              <w:noProof/>
            </w:rPr>
          </w:pPr>
          <w:hyperlink w:history="1" w:anchor="_Toc102388402">
            <w:r w:rsidRPr="0055125D" w:rsidR="004C0CB6">
              <w:rPr>
                <w:rStyle w:val="Hyperlink"/>
                <w:noProof/>
              </w:rPr>
              <w:t>A.16.</w:t>
            </w:r>
            <w:r w:rsidR="004C0CB6">
              <w:rPr>
                <w:rFonts w:asciiTheme="minorHAnsi" w:hAnsiTheme="minorHAnsi" w:eastAsiaTheme="minorEastAsia"/>
                <w:noProof/>
              </w:rPr>
              <w:tab/>
            </w:r>
            <w:r w:rsidRPr="0055125D" w:rsidR="004C0CB6">
              <w:rPr>
                <w:rStyle w:val="Hyperlink"/>
                <w:noProof/>
              </w:rPr>
              <w:t>Plans for tabulation and publication and project time schedule</w:t>
            </w:r>
            <w:r w:rsidR="004C0CB6">
              <w:rPr>
                <w:noProof/>
                <w:webHidden/>
              </w:rPr>
              <w:tab/>
            </w:r>
            <w:r w:rsidR="004C0CB6">
              <w:rPr>
                <w:noProof/>
                <w:webHidden/>
              </w:rPr>
              <w:fldChar w:fldCharType="begin"/>
            </w:r>
            <w:r w:rsidR="004C0CB6">
              <w:rPr>
                <w:noProof/>
                <w:webHidden/>
              </w:rPr>
              <w:instrText xml:space="preserve"> PAGEREF _Toc102388402 \h </w:instrText>
            </w:r>
            <w:r w:rsidR="004C0CB6">
              <w:rPr>
                <w:noProof/>
                <w:webHidden/>
              </w:rPr>
            </w:r>
            <w:r w:rsidR="004C0CB6">
              <w:rPr>
                <w:noProof/>
                <w:webHidden/>
              </w:rPr>
              <w:fldChar w:fldCharType="separate"/>
            </w:r>
            <w:r w:rsidR="004C0CB6">
              <w:rPr>
                <w:noProof/>
                <w:webHidden/>
              </w:rPr>
              <w:t>9</w:t>
            </w:r>
            <w:r w:rsidR="004C0CB6">
              <w:rPr>
                <w:noProof/>
                <w:webHidden/>
              </w:rPr>
              <w:fldChar w:fldCharType="end"/>
            </w:r>
          </w:hyperlink>
        </w:p>
        <w:p w:rsidR="004C0CB6" w:rsidP="004C0CB6" w:rsidRDefault="00FF7288" w14:paraId="70501218" w14:textId="7C0BA227">
          <w:pPr>
            <w:pStyle w:val="TOC2"/>
            <w:tabs>
              <w:tab w:val="left" w:pos="1296"/>
            </w:tabs>
            <w:ind w:left="630" w:hanging="630"/>
            <w:rPr>
              <w:rFonts w:asciiTheme="minorHAnsi" w:hAnsiTheme="minorHAnsi" w:eastAsiaTheme="minorEastAsia"/>
              <w:noProof/>
            </w:rPr>
          </w:pPr>
          <w:hyperlink w:history="1" w:anchor="_Toc102388403">
            <w:r w:rsidRPr="0055125D" w:rsidR="004C0CB6">
              <w:rPr>
                <w:rStyle w:val="Hyperlink"/>
                <w:noProof/>
              </w:rPr>
              <w:t>A.17.</w:t>
            </w:r>
            <w:r w:rsidR="004C0CB6">
              <w:rPr>
                <w:rFonts w:asciiTheme="minorHAnsi" w:hAnsiTheme="minorHAnsi" w:eastAsiaTheme="minorEastAsia"/>
                <w:noProof/>
              </w:rPr>
              <w:tab/>
            </w:r>
            <w:r w:rsidRPr="0055125D" w:rsidR="004C0CB6">
              <w:rPr>
                <w:rStyle w:val="Hyperlink"/>
                <w:noProof/>
              </w:rPr>
              <w:t>Reason(s) display of OMB expiration data is inappropriate</w:t>
            </w:r>
            <w:r w:rsidR="004C0CB6">
              <w:rPr>
                <w:noProof/>
                <w:webHidden/>
              </w:rPr>
              <w:tab/>
            </w:r>
            <w:r w:rsidR="004C0CB6">
              <w:rPr>
                <w:noProof/>
                <w:webHidden/>
              </w:rPr>
              <w:fldChar w:fldCharType="begin"/>
            </w:r>
            <w:r w:rsidR="004C0CB6">
              <w:rPr>
                <w:noProof/>
                <w:webHidden/>
              </w:rPr>
              <w:instrText xml:space="preserve"> PAGEREF _Toc102388403 \h </w:instrText>
            </w:r>
            <w:r w:rsidR="004C0CB6">
              <w:rPr>
                <w:noProof/>
                <w:webHidden/>
              </w:rPr>
            </w:r>
            <w:r w:rsidR="004C0CB6">
              <w:rPr>
                <w:noProof/>
                <w:webHidden/>
              </w:rPr>
              <w:fldChar w:fldCharType="separate"/>
            </w:r>
            <w:r w:rsidR="004C0CB6">
              <w:rPr>
                <w:noProof/>
                <w:webHidden/>
              </w:rPr>
              <w:t>10</w:t>
            </w:r>
            <w:r w:rsidR="004C0CB6">
              <w:rPr>
                <w:noProof/>
                <w:webHidden/>
              </w:rPr>
              <w:fldChar w:fldCharType="end"/>
            </w:r>
          </w:hyperlink>
        </w:p>
        <w:p w:rsidR="004C0CB6" w:rsidP="004C0CB6" w:rsidRDefault="00FF7288" w14:paraId="4AD3216C" w14:textId="3022E02A">
          <w:pPr>
            <w:pStyle w:val="TOC2"/>
            <w:tabs>
              <w:tab w:val="left" w:pos="1296"/>
            </w:tabs>
            <w:ind w:left="630" w:hanging="630"/>
            <w:rPr>
              <w:rFonts w:asciiTheme="minorHAnsi" w:hAnsiTheme="minorHAnsi" w:eastAsiaTheme="minorEastAsia"/>
              <w:noProof/>
            </w:rPr>
          </w:pPr>
          <w:hyperlink w:history="1" w:anchor="_Toc102388404">
            <w:r w:rsidRPr="0055125D" w:rsidR="004C0CB6">
              <w:rPr>
                <w:rStyle w:val="Hyperlink"/>
                <w:noProof/>
              </w:rPr>
              <w:t>A.18.</w:t>
            </w:r>
            <w:r w:rsidR="004C0CB6">
              <w:rPr>
                <w:rFonts w:asciiTheme="minorHAnsi" w:hAnsiTheme="minorHAnsi" w:eastAsiaTheme="minorEastAsia"/>
                <w:noProof/>
              </w:rPr>
              <w:tab/>
            </w:r>
            <w:r w:rsidRPr="0055125D" w:rsidR="004C0CB6">
              <w:rPr>
                <w:rStyle w:val="Hyperlink"/>
                <w:noProof/>
              </w:rPr>
              <w:t>Exceptions to certification for Paperwork Reduction Act submissions</w:t>
            </w:r>
            <w:r w:rsidR="004C0CB6">
              <w:rPr>
                <w:noProof/>
                <w:webHidden/>
              </w:rPr>
              <w:tab/>
            </w:r>
            <w:r w:rsidR="004C0CB6">
              <w:rPr>
                <w:noProof/>
                <w:webHidden/>
              </w:rPr>
              <w:fldChar w:fldCharType="begin"/>
            </w:r>
            <w:r w:rsidR="004C0CB6">
              <w:rPr>
                <w:noProof/>
                <w:webHidden/>
              </w:rPr>
              <w:instrText xml:space="preserve"> PAGEREF _Toc102388404 \h </w:instrText>
            </w:r>
            <w:r w:rsidR="004C0CB6">
              <w:rPr>
                <w:noProof/>
                <w:webHidden/>
              </w:rPr>
            </w:r>
            <w:r w:rsidR="004C0CB6">
              <w:rPr>
                <w:noProof/>
                <w:webHidden/>
              </w:rPr>
              <w:fldChar w:fldCharType="separate"/>
            </w:r>
            <w:r w:rsidR="004C0CB6">
              <w:rPr>
                <w:noProof/>
                <w:webHidden/>
              </w:rPr>
              <w:t>10</w:t>
            </w:r>
            <w:r w:rsidR="004C0CB6">
              <w:rPr>
                <w:noProof/>
                <w:webHidden/>
              </w:rPr>
              <w:fldChar w:fldCharType="end"/>
            </w:r>
          </w:hyperlink>
        </w:p>
        <w:p w:rsidR="004C0CB6" w:rsidRDefault="00FF7288" w14:paraId="20B60C12" w14:textId="1F434FC2">
          <w:pPr>
            <w:pStyle w:val="TOC1"/>
            <w:rPr>
              <w:rFonts w:asciiTheme="minorHAnsi" w:hAnsiTheme="minorHAnsi" w:eastAsiaTheme="minorEastAsia"/>
              <w:noProof/>
            </w:rPr>
          </w:pPr>
          <w:hyperlink w:history="1" w:anchor="_Toc102388405">
            <w:r w:rsidRPr="0055125D" w:rsidR="004C0CB6">
              <w:rPr>
                <w:rStyle w:val="Hyperlink"/>
                <w:noProof/>
                <w:lang w:val="es-US"/>
              </w:rPr>
              <w:t>References</w:t>
            </w:r>
            <w:r w:rsidR="004C0CB6">
              <w:rPr>
                <w:noProof/>
                <w:webHidden/>
              </w:rPr>
              <w:tab/>
            </w:r>
            <w:r w:rsidR="004C0CB6">
              <w:rPr>
                <w:noProof/>
                <w:webHidden/>
              </w:rPr>
              <w:fldChar w:fldCharType="begin"/>
            </w:r>
            <w:r w:rsidR="004C0CB6">
              <w:rPr>
                <w:noProof/>
                <w:webHidden/>
              </w:rPr>
              <w:instrText xml:space="preserve"> PAGEREF _Toc102388405 \h </w:instrText>
            </w:r>
            <w:r w:rsidR="004C0CB6">
              <w:rPr>
                <w:noProof/>
                <w:webHidden/>
              </w:rPr>
            </w:r>
            <w:r w:rsidR="004C0CB6">
              <w:rPr>
                <w:noProof/>
                <w:webHidden/>
              </w:rPr>
              <w:fldChar w:fldCharType="separate"/>
            </w:r>
            <w:r w:rsidR="004C0CB6">
              <w:rPr>
                <w:noProof/>
                <w:webHidden/>
              </w:rPr>
              <w:t>10</w:t>
            </w:r>
            <w:r w:rsidR="004C0CB6">
              <w:rPr>
                <w:noProof/>
                <w:webHidden/>
              </w:rPr>
              <w:fldChar w:fldCharType="end"/>
            </w:r>
          </w:hyperlink>
        </w:p>
        <w:p w:rsidR="004C0CB6" w:rsidP="004E6EF8" w:rsidRDefault="004C0CB6" w14:paraId="7CEAB3FB" w14:textId="0847C758">
          <w:r>
            <w:rPr>
              <w:b/>
              <w:bCs/>
              <w:noProof/>
            </w:rPr>
            <w:fldChar w:fldCharType="end"/>
          </w:r>
        </w:p>
      </w:sdtContent>
    </w:sdt>
    <w:p w:rsidR="001F0A4A" w:rsidP="001F0A4A" w:rsidRDefault="001F0A4A" w14:paraId="227CFF77" w14:textId="77777777">
      <w:pPr>
        <w:pStyle w:val="Paragraph"/>
        <w:sectPr w:rsidR="001F0A4A" w:rsidSect="0096021C">
          <w:headerReference w:type="default" r:id="rId12"/>
          <w:footerReference w:type="default" r:id="rId13"/>
          <w:pgSz w:w="12240" w:h="15840"/>
          <w:pgMar w:top="1440" w:right="1440" w:bottom="1440" w:left="1440" w:header="720" w:footer="720" w:gutter="0"/>
          <w:pgNumType w:fmt="lowerRoman"/>
          <w:cols w:space="720"/>
          <w:docGrid w:linePitch="360"/>
        </w:sectPr>
      </w:pPr>
    </w:p>
    <w:p w:rsidRPr="000A343C" w:rsidR="006655D2" w:rsidP="006655D2" w:rsidRDefault="006655D2" w14:paraId="1C45F936" w14:textId="2CA3C9AF">
      <w:pPr>
        <w:pStyle w:val="H1"/>
        <w:rPr>
          <w:color w:val="auto"/>
        </w:rPr>
      </w:pPr>
      <w:bookmarkStart w:name="_Toc102388386" w:id="0"/>
      <w:r w:rsidRPr="000A343C">
        <w:rPr>
          <w:color w:val="auto"/>
        </w:rPr>
        <w:lastRenderedPageBreak/>
        <w:t>Executive Summary</w:t>
      </w:r>
      <w:bookmarkEnd w:id="0"/>
    </w:p>
    <w:p w:rsidR="006655D2" w:rsidP="006655D2" w:rsidRDefault="006655D2" w14:paraId="2B184F4C" w14:textId="4670898A">
      <w:pPr>
        <w:pStyle w:val="ParagraphContinued"/>
      </w:pPr>
      <w:r>
        <w:t>This information collection request is for a new project. The research team is requesting t</w:t>
      </w:r>
      <w:r w:rsidR="0023642D">
        <w:t>hree</w:t>
      </w:r>
      <w:r>
        <w:t xml:space="preserve"> years of approval. </w:t>
      </w:r>
    </w:p>
    <w:p w:rsidRPr="009F2FAB" w:rsidR="006655D2" w:rsidP="006655D2" w:rsidRDefault="006655D2" w14:paraId="44C52490" w14:textId="0A5AB1C6">
      <w:pPr>
        <w:pStyle w:val="Paragraph"/>
      </w:pPr>
      <w:r w:rsidRPr="009F2FAB">
        <w:t xml:space="preserve">The purpose of this project is to understand the role of economic risk in </w:t>
      </w:r>
      <w:r w:rsidR="00934844">
        <w:t xml:space="preserve">public </w:t>
      </w:r>
      <w:r w:rsidRPr="009F2FAB">
        <w:t>benefit recipients’ decision</w:t>
      </w:r>
      <w:r>
        <w:t xml:space="preserve"> </w:t>
      </w:r>
      <w:r w:rsidRPr="009F2FAB">
        <w:t xml:space="preserve">making about whether to increase earnings. </w:t>
      </w:r>
      <w:r>
        <w:t xml:space="preserve">This study will investigate the factors that influence the decisions made by people with low incomes to increase earnings (or not) by presenting beneficiaries with vignettes about other people with the opportunity to increase their earnings and asking them what decision they would make in similar circumstances. The vignettes will vary the risk of an opportunity, the ease of regaining benefits if income </w:t>
      </w:r>
      <w:r w:rsidR="00934844">
        <w:t xml:space="preserve">later </w:t>
      </w:r>
      <w:r>
        <w:t>dropped, and the extent of the earnings increase.</w:t>
      </w:r>
      <w:r w:rsidRPr="00381C8B">
        <w:t xml:space="preserve"> </w:t>
      </w:r>
      <w:r>
        <w:t xml:space="preserve">The job opportunities and associated risks will vary systematically. The choices that study participants recommend will provide insight into the relative importance of these different factors – both alone and in combination. </w:t>
      </w:r>
      <w:r w:rsidRPr="009F2FAB">
        <w:t xml:space="preserve">Guided by a better understanding of the role of risk and risk tolerance in families’ decisions about work, </w:t>
      </w:r>
      <w:r>
        <w:t xml:space="preserve">the government could design </w:t>
      </w:r>
      <w:r w:rsidRPr="009F2FAB">
        <w:t>policy levers to reduce risk and thereby support families’ choices to increase earnings and achieve greater economic security.</w:t>
      </w:r>
    </w:p>
    <w:p w:rsidRPr="000A343C" w:rsidR="006655D2" w:rsidP="004C0CB6" w:rsidRDefault="00853EF5" w14:paraId="34AE9C4A" w14:textId="31B947C1">
      <w:pPr>
        <w:pStyle w:val="H2"/>
      </w:pPr>
      <w:bookmarkStart w:name="_Toc102388387" w:id="1"/>
      <w:r w:rsidRPr="000A343C">
        <w:t>A.1</w:t>
      </w:r>
      <w:r w:rsidRPr="000A343C" w:rsidR="006655D2">
        <w:t>.</w:t>
      </w:r>
      <w:r w:rsidRPr="000A343C">
        <w:t xml:space="preserve"> </w:t>
      </w:r>
      <w:r w:rsidRPr="000A343C" w:rsidR="006655D2">
        <w:tab/>
        <w:t>Circumstances making the collection of information necessary</w:t>
      </w:r>
      <w:bookmarkEnd w:id="1"/>
    </w:p>
    <w:p w:rsidR="006655D2" w:rsidP="006655D2" w:rsidRDefault="006655D2" w14:paraId="2BC7AAFC" w14:textId="5462BE16">
      <w:pPr>
        <w:pStyle w:val="ParagraphContinued"/>
        <w:rPr>
          <w:rFonts w:eastAsia="Calibri"/>
        </w:rPr>
      </w:pPr>
      <w:r>
        <w:rPr>
          <w:rFonts w:eastAsia="Calibri"/>
        </w:rPr>
        <w:t>Increasing the employment earnings of individuals is central to federal poverty reduction policy for working-age adults. Most social services aim to serve as temporary supports for adults who will eventually return to the workforce. For this reason, it is important to understand how policies can incentivize or disincentivize increased employment. Central to this concern is understanding how to phase out public support for people as their earnings increase without discouraging benefit recipients from pursuing opportunities to improve their circumstances.</w:t>
      </w:r>
    </w:p>
    <w:p w:rsidRPr="002C7164" w:rsidR="006655D2" w:rsidP="006655D2" w:rsidRDefault="006655D2" w14:paraId="18EEA5DF" w14:textId="77777777">
      <w:pPr>
        <w:pStyle w:val="Paragraph"/>
        <w:rPr>
          <w:rFonts w:cs="Calibri"/>
          <w:iCs/>
        </w:rPr>
      </w:pPr>
      <w:r w:rsidRPr="009F2FAB">
        <w:rPr>
          <w:rFonts w:cs="Calibri"/>
          <w:iCs/>
        </w:rPr>
        <w:t>A previous ASPE study conducted with working parents who received one or more government benefits found that, when faced with a decision about increasing earnings, the</w:t>
      </w:r>
      <w:r>
        <w:rPr>
          <w:rFonts w:cs="Calibri"/>
          <w:iCs/>
        </w:rPr>
        <w:t>se parents</w:t>
      </w:r>
      <w:r w:rsidRPr="009F2FAB">
        <w:rPr>
          <w:rFonts w:cs="Calibri"/>
          <w:iCs/>
        </w:rPr>
        <w:t xml:space="preserve"> considered multiple complex (and at times competing) factors</w:t>
      </w:r>
      <w:r>
        <w:rPr>
          <w:rFonts w:cs="Calibri"/>
          <w:iCs/>
        </w:rPr>
        <w:t xml:space="preserve"> </w:t>
      </w:r>
      <w:bookmarkStart w:name="_Hlk102113811" w:id="2"/>
      <w:r>
        <w:rPr>
          <w:rFonts w:cs="Calibri"/>
          <w:iCs/>
        </w:rPr>
        <w:t>(Chien et al., 2021)</w:t>
      </w:r>
      <w:r w:rsidRPr="009F2FAB">
        <w:rPr>
          <w:rFonts w:cs="Calibri"/>
          <w:iCs/>
        </w:rPr>
        <w:t xml:space="preserve">. </w:t>
      </w:r>
      <w:bookmarkEnd w:id="2"/>
      <w:r w:rsidRPr="009F2FAB">
        <w:rPr>
          <w:rFonts w:cs="Calibri"/>
          <w:iCs/>
        </w:rPr>
        <w:t xml:space="preserve">In addition to the more obvious consideration of benefit reductions, working parents also considered at least two dimensions of economic risk when deciding whether to increase earnings: </w:t>
      </w:r>
      <w:r>
        <w:rPr>
          <w:rFonts w:cs="Calibri"/>
          <w:iCs/>
        </w:rPr>
        <w:t>(</w:t>
      </w:r>
      <w:r w:rsidRPr="009F2FAB">
        <w:rPr>
          <w:rFonts w:cs="Calibri"/>
          <w:iCs/>
        </w:rPr>
        <w:t>1) the risk of an earnings reduction (</w:t>
      </w:r>
      <w:r>
        <w:rPr>
          <w:rFonts w:cs="Calibri"/>
          <w:iCs/>
        </w:rPr>
        <w:t>for example</w:t>
      </w:r>
      <w:r w:rsidRPr="009F2FAB">
        <w:rPr>
          <w:rFonts w:cs="Calibri"/>
          <w:iCs/>
        </w:rPr>
        <w:t xml:space="preserve">, from job loss) at a later time; and </w:t>
      </w:r>
      <w:r>
        <w:rPr>
          <w:rFonts w:cs="Calibri"/>
          <w:iCs/>
        </w:rPr>
        <w:t>(</w:t>
      </w:r>
      <w:r w:rsidRPr="009F2FAB">
        <w:rPr>
          <w:rFonts w:cs="Calibri"/>
          <w:iCs/>
        </w:rPr>
        <w:t>2) in the case of an earnings reduction, the risk of being unable to regain benefits lost due to the original earnings increase.</w:t>
      </w:r>
    </w:p>
    <w:p w:rsidR="006655D2" w:rsidP="006655D2" w:rsidRDefault="006655D2" w14:paraId="3298F3AB" w14:textId="454380DE">
      <w:pPr>
        <w:pStyle w:val="Paragraph"/>
        <w:rPr>
          <w:rFonts w:eastAsia="Calibri"/>
        </w:rPr>
      </w:pPr>
      <w:r>
        <w:rPr>
          <w:rFonts w:eastAsia="Calibri"/>
        </w:rPr>
        <w:t>Unfortunately, little is known about how beneficiaries perceive job opportunities that might result in loss of benefits. The research team is aware of simulation studies that illustrate the effects of policy on beneficiaries’ income under different scenarios. The research team is also aware of qualitative research on beneficiaries’ experiences. However, to our knowledge there is no quantitative data on how beneficiaries decide whether to pursue job opportunities. In addition, discourse about benefits cliffs often conflate several different policy challenges that are important and interrelated, but which might have distinct effects on beneficiaries’ perceptions and choices. These challenges include abrupt cliffs, steep cliffs, risks involved with pursuing opportunities</w:t>
      </w:r>
      <w:r w:rsidR="00934844">
        <w:rPr>
          <w:rFonts w:eastAsia="Calibri"/>
        </w:rPr>
        <w:t xml:space="preserve"> to increase earnings</w:t>
      </w:r>
      <w:r>
        <w:rPr>
          <w:rFonts w:eastAsia="Calibri"/>
        </w:rPr>
        <w:t>, and challenges in regaining benefits should earnings decline.</w:t>
      </w:r>
    </w:p>
    <w:p w:rsidR="006655D2" w:rsidP="006655D2" w:rsidRDefault="006655D2" w14:paraId="1EC24482" w14:textId="77777777">
      <w:pPr>
        <w:pStyle w:val="Paragraph"/>
        <w:rPr>
          <w:rFonts w:eastAsia="Calibri"/>
        </w:rPr>
      </w:pPr>
      <w:r>
        <w:rPr>
          <w:rFonts w:eastAsia="Calibri"/>
        </w:rPr>
        <w:t xml:space="preserve">The most serious cliff effect is a policy that leads social benefits to drop dramatically in response to small increases in earnings, producing a net loss of resources for beneficiaries. For example, eligibility for the </w:t>
      </w:r>
      <w:r w:rsidRPr="002333E5">
        <w:rPr>
          <w:rFonts w:eastAsia="Calibri"/>
        </w:rPr>
        <w:t>Special Supplemental Nutrition Program for Women, Infants, and Children (WIC)</w:t>
      </w:r>
      <w:r>
        <w:rPr>
          <w:rFonts w:eastAsia="Calibri"/>
        </w:rPr>
        <w:t xml:space="preserve"> ends abruptly as soon as household income exceeds a specific threshold. Policymakers and economists largely agree that this </w:t>
      </w:r>
      <w:r>
        <w:rPr>
          <w:rFonts w:eastAsia="Calibri"/>
        </w:rPr>
        <w:lastRenderedPageBreak/>
        <w:t>kind of benefits cliff is a challenge that prevents beneficiaries, employers, and policymakers from achieving their preferred economic outcomes (National Conference of State Legislators, 2019).</w:t>
      </w:r>
    </w:p>
    <w:p w:rsidR="006655D2" w:rsidP="006655D2" w:rsidRDefault="006655D2" w14:paraId="101F2EC0" w14:textId="2741B5B3">
      <w:pPr>
        <w:pStyle w:val="Paragraph"/>
        <w:rPr>
          <w:rFonts w:eastAsia="Calibri"/>
        </w:rPr>
      </w:pPr>
      <w:r>
        <w:rPr>
          <w:rFonts w:eastAsia="Calibri"/>
        </w:rPr>
        <w:t>Steep cliffs in which benefits decline at a rate that does not exceed earnings but lead beneficiaries to feel as though they are running in place are also common (</w:t>
      </w:r>
      <w:bookmarkStart w:name="_Hlk102113919" w:id="3"/>
      <w:r>
        <w:rPr>
          <w:rFonts w:eastAsia="Calibri"/>
        </w:rPr>
        <w:t>Albeda &amp; Carr, 2017</w:t>
      </w:r>
      <w:bookmarkEnd w:id="3"/>
      <w:r>
        <w:rPr>
          <w:rFonts w:eastAsia="Calibri"/>
        </w:rPr>
        <w:t>). Policymakers are not always aware of steep cliffs, which sometimes emerge from the combined policy decisions f</w:t>
      </w:r>
      <w:r w:rsidR="00934844">
        <w:rPr>
          <w:rFonts w:eastAsia="Calibri"/>
        </w:rPr>
        <w:t>or</w:t>
      </w:r>
      <w:r>
        <w:rPr>
          <w:rFonts w:eastAsia="Calibri"/>
        </w:rPr>
        <w:t xml:space="preserve"> different federal, state, and local </w:t>
      </w:r>
      <w:r w:rsidR="00934844">
        <w:rPr>
          <w:rFonts w:eastAsia="Calibri"/>
        </w:rPr>
        <w:t>programs</w:t>
      </w:r>
      <w:r>
        <w:rPr>
          <w:rFonts w:eastAsia="Calibri"/>
        </w:rPr>
        <w:t>. It is likely that, if the rate of decline is too steep, the additional earnings might not seem worth it, especially if acquiring these earnings requires taking a job that is more difficult or time consuming than the beneficiary’s current employment. The extent to which steep cliffs influence employment choice depends on how beneficiaries think about job opportunities. For example, do they tend to focus on the net gain in earnings alone, or do they focus on the difference between their net and gross income?</w:t>
      </w:r>
    </w:p>
    <w:p w:rsidR="006655D2" w:rsidP="006655D2" w:rsidRDefault="006655D2" w14:paraId="1FCFDE48" w14:textId="18D7A6C7">
      <w:pPr>
        <w:pStyle w:val="Paragraph"/>
        <w:rPr>
          <w:rFonts w:eastAsia="Calibri"/>
        </w:rPr>
      </w:pPr>
      <w:r>
        <w:rPr>
          <w:rFonts w:eastAsia="Calibri"/>
        </w:rPr>
        <w:t>Beneficiaries raise the risk of accepting new employment and the difficulty of regaining benefits as important elements to the decision to accept a new job (</w:t>
      </w:r>
      <w:r w:rsidRPr="00F94A38">
        <w:rPr>
          <w:iCs/>
        </w:rPr>
        <w:t>Chien et al., 2021</w:t>
      </w:r>
      <w:r>
        <w:rPr>
          <w:rFonts w:eastAsia="Calibri"/>
        </w:rPr>
        <w:t>). Although the causes of these concerns are distinct from the cause of benefit reductions, they can contribute to cliff effects by lowering the expected value of a job opportunity, which people form by combining the value of each possible outcome (Barberis, 2013). When making this calculation, people might discount the value of increased wages because the job might not work out and, if it does not, they might not be able to regain the benefits they relied upon.</w:t>
      </w:r>
    </w:p>
    <w:p w:rsidRPr="00941BB0" w:rsidR="006655D2" w:rsidP="006655D2" w:rsidRDefault="006655D2" w14:paraId="02C9CA5B" w14:textId="7EF067D6">
      <w:pPr>
        <w:pStyle w:val="Paragraph"/>
        <w:rPr>
          <w:rFonts w:eastAsia="Calibri"/>
        </w:rPr>
      </w:pPr>
      <w:r w:rsidRPr="00941BB0">
        <w:rPr>
          <w:rFonts w:eastAsia="Calibri"/>
        </w:rPr>
        <w:t>The decision to accept a new job can be complicated and high stakes. It is difficult to know how different elements of a job opportunity work together to motivate or discourage people to act. Understanding whether these features affect decision making alone or in concert, their relative influence on decision making, and whether their impacts vary across subgroups</w:t>
      </w:r>
      <w:r w:rsidR="001C7FC5">
        <w:rPr>
          <w:rFonts w:eastAsia="Calibri"/>
        </w:rPr>
        <w:t>,</w:t>
      </w:r>
      <w:r w:rsidRPr="00941BB0">
        <w:rPr>
          <w:rFonts w:eastAsia="Calibri"/>
        </w:rPr>
        <w:t xml:space="preserve"> will provide evidence about which policy levers are most likely to influence behavior. The research team will share these findings with federal agencies that administer benefits programs and will use them to inform decisions about how to encourage increases in employment earnings. Additionally, </w:t>
      </w:r>
      <w:r w:rsidRPr="00941BB0">
        <w:t>no legal or administrative requirements necessitate the collection. ASPE is undertaking the collection at the discretion of the agency.</w:t>
      </w:r>
    </w:p>
    <w:p w:rsidRPr="000667FD" w:rsidR="006655D2" w:rsidP="004C0CB6" w:rsidRDefault="00853EF5" w14:paraId="3B4205E1" w14:textId="529C6526">
      <w:pPr>
        <w:pStyle w:val="H2"/>
      </w:pPr>
      <w:bookmarkStart w:name="_Toc102388388" w:id="4"/>
      <w:r>
        <w:t>A.2</w:t>
      </w:r>
      <w:r w:rsidR="006655D2">
        <w:t>.</w:t>
      </w:r>
      <w:r w:rsidR="006655D2">
        <w:tab/>
      </w:r>
      <w:r w:rsidRPr="000667FD" w:rsidR="006655D2">
        <w:t xml:space="preserve">Purpose and </w:t>
      </w:r>
      <w:r w:rsidR="006655D2">
        <w:t>u</w:t>
      </w:r>
      <w:r w:rsidRPr="000667FD" w:rsidR="006655D2">
        <w:t xml:space="preserve">se of the </w:t>
      </w:r>
      <w:r w:rsidR="006655D2">
        <w:t>i</w:t>
      </w:r>
      <w:r w:rsidRPr="000667FD" w:rsidR="006655D2">
        <w:t xml:space="preserve">nformation </w:t>
      </w:r>
      <w:r w:rsidR="006655D2">
        <w:t>c</w:t>
      </w:r>
      <w:r w:rsidRPr="000667FD" w:rsidR="006655D2">
        <w:t>ollection</w:t>
      </w:r>
      <w:bookmarkEnd w:id="4"/>
    </w:p>
    <w:p w:rsidR="00884CC2" w:rsidP="006655D2" w:rsidRDefault="006655D2" w14:paraId="6193D689" w14:textId="1036A524">
      <w:pPr>
        <w:pStyle w:val="ParagraphContinued"/>
      </w:pPr>
      <w:r w:rsidRPr="00941BB0">
        <w:rPr>
          <w:rFonts w:eastAsia="Calibri"/>
        </w:rPr>
        <w:t xml:space="preserve">The goal of this project is to better understand the information beneficiaries use to make decisions about employment opportunities and how this information might be incorporated into choice of whether to accept a new position. More specifically, the research team examines three factors that have direct impacts on the expected value of a job opportunity: 1) the risk of </w:t>
      </w:r>
      <w:r w:rsidR="001C7FC5">
        <w:rPr>
          <w:rFonts w:eastAsia="Calibri"/>
        </w:rPr>
        <w:t xml:space="preserve">later </w:t>
      </w:r>
      <w:r w:rsidRPr="00941BB0">
        <w:rPr>
          <w:rFonts w:eastAsia="Calibri"/>
        </w:rPr>
        <w:t xml:space="preserve">job loss, 2) the ease of regaining benefits, and 3) the level of earnings increase. The study will examine whether these factors could be important for beneficiaries’ decision making and, if so, estimate the relative magnitude of their impact. The research team expects </w:t>
      </w:r>
      <w:r w:rsidRPr="00941BB0">
        <w:t xml:space="preserve">the information collected to contribute to the body of knowledge on Administration for Children &amp; Families (ACF) programs. </w:t>
      </w:r>
    </w:p>
    <w:p w:rsidR="00884CC2" w:rsidRDefault="00884CC2" w14:paraId="2F7F9785" w14:textId="77777777">
      <w:pPr>
        <w:spacing w:line="259" w:lineRule="auto"/>
      </w:pPr>
      <w:r>
        <w:br w:type="page"/>
      </w:r>
    </w:p>
    <w:p w:rsidRPr="00941BB0" w:rsidR="006655D2" w:rsidP="006655D2" w:rsidRDefault="006655D2" w14:paraId="57A72ABD" w14:textId="77777777">
      <w:pPr>
        <w:pStyle w:val="Paragraph"/>
        <w:rPr>
          <w:rFonts w:eastAsia="Calibri"/>
        </w:rPr>
      </w:pPr>
      <w:r w:rsidRPr="00941BB0">
        <w:rPr>
          <w:rFonts w:eastAsia="Calibri"/>
        </w:rPr>
        <w:lastRenderedPageBreak/>
        <w:t>This study will examine the following research questions (RQs):</w:t>
      </w:r>
    </w:p>
    <w:p w:rsidR="006655D2" w:rsidP="00853EF5" w:rsidRDefault="006655D2" w14:paraId="28E76A47" w14:textId="05D4F06D">
      <w:pPr>
        <w:pStyle w:val="ExhibitTitle"/>
        <w:rPr>
          <w:rFonts w:eastAsia="Calibri"/>
        </w:rPr>
      </w:pPr>
      <w:r w:rsidRPr="00892619">
        <w:rPr>
          <w:rFonts w:eastAsia="Calibri"/>
        </w:rPr>
        <w:t xml:space="preserve">Exhibit </w:t>
      </w:r>
      <w:r w:rsidR="00853EF5">
        <w:rPr>
          <w:rFonts w:eastAsia="Calibri"/>
        </w:rPr>
        <w:t>2</w:t>
      </w:r>
      <w:r w:rsidRPr="00892619">
        <w:rPr>
          <w:rFonts w:eastAsia="Calibri"/>
        </w:rPr>
        <w:t>.1</w:t>
      </w:r>
      <w:r>
        <w:rPr>
          <w:rFonts w:eastAsia="Calibri"/>
        </w:rPr>
        <w:t>: Research Questions</w:t>
      </w:r>
    </w:p>
    <w:tbl>
      <w:tblPr>
        <w:tblStyle w:val="MathUBaseTable"/>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60"/>
      </w:tblGrid>
      <w:tr w:rsidRPr="00884CC2" w:rsidR="00884CC2" w:rsidTr="000A343C" w14:paraId="013D96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884CC2" w:rsidR="00884CC2" w:rsidP="000A343C" w:rsidRDefault="00884CC2" w14:paraId="5F3B4E74" w14:textId="26199C9C">
            <w:pPr>
              <w:pStyle w:val="TableTextLeft"/>
              <w:ind w:left="750" w:hanging="750"/>
              <w:rPr>
                <w:rFonts w:eastAsia="Calibri"/>
                <w:b w:val="0"/>
              </w:rPr>
            </w:pPr>
            <w:r w:rsidRPr="00884CC2">
              <w:rPr>
                <w:rFonts w:eastAsia="Calibri"/>
                <w:b w:val="0"/>
              </w:rPr>
              <w:t xml:space="preserve">RQ 1: </w:t>
            </w:r>
            <w:r w:rsidR="000A343C">
              <w:rPr>
                <w:rFonts w:eastAsia="Calibri"/>
                <w:b w:val="0"/>
              </w:rPr>
              <w:tab/>
            </w:r>
            <w:r w:rsidRPr="00884CC2">
              <w:rPr>
                <w:rFonts w:eastAsia="Calibri"/>
                <w:b w:val="0"/>
              </w:rPr>
              <w:t>How do potential earnings affect job acceptance rates?</w:t>
            </w:r>
          </w:p>
        </w:tc>
      </w:tr>
      <w:tr w:rsidR="00884CC2" w:rsidTr="000A343C" w14:paraId="5EC464BF" w14:textId="77777777">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00884CC2" w:rsidP="000A343C" w:rsidRDefault="00884CC2" w14:paraId="30B1448D" w14:textId="375FFC55">
            <w:pPr>
              <w:pStyle w:val="TableTextLeft"/>
              <w:ind w:left="750" w:hanging="750"/>
              <w:rPr>
                <w:rFonts w:eastAsia="Calibri"/>
              </w:rPr>
            </w:pPr>
            <w:r>
              <w:rPr>
                <w:rFonts w:eastAsia="Calibri"/>
              </w:rPr>
              <w:t>RQ 1a:</w:t>
            </w:r>
            <w:r>
              <w:rPr>
                <w:rFonts w:eastAsia="Calibri"/>
              </w:rPr>
              <w:tab/>
              <w:t>Are beneficiaries more likely to accept jobs with higher gross earnings?</w:t>
            </w:r>
          </w:p>
          <w:p w:rsidR="00884CC2" w:rsidP="000A343C" w:rsidRDefault="00884CC2" w14:paraId="62AE962F" w14:textId="345E9D7C">
            <w:pPr>
              <w:pStyle w:val="TableTextLeft"/>
              <w:ind w:left="750" w:hanging="750"/>
              <w:rPr>
                <w:rFonts w:eastAsia="Calibri"/>
                <w:b/>
                <w:bCs/>
              </w:rPr>
            </w:pPr>
            <w:r>
              <w:rPr>
                <w:rFonts w:eastAsia="Calibri"/>
              </w:rPr>
              <w:t>RQ 1b:</w:t>
            </w:r>
            <w:r>
              <w:rPr>
                <w:rFonts w:eastAsia="Calibri"/>
              </w:rPr>
              <w:tab/>
              <w:t xml:space="preserve">Are beneficiaries less likely to accept jobs that result in greater benefits </w:t>
            </w:r>
            <w:r>
              <w:rPr>
                <w:rFonts w:eastAsia="Calibri"/>
              </w:rPr>
              <w:tab/>
              <w:t>loss, holding net earnings constant?</w:t>
            </w:r>
          </w:p>
        </w:tc>
      </w:tr>
      <w:tr w:rsidR="00884CC2" w:rsidTr="000A343C" w14:paraId="275EAAFD" w14:textId="77777777">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00884CC2" w:rsidP="000A343C" w:rsidRDefault="00884CC2" w14:paraId="2F59E97A" w14:textId="1B6A09C8">
            <w:pPr>
              <w:pStyle w:val="TableTextLeft"/>
              <w:ind w:left="750" w:hanging="750"/>
              <w:rPr>
                <w:rFonts w:eastAsia="Calibri"/>
                <w:b/>
                <w:bCs/>
              </w:rPr>
            </w:pPr>
            <w:r>
              <w:rPr>
                <w:rFonts w:eastAsia="Calibri"/>
              </w:rPr>
              <w:t xml:space="preserve">RQ 2: </w:t>
            </w:r>
            <w:r w:rsidR="000A343C">
              <w:rPr>
                <w:rFonts w:eastAsia="Calibri"/>
              </w:rPr>
              <w:tab/>
            </w:r>
            <w:r>
              <w:rPr>
                <w:rFonts w:eastAsia="Calibri"/>
              </w:rPr>
              <w:t>Are beneficiaries less likely to accept high-risk job opportunities—that is, those less likely to result in long</w:t>
            </w:r>
            <w:r w:rsidR="001C7FC5">
              <w:rPr>
                <w:rFonts w:eastAsia="Calibri"/>
              </w:rPr>
              <w:t>-</w:t>
            </w:r>
            <w:r>
              <w:rPr>
                <w:rFonts w:eastAsia="Calibri"/>
              </w:rPr>
              <w:t xml:space="preserve"> term employment?</w:t>
            </w:r>
          </w:p>
        </w:tc>
      </w:tr>
      <w:tr w:rsidR="00884CC2" w:rsidTr="000A343C" w14:paraId="0B10F1E8" w14:textId="77777777">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00884CC2" w:rsidP="000A343C" w:rsidRDefault="00884CC2" w14:paraId="68727C21" w14:textId="577A1F48">
            <w:pPr>
              <w:pStyle w:val="TableTextLeft"/>
              <w:ind w:left="750" w:hanging="750"/>
              <w:rPr>
                <w:rFonts w:eastAsia="Calibri"/>
              </w:rPr>
            </w:pPr>
            <w:r>
              <w:rPr>
                <w:rFonts w:eastAsia="Calibri"/>
              </w:rPr>
              <w:t xml:space="preserve">RQ 3: </w:t>
            </w:r>
            <w:r w:rsidR="000A343C">
              <w:rPr>
                <w:rFonts w:eastAsia="Calibri"/>
              </w:rPr>
              <w:tab/>
            </w:r>
            <w:r>
              <w:rPr>
                <w:rFonts w:eastAsia="Calibri"/>
              </w:rPr>
              <w:t>Are beneficiaries more likely to accept job opportunities when it is easier to regain benefits if needed?</w:t>
            </w:r>
          </w:p>
        </w:tc>
      </w:tr>
      <w:tr w:rsidR="00884CC2" w:rsidTr="000A343C" w14:paraId="08497848" w14:textId="77777777">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00884CC2" w:rsidP="000A343C" w:rsidRDefault="00884CC2" w14:paraId="71EE2431" w14:textId="63DDF2B1">
            <w:pPr>
              <w:pStyle w:val="TableTextLeft"/>
              <w:ind w:left="750" w:hanging="750"/>
              <w:rPr>
                <w:rFonts w:eastAsia="Calibri"/>
              </w:rPr>
            </w:pPr>
            <w:r>
              <w:rPr>
                <w:rFonts w:eastAsia="Calibri"/>
              </w:rPr>
              <w:t>RQ 3a:</w:t>
            </w:r>
            <w:r>
              <w:rPr>
                <w:rFonts w:eastAsia="Calibri"/>
              </w:rPr>
              <w:tab/>
              <w:t>Are beneficiaries more likely to accept a job if benefits can be automatically regained if needed compared to if they must reapply for them?</w:t>
            </w:r>
          </w:p>
          <w:p w:rsidR="00884CC2" w:rsidP="000A343C" w:rsidRDefault="00884CC2" w14:paraId="241D04AF" w14:textId="2DEFE06D">
            <w:pPr>
              <w:pStyle w:val="TableTextLeft"/>
              <w:ind w:left="750" w:hanging="750"/>
              <w:rPr>
                <w:rFonts w:eastAsia="Calibri"/>
              </w:rPr>
            </w:pPr>
            <w:r>
              <w:rPr>
                <w:rFonts w:eastAsia="Calibri"/>
              </w:rPr>
              <w:t>RQ 3b:</w:t>
            </w:r>
            <w:r>
              <w:rPr>
                <w:rFonts w:eastAsia="Calibri"/>
              </w:rPr>
              <w:tab/>
              <w:t>Are beneficiaries more likely to accept a job if they can retain their benefits than if they can be automatically regained if needed?</w:t>
            </w:r>
          </w:p>
        </w:tc>
      </w:tr>
      <w:tr w:rsidR="00884CC2" w:rsidTr="000A343C" w14:paraId="1874BD78" w14:textId="77777777">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00884CC2" w:rsidP="000A343C" w:rsidRDefault="00884CC2" w14:paraId="3F64C8B6" w14:textId="030EF9A8">
            <w:pPr>
              <w:pStyle w:val="TableTextLeft"/>
              <w:ind w:left="750" w:hanging="750"/>
              <w:rPr>
                <w:rFonts w:eastAsia="Calibri"/>
              </w:rPr>
            </w:pPr>
            <w:r>
              <w:rPr>
                <w:rFonts w:eastAsia="Calibri"/>
              </w:rPr>
              <w:t xml:space="preserve">RQ 4: </w:t>
            </w:r>
            <w:r w:rsidR="000A343C">
              <w:rPr>
                <w:rFonts w:eastAsia="Calibri"/>
              </w:rPr>
              <w:tab/>
            </w:r>
            <w:r>
              <w:rPr>
                <w:rFonts w:eastAsia="Calibri"/>
              </w:rPr>
              <w:t>Do the factors listed in RQs 1–3 interact with one another? For example, does the decision to take a high-risk job depend on how easy it is to regain benefits if needed?</w:t>
            </w:r>
          </w:p>
        </w:tc>
      </w:tr>
      <w:tr w:rsidR="00884CC2" w:rsidTr="000A343C" w14:paraId="6B6E848B" w14:textId="77777777">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00884CC2" w:rsidP="000A343C" w:rsidRDefault="00884CC2" w14:paraId="519565C8" w14:textId="708C6191">
            <w:pPr>
              <w:pStyle w:val="TableTextLeft"/>
              <w:ind w:left="750" w:hanging="750"/>
              <w:rPr>
                <w:rFonts w:eastAsia="Calibri"/>
              </w:rPr>
            </w:pPr>
            <w:r>
              <w:rPr>
                <w:rFonts w:eastAsia="Calibri"/>
              </w:rPr>
              <w:t xml:space="preserve">RQ 5: </w:t>
            </w:r>
            <w:r w:rsidR="000A343C">
              <w:rPr>
                <w:rFonts w:eastAsia="Calibri"/>
              </w:rPr>
              <w:tab/>
            </w:r>
            <w:r>
              <w:rPr>
                <w:rFonts w:eastAsia="Calibri"/>
              </w:rPr>
              <w:t>Do the factors listed in RQs 1–3 depend on the type of benefit that might be lost? For example, is the difficulty of regaining benefits of greater concern for Supplemental Nutrition Assistance Program (SNAP) beneficiaries (who lose access to these benefits during the redetermination process) than for Medicaid beneficiaries.</w:t>
            </w:r>
          </w:p>
        </w:tc>
      </w:tr>
    </w:tbl>
    <w:p w:rsidRPr="00EA2E81" w:rsidR="006655D2" w:rsidP="00853EF5" w:rsidRDefault="006655D2" w14:paraId="1E2D9642" w14:textId="10C9AEE7">
      <w:pPr>
        <w:pStyle w:val="H3"/>
        <w:numPr>
          <w:ilvl w:val="0"/>
          <w:numId w:val="28"/>
        </w:numPr>
        <w:rPr>
          <w:rFonts w:eastAsia="Calibri"/>
        </w:rPr>
      </w:pPr>
      <w:r w:rsidRPr="00755C53">
        <w:rPr>
          <w:rFonts w:eastAsia="Calibri"/>
        </w:rPr>
        <w:t xml:space="preserve">Study </w:t>
      </w:r>
      <w:r>
        <w:rPr>
          <w:rFonts w:eastAsia="Calibri"/>
        </w:rPr>
        <w:t>d</w:t>
      </w:r>
      <w:r w:rsidRPr="00755C53">
        <w:rPr>
          <w:rFonts w:eastAsia="Calibri"/>
        </w:rPr>
        <w:t>esign</w:t>
      </w:r>
    </w:p>
    <w:p w:rsidR="006655D2" w:rsidP="00815C88" w:rsidRDefault="006655D2" w14:paraId="0FE6F915" w14:textId="5E126BC3">
      <w:pPr>
        <w:pStyle w:val="ParagraphContinued"/>
        <w:rPr>
          <w:rFonts w:eastAsia="Calibri"/>
        </w:rPr>
      </w:pPr>
      <w:r w:rsidRPr="00892619">
        <w:rPr>
          <w:rFonts w:eastAsia="Calibri"/>
        </w:rPr>
        <w:t xml:space="preserve">This study strives to improve the quality of data collected about how benefit recipients make decisions. To achieve this, </w:t>
      </w:r>
      <w:r>
        <w:rPr>
          <w:rFonts w:eastAsia="Calibri"/>
        </w:rPr>
        <w:t xml:space="preserve">we will recruit 2000 benefits recipients and ask them to complete a web survey </w:t>
      </w:r>
      <w:r w:rsidR="00C81975">
        <w:t xml:space="preserve">(Attachment A-1) </w:t>
      </w:r>
      <w:r>
        <w:rPr>
          <w:rFonts w:eastAsia="Calibri"/>
        </w:rPr>
        <w:t xml:space="preserve">in which they make decisions about different hypothetical job opportunities. </w:t>
      </w:r>
    </w:p>
    <w:p w:rsidR="006655D2" w:rsidP="00815C88" w:rsidRDefault="006655D2" w14:paraId="1647F02D" w14:textId="7BC8A11B">
      <w:pPr>
        <w:pStyle w:val="Paragraph"/>
        <w:rPr>
          <w:rFonts w:eastAsia="Calibri"/>
        </w:rPr>
      </w:pPr>
      <w:r>
        <w:rPr>
          <w:rFonts w:eastAsia="Calibri"/>
        </w:rPr>
        <w:t xml:space="preserve">Participants will complete a one-time survey with several data collection components. Survey respondents will be recruited from NORC’s AmeriSpeak panel. The first section of the survey collects relevant demographic and biographical information. Next, </w:t>
      </w:r>
      <w:r w:rsidR="001C7FC5">
        <w:rPr>
          <w:rFonts w:eastAsia="Calibri"/>
        </w:rPr>
        <w:t>respondents</w:t>
      </w:r>
      <w:r>
        <w:rPr>
          <w:rFonts w:eastAsia="Calibri"/>
        </w:rPr>
        <w:t xml:space="preserve"> will hear five vignettes describing different job opportunities. The job opportunities will have varied financial benefits (wage increases and benefits loss). The opportunities will also have varied risks that the job opportunity might or might not work out and different levels of ease or difficulty to regain benefits. </w:t>
      </w:r>
    </w:p>
    <w:p w:rsidR="006655D2" w:rsidP="00815C88" w:rsidRDefault="006655D2" w14:paraId="027C617D" w14:textId="77777777">
      <w:pPr>
        <w:pStyle w:val="Paragraph"/>
        <w:rPr>
          <w:rFonts w:eastAsia="Calibri"/>
        </w:rPr>
      </w:pPr>
      <w:r>
        <w:rPr>
          <w:rFonts w:eastAsia="Calibri"/>
        </w:rPr>
        <w:t>The study is exploratory, using a within-subjects design and standardized vignettes to maximize the ability to detect differences between treatment levels.</w:t>
      </w:r>
      <w:r w:rsidRPr="001A7D2E">
        <w:rPr>
          <w:rFonts w:eastAsia="Calibri"/>
        </w:rPr>
        <w:t xml:space="preserve"> </w:t>
      </w:r>
      <w:r>
        <w:rPr>
          <w:rFonts w:eastAsia="Calibri"/>
        </w:rPr>
        <w:t xml:space="preserve">The study will provide some insight into whether each of these factors has an independent effect on beneficiaries’ decision making, or if they are likely to interact with each other. </w:t>
      </w:r>
    </w:p>
    <w:p w:rsidR="006655D2" w:rsidP="00815C88" w:rsidRDefault="006655D2" w14:paraId="55B69A0D" w14:textId="170B500E">
      <w:pPr>
        <w:pStyle w:val="Paragraph"/>
        <w:rPr>
          <w:rFonts w:eastAsia="Calibri" w:cstheme="minorHAnsi"/>
          <w:sz w:val="24"/>
        </w:rPr>
      </w:pPr>
      <w:r>
        <w:rPr>
          <w:rFonts w:eastAsia="Calibri"/>
        </w:rPr>
        <w:t xml:space="preserve">The characteristics of the job opportunities will be varied simultaneously within a single factorial experiment. </w:t>
      </w:r>
      <w:r w:rsidRPr="00C56271">
        <w:rPr>
          <w:rFonts w:eastAsia="Calibri"/>
        </w:rPr>
        <w:t xml:space="preserve">A factorial experiment is one that simultaneously examines several factors, each of which can have two or more levels or categories. Using a factorial design makes it possible to test a number of different treatments concurrently </w:t>
      </w:r>
      <w:r>
        <w:rPr>
          <w:rFonts w:eastAsia="Calibri"/>
        </w:rPr>
        <w:t>and to consider how the effects of each factor might interact with each other. Furthermore, a factorial design will allow the researchers to observe why people make certain decisions about employment opportunities and the availability of benefits. For example, the research team will observe the willingness for people to accept safer vs. risk</w:t>
      </w:r>
      <w:r w:rsidR="001C7FC5">
        <w:rPr>
          <w:rFonts w:eastAsia="Calibri"/>
        </w:rPr>
        <w:t>ier</w:t>
      </w:r>
      <w:r>
        <w:rPr>
          <w:rFonts w:eastAsia="Calibri"/>
        </w:rPr>
        <w:t xml:space="preserve"> job opportunities depending on the ease or difficulty of regaining benefits. </w:t>
      </w:r>
      <w:r w:rsidRPr="00441CAA">
        <w:rPr>
          <w:rFonts w:eastAsia="Calibri"/>
        </w:rPr>
        <w:t xml:space="preserve">Exhibit </w:t>
      </w:r>
      <w:r w:rsidR="00853EF5">
        <w:rPr>
          <w:rFonts w:eastAsia="Calibri"/>
        </w:rPr>
        <w:t>A</w:t>
      </w:r>
      <w:r w:rsidRPr="00F94A38">
        <w:rPr>
          <w:rFonts w:eastAsia="Calibri"/>
        </w:rPr>
        <w:t>.2</w:t>
      </w:r>
      <w:r>
        <w:rPr>
          <w:rFonts w:eastAsia="Calibri"/>
        </w:rPr>
        <w:t xml:space="preserve"> lists the factors and treatment levels the research team will study.</w:t>
      </w:r>
    </w:p>
    <w:p w:rsidR="006655D2" w:rsidP="006655D2" w:rsidRDefault="006655D2" w14:paraId="5940CAEC" w14:textId="77777777">
      <w:pPr>
        <w:pStyle w:val="Text"/>
        <w:contextualSpacing/>
        <w:rPr>
          <w:rFonts w:eastAsia="Calibri" w:asciiTheme="minorHAnsi" w:hAnsiTheme="minorHAnsi" w:cstheme="minorHAnsi"/>
          <w:sz w:val="24"/>
        </w:rPr>
        <w:sectPr w:rsidR="006655D2" w:rsidSect="0096021C">
          <w:footerReference w:type="default" r:id="rId14"/>
          <w:pgSz w:w="12240" w:h="15840"/>
          <w:pgMar w:top="1440" w:right="1440" w:bottom="1440" w:left="1440" w:header="720" w:footer="720" w:gutter="0"/>
          <w:pgNumType w:start="1"/>
          <w:cols w:space="720"/>
          <w:docGrid w:linePitch="360"/>
        </w:sectPr>
      </w:pPr>
    </w:p>
    <w:p w:rsidRPr="000D4230" w:rsidR="006655D2" w:rsidP="00815C88" w:rsidRDefault="006655D2" w14:paraId="472CBBE5" w14:textId="0A0C15C1">
      <w:pPr>
        <w:pStyle w:val="ExhibitTitle"/>
        <w:rPr>
          <w:rFonts w:eastAsia="Calibri"/>
        </w:rPr>
      </w:pPr>
      <w:r w:rsidRPr="00F94A38">
        <w:rPr>
          <w:rFonts w:eastAsia="Calibri"/>
        </w:rPr>
        <w:lastRenderedPageBreak/>
        <w:t xml:space="preserve">Exhibit </w:t>
      </w:r>
      <w:r w:rsidR="00853EF5">
        <w:rPr>
          <w:rFonts w:eastAsia="Calibri"/>
        </w:rPr>
        <w:t>2</w:t>
      </w:r>
      <w:r w:rsidRPr="00F94A38">
        <w:rPr>
          <w:rFonts w:eastAsia="Calibri"/>
        </w:rPr>
        <w:t>.2.</w:t>
      </w:r>
      <w:r w:rsidRPr="000D4230">
        <w:rPr>
          <w:rFonts w:eastAsia="Calibri"/>
        </w:rPr>
        <w:t xml:space="preserve"> Framework for testing factor combinations and contrasts</w:t>
      </w:r>
    </w:p>
    <w:tbl>
      <w:tblPr>
        <w:tblStyle w:val="MathUBaseTable"/>
        <w:tblW w:w="12647" w:type="dxa"/>
        <w:tblBorders>
          <w:top w:val="single" w:color="auto" w:sz="4" w:space="0"/>
          <w:left w:val="single" w:color="auto" w:sz="4" w:space="0"/>
          <w:bottom w:val="single" w:color="auto" w:sz="4" w:space="0"/>
          <w:right w:val="single" w:color="auto" w:sz="4" w:space="0"/>
          <w:insideH w:val="none" w:color="auto" w:sz="0" w:space="0"/>
        </w:tblBorders>
        <w:tblLook w:val="04A0" w:firstRow="1" w:lastRow="0" w:firstColumn="1" w:lastColumn="0" w:noHBand="0" w:noVBand="1"/>
      </w:tblPr>
      <w:tblGrid>
        <w:gridCol w:w="3060"/>
        <w:gridCol w:w="1485"/>
        <w:gridCol w:w="1485"/>
        <w:gridCol w:w="1654"/>
        <w:gridCol w:w="1654"/>
        <w:gridCol w:w="1654"/>
        <w:gridCol w:w="1655"/>
      </w:tblGrid>
      <w:tr w:rsidRPr="000A343C" w:rsidR="000A343C" w:rsidTr="000A343C" w14:paraId="147C39A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06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rsidRPr="000A343C" w:rsidR="00F24634" w:rsidP="00815C88" w:rsidRDefault="00F24634" w14:paraId="1A3125DF" w14:textId="77777777">
            <w:pPr>
              <w:pStyle w:val="TableHeaderLeft"/>
              <w:rPr>
                <w:b w:val="0"/>
                <w:color w:val="auto"/>
              </w:rPr>
            </w:pPr>
            <w:r w:rsidRPr="000A343C">
              <w:rPr>
                <w:color w:val="auto"/>
              </w:rPr>
              <w:t>Factor and factor level</w:t>
            </w:r>
          </w:p>
        </w:tc>
        <w:tc>
          <w:tcPr>
            <w:tcW w:w="297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0A343C" w:rsidR="00F24634" w:rsidP="00815C88" w:rsidRDefault="00F24634" w14:paraId="6A86A224" w14:textId="77777777">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 xml:space="preserve">A (earnings increase) = 1 </w:t>
            </w:r>
            <w:r w:rsidRPr="000A343C">
              <w:rPr>
                <w:color w:val="auto"/>
              </w:rPr>
              <w:br/>
              <w:t>Smaller net earnings increase</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0A343C" w:rsidR="00F24634" w:rsidP="00815C88" w:rsidRDefault="00F24634" w14:paraId="132A7DCC" w14:textId="77777777">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A (earnings increase) = 2</w:t>
            </w:r>
            <w:r w:rsidRPr="000A343C">
              <w:rPr>
                <w:color w:val="auto"/>
              </w:rPr>
              <w:br/>
              <w:t>Larger net earnings increase</w:t>
            </w:r>
          </w:p>
        </w:tc>
        <w:tc>
          <w:tcPr>
            <w:tcW w:w="330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0A343C" w:rsidR="00F24634" w:rsidP="00815C88" w:rsidRDefault="00F24634" w14:paraId="6028B387" w14:textId="77777777">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A (earnings increase) = 3</w:t>
            </w:r>
            <w:r w:rsidRPr="000A343C">
              <w:rPr>
                <w:color w:val="auto"/>
              </w:rPr>
              <w:br/>
              <w:t>Small net earnings increase after large benefits reduction</w:t>
            </w:r>
          </w:p>
        </w:tc>
      </w:tr>
      <w:tr w:rsidRPr="000A343C" w:rsidR="000A343C" w:rsidTr="000A343C" w14:paraId="5F849B0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060" w:type="dxa"/>
            <w:vMerge/>
            <w:tcBorders>
              <w:top w:val="single" w:color="auto" w:sz="4" w:space="0"/>
              <w:left w:val="single" w:color="auto" w:sz="4" w:space="0"/>
              <w:bottom w:val="single" w:color="auto" w:sz="4" w:space="0"/>
              <w:right w:val="single" w:color="auto" w:sz="4" w:space="0"/>
            </w:tcBorders>
            <w:shd w:val="clear" w:color="auto" w:fill="auto"/>
            <w:vAlign w:val="bottom"/>
          </w:tcPr>
          <w:p w:rsidRPr="000A343C" w:rsidR="00F24634" w:rsidP="00815C88" w:rsidRDefault="00F24634" w14:paraId="7CBBAB6D" w14:textId="77777777">
            <w:pPr>
              <w:pStyle w:val="TableTextLeft"/>
              <w:rPr>
                <w:b w:val="0"/>
                <w:color w:val="auto"/>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bottom"/>
          </w:tcPr>
          <w:p w:rsidRPr="000A343C" w:rsidR="00F24634" w:rsidP="00815C88" w:rsidRDefault="00F24634" w14:paraId="46AC81EA" w14:textId="77777777">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 xml:space="preserve">B (risk of earnings loss) = 1 </w:t>
            </w:r>
            <w:r w:rsidRPr="000A343C">
              <w:rPr>
                <w:color w:val="auto"/>
              </w:rPr>
              <w:br/>
              <w:t>Low risk</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bottom"/>
          </w:tcPr>
          <w:p w:rsidRPr="000A343C" w:rsidR="00F24634" w:rsidP="00815C88" w:rsidRDefault="00F24634" w14:paraId="6300B7A9" w14:textId="77777777">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 xml:space="preserve">B (risk of earnings loss) = 2 </w:t>
            </w:r>
            <w:r w:rsidRPr="000A343C">
              <w:rPr>
                <w:color w:val="auto"/>
              </w:rPr>
              <w:br/>
              <w:t>High risk</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bottom"/>
          </w:tcPr>
          <w:p w:rsidRPr="000A343C" w:rsidR="00F24634" w:rsidP="00815C88" w:rsidRDefault="00F24634" w14:paraId="717A52DE" w14:textId="2E41F080">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B (risk of earnings loss)</w:t>
            </w:r>
            <w:r w:rsidRPr="000A343C">
              <w:rPr>
                <w:color w:val="auto"/>
              </w:rPr>
              <w:br/>
              <w:t xml:space="preserve"> = 1 </w:t>
            </w:r>
            <w:r w:rsidRPr="000A343C">
              <w:rPr>
                <w:color w:val="auto"/>
              </w:rPr>
              <w:br/>
              <w:t>Low risk</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bottom"/>
          </w:tcPr>
          <w:p w:rsidRPr="000A343C" w:rsidR="00F24634" w:rsidP="00815C88" w:rsidRDefault="00F24634" w14:paraId="7CC9FF0A" w14:textId="32B424DC">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 xml:space="preserve">B (risk of earnings loss) </w:t>
            </w:r>
            <w:r w:rsidRPr="000A343C">
              <w:rPr>
                <w:color w:val="auto"/>
              </w:rPr>
              <w:br/>
              <w:t xml:space="preserve">= 2 </w:t>
            </w:r>
            <w:r w:rsidRPr="000A343C">
              <w:rPr>
                <w:color w:val="auto"/>
              </w:rPr>
              <w:br/>
              <w:t>High risk</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bottom"/>
          </w:tcPr>
          <w:p w:rsidRPr="000A343C" w:rsidR="00F24634" w:rsidP="00815C88" w:rsidRDefault="00F24634" w14:paraId="6C4A0E27" w14:textId="43F6D4E7">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 xml:space="preserve">B (risk of earnings loss) </w:t>
            </w:r>
            <w:r w:rsidRPr="000A343C">
              <w:rPr>
                <w:color w:val="auto"/>
              </w:rPr>
              <w:br/>
              <w:t xml:space="preserve">= 1 </w:t>
            </w:r>
            <w:r w:rsidRPr="000A343C">
              <w:rPr>
                <w:color w:val="auto"/>
              </w:rPr>
              <w:br/>
              <w:t>Low risk</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bottom"/>
          </w:tcPr>
          <w:p w:rsidRPr="000A343C" w:rsidR="00F24634" w:rsidP="00815C88" w:rsidRDefault="00F24634" w14:paraId="700DE12E" w14:textId="6F52789C">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 xml:space="preserve">B (risk of earnings loss) </w:t>
            </w:r>
            <w:r w:rsidRPr="000A343C">
              <w:rPr>
                <w:color w:val="auto"/>
              </w:rPr>
              <w:br/>
              <w:t xml:space="preserve">= 2 </w:t>
            </w:r>
            <w:r w:rsidRPr="000A343C">
              <w:rPr>
                <w:color w:val="auto"/>
              </w:rPr>
              <w:br/>
              <w:t>High risk</w:t>
            </w:r>
          </w:p>
        </w:tc>
      </w:tr>
      <w:tr w:rsidRPr="00E201CD" w:rsidR="00F24634" w:rsidTr="000A343C" w14:paraId="0B225895" w14:textId="77777777">
        <w:trPr>
          <w:trHeight w:val="120"/>
        </w:trPr>
        <w:tc>
          <w:tcPr>
            <w:cnfStyle w:val="001000000000" w:firstRow="0" w:lastRow="0" w:firstColumn="1" w:lastColumn="0" w:oddVBand="0" w:evenVBand="0" w:oddHBand="0" w:evenHBand="0" w:firstRowFirstColumn="0" w:firstRowLastColumn="0" w:lastRowFirstColumn="0" w:lastRowLastColumn="0"/>
            <w:tcW w:w="3060" w:type="dxa"/>
            <w:tcBorders>
              <w:top w:val="single" w:color="auto" w:sz="4" w:space="0"/>
              <w:right w:val="none" w:color="auto" w:sz="0" w:space="0"/>
            </w:tcBorders>
          </w:tcPr>
          <w:p w:rsidRPr="00E201CD" w:rsidR="00F24634" w:rsidP="00815C88" w:rsidRDefault="00F24634" w14:paraId="7D3BEBA6" w14:textId="77777777">
            <w:pPr>
              <w:pStyle w:val="TableTextLeft"/>
            </w:pPr>
            <w:r>
              <w:t>C (Loss and recovery of benefits) = 1 (difficult to regain benefits)</w:t>
            </w:r>
          </w:p>
        </w:tc>
        <w:tc>
          <w:tcPr>
            <w:tcW w:w="1485" w:type="dxa"/>
            <w:tcBorders>
              <w:top w:val="single" w:color="auto" w:sz="4" w:space="0"/>
            </w:tcBorders>
          </w:tcPr>
          <w:p w:rsidRPr="00E201CD" w:rsidR="00F24634" w:rsidP="00815C88" w:rsidRDefault="00F24634" w14:paraId="7ECC4187"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sidRPr="00E201CD">
              <w:rPr>
                <w:vertAlign w:val="subscript"/>
              </w:rPr>
              <w:t>1</w:t>
            </w:r>
            <w:r w:rsidRPr="00E201CD">
              <w:t>B</w:t>
            </w:r>
            <w:r w:rsidRPr="00E201CD">
              <w:rPr>
                <w:vertAlign w:val="subscript"/>
              </w:rPr>
              <w:t>1</w:t>
            </w:r>
            <w:r w:rsidRPr="00E201CD">
              <w:t>C</w:t>
            </w:r>
            <w:r w:rsidRPr="00E201CD">
              <w:rPr>
                <w:vertAlign w:val="subscript"/>
              </w:rPr>
              <w:t>1</w:t>
            </w:r>
          </w:p>
        </w:tc>
        <w:tc>
          <w:tcPr>
            <w:tcW w:w="1485" w:type="dxa"/>
            <w:tcBorders>
              <w:top w:val="single" w:color="auto" w:sz="4" w:space="0"/>
            </w:tcBorders>
          </w:tcPr>
          <w:p w:rsidRPr="00E201CD" w:rsidR="00F24634" w:rsidP="00815C88" w:rsidRDefault="00F24634" w14:paraId="7CFACC8E"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sidRPr="00E201CD">
              <w:rPr>
                <w:vertAlign w:val="subscript"/>
              </w:rPr>
              <w:t>1</w:t>
            </w:r>
            <w:r w:rsidRPr="00E201CD">
              <w:t>B</w:t>
            </w:r>
            <w:r w:rsidRPr="00E201CD">
              <w:rPr>
                <w:vertAlign w:val="subscript"/>
              </w:rPr>
              <w:t>2</w:t>
            </w:r>
            <w:r w:rsidRPr="00E201CD">
              <w:t>C</w:t>
            </w:r>
            <w:r w:rsidRPr="00E201CD">
              <w:rPr>
                <w:vertAlign w:val="subscript"/>
              </w:rPr>
              <w:t>1</w:t>
            </w:r>
          </w:p>
        </w:tc>
        <w:tc>
          <w:tcPr>
            <w:tcW w:w="1654" w:type="dxa"/>
            <w:tcBorders>
              <w:top w:val="single" w:color="auto" w:sz="4" w:space="0"/>
            </w:tcBorders>
          </w:tcPr>
          <w:p w:rsidRPr="00E201CD" w:rsidR="00F24634" w:rsidP="00815C88" w:rsidRDefault="00F24634" w14:paraId="078A3258"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sidRPr="00E201CD">
              <w:rPr>
                <w:vertAlign w:val="subscript"/>
              </w:rPr>
              <w:t>2</w:t>
            </w:r>
            <w:r w:rsidRPr="00E201CD">
              <w:t>B</w:t>
            </w:r>
            <w:r w:rsidRPr="00E201CD">
              <w:rPr>
                <w:vertAlign w:val="subscript"/>
              </w:rPr>
              <w:t>1</w:t>
            </w:r>
            <w:r w:rsidRPr="00E201CD">
              <w:t>C</w:t>
            </w:r>
            <w:r w:rsidRPr="00E201CD">
              <w:rPr>
                <w:vertAlign w:val="subscript"/>
              </w:rPr>
              <w:t>1</w:t>
            </w:r>
          </w:p>
        </w:tc>
        <w:tc>
          <w:tcPr>
            <w:tcW w:w="1654" w:type="dxa"/>
            <w:tcBorders>
              <w:top w:val="single" w:color="auto" w:sz="4" w:space="0"/>
            </w:tcBorders>
          </w:tcPr>
          <w:p w:rsidRPr="00E201CD" w:rsidR="00F24634" w:rsidP="00815C88" w:rsidRDefault="00F24634" w14:paraId="5BBA16F6"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sidRPr="00E201CD">
              <w:rPr>
                <w:vertAlign w:val="subscript"/>
              </w:rPr>
              <w:t>2</w:t>
            </w:r>
            <w:r w:rsidRPr="00E201CD">
              <w:t>B</w:t>
            </w:r>
            <w:r w:rsidRPr="00E201CD">
              <w:rPr>
                <w:vertAlign w:val="subscript"/>
              </w:rPr>
              <w:t>2</w:t>
            </w:r>
            <w:r w:rsidRPr="00E201CD">
              <w:t>C</w:t>
            </w:r>
            <w:r w:rsidRPr="00E201CD">
              <w:rPr>
                <w:vertAlign w:val="subscript"/>
              </w:rPr>
              <w:t>1</w:t>
            </w:r>
          </w:p>
        </w:tc>
        <w:tc>
          <w:tcPr>
            <w:tcW w:w="1654" w:type="dxa"/>
            <w:tcBorders>
              <w:top w:val="single" w:color="auto" w:sz="4" w:space="0"/>
            </w:tcBorders>
          </w:tcPr>
          <w:p w:rsidRPr="00E201CD" w:rsidR="00F24634" w:rsidP="00815C88" w:rsidRDefault="00F24634" w14:paraId="0D0FAFAA"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Pr>
                <w:vertAlign w:val="subscript"/>
              </w:rPr>
              <w:t>3</w:t>
            </w:r>
            <w:r w:rsidRPr="00E201CD">
              <w:t>B</w:t>
            </w:r>
            <w:r w:rsidRPr="00E201CD">
              <w:rPr>
                <w:vertAlign w:val="subscript"/>
              </w:rPr>
              <w:t>1</w:t>
            </w:r>
            <w:r w:rsidRPr="00E201CD">
              <w:t>C</w:t>
            </w:r>
            <w:r w:rsidRPr="00E201CD">
              <w:rPr>
                <w:vertAlign w:val="subscript"/>
              </w:rPr>
              <w:t>1</w:t>
            </w:r>
          </w:p>
        </w:tc>
        <w:tc>
          <w:tcPr>
            <w:tcW w:w="1655" w:type="dxa"/>
            <w:tcBorders>
              <w:top w:val="single" w:color="auto" w:sz="4" w:space="0"/>
            </w:tcBorders>
          </w:tcPr>
          <w:p w:rsidRPr="00E201CD" w:rsidR="00F24634" w:rsidP="00815C88" w:rsidRDefault="00F24634" w14:paraId="2DD2CD7F"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Pr>
                <w:vertAlign w:val="subscript"/>
              </w:rPr>
              <w:t>3</w:t>
            </w:r>
            <w:r w:rsidRPr="00E201CD">
              <w:t>B</w:t>
            </w:r>
            <w:r w:rsidRPr="00E201CD">
              <w:rPr>
                <w:vertAlign w:val="subscript"/>
              </w:rPr>
              <w:t>2</w:t>
            </w:r>
            <w:r w:rsidRPr="00E201CD">
              <w:t>C</w:t>
            </w:r>
            <w:r w:rsidRPr="00E201CD">
              <w:rPr>
                <w:vertAlign w:val="subscript"/>
              </w:rPr>
              <w:t>1</w:t>
            </w:r>
          </w:p>
        </w:tc>
      </w:tr>
      <w:tr w:rsidRPr="00E201CD" w:rsidR="00F24634" w:rsidTr="000A343C" w14:paraId="151E9DF9" w14:textId="77777777">
        <w:trPr>
          <w:trHeight w:val="120"/>
        </w:trPr>
        <w:tc>
          <w:tcPr>
            <w:cnfStyle w:val="001000000000" w:firstRow="0" w:lastRow="0" w:firstColumn="1" w:lastColumn="0" w:oddVBand="0" w:evenVBand="0" w:oddHBand="0" w:evenHBand="0" w:firstRowFirstColumn="0" w:firstRowLastColumn="0" w:lastRowFirstColumn="0" w:lastRowLastColumn="0"/>
            <w:tcW w:w="3060" w:type="dxa"/>
            <w:tcBorders>
              <w:right w:val="none" w:color="auto" w:sz="0" w:space="0"/>
            </w:tcBorders>
          </w:tcPr>
          <w:p w:rsidRPr="00E201CD" w:rsidR="00F24634" w:rsidP="00815C88" w:rsidRDefault="00F24634" w14:paraId="3FACFEA2" w14:textId="77777777">
            <w:pPr>
              <w:pStyle w:val="TableTextLeft"/>
            </w:pPr>
            <w:r>
              <w:t>C (Loss and recovery of benefits) = 2 (easy to regain benefits)</w:t>
            </w:r>
          </w:p>
        </w:tc>
        <w:tc>
          <w:tcPr>
            <w:tcW w:w="1485" w:type="dxa"/>
          </w:tcPr>
          <w:p w:rsidRPr="00E201CD" w:rsidR="00F24634" w:rsidP="00815C88" w:rsidRDefault="00F24634" w14:paraId="6AB150A9"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sidRPr="00E201CD">
              <w:rPr>
                <w:vertAlign w:val="subscript"/>
              </w:rPr>
              <w:t>1</w:t>
            </w:r>
            <w:r w:rsidRPr="00E201CD">
              <w:t>B</w:t>
            </w:r>
            <w:r w:rsidRPr="00E201CD">
              <w:rPr>
                <w:vertAlign w:val="subscript"/>
              </w:rPr>
              <w:t>1</w:t>
            </w:r>
            <w:r w:rsidRPr="00E201CD">
              <w:t>C</w:t>
            </w:r>
            <w:r w:rsidRPr="00E201CD">
              <w:rPr>
                <w:vertAlign w:val="subscript"/>
              </w:rPr>
              <w:t>2</w:t>
            </w:r>
          </w:p>
        </w:tc>
        <w:tc>
          <w:tcPr>
            <w:tcW w:w="1485" w:type="dxa"/>
          </w:tcPr>
          <w:p w:rsidRPr="00E201CD" w:rsidR="00F24634" w:rsidP="00815C88" w:rsidRDefault="00F24634" w14:paraId="2F704BFF"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sidRPr="00E201CD">
              <w:rPr>
                <w:vertAlign w:val="subscript"/>
              </w:rPr>
              <w:t>1</w:t>
            </w:r>
            <w:r w:rsidRPr="00E201CD">
              <w:t>B</w:t>
            </w:r>
            <w:r w:rsidRPr="00E201CD">
              <w:rPr>
                <w:vertAlign w:val="subscript"/>
              </w:rPr>
              <w:t>2</w:t>
            </w:r>
            <w:r w:rsidRPr="00E201CD">
              <w:t>C</w:t>
            </w:r>
            <w:r w:rsidRPr="00E201CD">
              <w:rPr>
                <w:vertAlign w:val="subscript"/>
              </w:rPr>
              <w:t>2</w:t>
            </w:r>
          </w:p>
        </w:tc>
        <w:tc>
          <w:tcPr>
            <w:tcW w:w="1654" w:type="dxa"/>
          </w:tcPr>
          <w:p w:rsidRPr="00E201CD" w:rsidR="00F24634" w:rsidP="00815C88" w:rsidRDefault="00F24634" w14:paraId="2A1D6972"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sidRPr="00E201CD">
              <w:rPr>
                <w:vertAlign w:val="subscript"/>
              </w:rPr>
              <w:t>2</w:t>
            </w:r>
            <w:r w:rsidRPr="00E201CD">
              <w:t>B</w:t>
            </w:r>
            <w:r w:rsidRPr="00E201CD">
              <w:rPr>
                <w:vertAlign w:val="subscript"/>
              </w:rPr>
              <w:t>1</w:t>
            </w:r>
            <w:r w:rsidRPr="00E201CD">
              <w:t>C</w:t>
            </w:r>
            <w:r w:rsidRPr="00E201CD">
              <w:rPr>
                <w:vertAlign w:val="subscript"/>
              </w:rPr>
              <w:t>2</w:t>
            </w:r>
          </w:p>
        </w:tc>
        <w:tc>
          <w:tcPr>
            <w:tcW w:w="1654" w:type="dxa"/>
          </w:tcPr>
          <w:p w:rsidRPr="00E201CD" w:rsidR="00F24634" w:rsidP="00815C88" w:rsidRDefault="00F24634" w14:paraId="456305B8"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sidRPr="00E201CD">
              <w:rPr>
                <w:vertAlign w:val="subscript"/>
              </w:rPr>
              <w:t>2</w:t>
            </w:r>
            <w:r w:rsidRPr="00E201CD">
              <w:t>B</w:t>
            </w:r>
            <w:r w:rsidRPr="00E201CD">
              <w:rPr>
                <w:vertAlign w:val="subscript"/>
              </w:rPr>
              <w:t>2</w:t>
            </w:r>
            <w:r w:rsidRPr="00E201CD">
              <w:t>C</w:t>
            </w:r>
            <w:r w:rsidRPr="00E201CD">
              <w:rPr>
                <w:vertAlign w:val="subscript"/>
              </w:rPr>
              <w:t>2</w:t>
            </w:r>
          </w:p>
        </w:tc>
        <w:tc>
          <w:tcPr>
            <w:tcW w:w="1654" w:type="dxa"/>
          </w:tcPr>
          <w:p w:rsidRPr="00E201CD" w:rsidR="00F24634" w:rsidP="00815C88" w:rsidRDefault="00F24634" w14:paraId="02DF4362"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Pr>
                <w:vertAlign w:val="subscript"/>
              </w:rPr>
              <w:t>3</w:t>
            </w:r>
            <w:r w:rsidRPr="00E201CD">
              <w:t>B</w:t>
            </w:r>
            <w:r w:rsidRPr="00E201CD">
              <w:rPr>
                <w:vertAlign w:val="subscript"/>
              </w:rPr>
              <w:t>1</w:t>
            </w:r>
            <w:r w:rsidRPr="00E201CD">
              <w:t>C</w:t>
            </w:r>
            <w:r w:rsidRPr="00E201CD">
              <w:rPr>
                <w:vertAlign w:val="subscript"/>
              </w:rPr>
              <w:t>2</w:t>
            </w:r>
          </w:p>
        </w:tc>
        <w:tc>
          <w:tcPr>
            <w:tcW w:w="1655" w:type="dxa"/>
          </w:tcPr>
          <w:p w:rsidRPr="00E201CD" w:rsidR="00F24634" w:rsidP="00815C88" w:rsidRDefault="00F24634" w14:paraId="4A28AA6B"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Pr>
                <w:vertAlign w:val="subscript"/>
              </w:rPr>
              <w:t>3</w:t>
            </w:r>
            <w:r w:rsidRPr="00E201CD">
              <w:t>B</w:t>
            </w:r>
            <w:r w:rsidRPr="00E201CD">
              <w:rPr>
                <w:vertAlign w:val="subscript"/>
              </w:rPr>
              <w:t>2</w:t>
            </w:r>
            <w:r w:rsidRPr="00E201CD">
              <w:t>C</w:t>
            </w:r>
            <w:r w:rsidRPr="00E201CD">
              <w:rPr>
                <w:vertAlign w:val="subscript"/>
              </w:rPr>
              <w:t>2</w:t>
            </w:r>
          </w:p>
        </w:tc>
      </w:tr>
      <w:tr w:rsidRPr="00E201CD" w:rsidR="00F24634" w:rsidTr="000A343C" w14:paraId="6E5482B0" w14:textId="77777777">
        <w:trPr>
          <w:trHeight w:val="120"/>
        </w:trPr>
        <w:tc>
          <w:tcPr>
            <w:cnfStyle w:val="001000000000" w:firstRow="0" w:lastRow="0" w:firstColumn="1" w:lastColumn="0" w:oddVBand="0" w:evenVBand="0" w:oddHBand="0" w:evenHBand="0" w:firstRowFirstColumn="0" w:firstRowLastColumn="0" w:lastRowFirstColumn="0" w:lastRowLastColumn="0"/>
            <w:tcW w:w="3060" w:type="dxa"/>
            <w:tcBorders>
              <w:right w:val="none" w:color="auto" w:sz="0" w:space="0"/>
            </w:tcBorders>
          </w:tcPr>
          <w:p w:rsidR="00F24634" w:rsidP="00815C88" w:rsidRDefault="00F24634" w14:paraId="529F0E6E" w14:textId="77777777">
            <w:pPr>
              <w:pStyle w:val="TableTextLeft"/>
            </w:pPr>
            <w:r>
              <w:t>C (Loss and recovery of benefits) = 3 (no benefits loss)</w:t>
            </w:r>
          </w:p>
        </w:tc>
        <w:tc>
          <w:tcPr>
            <w:tcW w:w="1485" w:type="dxa"/>
          </w:tcPr>
          <w:p w:rsidRPr="00E201CD" w:rsidR="00F24634" w:rsidP="00815C88" w:rsidRDefault="00F24634" w14:paraId="3AF97BE9"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sidRPr="00E201CD">
              <w:rPr>
                <w:vertAlign w:val="subscript"/>
              </w:rPr>
              <w:t>1</w:t>
            </w:r>
            <w:r w:rsidRPr="00E201CD">
              <w:t>B</w:t>
            </w:r>
            <w:r w:rsidRPr="00E201CD">
              <w:rPr>
                <w:vertAlign w:val="subscript"/>
              </w:rPr>
              <w:t>1</w:t>
            </w:r>
            <w:r w:rsidRPr="00E201CD">
              <w:t>C</w:t>
            </w:r>
            <w:r>
              <w:rPr>
                <w:vertAlign w:val="subscript"/>
              </w:rPr>
              <w:t>3</w:t>
            </w:r>
          </w:p>
        </w:tc>
        <w:tc>
          <w:tcPr>
            <w:tcW w:w="1485" w:type="dxa"/>
          </w:tcPr>
          <w:p w:rsidRPr="00E201CD" w:rsidR="00F24634" w:rsidP="00815C88" w:rsidRDefault="00F24634" w14:paraId="10136D58"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sidRPr="00E201CD">
              <w:rPr>
                <w:vertAlign w:val="subscript"/>
              </w:rPr>
              <w:t>1</w:t>
            </w:r>
            <w:r w:rsidRPr="00E201CD">
              <w:t>B</w:t>
            </w:r>
            <w:r w:rsidRPr="00E201CD">
              <w:rPr>
                <w:vertAlign w:val="subscript"/>
              </w:rPr>
              <w:t>2</w:t>
            </w:r>
            <w:r w:rsidRPr="00E201CD">
              <w:t>C</w:t>
            </w:r>
            <w:r>
              <w:rPr>
                <w:vertAlign w:val="subscript"/>
              </w:rPr>
              <w:t>3</w:t>
            </w:r>
          </w:p>
        </w:tc>
        <w:tc>
          <w:tcPr>
            <w:tcW w:w="1654" w:type="dxa"/>
          </w:tcPr>
          <w:p w:rsidRPr="00E201CD" w:rsidR="00F24634" w:rsidP="00815C88" w:rsidRDefault="00F24634" w14:paraId="1452DA34"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sidRPr="00E201CD">
              <w:rPr>
                <w:vertAlign w:val="subscript"/>
              </w:rPr>
              <w:t>2</w:t>
            </w:r>
            <w:r w:rsidRPr="00E201CD">
              <w:t>B</w:t>
            </w:r>
            <w:r w:rsidRPr="00E201CD">
              <w:rPr>
                <w:vertAlign w:val="subscript"/>
              </w:rPr>
              <w:t>1</w:t>
            </w:r>
            <w:r w:rsidRPr="00E201CD">
              <w:t>C</w:t>
            </w:r>
            <w:r>
              <w:rPr>
                <w:vertAlign w:val="subscript"/>
              </w:rPr>
              <w:t>3</w:t>
            </w:r>
          </w:p>
        </w:tc>
        <w:tc>
          <w:tcPr>
            <w:tcW w:w="1654" w:type="dxa"/>
          </w:tcPr>
          <w:p w:rsidRPr="00E201CD" w:rsidR="00F24634" w:rsidP="00815C88" w:rsidRDefault="00F24634" w14:paraId="4989AC65"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sidRPr="00E201CD">
              <w:rPr>
                <w:vertAlign w:val="subscript"/>
              </w:rPr>
              <w:t>2</w:t>
            </w:r>
            <w:r w:rsidRPr="00E201CD">
              <w:t>B</w:t>
            </w:r>
            <w:r w:rsidRPr="00E201CD">
              <w:rPr>
                <w:vertAlign w:val="subscript"/>
              </w:rPr>
              <w:t>2</w:t>
            </w:r>
            <w:r w:rsidRPr="00E201CD">
              <w:t>C</w:t>
            </w:r>
            <w:r>
              <w:rPr>
                <w:vertAlign w:val="subscript"/>
              </w:rPr>
              <w:t>3</w:t>
            </w:r>
          </w:p>
        </w:tc>
        <w:tc>
          <w:tcPr>
            <w:tcW w:w="1654" w:type="dxa"/>
          </w:tcPr>
          <w:p w:rsidRPr="00E201CD" w:rsidR="00F24634" w:rsidP="00815C88" w:rsidRDefault="00F24634" w14:paraId="41A77EAD"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Pr>
                <w:vertAlign w:val="subscript"/>
              </w:rPr>
              <w:t>3</w:t>
            </w:r>
            <w:r w:rsidRPr="00E201CD">
              <w:t>B</w:t>
            </w:r>
            <w:r w:rsidRPr="00E201CD">
              <w:rPr>
                <w:vertAlign w:val="subscript"/>
              </w:rPr>
              <w:t>1</w:t>
            </w:r>
            <w:r w:rsidRPr="00E201CD">
              <w:t>C</w:t>
            </w:r>
            <w:r>
              <w:rPr>
                <w:vertAlign w:val="subscript"/>
              </w:rPr>
              <w:t>3</w:t>
            </w:r>
          </w:p>
        </w:tc>
        <w:tc>
          <w:tcPr>
            <w:tcW w:w="1655" w:type="dxa"/>
          </w:tcPr>
          <w:p w:rsidRPr="00E201CD" w:rsidR="00F24634" w:rsidP="00815C88" w:rsidRDefault="00F24634" w14:paraId="51B38079" w14:textId="77777777">
            <w:pPr>
              <w:pStyle w:val="TableTextLeft"/>
              <w:cnfStyle w:val="000000000000" w:firstRow="0" w:lastRow="0" w:firstColumn="0" w:lastColumn="0" w:oddVBand="0" w:evenVBand="0" w:oddHBand="0" w:evenHBand="0" w:firstRowFirstColumn="0" w:firstRowLastColumn="0" w:lastRowFirstColumn="0" w:lastRowLastColumn="0"/>
            </w:pPr>
            <w:r w:rsidRPr="00E201CD">
              <w:t>A</w:t>
            </w:r>
            <w:r>
              <w:rPr>
                <w:vertAlign w:val="subscript"/>
              </w:rPr>
              <w:t>3</w:t>
            </w:r>
            <w:r w:rsidRPr="00E201CD">
              <w:t>B</w:t>
            </w:r>
            <w:r w:rsidRPr="00E201CD">
              <w:rPr>
                <w:vertAlign w:val="subscript"/>
              </w:rPr>
              <w:t>2</w:t>
            </w:r>
            <w:r w:rsidRPr="00E201CD">
              <w:t>C</w:t>
            </w:r>
            <w:r>
              <w:rPr>
                <w:vertAlign w:val="subscript"/>
              </w:rPr>
              <w:t>3</w:t>
            </w:r>
          </w:p>
        </w:tc>
      </w:tr>
    </w:tbl>
    <w:p w:rsidR="006655D2" w:rsidP="00815C88" w:rsidRDefault="006655D2" w14:paraId="50116A23" w14:textId="280AD90B">
      <w:pPr>
        <w:pStyle w:val="TableSource"/>
        <w:sectPr w:rsidR="006655D2" w:rsidSect="000D4230">
          <w:pgSz w:w="15840" w:h="12240" w:orient="landscape"/>
          <w:pgMar w:top="1440" w:right="1440" w:bottom="1440" w:left="1440" w:header="720" w:footer="720" w:gutter="0"/>
          <w:cols w:space="720"/>
          <w:docGrid w:linePitch="360"/>
        </w:sectPr>
      </w:pPr>
      <w:r>
        <w:t>Note:</w:t>
      </w:r>
      <w:r w:rsidR="00815C88">
        <w:tab/>
      </w:r>
      <w:r>
        <w:t>Factor A addresses RQ 1, Factor B addresses RQ 2, Factor C addresses RQ 3</w:t>
      </w:r>
    </w:p>
    <w:p w:rsidR="006655D2" w:rsidP="00815C88" w:rsidRDefault="006655D2" w14:paraId="472198FB" w14:textId="77777777">
      <w:pPr>
        <w:pStyle w:val="Paragraph"/>
      </w:pPr>
      <w:r w:rsidRPr="00B35BCE">
        <w:lastRenderedPageBreak/>
        <w:t xml:space="preserve">The study design </w:t>
      </w:r>
      <w:r>
        <w:t>will allow for timely</w:t>
      </w:r>
      <w:r w:rsidRPr="00B35BCE">
        <w:t xml:space="preserve"> data reporting</w:t>
      </w:r>
      <w:r>
        <w:t xml:space="preserve">, with </w:t>
      </w:r>
      <w:r w:rsidRPr="00B35BCE">
        <w:t xml:space="preserve">all reporting from this effort </w:t>
      </w:r>
      <w:r>
        <w:t xml:space="preserve">aimed to be complete </w:t>
      </w:r>
      <w:r w:rsidRPr="00B35BCE">
        <w:t>by October 2023. The use of the panel supports and preserves the schedule of a one-month data collection period with analysis and reporting completed by October 2024.</w:t>
      </w:r>
    </w:p>
    <w:p w:rsidR="006655D2" w:rsidP="00815C88" w:rsidRDefault="006655D2" w14:paraId="6EF6ADF9" w14:textId="77777777">
      <w:pPr>
        <w:pStyle w:val="Paragraph"/>
      </w:pPr>
      <w:r>
        <w:rPr>
          <w:rFonts w:cstheme="minorHAnsi"/>
        </w:rPr>
        <w:t>The research team will invite a</w:t>
      </w:r>
      <w:r w:rsidRPr="00B974A4">
        <w:rPr>
          <w:rFonts w:cstheme="minorHAnsi"/>
        </w:rPr>
        <w:t xml:space="preserve">ll participants to complete the survey online via the web through </w:t>
      </w:r>
      <w:r w:rsidRPr="00B35BCE">
        <w:t>the National Opinion Research Center (NORC</w:t>
      </w:r>
      <w:r w:rsidRPr="00B974A4">
        <w:t>) Ameri</w:t>
      </w:r>
      <w:r>
        <w:t>S</w:t>
      </w:r>
      <w:r w:rsidRPr="00B974A4">
        <w:t xml:space="preserve">peak research panel. </w:t>
      </w:r>
      <w:r>
        <w:t>NORC recruits t</w:t>
      </w:r>
      <w:r w:rsidRPr="00B974A4">
        <w:t xml:space="preserve">his panel through a </w:t>
      </w:r>
      <w:r w:rsidRPr="00B35BCE">
        <w:t xml:space="preserve">two-stage, address-based sample design. </w:t>
      </w:r>
    </w:p>
    <w:p w:rsidR="006655D2" w:rsidP="004C0CB6" w:rsidRDefault="00853EF5" w14:paraId="405B9C1E" w14:textId="54E14C3A">
      <w:pPr>
        <w:pStyle w:val="H2"/>
      </w:pPr>
      <w:bookmarkStart w:name="_Toc102388389" w:id="5"/>
      <w:r>
        <w:t>A.3</w:t>
      </w:r>
      <w:r w:rsidR="00AB3C49">
        <w:t>.</w:t>
      </w:r>
      <w:r w:rsidR="00AB3C49">
        <w:tab/>
      </w:r>
      <w:r w:rsidRPr="000667FD" w:rsidR="006655D2">
        <w:t xml:space="preserve">Use of </w:t>
      </w:r>
      <w:r w:rsidR="006655D2">
        <w:t>i</w:t>
      </w:r>
      <w:r w:rsidRPr="000667FD" w:rsidR="006655D2">
        <w:t xml:space="preserve">mproved </w:t>
      </w:r>
      <w:r w:rsidR="006655D2">
        <w:t>i</w:t>
      </w:r>
      <w:r w:rsidRPr="000667FD" w:rsidR="006655D2">
        <w:t xml:space="preserve">nformation </w:t>
      </w:r>
      <w:r w:rsidR="006655D2">
        <w:t>t</w:t>
      </w:r>
      <w:r w:rsidRPr="000667FD" w:rsidR="006655D2">
        <w:t xml:space="preserve">echnology and </w:t>
      </w:r>
      <w:r w:rsidR="006655D2">
        <w:t>b</w:t>
      </w:r>
      <w:r w:rsidRPr="000667FD" w:rsidR="006655D2">
        <w:t xml:space="preserve">urden </w:t>
      </w:r>
      <w:r w:rsidR="006655D2">
        <w:t>r</w:t>
      </w:r>
      <w:r w:rsidRPr="000667FD" w:rsidR="006655D2">
        <w:t>eduction</w:t>
      </w:r>
      <w:bookmarkEnd w:id="5"/>
    </w:p>
    <w:p w:rsidR="006655D2" w:rsidP="00AB3C49" w:rsidRDefault="006655D2" w14:paraId="0F18D56F" w14:textId="77777777">
      <w:pPr>
        <w:pStyle w:val="ParagraphContinued"/>
      </w:pPr>
      <w:r w:rsidRPr="00B974A4">
        <w:t>ASPE will use advanced technology to collect and process data to reduce respondent</w:t>
      </w:r>
      <w:r>
        <w:t>s’</w:t>
      </w:r>
      <w:r w:rsidRPr="00B974A4">
        <w:t xml:space="preserve"> burden and make data processing and reporting timelier and more efficient. </w:t>
      </w:r>
      <w:r w:rsidRPr="00E845D9">
        <w:t xml:space="preserve">NORC’s AmeriSpeak survey software system supports an integrated sample management and data collection platform. </w:t>
      </w:r>
      <w:r w:rsidRPr="00B35BCE">
        <w:t xml:space="preserve">Using an existing panel </w:t>
      </w:r>
      <w:r>
        <w:t>also reduces burden,</w:t>
      </w:r>
      <w:r w:rsidRPr="00B35BCE">
        <w:t xml:space="preserve"> as respondents have already been recruited by NORC, are deemed likely to meet study inclusion criteria based on administrative records and have already agreed to participate in web-based surveys.</w:t>
      </w:r>
    </w:p>
    <w:p w:rsidRPr="00E845D9" w:rsidR="006655D2" w:rsidP="00AB3C49" w:rsidRDefault="006655D2" w14:paraId="6B1A7DAB" w14:textId="77777777">
      <w:pPr>
        <w:pStyle w:val="Paragraph"/>
      </w:pPr>
      <w:r w:rsidRPr="00E845D9">
        <w:t>The NORC AmeriSpeak survey software system also provides opportunities to participate in a web</w:t>
      </w:r>
      <w:r>
        <w:t xml:space="preserve"> </w:t>
      </w:r>
      <w:r w:rsidRPr="00E845D9">
        <w:t>mode using smartphones; for these panelists, the web-based system renders an optimized presentation of the questions. For all participants</w:t>
      </w:r>
      <w:r>
        <w:t>,</w:t>
      </w:r>
      <w:r w:rsidRPr="00E845D9">
        <w:t xml:space="preserve"> regardless of mode, the AmeriSpeak survey technology includes tailored skip patterns and text fills, which </w:t>
      </w:r>
      <w:r>
        <w:t>enable</w:t>
      </w:r>
      <w:r w:rsidRPr="00E845D9">
        <w:t>s respondents to move through the questions more easily and minimizes respondent</w:t>
      </w:r>
      <w:r>
        <w:t>s’</w:t>
      </w:r>
      <w:r w:rsidRPr="00E845D9">
        <w:t xml:space="preserve"> burden.</w:t>
      </w:r>
    </w:p>
    <w:p w:rsidRPr="00AB3C49" w:rsidR="006655D2" w:rsidP="004C0CB6" w:rsidRDefault="00853EF5" w14:paraId="7253EDF9" w14:textId="62363CB6">
      <w:pPr>
        <w:pStyle w:val="H2"/>
      </w:pPr>
      <w:bookmarkStart w:name="_Toc102388390" w:id="6"/>
      <w:r>
        <w:t>A.4</w:t>
      </w:r>
      <w:r w:rsidR="00AB3C49">
        <w:t>.</w:t>
      </w:r>
      <w:r w:rsidR="00AB3C49">
        <w:tab/>
      </w:r>
      <w:r w:rsidRPr="00AB3C49" w:rsidR="006655D2">
        <w:t>Efforts to identify duplication and use of similar information</w:t>
      </w:r>
      <w:bookmarkEnd w:id="6"/>
    </w:p>
    <w:p w:rsidR="006655D2" w:rsidP="00AB3C49" w:rsidRDefault="006655D2" w14:paraId="7E3FEBC3" w14:textId="77777777">
      <w:pPr>
        <w:pStyle w:val="ParagraphContinued"/>
      </w:pPr>
      <w:r>
        <w:t>This study is the first data collection opportunity that will collect data from currently or recently working benefit recipients about the risks of increasing earnings. It is an extension of earlier qualitative interviews (</w:t>
      </w:r>
      <w:r>
        <w:rPr>
          <w:rFonts w:cs="Calibri"/>
          <w:iCs/>
        </w:rPr>
        <w:t>Chien et al., 2021</w:t>
      </w:r>
      <w:r>
        <w:t>) that were instrumental in determining the design factors included in this study but were not designed to produce quantitative data about their relative influence on decision making. The research team is not aware of any similar studies conducted by other agencies or nongovernment entities. No other research has identified the information the research team will gather, thus necessitating the need for the current study.</w:t>
      </w:r>
    </w:p>
    <w:p w:rsidRPr="00AB3C49" w:rsidR="006655D2" w:rsidP="004C0CB6" w:rsidRDefault="00853EF5" w14:paraId="641C4938" w14:textId="5BF47CFF">
      <w:pPr>
        <w:pStyle w:val="H2"/>
      </w:pPr>
      <w:bookmarkStart w:name="_Toc102388391" w:id="7"/>
      <w:r>
        <w:t>A.5</w:t>
      </w:r>
      <w:r w:rsidR="00AB3C49">
        <w:t>.</w:t>
      </w:r>
      <w:r w:rsidR="00AB3C49">
        <w:tab/>
      </w:r>
      <w:r w:rsidRPr="00AB3C49" w:rsidR="006655D2">
        <w:t>Impact on small businesses or other small entities</w:t>
      </w:r>
      <w:bookmarkEnd w:id="7"/>
    </w:p>
    <w:p w:rsidRPr="000667FD" w:rsidR="006655D2" w:rsidP="00AB3C49" w:rsidRDefault="006655D2" w14:paraId="112179D0" w14:textId="77777777">
      <w:pPr>
        <w:pStyle w:val="ParagraphContinued"/>
      </w:pPr>
      <w:r>
        <w:t>T</w:t>
      </w:r>
      <w:r w:rsidRPr="000667FD">
        <w:t xml:space="preserve">his data collection </w:t>
      </w:r>
      <w:r>
        <w:t>will not affect or involve any</w:t>
      </w:r>
      <w:r w:rsidRPr="000667FD">
        <w:t xml:space="preserve"> small businesses.</w:t>
      </w:r>
    </w:p>
    <w:p w:rsidRPr="000667FD" w:rsidR="006655D2" w:rsidP="004C0CB6" w:rsidRDefault="00853EF5" w14:paraId="4C4ACECB" w14:textId="4D6C3128">
      <w:pPr>
        <w:pStyle w:val="H2"/>
      </w:pPr>
      <w:bookmarkStart w:name="_Toc102388392" w:id="8"/>
      <w:r>
        <w:t>A.6</w:t>
      </w:r>
      <w:r w:rsidR="00AB3C49">
        <w:t>.</w:t>
      </w:r>
      <w:r w:rsidR="00AB3C49">
        <w:tab/>
      </w:r>
      <w:r w:rsidRPr="000667FD" w:rsidR="006655D2">
        <w:t xml:space="preserve">Consequences of </w:t>
      </w:r>
      <w:r w:rsidR="006655D2">
        <w:t>c</w:t>
      </w:r>
      <w:r w:rsidRPr="000667FD" w:rsidR="006655D2">
        <w:t xml:space="preserve">ollecting the </w:t>
      </w:r>
      <w:r w:rsidR="006655D2">
        <w:t>i</w:t>
      </w:r>
      <w:r w:rsidRPr="000667FD" w:rsidR="006655D2">
        <w:t xml:space="preserve">nformation </w:t>
      </w:r>
      <w:r w:rsidR="006655D2">
        <w:t>l</w:t>
      </w:r>
      <w:r w:rsidRPr="000667FD" w:rsidR="006655D2">
        <w:t xml:space="preserve">ess </w:t>
      </w:r>
      <w:r w:rsidR="006655D2">
        <w:t>f</w:t>
      </w:r>
      <w:r w:rsidRPr="000667FD" w:rsidR="006655D2">
        <w:t>requently</w:t>
      </w:r>
      <w:bookmarkEnd w:id="8"/>
    </w:p>
    <w:p w:rsidRPr="000667FD" w:rsidR="006655D2" w:rsidP="00AB3C49" w:rsidRDefault="006655D2" w14:paraId="39557661" w14:textId="77777777">
      <w:pPr>
        <w:pStyle w:val="ParagraphContinued"/>
      </w:pPr>
      <w:r w:rsidRPr="000667FD">
        <w:t>This request is for</w:t>
      </w:r>
      <w:r>
        <w:t xml:space="preserve"> a</w:t>
      </w:r>
      <w:r w:rsidRPr="000667FD">
        <w:t xml:space="preserve"> one-time data collection. These data have not previously been collected elsewhere.</w:t>
      </w:r>
    </w:p>
    <w:p w:rsidRPr="00AB3C49" w:rsidR="006655D2" w:rsidP="004C0CB6" w:rsidRDefault="00853EF5" w14:paraId="1EAB41AE" w14:textId="0E5D91F3">
      <w:pPr>
        <w:pStyle w:val="H2"/>
      </w:pPr>
      <w:bookmarkStart w:name="_Toc102388393" w:id="9"/>
      <w:r>
        <w:t>A.7</w:t>
      </w:r>
      <w:r w:rsidR="00AB3C49">
        <w:t>.</w:t>
      </w:r>
      <w:r w:rsidR="004C0CB6">
        <w:tab/>
      </w:r>
      <w:r w:rsidRPr="00AB3C49" w:rsidR="006655D2">
        <w:t>Special circumstances relating to the guidelines of 5 CFR 1320.5</w:t>
      </w:r>
      <w:bookmarkEnd w:id="9"/>
    </w:p>
    <w:p w:rsidRPr="000667FD" w:rsidR="006655D2" w:rsidP="00AB3C49" w:rsidRDefault="006655D2" w14:paraId="3D75B8B4" w14:textId="77777777">
      <w:pPr>
        <w:pStyle w:val="ParagraphContinued"/>
      </w:pPr>
      <w:r w:rsidRPr="000667FD">
        <w:t>There are no special circumstances with this information collection package. This request fully complies with the regulation 5 CFR 1320.5 and will be voluntary.</w:t>
      </w:r>
    </w:p>
    <w:p w:rsidRPr="00AB3C49" w:rsidR="006655D2" w:rsidP="004C0CB6" w:rsidRDefault="00853EF5" w14:paraId="683BA29C" w14:textId="30901162">
      <w:pPr>
        <w:pStyle w:val="H2"/>
      </w:pPr>
      <w:bookmarkStart w:name="_Toc102388394" w:id="10"/>
      <w:r>
        <w:lastRenderedPageBreak/>
        <w:t>A.8.</w:t>
      </w:r>
      <w:r w:rsidR="00AB3C49">
        <w:tab/>
      </w:r>
      <w:r w:rsidRPr="00AB3C49" w:rsidR="006655D2">
        <w:t>Comments in response to the Federal Register Notice and efforts to consult outside the agency</w:t>
      </w:r>
      <w:bookmarkEnd w:id="10"/>
    </w:p>
    <w:p w:rsidRPr="00E812B3" w:rsidR="006655D2" w:rsidP="00175853" w:rsidRDefault="006655D2" w14:paraId="52DA36FA" w14:textId="370C456D">
      <w:pPr>
        <w:pStyle w:val="H3"/>
        <w:numPr>
          <w:ilvl w:val="0"/>
          <w:numId w:val="30"/>
        </w:numPr>
      </w:pPr>
      <w:r w:rsidRPr="00E812B3">
        <w:t xml:space="preserve">Federal register announcement </w:t>
      </w:r>
    </w:p>
    <w:p w:rsidR="006655D2" w:rsidP="00AB3C49" w:rsidRDefault="006655D2" w14:paraId="6776A46F" w14:textId="54D529A7">
      <w:pPr>
        <w:pStyle w:val="ParagraphContinued"/>
      </w:pPr>
      <w:r>
        <w:t xml:space="preserve">A 60-day </w:t>
      </w:r>
      <w:r w:rsidRPr="000D4230">
        <w:rPr>
          <w:i/>
        </w:rPr>
        <w:t>Federal Register</w:t>
      </w:r>
      <w:r>
        <w:t xml:space="preserve"> Notice for the </w:t>
      </w:r>
      <w:r w:rsidRPr="000D4230">
        <w:t>Understanding Economic Risk for Low</w:t>
      </w:r>
      <w:r>
        <w:t>-</w:t>
      </w:r>
      <w:r w:rsidRPr="000D4230">
        <w:t xml:space="preserve">Income Families: Economic Security, Program Benefits, and Decisions </w:t>
      </w:r>
      <w:r>
        <w:t>A</w:t>
      </w:r>
      <w:r w:rsidRPr="000D4230">
        <w:t>bout Work</w:t>
      </w:r>
      <w:r w:rsidRPr="00F43A92">
        <w:rPr>
          <w:i/>
        </w:rPr>
        <w:t xml:space="preserve"> </w:t>
      </w:r>
      <w:r>
        <w:t xml:space="preserve">project was published in the </w:t>
      </w:r>
      <w:r w:rsidRPr="002D71D0">
        <w:rPr>
          <w:i/>
        </w:rPr>
        <w:t>Federal</w:t>
      </w:r>
      <w:r>
        <w:t xml:space="preserve"> Register on January 4, 2022, vol. 87 no. 2</w:t>
      </w:r>
      <w:r w:rsidRPr="009F63FD">
        <w:t>, p. 230.</w:t>
      </w:r>
      <w:r>
        <w:t xml:space="preserve"> (Attachment A-</w:t>
      </w:r>
      <w:r w:rsidR="00C81975">
        <w:t>2</w:t>
      </w:r>
      <w:r>
        <w:t>). ASPE</w:t>
      </w:r>
      <w:r w:rsidRPr="00742BC7">
        <w:t xml:space="preserve"> received </w:t>
      </w:r>
      <w:r>
        <w:t>one public comment requesting a copy of the instrument (Attachment A-</w:t>
      </w:r>
      <w:r w:rsidR="00C81975">
        <w:t>3</w:t>
      </w:r>
      <w:r>
        <w:t>).</w:t>
      </w:r>
    </w:p>
    <w:p w:rsidRPr="00E812B3" w:rsidR="006655D2" w:rsidP="00175853" w:rsidRDefault="006655D2" w14:paraId="0582C064" w14:textId="242EA1E8">
      <w:pPr>
        <w:pStyle w:val="H3"/>
        <w:numPr>
          <w:ilvl w:val="0"/>
          <w:numId w:val="30"/>
        </w:numPr>
      </w:pPr>
      <w:r w:rsidRPr="00E812B3">
        <w:t>Consultations outside the agency</w:t>
      </w:r>
    </w:p>
    <w:p w:rsidR="006655D2" w:rsidP="00AB3C49" w:rsidRDefault="006655D2" w14:paraId="2921C017" w14:textId="77777777">
      <w:pPr>
        <w:pStyle w:val="ParagraphContinued"/>
      </w:pPr>
      <w:r>
        <w:t>ASPE</w:t>
      </w:r>
      <w:r w:rsidRPr="00D232B3">
        <w:t xml:space="preserve"> engaged </w:t>
      </w:r>
      <w:r>
        <w:t xml:space="preserve">Mathematica and </w:t>
      </w:r>
      <w:r w:rsidRPr="00D232B3">
        <w:t xml:space="preserve">NORC to assist in </w:t>
      </w:r>
      <w:r>
        <w:t xml:space="preserve">developing the questionnaire, study instrument, and screeners. </w:t>
      </w:r>
      <w:r w:rsidRPr="00D232B3">
        <w:t xml:space="preserve">NORC is experienced in managing and conducting </w:t>
      </w:r>
      <w:r>
        <w:t>projects of this nature and provides</w:t>
      </w:r>
      <w:r w:rsidRPr="00D232B3">
        <w:t xml:space="preserve"> expertise on issues </w:t>
      </w:r>
      <w:r>
        <w:t>such as</w:t>
      </w:r>
      <w:r w:rsidRPr="00D232B3">
        <w:t xml:space="preserve"> the availability of data, frequency of collection, clarity of instructions, record keeping, data privacy, disclosure of data, reporting format, and necessary data elements.</w:t>
      </w:r>
    </w:p>
    <w:p w:rsidRPr="00EC0ED7" w:rsidR="006655D2" w:rsidP="00175853" w:rsidRDefault="006655D2" w14:paraId="4FF81DD0" w14:textId="0BDBF55C">
      <w:pPr>
        <w:pStyle w:val="H3"/>
        <w:numPr>
          <w:ilvl w:val="0"/>
          <w:numId w:val="30"/>
        </w:numPr>
      </w:pPr>
      <w:r w:rsidRPr="00EC0ED7">
        <w:t>Unresolved issues</w:t>
      </w:r>
    </w:p>
    <w:p w:rsidRPr="00092670" w:rsidR="006655D2" w:rsidP="006655D2" w:rsidRDefault="006655D2" w14:paraId="7C9C8B53" w14:textId="77777777">
      <w:pPr>
        <w:pStyle w:val="ParagraphContinued"/>
      </w:pPr>
      <w:r w:rsidRPr="00E812B3">
        <w:t>There are no unresolved issues</w:t>
      </w:r>
      <w:r>
        <w:t>.</w:t>
      </w:r>
    </w:p>
    <w:p w:rsidRPr="00AB3C49" w:rsidR="006655D2" w:rsidP="004C0CB6" w:rsidRDefault="00853EF5" w14:paraId="1C99FC65" w14:textId="6DCDCF64">
      <w:pPr>
        <w:pStyle w:val="H2"/>
      </w:pPr>
      <w:bookmarkStart w:name="_Toc102388395" w:id="11"/>
      <w:r>
        <w:t>A.9</w:t>
      </w:r>
      <w:r w:rsidR="00AB3C49">
        <w:t>.</w:t>
      </w:r>
      <w:r>
        <w:t xml:space="preserve"> </w:t>
      </w:r>
      <w:r w:rsidR="00AB3C49">
        <w:tab/>
      </w:r>
      <w:r w:rsidRPr="00AB3C49" w:rsidR="006655D2">
        <w:t>Explanation of any payment or gift to respondents</w:t>
      </w:r>
      <w:bookmarkEnd w:id="11"/>
    </w:p>
    <w:p w:rsidRPr="005B5F29" w:rsidR="006655D2" w:rsidP="00AB3C49" w:rsidRDefault="006655D2" w14:paraId="402B832B" w14:textId="33DF3FD4">
      <w:pPr>
        <w:pStyle w:val="ParagraphContinued"/>
      </w:pPr>
      <w:r w:rsidRPr="001F1758">
        <w:t>Participants have voluntarily registered with the AmeriSpeak panel</w:t>
      </w:r>
      <w:r>
        <w:t>. As part of</w:t>
      </w:r>
      <w:r w:rsidRPr="001F1758">
        <w:t xml:space="preserve"> the AmeriSpeak model</w:t>
      </w:r>
      <w:r>
        <w:t xml:space="preserve"> </w:t>
      </w:r>
      <w:r w:rsidRPr="001F1758">
        <w:t>they will be offered survey choice “points” to redeem for rewards</w:t>
      </w:r>
      <w:r>
        <w:t xml:space="preserve">. This is common practice for </w:t>
      </w:r>
      <w:r w:rsidRPr="001F1758">
        <w:t>survey panel respondents who complete online surveys</w:t>
      </w:r>
      <w:r>
        <w:t xml:space="preserve">. </w:t>
      </w:r>
      <w:r w:rsidRPr="001F1758">
        <w:t xml:space="preserve">The points are delivered via the online panel provider to respondents who complete the survey. </w:t>
      </w:r>
      <w:r>
        <w:t>T</w:t>
      </w:r>
      <w:r w:rsidRPr="005B5F29">
        <w:t>his particular study</w:t>
      </w:r>
      <w:r>
        <w:t xml:space="preserve"> will award</w:t>
      </w:r>
      <w:r w:rsidRPr="005B5F29">
        <w:t xml:space="preserve"> points worth $</w:t>
      </w:r>
      <w:r>
        <w:t xml:space="preserve">5 </w:t>
      </w:r>
      <w:r w:rsidRPr="005B5F29">
        <w:t xml:space="preserve">to panelists </w:t>
      </w:r>
      <w:r>
        <w:t>who</w:t>
      </w:r>
      <w:r w:rsidRPr="005B5F29">
        <w:t xml:space="preserve"> complet</w:t>
      </w:r>
      <w:r>
        <w:t>e</w:t>
      </w:r>
      <w:r w:rsidRPr="005B5F29">
        <w:t xml:space="preserve"> the survey.</w:t>
      </w:r>
      <w:r>
        <w:t xml:space="preserve"> Participants recruited through nonprobability sample vendors </w:t>
      </w:r>
      <w:r w:rsidRPr="001C7FC5" w:rsidR="001C7FC5">
        <w:t>(see Section B.1.c of Supporting Statement B for</w:t>
      </w:r>
      <w:r w:rsidR="00D33028">
        <w:t xml:space="preserve"> </w:t>
      </w:r>
      <w:r w:rsidRPr="001C7FC5" w:rsidR="001C7FC5">
        <w:t xml:space="preserve">detail on </w:t>
      </w:r>
      <w:r w:rsidR="00D33028">
        <w:t xml:space="preserve">nonprobability </w:t>
      </w:r>
      <w:r w:rsidRPr="001C7FC5" w:rsidR="001C7FC5">
        <w:t>sampl</w:t>
      </w:r>
      <w:r w:rsidR="00D33028">
        <w:t>ing</w:t>
      </w:r>
      <w:r w:rsidRPr="001C7FC5" w:rsidR="001C7FC5">
        <w:t xml:space="preserve">) </w:t>
      </w:r>
      <w:r>
        <w:t xml:space="preserve">will be offered payments or gifts by that sample vendor. These points or gifts are unlikely to exceed the value of points offered to AmeriSpeak panelists. </w:t>
      </w:r>
    </w:p>
    <w:p w:rsidRPr="00AB3C49" w:rsidR="006655D2" w:rsidP="004C0CB6" w:rsidRDefault="00853EF5" w14:paraId="0ECD0767" w14:textId="15897029">
      <w:pPr>
        <w:pStyle w:val="H2"/>
      </w:pPr>
      <w:bookmarkStart w:name="_Toc102388396" w:id="12"/>
      <w:r>
        <w:t>A.10</w:t>
      </w:r>
      <w:r w:rsidR="00AB3C49">
        <w:t>.</w:t>
      </w:r>
      <w:r w:rsidR="00AB3C49">
        <w:tab/>
      </w:r>
      <w:r w:rsidRPr="00AB3C49" w:rsidR="006655D2">
        <w:t>Assurance of confidentiality provided to respondents</w:t>
      </w:r>
      <w:bookmarkEnd w:id="12"/>
    </w:p>
    <w:p w:rsidR="006655D2" w:rsidP="00853EF5" w:rsidRDefault="006655D2" w14:paraId="581D35EA" w14:textId="77777777">
      <w:pPr>
        <w:pStyle w:val="H3"/>
        <w:numPr>
          <w:ilvl w:val="0"/>
          <w:numId w:val="29"/>
        </w:numPr>
      </w:pPr>
      <w:r>
        <w:t>Personally identifiable information</w:t>
      </w:r>
    </w:p>
    <w:p w:rsidR="006655D2" w:rsidP="00ED1336" w:rsidRDefault="006655D2" w14:paraId="73AA2DA4" w14:textId="77777777">
      <w:pPr>
        <w:pStyle w:val="ParagraphContinued"/>
      </w:pPr>
      <w:r>
        <w:t xml:space="preserve">ASPE will not maintain </w:t>
      </w:r>
      <w:r w:rsidRPr="00B16CE0">
        <w:t xml:space="preserve">Information in a paper or electronic system from which </w:t>
      </w:r>
      <w:r>
        <w:t xml:space="preserve">it actually or directly retrieved </w:t>
      </w:r>
      <w:r w:rsidRPr="00B16CE0">
        <w:t>data by an individuals’ personal identifier.</w:t>
      </w:r>
      <w:r>
        <w:t xml:space="preserve"> </w:t>
      </w:r>
      <w:r w:rsidRPr="005C00FD">
        <w:t xml:space="preserve">During recruitment </w:t>
      </w:r>
      <w:r>
        <w:t>for</w:t>
      </w:r>
      <w:r w:rsidRPr="005C00FD">
        <w:t xml:space="preserve"> the </w:t>
      </w:r>
      <w:r>
        <w:t xml:space="preserve">AmeriSpeak </w:t>
      </w:r>
      <w:r w:rsidRPr="005C00FD">
        <w:t>research panel (</w:t>
      </w:r>
      <w:r w:rsidRPr="00BD6B46">
        <w:t>unrelated to this study</w:t>
      </w:r>
      <w:r>
        <w:t>), NORC</w:t>
      </w:r>
      <w:r w:rsidRPr="005C00FD">
        <w:t xml:space="preserve"> collects individual respondent’s </w:t>
      </w:r>
      <w:r>
        <w:t>personally identifiable information (</w:t>
      </w:r>
      <w:r w:rsidRPr="005C00FD">
        <w:t>PII</w:t>
      </w:r>
      <w:r>
        <w:t>)</w:t>
      </w:r>
      <w:r w:rsidRPr="005C00FD">
        <w:t xml:space="preserve"> (</w:t>
      </w:r>
      <w:r>
        <w:t>for example</w:t>
      </w:r>
      <w:r w:rsidRPr="005C00FD">
        <w:t xml:space="preserve">, name, address, email address, and the names and ages of household members) </w:t>
      </w:r>
      <w:r w:rsidRPr="00A70CCD">
        <w:rPr>
          <w:i/>
          <w:iCs/>
        </w:rPr>
        <w:t>solely</w:t>
      </w:r>
      <w:r w:rsidRPr="005C00FD">
        <w:t xml:space="preserve"> for </w:t>
      </w:r>
      <w:r w:rsidRPr="00867624">
        <w:t>purposes of conducting its research business, which include</w:t>
      </w:r>
      <w:r>
        <w:t>s</w:t>
      </w:r>
      <w:r w:rsidRPr="00867624">
        <w:t xml:space="preserve"> prequalifying mem</w:t>
      </w:r>
      <w:r>
        <w:t xml:space="preserve">bers or households for surveys and </w:t>
      </w:r>
      <w:r w:rsidRPr="00867624">
        <w:t xml:space="preserve">communicating with panel members. </w:t>
      </w:r>
      <w:r>
        <w:t>After selecting</w:t>
      </w:r>
      <w:r w:rsidRPr="00867624">
        <w:t xml:space="preserve"> </w:t>
      </w:r>
      <w:r>
        <w:t>panel members</w:t>
      </w:r>
      <w:r w:rsidRPr="00867624">
        <w:t xml:space="preserve">, </w:t>
      </w:r>
      <w:r>
        <w:t>NORC</w:t>
      </w:r>
      <w:r w:rsidRPr="00867624">
        <w:t xml:space="preserve"> uses periodic surveys to collect a range of demographic, social, health, attitudinal, and other information about panel members and their households.</w:t>
      </w:r>
    </w:p>
    <w:p w:rsidRPr="00ED1336" w:rsidR="006655D2" w:rsidP="00853EF5" w:rsidRDefault="006655D2" w14:paraId="62A5F266" w14:textId="77777777">
      <w:pPr>
        <w:pStyle w:val="H3"/>
        <w:numPr>
          <w:ilvl w:val="0"/>
          <w:numId w:val="29"/>
        </w:numPr>
      </w:pPr>
      <w:r w:rsidRPr="00ED1336">
        <w:t>Assurances of privacy</w:t>
      </w:r>
    </w:p>
    <w:p w:rsidRPr="00717311" w:rsidR="006655D2" w:rsidP="00ED1336" w:rsidRDefault="006655D2" w14:paraId="13511CC8" w14:textId="77777777">
      <w:pPr>
        <w:pStyle w:val="ParagraphContinued"/>
      </w:pPr>
      <w:r>
        <w:t>ASPE and all contractors collecting and analyzing data on behalf of ASPE will keep i</w:t>
      </w:r>
      <w:r w:rsidRPr="00717311">
        <w:t xml:space="preserve">nformation provided during this data collection private to the extent permitted by law. </w:t>
      </w:r>
      <w:r>
        <w:t xml:space="preserve">During the informed consent process, </w:t>
      </w:r>
      <w:r>
        <w:lastRenderedPageBreak/>
        <w:t>NORC will inform r</w:t>
      </w:r>
      <w:r w:rsidRPr="00717311">
        <w:t>espondents of all planned uses of data</w:t>
      </w:r>
      <w:r>
        <w:t>,</w:t>
      </w:r>
      <w:r w:rsidRPr="00717311">
        <w:t xml:space="preserve"> that their participation is voluntary</w:t>
      </w:r>
      <w:r>
        <w:t>,</w:t>
      </w:r>
      <w:r w:rsidRPr="00717311">
        <w:t xml:space="preserve"> and that their information will </w:t>
      </w:r>
      <w:r>
        <w:t>remain</w:t>
      </w:r>
      <w:r w:rsidRPr="00717311">
        <w:t xml:space="preserve"> private to the extent permitted by law</w:t>
      </w:r>
      <w:r>
        <w:t xml:space="preserve"> (see Section A11 for institutional review board [IRB] details)</w:t>
      </w:r>
      <w:r w:rsidRPr="00717311">
        <w:t xml:space="preserve">. As specified in the contract, the </w:t>
      </w:r>
      <w:r>
        <w:t>c</w:t>
      </w:r>
      <w:r w:rsidRPr="00717311">
        <w:t xml:space="preserve">ontractor will comply with all </w:t>
      </w:r>
      <w:r>
        <w:t>f</w:t>
      </w:r>
      <w:r w:rsidRPr="00717311">
        <w:t xml:space="preserve">ederal and </w:t>
      </w:r>
      <w:r>
        <w:t>d</w:t>
      </w:r>
      <w:r w:rsidRPr="00717311">
        <w:t>epartmental regulations for private information.</w:t>
      </w:r>
    </w:p>
    <w:p w:rsidRPr="007A4ED7" w:rsidR="006655D2" w:rsidP="006655D2" w:rsidRDefault="006655D2" w14:paraId="29C9E373" w14:textId="77777777">
      <w:pPr>
        <w:pStyle w:val="Paragraph"/>
      </w:pPr>
      <w:r>
        <w:t>E</w:t>
      </w:r>
      <w:r w:rsidRPr="007A4ED7">
        <w:t xml:space="preserve">very AmeriSpeak panelist is provided a </w:t>
      </w:r>
      <w:r>
        <w:t>p</w:t>
      </w:r>
      <w:r w:rsidRPr="007A4ED7">
        <w:t xml:space="preserve">rivacy </w:t>
      </w:r>
      <w:r>
        <w:t>s</w:t>
      </w:r>
      <w:r w:rsidRPr="007A4ED7">
        <w:t xml:space="preserve">tatement </w:t>
      </w:r>
      <w:r>
        <w:t>that</w:t>
      </w:r>
      <w:r w:rsidRPr="007A4ED7">
        <w:t xml:space="preserve"> outlines the information </w:t>
      </w:r>
      <w:r>
        <w:t>AmeriSpeak</w:t>
      </w:r>
      <w:r w:rsidRPr="007A4ED7">
        <w:t xml:space="preserve"> will collect and how </w:t>
      </w:r>
      <w:r>
        <w:t xml:space="preserve">it will use </w:t>
      </w:r>
      <w:r w:rsidRPr="007A4ED7">
        <w:t xml:space="preserve">the information. </w:t>
      </w:r>
      <w:r w:rsidRPr="0067585B">
        <w:t xml:space="preserve">Because </w:t>
      </w:r>
      <w:r>
        <w:t xml:space="preserve">the survey will ask </w:t>
      </w:r>
      <w:r w:rsidRPr="0067585B">
        <w:t>each panel member to provide key demographic data</w:t>
      </w:r>
      <w:r>
        <w:rPr>
          <w:rFonts w:cstheme="minorHAnsi"/>
        </w:rPr>
        <w:t>—</w:t>
      </w:r>
      <w:r w:rsidRPr="0067585B">
        <w:t>such as age, gender, race</w:t>
      </w:r>
      <w:r>
        <w:t xml:space="preserve"> and </w:t>
      </w:r>
      <w:r w:rsidRPr="0067585B">
        <w:t>ethnicity, state of residence, household income, and more</w:t>
      </w:r>
      <w:r>
        <w:rPr>
          <w:rFonts w:cstheme="minorHAnsi"/>
        </w:rPr>
        <w:t>—</w:t>
      </w:r>
      <w:r w:rsidRPr="0067585B">
        <w:t xml:space="preserve">the </w:t>
      </w:r>
      <w:r>
        <w:t>p</w:t>
      </w:r>
      <w:r w:rsidRPr="0067585B">
        <w:t xml:space="preserve">rivacy </w:t>
      </w:r>
      <w:r>
        <w:t>s</w:t>
      </w:r>
      <w:r w:rsidRPr="0067585B">
        <w:t xml:space="preserve">tatement also tells panel members how they can verify the accuracy of their PII and how they can request that </w:t>
      </w:r>
      <w:r>
        <w:t xml:space="preserve">AmeriSpeak delete or update </w:t>
      </w:r>
      <w:r w:rsidRPr="0067585B">
        <w:t xml:space="preserve">the information. </w:t>
      </w:r>
      <w:r w:rsidRPr="007A4ED7">
        <w:t xml:space="preserve">The AmeriSpeak </w:t>
      </w:r>
      <w:r>
        <w:t>p</w:t>
      </w:r>
      <w:r w:rsidRPr="007A4ED7">
        <w:t xml:space="preserve">rivacy </w:t>
      </w:r>
      <w:r>
        <w:t>s</w:t>
      </w:r>
      <w:r w:rsidRPr="007A4ED7">
        <w:t>tatement includes the following:</w:t>
      </w:r>
    </w:p>
    <w:p w:rsidRPr="00ED1336" w:rsidR="006655D2" w:rsidP="00ED1336" w:rsidRDefault="006655D2" w14:paraId="41276E7F" w14:textId="77777777">
      <w:pPr>
        <w:pStyle w:val="ListBullet"/>
      </w:pPr>
      <w:r w:rsidRPr="00ED1336">
        <w:t>A promise to treat all AmeriSpeak panelists and their information with respect.</w:t>
      </w:r>
    </w:p>
    <w:p w:rsidRPr="00ED1336" w:rsidR="006655D2" w:rsidP="00ED1336" w:rsidRDefault="006655D2" w14:paraId="20C6CF10" w14:textId="77777777">
      <w:pPr>
        <w:pStyle w:val="ListBullet"/>
      </w:pPr>
      <w:r w:rsidRPr="00ED1336">
        <w:t>The assurance that participation in any AmeriSpeak study is completely voluntary and panel members may choose not to answer any questions they do not wish to answer. Furthermore, panel members may withdraw their participation in AmeriSpeak at any time.</w:t>
      </w:r>
    </w:p>
    <w:p w:rsidRPr="00ED1336" w:rsidR="006655D2" w:rsidP="00ED1336" w:rsidRDefault="006655D2" w14:paraId="060252E3" w14:textId="77777777">
      <w:pPr>
        <w:pStyle w:val="ListBullet"/>
      </w:pPr>
      <w:r w:rsidRPr="00ED1336">
        <w:t>Ameri Speak will not share the PII with any clients unless panel members have given explicit permission to do so. AmeriSpeak will share only survey responses with clients.</w:t>
      </w:r>
    </w:p>
    <w:p w:rsidRPr="00ED1336" w:rsidR="006655D2" w:rsidP="00ED1336" w:rsidRDefault="006655D2" w14:paraId="2232792D" w14:textId="77777777">
      <w:pPr>
        <w:pStyle w:val="ListBullet"/>
      </w:pPr>
      <w:r w:rsidRPr="00ED1336">
        <w:t>AmeriSpeak has established security measures to protect the security and confidentiality of its panel members.</w:t>
      </w:r>
    </w:p>
    <w:p w:rsidRPr="00ED1336" w:rsidR="006655D2" w:rsidP="00ED1336" w:rsidRDefault="006655D2" w14:paraId="055F7B5C" w14:textId="77777777">
      <w:pPr>
        <w:pStyle w:val="ListBullet"/>
      </w:pPr>
      <w:r w:rsidRPr="00ED1336">
        <w:t>Panel members control their personal information and have the right to view their personal information or ask AmeriSpeak to delete it.</w:t>
      </w:r>
    </w:p>
    <w:p w:rsidRPr="004C0CB6" w:rsidR="006655D2" w:rsidP="004C0CB6" w:rsidRDefault="00853EF5" w14:paraId="3B0C1AE4" w14:textId="1821FAAC">
      <w:pPr>
        <w:pStyle w:val="H2"/>
      </w:pPr>
      <w:bookmarkStart w:name="_Toc102388397" w:id="13"/>
      <w:r w:rsidRPr="004C0CB6">
        <w:t>A.11</w:t>
      </w:r>
      <w:r w:rsidRPr="004C0CB6" w:rsidR="00ED1336">
        <w:t>.</w:t>
      </w:r>
      <w:r w:rsidRPr="004C0CB6" w:rsidR="00ED1336">
        <w:tab/>
      </w:r>
      <w:r w:rsidRPr="004C0CB6" w:rsidR="006655D2">
        <w:t>Justification for sensitive questions</w:t>
      </w:r>
      <w:bookmarkEnd w:id="13"/>
    </w:p>
    <w:p w:rsidR="006655D2" w:rsidP="00ED1336" w:rsidRDefault="006655D2" w14:paraId="24F5ED48" w14:textId="77777777">
      <w:pPr>
        <w:pStyle w:val="ParagraphContinued"/>
      </w:pPr>
      <w:r>
        <w:t>The survey will ask participants to provide information regarding their household income and health status, which some participants could perceive as sensitive. This effort will ask no other sensitive questions.</w:t>
      </w:r>
    </w:p>
    <w:p w:rsidR="006655D2" w:rsidP="00ED1336" w:rsidRDefault="006655D2" w14:paraId="5A0EB6B5" w14:textId="77777777">
      <w:pPr>
        <w:pStyle w:val="Paragraph"/>
        <w:rPr>
          <w:rFonts w:cstheme="minorHAnsi"/>
        </w:rPr>
      </w:pPr>
      <w:r>
        <w:rPr>
          <w:rFonts w:cstheme="minorHAnsi"/>
        </w:rPr>
        <w:t>Household income is necessary to ask about because this survey seeks to understand how people with low incomes familiar with federal benefit programs think about economic risk. The survey will screen out people with incomes above $40,000 because they are unlikely to be familiar with SNAP, Medicaid, and/or CCDF.</w:t>
      </w:r>
    </w:p>
    <w:p w:rsidR="006655D2" w:rsidP="00ED1336" w:rsidRDefault="006655D2" w14:paraId="46C5CEA5" w14:textId="77777777">
      <w:pPr>
        <w:pStyle w:val="Paragraph"/>
        <w:rPr>
          <w:rFonts w:cstheme="minorHAnsi"/>
        </w:rPr>
      </w:pPr>
      <w:r>
        <w:rPr>
          <w:rFonts w:cstheme="minorHAnsi"/>
        </w:rPr>
        <w:t>Health is necessary to ask about because people with poor health, or with family members in poor health, might be more sensitive to the risk of losing benefits, such as Medicaid.</w:t>
      </w:r>
    </w:p>
    <w:p w:rsidR="006655D2" w:rsidP="00ED1336" w:rsidRDefault="006655D2" w14:paraId="5852B76E" w14:textId="77777777">
      <w:pPr>
        <w:pStyle w:val="Paragraph"/>
        <w:rPr>
          <w:rFonts w:cstheme="minorHAnsi"/>
        </w:rPr>
      </w:pPr>
      <w:r>
        <w:rPr>
          <w:rFonts w:cstheme="minorHAnsi"/>
        </w:rPr>
        <w:t xml:space="preserve">This study’s human subjects’ protection protocols received IRB exemption from ongoing review in accordance with the requirements for the US Code of Federal Regulations for the Protection of Human Subjects, 45 CFR 46.104. </w:t>
      </w:r>
    </w:p>
    <w:p w:rsidRPr="00AB3C49" w:rsidR="006655D2" w:rsidP="004C0CB6" w:rsidRDefault="00175853" w14:paraId="4269FB0D" w14:textId="7470262D">
      <w:pPr>
        <w:pStyle w:val="H2"/>
      </w:pPr>
      <w:bookmarkStart w:name="_Toc102388398" w:id="14"/>
      <w:r>
        <w:t>A.12</w:t>
      </w:r>
      <w:r w:rsidR="00ED1336">
        <w:t>.</w:t>
      </w:r>
      <w:r w:rsidR="00ED1336">
        <w:tab/>
      </w:r>
      <w:r w:rsidRPr="00AB3C49" w:rsidR="006655D2">
        <w:t>Estimates of annualized burden hours and costs</w:t>
      </w:r>
      <w:bookmarkEnd w:id="14"/>
    </w:p>
    <w:p w:rsidRPr="000667FD" w:rsidR="006655D2" w:rsidP="00ED1336" w:rsidRDefault="006655D2" w14:paraId="48D4260E" w14:textId="31A894DF">
      <w:pPr>
        <w:pStyle w:val="ParagraphContinued"/>
        <w:rPr>
          <w:color w:val="000000"/>
        </w:rPr>
      </w:pPr>
      <w:r>
        <w:t>The research team</w:t>
      </w:r>
      <w:r w:rsidRPr="7975EFD9">
        <w:t xml:space="preserve"> estimate</w:t>
      </w:r>
      <w:r>
        <w:t>s</w:t>
      </w:r>
      <w:r w:rsidRPr="7975EFD9">
        <w:t xml:space="preserve"> each prospective participant will spend a total of </w:t>
      </w:r>
      <w:r w:rsidR="00031506">
        <w:t>15</w:t>
      </w:r>
      <w:r w:rsidRPr="7975EFD9">
        <w:t xml:space="preserve"> minutes participating in </w:t>
      </w:r>
      <w:r>
        <w:t>the survey</w:t>
      </w:r>
      <w:r w:rsidRPr="7975EFD9">
        <w:t xml:space="preserve">. </w:t>
      </w:r>
      <w:r>
        <w:t>Exhibit</w:t>
      </w:r>
      <w:r w:rsidRPr="7975EFD9">
        <w:t xml:space="preserve"> </w:t>
      </w:r>
      <w:r w:rsidR="00031506">
        <w:t>12.1</w:t>
      </w:r>
      <w:r w:rsidRPr="7975EFD9">
        <w:t xml:space="preserve"> shows estimated burden and cost information.</w:t>
      </w:r>
    </w:p>
    <w:p w:rsidR="006655D2" w:rsidP="00ED1336" w:rsidRDefault="006655D2" w14:paraId="51270A63" w14:textId="7383E767">
      <w:pPr>
        <w:pStyle w:val="ExhibitTitle"/>
      </w:pPr>
      <w:r>
        <w:lastRenderedPageBreak/>
        <w:t>Exhibit</w:t>
      </w:r>
      <w:r w:rsidRPr="000667FD">
        <w:t xml:space="preserve"> </w:t>
      </w:r>
      <w:r w:rsidR="00175853">
        <w:t>12.1</w:t>
      </w:r>
      <w:r>
        <w:t>.</w:t>
      </w:r>
      <w:r w:rsidRPr="000667FD">
        <w:t xml:space="preserve"> Estimated </w:t>
      </w:r>
      <w:r>
        <w:t>a</w:t>
      </w:r>
      <w:r w:rsidRPr="000667FD">
        <w:t xml:space="preserve">nnualized </w:t>
      </w:r>
      <w:r>
        <w:t>b</w:t>
      </w:r>
      <w:r w:rsidRPr="000667FD">
        <w:t xml:space="preserve">urden </w:t>
      </w:r>
      <w:r>
        <w:t>h</w:t>
      </w:r>
      <w:r w:rsidRPr="000667FD">
        <w:t xml:space="preserve">ours and </w:t>
      </w:r>
      <w:r>
        <w:t>c</w:t>
      </w:r>
      <w:r w:rsidRPr="000667FD">
        <w:t xml:space="preserve">osts to </w:t>
      </w:r>
      <w:r>
        <w:t>p</w:t>
      </w:r>
      <w:r w:rsidRPr="000667FD">
        <w:t>articipants</w:t>
      </w:r>
    </w:p>
    <w:tbl>
      <w:tblPr>
        <w:tblStyle w:val="MathUBaseTable"/>
        <w:tblW w:w="497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46"/>
        <w:gridCol w:w="1350"/>
        <w:gridCol w:w="1350"/>
        <w:gridCol w:w="1530"/>
        <w:gridCol w:w="1080"/>
        <w:gridCol w:w="1350"/>
        <w:gridCol w:w="1305"/>
      </w:tblGrid>
      <w:tr w:rsidRPr="000A343C" w:rsidR="000A343C" w:rsidTr="000A343C" w14:paraId="36D8DB7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34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rsidRPr="000A343C" w:rsidR="006655D2" w:rsidP="00ED1336" w:rsidRDefault="006655D2" w14:paraId="1350BA13" w14:textId="77777777">
            <w:pPr>
              <w:pStyle w:val="TableHeaderLeft"/>
              <w:rPr>
                <w:b w:val="0"/>
                <w:color w:val="auto"/>
              </w:rPr>
            </w:pPr>
            <w:r w:rsidRPr="000A343C">
              <w:rPr>
                <w:color w:val="auto"/>
              </w:rPr>
              <w:t>Category of respondent</w:t>
            </w:r>
          </w:p>
        </w:tc>
        <w:tc>
          <w:tcPr>
            <w:tcW w:w="135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rsidRPr="000A343C" w:rsidR="006655D2" w:rsidP="00ED1336" w:rsidRDefault="006655D2" w14:paraId="1AFF33A9" w14:textId="77777777">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No. of respondents</w:t>
            </w:r>
          </w:p>
        </w:tc>
        <w:tc>
          <w:tcPr>
            <w:tcW w:w="135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rsidRPr="000A343C" w:rsidR="006655D2" w:rsidP="00ED1336" w:rsidRDefault="006655D2" w14:paraId="4B6D9C2E" w14:textId="77777777">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Number of responses</w:t>
            </w:r>
          </w:p>
        </w:tc>
        <w:tc>
          <w:tcPr>
            <w:tcW w:w="15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rsidRPr="000A343C" w:rsidR="006655D2" w:rsidP="00ED1336" w:rsidRDefault="006655D2" w14:paraId="470D7CFB" w14:textId="77777777">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Participation time (minutes)</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rsidRPr="000A343C" w:rsidR="006655D2" w:rsidP="00ED1336" w:rsidRDefault="006655D2" w14:paraId="6B809514" w14:textId="77777777">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Burden hours</w:t>
            </w:r>
          </w:p>
        </w:tc>
        <w:tc>
          <w:tcPr>
            <w:tcW w:w="135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rsidRPr="000A343C" w:rsidR="006655D2" w:rsidP="00ED1336" w:rsidRDefault="006655D2" w14:paraId="3EE40FAF" w14:textId="77777777">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Average hourly wage</w:t>
            </w:r>
            <w:r w:rsidRPr="000A343C">
              <w:rPr>
                <w:color w:val="auto"/>
                <w:vertAlign w:val="superscript"/>
              </w:rPr>
              <w:t>a</w:t>
            </w:r>
          </w:p>
        </w:tc>
        <w:tc>
          <w:tcPr>
            <w:tcW w:w="130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rsidRPr="000A343C" w:rsidR="006655D2" w:rsidP="00ED1336" w:rsidRDefault="006655D2" w14:paraId="4E3A8A4F" w14:textId="4F287C0B">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 xml:space="preserve">Total </w:t>
            </w:r>
            <w:r w:rsidR="0023642D">
              <w:rPr>
                <w:color w:val="auto"/>
              </w:rPr>
              <w:t>respondent</w:t>
            </w:r>
            <w:r w:rsidRPr="000A343C">
              <w:rPr>
                <w:color w:val="auto"/>
              </w:rPr>
              <w:t xml:space="preserve"> cost</w:t>
            </w:r>
          </w:p>
        </w:tc>
      </w:tr>
      <w:tr w:rsidRPr="000A343C" w:rsidR="000A343C" w:rsidTr="009F63FD" w14:paraId="0DB89D68"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Borders>
              <w:bottom w:val="single" w:color="auto" w:sz="4" w:space="0"/>
              <w:right w:val="nil"/>
            </w:tcBorders>
            <w:shd w:val="clear" w:color="auto" w:fill="auto"/>
          </w:tcPr>
          <w:p w:rsidRPr="000A343C" w:rsidR="006655D2" w:rsidP="00ED1336" w:rsidRDefault="006655D2" w14:paraId="3867DA6A" w14:textId="77777777">
            <w:pPr>
              <w:pStyle w:val="TableTextLeft"/>
              <w:rPr>
                <w:color w:val="auto"/>
              </w:rPr>
            </w:pPr>
            <w:r w:rsidRPr="000A343C">
              <w:rPr>
                <w:color w:val="auto"/>
              </w:rPr>
              <w:t>Individuals</w:t>
            </w:r>
          </w:p>
        </w:tc>
        <w:tc>
          <w:tcPr>
            <w:tcW w:w="0" w:type="dxa"/>
            <w:tcBorders>
              <w:left w:val="nil"/>
              <w:bottom w:val="single" w:color="auto" w:sz="4" w:space="0"/>
              <w:right w:val="nil"/>
            </w:tcBorders>
            <w:shd w:val="clear" w:color="auto" w:fill="auto"/>
          </w:tcPr>
          <w:p w:rsidRPr="000A343C" w:rsidR="006655D2" w:rsidP="00ED1336" w:rsidRDefault="006655D2" w14:paraId="0332F638" w14:textId="77777777">
            <w:pPr>
              <w:pStyle w:val="TableTextLeft"/>
              <w:jc w:val="center"/>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2,000</w:t>
            </w:r>
          </w:p>
        </w:tc>
        <w:tc>
          <w:tcPr>
            <w:tcW w:w="0" w:type="dxa"/>
            <w:tcBorders>
              <w:left w:val="nil"/>
              <w:bottom w:val="single" w:color="auto" w:sz="4" w:space="0"/>
              <w:right w:val="nil"/>
            </w:tcBorders>
            <w:shd w:val="clear" w:color="auto" w:fill="auto"/>
          </w:tcPr>
          <w:p w:rsidRPr="000A343C" w:rsidR="006655D2" w:rsidP="00ED1336" w:rsidRDefault="006655D2" w14:paraId="551C706C" w14:textId="77777777">
            <w:pPr>
              <w:pStyle w:val="TableTextLeft"/>
              <w:jc w:val="center"/>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1</w:t>
            </w:r>
          </w:p>
        </w:tc>
        <w:tc>
          <w:tcPr>
            <w:tcW w:w="0" w:type="dxa"/>
            <w:tcBorders>
              <w:left w:val="nil"/>
              <w:bottom w:val="single" w:color="auto" w:sz="4" w:space="0"/>
              <w:right w:val="nil"/>
            </w:tcBorders>
            <w:shd w:val="clear" w:color="auto" w:fill="auto"/>
          </w:tcPr>
          <w:p w:rsidRPr="000A343C" w:rsidR="006655D2" w:rsidP="00ED1336" w:rsidRDefault="006655D2" w14:paraId="3F11D446" w14:textId="5E5C83F8">
            <w:pPr>
              <w:pStyle w:val="TableTextLeft"/>
              <w:jc w:val="center"/>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15</w:t>
            </w:r>
            <w:r w:rsidR="00041061">
              <w:rPr>
                <w:color w:val="auto"/>
              </w:rPr>
              <w:t>/60</w:t>
            </w:r>
          </w:p>
        </w:tc>
        <w:tc>
          <w:tcPr>
            <w:tcW w:w="0" w:type="dxa"/>
            <w:tcBorders>
              <w:left w:val="nil"/>
              <w:bottom w:val="single" w:color="auto" w:sz="4" w:space="0"/>
              <w:right w:val="nil"/>
            </w:tcBorders>
            <w:shd w:val="clear" w:color="auto" w:fill="auto"/>
          </w:tcPr>
          <w:p w:rsidRPr="000A343C" w:rsidR="006655D2" w:rsidP="00ED1336" w:rsidRDefault="006655D2" w14:paraId="2A0967A2" w14:textId="77777777">
            <w:pPr>
              <w:pStyle w:val="TableTextLeft"/>
              <w:jc w:val="center"/>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500</w:t>
            </w:r>
          </w:p>
        </w:tc>
        <w:tc>
          <w:tcPr>
            <w:tcW w:w="0" w:type="dxa"/>
            <w:tcBorders>
              <w:left w:val="nil"/>
              <w:bottom w:val="single" w:color="auto" w:sz="4" w:space="0"/>
              <w:right w:val="nil"/>
            </w:tcBorders>
            <w:shd w:val="clear" w:color="auto" w:fill="auto"/>
          </w:tcPr>
          <w:p w:rsidRPr="000A343C" w:rsidR="006655D2" w:rsidP="00ED1336" w:rsidRDefault="006655D2" w14:paraId="45D98266" w14:textId="77777777">
            <w:pPr>
              <w:pStyle w:val="TableTextLeft"/>
              <w:jc w:val="center"/>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$10.25</w:t>
            </w:r>
          </w:p>
        </w:tc>
        <w:tc>
          <w:tcPr>
            <w:tcW w:w="0" w:type="dxa"/>
            <w:tcBorders>
              <w:left w:val="nil"/>
              <w:bottom w:val="single" w:color="auto" w:sz="4" w:space="0"/>
            </w:tcBorders>
            <w:shd w:val="clear" w:color="auto" w:fill="auto"/>
          </w:tcPr>
          <w:p w:rsidRPr="000A343C" w:rsidR="006655D2" w:rsidP="00ED1336" w:rsidRDefault="006655D2" w14:paraId="446C6702" w14:textId="77777777">
            <w:pPr>
              <w:pStyle w:val="TableTextLeft"/>
              <w:jc w:val="center"/>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$5,125</w:t>
            </w:r>
          </w:p>
        </w:tc>
      </w:tr>
      <w:tr w:rsidRPr="000A343C" w:rsidR="000A343C" w:rsidTr="009F63FD" w14:paraId="4615BF94"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right w:val="nil"/>
            </w:tcBorders>
            <w:shd w:val="clear" w:color="auto" w:fill="auto"/>
          </w:tcPr>
          <w:p w:rsidRPr="009F63FD" w:rsidR="006655D2" w:rsidP="00ED1336" w:rsidRDefault="006655D2" w14:paraId="7E7B64E9" w14:textId="77777777">
            <w:pPr>
              <w:pStyle w:val="TableTextLeft"/>
              <w:rPr>
                <w:b/>
                <w:bCs/>
                <w:color w:val="auto"/>
              </w:rPr>
            </w:pPr>
            <w:r w:rsidRPr="009F63FD">
              <w:rPr>
                <w:b/>
                <w:bCs/>
                <w:color w:val="auto"/>
              </w:rPr>
              <w:t>Totals</w:t>
            </w:r>
          </w:p>
        </w:tc>
        <w:tc>
          <w:tcPr>
            <w:tcW w:w="0" w:type="dxa"/>
            <w:tcBorders>
              <w:top w:val="single" w:color="auto" w:sz="4" w:space="0"/>
              <w:left w:val="nil"/>
              <w:right w:val="nil"/>
            </w:tcBorders>
            <w:shd w:val="clear" w:color="auto" w:fill="auto"/>
          </w:tcPr>
          <w:p w:rsidRPr="000A343C" w:rsidR="006655D2" w:rsidP="00ED1336" w:rsidRDefault="006655D2" w14:paraId="5EDB3F72" w14:textId="77777777">
            <w:pPr>
              <w:pStyle w:val="TableTextLeft"/>
              <w:jc w:val="center"/>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2,000</w:t>
            </w:r>
          </w:p>
        </w:tc>
        <w:tc>
          <w:tcPr>
            <w:tcW w:w="0" w:type="dxa"/>
            <w:tcBorders>
              <w:top w:val="single" w:color="auto" w:sz="4" w:space="0"/>
              <w:left w:val="nil"/>
              <w:right w:val="nil"/>
            </w:tcBorders>
            <w:shd w:val="clear" w:color="auto" w:fill="auto"/>
          </w:tcPr>
          <w:p w:rsidRPr="000A343C" w:rsidR="006655D2" w:rsidP="00ED1336" w:rsidRDefault="006655D2" w14:paraId="1C1DDB8C" w14:textId="77777777">
            <w:pPr>
              <w:pStyle w:val="TableTextLeft"/>
              <w:jc w:val="center"/>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1</w:t>
            </w:r>
          </w:p>
        </w:tc>
        <w:tc>
          <w:tcPr>
            <w:tcW w:w="0" w:type="dxa"/>
            <w:tcBorders>
              <w:top w:val="single" w:color="auto" w:sz="4" w:space="0"/>
              <w:left w:val="nil"/>
              <w:right w:val="nil"/>
            </w:tcBorders>
            <w:shd w:val="clear" w:color="auto" w:fill="auto"/>
          </w:tcPr>
          <w:p w:rsidRPr="000A343C" w:rsidR="006655D2" w:rsidP="00ED1336" w:rsidRDefault="006655D2" w14:paraId="407C4940" w14:textId="7718AAFF">
            <w:pPr>
              <w:pStyle w:val="TableTextLeft"/>
              <w:jc w:val="center"/>
              <w:cnfStyle w:val="000000000000" w:firstRow="0" w:lastRow="0" w:firstColumn="0" w:lastColumn="0" w:oddVBand="0" w:evenVBand="0" w:oddHBand="0" w:evenHBand="0" w:firstRowFirstColumn="0" w:firstRowLastColumn="0" w:lastRowFirstColumn="0" w:lastRowLastColumn="0"/>
              <w:rPr>
                <w:color w:val="auto"/>
              </w:rPr>
            </w:pPr>
          </w:p>
        </w:tc>
        <w:tc>
          <w:tcPr>
            <w:tcW w:w="0" w:type="dxa"/>
            <w:tcBorders>
              <w:top w:val="single" w:color="auto" w:sz="4" w:space="0"/>
              <w:left w:val="nil"/>
              <w:right w:val="nil"/>
            </w:tcBorders>
            <w:shd w:val="clear" w:color="auto" w:fill="auto"/>
          </w:tcPr>
          <w:p w:rsidRPr="000A343C" w:rsidR="006655D2" w:rsidP="00ED1336" w:rsidRDefault="006655D2" w14:paraId="7B12E959" w14:textId="77777777">
            <w:pPr>
              <w:pStyle w:val="TableTextLeft"/>
              <w:jc w:val="center"/>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500</w:t>
            </w:r>
          </w:p>
        </w:tc>
        <w:tc>
          <w:tcPr>
            <w:tcW w:w="0" w:type="dxa"/>
            <w:tcBorders>
              <w:top w:val="single" w:color="auto" w:sz="4" w:space="0"/>
              <w:left w:val="nil"/>
              <w:right w:val="nil"/>
            </w:tcBorders>
            <w:shd w:val="clear" w:color="auto" w:fill="auto"/>
          </w:tcPr>
          <w:p w:rsidRPr="000A343C" w:rsidR="006655D2" w:rsidP="00ED1336" w:rsidRDefault="006655D2" w14:paraId="1F8EF804" w14:textId="77777777">
            <w:pPr>
              <w:pStyle w:val="TableTextLeft"/>
              <w:jc w:val="center"/>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$10.25</w:t>
            </w:r>
          </w:p>
        </w:tc>
        <w:tc>
          <w:tcPr>
            <w:tcW w:w="0" w:type="dxa"/>
            <w:tcBorders>
              <w:top w:val="single" w:color="auto" w:sz="4" w:space="0"/>
              <w:left w:val="nil"/>
            </w:tcBorders>
            <w:shd w:val="clear" w:color="auto" w:fill="auto"/>
          </w:tcPr>
          <w:p w:rsidRPr="000A343C" w:rsidR="006655D2" w:rsidP="00ED1336" w:rsidRDefault="006655D2" w14:paraId="4ACD6E85" w14:textId="77777777">
            <w:pPr>
              <w:pStyle w:val="TableTextLeft"/>
              <w:jc w:val="center"/>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$5,125</w:t>
            </w:r>
          </w:p>
        </w:tc>
      </w:tr>
    </w:tbl>
    <w:p w:rsidR="006655D2" w:rsidP="00ED1336" w:rsidRDefault="00ED1336" w14:paraId="4B6373BF" w14:textId="18EC03FF">
      <w:pPr>
        <w:pStyle w:val="TableFootnote"/>
        <w:rPr>
          <w:b/>
          <w:bCs/>
        </w:rPr>
      </w:pPr>
      <w:r w:rsidRPr="00ED1336">
        <w:rPr>
          <w:vertAlign w:val="superscript"/>
        </w:rPr>
        <w:t>a</w:t>
      </w:r>
      <w:r>
        <w:t xml:space="preserve"> </w:t>
      </w:r>
      <w:r w:rsidR="006655D2">
        <w:t>Average hourly wage estimated as the population-weighted average minimum wage in the United States.</w:t>
      </w:r>
    </w:p>
    <w:p w:rsidR="006655D2" w:rsidP="00ED1336" w:rsidRDefault="006655D2" w14:paraId="415C3E34" w14:textId="3BD43FC4">
      <w:pPr>
        <w:pStyle w:val="ParagraphContinued"/>
      </w:pPr>
      <w:r>
        <w:t xml:space="preserve">Exhibit </w:t>
      </w:r>
      <w:r w:rsidR="00031506">
        <w:t>12</w:t>
      </w:r>
      <w:r>
        <w:t>.</w:t>
      </w:r>
      <w:r w:rsidR="00031506">
        <w:t>1</w:t>
      </w:r>
      <w:r>
        <w:t xml:space="preserve"> shows the estimated respondent burden for the data collection instrument. The research team estimates 2,000 people will complete the survey. Based on </w:t>
      </w:r>
      <w:r w:rsidR="00031506">
        <w:t xml:space="preserve">pilot </w:t>
      </w:r>
      <w:r>
        <w:t xml:space="preserve">test timings, the research team estimates it will take about </w:t>
      </w:r>
      <w:r w:rsidR="00031506">
        <w:t>15</w:t>
      </w:r>
      <w:r>
        <w:t xml:space="preserve"> minutes to complete this survey over the web, with an estimated </w:t>
      </w:r>
      <w:r w:rsidR="00031506">
        <w:t>500</w:t>
      </w:r>
      <w:r>
        <w:t xml:space="preserve"> burden hours.</w:t>
      </w:r>
    </w:p>
    <w:p w:rsidRPr="00AB3C49" w:rsidR="006655D2" w:rsidP="004C0CB6" w:rsidRDefault="00175853" w14:paraId="0ACB263D" w14:textId="6B978B3C">
      <w:pPr>
        <w:pStyle w:val="H2"/>
      </w:pPr>
      <w:bookmarkStart w:name="_Toc102388399" w:id="15"/>
      <w:r>
        <w:t>A.13</w:t>
      </w:r>
      <w:r w:rsidR="00ED1336">
        <w:t>.</w:t>
      </w:r>
      <w:r w:rsidR="00ED1336">
        <w:tab/>
      </w:r>
      <w:r w:rsidRPr="00AB3C49" w:rsidR="006655D2">
        <w:t>Estimates of annualized burden hours and costs</w:t>
      </w:r>
      <w:bookmarkEnd w:id="15"/>
    </w:p>
    <w:p w:rsidR="006655D2" w:rsidP="00ED1336" w:rsidRDefault="006655D2" w14:paraId="7DE95741" w14:textId="77777777">
      <w:pPr>
        <w:pStyle w:val="ParagraphContinued"/>
        <w:rPr>
          <w:rFonts w:eastAsia="SimSun"/>
        </w:rPr>
      </w:pPr>
      <w:r>
        <w:rPr>
          <w:rFonts w:eastAsia="SimSun"/>
        </w:rPr>
        <w:t>ASPE</w:t>
      </w:r>
      <w:r w:rsidRPr="005B3ED3">
        <w:rPr>
          <w:rFonts w:eastAsia="SimSun"/>
        </w:rPr>
        <w:t xml:space="preserve"> expects participants will incur no costs beyond the burden hours required to answer screening questions and participate in the </w:t>
      </w:r>
      <w:r>
        <w:rPr>
          <w:rFonts w:eastAsia="SimSun"/>
        </w:rPr>
        <w:t>interview.</w:t>
      </w:r>
    </w:p>
    <w:p w:rsidRPr="00AB3C49" w:rsidR="006655D2" w:rsidP="004C0CB6" w:rsidRDefault="00175853" w14:paraId="7BC55D15" w14:textId="3CD5E87A">
      <w:pPr>
        <w:pStyle w:val="H2"/>
      </w:pPr>
      <w:bookmarkStart w:name="_Toc102388400" w:id="16"/>
      <w:r>
        <w:t>A.14</w:t>
      </w:r>
      <w:r w:rsidR="00ED1336">
        <w:t>.</w:t>
      </w:r>
      <w:r w:rsidR="00ED1336">
        <w:tab/>
      </w:r>
      <w:r w:rsidRPr="00AB3C49" w:rsidR="006655D2">
        <w:t>Annualized cost to the government</w:t>
      </w:r>
      <w:bookmarkEnd w:id="16"/>
    </w:p>
    <w:p w:rsidRPr="00E845D9" w:rsidR="006655D2" w:rsidP="00ED1336" w:rsidRDefault="006655D2" w14:paraId="1CF629D1" w14:textId="0C3E95EE">
      <w:pPr>
        <w:pStyle w:val="ParagraphContinued"/>
        <w:rPr>
          <w:rFonts w:eastAsia="SimSun"/>
        </w:rPr>
      </w:pPr>
      <w:r>
        <w:rPr>
          <w:rFonts w:eastAsia="SimSun"/>
        </w:rPr>
        <w:t>T</w:t>
      </w:r>
      <w:r w:rsidRPr="00E845D9">
        <w:rPr>
          <w:rFonts w:eastAsia="SimSun"/>
        </w:rPr>
        <w:t>he</w:t>
      </w:r>
      <w:r>
        <w:rPr>
          <w:rFonts w:eastAsia="SimSun"/>
        </w:rPr>
        <w:t xml:space="preserve"> annualized cost estimates</w:t>
      </w:r>
      <w:r w:rsidRPr="00E845D9">
        <w:rPr>
          <w:rFonts w:eastAsia="SimSun"/>
        </w:rPr>
        <w:t xml:space="preserve"> </w:t>
      </w:r>
      <w:r>
        <w:rPr>
          <w:rFonts w:eastAsia="SimSun"/>
        </w:rPr>
        <w:t>include</w:t>
      </w:r>
      <w:r w:rsidRPr="00E845D9">
        <w:rPr>
          <w:rFonts w:eastAsia="SimSun"/>
        </w:rPr>
        <w:t xml:space="preserve"> </w:t>
      </w:r>
      <w:r>
        <w:rPr>
          <w:rFonts w:eastAsia="SimSun"/>
        </w:rPr>
        <w:t>(</w:t>
      </w:r>
      <w:r w:rsidRPr="00E845D9">
        <w:rPr>
          <w:rFonts w:eastAsia="SimSun"/>
        </w:rPr>
        <w:t xml:space="preserve">1) </w:t>
      </w:r>
      <w:r>
        <w:rPr>
          <w:rFonts w:eastAsia="SimSun"/>
        </w:rPr>
        <w:t>p</w:t>
      </w:r>
      <w:r w:rsidRPr="00E845D9">
        <w:rPr>
          <w:rFonts w:eastAsia="SimSun"/>
        </w:rPr>
        <w:t>rogramming the surveys for web administration</w:t>
      </w:r>
      <w:r>
        <w:rPr>
          <w:rFonts w:eastAsia="SimSun"/>
        </w:rPr>
        <w:t>,</w:t>
      </w:r>
      <w:r w:rsidRPr="00E845D9">
        <w:rPr>
          <w:rFonts w:eastAsia="SimSun"/>
        </w:rPr>
        <w:t xml:space="preserve"> </w:t>
      </w:r>
      <w:r>
        <w:rPr>
          <w:rFonts w:eastAsia="SimSun"/>
        </w:rPr>
        <w:t>(</w:t>
      </w:r>
      <w:r w:rsidRPr="00E845D9">
        <w:rPr>
          <w:rFonts w:eastAsia="SimSun"/>
        </w:rPr>
        <w:t>2) administering the web-based survey</w:t>
      </w:r>
      <w:r>
        <w:rPr>
          <w:rFonts w:eastAsia="SimSun"/>
        </w:rPr>
        <w:t>,</w:t>
      </w:r>
      <w:r w:rsidRPr="00E845D9">
        <w:rPr>
          <w:rFonts w:eastAsia="SimSun"/>
        </w:rPr>
        <w:t xml:space="preserve"> </w:t>
      </w:r>
      <w:r>
        <w:rPr>
          <w:rFonts w:eastAsia="SimSun"/>
        </w:rPr>
        <w:t>(</w:t>
      </w:r>
      <w:r w:rsidRPr="00E845D9">
        <w:rPr>
          <w:rFonts w:eastAsia="SimSun"/>
        </w:rPr>
        <w:t>3) cleaning the data and providing data to the federal government in a machine-readable format</w:t>
      </w:r>
      <w:r>
        <w:rPr>
          <w:rFonts w:eastAsia="SimSun"/>
        </w:rPr>
        <w:t>,</w:t>
      </w:r>
      <w:r w:rsidRPr="00E845D9">
        <w:rPr>
          <w:rFonts w:eastAsia="SimSun"/>
        </w:rPr>
        <w:t xml:space="preserve"> </w:t>
      </w:r>
      <w:r>
        <w:rPr>
          <w:rFonts w:eastAsia="SimSun"/>
        </w:rPr>
        <w:t>(4</w:t>
      </w:r>
      <w:r w:rsidRPr="00E845D9">
        <w:rPr>
          <w:rFonts w:eastAsia="SimSun"/>
        </w:rPr>
        <w:t xml:space="preserve">) </w:t>
      </w:r>
      <w:r>
        <w:rPr>
          <w:rFonts w:eastAsia="SimSun"/>
        </w:rPr>
        <w:t>data analysis, and (</w:t>
      </w:r>
      <w:r w:rsidRPr="00AF3C61">
        <w:rPr>
          <w:rFonts w:eastAsia="SimSun"/>
        </w:rPr>
        <w:t>5</w:t>
      </w:r>
      <w:r w:rsidRPr="00755C53">
        <w:rPr>
          <w:rFonts w:eastAsia="SimSun"/>
        </w:rPr>
        <w:t>) prepar</w:t>
      </w:r>
      <w:r>
        <w:rPr>
          <w:rFonts w:eastAsia="SimSun"/>
        </w:rPr>
        <w:t>ing</w:t>
      </w:r>
      <w:r w:rsidRPr="00755C53">
        <w:rPr>
          <w:rFonts w:eastAsia="SimSun"/>
        </w:rPr>
        <w:t xml:space="preserve"> a final report or manuscript.</w:t>
      </w:r>
      <w:r>
        <w:rPr>
          <w:rFonts w:eastAsia="SimSun"/>
        </w:rPr>
        <w:t xml:space="preserve"> </w:t>
      </w:r>
      <w:r w:rsidRPr="00EE466A" w:rsidR="001C7FC5">
        <w:rPr>
          <w:rFonts w:eastAsia="SimSun"/>
        </w:rPr>
        <w:t xml:space="preserve">Federal costs are estimated as labor costs for a </w:t>
      </w:r>
      <w:r w:rsidRPr="00E23073" w:rsidR="001C7FC5">
        <w:rPr>
          <w:rFonts w:eastAsia="SimSun"/>
        </w:rPr>
        <w:t xml:space="preserve">Social Science Analyst, GS 14 </w:t>
      </w:r>
      <w:r w:rsidRPr="00EE466A" w:rsidR="001C7FC5">
        <w:rPr>
          <w:rFonts w:eastAsia="SimSun"/>
        </w:rPr>
        <w:t>(</w:t>
      </w:r>
      <w:r w:rsidRPr="00EE466A" w:rsidR="001C7FC5">
        <w:t xml:space="preserve">using the 2022 </w:t>
      </w:r>
      <w:hyperlink w:history="1" r:id="rId15">
        <w:r w:rsidRPr="00EE466A" w:rsidR="001C7FC5">
          <w:rPr>
            <w:rStyle w:val="Hyperlink"/>
          </w:rPr>
          <w:t>OPM</w:t>
        </w:r>
        <w:r w:rsidRPr="00E23073" w:rsidR="001C7FC5">
          <w:rPr>
            <w:rStyle w:val="Hyperlink"/>
          </w:rPr>
          <w:t xml:space="preserve"> </w:t>
        </w:r>
        <w:r w:rsidRPr="00312346" w:rsidR="001C7FC5">
          <w:rPr>
            <w:rStyle w:val="Hyperlink"/>
          </w:rPr>
          <w:t>S</w:t>
        </w:r>
        <w:r w:rsidRPr="00B664D0" w:rsidR="001C7FC5">
          <w:rPr>
            <w:rStyle w:val="Hyperlink"/>
          </w:rPr>
          <w:t>alary</w:t>
        </w:r>
        <w:r w:rsidRPr="00264516" w:rsidR="001C7FC5">
          <w:rPr>
            <w:rStyle w:val="Hyperlink"/>
          </w:rPr>
          <w:t xml:space="preserve"> Table 2022-DCB</w:t>
        </w:r>
      </w:hyperlink>
      <w:r w:rsidRPr="00E23073" w:rsidR="001C7FC5">
        <w:t xml:space="preserve"> for </w:t>
      </w:r>
      <w:r w:rsidRPr="00EE466A" w:rsidR="001C7FC5">
        <w:t>Washington-Baltimore-Arlington locality salary schedule</w:t>
      </w:r>
      <w:r w:rsidRPr="001C7FC5" w:rsidR="001C7FC5">
        <w:t xml:space="preserve">). </w:t>
      </w:r>
      <w:r w:rsidRPr="001C7FC5">
        <w:t>Managing the project will require the expertise of one ASPE staff member.</w:t>
      </w:r>
    </w:p>
    <w:p w:rsidRPr="00892619" w:rsidR="006655D2" w:rsidP="00ED1336" w:rsidRDefault="006655D2" w14:paraId="391724D4" w14:textId="7AA3377F">
      <w:pPr>
        <w:pStyle w:val="Paragraph"/>
        <w:rPr>
          <w:rFonts w:eastAsia="SimSun"/>
        </w:rPr>
      </w:pPr>
      <w:r w:rsidRPr="00892619">
        <w:rPr>
          <w:rFonts w:eastAsia="SimSun"/>
        </w:rPr>
        <w:t xml:space="preserve">ASPE </w:t>
      </w:r>
      <w:r w:rsidR="008E042F">
        <w:rPr>
          <w:rFonts w:eastAsia="SimSun"/>
        </w:rPr>
        <w:t>expects to</w:t>
      </w:r>
      <w:r w:rsidR="00B421D1">
        <w:rPr>
          <w:rFonts w:eastAsia="SimSun"/>
        </w:rPr>
        <w:t xml:space="preserve"> </w:t>
      </w:r>
      <w:r w:rsidRPr="00892619">
        <w:rPr>
          <w:rFonts w:eastAsia="SimSun"/>
        </w:rPr>
        <w:t>contract</w:t>
      </w:r>
      <w:r w:rsidR="00B421D1">
        <w:rPr>
          <w:rFonts w:eastAsia="SimSun"/>
        </w:rPr>
        <w:t xml:space="preserve"> with </w:t>
      </w:r>
      <w:r w:rsidRPr="00892619">
        <w:rPr>
          <w:rFonts w:eastAsia="SimSun"/>
        </w:rPr>
        <w:t xml:space="preserve">Mathematica to perform the bulk of the data cleaning, analysis, and report preparation. Mathematica and ASPE will work in partnership to prepare the final </w:t>
      </w:r>
      <w:r>
        <w:rPr>
          <w:rFonts w:eastAsia="SimSun"/>
        </w:rPr>
        <w:t>results</w:t>
      </w:r>
      <w:r w:rsidRPr="00892619">
        <w:rPr>
          <w:rFonts w:eastAsia="SimSun"/>
        </w:rPr>
        <w:t xml:space="preserve">. </w:t>
      </w:r>
    </w:p>
    <w:p w:rsidRPr="00186B80" w:rsidR="006655D2" w:rsidP="00186B80" w:rsidRDefault="006655D2" w14:paraId="5F87C25E" w14:textId="09D1E524">
      <w:pPr>
        <w:pStyle w:val="ExhibitTitle"/>
      </w:pPr>
      <w:bookmarkStart w:name="_Toc449541625" w:id="17"/>
      <w:r w:rsidRPr="00186B80">
        <w:t xml:space="preserve">Exhibit </w:t>
      </w:r>
      <w:r w:rsidR="00175853">
        <w:t>14</w:t>
      </w:r>
      <w:r w:rsidRPr="00186B80">
        <w:t>.</w:t>
      </w:r>
      <w:r w:rsidR="00175853">
        <w:t>1</w:t>
      </w:r>
      <w:r w:rsidRPr="00186B80">
        <w:t>. Annualized cost to the government</w:t>
      </w:r>
      <w:bookmarkEnd w:id="17"/>
    </w:p>
    <w:tbl>
      <w:tblPr>
        <w:tblStyle w:val="MathUBaseTable"/>
        <w:tblW w:w="9275" w:type="dxa"/>
        <w:tblBorders>
          <w:bottom w:val="none" w:color="auto" w:sz="0" w:space="0"/>
          <w:insideH w:val="none" w:color="auto" w:sz="0" w:space="0"/>
        </w:tblBorders>
        <w:tblLook w:val="04A0" w:firstRow="1" w:lastRow="0" w:firstColumn="1" w:lastColumn="0" w:noHBand="0" w:noVBand="1"/>
      </w:tblPr>
      <w:tblGrid>
        <w:gridCol w:w="1843"/>
        <w:gridCol w:w="5452"/>
        <w:gridCol w:w="1980"/>
      </w:tblGrid>
      <w:tr w:rsidRPr="000A343C" w:rsidR="000A343C" w:rsidTr="000A343C" w14:paraId="55DB5C7A"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hideMark/>
          </w:tcPr>
          <w:p w:rsidRPr="000A343C" w:rsidR="006655D2" w:rsidP="00186B80" w:rsidRDefault="006655D2" w14:paraId="6D1322E8" w14:textId="77777777">
            <w:pPr>
              <w:pStyle w:val="TableHeaderLeft"/>
              <w:rPr>
                <w:color w:val="auto"/>
              </w:rPr>
            </w:pPr>
            <w:r w:rsidRPr="000A343C">
              <w:rPr>
                <w:color w:val="auto"/>
              </w:rPr>
              <w:t>Expense type</w:t>
            </w:r>
          </w:p>
        </w:tc>
        <w:tc>
          <w:tcPr>
            <w:tcW w:w="54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hideMark/>
          </w:tcPr>
          <w:p w:rsidRPr="000A343C" w:rsidR="006655D2" w:rsidP="00186B80" w:rsidRDefault="006655D2" w14:paraId="122F1B7D" w14:textId="77777777">
            <w:pPr>
              <w:pStyle w:val="TableHeaderCenter"/>
              <w:cnfStyle w:val="100000000000" w:firstRow="1" w:lastRow="0" w:firstColumn="0" w:lastColumn="0" w:oddVBand="0" w:evenVBand="0" w:oddHBand="0" w:evenHBand="0" w:firstRowFirstColumn="0" w:firstRowLastColumn="0" w:lastRowFirstColumn="0" w:lastRowLastColumn="0"/>
              <w:rPr>
                <w:color w:val="auto"/>
              </w:rPr>
            </w:pPr>
            <w:r w:rsidRPr="000A343C">
              <w:rPr>
                <w:color w:val="auto"/>
              </w:rPr>
              <w:t>Expense explanation</w:t>
            </w: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hideMark/>
          </w:tcPr>
          <w:p w:rsidRPr="000A343C" w:rsidR="006655D2" w:rsidP="00186B80" w:rsidRDefault="006655D2" w14:paraId="343E51F8" w14:textId="77777777">
            <w:pPr>
              <w:pStyle w:val="TableHeaderCenter"/>
              <w:cnfStyle w:val="100000000000" w:firstRow="1" w:lastRow="0" w:firstColumn="0" w:lastColumn="0" w:oddVBand="0" w:evenVBand="0" w:oddHBand="0" w:evenHBand="0" w:firstRowFirstColumn="0" w:firstRowLastColumn="0" w:lastRowFirstColumn="0" w:lastRowLastColumn="0"/>
              <w:rPr>
                <w:color w:val="auto"/>
              </w:rPr>
            </w:pPr>
            <w:r w:rsidRPr="000A343C">
              <w:rPr>
                <w:color w:val="auto"/>
              </w:rPr>
              <w:t>Annual costs (dollars)</w:t>
            </w:r>
          </w:p>
        </w:tc>
      </w:tr>
      <w:tr w:rsidRPr="000A343C" w:rsidR="000A343C" w:rsidTr="000A343C" w14:paraId="6EC5FF15" w14:textId="77777777">
        <w:trPr>
          <w:trHeight w:val="12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color="auto" w:sz="4" w:space="0"/>
              <w:left w:val="single" w:color="auto" w:sz="4" w:space="0"/>
              <w:bottom w:val="single" w:color="auto" w:sz="4" w:space="0"/>
              <w:right w:val="none" w:color="auto" w:sz="0" w:space="0"/>
            </w:tcBorders>
            <w:shd w:val="clear" w:color="auto" w:fill="auto"/>
            <w:hideMark/>
          </w:tcPr>
          <w:p w:rsidRPr="000A343C" w:rsidR="006655D2" w:rsidP="00186B80" w:rsidRDefault="006655D2" w14:paraId="5B7795CD" w14:textId="77777777">
            <w:pPr>
              <w:pStyle w:val="TableTextLeft"/>
              <w:rPr>
                <w:color w:val="auto"/>
              </w:rPr>
            </w:pPr>
            <w:r w:rsidRPr="000A343C">
              <w:rPr>
                <w:color w:val="auto"/>
              </w:rPr>
              <w:t>Cost of ASPE staff time</w:t>
            </w:r>
          </w:p>
        </w:tc>
        <w:tc>
          <w:tcPr>
            <w:tcW w:w="5452" w:type="dxa"/>
            <w:tcBorders>
              <w:top w:val="single" w:color="auto" w:sz="4" w:space="0"/>
            </w:tcBorders>
            <w:shd w:val="clear" w:color="auto" w:fill="auto"/>
            <w:hideMark/>
          </w:tcPr>
          <w:p w:rsidRPr="000A343C" w:rsidR="006655D2" w:rsidP="00186B80" w:rsidRDefault="006655D2" w14:paraId="15BABF61"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ASPE staff hours</w:t>
            </w:r>
          </w:p>
        </w:tc>
        <w:tc>
          <w:tcPr>
            <w:tcW w:w="1980" w:type="dxa"/>
            <w:tcBorders>
              <w:top w:val="single" w:color="auto" w:sz="4" w:space="0"/>
              <w:right w:val="single" w:color="auto" w:sz="4" w:space="0"/>
            </w:tcBorders>
            <w:shd w:val="clear" w:color="auto" w:fill="auto"/>
            <w:hideMark/>
          </w:tcPr>
          <w:p w:rsidRPr="001C7FC5" w:rsidR="006655D2" w:rsidP="00186B80" w:rsidRDefault="006655D2" w14:paraId="384CA0EA" w14:textId="0F6AF6C6">
            <w:pPr>
              <w:pStyle w:val="TableTextLeft"/>
              <w:tabs>
                <w:tab w:val="decimal" w:pos="1113"/>
              </w:tabs>
              <w:cnfStyle w:val="000000000000" w:firstRow="0" w:lastRow="0" w:firstColumn="0" w:lastColumn="0" w:oddVBand="0" w:evenVBand="0" w:oddHBand="0" w:evenHBand="0" w:firstRowFirstColumn="0" w:firstRowLastColumn="0" w:lastRowFirstColumn="0" w:lastRowLastColumn="0"/>
              <w:rPr>
                <w:color w:val="auto"/>
              </w:rPr>
            </w:pPr>
            <w:r w:rsidRPr="001C7FC5">
              <w:rPr>
                <w:color w:val="auto"/>
              </w:rPr>
              <w:t>$</w:t>
            </w:r>
            <w:r w:rsidRPr="001C7FC5" w:rsidR="001C7FC5">
              <w:rPr>
                <w:color w:val="auto"/>
              </w:rPr>
              <w:t>6,444</w:t>
            </w:r>
          </w:p>
        </w:tc>
      </w:tr>
      <w:tr w:rsidRPr="000A343C" w:rsidR="000A343C" w:rsidTr="000A343C" w14:paraId="3BA2CDD1" w14:textId="77777777">
        <w:trPr>
          <w:trHeight w:val="120"/>
        </w:trPr>
        <w:tc>
          <w:tcPr>
            <w:cnfStyle w:val="001000000000" w:firstRow="0" w:lastRow="0" w:firstColumn="1" w:lastColumn="0" w:oddVBand="0" w:evenVBand="0" w:oddHBand="0" w:evenHBand="0" w:firstRowFirstColumn="0" w:firstRowLastColumn="0" w:lastRowFirstColumn="0" w:lastRowLastColumn="0"/>
            <w:tcW w:w="0" w:type="auto"/>
            <w:vMerge/>
            <w:tcBorders>
              <w:left w:val="single" w:color="auto" w:sz="4" w:space="0"/>
              <w:bottom w:val="single" w:color="auto" w:sz="4" w:space="0"/>
              <w:right w:val="none" w:color="auto" w:sz="0" w:space="0"/>
            </w:tcBorders>
            <w:shd w:val="clear" w:color="auto" w:fill="auto"/>
            <w:hideMark/>
          </w:tcPr>
          <w:p w:rsidRPr="000A343C" w:rsidR="006655D2" w:rsidP="00186B80" w:rsidRDefault="006655D2" w14:paraId="3CD7ACCF" w14:textId="77777777">
            <w:pPr>
              <w:pStyle w:val="TableTextLeft"/>
              <w:rPr>
                <w:color w:val="auto"/>
              </w:rPr>
            </w:pPr>
          </w:p>
        </w:tc>
        <w:tc>
          <w:tcPr>
            <w:tcW w:w="5452" w:type="dxa"/>
            <w:tcBorders>
              <w:bottom w:val="single" w:color="auto" w:sz="4" w:space="0"/>
            </w:tcBorders>
            <w:shd w:val="clear" w:color="auto" w:fill="auto"/>
            <w:hideMark/>
          </w:tcPr>
          <w:p w:rsidRPr="000A343C" w:rsidR="006655D2" w:rsidP="00186B80" w:rsidRDefault="006655D2" w14:paraId="390D557F"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Subtotal, direct costs</w:t>
            </w:r>
          </w:p>
        </w:tc>
        <w:tc>
          <w:tcPr>
            <w:tcW w:w="1980" w:type="dxa"/>
            <w:tcBorders>
              <w:bottom w:val="single" w:color="auto" w:sz="4" w:space="0"/>
              <w:right w:val="single" w:color="auto" w:sz="4" w:space="0"/>
            </w:tcBorders>
            <w:shd w:val="clear" w:color="auto" w:fill="auto"/>
            <w:hideMark/>
          </w:tcPr>
          <w:p w:rsidRPr="001C7FC5" w:rsidR="006655D2" w:rsidP="00186B80" w:rsidRDefault="006655D2" w14:paraId="4F95A9E0" w14:textId="785E1B85">
            <w:pPr>
              <w:pStyle w:val="TableTextLeft"/>
              <w:tabs>
                <w:tab w:val="decimal" w:pos="1113"/>
              </w:tabs>
              <w:cnfStyle w:val="000000000000" w:firstRow="0" w:lastRow="0" w:firstColumn="0" w:lastColumn="0" w:oddVBand="0" w:evenVBand="0" w:oddHBand="0" w:evenHBand="0" w:firstRowFirstColumn="0" w:firstRowLastColumn="0" w:lastRowFirstColumn="0" w:lastRowLastColumn="0"/>
              <w:rPr>
                <w:color w:val="auto"/>
              </w:rPr>
            </w:pPr>
            <w:r w:rsidRPr="001C7FC5">
              <w:rPr>
                <w:color w:val="auto"/>
              </w:rPr>
              <w:t>$</w:t>
            </w:r>
            <w:r w:rsidRPr="001C7FC5" w:rsidR="001C7FC5">
              <w:rPr>
                <w:color w:val="auto"/>
              </w:rPr>
              <w:t>6,444</w:t>
            </w:r>
          </w:p>
        </w:tc>
      </w:tr>
      <w:tr w:rsidRPr="000A343C" w:rsidR="000A343C" w:rsidTr="000A343C" w14:paraId="484E60BD" w14:textId="77777777">
        <w:trPr>
          <w:trHeight w:val="12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color="auto" w:sz="4" w:space="0"/>
              <w:left w:val="single" w:color="auto" w:sz="4" w:space="0"/>
              <w:right w:val="none" w:color="auto" w:sz="0" w:space="0"/>
            </w:tcBorders>
            <w:shd w:val="clear" w:color="auto" w:fill="auto"/>
            <w:hideMark/>
          </w:tcPr>
          <w:p w:rsidRPr="000A343C" w:rsidR="006655D2" w:rsidP="00186B80" w:rsidRDefault="006655D2" w14:paraId="6FBEA3CA" w14:textId="77777777">
            <w:pPr>
              <w:pStyle w:val="TableTextLeft"/>
              <w:rPr>
                <w:color w:val="auto"/>
              </w:rPr>
            </w:pPr>
            <w:r w:rsidRPr="000A343C">
              <w:rPr>
                <w:color w:val="auto"/>
              </w:rPr>
              <w:t>Contract costs</w:t>
            </w:r>
          </w:p>
        </w:tc>
        <w:tc>
          <w:tcPr>
            <w:tcW w:w="5452" w:type="dxa"/>
            <w:tcBorders>
              <w:top w:val="single" w:color="auto" w:sz="4" w:space="0"/>
            </w:tcBorders>
            <w:shd w:val="clear" w:color="auto" w:fill="auto"/>
            <w:hideMark/>
          </w:tcPr>
          <w:p w:rsidRPr="000A343C" w:rsidR="006655D2" w:rsidP="00186B80" w:rsidRDefault="006655D2" w14:paraId="7F9E668D"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Professional services</w:t>
            </w:r>
          </w:p>
        </w:tc>
        <w:tc>
          <w:tcPr>
            <w:tcW w:w="1980" w:type="dxa"/>
            <w:tcBorders>
              <w:top w:val="single" w:color="auto" w:sz="4" w:space="0"/>
              <w:right w:val="single" w:color="auto" w:sz="4" w:space="0"/>
            </w:tcBorders>
            <w:shd w:val="clear" w:color="auto" w:fill="auto"/>
            <w:hideMark/>
          </w:tcPr>
          <w:p w:rsidRPr="001C7FC5" w:rsidR="006655D2" w:rsidP="00186B80" w:rsidRDefault="006655D2" w14:paraId="7AD13E42" w14:textId="77777777">
            <w:pPr>
              <w:pStyle w:val="TableTextLeft"/>
              <w:tabs>
                <w:tab w:val="decimal" w:pos="1113"/>
              </w:tabs>
              <w:cnfStyle w:val="000000000000" w:firstRow="0" w:lastRow="0" w:firstColumn="0" w:lastColumn="0" w:oddVBand="0" w:evenVBand="0" w:oddHBand="0" w:evenHBand="0" w:firstRowFirstColumn="0" w:firstRowLastColumn="0" w:lastRowFirstColumn="0" w:lastRowLastColumn="0"/>
              <w:rPr>
                <w:color w:val="auto"/>
              </w:rPr>
            </w:pPr>
            <w:r w:rsidRPr="001C7FC5">
              <w:rPr>
                <w:color w:val="auto"/>
              </w:rPr>
              <w:t>$120,000.00</w:t>
            </w:r>
          </w:p>
        </w:tc>
      </w:tr>
      <w:tr w:rsidRPr="000A343C" w:rsidR="000A343C" w:rsidTr="000A343C" w14:paraId="21F3E6F8" w14:textId="77777777">
        <w:trPr>
          <w:trHeight w:val="120"/>
        </w:trPr>
        <w:tc>
          <w:tcPr>
            <w:cnfStyle w:val="001000000000" w:firstRow="0" w:lastRow="0" w:firstColumn="1" w:lastColumn="0" w:oddVBand="0" w:evenVBand="0" w:oddHBand="0" w:evenHBand="0" w:firstRowFirstColumn="0" w:firstRowLastColumn="0" w:lastRowFirstColumn="0" w:lastRowLastColumn="0"/>
            <w:tcW w:w="0" w:type="auto"/>
            <w:vMerge/>
            <w:tcBorders>
              <w:left w:val="single" w:color="auto" w:sz="4" w:space="0"/>
              <w:right w:val="none" w:color="auto" w:sz="0" w:space="0"/>
            </w:tcBorders>
            <w:shd w:val="clear" w:color="auto" w:fill="auto"/>
            <w:hideMark/>
          </w:tcPr>
          <w:p w:rsidRPr="000A343C" w:rsidR="006655D2" w:rsidP="00186B80" w:rsidRDefault="006655D2" w14:paraId="01E208C2" w14:textId="77777777">
            <w:pPr>
              <w:pStyle w:val="TableTextLeft"/>
              <w:rPr>
                <w:color w:val="auto"/>
              </w:rPr>
            </w:pPr>
          </w:p>
        </w:tc>
        <w:tc>
          <w:tcPr>
            <w:tcW w:w="5452" w:type="dxa"/>
            <w:shd w:val="clear" w:color="auto" w:fill="auto"/>
            <w:hideMark/>
          </w:tcPr>
          <w:p w:rsidRPr="000A343C" w:rsidR="006655D2" w:rsidP="00186B80" w:rsidRDefault="006655D2" w14:paraId="5776A2A3"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Direct costs for NORC panel and survey</w:t>
            </w:r>
          </w:p>
        </w:tc>
        <w:tc>
          <w:tcPr>
            <w:tcW w:w="1980" w:type="dxa"/>
            <w:tcBorders>
              <w:right w:val="single" w:color="auto" w:sz="4" w:space="0"/>
            </w:tcBorders>
            <w:shd w:val="clear" w:color="auto" w:fill="auto"/>
            <w:hideMark/>
          </w:tcPr>
          <w:p w:rsidRPr="000A343C" w:rsidR="006655D2" w:rsidP="00186B80" w:rsidRDefault="006655D2" w14:paraId="7D4A2ED7" w14:textId="77777777">
            <w:pPr>
              <w:pStyle w:val="TableTextLeft"/>
              <w:tabs>
                <w:tab w:val="decimal" w:pos="1113"/>
              </w:tabs>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$100,000.00</w:t>
            </w:r>
          </w:p>
        </w:tc>
      </w:tr>
      <w:tr w:rsidRPr="000A343C" w:rsidR="000A343C" w:rsidTr="009F63FD" w14:paraId="5075843C" w14:textId="77777777">
        <w:trPr>
          <w:trHeight w:val="120"/>
        </w:trPr>
        <w:tc>
          <w:tcPr>
            <w:cnfStyle w:val="001000000000" w:firstRow="0" w:lastRow="0" w:firstColumn="1" w:lastColumn="0" w:oddVBand="0" w:evenVBand="0" w:oddHBand="0" w:evenHBand="0" w:firstRowFirstColumn="0" w:firstRowLastColumn="0" w:lastRowFirstColumn="0" w:lastRowLastColumn="0"/>
            <w:tcW w:w="0" w:type="auto"/>
            <w:vMerge/>
            <w:tcBorders>
              <w:left w:val="single" w:color="auto" w:sz="4" w:space="0"/>
              <w:right w:val="none" w:color="auto" w:sz="0" w:space="0"/>
            </w:tcBorders>
            <w:shd w:val="clear" w:color="auto" w:fill="auto"/>
            <w:hideMark/>
          </w:tcPr>
          <w:p w:rsidRPr="000A343C" w:rsidR="006655D2" w:rsidP="00186B80" w:rsidRDefault="006655D2" w14:paraId="24F06B1F" w14:textId="77777777">
            <w:pPr>
              <w:pStyle w:val="TableTextLeft"/>
              <w:rPr>
                <w:color w:val="auto"/>
              </w:rPr>
            </w:pPr>
          </w:p>
        </w:tc>
        <w:tc>
          <w:tcPr>
            <w:tcW w:w="0" w:type="dxa"/>
            <w:tcBorders>
              <w:bottom w:val="single" w:color="auto" w:sz="4" w:space="0"/>
            </w:tcBorders>
            <w:shd w:val="clear" w:color="auto" w:fill="auto"/>
            <w:hideMark/>
          </w:tcPr>
          <w:p w:rsidRPr="000A343C" w:rsidR="006655D2" w:rsidP="00186B80" w:rsidRDefault="006655D2" w14:paraId="364A527D"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Subtotal, contract costs</w:t>
            </w:r>
          </w:p>
        </w:tc>
        <w:tc>
          <w:tcPr>
            <w:tcW w:w="0" w:type="dxa"/>
            <w:tcBorders>
              <w:bottom w:val="single" w:color="auto" w:sz="4" w:space="0"/>
              <w:right w:val="single" w:color="auto" w:sz="4" w:space="0"/>
            </w:tcBorders>
            <w:shd w:val="clear" w:color="auto" w:fill="auto"/>
            <w:hideMark/>
          </w:tcPr>
          <w:p w:rsidRPr="000A343C" w:rsidR="006655D2" w:rsidP="00186B80" w:rsidRDefault="006655D2" w14:paraId="5C4B5129" w14:textId="77777777">
            <w:pPr>
              <w:pStyle w:val="TableTextLeft"/>
              <w:tabs>
                <w:tab w:val="decimal" w:pos="1113"/>
              </w:tabs>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$220,000.00</w:t>
            </w:r>
          </w:p>
        </w:tc>
      </w:tr>
      <w:tr w:rsidRPr="000A343C" w:rsidR="000A343C" w:rsidTr="009F63FD" w14:paraId="7B7D00D7" w14:textId="77777777">
        <w:trPr>
          <w:trHeight w:val="120"/>
        </w:trPr>
        <w:tc>
          <w:tcPr>
            <w:cnfStyle w:val="001000000000" w:firstRow="0" w:lastRow="0" w:firstColumn="1" w:lastColumn="0" w:oddVBand="0" w:evenVBand="0" w:oddHBand="0" w:evenHBand="0" w:firstRowFirstColumn="0" w:firstRowLastColumn="0" w:lastRowFirstColumn="0" w:lastRowLastColumn="0"/>
            <w:tcW w:w="0" w:type="auto"/>
            <w:vMerge/>
            <w:tcBorders>
              <w:left w:val="single" w:color="auto" w:sz="4" w:space="0"/>
              <w:bottom w:val="single" w:color="auto" w:sz="4" w:space="0"/>
              <w:right w:val="none" w:color="auto" w:sz="0" w:space="0"/>
            </w:tcBorders>
            <w:shd w:val="clear" w:color="auto" w:fill="auto"/>
            <w:hideMark/>
          </w:tcPr>
          <w:p w:rsidRPr="000A343C" w:rsidR="006655D2" w:rsidP="00186B80" w:rsidRDefault="006655D2" w14:paraId="475ED2AE" w14:textId="77777777">
            <w:pPr>
              <w:pStyle w:val="TableTextLeft"/>
              <w:rPr>
                <w:color w:val="auto"/>
              </w:rPr>
            </w:pPr>
          </w:p>
        </w:tc>
        <w:tc>
          <w:tcPr>
            <w:tcW w:w="0" w:type="dxa"/>
            <w:tcBorders>
              <w:top w:val="single" w:color="auto" w:sz="4" w:space="0"/>
              <w:bottom w:val="single" w:color="auto" w:sz="4" w:space="0"/>
            </w:tcBorders>
            <w:shd w:val="clear" w:color="auto" w:fill="auto"/>
            <w:hideMark/>
          </w:tcPr>
          <w:p w:rsidRPr="000A343C" w:rsidR="006655D2" w:rsidP="00186B80" w:rsidRDefault="006655D2" w14:paraId="1BC531BC"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Total cost to the government</w:t>
            </w:r>
          </w:p>
        </w:tc>
        <w:tc>
          <w:tcPr>
            <w:tcW w:w="0" w:type="dxa"/>
            <w:tcBorders>
              <w:top w:val="single" w:color="auto" w:sz="4" w:space="0"/>
              <w:bottom w:val="single" w:color="auto" w:sz="4" w:space="0"/>
              <w:right w:val="single" w:color="auto" w:sz="4" w:space="0"/>
            </w:tcBorders>
            <w:shd w:val="clear" w:color="auto" w:fill="auto"/>
            <w:hideMark/>
          </w:tcPr>
          <w:p w:rsidRPr="000A343C" w:rsidR="006655D2" w:rsidP="00186B80" w:rsidRDefault="006655D2" w14:paraId="7711A893" w14:textId="1F5CDA1F">
            <w:pPr>
              <w:pStyle w:val="TableTextLeft"/>
              <w:tabs>
                <w:tab w:val="decimal" w:pos="1113"/>
              </w:tabs>
              <w:cnfStyle w:val="000000000000" w:firstRow="0" w:lastRow="0" w:firstColumn="0" w:lastColumn="0" w:oddVBand="0" w:evenVBand="0" w:oddHBand="0" w:evenHBand="0" w:firstRowFirstColumn="0" w:firstRowLastColumn="0" w:lastRowFirstColumn="0" w:lastRowLastColumn="0"/>
              <w:rPr>
                <w:color w:val="auto"/>
              </w:rPr>
            </w:pPr>
            <w:bookmarkStart w:name="_Hlk104307433" w:id="18"/>
            <w:r w:rsidRPr="000A343C">
              <w:rPr>
                <w:color w:val="auto"/>
              </w:rPr>
              <w:t>$</w:t>
            </w:r>
            <w:r w:rsidR="001C7FC5">
              <w:rPr>
                <w:color w:val="auto"/>
              </w:rPr>
              <w:t>226,444</w:t>
            </w:r>
            <w:r w:rsidR="00031506">
              <w:rPr>
                <w:color w:val="auto"/>
              </w:rPr>
              <w:t>.00</w:t>
            </w:r>
            <w:bookmarkEnd w:id="18"/>
          </w:p>
        </w:tc>
      </w:tr>
    </w:tbl>
    <w:p w:rsidRPr="00AB3C49" w:rsidR="006655D2" w:rsidP="004C0CB6" w:rsidRDefault="00175853" w14:paraId="04DBAD28" w14:textId="1D282887">
      <w:pPr>
        <w:pStyle w:val="H2"/>
      </w:pPr>
      <w:bookmarkStart w:name="_Toc102388401" w:id="19"/>
      <w:r>
        <w:t>A.15</w:t>
      </w:r>
      <w:r w:rsidR="00186B80">
        <w:t>.</w:t>
      </w:r>
      <w:r w:rsidR="00186B80">
        <w:tab/>
      </w:r>
      <w:r w:rsidRPr="00AB3C49" w:rsidR="006655D2">
        <w:t>Explanation for program changes or adjustments</w:t>
      </w:r>
      <w:bookmarkEnd w:id="19"/>
    </w:p>
    <w:p w:rsidRPr="000667FD" w:rsidR="006655D2" w:rsidP="00186B80" w:rsidRDefault="006655D2" w14:paraId="48DF4441" w14:textId="77777777">
      <w:pPr>
        <w:pStyle w:val="ParagraphContinued"/>
        <w:rPr>
          <w:rFonts w:eastAsia="SimSun"/>
        </w:rPr>
      </w:pPr>
      <w:r w:rsidRPr="000667FD">
        <w:rPr>
          <w:rFonts w:eastAsia="SimSun"/>
        </w:rPr>
        <w:t xml:space="preserve">This is </w:t>
      </w:r>
      <w:r>
        <w:rPr>
          <w:rFonts w:eastAsia="SimSun"/>
        </w:rPr>
        <w:t xml:space="preserve">a </w:t>
      </w:r>
      <w:r w:rsidRPr="000667FD">
        <w:rPr>
          <w:rFonts w:eastAsia="SimSun"/>
        </w:rPr>
        <w:t>new data collection.</w:t>
      </w:r>
    </w:p>
    <w:p w:rsidRPr="00AB3C49" w:rsidR="006655D2" w:rsidP="004C0CB6" w:rsidRDefault="00175853" w14:paraId="384A3F51" w14:textId="4260F797">
      <w:pPr>
        <w:pStyle w:val="H2"/>
      </w:pPr>
      <w:bookmarkStart w:name="_Toc102388402" w:id="20"/>
      <w:r>
        <w:t>A.16</w:t>
      </w:r>
      <w:r w:rsidR="00186B80">
        <w:t>.</w:t>
      </w:r>
      <w:r w:rsidR="00186B80">
        <w:tab/>
      </w:r>
      <w:r w:rsidRPr="00AB3C49" w:rsidR="006655D2">
        <w:t>Plans for tabulation and publication and project time schedule</w:t>
      </w:r>
      <w:bookmarkEnd w:id="20"/>
    </w:p>
    <w:p w:rsidRPr="00B975DD" w:rsidR="006655D2" w:rsidP="00186B80" w:rsidRDefault="006655D2" w14:paraId="28DB6CAB" w14:textId="77777777">
      <w:pPr>
        <w:pStyle w:val="ParagraphContinued"/>
      </w:pPr>
      <w:r w:rsidRPr="00B975DD">
        <w:t xml:space="preserve">We will answer the research questions mentioned previously by estimating the effect of various treatment factors—those related to earnings increase, risk of earnings loss and loss and recovery of benefits respectively. </w:t>
      </w:r>
    </w:p>
    <w:p w:rsidRPr="00B975DD" w:rsidR="006655D2" w:rsidP="00186B80" w:rsidRDefault="006655D2" w14:paraId="04E49406" w14:textId="77777777">
      <w:pPr>
        <w:pStyle w:val="Paragraph"/>
      </w:pPr>
      <w:r w:rsidRPr="00B975DD">
        <w:lastRenderedPageBreak/>
        <w:t xml:space="preserve">We will answer the RQ 1 by estimating the main effect that contrasts Factor A set to 1 (first two columns in the table) versus Factor A set to 2 (middle two columns in the table), versus Factor A set to 3 (last two columns in the table), averaging the overall values of Factors B and C. We will answer the second and third questions by estimating the main effect contrasts for Factors B and C in the same way, respectively. </w:t>
      </w:r>
    </w:p>
    <w:p w:rsidRPr="00B975DD" w:rsidR="006655D2" w:rsidP="00186B80" w:rsidRDefault="006655D2" w14:paraId="500F4A9F" w14:textId="77777777">
      <w:pPr>
        <w:pStyle w:val="Paragraph"/>
      </w:pPr>
      <w:r w:rsidRPr="00B975DD">
        <w:t xml:space="preserve">We will also consider interaction effects in this analysis, which will enable us to answer more nuanced questions (RQ 4, RQ 5).  such as, “Does the amount of employment risk people are willing to accept differ when benefits are easier or more difficult to recover?” This approach to deriving the contrasts will be extended to a more general and ambitious set of detailed questions by specifying more factor levels within A, B, and C. </w:t>
      </w:r>
    </w:p>
    <w:p w:rsidRPr="00B975DD" w:rsidR="006655D2" w:rsidP="00186B80" w:rsidRDefault="006655D2" w14:paraId="75AEA88D" w14:textId="77777777">
      <w:pPr>
        <w:pStyle w:val="Paragraph"/>
      </w:pPr>
      <w:r w:rsidRPr="00B975DD">
        <w:t xml:space="preserve">We will answer RQ 5 by estimating the interactions between treatment and subgroup membership. This will enable us to answer questions such as “does making it easier to recover benefits have a larger impact on decisions to increase earnings for parents or non-parents?” </w:t>
      </w:r>
    </w:p>
    <w:p w:rsidR="00186B80" w:rsidP="00186B80" w:rsidRDefault="006655D2" w14:paraId="48850D8D" w14:textId="04C8BD25">
      <w:pPr>
        <w:pStyle w:val="Paragraph"/>
      </w:pPr>
      <w:r w:rsidRPr="00B975DD">
        <w:t xml:space="preserve">The study team will analyze data from the experiment and produce tables and bullets on key findings that will be delivered in the form of a report. Findings may also be presented at relevant conferences or academic journals. This initial will be delivered in December 2023. </w:t>
      </w:r>
      <w:r>
        <w:t xml:space="preserve">Anonymized data and code relevant for the analysis will be deposited in a code/data repository such as data.gov. </w:t>
      </w:r>
    </w:p>
    <w:p w:rsidRPr="00186B80" w:rsidR="006655D2" w:rsidP="00186B80" w:rsidRDefault="006655D2" w14:paraId="2D5D1131" w14:textId="1D985E0F">
      <w:pPr>
        <w:pStyle w:val="ExhibitTitle"/>
      </w:pPr>
      <w:r w:rsidRPr="00101623">
        <w:t xml:space="preserve">Exhibit </w:t>
      </w:r>
      <w:r w:rsidR="00175853">
        <w:t>16</w:t>
      </w:r>
      <w:r w:rsidRPr="00101623">
        <w:t>.</w:t>
      </w:r>
      <w:r w:rsidR="00175853">
        <w:t>1</w:t>
      </w:r>
      <w:r w:rsidRPr="00101623">
        <w:t>. Proposed timeline</w:t>
      </w:r>
    </w:p>
    <w:tbl>
      <w:tblPr>
        <w:tblStyle w:val="MathUBaseTable"/>
        <w:tblW w:w="9180" w:type="dxa"/>
        <w:tblBorders>
          <w:bottom w:val="none" w:color="auto" w:sz="0" w:space="0"/>
          <w:insideH w:val="none" w:color="auto" w:sz="0" w:space="0"/>
        </w:tblBorders>
        <w:tblLayout w:type="fixed"/>
        <w:tblLook w:val="04A0" w:firstRow="1" w:lastRow="0" w:firstColumn="1" w:lastColumn="0" w:noHBand="0" w:noVBand="1"/>
      </w:tblPr>
      <w:tblGrid>
        <w:gridCol w:w="3150"/>
        <w:gridCol w:w="6030"/>
      </w:tblGrid>
      <w:tr w:rsidRPr="000A343C" w:rsidR="000A343C" w:rsidTr="000A343C" w14:paraId="425CAD57"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hideMark/>
          </w:tcPr>
          <w:p w:rsidRPr="000A343C" w:rsidR="006655D2" w:rsidP="00186B80" w:rsidRDefault="006655D2" w14:paraId="6669569F" w14:textId="77777777">
            <w:pPr>
              <w:pStyle w:val="TableHeaderLeft"/>
              <w:rPr>
                <w:b w:val="0"/>
                <w:color w:val="auto"/>
              </w:rPr>
            </w:pPr>
            <w:r w:rsidRPr="000A343C">
              <w:rPr>
                <w:color w:val="auto"/>
              </w:rPr>
              <w:t>Months from project start</w:t>
            </w:r>
          </w:p>
        </w:tc>
        <w:tc>
          <w:tcPr>
            <w:tcW w:w="6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hideMark/>
          </w:tcPr>
          <w:p w:rsidRPr="000A343C" w:rsidR="006655D2" w:rsidP="00186B80" w:rsidRDefault="006655D2" w14:paraId="722CF916" w14:textId="77777777">
            <w:pPr>
              <w:pStyle w:val="TableHeaderCenter"/>
              <w:cnfStyle w:val="100000000000" w:firstRow="1" w:lastRow="0" w:firstColumn="0" w:lastColumn="0" w:oddVBand="0" w:evenVBand="0" w:oddHBand="0" w:evenHBand="0" w:firstRowFirstColumn="0" w:firstRowLastColumn="0" w:lastRowFirstColumn="0" w:lastRowLastColumn="0"/>
              <w:rPr>
                <w:b w:val="0"/>
                <w:color w:val="auto"/>
              </w:rPr>
            </w:pPr>
            <w:r w:rsidRPr="000A343C">
              <w:rPr>
                <w:color w:val="auto"/>
              </w:rPr>
              <w:t>Major tasks or milestones</w:t>
            </w:r>
          </w:p>
        </w:tc>
      </w:tr>
      <w:tr w:rsidRPr="000A343C" w:rsidR="000A343C" w:rsidTr="000A343C" w14:paraId="1FAFDFC7" w14:textId="77777777">
        <w:trPr>
          <w:trHeight w:val="120"/>
        </w:trPr>
        <w:tc>
          <w:tcPr>
            <w:cnfStyle w:val="001000000000" w:firstRow="0" w:lastRow="0" w:firstColumn="1" w:lastColumn="0" w:oddVBand="0" w:evenVBand="0" w:oddHBand="0" w:evenHBand="0" w:firstRowFirstColumn="0" w:firstRowLastColumn="0" w:lastRowFirstColumn="0" w:lastRowLastColumn="0"/>
            <w:tcW w:w="3150" w:type="dxa"/>
            <w:tcBorders>
              <w:top w:val="single" w:color="auto" w:sz="4" w:space="0"/>
              <w:left w:val="single" w:color="auto" w:sz="4" w:space="0"/>
              <w:right w:val="none" w:color="auto" w:sz="0" w:space="0"/>
            </w:tcBorders>
            <w:shd w:val="clear" w:color="auto" w:fill="auto"/>
          </w:tcPr>
          <w:p w:rsidRPr="000A343C" w:rsidR="006655D2" w:rsidP="00186B80" w:rsidRDefault="006655D2" w14:paraId="7872AF41" w14:textId="77777777">
            <w:pPr>
              <w:pStyle w:val="TableTextLeft"/>
              <w:rPr>
                <w:color w:val="auto"/>
              </w:rPr>
            </w:pPr>
            <w:r w:rsidRPr="000A343C">
              <w:rPr>
                <w:color w:val="auto"/>
              </w:rPr>
              <w:t>1</w:t>
            </w:r>
          </w:p>
        </w:tc>
        <w:tc>
          <w:tcPr>
            <w:tcW w:w="6030" w:type="dxa"/>
            <w:tcBorders>
              <w:top w:val="single" w:color="auto" w:sz="4" w:space="0"/>
              <w:right w:val="single" w:color="auto" w:sz="4" w:space="0"/>
            </w:tcBorders>
            <w:shd w:val="clear" w:color="auto" w:fill="auto"/>
          </w:tcPr>
          <w:p w:rsidRPr="000A343C" w:rsidR="006655D2" w:rsidP="00186B80" w:rsidRDefault="006655D2" w14:paraId="62BA49D8"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Program and test survey instrument</w:t>
            </w:r>
          </w:p>
        </w:tc>
      </w:tr>
      <w:tr w:rsidRPr="000A343C" w:rsidR="000A343C" w:rsidTr="000A343C" w14:paraId="69BEC36A" w14:textId="77777777">
        <w:trPr>
          <w:trHeight w:val="120"/>
        </w:trPr>
        <w:tc>
          <w:tcPr>
            <w:cnfStyle w:val="001000000000" w:firstRow="0" w:lastRow="0" w:firstColumn="1" w:lastColumn="0" w:oddVBand="0" w:evenVBand="0" w:oddHBand="0" w:evenHBand="0" w:firstRowFirstColumn="0" w:firstRowLastColumn="0" w:lastRowFirstColumn="0" w:lastRowLastColumn="0"/>
            <w:tcW w:w="3150" w:type="dxa"/>
            <w:tcBorders>
              <w:left w:val="single" w:color="auto" w:sz="4" w:space="0"/>
              <w:right w:val="none" w:color="auto" w:sz="0" w:space="0"/>
            </w:tcBorders>
            <w:shd w:val="clear" w:color="auto" w:fill="auto"/>
          </w:tcPr>
          <w:p w:rsidRPr="000A343C" w:rsidR="006655D2" w:rsidP="00186B80" w:rsidRDefault="006655D2" w14:paraId="392895E2" w14:textId="77777777">
            <w:pPr>
              <w:pStyle w:val="TableTextLeft"/>
              <w:rPr>
                <w:color w:val="auto"/>
              </w:rPr>
            </w:pPr>
            <w:r w:rsidRPr="000A343C">
              <w:rPr>
                <w:color w:val="auto"/>
              </w:rPr>
              <w:t>3</w:t>
            </w:r>
          </w:p>
        </w:tc>
        <w:tc>
          <w:tcPr>
            <w:tcW w:w="6030" w:type="dxa"/>
            <w:tcBorders>
              <w:right w:val="single" w:color="auto" w:sz="4" w:space="0"/>
            </w:tcBorders>
            <w:shd w:val="clear" w:color="auto" w:fill="auto"/>
          </w:tcPr>
          <w:p w:rsidRPr="000A343C" w:rsidR="006655D2" w:rsidP="00186B80" w:rsidRDefault="006655D2" w14:paraId="650AC89B"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Conduct survey</w:t>
            </w:r>
          </w:p>
        </w:tc>
      </w:tr>
      <w:tr w:rsidRPr="000A343C" w:rsidR="000A343C" w:rsidTr="000A343C" w14:paraId="0520FC04" w14:textId="77777777">
        <w:trPr>
          <w:trHeight w:val="120"/>
        </w:trPr>
        <w:tc>
          <w:tcPr>
            <w:cnfStyle w:val="001000000000" w:firstRow="0" w:lastRow="0" w:firstColumn="1" w:lastColumn="0" w:oddVBand="0" w:evenVBand="0" w:oddHBand="0" w:evenHBand="0" w:firstRowFirstColumn="0" w:firstRowLastColumn="0" w:lastRowFirstColumn="0" w:lastRowLastColumn="0"/>
            <w:tcW w:w="3150" w:type="dxa"/>
            <w:tcBorders>
              <w:left w:val="single" w:color="auto" w:sz="4" w:space="0"/>
              <w:right w:val="none" w:color="auto" w:sz="0" w:space="0"/>
            </w:tcBorders>
            <w:shd w:val="clear" w:color="auto" w:fill="auto"/>
          </w:tcPr>
          <w:p w:rsidRPr="000A343C" w:rsidR="006655D2" w:rsidP="00186B80" w:rsidRDefault="006655D2" w14:paraId="565BA2EE" w14:textId="77777777">
            <w:pPr>
              <w:pStyle w:val="TableTextLeft"/>
              <w:rPr>
                <w:color w:val="auto"/>
              </w:rPr>
            </w:pPr>
            <w:r w:rsidRPr="000A343C">
              <w:rPr>
                <w:color w:val="auto"/>
              </w:rPr>
              <w:t>5</w:t>
            </w:r>
          </w:p>
        </w:tc>
        <w:tc>
          <w:tcPr>
            <w:tcW w:w="6030" w:type="dxa"/>
            <w:tcBorders>
              <w:right w:val="single" w:color="auto" w:sz="4" w:space="0"/>
            </w:tcBorders>
            <w:shd w:val="clear" w:color="auto" w:fill="auto"/>
          </w:tcPr>
          <w:p w:rsidRPr="000A343C" w:rsidR="006655D2" w:rsidP="00186B80" w:rsidRDefault="006655D2" w14:paraId="1486741B"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Clean data</w:t>
            </w:r>
          </w:p>
        </w:tc>
      </w:tr>
      <w:tr w:rsidRPr="000A343C" w:rsidR="000A343C" w:rsidTr="000A343C" w14:paraId="22ED16F1" w14:textId="77777777">
        <w:trPr>
          <w:trHeight w:val="120"/>
        </w:trPr>
        <w:tc>
          <w:tcPr>
            <w:cnfStyle w:val="001000000000" w:firstRow="0" w:lastRow="0" w:firstColumn="1" w:lastColumn="0" w:oddVBand="0" w:evenVBand="0" w:oddHBand="0" w:evenHBand="0" w:firstRowFirstColumn="0" w:firstRowLastColumn="0" w:lastRowFirstColumn="0" w:lastRowLastColumn="0"/>
            <w:tcW w:w="3150" w:type="dxa"/>
            <w:tcBorders>
              <w:left w:val="single" w:color="auto" w:sz="4" w:space="0"/>
              <w:right w:val="none" w:color="auto" w:sz="0" w:space="0"/>
            </w:tcBorders>
            <w:shd w:val="clear" w:color="auto" w:fill="auto"/>
          </w:tcPr>
          <w:p w:rsidRPr="000A343C" w:rsidR="006655D2" w:rsidP="00186B80" w:rsidRDefault="006655D2" w14:paraId="5D70CE83" w14:textId="77777777">
            <w:pPr>
              <w:pStyle w:val="TableTextLeft"/>
              <w:rPr>
                <w:color w:val="auto"/>
              </w:rPr>
            </w:pPr>
            <w:r w:rsidRPr="000A343C">
              <w:rPr>
                <w:color w:val="auto"/>
              </w:rPr>
              <w:t>9</w:t>
            </w:r>
          </w:p>
        </w:tc>
        <w:tc>
          <w:tcPr>
            <w:tcW w:w="6030" w:type="dxa"/>
            <w:tcBorders>
              <w:right w:val="single" w:color="auto" w:sz="4" w:space="0"/>
            </w:tcBorders>
            <w:shd w:val="clear" w:color="auto" w:fill="auto"/>
          </w:tcPr>
          <w:p w:rsidRPr="000A343C" w:rsidR="006655D2" w:rsidP="00186B80" w:rsidRDefault="006655D2" w14:paraId="4BAF661C"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Data analysis</w:t>
            </w:r>
          </w:p>
        </w:tc>
      </w:tr>
      <w:tr w:rsidRPr="000A343C" w:rsidR="000A343C" w:rsidTr="000A343C" w14:paraId="4E613D58" w14:textId="77777777">
        <w:trPr>
          <w:trHeight w:val="120"/>
        </w:trPr>
        <w:tc>
          <w:tcPr>
            <w:cnfStyle w:val="001000000000" w:firstRow="0" w:lastRow="0" w:firstColumn="1" w:lastColumn="0" w:oddVBand="0" w:evenVBand="0" w:oddHBand="0" w:evenHBand="0" w:firstRowFirstColumn="0" w:firstRowLastColumn="0" w:lastRowFirstColumn="0" w:lastRowLastColumn="0"/>
            <w:tcW w:w="3150" w:type="dxa"/>
            <w:tcBorders>
              <w:left w:val="single" w:color="auto" w:sz="4" w:space="0"/>
              <w:right w:val="none" w:color="auto" w:sz="0" w:space="0"/>
            </w:tcBorders>
            <w:shd w:val="clear" w:color="auto" w:fill="auto"/>
          </w:tcPr>
          <w:p w:rsidRPr="000A343C" w:rsidR="006655D2" w:rsidP="00186B80" w:rsidRDefault="006655D2" w14:paraId="7C95DC10" w14:textId="77777777">
            <w:pPr>
              <w:pStyle w:val="TableTextLeft"/>
              <w:rPr>
                <w:color w:val="auto"/>
              </w:rPr>
            </w:pPr>
            <w:r w:rsidRPr="000A343C">
              <w:rPr>
                <w:color w:val="auto"/>
              </w:rPr>
              <w:t>12</w:t>
            </w:r>
          </w:p>
        </w:tc>
        <w:tc>
          <w:tcPr>
            <w:tcW w:w="6030" w:type="dxa"/>
            <w:tcBorders>
              <w:right w:val="single" w:color="auto" w:sz="4" w:space="0"/>
            </w:tcBorders>
            <w:shd w:val="clear" w:color="auto" w:fill="auto"/>
          </w:tcPr>
          <w:p w:rsidRPr="000A343C" w:rsidR="006655D2" w:rsidP="00186B80" w:rsidRDefault="006655D2" w14:paraId="1C283AB7"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Write reports or manuscripts</w:t>
            </w:r>
          </w:p>
        </w:tc>
      </w:tr>
      <w:tr w:rsidRPr="000A343C" w:rsidR="000A343C" w:rsidTr="000A343C" w14:paraId="6B593C34" w14:textId="77777777">
        <w:trPr>
          <w:trHeight w:val="120"/>
        </w:trPr>
        <w:tc>
          <w:tcPr>
            <w:cnfStyle w:val="001000000000" w:firstRow="0" w:lastRow="0" w:firstColumn="1" w:lastColumn="0" w:oddVBand="0" w:evenVBand="0" w:oddHBand="0" w:evenHBand="0" w:firstRowFirstColumn="0" w:firstRowLastColumn="0" w:lastRowFirstColumn="0" w:lastRowLastColumn="0"/>
            <w:tcW w:w="3150" w:type="dxa"/>
            <w:tcBorders>
              <w:left w:val="single" w:color="auto" w:sz="4" w:space="0"/>
              <w:bottom w:val="single" w:color="auto" w:sz="4" w:space="0"/>
              <w:right w:val="none" w:color="auto" w:sz="0" w:space="0"/>
            </w:tcBorders>
            <w:shd w:val="clear" w:color="auto" w:fill="auto"/>
          </w:tcPr>
          <w:p w:rsidRPr="000A343C" w:rsidR="006655D2" w:rsidP="00186B80" w:rsidRDefault="006655D2" w14:paraId="037B4206" w14:textId="77777777">
            <w:pPr>
              <w:pStyle w:val="TableTextLeft"/>
              <w:rPr>
                <w:color w:val="auto"/>
              </w:rPr>
            </w:pPr>
            <w:r w:rsidRPr="000A343C">
              <w:rPr>
                <w:color w:val="auto"/>
              </w:rPr>
              <w:t>15</w:t>
            </w:r>
          </w:p>
        </w:tc>
        <w:tc>
          <w:tcPr>
            <w:tcW w:w="6030" w:type="dxa"/>
            <w:tcBorders>
              <w:bottom w:val="single" w:color="auto" w:sz="4" w:space="0"/>
              <w:right w:val="single" w:color="auto" w:sz="4" w:space="0"/>
            </w:tcBorders>
            <w:shd w:val="clear" w:color="auto" w:fill="auto"/>
          </w:tcPr>
          <w:p w:rsidRPr="000A343C" w:rsidR="006655D2" w:rsidP="00186B80" w:rsidRDefault="006655D2" w14:paraId="2AA0869F"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A343C">
              <w:rPr>
                <w:color w:val="auto"/>
              </w:rPr>
              <w:t>Publish</w:t>
            </w:r>
          </w:p>
        </w:tc>
      </w:tr>
    </w:tbl>
    <w:p w:rsidRPr="00186B80" w:rsidR="006655D2" w:rsidP="004C0CB6" w:rsidRDefault="00175853" w14:paraId="7444DAAC" w14:textId="3051728C">
      <w:pPr>
        <w:pStyle w:val="H2"/>
      </w:pPr>
      <w:bookmarkStart w:name="_Toc102388403" w:id="21"/>
      <w:r>
        <w:t>A.17</w:t>
      </w:r>
      <w:r w:rsidR="001F0A4A">
        <w:t>.</w:t>
      </w:r>
      <w:r w:rsidR="001F0A4A">
        <w:tab/>
      </w:r>
      <w:r w:rsidRPr="00186B80" w:rsidR="006655D2">
        <w:t>Reason(s) display of OMB expiration data is inappropriate</w:t>
      </w:r>
      <w:bookmarkEnd w:id="21"/>
    </w:p>
    <w:p w:rsidRPr="00586F7E" w:rsidR="006655D2" w:rsidP="006655D2" w:rsidRDefault="006655D2" w14:paraId="7D68F7DA" w14:textId="77777777">
      <w:pPr>
        <w:pStyle w:val="ParagraphContinued"/>
      </w:pPr>
      <w:r>
        <w:t>ASPE</w:t>
      </w:r>
      <w:r w:rsidRPr="00586F7E">
        <w:t xml:space="preserve"> is not requesting a waiver for the display of the OMB approval number and expiration date</w:t>
      </w:r>
      <w:r>
        <w:t>. The study will display the OMB expiration date.</w:t>
      </w:r>
    </w:p>
    <w:p w:rsidRPr="00186B80" w:rsidR="006655D2" w:rsidP="004C0CB6" w:rsidRDefault="00175853" w14:paraId="3EF968B9" w14:textId="549AA3FF">
      <w:pPr>
        <w:pStyle w:val="H2"/>
      </w:pPr>
      <w:bookmarkStart w:name="_Toc102388404" w:id="22"/>
      <w:r>
        <w:t>A.18</w:t>
      </w:r>
      <w:r w:rsidR="001F0A4A">
        <w:t>.</w:t>
      </w:r>
      <w:r w:rsidR="001F0A4A">
        <w:tab/>
      </w:r>
      <w:r w:rsidRPr="00186B80" w:rsidR="006655D2">
        <w:t>Exceptions to certification for Paperwork Reduction Act submissions</w:t>
      </w:r>
      <w:bookmarkEnd w:id="22"/>
    </w:p>
    <w:p w:rsidRPr="000667FD" w:rsidR="006655D2" w:rsidP="001F0A4A" w:rsidRDefault="006655D2" w14:paraId="26E5D350" w14:textId="77777777">
      <w:pPr>
        <w:pStyle w:val="ParagraphContinued"/>
        <w:rPr>
          <w:rFonts w:eastAsia="SimSun"/>
        </w:rPr>
      </w:pPr>
      <w:r w:rsidRPr="000667FD">
        <w:rPr>
          <w:rFonts w:eastAsia="SimSun"/>
        </w:rPr>
        <w:t>There are no exceptions to the certification. These activities comply with the requirements in 5 CFR 1320.9.</w:t>
      </w:r>
    </w:p>
    <w:p w:rsidRPr="007113E8" w:rsidR="006655D2" w:rsidP="001F0A4A" w:rsidRDefault="006655D2" w14:paraId="2423AE63" w14:textId="5A480141">
      <w:pPr>
        <w:pStyle w:val="H1"/>
        <w:rPr>
          <w:color w:val="000000" w:themeColor="text1"/>
          <w:lang w:val="es-US"/>
        </w:rPr>
      </w:pPr>
      <w:bookmarkStart w:name="_Toc102388405" w:id="23"/>
      <w:r w:rsidRPr="007113E8">
        <w:rPr>
          <w:color w:val="000000" w:themeColor="text1"/>
          <w:lang w:val="es-US"/>
        </w:rPr>
        <w:t>R</w:t>
      </w:r>
      <w:r w:rsidRPr="007113E8" w:rsidR="000A343C">
        <w:rPr>
          <w:color w:val="000000" w:themeColor="text1"/>
          <w:lang w:val="es-US"/>
        </w:rPr>
        <w:t>eferences</w:t>
      </w:r>
      <w:bookmarkEnd w:id="23"/>
    </w:p>
    <w:p w:rsidRPr="009A3B5E" w:rsidR="006655D2" w:rsidP="001F0A4A" w:rsidRDefault="006655D2" w14:paraId="142D60E1" w14:textId="05F902B3">
      <w:pPr>
        <w:pStyle w:val="Reference"/>
        <w:spacing w:before="120" w:after="120"/>
      </w:pPr>
      <w:r w:rsidRPr="000A343C">
        <w:rPr>
          <w:lang w:val="es-US"/>
        </w:rPr>
        <w:t xml:space="preserve">Albelda, R., &amp; Carr, M. (2017). </w:t>
      </w:r>
      <w:r w:rsidRPr="004C0CB6" w:rsidR="004C0CB6">
        <w:t>“</w:t>
      </w:r>
      <w:r w:rsidRPr="009A3B5E">
        <w:t>Combining Earnings with Public Supports: Cliff Effects in Massachusetts.</w:t>
      </w:r>
      <w:r w:rsidR="004C0CB6">
        <w:t>”</w:t>
      </w:r>
      <w:r w:rsidRPr="009A3B5E">
        <w:t xml:space="preserve"> </w:t>
      </w:r>
      <w:r w:rsidRPr="009A3B5E">
        <w:rPr>
          <w:i/>
          <w:iCs/>
        </w:rPr>
        <w:t>Economics Faculty Publication Series. 42</w:t>
      </w:r>
      <w:r w:rsidRPr="009A3B5E">
        <w:t>.</w:t>
      </w:r>
      <w:r w:rsidRPr="00F27A85">
        <w:t xml:space="preserve"> </w:t>
      </w:r>
      <w:r>
        <w:t xml:space="preserve">Available at: </w:t>
      </w:r>
      <w:hyperlink w:history="1" r:id="rId16">
        <w:r w:rsidRPr="005B0DF2" w:rsidR="004C0CB6">
          <w:rPr>
            <w:rStyle w:val="Hyperlink"/>
          </w:rPr>
          <w:t>http://scholarworks.umb.edu/econ_faculty_pubs/42</w:t>
        </w:r>
      </w:hyperlink>
    </w:p>
    <w:p w:rsidRPr="009A3B5E" w:rsidR="006655D2" w:rsidP="001F0A4A" w:rsidRDefault="006655D2" w14:paraId="59EC2544" w14:textId="2DA60FE1">
      <w:pPr>
        <w:pStyle w:val="Reference"/>
        <w:spacing w:after="120"/>
        <w:rPr>
          <w:rFonts w:cs="Arial"/>
          <w:color w:val="222222"/>
          <w:shd w:val="clear" w:color="auto" w:fill="FFFFFF"/>
        </w:rPr>
      </w:pPr>
      <w:r w:rsidRPr="009A3B5E">
        <w:rPr>
          <w:rFonts w:cs="Arial"/>
          <w:color w:val="222222"/>
          <w:shd w:val="clear" w:color="auto" w:fill="FFFFFF"/>
        </w:rPr>
        <w:t xml:space="preserve">Barberis, N.C. (2013). </w:t>
      </w:r>
      <w:r w:rsidR="004C0CB6">
        <w:rPr>
          <w:rFonts w:cs="Arial"/>
          <w:color w:val="222222"/>
          <w:shd w:val="clear" w:color="auto" w:fill="FFFFFF"/>
        </w:rPr>
        <w:t>“</w:t>
      </w:r>
      <w:r w:rsidRPr="009A3B5E">
        <w:rPr>
          <w:rFonts w:cs="Arial"/>
          <w:color w:val="222222"/>
          <w:shd w:val="clear" w:color="auto" w:fill="FFFFFF"/>
        </w:rPr>
        <w:t>Thirty years of prospect theory in economics: A review and assessment.</w:t>
      </w:r>
      <w:r w:rsidR="004C0CB6">
        <w:rPr>
          <w:rFonts w:cs="Arial"/>
          <w:color w:val="222222"/>
          <w:shd w:val="clear" w:color="auto" w:fill="FFFFFF"/>
        </w:rPr>
        <w:t xml:space="preserve">” </w:t>
      </w:r>
      <w:r w:rsidRPr="009A3B5E">
        <w:rPr>
          <w:rFonts w:cs="Arial"/>
          <w:i/>
          <w:iCs/>
          <w:color w:val="222222"/>
          <w:shd w:val="clear" w:color="auto" w:fill="FFFFFF"/>
        </w:rPr>
        <w:t>Journal of Economic Perspectives</w:t>
      </w:r>
      <w:r w:rsidRPr="009A3B5E">
        <w:rPr>
          <w:rFonts w:cs="Arial"/>
          <w:color w:val="222222"/>
          <w:shd w:val="clear" w:color="auto" w:fill="FFFFFF"/>
        </w:rPr>
        <w:t>, </w:t>
      </w:r>
      <w:r w:rsidRPr="009A3B5E">
        <w:rPr>
          <w:rFonts w:cs="Arial"/>
          <w:i/>
          <w:iCs/>
          <w:color w:val="222222"/>
          <w:shd w:val="clear" w:color="auto" w:fill="FFFFFF"/>
        </w:rPr>
        <w:t>27</w:t>
      </w:r>
      <w:r w:rsidRPr="009A3B5E">
        <w:rPr>
          <w:rFonts w:cs="Arial"/>
          <w:color w:val="222222"/>
          <w:shd w:val="clear" w:color="auto" w:fill="FFFFFF"/>
        </w:rPr>
        <w:t>(1), 173-96.</w:t>
      </w:r>
    </w:p>
    <w:p w:rsidRPr="009A3B5E" w:rsidR="006655D2" w:rsidP="001F0A4A" w:rsidRDefault="006655D2" w14:paraId="6E3CEC8F" w14:textId="1D3C483E">
      <w:pPr>
        <w:pStyle w:val="Reference"/>
        <w:spacing w:after="120"/>
      </w:pPr>
      <w:r w:rsidRPr="009A3B5E">
        <w:lastRenderedPageBreak/>
        <w:t xml:space="preserve">Chien, N., Winston, P., Gaddes, R., &amp; Holzwart, R. (2021) </w:t>
      </w:r>
      <w:r w:rsidR="004C0CB6">
        <w:t>“</w:t>
      </w:r>
      <w:r w:rsidRPr="009A3B5E">
        <w:t>Risks that Come with Increasing Earnings for Low-Income Workers.</w:t>
      </w:r>
      <w:r w:rsidR="004C0CB6">
        <w:t>”</w:t>
      </w:r>
      <w:r>
        <w:t xml:space="preserve"> Office of the Assistant Secretary for Planning and Evaluation Report. Available at:</w:t>
      </w:r>
      <w:r w:rsidRPr="009A3B5E">
        <w:t xml:space="preserve"> </w:t>
      </w:r>
      <w:hyperlink w:history="1" r:id="rId17">
        <w:r w:rsidRPr="000A343C">
          <w:rPr>
            <w:rStyle w:val="Hyperlink"/>
          </w:rPr>
          <w:t>https://aspe.hhs.gov/sites/default/files/documents/04efcaa192583caf5f53b98b80802ca6/MTR_Qual_Study_Brief_Risks.pdf</w:t>
        </w:r>
      </w:hyperlink>
    </w:p>
    <w:p w:rsidRPr="009A3B5E" w:rsidR="006655D2" w:rsidP="001F0A4A" w:rsidRDefault="006655D2" w14:paraId="2AB59D0F" w14:textId="5AE1E23F">
      <w:pPr>
        <w:pStyle w:val="Reference"/>
        <w:spacing w:after="120"/>
      </w:pPr>
      <w:r w:rsidRPr="009A3B5E">
        <w:t xml:space="preserve">National Conference of State Legislators (2019). </w:t>
      </w:r>
      <w:r w:rsidR="004C0CB6">
        <w:t>“</w:t>
      </w:r>
      <w:r w:rsidRPr="009A3B5E">
        <w:t>Addressing Benefits Cliffs.</w:t>
      </w:r>
      <w:r w:rsidR="004C0CB6">
        <w:t>”</w:t>
      </w:r>
      <w:r w:rsidRPr="009A3B5E">
        <w:t xml:space="preserve"> </w:t>
      </w:r>
      <w:r>
        <w:t xml:space="preserve">Available at: </w:t>
      </w:r>
      <w:hyperlink w:history="1" r:id="rId18">
        <w:r w:rsidRPr="000A343C">
          <w:rPr>
            <w:rStyle w:val="Hyperlink"/>
          </w:rPr>
          <w:t>https://www.ncsl.org/research/human-services/addressing-benefits-cliffs.aspx</w:t>
        </w:r>
      </w:hyperlink>
    </w:p>
    <w:p w:rsidRPr="000A343C" w:rsidR="006655D2" w:rsidP="000A343C" w:rsidRDefault="006655D2" w14:paraId="6DBCE333" w14:textId="77777777">
      <w:pPr>
        <w:pStyle w:val="Paragraph"/>
        <w:spacing w:before="480" w:after="120"/>
        <w:rPr>
          <w:b/>
          <w:bCs/>
        </w:rPr>
      </w:pPr>
      <w:r w:rsidRPr="000A343C">
        <w:rPr>
          <w:b/>
          <w:bCs/>
        </w:rPr>
        <w:t>Section A — List of Attachments</w:t>
      </w:r>
    </w:p>
    <w:p w:rsidRPr="00C81975" w:rsidR="00C81975" w:rsidP="001F0A4A" w:rsidRDefault="00C81975" w14:paraId="0775B980" w14:textId="4CCB42E9">
      <w:pPr>
        <w:pStyle w:val="ListBullet"/>
      </w:pPr>
      <w:r w:rsidRPr="00814C26">
        <w:rPr>
          <w:b/>
          <w:bCs/>
        </w:rPr>
        <w:t>Attachment A-1:</w:t>
      </w:r>
      <w:r w:rsidRPr="00C81975">
        <w:rPr>
          <w:bCs/>
          <w:color w:val="000000" w:themeColor="text1"/>
        </w:rPr>
        <w:t xml:space="preserve"> </w:t>
      </w:r>
      <w:r w:rsidRPr="008E4C50">
        <w:rPr>
          <w:bCs/>
          <w:color w:val="000000" w:themeColor="text1"/>
        </w:rPr>
        <w:t>Economic Risk Study Instrument</w:t>
      </w:r>
      <w:r w:rsidRPr="57498E70">
        <w:rPr>
          <w:b/>
          <w:color w:val="000000" w:themeColor="text1"/>
        </w:rPr>
        <w:t xml:space="preserve"> </w:t>
      </w:r>
      <w:r w:rsidRPr="57498E70">
        <w:rPr>
          <w:color w:val="000000" w:themeColor="text1"/>
        </w:rPr>
        <w:t>(</w:t>
      </w:r>
      <w:r>
        <w:rPr>
          <w:color w:val="000000" w:themeColor="text1"/>
        </w:rPr>
        <w:t>survey</w:t>
      </w:r>
      <w:r w:rsidRPr="57498E70">
        <w:rPr>
          <w:color w:val="000000" w:themeColor="text1"/>
        </w:rPr>
        <w:t xml:space="preserve"> </w:t>
      </w:r>
      <w:r>
        <w:rPr>
          <w:color w:val="000000" w:themeColor="text1"/>
        </w:rPr>
        <w:t>i</w:t>
      </w:r>
      <w:r w:rsidRPr="57498E70">
        <w:rPr>
          <w:color w:val="000000" w:themeColor="text1"/>
        </w:rPr>
        <w:t>nstrument)</w:t>
      </w:r>
    </w:p>
    <w:p w:rsidRPr="00814C26" w:rsidR="006655D2" w:rsidP="001F0A4A" w:rsidRDefault="006655D2" w14:paraId="792B2607" w14:textId="4E07DC77">
      <w:pPr>
        <w:pStyle w:val="ListBullet"/>
      </w:pPr>
      <w:r w:rsidRPr="00814C26">
        <w:rPr>
          <w:b/>
          <w:bCs/>
        </w:rPr>
        <w:t>Attachment A-</w:t>
      </w:r>
      <w:r w:rsidR="00C81975">
        <w:rPr>
          <w:b/>
          <w:bCs/>
        </w:rPr>
        <w:t>2</w:t>
      </w:r>
      <w:r w:rsidRPr="00814C26">
        <w:rPr>
          <w:b/>
          <w:bCs/>
        </w:rPr>
        <w:t>:</w:t>
      </w:r>
      <w:r>
        <w:t xml:space="preserve"> Federal Register Notice</w:t>
      </w:r>
    </w:p>
    <w:p w:rsidRPr="0036310A" w:rsidR="00430737" w:rsidP="0036310A" w:rsidRDefault="006655D2" w14:paraId="4CF56915" w14:textId="10F3EA30">
      <w:pPr>
        <w:pStyle w:val="ListBullet"/>
      </w:pPr>
      <w:r w:rsidRPr="57498E70">
        <w:rPr>
          <w:b/>
          <w:color w:val="000000" w:themeColor="text1"/>
        </w:rPr>
        <w:t>Attachment A</w:t>
      </w:r>
      <w:r>
        <w:rPr>
          <w:b/>
          <w:color w:val="000000" w:themeColor="text1"/>
        </w:rPr>
        <w:t>-</w:t>
      </w:r>
      <w:r w:rsidR="00C81975">
        <w:rPr>
          <w:b/>
          <w:color w:val="000000" w:themeColor="text1"/>
        </w:rPr>
        <w:t>3</w:t>
      </w:r>
      <w:r w:rsidRPr="57498E70">
        <w:rPr>
          <w:b/>
          <w:color w:val="000000" w:themeColor="text1"/>
        </w:rPr>
        <w:t>:</w:t>
      </w:r>
      <w:r w:rsidRPr="57498E70">
        <w:rPr>
          <w:color w:val="000000" w:themeColor="text1"/>
        </w:rPr>
        <w:t xml:space="preserve"> </w:t>
      </w:r>
      <w:r w:rsidR="00C81975">
        <w:rPr>
          <w:bCs/>
          <w:color w:val="000000" w:themeColor="text1"/>
        </w:rPr>
        <w:t>Comment on Federal Register Notice</w:t>
      </w:r>
    </w:p>
    <w:sectPr w:rsidRPr="0036310A" w:rsidR="00430737" w:rsidSect="00867B2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F40B0" w14:textId="77777777" w:rsidR="00FF7288" w:rsidRPr="00CC6F21" w:rsidRDefault="00FF7288" w:rsidP="00CC6F21">
      <w:r>
        <w:separator/>
      </w:r>
    </w:p>
  </w:endnote>
  <w:endnote w:type="continuationSeparator" w:id="0">
    <w:p w14:paraId="7CB58445" w14:textId="77777777" w:rsidR="00FF7288" w:rsidRPr="00CC6F21" w:rsidRDefault="00FF7288" w:rsidP="00CC6F21">
      <w:r>
        <w:continuationSeparator/>
      </w:r>
    </w:p>
  </w:endnote>
  <w:endnote w:type="continuationNotice" w:id="1">
    <w:p w14:paraId="514F3501" w14:textId="77777777" w:rsidR="00FF7288" w:rsidRDefault="00FF728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Fakt Pro Nor">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D3E45" w14:textId="5FA93BBA"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172AC">
      <w:rPr>
        <w:b/>
        <w:noProof/>
      </w:rPr>
      <w:t>05/26/22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16AADB66" w14:textId="77777777" w:rsidR="00302E84" w:rsidRDefault="00302E84"/>
  <w:p w14:paraId="7974A2C7" w14:textId="77777777" w:rsidR="00B67C06" w:rsidRDefault="00B67C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1C40" w14:textId="6A88F11D" w:rsidR="006655D2" w:rsidRPr="00A37298" w:rsidRDefault="006655D2" w:rsidP="000A343C">
    <w:pPr>
      <w:pStyle w:val="Footer"/>
      <w:tabs>
        <w:tab w:val="clear" w:pos="10080"/>
        <w:tab w:val="left" w:pos="5040"/>
        <w:tab w:val="right" w:pos="136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AB7FC" w14:textId="41615819" w:rsidR="004C0CB6" w:rsidRPr="004C0CB6" w:rsidRDefault="004C0CB6" w:rsidP="004C0CB6">
    <w:pPr>
      <w:pStyle w:val="Footer"/>
      <w:tabs>
        <w:tab w:val="left" w:pos="5040"/>
      </w:tabs>
    </w:pP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99869" w14:textId="77777777" w:rsidR="00FF7288" w:rsidRPr="00CC6F21" w:rsidRDefault="00FF7288" w:rsidP="003842A6">
      <w:pPr>
        <w:pStyle w:val="FootnoteSep"/>
      </w:pPr>
      <w:r>
        <w:separator/>
      </w:r>
    </w:p>
  </w:footnote>
  <w:footnote w:type="continuationSeparator" w:id="0">
    <w:p w14:paraId="2FCF1AA3" w14:textId="77777777" w:rsidR="00FF7288" w:rsidRPr="00CC6F21" w:rsidRDefault="00FF7288" w:rsidP="003842A6">
      <w:pPr>
        <w:pStyle w:val="FootnoteSep"/>
      </w:pPr>
      <w:r>
        <w:continuationSeparator/>
      </w:r>
    </w:p>
  </w:footnote>
  <w:footnote w:type="continuationNotice" w:id="1">
    <w:p w14:paraId="51F1CDCC" w14:textId="77777777" w:rsidR="00FF7288" w:rsidRDefault="00FF7288"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C83B7" w14:textId="037B9686" w:rsidR="004C3238" w:rsidRPr="006655D2" w:rsidRDefault="004C3238" w:rsidP="006655D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FB740"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F9B74" w14:textId="0632EBB3" w:rsidR="006655D2" w:rsidRPr="000A343C" w:rsidRDefault="006655D2" w:rsidP="000A343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76974"/>
    <w:multiLevelType w:val="hybridMultilevel"/>
    <w:tmpl w:val="60D08D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341FC3"/>
    <w:multiLevelType w:val="hybridMultilevel"/>
    <w:tmpl w:val="6F766E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4E6733"/>
    <w:multiLevelType w:val="hybridMultilevel"/>
    <w:tmpl w:val="60D08D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CCF0B98"/>
    <w:multiLevelType w:val="hybridMultilevel"/>
    <w:tmpl w:val="974A6540"/>
    <w:lvl w:ilvl="0" w:tplc="AA3EA87E">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5"/>
  </w:num>
  <w:num w:numId="9">
    <w:abstractNumId w:val="13"/>
  </w:num>
  <w:num w:numId="10">
    <w:abstractNumId w:val="25"/>
  </w:num>
  <w:num w:numId="11">
    <w:abstractNumId w:val="10"/>
  </w:num>
  <w:num w:numId="12">
    <w:abstractNumId w:val="16"/>
  </w:num>
  <w:num w:numId="13">
    <w:abstractNumId w:val="27"/>
  </w:num>
  <w:num w:numId="14">
    <w:abstractNumId w:val="30"/>
  </w:num>
  <w:num w:numId="15">
    <w:abstractNumId w:val="21"/>
  </w:num>
  <w:num w:numId="16">
    <w:abstractNumId w:val="24"/>
  </w:num>
  <w:num w:numId="17">
    <w:abstractNumId w:val="14"/>
  </w:num>
  <w:num w:numId="18">
    <w:abstractNumId w:val="9"/>
  </w:num>
  <w:num w:numId="19">
    <w:abstractNumId w:val="6"/>
  </w:num>
  <w:num w:numId="20">
    <w:abstractNumId w:val="8"/>
  </w:num>
  <w:num w:numId="21">
    <w:abstractNumId w:val="3"/>
  </w:num>
  <w:num w:numId="22">
    <w:abstractNumId w:val="2"/>
  </w:num>
  <w:num w:numId="23">
    <w:abstractNumId w:val="19"/>
  </w:num>
  <w:num w:numId="24">
    <w:abstractNumId w:val="7"/>
  </w:num>
  <w:num w:numId="25">
    <w:abstractNumId w:val="20"/>
  </w:num>
  <w:num w:numId="26">
    <w:abstractNumId w:val="12"/>
  </w:num>
  <w:num w:numId="27">
    <w:abstractNumId w:val="28"/>
  </w:num>
  <w:num w:numId="28">
    <w:abstractNumId w:val="17"/>
  </w:num>
  <w:num w:numId="29">
    <w:abstractNumId w:val="26"/>
  </w:num>
  <w:num w:numId="30">
    <w:abstractNumId w:val="18"/>
  </w:num>
  <w:num w:numId="31">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D2"/>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23F49"/>
    <w:rsid w:val="0003072A"/>
    <w:rsid w:val="00031506"/>
    <w:rsid w:val="000336D2"/>
    <w:rsid w:val="00033B02"/>
    <w:rsid w:val="00033BA6"/>
    <w:rsid w:val="00034595"/>
    <w:rsid w:val="00036CF4"/>
    <w:rsid w:val="00037779"/>
    <w:rsid w:val="0004019D"/>
    <w:rsid w:val="00041061"/>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765FF"/>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43C"/>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1623"/>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465F"/>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853"/>
    <w:rsid w:val="00175EE8"/>
    <w:rsid w:val="00175F2E"/>
    <w:rsid w:val="00176C05"/>
    <w:rsid w:val="001776C2"/>
    <w:rsid w:val="0018145F"/>
    <w:rsid w:val="001827DF"/>
    <w:rsid w:val="00182B49"/>
    <w:rsid w:val="0018308B"/>
    <w:rsid w:val="001836E5"/>
    <w:rsid w:val="00184240"/>
    <w:rsid w:val="00185DBF"/>
    <w:rsid w:val="00186B80"/>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C7FC5"/>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0A4A"/>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2D"/>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1B8D"/>
    <w:rsid w:val="002A32E2"/>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1308"/>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844"/>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0737"/>
    <w:rsid w:val="00432CFA"/>
    <w:rsid w:val="004347B2"/>
    <w:rsid w:val="00435B58"/>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250C"/>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0CB6"/>
    <w:rsid w:val="004C1652"/>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5B52"/>
    <w:rsid w:val="005268FF"/>
    <w:rsid w:val="00526C21"/>
    <w:rsid w:val="005275F2"/>
    <w:rsid w:val="00530138"/>
    <w:rsid w:val="005325CA"/>
    <w:rsid w:val="00533D02"/>
    <w:rsid w:val="00536353"/>
    <w:rsid w:val="00536884"/>
    <w:rsid w:val="005424AB"/>
    <w:rsid w:val="00543BFC"/>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5D2"/>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7D6"/>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3517"/>
    <w:rsid w:val="006D4BFF"/>
    <w:rsid w:val="006D4FED"/>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153"/>
    <w:rsid w:val="00703CA9"/>
    <w:rsid w:val="00703EF0"/>
    <w:rsid w:val="00706AA5"/>
    <w:rsid w:val="00707EA8"/>
    <w:rsid w:val="007113E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94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4C73"/>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08E1"/>
    <w:rsid w:val="007B17CC"/>
    <w:rsid w:val="007B54A5"/>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5C88"/>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3EF5"/>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CC2"/>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42F"/>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17F6E"/>
    <w:rsid w:val="00920D58"/>
    <w:rsid w:val="00920E76"/>
    <w:rsid w:val="0092300B"/>
    <w:rsid w:val="00924FCF"/>
    <w:rsid w:val="00925941"/>
    <w:rsid w:val="00926125"/>
    <w:rsid w:val="00926C90"/>
    <w:rsid w:val="00927D21"/>
    <w:rsid w:val="009307EF"/>
    <w:rsid w:val="00930836"/>
    <w:rsid w:val="00931B06"/>
    <w:rsid w:val="009333B8"/>
    <w:rsid w:val="00934844"/>
    <w:rsid w:val="009357D7"/>
    <w:rsid w:val="009365B0"/>
    <w:rsid w:val="00940B48"/>
    <w:rsid w:val="00941C9E"/>
    <w:rsid w:val="009430D9"/>
    <w:rsid w:val="0094543B"/>
    <w:rsid w:val="009460E9"/>
    <w:rsid w:val="0095021D"/>
    <w:rsid w:val="00950C3D"/>
    <w:rsid w:val="00953675"/>
    <w:rsid w:val="00955C65"/>
    <w:rsid w:val="00955CD8"/>
    <w:rsid w:val="0096021C"/>
    <w:rsid w:val="009618FB"/>
    <w:rsid w:val="00962E94"/>
    <w:rsid w:val="00965F6E"/>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63FD"/>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C49"/>
    <w:rsid w:val="00AB3E20"/>
    <w:rsid w:val="00AB47A9"/>
    <w:rsid w:val="00AB4E1F"/>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21D1"/>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67C06"/>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1975"/>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AC"/>
    <w:rsid w:val="00CF66F3"/>
    <w:rsid w:val="00D00653"/>
    <w:rsid w:val="00D0467A"/>
    <w:rsid w:val="00D04944"/>
    <w:rsid w:val="00D06797"/>
    <w:rsid w:val="00D12EE7"/>
    <w:rsid w:val="00D1641C"/>
    <w:rsid w:val="00D172AC"/>
    <w:rsid w:val="00D24B26"/>
    <w:rsid w:val="00D266C9"/>
    <w:rsid w:val="00D2687F"/>
    <w:rsid w:val="00D27C75"/>
    <w:rsid w:val="00D303B9"/>
    <w:rsid w:val="00D3101C"/>
    <w:rsid w:val="00D310F0"/>
    <w:rsid w:val="00D31939"/>
    <w:rsid w:val="00D32374"/>
    <w:rsid w:val="00D32775"/>
    <w:rsid w:val="00D32F6D"/>
    <w:rsid w:val="00D33028"/>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380A"/>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6"/>
    <w:rsid w:val="00ED133D"/>
    <w:rsid w:val="00ED17D9"/>
    <w:rsid w:val="00ED1D72"/>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887"/>
    <w:rsid w:val="00F05F39"/>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4634"/>
    <w:rsid w:val="00F254AA"/>
    <w:rsid w:val="00F26932"/>
    <w:rsid w:val="00F272FE"/>
    <w:rsid w:val="00F31712"/>
    <w:rsid w:val="00F34147"/>
    <w:rsid w:val="00F35807"/>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 w:val="00FF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4AEE0"/>
  <w15:chartTrackingRefBased/>
  <w15:docId w15:val="{292D1249-F6F0-4DF9-AECE-C729F68E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iPriority="39"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rsid w:val="00041CBC"/>
    <w:pPr>
      <w:jc w:val="center"/>
    </w:pPr>
    <w:rPr>
      <w:bCs/>
    </w:rPr>
  </w:style>
  <w:style w:type="paragraph" w:customStyle="1" w:styleId="Banner">
    <w:name w:val="Banner"/>
    <w:basedOn w:val="H1"/>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rsid w:val="003F020C"/>
    <w:pPr>
      <w:spacing w:before="5120" w:after="0"/>
      <w:jc w:val="center"/>
    </w:pPr>
    <w:rPr>
      <w:b/>
      <w:bCs/>
    </w:rPr>
  </w:style>
  <w:style w:type="paragraph" w:customStyle="1" w:styleId="Byline">
    <w:name w:val="Byline"/>
    <w:basedOn w:val="Normal"/>
    <w:rsid w:val="00A66476"/>
    <w:pPr>
      <w:spacing w:after="0"/>
      <w:jc w:val="right"/>
    </w:pPr>
    <w:rPr>
      <w:rFonts w:asciiTheme="majorHAnsi" w:hAnsiTheme="majorHAnsi"/>
      <w:bCs/>
    </w:rPr>
  </w:style>
  <w:style w:type="paragraph" w:customStyle="1" w:styleId="Callout">
    <w:name w:val="Callout"/>
    <w:basedOn w:val="Normal"/>
    <w:rsid w:val="003D7CA2"/>
    <w:pPr>
      <w:spacing w:after="0"/>
    </w:pPr>
    <w:rPr>
      <w:rFonts w:asciiTheme="majorHAnsi" w:hAnsiTheme="majorHAnsi"/>
      <w:b/>
      <w:bCs/>
      <w:color w:val="0B2949" w:themeColor="accent1"/>
      <w:sz w:val="24"/>
    </w:rPr>
  </w:style>
  <w:style w:type="paragraph" w:styleId="Date">
    <w:name w:val="Date"/>
    <w:basedOn w:val="Normal"/>
    <w:next w:val="Normal"/>
    <w:link w:val="DateChar"/>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rsid w:val="00F21396"/>
    <w:pPr>
      <w:spacing w:after="90" w:line="276" w:lineRule="auto"/>
    </w:pPr>
    <w:rPr>
      <w:rFonts w:ascii="Georgia" w:hAnsi="Georgia"/>
      <w:sz w:val="22"/>
    </w:rPr>
  </w:style>
  <w:style w:type="paragraph" w:customStyle="1" w:styleId="CoverAuthor">
    <w:name w:val="Cover Author"/>
    <w:basedOn w:val="CoverDate"/>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rsid w:val="00F765FE"/>
    <w:pPr>
      <w:tabs>
        <w:tab w:val="left" w:pos="576"/>
      </w:tabs>
      <w:spacing w:before="240"/>
      <w:ind w:left="576" w:hanging="576"/>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rsid w:val="00304F55"/>
    <w:pPr>
      <w:outlineLvl w:val="9"/>
    </w:pPr>
  </w:style>
  <w:style w:type="paragraph" w:customStyle="1" w:styleId="ESH2">
    <w:name w:val="ES H2"/>
    <w:basedOn w:val="ESH1"/>
    <w:next w:val="ESParagraphContinued"/>
    <w:rsid w:val="007601ED"/>
    <w:rPr>
      <w:b w:val="0"/>
      <w:sz w:val="24"/>
    </w:rPr>
  </w:style>
  <w:style w:type="paragraph" w:customStyle="1" w:styleId="ESListBullet">
    <w:name w:val="ES List Bullet"/>
    <w:basedOn w:val="ESParagraph"/>
    <w:rsid w:val="005A7794"/>
    <w:pPr>
      <w:numPr>
        <w:numId w:val="12"/>
      </w:numPr>
    </w:pPr>
  </w:style>
  <w:style w:type="paragraph" w:customStyle="1" w:styleId="ESListNumber">
    <w:name w:val="ES List Number"/>
    <w:basedOn w:val="ESParagraph"/>
    <w:rsid w:val="005A7794"/>
    <w:pPr>
      <w:numPr>
        <w:numId w:val="13"/>
      </w:numPr>
    </w:pPr>
  </w:style>
  <w:style w:type="paragraph" w:customStyle="1" w:styleId="ESParagraph">
    <w:name w:val="ES Paragraph"/>
    <w:basedOn w:val="Normal"/>
    <w:rsid w:val="005945DD"/>
    <w:rPr>
      <w:rFonts w:asciiTheme="majorHAnsi" w:hAnsiTheme="majorHAnsi"/>
      <w:color w:val="000000" w:themeColor="text1"/>
    </w:rPr>
  </w:style>
  <w:style w:type="paragraph" w:customStyle="1" w:styleId="ESParagraphContinued">
    <w:name w:val="ES Paragraph Continued"/>
    <w:basedOn w:val="ESParagraph"/>
    <w:next w:val="ESParagraph"/>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4C0CB6"/>
    <w:pPr>
      <w:ind w:left="720" w:hanging="720"/>
      <w:outlineLvl w:val="2"/>
    </w:pPr>
    <w:rPr>
      <w:b w:val="0"/>
      <w:color w:val="auto"/>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rsid w:val="000F249C"/>
    <w:pPr>
      <w:spacing w:after="0"/>
    </w:pPr>
    <w:rPr>
      <w:rFonts w:asciiTheme="majorHAnsi" w:hAnsiTheme="majorHAnsi"/>
      <w:color w:val="000000" w:themeColor="text1"/>
    </w:rPr>
  </w:style>
  <w:style w:type="paragraph" w:styleId="ListParagraph">
    <w:name w:val="List Paragraph"/>
    <w:aliases w:val="CH Bullets (square),Question"/>
    <w:basedOn w:val="Normal"/>
    <w:link w:val="ListParagraphChar"/>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AF1C85"/>
    <w:rPr>
      <w:rFonts w:ascii="Consolas" w:hAnsi="Consolas"/>
      <w:sz w:val="20"/>
      <w:szCs w:val="20"/>
    </w:rPr>
  </w:style>
  <w:style w:type="paragraph" w:customStyle="1" w:styleId="Notes">
    <w:name w:val="Notes"/>
    <w:basedOn w:val="Normal"/>
    <w:rsid w:val="003C7286"/>
    <w:rPr>
      <w:color w:val="046B5C" w:themeColor="text2"/>
    </w:rPr>
  </w:style>
  <w:style w:type="paragraph" w:customStyle="1" w:styleId="Pubinfo">
    <w:name w:val="Pubinfo"/>
    <w:basedOn w:val="Normal"/>
    <w:rsid w:val="00607E0C"/>
    <w:rPr>
      <w:b/>
    </w:rPr>
  </w:style>
  <w:style w:type="paragraph" w:customStyle="1" w:styleId="PubinfoCategory">
    <w:name w:val="Pubinfo Category"/>
    <w:basedOn w:val="Pubinfo"/>
    <w:rsid w:val="00607E0C"/>
  </w:style>
  <w:style w:type="paragraph" w:customStyle="1" w:styleId="PubinfoDate">
    <w:name w:val="Pubinfo Date"/>
    <w:basedOn w:val="PubinfoCategory"/>
    <w:rsid w:val="00607E0C"/>
  </w:style>
  <w:style w:type="paragraph" w:customStyle="1" w:styleId="PubinfoHead">
    <w:name w:val="Pubinfo Head"/>
    <w:basedOn w:val="Pubinfo"/>
    <w:rsid w:val="00607E0C"/>
  </w:style>
  <w:style w:type="paragraph" w:customStyle="1" w:styleId="PubinfoList">
    <w:name w:val="Pubinfo List"/>
    <w:basedOn w:val="Pubinfo"/>
    <w:rsid w:val="00607E0C"/>
  </w:style>
  <w:style w:type="paragraph" w:customStyle="1" w:styleId="PubinfoNumber">
    <w:name w:val="Pubinfo Number"/>
    <w:basedOn w:val="Pubinfo"/>
    <w:rsid w:val="00607E0C"/>
  </w:style>
  <w:style w:type="paragraph" w:styleId="Quote">
    <w:name w:val="Quote"/>
    <w:basedOn w:val="Normal"/>
    <w:link w:val="QuoteChar"/>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rsid w:val="00FF172E"/>
    <w:pPr>
      <w:jc w:val="right"/>
    </w:pPr>
    <w:rPr>
      <w:i/>
    </w:rPr>
  </w:style>
  <w:style w:type="paragraph" w:styleId="Subtitle">
    <w:name w:val="Subtitle"/>
    <w:basedOn w:val="Normal"/>
    <w:next w:val="Normal"/>
    <w:link w:val="SubtitleChar"/>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rsid w:val="00F131BB"/>
    <w:pPr>
      <w:ind w:left="0" w:firstLine="0"/>
    </w:pPr>
    <w:rPr>
      <w:color w:val="0B2949" w:themeColor="accent1"/>
      <w:sz w:val="22"/>
    </w:rPr>
  </w:style>
  <w:style w:type="paragraph" w:customStyle="1" w:styleId="SidebarHead">
    <w:name w:val="Sidebar Head"/>
    <w:basedOn w:val="SidebarTitle"/>
    <w:next w:val="Sidebar"/>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uiPriority w:val="39"/>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uiPriority w:val="39"/>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uiPriority w:val="39"/>
    <w:rsid w:val="00797E32"/>
    <w:pPr>
      <w:tabs>
        <w:tab w:val="right" w:leader="dot" w:pos="9360"/>
      </w:tabs>
      <w:spacing w:after="100"/>
      <w:ind w:left="1296" w:hanging="432"/>
    </w:pPr>
    <w:rPr>
      <w:rFonts w:asciiTheme="majorHAnsi" w:hAnsiTheme="majorHAnsi"/>
    </w:rPr>
  </w:style>
  <w:style w:type="paragraph" w:styleId="TOCHeading">
    <w:name w:val="TOC Heading"/>
    <w:next w:val="TOC1"/>
    <w:uiPriority w:val="39"/>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rsid w:val="00734C8B"/>
    <w:pPr>
      <w:numPr>
        <w:numId w:val="26"/>
      </w:numPr>
    </w:pPr>
  </w:style>
  <w:style w:type="paragraph" w:customStyle="1" w:styleId="SidebarListNumber">
    <w:name w:val="Sidebar List Number"/>
    <w:basedOn w:val="Sidebar"/>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rsid w:val="00797E32"/>
    <w:pPr>
      <w:spacing w:after="100"/>
      <w:ind w:left="1728" w:hanging="432"/>
    </w:pPr>
    <w:rPr>
      <w:rFonts w:asciiTheme="majorHAnsi" w:hAnsiTheme="majorHAnsi"/>
    </w:rPr>
  </w:style>
  <w:style w:type="paragraph" w:customStyle="1" w:styleId="Disclaimer">
    <w:name w:val="Disclaimer"/>
    <w:basedOn w:val="Footer"/>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iPriority w:val="99"/>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rsid w:val="00245E02"/>
    <w:rPr>
      <w:vertAlign w:val="superscript"/>
    </w:rPr>
  </w:style>
  <w:style w:type="paragraph" w:styleId="EndnoteText">
    <w:name w:val="endnote text"/>
    <w:basedOn w:val="Normal"/>
    <w:link w:val="EndnoteTextChar"/>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semiHidden/>
    <w:rsid w:val="00AF1C85"/>
  </w:style>
  <w:style w:type="paragraph" w:styleId="EnvelopeAddress">
    <w:name w:val="envelope address"/>
    <w:basedOn w:val="Normal"/>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F1C85"/>
    <w:rPr>
      <w:rFonts w:ascii="Consolas" w:hAnsi="Consolas"/>
      <w:sz w:val="21"/>
      <w:szCs w:val="21"/>
    </w:rPr>
  </w:style>
  <w:style w:type="paragraph" w:styleId="Signature">
    <w:name w:val="Signature"/>
    <w:basedOn w:val="Normal"/>
    <w:link w:val="SignatureChar"/>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ListParagraphChar">
    <w:name w:val="List Paragraph Char"/>
    <w:aliases w:val="CH Bullets (square) Char,Question Char"/>
    <w:link w:val="ListParagraph"/>
    <w:uiPriority w:val="34"/>
    <w:rsid w:val="006655D2"/>
  </w:style>
  <w:style w:type="paragraph" w:customStyle="1" w:styleId="Title1">
    <w:name w:val="Title 1"/>
    <w:autoRedefine/>
    <w:semiHidden/>
    <w:rsid w:val="006655D2"/>
    <w:pPr>
      <w:spacing w:after="0" w:line="240" w:lineRule="auto"/>
      <w:contextualSpacing/>
      <w:jc w:val="center"/>
    </w:pPr>
    <w:rPr>
      <w:rFonts w:ascii="Arial" w:eastAsia="Calibri" w:hAnsi="Arial" w:cs="Arial"/>
      <w:b/>
      <w:bCs/>
      <w:sz w:val="40"/>
      <w:szCs w:val="40"/>
    </w:rPr>
  </w:style>
  <w:style w:type="paragraph" w:customStyle="1" w:styleId="p">
    <w:name w:val="p"/>
    <w:link w:val="pChar"/>
    <w:semiHidden/>
    <w:rsid w:val="006655D2"/>
    <w:pPr>
      <w:widowControl w:val="0"/>
      <w:autoSpaceDE w:val="0"/>
      <w:autoSpaceDN w:val="0"/>
      <w:spacing w:after="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semiHidden/>
    <w:rsid w:val="006655D2"/>
    <w:rPr>
      <w:rFonts w:ascii="Arial" w:eastAsia="Arial" w:hAnsi="Arial" w:cs="Arial"/>
      <w:color w:val="231F20"/>
      <w:w w:val="110"/>
      <w:sz w:val="24"/>
      <w:szCs w:val="24"/>
      <w:lang w:bidi="en-US"/>
    </w:rPr>
  </w:style>
  <w:style w:type="table" w:customStyle="1" w:styleId="GridTable4-Accent41">
    <w:name w:val="Grid Table 4 - Accent 41"/>
    <w:basedOn w:val="TableNormal"/>
    <w:rsid w:val="006655D2"/>
    <w:pPr>
      <w:spacing w:after="0" w:line="240" w:lineRule="auto"/>
    </w:pPr>
    <w:rPr>
      <w:rFonts w:ascii="Calibri" w:eastAsia="Calibri" w:hAnsi="Calibri" w:cs="Times New Roman"/>
      <w:sz w:val="20"/>
      <w:szCs w:val="20"/>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character" w:customStyle="1" w:styleId="A1">
    <w:name w:val="A1"/>
    <w:basedOn w:val="DefaultParagraphFont"/>
    <w:semiHidden/>
    <w:rsid w:val="006655D2"/>
    <w:rPr>
      <w:rFonts w:ascii="Fakt Pro Nor" w:hAnsi="Fakt Pro Nor" w:hint="default"/>
      <w:color w:val="C0B7AE"/>
    </w:rPr>
  </w:style>
  <w:style w:type="character" w:customStyle="1" w:styleId="normaltextrun">
    <w:name w:val="normaltextrun"/>
    <w:basedOn w:val="DefaultParagraphFont"/>
    <w:semiHidden/>
    <w:rsid w:val="006655D2"/>
  </w:style>
  <w:style w:type="character" w:customStyle="1" w:styleId="eop">
    <w:name w:val="eop"/>
    <w:basedOn w:val="DefaultParagraphFont"/>
    <w:semiHidden/>
    <w:rsid w:val="006655D2"/>
  </w:style>
  <w:style w:type="paragraph" w:customStyle="1" w:styleId="Text">
    <w:name w:val="Text"/>
    <w:basedOn w:val="Normal"/>
    <w:semiHidden/>
    <w:rsid w:val="006655D2"/>
    <w:pPr>
      <w:spacing w:after="0" w:line="240" w:lineRule="auto"/>
    </w:pPr>
    <w:rPr>
      <w:rFonts w:ascii="Helvetica" w:hAnsi="Helvetica" w:cs="Times New Roman"/>
      <w:sz w:val="21"/>
      <w:szCs w:val="24"/>
    </w:rPr>
  </w:style>
  <w:style w:type="table" w:customStyle="1" w:styleId="TableGrid0">
    <w:name w:val="TableGrid"/>
    <w:rsid w:val="006655D2"/>
    <w:pPr>
      <w:spacing w:after="0" w:line="240" w:lineRule="auto"/>
    </w:pPr>
    <w:rPr>
      <w:rFonts w:eastAsiaTheme="minorEastAsia"/>
    </w:rPr>
    <w:tblPr>
      <w:tblCellMar>
        <w:top w:w="0" w:type="dxa"/>
        <w:left w:w="0" w:type="dxa"/>
        <w:bottom w:w="0" w:type="dxa"/>
        <w:right w:w="0" w:type="dxa"/>
      </w:tblCellMar>
    </w:tblPr>
  </w:style>
  <w:style w:type="paragraph" w:customStyle="1" w:styleId="MarkforTableTitle">
    <w:name w:val="Mark for Table Title"/>
    <w:basedOn w:val="Normal"/>
    <w:next w:val="NormalSS"/>
    <w:semiHidden/>
    <w:rsid w:val="006655D2"/>
    <w:pPr>
      <w:keepNext/>
      <w:spacing w:after="60" w:line="240" w:lineRule="auto"/>
    </w:pPr>
    <w:rPr>
      <w:rFonts w:ascii="Arial Black" w:eastAsia="Times New Roman" w:hAnsi="Arial Black" w:cs="Times New Roman"/>
      <w:szCs w:val="20"/>
    </w:rPr>
  </w:style>
  <w:style w:type="paragraph" w:customStyle="1" w:styleId="NormalSS">
    <w:name w:val="NormalSS"/>
    <w:basedOn w:val="Normal"/>
    <w:link w:val="NormalSSChar"/>
    <w:semiHidden/>
    <w:rsid w:val="006655D2"/>
    <w:pPr>
      <w:spacing w:after="240" w:line="240" w:lineRule="auto"/>
      <w:ind w:firstLine="432"/>
    </w:pPr>
    <w:rPr>
      <w:rFonts w:ascii="Times New Roman" w:eastAsia="Times New Roman" w:hAnsi="Times New Roman" w:cs="Times New Roman"/>
      <w:sz w:val="24"/>
      <w:szCs w:val="20"/>
    </w:rPr>
  </w:style>
  <w:style w:type="paragraph" w:customStyle="1" w:styleId="TableText">
    <w:name w:val="Table Text"/>
    <w:basedOn w:val="Normal"/>
    <w:semiHidden/>
    <w:qFormat/>
    <w:rsid w:val="006655D2"/>
    <w:pPr>
      <w:spacing w:after="0" w:line="240" w:lineRule="auto"/>
    </w:pPr>
    <w:rPr>
      <w:rFonts w:ascii="Arial" w:eastAsia="Times New Roman" w:hAnsi="Arial" w:cs="Times New Roman"/>
      <w:sz w:val="18"/>
      <w:szCs w:val="20"/>
    </w:rPr>
  </w:style>
  <w:style w:type="paragraph" w:customStyle="1" w:styleId="TableSourceCaption">
    <w:name w:val="Table Source_Caption"/>
    <w:semiHidden/>
    <w:qFormat/>
    <w:rsid w:val="006655D2"/>
    <w:pPr>
      <w:tabs>
        <w:tab w:val="left" w:pos="792"/>
      </w:tabs>
      <w:spacing w:before="60" w:after="0" w:line="240" w:lineRule="auto"/>
      <w:ind w:left="792" w:hanging="792"/>
    </w:pPr>
    <w:rPr>
      <w:rFonts w:ascii="Arial" w:eastAsia="Times New Roman" w:hAnsi="Arial" w:cs="Times New Roman"/>
      <w:sz w:val="18"/>
      <w:szCs w:val="20"/>
    </w:rPr>
  </w:style>
  <w:style w:type="character" w:customStyle="1" w:styleId="NormalSSChar">
    <w:name w:val="NormalSS Char"/>
    <w:basedOn w:val="DefaultParagraphFont"/>
    <w:link w:val="NormalSS"/>
    <w:rsid w:val="006655D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ncsl.org/research/human-services/addressing-benefits-cliffs.asp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aspe.hhs.gov/sites/default/files/documents/04efcaa192583caf5f53b98b80802ca6/MTR_Qual_Study_Brief_Risks.pdf" TargetMode="External"/><Relationship Id="rId2" Type="http://schemas.openxmlformats.org/officeDocument/2006/relationships/customXml" Target="../customXml/item2.xml"/><Relationship Id="rId16" Type="http://schemas.openxmlformats.org/officeDocument/2006/relationships/hyperlink" Target="http://scholarworks.umb.edu/econ_faculty_pubs/4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22/DCB_h.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101619-D516-44EF-9F2B-D58F73F8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2</TotalTime>
  <Pages>12</Pages>
  <Words>4339</Words>
  <Characters>24733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Econ Risk OMB SSA A</vt:lpstr>
    </vt:vector>
  </TitlesOfParts>
  <Manager/>
  <Company>[Name of Agency or Company]</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 Risk OMB SSA A</dc:title>
  <dc:subject/>
  <dc:creator>MATHEMATICA</dc:creator>
  <cp:keywords>report</cp:keywords>
  <dc:description/>
  <cp:lastModifiedBy>HHS-ASPE/HSP</cp:lastModifiedBy>
  <cp:revision>4</cp:revision>
  <cp:lastPrinted>2020-09-11T21:32:00Z</cp:lastPrinted>
  <dcterms:created xsi:type="dcterms:W3CDTF">2022-05-26T18:52:00Z</dcterms:created>
  <dcterms:modified xsi:type="dcterms:W3CDTF">2022-05-26T18:54:00Z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