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6C8F908" w14:textId="4B6F7F82">
      <w:pPr>
        <w:rPr>
          <w:b/>
        </w:rPr>
      </w:pPr>
    </w:p>
    <w:p w:rsidRPr="00E83413" w:rsidR="0044177D" w:rsidP="0044177D" w:rsidRDefault="0044177D" w14:paraId="0CA81925" w14:textId="07CD5E7F">
      <w:pPr>
        <w:pStyle w:val="ReportCover-Title"/>
        <w:jc w:val="center"/>
        <w:rPr>
          <w:rFonts w:ascii="Arial" w:hAnsi="Arial" w:cs="Arial"/>
          <w:color w:val="auto"/>
        </w:rPr>
      </w:pPr>
      <w:bookmarkStart w:name="_Hlk69196338" w:id="0"/>
      <w:r w:rsidRPr="00E83413">
        <w:rPr>
          <w:rFonts w:ascii="Arial" w:hAnsi="Arial" w:eastAsia="Arial Unicode MS" w:cs="Arial"/>
          <w:noProof/>
          <w:color w:val="auto"/>
        </w:rPr>
        <w:t>Youth</w:t>
      </w:r>
      <w:r w:rsidRPr="00E83413" w:rsidR="00C24327">
        <w:rPr>
          <w:rFonts w:ascii="Arial" w:hAnsi="Arial" w:eastAsia="Arial Unicode MS" w:cs="Arial"/>
          <w:noProof/>
          <w:color w:val="auto"/>
        </w:rPr>
        <w:t xml:space="preserve"> </w:t>
      </w:r>
      <w:r w:rsidRPr="00E83413">
        <w:rPr>
          <w:rFonts w:ascii="Arial" w:hAnsi="Arial" w:eastAsia="Arial Unicode MS" w:cs="Arial"/>
          <w:noProof/>
          <w:color w:val="auto"/>
        </w:rPr>
        <w:t xml:space="preserve">Survey </w:t>
      </w:r>
      <w:r w:rsidRPr="00E83413" w:rsidR="00C24327">
        <w:rPr>
          <w:rFonts w:ascii="Arial" w:hAnsi="Arial" w:eastAsia="Arial Unicode MS" w:cs="Arial"/>
          <w:noProof/>
          <w:color w:val="auto"/>
        </w:rPr>
        <w:t>of Relationships, Education, and Behavior</w:t>
      </w:r>
    </w:p>
    <w:bookmarkEnd w:id="0"/>
    <w:p w:rsidRPr="00E83413" w:rsidR="0054255A" w:rsidP="00B13297" w:rsidRDefault="0054255A" w14:paraId="11C893CE" w14:textId="77777777">
      <w:pPr>
        <w:pStyle w:val="ReportCover-Title"/>
        <w:rPr>
          <w:rFonts w:ascii="Arial" w:hAnsi="Arial" w:cs="Arial"/>
          <w:color w:val="auto"/>
        </w:rPr>
      </w:pPr>
    </w:p>
    <w:p w:rsidRPr="00E83413" w:rsidR="0054255A" w:rsidP="00B13297" w:rsidRDefault="0054255A" w14:paraId="56DAFAF6" w14:textId="77777777">
      <w:pPr>
        <w:pStyle w:val="ReportCover-Title"/>
        <w:rPr>
          <w:rFonts w:ascii="Arial" w:hAnsi="Arial" w:cs="Arial"/>
          <w:color w:val="auto"/>
        </w:rPr>
      </w:pPr>
    </w:p>
    <w:p w:rsidRPr="00E83413" w:rsidR="00B3652D" w:rsidP="00B3652D" w:rsidRDefault="00B3652D" w14:paraId="4D9C5B0F" w14:textId="77777777">
      <w:pPr>
        <w:pStyle w:val="ReportCover-Title"/>
        <w:jc w:val="center"/>
        <w:rPr>
          <w:rFonts w:ascii="Arial" w:hAnsi="Arial" w:cs="Arial"/>
          <w:color w:val="auto"/>
          <w:sz w:val="32"/>
          <w:szCs w:val="32"/>
        </w:rPr>
      </w:pPr>
      <w:r w:rsidRPr="00E83413">
        <w:rPr>
          <w:rFonts w:ascii="Arial" w:hAnsi="Arial" w:cs="Arial"/>
          <w:color w:val="auto"/>
          <w:sz w:val="32"/>
          <w:szCs w:val="32"/>
        </w:rPr>
        <w:t>Formative Data Collections for Program Support</w:t>
      </w:r>
    </w:p>
    <w:p w:rsidRPr="00E83413" w:rsidR="00B3652D" w:rsidP="00B3652D" w:rsidRDefault="00B3652D" w14:paraId="16F24FC8" w14:textId="77777777">
      <w:pPr>
        <w:pStyle w:val="ReportCover-Title"/>
        <w:jc w:val="center"/>
        <w:rPr>
          <w:rFonts w:ascii="Arial" w:hAnsi="Arial" w:cs="Arial"/>
          <w:color w:val="auto"/>
          <w:sz w:val="32"/>
          <w:szCs w:val="32"/>
        </w:rPr>
      </w:pPr>
    </w:p>
    <w:p w:rsidRPr="00E83413" w:rsidR="00B3652D" w:rsidP="00B3652D" w:rsidRDefault="00B3652D" w14:paraId="68EB784E" w14:textId="209DD46A">
      <w:pPr>
        <w:pStyle w:val="ReportCover-Title"/>
        <w:jc w:val="center"/>
        <w:rPr>
          <w:rFonts w:ascii="Arial" w:hAnsi="Arial" w:cs="Arial"/>
          <w:color w:val="auto"/>
          <w:sz w:val="32"/>
          <w:szCs w:val="32"/>
        </w:rPr>
      </w:pPr>
      <w:bookmarkStart w:name="_Hlk69196361" w:id="1"/>
      <w:r w:rsidRPr="00E83413">
        <w:rPr>
          <w:rFonts w:ascii="Arial" w:hAnsi="Arial" w:cs="Arial"/>
          <w:color w:val="auto"/>
          <w:sz w:val="32"/>
          <w:szCs w:val="32"/>
        </w:rPr>
        <w:t>0970</w:t>
      </w:r>
      <w:bookmarkStart w:name="_Hlk69463017" w:id="2"/>
      <w:r w:rsidRPr="00E83413" w:rsidR="00F4057A">
        <w:rPr>
          <w:rFonts w:ascii="Arial" w:hAnsi="Arial" w:cs="Arial"/>
          <w:color w:val="auto"/>
          <w:sz w:val="32"/>
          <w:szCs w:val="32"/>
        </w:rPr>
        <w:t>–</w:t>
      </w:r>
      <w:bookmarkEnd w:id="2"/>
      <w:r w:rsidRPr="00E83413">
        <w:rPr>
          <w:rFonts w:ascii="Arial" w:hAnsi="Arial" w:cs="Arial"/>
          <w:color w:val="auto"/>
          <w:sz w:val="32"/>
          <w:szCs w:val="32"/>
        </w:rPr>
        <w:t>0</w:t>
      </w:r>
      <w:r w:rsidRPr="00E83413" w:rsidR="003562B0">
        <w:rPr>
          <w:rFonts w:ascii="Arial" w:hAnsi="Arial" w:cs="Arial"/>
          <w:color w:val="auto"/>
          <w:sz w:val="32"/>
          <w:szCs w:val="32"/>
        </w:rPr>
        <w:t>531</w:t>
      </w:r>
    </w:p>
    <w:bookmarkEnd w:id="1"/>
    <w:p w:rsidRPr="00E83413" w:rsidR="0054255A" w:rsidP="00B13297" w:rsidRDefault="0054255A" w14:paraId="073B8B22" w14:textId="77777777">
      <w:pPr>
        <w:pStyle w:val="ReportCover-Date"/>
        <w:jc w:val="center"/>
        <w:rPr>
          <w:rFonts w:ascii="Arial" w:hAnsi="Arial" w:cs="Arial"/>
          <w:color w:val="auto"/>
        </w:rPr>
      </w:pPr>
    </w:p>
    <w:p w:rsidRPr="00E83413"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E83413">
        <w:rPr>
          <w:rFonts w:ascii="Arial" w:hAnsi="Arial" w:cs="Arial"/>
          <w:color w:val="auto"/>
          <w:sz w:val="48"/>
          <w:szCs w:val="48"/>
        </w:rPr>
        <w:t>Supporting Statement</w:t>
      </w:r>
    </w:p>
    <w:p w:rsidRPr="00E83413"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E83413">
        <w:rPr>
          <w:rFonts w:ascii="Arial" w:hAnsi="Arial" w:cs="Arial"/>
          <w:color w:val="auto"/>
          <w:sz w:val="48"/>
          <w:szCs w:val="48"/>
        </w:rPr>
        <w:t>Part A</w:t>
      </w:r>
    </w:p>
    <w:p w:rsidRPr="00E83413" w:rsidR="0054255A" w:rsidP="00B13297" w:rsidRDefault="00930593" w14:paraId="782F2D46" w14:textId="1E661F35">
      <w:pPr>
        <w:pStyle w:val="ReportCover-Date"/>
        <w:jc w:val="center"/>
        <w:rPr>
          <w:rFonts w:ascii="Arial" w:hAnsi="Arial" w:cs="Arial"/>
          <w:color w:val="auto"/>
        </w:rPr>
      </w:pPr>
      <w:r w:rsidRPr="00E83413">
        <w:rPr>
          <w:rFonts w:ascii="Arial" w:hAnsi="Arial" w:cs="Arial"/>
          <w:color w:val="auto"/>
        </w:rPr>
        <w:t xml:space="preserve">May </w:t>
      </w:r>
      <w:r w:rsidRPr="00E83413" w:rsidR="0044177D">
        <w:rPr>
          <w:rFonts w:ascii="Arial" w:hAnsi="Arial" w:cs="Arial"/>
          <w:color w:val="auto"/>
        </w:rPr>
        <w:t>2021</w:t>
      </w:r>
    </w:p>
    <w:p w:rsidRPr="00E83413" w:rsidR="0054255A" w:rsidP="00B13297" w:rsidRDefault="0054255A" w14:paraId="44E8CF70" w14:textId="77777777">
      <w:pPr>
        <w:spacing w:after="0" w:line="240" w:lineRule="auto"/>
        <w:jc w:val="center"/>
        <w:rPr>
          <w:rFonts w:ascii="Arial" w:hAnsi="Arial" w:cs="Arial"/>
        </w:rPr>
      </w:pPr>
    </w:p>
    <w:p w:rsidRPr="00E83413" w:rsidR="0054255A" w:rsidP="00B13297" w:rsidRDefault="0054255A" w14:paraId="326AE304" w14:textId="36199CBC">
      <w:pPr>
        <w:spacing w:after="0" w:line="240" w:lineRule="auto"/>
        <w:jc w:val="center"/>
        <w:rPr>
          <w:rFonts w:ascii="Arial" w:hAnsi="Arial" w:cs="Arial"/>
        </w:rPr>
      </w:pPr>
      <w:r w:rsidRPr="00E83413">
        <w:rPr>
          <w:rFonts w:ascii="Arial" w:hAnsi="Arial" w:cs="Arial"/>
        </w:rPr>
        <w:t xml:space="preserve">Submitted </w:t>
      </w:r>
      <w:r w:rsidRPr="00E83413" w:rsidR="00611EE1">
        <w:rPr>
          <w:rFonts w:ascii="Arial" w:hAnsi="Arial" w:cs="Arial"/>
        </w:rPr>
        <w:t>b</w:t>
      </w:r>
      <w:r w:rsidRPr="00E83413">
        <w:rPr>
          <w:rFonts w:ascii="Arial" w:hAnsi="Arial" w:cs="Arial"/>
        </w:rPr>
        <w:t>y:</w:t>
      </w:r>
    </w:p>
    <w:p w:rsidRPr="00E83413" w:rsidR="0054255A" w:rsidP="00B13297" w:rsidRDefault="0054255A" w14:paraId="4993D670" w14:textId="34D57152">
      <w:pPr>
        <w:spacing w:after="0" w:line="240" w:lineRule="auto"/>
        <w:jc w:val="center"/>
        <w:rPr>
          <w:rFonts w:ascii="Arial" w:hAnsi="Arial" w:cs="Arial"/>
        </w:rPr>
      </w:pPr>
      <w:r w:rsidRPr="00E83413">
        <w:rPr>
          <w:rFonts w:ascii="Arial" w:hAnsi="Arial" w:cs="Arial"/>
        </w:rPr>
        <w:t>Office of Planning, Research</w:t>
      </w:r>
      <w:r w:rsidR="00082C50">
        <w:rPr>
          <w:rFonts w:ascii="Arial" w:hAnsi="Arial" w:cs="Arial"/>
        </w:rPr>
        <w:t>,</w:t>
      </w:r>
      <w:r w:rsidRPr="00E83413">
        <w:rPr>
          <w:rFonts w:ascii="Arial" w:hAnsi="Arial" w:cs="Arial"/>
        </w:rPr>
        <w:t xml:space="preserve"> and Evaluation</w:t>
      </w:r>
    </w:p>
    <w:p w:rsidRPr="00E83413" w:rsidR="0054255A" w:rsidP="00B13297" w:rsidRDefault="0054255A" w14:paraId="47965330" w14:textId="77777777">
      <w:pPr>
        <w:spacing w:after="0" w:line="240" w:lineRule="auto"/>
        <w:jc w:val="center"/>
        <w:rPr>
          <w:rFonts w:ascii="Arial" w:hAnsi="Arial" w:cs="Arial"/>
        </w:rPr>
      </w:pPr>
      <w:r w:rsidRPr="00E83413">
        <w:rPr>
          <w:rFonts w:ascii="Arial" w:hAnsi="Arial" w:cs="Arial"/>
        </w:rPr>
        <w:t xml:space="preserve">Administration for Children and Families </w:t>
      </w:r>
    </w:p>
    <w:p w:rsidRPr="00E83413" w:rsidR="0054255A" w:rsidP="00B13297" w:rsidRDefault="0054255A" w14:paraId="6D0243BB" w14:textId="77777777">
      <w:pPr>
        <w:spacing w:after="0" w:line="240" w:lineRule="auto"/>
        <w:jc w:val="center"/>
        <w:rPr>
          <w:rFonts w:ascii="Arial" w:hAnsi="Arial" w:cs="Arial"/>
        </w:rPr>
      </w:pPr>
      <w:r w:rsidRPr="00E83413">
        <w:rPr>
          <w:rFonts w:ascii="Arial" w:hAnsi="Arial" w:cs="Arial"/>
        </w:rPr>
        <w:t>U.S. Department of Health and Human Services</w:t>
      </w:r>
    </w:p>
    <w:p w:rsidRPr="00E83413" w:rsidR="0054255A" w:rsidP="00B13297" w:rsidRDefault="0054255A" w14:paraId="0AED6156" w14:textId="77777777">
      <w:pPr>
        <w:spacing w:after="0" w:line="240" w:lineRule="auto"/>
        <w:jc w:val="center"/>
        <w:rPr>
          <w:rFonts w:ascii="Arial" w:hAnsi="Arial" w:cs="Arial"/>
        </w:rPr>
      </w:pPr>
    </w:p>
    <w:p w:rsidRPr="00E83413" w:rsidR="0054255A" w:rsidP="00B13297" w:rsidRDefault="0054255A" w14:paraId="4FBBD238" w14:textId="77777777">
      <w:pPr>
        <w:spacing w:after="0" w:line="240" w:lineRule="auto"/>
        <w:jc w:val="center"/>
        <w:rPr>
          <w:rFonts w:ascii="Arial" w:hAnsi="Arial" w:cs="Arial"/>
        </w:rPr>
      </w:pPr>
      <w:r w:rsidRPr="00E83413">
        <w:rPr>
          <w:rFonts w:ascii="Arial" w:hAnsi="Arial" w:cs="Arial"/>
        </w:rPr>
        <w:t>4</w:t>
      </w:r>
      <w:r w:rsidRPr="00E83413">
        <w:rPr>
          <w:rFonts w:ascii="Arial" w:hAnsi="Arial" w:cs="Arial"/>
          <w:vertAlign w:val="superscript"/>
        </w:rPr>
        <w:t>th</w:t>
      </w:r>
      <w:r w:rsidRPr="00E83413">
        <w:rPr>
          <w:rFonts w:ascii="Arial" w:hAnsi="Arial" w:cs="Arial"/>
        </w:rPr>
        <w:t xml:space="preserve"> Floor, Mary E. Switzer Building</w:t>
      </w:r>
    </w:p>
    <w:p w:rsidRPr="00E83413" w:rsidR="0054255A" w:rsidP="00B13297" w:rsidRDefault="0054255A" w14:paraId="737C8E19" w14:textId="77777777">
      <w:pPr>
        <w:spacing w:after="0" w:line="240" w:lineRule="auto"/>
        <w:jc w:val="center"/>
        <w:rPr>
          <w:rFonts w:ascii="Arial" w:hAnsi="Arial" w:cs="Arial"/>
        </w:rPr>
      </w:pPr>
      <w:r w:rsidRPr="00E83413">
        <w:rPr>
          <w:rFonts w:ascii="Arial" w:hAnsi="Arial" w:cs="Arial"/>
        </w:rPr>
        <w:t>330 C Street, SW</w:t>
      </w:r>
    </w:p>
    <w:p w:rsidRPr="00E83413" w:rsidR="0054255A" w:rsidP="00B13297" w:rsidRDefault="0054255A" w14:paraId="0C645A88" w14:textId="53619A33">
      <w:pPr>
        <w:spacing w:after="0" w:line="240" w:lineRule="auto"/>
        <w:jc w:val="center"/>
        <w:rPr>
          <w:rFonts w:ascii="Arial" w:hAnsi="Arial" w:cs="Arial"/>
        </w:rPr>
      </w:pPr>
      <w:r w:rsidRPr="00E83413">
        <w:rPr>
          <w:rFonts w:ascii="Arial" w:hAnsi="Arial" w:cs="Arial"/>
        </w:rPr>
        <w:t>Washington, DC 20201</w:t>
      </w:r>
    </w:p>
    <w:p w:rsidRPr="00E83413" w:rsidR="0054255A" w:rsidP="00B13297" w:rsidRDefault="0054255A" w14:paraId="00F1DA38" w14:textId="77777777">
      <w:pPr>
        <w:spacing w:after="0" w:line="240" w:lineRule="auto"/>
        <w:jc w:val="center"/>
        <w:rPr>
          <w:rFonts w:ascii="Arial" w:hAnsi="Arial" w:cs="Arial"/>
        </w:rPr>
      </w:pPr>
    </w:p>
    <w:p w:rsidRPr="00E83413" w:rsidR="0044177D" w:rsidP="00B13297" w:rsidRDefault="0054255A" w14:paraId="666A2C63" w14:textId="1235C1FC">
      <w:pPr>
        <w:spacing w:after="0" w:line="240" w:lineRule="auto"/>
        <w:jc w:val="center"/>
        <w:rPr>
          <w:rFonts w:ascii="Arial" w:hAnsi="Arial" w:cs="Arial"/>
        </w:rPr>
      </w:pPr>
      <w:bookmarkStart w:name="_Hlk69196377" w:id="3"/>
      <w:r w:rsidRPr="00E83413">
        <w:rPr>
          <w:rFonts w:ascii="Arial" w:hAnsi="Arial" w:cs="Arial"/>
        </w:rPr>
        <w:t>Project Officer:</w:t>
      </w:r>
      <w:r w:rsidRPr="00E83413" w:rsidR="0044177D">
        <w:rPr>
          <w:rFonts w:ascii="Arial" w:hAnsi="Arial" w:cs="Arial"/>
        </w:rPr>
        <w:t xml:space="preserve"> </w:t>
      </w:r>
    </w:p>
    <w:bookmarkEnd w:id="3"/>
    <w:p w:rsidRPr="00E83413" w:rsidR="0054255A" w:rsidP="00097391" w:rsidRDefault="00097391" w14:paraId="59CD749F" w14:textId="51B9C4B7">
      <w:pPr>
        <w:spacing w:after="0" w:line="240" w:lineRule="auto"/>
        <w:jc w:val="center"/>
        <w:rPr>
          <w:rFonts w:ascii="Arial" w:hAnsi="Arial" w:cs="Arial"/>
        </w:rPr>
      </w:pPr>
      <w:r w:rsidRPr="00E83413">
        <w:rPr>
          <w:rFonts w:ascii="Arial" w:hAnsi="Arial" w:cs="Arial"/>
        </w:rPr>
        <w:t>Caryn Blitz</w:t>
      </w:r>
    </w:p>
    <w:p w:rsidRPr="00E83413" w:rsidR="0054255A" w:rsidP="00B13297" w:rsidRDefault="0054255A" w14:paraId="07833600" w14:textId="2B3D80AE">
      <w:pPr>
        <w:rPr>
          <w:b/>
        </w:rPr>
      </w:pPr>
    </w:p>
    <w:p w:rsidRPr="00E83413" w:rsidR="0068303E" w:rsidRDefault="0068303E" w14:paraId="49E4A961" w14:textId="3075B4FB">
      <w:pPr>
        <w:rPr>
          <w:b/>
        </w:rPr>
      </w:pPr>
    </w:p>
    <w:p w:rsidRPr="00E83413" w:rsidR="00097391" w:rsidRDefault="00097391" w14:paraId="2EACC778" w14:textId="77777777">
      <w:pPr>
        <w:rPr>
          <w:b/>
        </w:rPr>
      </w:pPr>
    </w:p>
    <w:p w:rsidRPr="00E83413" w:rsidR="00097391" w:rsidRDefault="00097391" w14:paraId="7956F549" w14:textId="77777777">
      <w:pPr>
        <w:rPr>
          <w:b/>
          <w:sz w:val="32"/>
          <w:szCs w:val="32"/>
        </w:rPr>
      </w:pPr>
      <w:r w:rsidRPr="00E83413">
        <w:rPr>
          <w:b/>
          <w:sz w:val="32"/>
          <w:szCs w:val="32"/>
        </w:rPr>
        <w:br w:type="page"/>
      </w:r>
    </w:p>
    <w:p w:rsidRPr="00E83413" w:rsidR="00624DDC" w:rsidP="00624DDC" w:rsidRDefault="0068303E" w14:paraId="36C08276" w14:textId="3BCE6DCC">
      <w:pPr>
        <w:spacing w:after="0" w:line="240" w:lineRule="auto"/>
        <w:jc w:val="center"/>
        <w:rPr>
          <w:b/>
          <w:sz w:val="32"/>
          <w:szCs w:val="32"/>
        </w:rPr>
      </w:pPr>
      <w:r w:rsidRPr="00E83413">
        <w:rPr>
          <w:b/>
          <w:sz w:val="32"/>
          <w:szCs w:val="32"/>
        </w:rPr>
        <w:lastRenderedPageBreak/>
        <w:t>Part A</w:t>
      </w:r>
    </w:p>
    <w:p w:rsidRPr="00E83413" w:rsidR="00624DDC" w:rsidP="00624DDC" w:rsidRDefault="00624DDC" w14:paraId="331767F9" w14:textId="77777777">
      <w:pPr>
        <w:spacing w:after="0" w:line="240" w:lineRule="auto"/>
        <w:jc w:val="center"/>
        <w:rPr>
          <w:b/>
        </w:rPr>
      </w:pPr>
    </w:p>
    <w:p w:rsidRPr="00E83413" w:rsidR="00026192" w:rsidP="000F1E4A" w:rsidRDefault="00026192" w14:paraId="095FF910" w14:textId="77777777">
      <w:pPr>
        <w:spacing w:after="0" w:line="240" w:lineRule="auto"/>
        <w:rPr>
          <w:b/>
          <w:u w:val="single"/>
        </w:rPr>
      </w:pPr>
    </w:p>
    <w:p w:rsidRPr="00E83413" w:rsidR="00026192" w:rsidP="000F1E4A" w:rsidRDefault="00026192" w14:paraId="4CA5E0BD" w14:textId="77777777">
      <w:pPr>
        <w:spacing w:after="0" w:line="240" w:lineRule="auto"/>
        <w:rPr>
          <w:b/>
          <w:u w:val="single"/>
        </w:rPr>
      </w:pPr>
    </w:p>
    <w:p w:rsidRPr="00E83413" w:rsidR="00840D32" w:rsidP="000F1E4A" w:rsidRDefault="00840D32" w14:paraId="5E4659ED" w14:textId="79EB00E8">
      <w:pPr>
        <w:spacing w:after="0" w:line="240" w:lineRule="auto"/>
        <w:rPr>
          <w:b/>
          <w:sz w:val="28"/>
        </w:rPr>
      </w:pPr>
      <w:r w:rsidRPr="00E83413">
        <w:rPr>
          <w:b/>
          <w:sz w:val="28"/>
        </w:rPr>
        <w:t>Executive Summary</w:t>
      </w:r>
    </w:p>
    <w:p w:rsidRPr="00E83413" w:rsidR="00B04785" w:rsidP="000F1E4A" w:rsidRDefault="00B04785" w14:paraId="5D7B325A" w14:textId="6F433416">
      <w:pPr>
        <w:spacing w:after="0" w:line="240" w:lineRule="auto"/>
        <w:rPr>
          <w:b/>
        </w:rPr>
      </w:pPr>
    </w:p>
    <w:p w:rsidRPr="00E83413" w:rsidR="00B04785" w:rsidP="00D77957" w:rsidRDefault="00B04785" w14:paraId="00321FF0" w14:textId="65E4EAC3">
      <w:pPr>
        <w:pStyle w:val="ListParagraph"/>
        <w:numPr>
          <w:ilvl w:val="0"/>
          <w:numId w:val="3"/>
        </w:numPr>
        <w:spacing w:after="0" w:line="240" w:lineRule="auto"/>
      </w:pPr>
      <w:r w:rsidRPr="00E83413">
        <w:rPr>
          <w:b/>
        </w:rPr>
        <w:t xml:space="preserve">Type of Request: </w:t>
      </w:r>
      <w:r w:rsidRPr="00E83413">
        <w:t>This Information Collection Request is for a</w:t>
      </w:r>
      <w:r w:rsidRPr="00E83413" w:rsidR="00B3652D">
        <w:t xml:space="preserve"> generic information collection under the umbrella</w:t>
      </w:r>
      <w:r w:rsidRPr="00E83413" w:rsidR="005F3461">
        <w:t xml:space="preserve"> </w:t>
      </w:r>
      <w:r w:rsidRPr="00E83413" w:rsidR="00B3652D">
        <w:t xml:space="preserve">generic, </w:t>
      </w:r>
      <w:r w:rsidRPr="00E83413" w:rsidR="00EB45AD">
        <w:rPr>
          <w:rFonts w:cs="Calibri"/>
        </w:rPr>
        <w:t>Formative</w:t>
      </w:r>
      <w:r w:rsidRPr="00E83413" w:rsidR="00EB45AD">
        <w:t xml:space="preserve"> Data Collections for Program Support (0970-0531</w:t>
      </w:r>
      <w:r w:rsidRPr="00E83413" w:rsidR="009A44CE">
        <w:t>)</w:t>
      </w:r>
      <w:r w:rsidRPr="00E83413">
        <w:t xml:space="preserve">.  </w:t>
      </w:r>
    </w:p>
    <w:p w:rsidRPr="00E83413" w:rsidR="00906F6A" w:rsidP="00B3652D" w:rsidRDefault="00906F6A" w14:paraId="51CAFB20" w14:textId="5981B6B3">
      <w:pPr>
        <w:spacing w:after="0" w:line="240" w:lineRule="auto"/>
      </w:pPr>
    </w:p>
    <w:p w:rsidRPr="00E83413" w:rsidR="00B3652D" w:rsidP="00D77957" w:rsidRDefault="00C53AEC" w14:paraId="6D04E0B1" w14:textId="5378DC44">
      <w:pPr>
        <w:pStyle w:val="ListParagraph"/>
        <w:numPr>
          <w:ilvl w:val="0"/>
          <w:numId w:val="3"/>
        </w:numPr>
        <w:spacing w:after="0" w:line="240" w:lineRule="auto"/>
        <w:rPr>
          <w:rFonts w:cs="Calibri"/>
        </w:rPr>
      </w:pPr>
      <w:r w:rsidRPr="00E83413">
        <w:rPr>
          <w:b/>
        </w:rPr>
        <w:t xml:space="preserve">Description of Request: </w:t>
      </w:r>
      <w:r w:rsidRPr="00E83413" w:rsidR="0044177D">
        <w:rPr>
          <w:rFonts w:cs="Calibri"/>
        </w:rPr>
        <w:t>This request is to collect data through a</w:t>
      </w:r>
      <w:r w:rsidRPr="00E83413" w:rsidR="004531B0">
        <w:rPr>
          <w:rFonts w:cs="Calibri"/>
        </w:rPr>
        <w:t>n online</w:t>
      </w:r>
      <w:r w:rsidRPr="00E83413" w:rsidR="0044177D">
        <w:rPr>
          <w:rFonts w:cs="Calibri"/>
        </w:rPr>
        <w:t xml:space="preserve"> survey with </w:t>
      </w:r>
      <w:bookmarkStart w:name="_Hlk69463215" w:id="4"/>
      <w:r w:rsidRPr="00E83413" w:rsidR="0044177D">
        <w:rPr>
          <w:rFonts w:cs="Calibri"/>
        </w:rPr>
        <w:t>high school</w:t>
      </w:r>
      <w:r w:rsidRPr="00E83413" w:rsidR="00D87630">
        <w:rPr>
          <w:rFonts w:cs="Calibri"/>
        </w:rPr>
        <w:t>–</w:t>
      </w:r>
      <w:r w:rsidRPr="00E83413" w:rsidR="0044177D">
        <w:rPr>
          <w:rFonts w:cs="Calibri"/>
        </w:rPr>
        <w:t xml:space="preserve">age youth </w:t>
      </w:r>
      <w:bookmarkEnd w:id="4"/>
      <w:r w:rsidRPr="00E83413" w:rsidR="0084522B">
        <w:rPr>
          <w:rFonts w:cs="Calibri"/>
        </w:rPr>
        <w:t>about</w:t>
      </w:r>
      <w:r w:rsidRPr="00E83413" w:rsidR="0044177D">
        <w:rPr>
          <w:rFonts w:cs="Calibri"/>
        </w:rPr>
        <w:t xml:space="preserve"> changes in parental relationships, sex education, and </w:t>
      </w:r>
      <w:r w:rsidRPr="00E83413" w:rsidR="008579BC">
        <w:rPr>
          <w:rFonts w:cs="Calibri"/>
        </w:rPr>
        <w:t>sexual behaviors</w:t>
      </w:r>
      <w:r w:rsidRPr="00E83413" w:rsidR="0044177D">
        <w:rPr>
          <w:rFonts w:cs="Calibri"/>
        </w:rPr>
        <w:t xml:space="preserve"> </w:t>
      </w:r>
      <w:r w:rsidRPr="00E83413" w:rsidR="00AD3AAF">
        <w:rPr>
          <w:rFonts w:cs="Calibri"/>
        </w:rPr>
        <w:t>during the</w:t>
      </w:r>
      <w:r w:rsidRPr="00E83413" w:rsidR="00D73699">
        <w:rPr>
          <w:rFonts w:cs="Calibri"/>
        </w:rPr>
        <w:t xml:space="preserve"> </w:t>
      </w:r>
      <w:r w:rsidRPr="00E83413" w:rsidR="0044177D">
        <w:rPr>
          <w:rFonts w:cs="Calibri"/>
        </w:rPr>
        <w:t xml:space="preserve">COVID-19 </w:t>
      </w:r>
      <w:r w:rsidRPr="00E83413" w:rsidR="00AD3AAF">
        <w:rPr>
          <w:rFonts w:cs="Calibri"/>
        </w:rPr>
        <w:t>pandemic</w:t>
      </w:r>
      <w:r w:rsidRPr="00E83413" w:rsidR="0044177D">
        <w:rPr>
          <w:rFonts w:cs="Calibri"/>
        </w:rPr>
        <w:t xml:space="preserve">. </w:t>
      </w:r>
      <w:r w:rsidRPr="00E83413" w:rsidR="000373D8">
        <w:rPr>
          <w:rFonts w:cs="Calibri"/>
        </w:rPr>
        <w:t xml:space="preserve">The data will be used to help identify areas of need resulting from the </w:t>
      </w:r>
      <w:r w:rsidRPr="00E83413" w:rsidR="007917FF">
        <w:rPr>
          <w:rFonts w:cs="Calibri"/>
        </w:rPr>
        <w:t>pandemic</w:t>
      </w:r>
      <w:r w:rsidRPr="00E83413" w:rsidR="00390BF8">
        <w:rPr>
          <w:rFonts w:cs="Calibri"/>
        </w:rPr>
        <w:t xml:space="preserve"> in order</w:t>
      </w:r>
      <w:r w:rsidRPr="00E83413" w:rsidR="000373D8">
        <w:rPr>
          <w:rFonts w:cs="Calibri"/>
        </w:rPr>
        <w:t xml:space="preserve"> to </w:t>
      </w:r>
      <w:r w:rsidRPr="00E83413" w:rsidR="00144539">
        <w:rPr>
          <w:rFonts w:cs="Calibri"/>
        </w:rPr>
        <w:t>guide</w:t>
      </w:r>
      <w:r w:rsidRPr="00E83413" w:rsidR="000373D8">
        <w:rPr>
          <w:rFonts w:cs="Calibri"/>
        </w:rPr>
        <w:t xml:space="preserve"> future</w:t>
      </w:r>
      <w:r w:rsidRPr="00E83413" w:rsidR="00DC4D02">
        <w:rPr>
          <w:rFonts w:cs="Calibri"/>
        </w:rPr>
        <w:t xml:space="preserve"> Administration for Children and Families</w:t>
      </w:r>
      <w:r w:rsidRPr="00E83413" w:rsidR="000373D8">
        <w:rPr>
          <w:rFonts w:cs="Calibri"/>
        </w:rPr>
        <w:t xml:space="preserve"> </w:t>
      </w:r>
      <w:r w:rsidRPr="00E83413" w:rsidR="00DC4D02">
        <w:rPr>
          <w:rFonts w:cs="Calibri"/>
        </w:rPr>
        <w:t>(</w:t>
      </w:r>
      <w:r w:rsidRPr="00E83413" w:rsidR="000373D8">
        <w:rPr>
          <w:rFonts w:cs="Calibri"/>
        </w:rPr>
        <w:t>ACF</w:t>
      </w:r>
      <w:r w:rsidRPr="00E83413" w:rsidR="00DC4D02">
        <w:rPr>
          <w:rFonts w:cs="Calibri"/>
        </w:rPr>
        <w:t>)</w:t>
      </w:r>
      <w:r w:rsidRPr="00E83413" w:rsidR="000373D8">
        <w:rPr>
          <w:rFonts w:cs="Calibri"/>
        </w:rPr>
        <w:t xml:space="preserve"> programming and research. ACF </w:t>
      </w:r>
      <w:r w:rsidRPr="00E83413" w:rsidR="00D73699">
        <w:rPr>
          <w:rFonts w:cs="Calibri"/>
        </w:rPr>
        <w:t xml:space="preserve">would </w:t>
      </w:r>
      <w:r w:rsidRPr="00E83413" w:rsidR="000373D8">
        <w:rPr>
          <w:rFonts w:cs="Calibri"/>
        </w:rPr>
        <w:t xml:space="preserve">use the data to provide evidence-informed technical assistance to </w:t>
      </w:r>
      <w:r w:rsidRPr="00E83413" w:rsidR="006F4546">
        <w:rPr>
          <w:rFonts w:cs="Calibri"/>
        </w:rPr>
        <w:t>the Personal Responsibility Education Program (</w:t>
      </w:r>
      <w:r w:rsidRPr="00E83413" w:rsidR="000373D8">
        <w:rPr>
          <w:rFonts w:cs="Calibri"/>
        </w:rPr>
        <w:t>PREP</w:t>
      </w:r>
      <w:r w:rsidRPr="00E83413" w:rsidR="006F4546">
        <w:rPr>
          <w:rFonts w:cs="Calibri"/>
        </w:rPr>
        <w:t>)</w:t>
      </w:r>
      <w:r w:rsidRPr="00E83413" w:rsidR="000373D8">
        <w:rPr>
          <w:rFonts w:cs="Calibri"/>
        </w:rPr>
        <w:t xml:space="preserve"> and </w:t>
      </w:r>
      <w:r w:rsidRPr="00E83413" w:rsidR="006F4546">
        <w:rPr>
          <w:rFonts w:cs="Calibri"/>
        </w:rPr>
        <w:t>the Sexual Risk Avoidance Education Program (</w:t>
      </w:r>
      <w:r w:rsidRPr="00E83413" w:rsidR="000373D8">
        <w:rPr>
          <w:rFonts w:cs="Calibri"/>
        </w:rPr>
        <w:t>SRAE</w:t>
      </w:r>
      <w:r w:rsidRPr="00E83413" w:rsidR="006F4546">
        <w:rPr>
          <w:rFonts w:cs="Calibri"/>
        </w:rPr>
        <w:t>)</w:t>
      </w:r>
      <w:r w:rsidRPr="00E83413" w:rsidR="000373D8">
        <w:rPr>
          <w:rFonts w:cs="Calibri"/>
        </w:rPr>
        <w:t xml:space="preserve"> grantees operating programs in the next year</w:t>
      </w:r>
      <w:r w:rsidRPr="00E83413" w:rsidR="002A026A">
        <w:rPr>
          <w:rFonts w:cs="Calibri"/>
        </w:rPr>
        <w:t>.</w:t>
      </w:r>
      <w:r w:rsidRPr="00E83413" w:rsidR="000373D8">
        <w:rPr>
          <w:rFonts w:cs="Calibri"/>
        </w:rPr>
        <w:t xml:space="preserve"> ACF </w:t>
      </w:r>
      <w:r w:rsidRPr="00E83413" w:rsidR="00D73699">
        <w:rPr>
          <w:rFonts w:cs="Calibri"/>
        </w:rPr>
        <w:t xml:space="preserve">would also share information about findings with </w:t>
      </w:r>
      <w:r w:rsidRPr="00E83413" w:rsidR="000373D8">
        <w:rPr>
          <w:rFonts w:cs="Calibri"/>
        </w:rPr>
        <w:t>grantees</w:t>
      </w:r>
      <w:r w:rsidRPr="00E83413" w:rsidR="006F188A">
        <w:rPr>
          <w:rFonts w:cs="Calibri"/>
        </w:rPr>
        <w:t xml:space="preserve"> that</w:t>
      </w:r>
      <w:r w:rsidRPr="00E83413" w:rsidR="000373D8">
        <w:rPr>
          <w:rFonts w:cs="Calibri"/>
        </w:rPr>
        <w:t xml:space="preserve"> offer programming so</w:t>
      </w:r>
      <w:r w:rsidRPr="00E83413" w:rsidR="00195FD9">
        <w:rPr>
          <w:rFonts w:cs="Calibri"/>
        </w:rPr>
        <w:t xml:space="preserve"> that</w:t>
      </w:r>
      <w:r w:rsidRPr="00E83413" w:rsidR="000373D8">
        <w:rPr>
          <w:rFonts w:cs="Calibri"/>
        </w:rPr>
        <w:t xml:space="preserve"> they better understand what </w:t>
      </w:r>
      <w:r w:rsidRPr="00E83413" w:rsidR="008E3BAF">
        <w:rPr>
          <w:rFonts w:cs="Calibri"/>
        </w:rPr>
        <w:t>greater emphasis may be needed in their programming next year.</w:t>
      </w:r>
      <w:r w:rsidRPr="00E83413" w:rsidR="000373D8">
        <w:rPr>
          <w:rFonts w:cs="Calibri"/>
        </w:rPr>
        <w:t xml:space="preserve"> </w:t>
      </w:r>
      <w:r w:rsidRPr="00E83413" w:rsidR="00B3652D">
        <w:rPr>
          <w:rFonts w:cs="Calibri"/>
        </w:rPr>
        <w:t>We do not intend th</w:t>
      </w:r>
      <w:r w:rsidRPr="00E83413" w:rsidR="00195FD9">
        <w:rPr>
          <w:rFonts w:cs="Calibri"/>
        </w:rPr>
        <w:t>e</w:t>
      </w:r>
      <w:r w:rsidRPr="00E83413" w:rsidR="00B3652D">
        <w:rPr>
          <w:rFonts w:cs="Calibri"/>
        </w:rPr>
        <w:t xml:space="preserve"> information to be used as the principal basis for public policy decisions.</w:t>
      </w:r>
    </w:p>
    <w:p w:rsidRPr="00E83413" w:rsidR="00BD7963" w:rsidP="00BD7963" w:rsidRDefault="00BD7963" w14:paraId="0B78AB5D" w14:textId="77777777">
      <w:pPr>
        <w:pStyle w:val="ListParagraph"/>
      </w:pPr>
    </w:p>
    <w:p w:rsidRPr="00E83413" w:rsidR="00E47838" w:rsidP="00D77957" w:rsidRDefault="00906F6A" w14:paraId="61770A7D" w14:textId="38292CE9">
      <w:pPr>
        <w:pStyle w:val="ListParagraph"/>
        <w:numPr>
          <w:ilvl w:val="0"/>
          <w:numId w:val="3"/>
        </w:numPr>
        <w:spacing w:after="0" w:line="240" w:lineRule="auto"/>
        <w:rPr>
          <w:rFonts w:cs="Calibri"/>
        </w:rPr>
      </w:pPr>
      <w:r w:rsidRPr="00E83413">
        <w:rPr>
          <w:b/>
        </w:rPr>
        <w:t xml:space="preserve">Time Sensitivity: </w:t>
      </w:r>
      <w:r w:rsidRPr="00E83413" w:rsidR="00D73699">
        <w:rPr>
          <w:bCs/>
        </w:rPr>
        <w:t xml:space="preserve">This collection of information is directly tied to the current pandemic. As such, it is important to collect the information while respondents can relay what they have recently and are currently experiencing. Additionally, </w:t>
      </w:r>
      <w:r w:rsidRPr="00E83413" w:rsidR="00D73699">
        <w:rPr>
          <w:rFonts w:cs="Calibri"/>
        </w:rPr>
        <w:t>d</w:t>
      </w:r>
      <w:r w:rsidRPr="00E83413" w:rsidR="00CB212E">
        <w:rPr>
          <w:rFonts w:cs="Calibri"/>
        </w:rPr>
        <w:t>ata</w:t>
      </w:r>
      <w:r w:rsidRPr="00E83413" w:rsidR="00E47838">
        <w:rPr>
          <w:rFonts w:cs="Calibri"/>
        </w:rPr>
        <w:t xml:space="preserve"> </w:t>
      </w:r>
      <w:r w:rsidRPr="00E83413" w:rsidR="00195FD9">
        <w:rPr>
          <w:rFonts w:cs="Calibri"/>
        </w:rPr>
        <w:t>collect</w:t>
      </w:r>
      <w:r w:rsidRPr="00E83413" w:rsidR="00E47838">
        <w:rPr>
          <w:rFonts w:cs="Calibri"/>
        </w:rPr>
        <w:t xml:space="preserve">ed will provide critical and timely information to inform and refine current </w:t>
      </w:r>
      <w:r w:rsidRPr="00E83413" w:rsidR="006F4546">
        <w:rPr>
          <w:rFonts w:cs="Calibri"/>
        </w:rPr>
        <w:t xml:space="preserve">PREP and </w:t>
      </w:r>
      <w:r w:rsidRPr="00E83413" w:rsidR="00E47838">
        <w:rPr>
          <w:rFonts w:cs="Calibri"/>
        </w:rPr>
        <w:t>SRAE program</w:t>
      </w:r>
      <w:r w:rsidRPr="00E83413" w:rsidR="00F95830">
        <w:rPr>
          <w:rFonts w:cs="Calibri"/>
        </w:rPr>
        <w:t>ming</w:t>
      </w:r>
      <w:r w:rsidRPr="00E83413" w:rsidR="002A026A">
        <w:rPr>
          <w:rFonts w:cs="Calibri"/>
        </w:rPr>
        <w:t xml:space="preserve"> in the coming year</w:t>
      </w:r>
      <w:r w:rsidRPr="00E83413" w:rsidR="004B75AA">
        <w:rPr>
          <w:rFonts w:cs="Calibri"/>
        </w:rPr>
        <w:t xml:space="preserve"> (</w:t>
      </w:r>
      <w:r w:rsidRPr="00E83413" w:rsidR="00EF798B">
        <w:rPr>
          <w:rFonts w:cs="Calibri"/>
        </w:rPr>
        <w:t xml:space="preserve">beginning </w:t>
      </w:r>
      <w:r w:rsidRPr="00E83413" w:rsidR="004B75AA">
        <w:rPr>
          <w:rFonts w:cs="Calibri"/>
        </w:rPr>
        <w:t>Sept</w:t>
      </w:r>
      <w:r w:rsidRPr="00E83413" w:rsidR="00EF798B">
        <w:rPr>
          <w:rFonts w:cs="Calibri"/>
        </w:rPr>
        <w:t>ember</w:t>
      </w:r>
      <w:r w:rsidRPr="00E83413" w:rsidR="004B75AA">
        <w:rPr>
          <w:rFonts w:cs="Calibri"/>
        </w:rPr>
        <w:t xml:space="preserve"> 2021).  </w:t>
      </w:r>
    </w:p>
    <w:p w:rsidRPr="00E83413" w:rsidR="00E47838" w:rsidP="00E47838" w:rsidRDefault="00E47838" w14:paraId="657CA235" w14:textId="7A08FD0D">
      <w:pPr>
        <w:spacing w:after="0" w:line="240" w:lineRule="auto"/>
        <w:rPr>
          <w:b/>
        </w:rPr>
      </w:pPr>
      <w:r w:rsidRPr="00E83413">
        <w:rPr>
          <w:b/>
        </w:rPr>
        <w:tab/>
      </w:r>
    </w:p>
    <w:p w:rsidRPr="00E83413" w:rsidR="00624DDC" w:rsidP="00624DDC" w:rsidRDefault="00624DDC" w14:paraId="64C8BC8B" w14:textId="6B96A5AA">
      <w:pPr>
        <w:spacing w:after="0" w:line="240" w:lineRule="auto"/>
        <w:rPr>
          <w:b/>
        </w:rPr>
      </w:pPr>
    </w:p>
    <w:p w:rsidRPr="00E83413" w:rsidR="00624DDC" w:rsidP="00624DDC" w:rsidRDefault="00624DDC" w14:paraId="0D5E5383" w14:textId="77777777">
      <w:pPr>
        <w:spacing w:after="0" w:line="240" w:lineRule="auto"/>
        <w:rPr>
          <w:b/>
        </w:rPr>
      </w:pPr>
    </w:p>
    <w:p w:rsidRPr="00E83413" w:rsidR="001A38FD" w:rsidRDefault="001A38FD" w14:paraId="7EEF528A" w14:textId="156BF329">
      <w:r w:rsidRPr="00E83413">
        <w:br w:type="page"/>
      </w:r>
    </w:p>
    <w:p w:rsidRPr="00E83413" w:rsidR="00D5346A" w:rsidP="001A38FD" w:rsidRDefault="00D5346A" w14:paraId="695C22E4" w14:textId="77777777">
      <w:pPr>
        <w:spacing w:after="0" w:line="240" w:lineRule="auto"/>
      </w:pPr>
    </w:p>
    <w:p w:rsidRPr="00E83413" w:rsidR="004328A4" w:rsidP="007D0F6E" w:rsidRDefault="00BD702B" w14:paraId="5CB85B8F" w14:textId="77777777">
      <w:pPr>
        <w:spacing w:after="120" w:line="240" w:lineRule="auto"/>
      </w:pPr>
      <w:r w:rsidRPr="00E83413">
        <w:rPr>
          <w:b/>
        </w:rPr>
        <w:t>A1</w:t>
      </w:r>
      <w:r w:rsidRPr="00E83413">
        <w:t>.</w:t>
      </w:r>
      <w:r w:rsidRPr="00E83413">
        <w:tab/>
      </w:r>
      <w:r w:rsidRPr="00E83413" w:rsidR="004E5778">
        <w:rPr>
          <w:b/>
        </w:rPr>
        <w:t>Necessity for Collection</w:t>
      </w:r>
      <w:r w:rsidRPr="00E83413" w:rsidR="004E5778">
        <w:t xml:space="preserve"> </w:t>
      </w:r>
    </w:p>
    <w:p w:rsidRPr="00E83413" w:rsidR="00484036" w:rsidP="00F623BA" w:rsidRDefault="00E477C6" w14:paraId="1C579FF7" w14:textId="04293DC0">
      <w:pPr>
        <w:pStyle w:val="Paragraph"/>
        <w:rPr>
          <w:bCs/>
          <w:sz w:val="22"/>
          <w:szCs w:val="22"/>
        </w:rPr>
      </w:pPr>
      <w:r w:rsidRPr="00E83413">
        <w:rPr>
          <w:bCs/>
          <w:sz w:val="22"/>
          <w:szCs w:val="22"/>
        </w:rPr>
        <w:t>The Administration for Children and Families (</w:t>
      </w:r>
      <w:r w:rsidRPr="00E83413" w:rsidR="00E47838">
        <w:rPr>
          <w:bCs/>
          <w:sz w:val="22"/>
          <w:szCs w:val="22"/>
        </w:rPr>
        <w:t>ACF</w:t>
      </w:r>
      <w:r w:rsidRPr="00E83413">
        <w:rPr>
          <w:bCs/>
          <w:sz w:val="22"/>
          <w:szCs w:val="22"/>
        </w:rPr>
        <w:t>)</w:t>
      </w:r>
      <w:r w:rsidRPr="00E83413" w:rsidR="00E47838">
        <w:rPr>
          <w:bCs/>
          <w:sz w:val="22"/>
          <w:szCs w:val="22"/>
        </w:rPr>
        <w:t xml:space="preserve"> </w:t>
      </w:r>
      <w:r w:rsidRPr="00E83413" w:rsidR="00C6393E">
        <w:rPr>
          <w:bCs/>
          <w:sz w:val="22"/>
          <w:szCs w:val="22"/>
        </w:rPr>
        <w:t xml:space="preserve">provides </w:t>
      </w:r>
      <w:r w:rsidRPr="00E83413" w:rsidR="00E47838">
        <w:rPr>
          <w:bCs/>
          <w:sz w:val="22"/>
          <w:szCs w:val="22"/>
        </w:rPr>
        <w:t>funds</w:t>
      </w:r>
      <w:r w:rsidRPr="00E83413" w:rsidR="00C6393E">
        <w:rPr>
          <w:bCs/>
          <w:sz w:val="22"/>
          <w:szCs w:val="22"/>
        </w:rPr>
        <w:t xml:space="preserve"> for</w:t>
      </w:r>
      <w:r w:rsidRPr="00E83413" w:rsidR="00E47838">
        <w:rPr>
          <w:bCs/>
          <w:sz w:val="22"/>
          <w:szCs w:val="22"/>
        </w:rPr>
        <w:t xml:space="preserve"> </w:t>
      </w:r>
      <w:r w:rsidRPr="00E83413" w:rsidR="00AD3AAF">
        <w:rPr>
          <w:bCs/>
          <w:sz w:val="22"/>
          <w:szCs w:val="22"/>
        </w:rPr>
        <w:t>adolescent pregnancy prevention and o</w:t>
      </w:r>
      <w:r w:rsidRPr="00E83413" w:rsidR="00E47838">
        <w:rPr>
          <w:bCs/>
          <w:sz w:val="22"/>
          <w:szCs w:val="22"/>
        </w:rPr>
        <w:t xml:space="preserve">ptimal </w:t>
      </w:r>
      <w:r w:rsidRPr="00E83413" w:rsidR="00AD3AAF">
        <w:rPr>
          <w:bCs/>
          <w:sz w:val="22"/>
          <w:szCs w:val="22"/>
        </w:rPr>
        <w:t>a</w:t>
      </w:r>
      <w:r w:rsidRPr="00E83413" w:rsidR="00E47838">
        <w:rPr>
          <w:bCs/>
          <w:sz w:val="22"/>
          <w:szCs w:val="22"/>
        </w:rPr>
        <w:t xml:space="preserve">dolescent </w:t>
      </w:r>
      <w:r w:rsidRPr="00E83413" w:rsidR="00AD3AAF">
        <w:rPr>
          <w:bCs/>
          <w:sz w:val="22"/>
          <w:szCs w:val="22"/>
        </w:rPr>
        <w:t>d</w:t>
      </w:r>
      <w:r w:rsidRPr="00E83413" w:rsidR="00C7673F">
        <w:rPr>
          <w:bCs/>
          <w:sz w:val="22"/>
          <w:szCs w:val="22"/>
        </w:rPr>
        <w:t>evelopmen</w:t>
      </w:r>
      <w:r w:rsidRPr="00E83413" w:rsidR="00AD3AAF">
        <w:rPr>
          <w:bCs/>
          <w:sz w:val="22"/>
          <w:szCs w:val="22"/>
        </w:rPr>
        <w:t>t</w:t>
      </w:r>
      <w:r w:rsidRPr="00E83413" w:rsidR="00E47838">
        <w:rPr>
          <w:bCs/>
          <w:sz w:val="22"/>
          <w:szCs w:val="22"/>
        </w:rPr>
        <w:t xml:space="preserve"> through the Personal Responsibility Education Program </w:t>
      </w:r>
      <w:r w:rsidRPr="00E83413">
        <w:rPr>
          <w:bCs/>
          <w:sz w:val="22"/>
          <w:szCs w:val="22"/>
        </w:rPr>
        <w:t xml:space="preserve">(PREP) </w:t>
      </w:r>
      <w:r w:rsidRPr="00E83413" w:rsidR="00E47838">
        <w:rPr>
          <w:bCs/>
          <w:sz w:val="22"/>
          <w:szCs w:val="22"/>
        </w:rPr>
        <w:t xml:space="preserve">and the Sexual Risk Avoidance Education </w:t>
      </w:r>
      <w:r w:rsidRPr="00E83413">
        <w:rPr>
          <w:bCs/>
          <w:sz w:val="22"/>
          <w:szCs w:val="22"/>
        </w:rPr>
        <w:t xml:space="preserve">(SRAE) </w:t>
      </w:r>
      <w:r w:rsidRPr="00E83413" w:rsidR="00E47838">
        <w:rPr>
          <w:bCs/>
          <w:sz w:val="22"/>
          <w:szCs w:val="22"/>
        </w:rPr>
        <w:t xml:space="preserve">Program. ACF is interested in learning how programming for adolescents may need to be adjusted </w:t>
      </w:r>
      <w:r w:rsidRPr="00E83413" w:rsidR="00372C95">
        <w:rPr>
          <w:bCs/>
          <w:sz w:val="22"/>
          <w:szCs w:val="22"/>
        </w:rPr>
        <w:t>in response</w:t>
      </w:r>
      <w:r w:rsidRPr="00E83413" w:rsidR="00E47838">
        <w:rPr>
          <w:bCs/>
          <w:sz w:val="22"/>
          <w:szCs w:val="22"/>
        </w:rPr>
        <w:t xml:space="preserve"> to changes in</w:t>
      </w:r>
      <w:r w:rsidRPr="00E83413" w:rsidR="00AD3AAF">
        <w:rPr>
          <w:bCs/>
          <w:sz w:val="22"/>
          <w:szCs w:val="22"/>
        </w:rPr>
        <w:t xml:space="preserve"> parent-child</w:t>
      </w:r>
      <w:r w:rsidRPr="00E83413" w:rsidR="00E47838">
        <w:rPr>
          <w:bCs/>
          <w:sz w:val="22"/>
          <w:szCs w:val="22"/>
        </w:rPr>
        <w:t xml:space="preserve"> relationships,</w:t>
      </w:r>
      <w:r w:rsidRPr="00E83413" w:rsidR="00AD3AAF">
        <w:rPr>
          <w:bCs/>
          <w:sz w:val="22"/>
          <w:szCs w:val="22"/>
        </w:rPr>
        <w:t xml:space="preserve"> sexual</w:t>
      </w:r>
      <w:r w:rsidRPr="00E83413" w:rsidR="00E47838">
        <w:rPr>
          <w:bCs/>
          <w:sz w:val="22"/>
          <w:szCs w:val="22"/>
        </w:rPr>
        <w:t xml:space="preserve"> behaviors</w:t>
      </w:r>
      <w:r w:rsidRPr="00E83413" w:rsidR="00372C95">
        <w:rPr>
          <w:bCs/>
          <w:sz w:val="22"/>
          <w:szCs w:val="22"/>
        </w:rPr>
        <w:t>,</w:t>
      </w:r>
      <w:r w:rsidRPr="00E83413" w:rsidR="00E47838">
        <w:rPr>
          <w:bCs/>
          <w:sz w:val="22"/>
          <w:szCs w:val="22"/>
        </w:rPr>
        <w:t xml:space="preserve"> and </w:t>
      </w:r>
      <w:r w:rsidRPr="00E83413" w:rsidR="00AD3AAF">
        <w:rPr>
          <w:bCs/>
          <w:sz w:val="22"/>
          <w:szCs w:val="22"/>
        </w:rPr>
        <w:t xml:space="preserve">sex </w:t>
      </w:r>
      <w:r w:rsidRPr="00E83413" w:rsidR="00E47838">
        <w:rPr>
          <w:bCs/>
          <w:sz w:val="22"/>
          <w:szCs w:val="22"/>
        </w:rPr>
        <w:t xml:space="preserve">educational experiences </w:t>
      </w:r>
      <w:r w:rsidRPr="00E83413" w:rsidR="00372C95">
        <w:rPr>
          <w:bCs/>
          <w:sz w:val="22"/>
          <w:szCs w:val="22"/>
        </w:rPr>
        <w:t>occasioned by</w:t>
      </w:r>
      <w:r w:rsidRPr="00E83413" w:rsidR="00E47838">
        <w:rPr>
          <w:bCs/>
          <w:sz w:val="22"/>
          <w:szCs w:val="22"/>
        </w:rPr>
        <w:t xml:space="preserve"> the </w:t>
      </w:r>
      <w:r w:rsidRPr="00E83413" w:rsidR="00514C93">
        <w:rPr>
          <w:rFonts w:cstheme="minorHAnsi"/>
          <w:sz w:val="22"/>
          <w:szCs w:val="22"/>
        </w:rPr>
        <w:t xml:space="preserve">COVID-19 </w:t>
      </w:r>
      <w:r w:rsidRPr="00E83413" w:rsidR="00514C93">
        <w:rPr>
          <w:bCs/>
          <w:sz w:val="22"/>
          <w:szCs w:val="22"/>
        </w:rPr>
        <w:t>pandemic</w:t>
      </w:r>
      <w:r w:rsidRPr="00E83413" w:rsidR="00E47838">
        <w:rPr>
          <w:bCs/>
          <w:sz w:val="22"/>
          <w:szCs w:val="22"/>
        </w:rPr>
        <w:t xml:space="preserve">. Data from this request </w:t>
      </w:r>
      <w:r w:rsidRPr="00E83413">
        <w:rPr>
          <w:bCs/>
          <w:sz w:val="22"/>
          <w:szCs w:val="22"/>
        </w:rPr>
        <w:t>is necessary for ACF to provide</w:t>
      </w:r>
      <w:r w:rsidRPr="00E83413" w:rsidR="00E47838">
        <w:rPr>
          <w:bCs/>
          <w:sz w:val="22"/>
          <w:szCs w:val="22"/>
        </w:rPr>
        <w:t xml:space="preserve"> target</w:t>
      </w:r>
      <w:r w:rsidRPr="00E83413">
        <w:rPr>
          <w:bCs/>
          <w:sz w:val="22"/>
          <w:szCs w:val="22"/>
        </w:rPr>
        <w:t>ed</w:t>
      </w:r>
      <w:r w:rsidRPr="00E83413" w:rsidR="00E47838">
        <w:rPr>
          <w:bCs/>
          <w:sz w:val="22"/>
          <w:szCs w:val="22"/>
        </w:rPr>
        <w:t xml:space="preserve"> training and technical assistance </w:t>
      </w:r>
      <w:r w:rsidRPr="00E83413">
        <w:rPr>
          <w:rFonts w:cstheme="minorHAnsi"/>
          <w:sz w:val="22"/>
          <w:szCs w:val="22"/>
        </w:rPr>
        <w:t>(T</w:t>
      </w:r>
      <w:r w:rsidRPr="00E83413" w:rsidR="005B60DD">
        <w:rPr>
          <w:rFonts w:cstheme="minorHAnsi"/>
          <w:sz w:val="22"/>
          <w:szCs w:val="22"/>
        </w:rPr>
        <w:t>/</w:t>
      </w:r>
      <w:r w:rsidRPr="00E83413">
        <w:rPr>
          <w:rFonts w:cstheme="minorHAnsi"/>
          <w:sz w:val="22"/>
          <w:szCs w:val="22"/>
        </w:rPr>
        <w:t xml:space="preserve">TA) </w:t>
      </w:r>
      <w:r w:rsidRPr="00E83413" w:rsidR="00E47838">
        <w:rPr>
          <w:bCs/>
          <w:sz w:val="22"/>
          <w:szCs w:val="22"/>
        </w:rPr>
        <w:t>to PREP and SRAE grantees</w:t>
      </w:r>
      <w:r w:rsidRPr="00E83413" w:rsidR="00C4656E">
        <w:rPr>
          <w:bCs/>
          <w:sz w:val="22"/>
          <w:szCs w:val="22"/>
        </w:rPr>
        <w:t xml:space="preserve">, </w:t>
      </w:r>
      <w:r w:rsidRPr="00E83413">
        <w:rPr>
          <w:rFonts w:cs="Calibri"/>
          <w:sz w:val="22"/>
          <w:szCs w:val="22"/>
        </w:rPr>
        <w:t>refine current PREP and SRAE programming in the coming year</w:t>
      </w:r>
      <w:r w:rsidRPr="00E83413" w:rsidR="00C4656E">
        <w:rPr>
          <w:rFonts w:cs="Calibri"/>
          <w:sz w:val="22"/>
          <w:szCs w:val="22"/>
        </w:rPr>
        <w:t>, and assure grantees are meeting the needs of the youth they serve during this time</w:t>
      </w:r>
      <w:r w:rsidRPr="00E83413" w:rsidR="00E47838">
        <w:rPr>
          <w:bCs/>
          <w:sz w:val="22"/>
          <w:szCs w:val="22"/>
        </w:rPr>
        <w:t>.</w:t>
      </w:r>
      <w:r w:rsidRPr="00E83413" w:rsidR="004A3594">
        <w:rPr>
          <w:bCs/>
          <w:sz w:val="22"/>
          <w:szCs w:val="22"/>
        </w:rPr>
        <w:t xml:space="preserve"> </w:t>
      </w:r>
    </w:p>
    <w:p w:rsidRPr="00E83413" w:rsidR="004B75AA" w:rsidP="00082C50" w:rsidRDefault="004B75AA" w14:paraId="18760E53" w14:textId="562C7AF1">
      <w:pPr>
        <w:pStyle w:val="ListParagraph"/>
        <w:ind w:left="0"/>
        <w:rPr>
          <w:rFonts w:cstheme="minorHAnsi"/>
        </w:rPr>
      </w:pPr>
      <w:r w:rsidRPr="00E83413">
        <w:rPr>
          <w:rFonts w:cstheme="minorHAnsi"/>
        </w:rPr>
        <w:t xml:space="preserve">Close parent-child relationships and communication are fundamental to youth development and support successful transitions into adulthood for adolescents (Fitzpatrick and Vangelisti 1995). Additionally, research shows the importance of parent–child communication on sexual decision making (Commendador 2010) and that intensive parental components within sex education programs can improve communication and may modify adolescent sexual behaviors (Wight and Fullerton 2013). Family cohesion is seen as a protective factor during stressful circumstances, and has been associated with lower levels of substance abuse and risky sexual behavior (Cano, et al., 2018). Due to quarantine and social distancing measures over the last year during the </w:t>
      </w:r>
      <w:r w:rsidRPr="00E83413" w:rsidR="00B6168F">
        <w:rPr>
          <w:rFonts w:cstheme="minorHAnsi"/>
        </w:rPr>
        <w:t>COVID-1</w:t>
      </w:r>
      <w:r w:rsidRPr="00E83413" w:rsidR="00D77957">
        <w:rPr>
          <w:rFonts w:cstheme="minorHAnsi"/>
        </w:rPr>
        <w:t>9</w:t>
      </w:r>
      <w:r w:rsidRPr="00E83413" w:rsidR="00B6168F">
        <w:rPr>
          <w:rFonts w:cstheme="minorHAnsi"/>
        </w:rPr>
        <w:t xml:space="preserve"> pandemic</w:t>
      </w:r>
      <w:r w:rsidRPr="00E83413">
        <w:rPr>
          <w:rFonts w:cstheme="minorHAnsi"/>
        </w:rPr>
        <w:t>, parents and youth may be spending more time together, which has the potential to increase both conflict and cohesion in their relationships. Hearing from youth will allow ACF to have a better understanding of what messaging is needed to connect with youth when discussing parent-child relationships as a part of PREP and SRAE programming.</w:t>
      </w:r>
    </w:p>
    <w:p w:rsidRPr="00E83413" w:rsidR="00FA6996" w:rsidP="00082C50" w:rsidRDefault="00FA6996" w14:paraId="18F1FB79" w14:textId="77777777">
      <w:pPr>
        <w:pStyle w:val="ListParagraph"/>
        <w:ind w:left="0"/>
        <w:rPr>
          <w:rFonts w:cstheme="minorHAnsi"/>
        </w:rPr>
      </w:pPr>
    </w:p>
    <w:p w:rsidRPr="00E83413" w:rsidR="00C4656E" w:rsidP="00082C50" w:rsidRDefault="00E477C6" w14:paraId="2D5CFDA7" w14:textId="4ED2D3A7">
      <w:pPr>
        <w:pStyle w:val="ListParagraph"/>
        <w:ind w:left="0"/>
        <w:rPr>
          <w:rFonts w:cstheme="minorHAnsi"/>
        </w:rPr>
      </w:pPr>
      <w:r w:rsidRPr="00E83413">
        <w:rPr>
          <w:rFonts w:cstheme="minorHAnsi"/>
        </w:rPr>
        <w:t xml:space="preserve">In Fall 2020, ACF collected feedback from grantees </w:t>
      </w:r>
      <w:r w:rsidRPr="00E83413" w:rsidR="007659CB">
        <w:rPr>
          <w:rFonts w:cstheme="minorHAnsi"/>
        </w:rPr>
        <w:t xml:space="preserve">on </w:t>
      </w:r>
      <w:r w:rsidRPr="00E83413" w:rsidR="007659CB">
        <w:t xml:space="preserve">their needs for T&amp;TA and program guidance </w:t>
      </w:r>
      <w:r w:rsidRPr="00E83413" w:rsidR="008E3BAF">
        <w:rPr>
          <w:rFonts w:cstheme="minorHAnsi"/>
        </w:rPr>
        <w:t xml:space="preserve">during </w:t>
      </w:r>
      <w:r w:rsidRPr="00E83413">
        <w:rPr>
          <w:rFonts w:cstheme="minorHAnsi"/>
        </w:rPr>
        <w:t>the COVID</w:t>
      </w:r>
      <w:r w:rsidRPr="00E83413" w:rsidR="00AD47E4">
        <w:rPr>
          <w:rFonts w:cstheme="minorHAnsi"/>
        </w:rPr>
        <w:t>-19</w:t>
      </w:r>
      <w:r w:rsidRPr="00E83413">
        <w:rPr>
          <w:rFonts w:cstheme="minorHAnsi"/>
        </w:rPr>
        <w:t xml:space="preserve"> pandemic through t</w:t>
      </w:r>
      <w:r w:rsidRPr="00E83413" w:rsidR="004B75AA">
        <w:rPr>
          <w:rFonts w:cstheme="minorHAnsi"/>
        </w:rPr>
        <w:t>he Family and Youth Services Bureau (FYSB) Grantee COVID Survey (OMB Control # 0970-0401). Based on this survey</w:t>
      </w:r>
      <w:r w:rsidRPr="00E83413">
        <w:rPr>
          <w:rFonts w:cstheme="minorHAnsi"/>
        </w:rPr>
        <w:t xml:space="preserve">, standard </w:t>
      </w:r>
      <w:r w:rsidRPr="00E83413" w:rsidR="005B60DD">
        <w:rPr>
          <w:rFonts w:cstheme="minorHAnsi"/>
        </w:rPr>
        <w:t>T/TA</w:t>
      </w:r>
      <w:r w:rsidRPr="00E83413">
        <w:rPr>
          <w:rFonts w:cstheme="minorHAnsi"/>
        </w:rPr>
        <w:t xml:space="preserve"> efforts</w:t>
      </w:r>
      <w:r w:rsidRPr="00E83413" w:rsidR="00C4656E">
        <w:rPr>
          <w:rFonts w:cstheme="minorHAnsi"/>
        </w:rPr>
        <w:t>, and regular grantee reporting</w:t>
      </w:r>
      <w:r w:rsidRPr="00E83413" w:rsidR="00766EC3">
        <w:rPr>
          <w:rFonts w:cstheme="minorHAnsi"/>
        </w:rPr>
        <w:t>,</w:t>
      </w:r>
      <w:r w:rsidRPr="00E83413" w:rsidR="008E3BAF">
        <w:rPr>
          <w:rFonts w:cstheme="minorHAnsi"/>
        </w:rPr>
        <w:t xml:space="preserve"> ACF</w:t>
      </w:r>
      <w:r w:rsidRPr="00E83413" w:rsidR="00766EC3">
        <w:rPr>
          <w:rFonts w:cstheme="minorHAnsi"/>
        </w:rPr>
        <w:t xml:space="preserve"> has</w:t>
      </w:r>
      <w:r w:rsidRPr="00E83413" w:rsidR="008E3BAF">
        <w:rPr>
          <w:rFonts w:cstheme="minorHAnsi"/>
        </w:rPr>
        <w:t xml:space="preserve"> learned that most grantees had to change their program plans due to the pandemic. While most </w:t>
      </w:r>
      <w:r w:rsidRPr="00E83413" w:rsidR="004B75AA">
        <w:rPr>
          <w:rFonts w:cstheme="minorHAnsi"/>
        </w:rPr>
        <w:t xml:space="preserve">grantees are </w:t>
      </w:r>
      <w:r w:rsidRPr="00E83413" w:rsidR="008E3BAF">
        <w:rPr>
          <w:rFonts w:cstheme="minorHAnsi"/>
        </w:rPr>
        <w:t xml:space="preserve">still </w:t>
      </w:r>
      <w:r w:rsidRPr="00E83413" w:rsidR="004B75AA">
        <w:rPr>
          <w:rFonts w:cstheme="minorHAnsi"/>
        </w:rPr>
        <w:t>providing some</w:t>
      </w:r>
      <w:r w:rsidRPr="00E83413" w:rsidR="008E3BAF">
        <w:rPr>
          <w:rFonts w:cstheme="minorHAnsi"/>
        </w:rPr>
        <w:t xml:space="preserve"> form of programming</w:t>
      </w:r>
      <w:r w:rsidRPr="00E83413" w:rsidR="004B75AA">
        <w:rPr>
          <w:rFonts w:cstheme="minorHAnsi"/>
        </w:rPr>
        <w:t xml:space="preserve"> to youth, closures related to the COVID-19 </w:t>
      </w:r>
      <w:r w:rsidRPr="00E83413">
        <w:rPr>
          <w:rFonts w:cstheme="minorHAnsi"/>
        </w:rPr>
        <w:t>pandemic</w:t>
      </w:r>
      <w:r w:rsidRPr="00E83413" w:rsidR="004B75AA">
        <w:rPr>
          <w:rFonts w:cstheme="minorHAnsi"/>
        </w:rPr>
        <w:t xml:space="preserve"> have reduced the number of youth that PREP and SRAE grantees plan to serve and the number of sites in which they are offering services, both by about 50 percent. Additionally, for the programming being offered, virtual program delivery is the most common approach used. </w:t>
      </w:r>
      <w:r w:rsidRPr="00E83413" w:rsidR="00EB28AA">
        <w:rPr>
          <w:rFonts w:cstheme="minorHAnsi"/>
        </w:rPr>
        <w:t>The results of this survey underscore the significant drop in adolescent pregnancy prevention programming nationwide.</w:t>
      </w:r>
    </w:p>
    <w:p w:rsidRPr="00E83413" w:rsidR="00C4656E" w:rsidP="00082C50" w:rsidRDefault="00C4656E" w14:paraId="1D16E71C" w14:textId="77777777">
      <w:pPr>
        <w:pStyle w:val="ListParagraph"/>
        <w:ind w:left="0"/>
        <w:rPr>
          <w:rFonts w:cstheme="minorHAnsi"/>
        </w:rPr>
      </w:pPr>
    </w:p>
    <w:p w:rsidRPr="00E83413" w:rsidR="00C4656E" w:rsidP="00082C50" w:rsidRDefault="00EF798B" w14:paraId="0F3F969B" w14:textId="0D5603D8">
      <w:pPr>
        <w:pStyle w:val="ListParagraph"/>
        <w:ind w:left="0"/>
        <w:rPr>
          <w:rFonts w:cstheme="minorHAnsi"/>
        </w:rPr>
      </w:pPr>
      <w:r w:rsidRPr="00E83413">
        <w:rPr>
          <w:rFonts w:cstheme="minorHAnsi"/>
        </w:rPr>
        <w:t>L</w:t>
      </w:r>
      <w:r w:rsidRPr="00E83413" w:rsidR="00C4656E">
        <w:rPr>
          <w:rFonts w:cstheme="minorHAnsi"/>
        </w:rPr>
        <w:t xml:space="preserve">ittle is known about whether or not the pandemic has influenced youth sexual risk-taking behaviors. It is important that ACF hear from youth to learn about their sexual behavior in order to inform how to better serve youth through adolescent pregnancy prevention programming (both SRAE and PREP). </w:t>
      </w:r>
      <w:r w:rsidRPr="00E83413" w:rsidR="005B60DD">
        <w:rPr>
          <w:rFonts w:cstheme="minorHAnsi"/>
        </w:rPr>
        <w:t xml:space="preserve">This data collection will allow ACF and grantees better understand </w:t>
      </w:r>
      <w:r w:rsidRPr="00E83413" w:rsidR="00C4656E">
        <w:rPr>
          <w:rFonts w:cstheme="minorHAnsi"/>
        </w:rPr>
        <w:t>the types of sexual behaviors youth are engaging in, reasons behind youth sexual decision making at this time, the alignment between what programming youth would like compared to what they have received</w:t>
      </w:r>
      <w:r w:rsidRPr="00E83413" w:rsidR="000608A4">
        <w:rPr>
          <w:rFonts w:cstheme="minorHAnsi"/>
        </w:rPr>
        <w:t>.</w:t>
      </w:r>
    </w:p>
    <w:p w:rsidRPr="00E83413" w:rsidR="00C4656E" w:rsidP="00082C50" w:rsidRDefault="00C4656E" w14:paraId="23F0AE96" w14:textId="77777777">
      <w:pPr>
        <w:pStyle w:val="ListParagraph"/>
        <w:ind w:left="0"/>
        <w:rPr>
          <w:rFonts w:cstheme="minorHAnsi"/>
        </w:rPr>
      </w:pPr>
    </w:p>
    <w:p w:rsidRPr="00E83413" w:rsidR="004B75AA" w:rsidP="00082C50" w:rsidRDefault="004B75AA" w14:paraId="0F33BACB" w14:textId="0252EEE9">
      <w:pPr>
        <w:pStyle w:val="ListParagraph"/>
        <w:ind w:left="0"/>
        <w:rPr>
          <w:rFonts w:cstheme="minorHAnsi"/>
        </w:rPr>
      </w:pPr>
      <w:r w:rsidRPr="00E83413">
        <w:rPr>
          <w:rFonts w:cstheme="minorHAnsi"/>
        </w:rPr>
        <w:lastRenderedPageBreak/>
        <w:t>In order to provide adequate training and technical assistance to meet the needs of grantees</w:t>
      </w:r>
      <w:r w:rsidRPr="00E83413" w:rsidR="00C4656E">
        <w:rPr>
          <w:rFonts w:cstheme="minorHAnsi"/>
        </w:rPr>
        <w:t xml:space="preserve"> and the youth they serve</w:t>
      </w:r>
      <w:r w:rsidRPr="00E83413">
        <w:rPr>
          <w:rFonts w:cstheme="minorHAnsi"/>
        </w:rPr>
        <w:t xml:space="preserve">, data must be collected directly from the youth to understand the extent to which youth feel their needs are being met in terms of the types of information they want to receive related to sex education during </w:t>
      </w:r>
      <w:r w:rsidRPr="00E83413" w:rsidR="00B6168F">
        <w:rPr>
          <w:rFonts w:cstheme="minorHAnsi"/>
        </w:rPr>
        <w:t>the COVID-19 pandemic</w:t>
      </w:r>
      <w:r w:rsidRPr="00E83413">
        <w:rPr>
          <w:rFonts w:cstheme="minorHAnsi"/>
        </w:rPr>
        <w:t xml:space="preserve">. </w:t>
      </w:r>
      <w:r w:rsidRPr="00E83413" w:rsidR="00C4656E">
        <w:rPr>
          <w:rFonts w:cstheme="minorHAnsi"/>
        </w:rPr>
        <w:t xml:space="preserve">This is necessary to </w:t>
      </w:r>
      <w:r w:rsidRPr="00E83413">
        <w:rPr>
          <w:rFonts w:cstheme="minorHAnsi"/>
        </w:rPr>
        <w:t xml:space="preserve">understand how satisfied and engaged youth have been with the sex education received during the </w:t>
      </w:r>
      <w:r w:rsidRPr="00E83413" w:rsidR="00AD47E4">
        <w:rPr>
          <w:rFonts w:cstheme="minorHAnsi"/>
        </w:rPr>
        <w:t>COVID</w:t>
      </w:r>
      <w:r w:rsidRPr="00E83413" w:rsidR="00EF798B">
        <w:rPr>
          <w:rFonts w:cstheme="minorHAnsi"/>
        </w:rPr>
        <w:t xml:space="preserve">-19 </w:t>
      </w:r>
      <w:r w:rsidRPr="00E83413" w:rsidR="00AD47E4">
        <w:rPr>
          <w:rFonts w:cstheme="minorHAnsi"/>
        </w:rPr>
        <w:t>pandemic</w:t>
      </w:r>
      <w:r w:rsidRPr="00E83413" w:rsidR="00C4656E">
        <w:rPr>
          <w:rFonts w:cstheme="minorHAnsi"/>
        </w:rPr>
        <w:t xml:space="preserve"> and then</w:t>
      </w:r>
      <w:r w:rsidRPr="00E83413">
        <w:rPr>
          <w:rFonts w:cstheme="minorHAnsi"/>
        </w:rPr>
        <w:t xml:space="preserve"> tailor </w:t>
      </w:r>
      <w:r w:rsidRPr="00E83413" w:rsidR="005B60DD">
        <w:rPr>
          <w:rFonts w:cstheme="minorHAnsi"/>
        </w:rPr>
        <w:t xml:space="preserve">T/TA </w:t>
      </w:r>
      <w:r w:rsidRPr="00E83413" w:rsidR="00C4656E">
        <w:rPr>
          <w:rFonts w:cstheme="minorHAnsi"/>
        </w:rPr>
        <w:t xml:space="preserve">to support grantees </w:t>
      </w:r>
      <w:r w:rsidRPr="00E83413">
        <w:rPr>
          <w:rFonts w:cstheme="minorHAnsi"/>
        </w:rPr>
        <w:t xml:space="preserve">to better serve youth related to sex education programming. Additionally, it </w:t>
      </w:r>
      <w:r w:rsidRPr="00E83413" w:rsidR="00C4656E">
        <w:rPr>
          <w:rFonts w:cstheme="minorHAnsi"/>
        </w:rPr>
        <w:t xml:space="preserve">is necessary to </w:t>
      </w:r>
      <w:r w:rsidRPr="00E83413">
        <w:rPr>
          <w:rFonts w:cstheme="minorHAnsi"/>
        </w:rPr>
        <w:t xml:space="preserve">help programs understand how to better target the </w:t>
      </w:r>
      <w:r w:rsidRPr="00E83413" w:rsidR="00AD3AAF">
        <w:rPr>
          <w:rFonts w:cstheme="minorHAnsi"/>
        </w:rPr>
        <w:t>information delivered to youth.</w:t>
      </w:r>
    </w:p>
    <w:p w:rsidRPr="00E83413" w:rsidR="004328A4" w:rsidP="00FA6996" w:rsidRDefault="004328A4" w14:paraId="778B15CC" w14:textId="77777777">
      <w:pPr>
        <w:pStyle w:val="ListParagraph"/>
        <w:spacing w:after="0" w:line="240" w:lineRule="auto"/>
        <w:ind w:left="0"/>
      </w:pPr>
    </w:p>
    <w:p w:rsidRPr="00E83413" w:rsidR="004328A4" w:rsidP="007D0F6E" w:rsidRDefault="00BD702B" w14:paraId="77508B66" w14:textId="5FCD8AB6">
      <w:pPr>
        <w:spacing w:after="120" w:line="240" w:lineRule="auto"/>
        <w:rPr>
          <w:b/>
        </w:rPr>
      </w:pPr>
      <w:r w:rsidRPr="00E83413">
        <w:rPr>
          <w:b/>
        </w:rPr>
        <w:t>A2</w:t>
      </w:r>
      <w:r w:rsidRPr="002D5C54">
        <w:rPr>
          <w:b/>
        </w:rPr>
        <w:t>.</w:t>
      </w:r>
      <w:r w:rsidRPr="002D5C54">
        <w:rPr>
          <w:b/>
        </w:rPr>
        <w:tab/>
      </w:r>
      <w:r w:rsidRPr="00E83413" w:rsidR="00107D87">
        <w:rPr>
          <w:b/>
        </w:rPr>
        <w:t>Purpose</w:t>
      </w:r>
    </w:p>
    <w:p w:rsidRPr="00E83413" w:rsidR="004328A4" w:rsidP="002D5C54" w:rsidRDefault="004328A4" w14:paraId="6DDDCEC8" w14:textId="2DD3EE30">
      <w:pPr>
        <w:spacing w:after="60" w:line="240" w:lineRule="auto"/>
        <w:rPr>
          <w:i/>
        </w:rPr>
      </w:pPr>
      <w:r w:rsidRPr="002D5C54">
        <w:rPr>
          <w:i/>
        </w:rPr>
        <w:t>Purpose</w:t>
      </w:r>
      <w:r w:rsidRPr="00E83413">
        <w:rPr>
          <w:i/>
        </w:rPr>
        <w:t xml:space="preserve"> and Use </w:t>
      </w:r>
    </w:p>
    <w:p w:rsidRPr="00E83413" w:rsidR="00954726" w:rsidP="002D5C54" w:rsidRDefault="00954726" w14:paraId="3AFCDF0A" w14:textId="075EEE91">
      <w:pPr>
        <w:spacing w:after="60" w:line="240" w:lineRule="auto"/>
      </w:pPr>
      <w:r w:rsidRPr="002D5C54">
        <w:rPr>
          <w:iCs/>
        </w:rPr>
        <w:t>Data collected</w:t>
      </w:r>
      <w:r w:rsidRPr="00E83413">
        <w:t xml:space="preserve"> from th</w:t>
      </w:r>
      <w:r w:rsidRPr="00E83413" w:rsidR="001F633B">
        <w:t>e</w:t>
      </w:r>
      <w:r w:rsidRPr="00E83413">
        <w:t xml:space="preserve"> online survey of high school</w:t>
      </w:r>
      <w:r w:rsidRPr="00E83413" w:rsidR="001F633B">
        <w:t>–</w:t>
      </w:r>
      <w:r w:rsidRPr="00E83413">
        <w:t xml:space="preserve">age youth will provide ACF </w:t>
      </w:r>
      <w:r w:rsidRPr="00E83413" w:rsidR="00097391">
        <w:t xml:space="preserve">with </w:t>
      </w:r>
      <w:r w:rsidRPr="00E83413">
        <w:t>descriptive data</w:t>
      </w:r>
      <w:r w:rsidRPr="00E83413">
        <w:rPr>
          <w:bCs/>
        </w:rPr>
        <w:t xml:space="preserve"> about </w:t>
      </w:r>
      <w:r w:rsidRPr="00E83413" w:rsidR="004B75AA">
        <w:rPr>
          <w:bCs/>
        </w:rPr>
        <w:t>parent-child</w:t>
      </w:r>
      <w:r w:rsidRPr="00E83413">
        <w:rPr>
          <w:bCs/>
        </w:rPr>
        <w:t xml:space="preserve"> relationships, </w:t>
      </w:r>
      <w:r w:rsidRPr="00E83413" w:rsidR="004B75AA">
        <w:rPr>
          <w:bCs/>
        </w:rPr>
        <w:t xml:space="preserve">sexual </w:t>
      </w:r>
      <w:r w:rsidRPr="00E83413">
        <w:rPr>
          <w:bCs/>
        </w:rPr>
        <w:t xml:space="preserve">behaviors, and </w:t>
      </w:r>
      <w:r w:rsidRPr="00E83413" w:rsidR="004B75AA">
        <w:rPr>
          <w:bCs/>
        </w:rPr>
        <w:t xml:space="preserve">sex </w:t>
      </w:r>
      <w:r w:rsidRPr="00E83413">
        <w:rPr>
          <w:bCs/>
        </w:rPr>
        <w:t>educational experiences</w:t>
      </w:r>
      <w:r w:rsidRPr="00E83413" w:rsidR="00AD3AAF">
        <w:rPr>
          <w:bCs/>
        </w:rPr>
        <w:t xml:space="preserve"> during the COVID-19 pandemic</w:t>
      </w:r>
      <w:r w:rsidRPr="00E83413">
        <w:rPr>
          <w:bCs/>
        </w:rPr>
        <w:t xml:space="preserve">. </w:t>
      </w:r>
      <w:r w:rsidRPr="00E83413" w:rsidR="005B60DD">
        <w:rPr>
          <w:bCs/>
        </w:rPr>
        <w:t>T</w:t>
      </w:r>
      <w:r w:rsidRPr="00E83413" w:rsidR="000617D5">
        <w:rPr>
          <w:bCs/>
        </w:rPr>
        <w:t>his</w:t>
      </w:r>
      <w:r w:rsidRPr="00E83413">
        <w:rPr>
          <w:bCs/>
        </w:rPr>
        <w:t xml:space="preserve"> data collection effort offers a unique opportunity to hear from youth so that programming and any further research can be adjusted to align with </w:t>
      </w:r>
      <w:r w:rsidRPr="00E83413" w:rsidR="00441A46">
        <w:rPr>
          <w:bCs/>
        </w:rPr>
        <w:t>adolescents’</w:t>
      </w:r>
      <w:r w:rsidRPr="00E83413">
        <w:rPr>
          <w:bCs/>
        </w:rPr>
        <w:t xml:space="preserve"> new realities</w:t>
      </w:r>
      <w:r w:rsidRPr="00E83413">
        <w:t xml:space="preserve">. </w:t>
      </w:r>
      <w:r w:rsidRPr="00E83413" w:rsidR="005B60DD">
        <w:t xml:space="preserve">Additionally, ACF will use the information to provide targeted T/TA to grantees and to update programming as necessary for the next year grant year (beginning September 2021). Summaries of the findings will be shared with grantees so they can adjust, as needed, to meet the needs of the youth they serve. </w:t>
      </w:r>
    </w:p>
    <w:p w:rsidRPr="00E83413" w:rsidR="00014EDC" w:rsidP="00082C50" w:rsidRDefault="00014EDC" w14:paraId="42217A88" w14:textId="77777777">
      <w:pPr>
        <w:spacing w:after="0"/>
        <w:rPr>
          <w:rFonts w:cstheme="minorHAnsi"/>
        </w:rPr>
      </w:pPr>
    </w:p>
    <w:p w:rsidRPr="00E83413" w:rsidR="00014EDC" w:rsidP="00082C50" w:rsidRDefault="00014EDC" w14:paraId="0F45500D" w14:textId="788A8A82">
      <w:pPr>
        <w:spacing w:after="60"/>
        <w:rPr>
          <w:rFonts w:cstheme="minorHAnsi"/>
        </w:rPr>
      </w:pPr>
      <w:r w:rsidRPr="00E83413">
        <w:rPr>
          <w:rFonts w:cstheme="minorHAnsi"/>
        </w:rPr>
        <w:t>Th</w:t>
      </w:r>
      <w:r w:rsidRPr="00E83413" w:rsidR="00441A46">
        <w:rPr>
          <w:rFonts w:cstheme="minorHAnsi"/>
        </w:rPr>
        <w:t>e</w:t>
      </w:r>
      <w:r w:rsidRPr="00E83413">
        <w:rPr>
          <w:rFonts w:cstheme="minorHAnsi"/>
        </w:rPr>
        <w:t xml:space="preserve"> proposed information collection meets the following goals of ACF’s generic clearance for formative data collections for program support (0970-0531): </w:t>
      </w:r>
    </w:p>
    <w:p w:rsidRPr="00E83413" w:rsidR="00014EDC" w:rsidP="00082C50" w:rsidRDefault="00014EDC" w14:paraId="711CC69B" w14:textId="16D3ADF8">
      <w:pPr>
        <w:pStyle w:val="ListParagraph"/>
        <w:numPr>
          <w:ilvl w:val="0"/>
          <w:numId w:val="9"/>
        </w:numPr>
        <w:spacing w:after="0"/>
        <w:ind w:left="720"/>
        <w:contextualSpacing w:val="0"/>
        <w:rPr>
          <w:rFonts w:cstheme="minorHAnsi"/>
        </w:rPr>
      </w:pPr>
      <w:r w:rsidRPr="00E83413">
        <w:rPr>
          <w:rFonts w:cstheme="minorHAnsi"/>
        </w:rPr>
        <w:t>Delivery of targeted assistance related to program implementation or the development or refinement of program and grantee processes.</w:t>
      </w:r>
    </w:p>
    <w:p w:rsidRPr="00E83413" w:rsidR="00954726" w:rsidP="00082C50" w:rsidRDefault="00954726" w14:paraId="5CFDB3F0" w14:textId="58F4594D">
      <w:pPr>
        <w:pStyle w:val="ListParagraph"/>
        <w:numPr>
          <w:ilvl w:val="0"/>
          <w:numId w:val="9"/>
        </w:numPr>
        <w:spacing w:after="0"/>
        <w:ind w:left="720"/>
        <w:contextualSpacing w:val="0"/>
        <w:rPr>
          <w:rFonts w:cstheme="minorHAnsi"/>
        </w:rPr>
      </w:pPr>
      <w:r w:rsidRPr="00E83413">
        <w:rPr>
          <w:rFonts w:cstheme="minorHAnsi"/>
        </w:rPr>
        <w:t>Planning for provision of programmatic or evaluation-related T/TA.</w:t>
      </w:r>
    </w:p>
    <w:p w:rsidRPr="00E83413" w:rsidR="00954726" w:rsidP="00082C50" w:rsidRDefault="00954726" w14:paraId="0BECF939" w14:textId="77777777">
      <w:pPr>
        <w:pStyle w:val="ListParagraph"/>
        <w:numPr>
          <w:ilvl w:val="0"/>
          <w:numId w:val="9"/>
        </w:numPr>
        <w:spacing w:after="0"/>
        <w:ind w:left="720"/>
        <w:contextualSpacing w:val="0"/>
        <w:rPr>
          <w:rFonts w:cstheme="minorHAnsi"/>
        </w:rPr>
      </w:pPr>
      <w:r w:rsidRPr="00E83413">
        <w:rPr>
          <w:rFonts w:cstheme="minorHAnsi"/>
        </w:rPr>
        <w:t>Development of learning agendas and research priorities.</w:t>
      </w:r>
    </w:p>
    <w:p w:rsidRPr="00E83413" w:rsidR="00954726" w:rsidP="00082C50" w:rsidRDefault="00954726" w14:paraId="2530D23A" w14:textId="77777777">
      <w:pPr>
        <w:pStyle w:val="ListParagraph"/>
        <w:spacing w:after="0"/>
        <w:contextualSpacing w:val="0"/>
        <w:rPr>
          <w:rFonts w:cstheme="minorHAnsi"/>
        </w:rPr>
      </w:pPr>
    </w:p>
    <w:p w:rsidRPr="00E83413" w:rsidR="004328A4" w:rsidP="00082C50" w:rsidRDefault="004328A4" w14:paraId="36656807" w14:textId="1CC7EE16">
      <w:pPr>
        <w:spacing w:after="0"/>
        <w:rPr>
          <w:rFonts w:cstheme="minorHAnsi"/>
          <w:i/>
        </w:rPr>
      </w:pPr>
    </w:p>
    <w:p w:rsidRPr="00E83413" w:rsidR="00A36134" w:rsidP="00082C50" w:rsidRDefault="00A36134" w14:paraId="12840CC4" w14:textId="75F097BB">
      <w:pPr>
        <w:spacing w:after="0"/>
        <w:rPr>
          <w:rFonts w:cstheme="minorHAnsi"/>
        </w:rPr>
      </w:pPr>
      <w:r w:rsidRPr="00E83413">
        <w:rPr>
          <w:rFonts w:cstheme="minorHAnsi"/>
        </w:rPr>
        <w:t>The information collected</w:t>
      </w:r>
      <w:r w:rsidRPr="00E83413" w:rsidR="00810635">
        <w:rPr>
          <w:rFonts w:cstheme="minorHAnsi"/>
        </w:rPr>
        <w:t xml:space="preserve"> through the survey</w:t>
      </w:r>
      <w:r w:rsidRPr="00E83413">
        <w:rPr>
          <w:rFonts w:cstheme="minorHAnsi"/>
        </w:rPr>
        <w:t xml:space="preserve"> is meant to contribute to the body of knowledge on ACF programs. It is not intended to be used as the principal basis for a decision by a federal decision</w:t>
      </w:r>
      <w:r w:rsidRPr="00E83413" w:rsidR="00810635">
        <w:rPr>
          <w:rFonts w:cstheme="minorHAnsi"/>
        </w:rPr>
        <w:t xml:space="preserve"> </w:t>
      </w:r>
      <w:r w:rsidRPr="00E83413" w:rsidR="004D2A3E">
        <w:rPr>
          <w:rFonts w:cstheme="minorHAnsi"/>
        </w:rPr>
        <w:t>maker and</w:t>
      </w:r>
      <w:r w:rsidRPr="00E83413">
        <w:rPr>
          <w:rFonts w:cstheme="minorHAnsi"/>
        </w:rPr>
        <w:t xml:space="preserve"> is not expected to meet the threshold of influential or highly influential scientific information.  </w:t>
      </w:r>
    </w:p>
    <w:p w:rsidRPr="00E83413" w:rsidR="007D0F6E" w:rsidP="00DF1291" w:rsidRDefault="007D0F6E" w14:paraId="3D05813B" w14:textId="77777777">
      <w:pPr>
        <w:spacing w:after="0" w:line="240" w:lineRule="auto"/>
        <w:rPr>
          <w:i/>
        </w:rPr>
      </w:pPr>
    </w:p>
    <w:p w:rsidRPr="00E83413" w:rsidR="002545AA" w:rsidP="002D5C54" w:rsidRDefault="004328A4" w14:paraId="0E2B3AE6" w14:textId="77777777">
      <w:pPr>
        <w:spacing w:after="60" w:line="240" w:lineRule="auto"/>
        <w:rPr>
          <w:i/>
        </w:rPr>
      </w:pPr>
      <w:r w:rsidRPr="00E83413">
        <w:rPr>
          <w:i/>
        </w:rPr>
        <w:t>Research Questions or Tests</w:t>
      </w:r>
    </w:p>
    <w:p w:rsidRPr="00E83413" w:rsidR="002545AA" w:rsidP="002D5C54" w:rsidRDefault="002545AA" w14:paraId="033A97C5" w14:textId="29F9E08A">
      <w:pPr>
        <w:spacing w:after="60" w:line="240" w:lineRule="auto"/>
        <w:rPr>
          <w:i/>
        </w:rPr>
      </w:pPr>
      <w:r w:rsidRPr="002D5C54">
        <w:rPr>
          <w:iCs/>
        </w:rPr>
        <w:t>Th</w:t>
      </w:r>
      <w:r w:rsidRPr="002D5C54" w:rsidR="003E1FAA">
        <w:rPr>
          <w:iCs/>
        </w:rPr>
        <w:t>e</w:t>
      </w:r>
      <w:r w:rsidRPr="002D5C54">
        <w:rPr>
          <w:iCs/>
        </w:rPr>
        <w:t xml:space="preserve"> data collection effort</w:t>
      </w:r>
      <w:r w:rsidRPr="00E83413">
        <w:rPr>
          <w:rFonts w:cstheme="minorHAnsi"/>
        </w:rPr>
        <w:t xml:space="preserve"> addresses the following questions:</w:t>
      </w:r>
    </w:p>
    <w:p w:rsidRPr="00E83413" w:rsidR="004B75AA" w:rsidP="00082C50" w:rsidRDefault="004B75AA" w14:paraId="39EF66B5" w14:textId="23DEC2BC">
      <w:pPr>
        <w:pStyle w:val="ListParagraph"/>
        <w:keepNext/>
        <w:numPr>
          <w:ilvl w:val="0"/>
          <w:numId w:val="13"/>
        </w:numPr>
        <w:spacing w:after="0"/>
        <w:rPr>
          <w:rFonts w:cstheme="minorHAnsi"/>
          <w:szCs w:val="24"/>
        </w:rPr>
      </w:pPr>
      <w:r w:rsidRPr="00E83413">
        <w:rPr>
          <w:rFonts w:cstheme="minorHAnsi"/>
          <w:szCs w:val="24"/>
        </w:rPr>
        <w:lastRenderedPageBreak/>
        <w:t xml:space="preserve">How has youth communication and relationships with their parents/guardians changed due to the </w:t>
      </w:r>
      <w:r w:rsidRPr="00E83413" w:rsidR="008849CE">
        <w:rPr>
          <w:rFonts w:cstheme="minorHAnsi"/>
          <w:szCs w:val="24"/>
        </w:rPr>
        <w:t>COVID-19 pandemic</w:t>
      </w:r>
      <w:r w:rsidRPr="00E83413">
        <w:rPr>
          <w:rFonts w:cstheme="minorHAnsi"/>
          <w:szCs w:val="24"/>
        </w:rPr>
        <w:t>?</w:t>
      </w:r>
    </w:p>
    <w:p w:rsidRPr="00E83413" w:rsidR="004B75AA" w:rsidP="00082C50" w:rsidRDefault="004B75AA" w14:paraId="3043F5C3" w14:textId="77777777">
      <w:pPr>
        <w:pStyle w:val="ListParagraph"/>
        <w:keepNext/>
        <w:numPr>
          <w:ilvl w:val="1"/>
          <w:numId w:val="13"/>
        </w:numPr>
        <w:spacing w:after="0"/>
        <w:rPr>
          <w:rFonts w:cstheme="minorHAnsi"/>
          <w:szCs w:val="24"/>
        </w:rPr>
      </w:pPr>
      <w:r w:rsidRPr="00E83413">
        <w:rPr>
          <w:rFonts w:cstheme="minorHAnsi"/>
          <w:szCs w:val="24"/>
        </w:rPr>
        <w:t>Have the frequency and topics discussed with parents changed over the last year?</w:t>
      </w:r>
    </w:p>
    <w:p w:rsidRPr="00E83413" w:rsidR="004B75AA" w:rsidP="00082C50" w:rsidRDefault="004B75AA" w14:paraId="3A3802AC" w14:textId="7B52C8DF">
      <w:pPr>
        <w:pStyle w:val="ListParagraph"/>
        <w:keepNext/>
        <w:numPr>
          <w:ilvl w:val="1"/>
          <w:numId w:val="13"/>
        </w:numPr>
        <w:spacing w:after="0"/>
        <w:rPr>
          <w:rFonts w:cstheme="minorHAnsi"/>
          <w:szCs w:val="24"/>
        </w:rPr>
      </w:pPr>
      <w:r w:rsidRPr="00E83413">
        <w:rPr>
          <w:rFonts w:cstheme="minorHAnsi"/>
          <w:szCs w:val="24"/>
        </w:rPr>
        <w:t>Has</w:t>
      </w:r>
      <w:r w:rsidRPr="00E83413" w:rsidR="00EF798B">
        <w:rPr>
          <w:rFonts w:cstheme="minorHAnsi"/>
          <w:szCs w:val="24"/>
        </w:rPr>
        <w:t xml:space="preserve"> </w:t>
      </w:r>
      <w:r w:rsidRPr="00E83413">
        <w:rPr>
          <w:rFonts w:cstheme="minorHAnsi"/>
          <w:szCs w:val="24"/>
        </w:rPr>
        <w:t>parental monitoring changed over the past year, from the youth’s perspective?</w:t>
      </w:r>
    </w:p>
    <w:p w:rsidRPr="00E83413" w:rsidR="004B75AA" w:rsidP="00082C50" w:rsidRDefault="004B75AA" w14:paraId="11CB493E" w14:textId="77777777">
      <w:pPr>
        <w:pStyle w:val="ListParagraph"/>
        <w:keepNext/>
        <w:numPr>
          <w:ilvl w:val="1"/>
          <w:numId w:val="13"/>
        </w:numPr>
        <w:spacing w:after="0"/>
        <w:rPr>
          <w:rFonts w:cstheme="minorHAnsi"/>
          <w:szCs w:val="24"/>
        </w:rPr>
      </w:pPr>
      <w:r w:rsidRPr="00E83413">
        <w:rPr>
          <w:rFonts w:cstheme="minorHAnsi"/>
          <w:szCs w:val="24"/>
        </w:rPr>
        <w:t>Have there been more conflicts or more closeness/cohesion over the past year?</w:t>
      </w:r>
    </w:p>
    <w:p w:rsidRPr="00E83413" w:rsidR="004B75AA" w:rsidP="00082C50" w:rsidRDefault="004B75AA" w14:paraId="3EC59150" w14:textId="77777777">
      <w:pPr>
        <w:pStyle w:val="ListParagraph"/>
        <w:keepNext/>
        <w:numPr>
          <w:ilvl w:val="0"/>
          <w:numId w:val="13"/>
        </w:numPr>
        <w:spacing w:after="0"/>
        <w:rPr>
          <w:rFonts w:cstheme="minorHAnsi"/>
          <w:szCs w:val="24"/>
        </w:rPr>
      </w:pPr>
      <w:r w:rsidRPr="00E83413">
        <w:rPr>
          <w:rFonts w:cstheme="minorHAnsi"/>
          <w:szCs w:val="24"/>
        </w:rPr>
        <w:t>What type of sex education programming did high school youth receive during the 2020-2021 school year?</w:t>
      </w:r>
    </w:p>
    <w:p w:rsidRPr="00E83413" w:rsidR="004B75AA" w:rsidP="00082C50" w:rsidRDefault="004B75AA" w14:paraId="3C646FF9" w14:textId="77777777">
      <w:pPr>
        <w:pStyle w:val="ListParagraph"/>
        <w:keepNext/>
        <w:numPr>
          <w:ilvl w:val="1"/>
          <w:numId w:val="13"/>
        </w:numPr>
        <w:spacing w:after="0"/>
        <w:rPr>
          <w:rFonts w:cstheme="minorHAnsi"/>
          <w:szCs w:val="24"/>
        </w:rPr>
      </w:pPr>
      <w:r w:rsidRPr="00E83413">
        <w:rPr>
          <w:rFonts w:cstheme="minorHAnsi"/>
          <w:szCs w:val="24"/>
        </w:rPr>
        <w:t>Were they engaged and satisfied with this programming?</w:t>
      </w:r>
    </w:p>
    <w:p w:rsidRPr="00E83413" w:rsidR="004B75AA" w:rsidP="00082C50" w:rsidRDefault="004B75AA" w14:paraId="742868FD" w14:textId="77777777">
      <w:pPr>
        <w:pStyle w:val="ListParagraph"/>
        <w:keepNext/>
        <w:numPr>
          <w:ilvl w:val="1"/>
          <w:numId w:val="13"/>
        </w:numPr>
        <w:spacing w:after="0"/>
        <w:rPr>
          <w:rFonts w:cstheme="minorHAnsi"/>
          <w:szCs w:val="24"/>
        </w:rPr>
      </w:pPr>
      <w:r w:rsidRPr="00E83413">
        <w:rPr>
          <w:rFonts w:cstheme="minorHAnsi"/>
          <w:szCs w:val="24"/>
        </w:rPr>
        <w:t>What topics were covered, and what topics do they think will be important in the next year?</w:t>
      </w:r>
    </w:p>
    <w:p w:rsidRPr="00E83413" w:rsidR="004B75AA" w:rsidP="00082C50" w:rsidRDefault="004B75AA" w14:paraId="4D50A154" w14:textId="33E15B33">
      <w:pPr>
        <w:pStyle w:val="ListParagraph"/>
        <w:keepNext/>
        <w:numPr>
          <w:ilvl w:val="0"/>
          <w:numId w:val="13"/>
        </w:numPr>
        <w:spacing w:after="0"/>
        <w:rPr>
          <w:rFonts w:cstheme="minorHAnsi"/>
          <w:szCs w:val="24"/>
        </w:rPr>
      </w:pPr>
      <w:r w:rsidRPr="00E83413">
        <w:rPr>
          <w:rFonts w:cstheme="minorHAnsi"/>
          <w:szCs w:val="24"/>
        </w:rPr>
        <w:t xml:space="preserve">What types of sexual risk behaviors have youth been engaging in throughout the last year of the </w:t>
      </w:r>
      <w:r w:rsidRPr="00E83413" w:rsidR="008849CE">
        <w:rPr>
          <w:rFonts w:cstheme="minorHAnsi"/>
          <w:szCs w:val="24"/>
        </w:rPr>
        <w:t>COVID-19 pandemic</w:t>
      </w:r>
      <w:r w:rsidRPr="00E83413">
        <w:rPr>
          <w:rFonts w:cstheme="minorHAnsi"/>
          <w:szCs w:val="24"/>
        </w:rPr>
        <w:t xml:space="preserve">? </w:t>
      </w:r>
    </w:p>
    <w:p w:rsidRPr="00E83413" w:rsidR="007D0F6E" w:rsidP="00DF1291" w:rsidRDefault="007D0F6E" w14:paraId="074BB4AA" w14:textId="77777777">
      <w:pPr>
        <w:spacing w:after="0" w:line="240" w:lineRule="auto"/>
        <w:rPr>
          <w:i/>
        </w:rPr>
      </w:pPr>
    </w:p>
    <w:p w:rsidRPr="00E83413" w:rsidR="004328A4" w:rsidP="002D5C54" w:rsidRDefault="004328A4" w14:paraId="5C99A251" w14:textId="61FEA588">
      <w:pPr>
        <w:spacing w:after="60" w:line="240" w:lineRule="auto"/>
        <w:rPr>
          <w:i/>
        </w:rPr>
      </w:pPr>
      <w:r w:rsidRPr="00E83413">
        <w:rPr>
          <w:i/>
        </w:rPr>
        <w:t>Study Design</w:t>
      </w:r>
    </w:p>
    <w:p w:rsidRPr="00E83413" w:rsidR="00F10A03" w:rsidP="002D5C54" w:rsidRDefault="00F10A03" w14:paraId="3596D82A" w14:textId="593F798C">
      <w:pPr>
        <w:spacing w:after="60" w:line="240" w:lineRule="auto"/>
        <w:rPr>
          <w:rFonts w:cstheme="minorHAnsi"/>
        </w:rPr>
      </w:pPr>
      <w:r w:rsidRPr="002D5C54">
        <w:rPr>
          <w:iCs/>
        </w:rPr>
        <w:t>We will collect</w:t>
      </w:r>
      <w:r w:rsidRPr="00E83413">
        <w:rPr>
          <w:rFonts w:cstheme="minorHAnsi"/>
        </w:rPr>
        <w:t xml:space="preserve"> </w:t>
      </w:r>
      <w:r w:rsidRPr="00E83413" w:rsidR="00EC6D70">
        <w:rPr>
          <w:rFonts w:cstheme="minorHAnsi"/>
        </w:rPr>
        <w:t xml:space="preserve">data </w:t>
      </w:r>
      <w:r w:rsidRPr="00E83413">
        <w:rPr>
          <w:rFonts w:cstheme="minorHAnsi"/>
        </w:rPr>
        <w:t xml:space="preserve">to provide descriptive information on how parent and child relationships have changed </w:t>
      </w:r>
      <w:r w:rsidRPr="00E83413" w:rsidR="00FF772B">
        <w:rPr>
          <w:rFonts w:cstheme="minorHAnsi"/>
        </w:rPr>
        <w:t>in response to</w:t>
      </w:r>
      <w:r w:rsidRPr="00E83413">
        <w:rPr>
          <w:rFonts w:cstheme="minorHAnsi"/>
        </w:rPr>
        <w:t xml:space="preserve"> the </w:t>
      </w:r>
      <w:r w:rsidRPr="00E83413" w:rsidR="00412531">
        <w:rPr>
          <w:rFonts w:cstheme="minorHAnsi"/>
        </w:rPr>
        <w:t>COVID-19 pandemic</w:t>
      </w:r>
      <w:r w:rsidRPr="00E83413">
        <w:rPr>
          <w:rFonts w:cstheme="minorHAnsi"/>
        </w:rPr>
        <w:t>, what type of sex</w:t>
      </w:r>
      <w:r w:rsidRPr="00E83413" w:rsidR="004F5A59">
        <w:rPr>
          <w:rFonts w:cstheme="minorHAnsi"/>
        </w:rPr>
        <w:t>ual</w:t>
      </w:r>
      <w:r w:rsidRPr="00E83413">
        <w:rPr>
          <w:rFonts w:cstheme="minorHAnsi"/>
        </w:rPr>
        <w:t xml:space="preserve"> education youth have received </w:t>
      </w:r>
      <w:r w:rsidRPr="00E83413" w:rsidR="004B75AA">
        <w:rPr>
          <w:rFonts w:cstheme="minorHAnsi"/>
        </w:rPr>
        <w:t xml:space="preserve">and how engaged they were with such programming </w:t>
      </w:r>
      <w:r w:rsidRPr="00E83413">
        <w:rPr>
          <w:rFonts w:cstheme="minorHAnsi"/>
        </w:rPr>
        <w:t xml:space="preserve">during the </w:t>
      </w:r>
      <w:r w:rsidRPr="00E83413" w:rsidR="00412531">
        <w:rPr>
          <w:rFonts w:cstheme="minorHAnsi"/>
        </w:rPr>
        <w:t>pandemic</w:t>
      </w:r>
      <w:r w:rsidRPr="00E83413" w:rsidR="00EC6D70">
        <w:rPr>
          <w:rFonts w:cstheme="minorHAnsi"/>
        </w:rPr>
        <w:t>/2020</w:t>
      </w:r>
      <w:r w:rsidRPr="00E83413" w:rsidR="004F5A59">
        <w:rPr>
          <w:rFonts w:cstheme="minorHAnsi"/>
        </w:rPr>
        <w:t>–</w:t>
      </w:r>
      <w:r w:rsidRPr="00E83413" w:rsidR="00EC6D70">
        <w:rPr>
          <w:rFonts w:cstheme="minorHAnsi"/>
        </w:rPr>
        <w:t>2021 school year</w:t>
      </w:r>
      <w:r w:rsidRPr="00E83413">
        <w:rPr>
          <w:rFonts w:cstheme="minorHAnsi"/>
        </w:rPr>
        <w:t xml:space="preserve">, and </w:t>
      </w:r>
      <w:r w:rsidRPr="00E83413" w:rsidR="00CD75F6">
        <w:rPr>
          <w:rFonts w:cstheme="minorHAnsi"/>
        </w:rPr>
        <w:t>the</w:t>
      </w:r>
      <w:r w:rsidRPr="00E83413">
        <w:rPr>
          <w:rFonts w:cstheme="minorHAnsi"/>
        </w:rPr>
        <w:t xml:space="preserve"> </w:t>
      </w:r>
      <w:r w:rsidRPr="00E83413" w:rsidR="00275337">
        <w:rPr>
          <w:rFonts w:cstheme="minorHAnsi"/>
        </w:rPr>
        <w:t>types of sexual risk behaviors</w:t>
      </w:r>
      <w:r w:rsidRPr="00E83413" w:rsidR="004F5A59">
        <w:rPr>
          <w:rFonts w:cstheme="minorHAnsi"/>
        </w:rPr>
        <w:t xml:space="preserve"> in which</w:t>
      </w:r>
      <w:r w:rsidRPr="00E83413">
        <w:rPr>
          <w:rFonts w:cstheme="minorHAnsi"/>
        </w:rPr>
        <w:t xml:space="preserve"> youth have engaged during the </w:t>
      </w:r>
      <w:r w:rsidRPr="00E83413" w:rsidR="00412531">
        <w:rPr>
          <w:rFonts w:cstheme="minorHAnsi"/>
        </w:rPr>
        <w:t>pandemic</w:t>
      </w:r>
      <w:r w:rsidRPr="00E83413">
        <w:rPr>
          <w:rFonts w:cstheme="minorHAnsi"/>
        </w:rPr>
        <w:t xml:space="preserve">. </w:t>
      </w:r>
      <w:r w:rsidRPr="00E83413" w:rsidR="00E0689A">
        <w:rPr>
          <w:rFonts w:cstheme="minorHAnsi"/>
        </w:rPr>
        <w:t xml:space="preserve">Data will be collected through a web </w:t>
      </w:r>
      <w:r w:rsidRPr="00E83413">
        <w:rPr>
          <w:rFonts w:cstheme="minorHAnsi"/>
        </w:rPr>
        <w:t xml:space="preserve">survey administered to a </w:t>
      </w:r>
      <w:r w:rsidRPr="00E83413" w:rsidR="001E6A8F">
        <w:rPr>
          <w:rFonts w:cstheme="minorHAnsi"/>
        </w:rPr>
        <w:t>non</w:t>
      </w:r>
      <w:r w:rsidRPr="00E83413">
        <w:rPr>
          <w:rFonts w:cstheme="minorHAnsi"/>
        </w:rPr>
        <w:t>probability sample of English</w:t>
      </w:r>
      <w:r w:rsidRPr="00E83413" w:rsidR="004F5A59">
        <w:rPr>
          <w:rFonts w:cstheme="minorHAnsi"/>
        </w:rPr>
        <w:t>-</w:t>
      </w:r>
      <w:r w:rsidRPr="00E83413">
        <w:rPr>
          <w:rFonts w:cstheme="minorHAnsi"/>
        </w:rPr>
        <w:t xml:space="preserve"> and Spanish</w:t>
      </w:r>
      <w:r w:rsidRPr="00E83413" w:rsidR="004F5A59">
        <w:rPr>
          <w:rFonts w:cstheme="minorHAnsi"/>
        </w:rPr>
        <w:t>-</w:t>
      </w:r>
      <w:r w:rsidRPr="00E83413">
        <w:rPr>
          <w:rFonts w:cstheme="minorHAnsi"/>
        </w:rPr>
        <w:t>speaking high school</w:t>
      </w:r>
      <w:r w:rsidRPr="00E83413" w:rsidR="00512FA1">
        <w:rPr>
          <w:rFonts w:cstheme="minorHAnsi"/>
        </w:rPr>
        <w:t>–</w:t>
      </w:r>
      <w:r w:rsidRPr="00E83413">
        <w:rPr>
          <w:rFonts w:cstheme="minorHAnsi"/>
        </w:rPr>
        <w:t>age students in the United States who are 14</w:t>
      </w:r>
      <w:r w:rsidRPr="00E83413" w:rsidR="004F5A59">
        <w:rPr>
          <w:rFonts w:cstheme="minorHAnsi"/>
        </w:rPr>
        <w:t xml:space="preserve"> t</w:t>
      </w:r>
      <w:r w:rsidRPr="00E83413" w:rsidR="004F0684">
        <w:rPr>
          <w:rFonts w:cstheme="minorHAnsi"/>
        </w:rPr>
        <w:t>hrough</w:t>
      </w:r>
      <w:r w:rsidRPr="00E83413" w:rsidR="004F5A59">
        <w:rPr>
          <w:rFonts w:cstheme="minorHAnsi"/>
        </w:rPr>
        <w:t xml:space="preserve"> </w:t>
      </w:r>
      <w:r w:rsidRPr="00E83413" w:rsidR="005F5549">
        <w:rPr>
          <w:rFonts w:cstheme="minorHAnsi"/>
        </w:rPr>
        <w:t>1</w:t>
      </w:r>
      <w:r w:rsidRPr="00E83413" w:rsidR="00714E70">
        <w:rPr>
          <w:rFonts w:cstheme="minorHAnsi"/>
        </w:rPr>
        <w:t>9</w:t>
      </w:r>
      <w:r w:rsidRPr="00E83413" w:rsidR="005F5549">
        <w:rPr>
          <w:rFonts w:cstheme="minorHAnsi"/>
        </w:rPr>
        <w:t xml:space="preserve"> </w:t>
      </w:r>
      <w:r w:rsidRPr="00E83413">
        <w:rPr>
          <w:rFonts w:cstheme="minorHAnsi"/>
        </w:rPr>
        <w:t>years</w:t>
      </w:r>
      <w:r w:rsidRPr="00E83413" w:rsidR="00512FA1">
        <w:rPr>
          <w:rFonts w:cstheme="minorHAnsi"/>
        </w:rPr>
        <w:t xml:space="preserve"> of age</w:t>
      </w:r>
      <w:r w:rsidRPr="00E83413">
        <w:rPr>
          <w:rFonts w:cstheme="minorHAnsi"/>
        </w:rPr>
        <w:t xml:space="preserve"> and have</w:t>
      </w:r>
      <w:r w:rsidRPr="00E83413" w:rsidR="00251E8C">
        <w:rPr>
          <w:rFonts w:cstheme="minorHAnsi"/>
        </w:rPr>
        <w:t xml:space="preserve"> received</w:t>
      </w:r>
      <w:r w:rsidRPr="00E83413">
        <w:rPr>
          <w:rFonts w:cstheme="minorHAnsi"/>
        </w:rPr>
        <w:t xml:space="preserve"> parental consent to participate</w:t>
      </w:r>
      <w:r w:rsidRPr="00E83413" w:rsidR="00714E70">
        <w:rPr>
          <w:rFonts w:cstheme="minorHAnsi"/>
        </w:rPr>
        <w:t xml:space="preserve"> (for those less than 18 years old)</w:t>
      </w:r>
      <w:r w:rsidRPr="00E83413">
        <w:rPr>
          <w:rFonts w:cstheme="minorHAnsi"/>
        </w:rPr>
        <w:t xml:space="preserve">. </w:t>
      </w:r>
      <w:r w:rsidRPr="00E83413" w:rsidR="00714E70">
        <w:rPr>
          <w:rFonts w:cstheme="minorHAnsi"/>
        </w:rPr>
        <w:t xml:space="preserve">The sample will come from an online research nonprobability panel, the KnowledgePanel®, maintained by </w:t>
      </w:r>
      <w:r w:rsidRPr="00E83413" w:rsidR="00F52F0F">
        <w:rPr>
          <w:rFonts w:cstheme="minorHAnsi"/>
        </w:rPr>
        <w:t>Ipsos</w:t>
      </w:r>
      <w:r w:rsidRPr="00E83413" w:rsidR="00714E70">
        <w:rPr>
          <w:rFonts w:cstheme="minorHAnsi"/>
        </w:rPr>
        <w:t xml:space="preserve">. Ipsos will </w:t>
      </w:r>
      <w:r w:rsidRPr="00E83413" w:rsidR="00E0689A">
        <w:rPr>
          <w:rFonts w:cstheme="minorHAnsi"/>
        </w:rPr>
        <w:t>seek consent from parents who are members of</w:t>
      </w:r>
      <w:r w:rsidRPr="00E83413" w:rsidR="00714E70">
        <w:rPr>
          <w:rFonts w:cstheme="minorHAnsi"/>
        </w:rPr>
        <w:t xml:space="preserve"> the KnowledgePanel</w:t>
      </w:r>
      <w:r w:rsidRPr="00E83413" w:rsidR="00984036">
        <w:rPr>
          <w:rFonts w:cstheme="minorHAnsi"/>
        </w:rPr>
        <w:t xml:space="preserve"> and have youth 14 through 17 years of age</w:t>
      </w:r>
      <w:r w:rsidRPr="00E83413" w:rsidR="00F93289">
        <w:rPr>
          <w:rFonts w:cstheme="minorHAnsi"/>
        </w:rPr>
        <w:t xml:space="preserve">. </w:t>
      </w:r>
      <w:r w:rsidRPr="00E83413" w:rsidR="00E33D68">
        <w:rPr>
          <w:rFonts w:cstheme="minorHAnsi"/>
        </w:rPr>
        <w:t>Given that the survey involves</w:t>
      </w:r>
      <w:r w:rsidRPr="00E83413">
        <w:rPr>
          <w:rFonts w:cstheme="minorHAnsi"/>
        </w:rPr>
        <w:t xml:space="preserve"> a </w:t>
      </w:r>
      <w:r w:rsidRPr="00E83413" w:rsidR="00E33D68">
        <w:rPr>
          <w:rFonts w:cstheme="minorHAnsi"/>
        </w:rPr>
        <w:t>non</w:t>
      </w:r>
      <w:r w:rsidRPr="00E83413">
        <w:rPr>
          <w:rFonts w:cstheme="minorHAnsi"/>
        </w:rPr>
        <w:t>probability sample, the survey data will not be used to generate generalizable statistics for high school</w:t>
      </w:r>
      <w:r w:rsidRPr="00E83413" w:rsidR="00E33D68">
        <w:rPr>
          <w:rFonts w:cstheme="minorHAnsi"/>
        </w:rPr>
        <w:t>–</w:t>
      </w:r>
      <w:r w:rsidRPr="00E83413">
        <w:rPr>
          <w:rFonts w:cstheme="minorHAnsi"/>
        </w:rPr>
        <w:t xml:space="preserve">age youth. </w:t>
      </w:r>
    </w:p>
    <w:p w:rsidRPr="00E83413" w:rsidR="00F01F50" w:rsidP="00082C50" w:rsidRDefault="00F01F50" w14:paraId="44E34124" w14:textId="095456F6">
      <w:pPr>
        <w:pStyle w:val="ListParagraph"/>
        <w:spacing w:after="0"/>
        <w:ind w:left="0"/>
        <w:rPr>
          <w:rFonts w:cstheme="minorHAnsi"/>
        </w:rPr>
      </w:pPr>
    </w:p>
    <w:p w:rsidRPr="00E83413" w:rsidR="00C4267E" w:rsidP="00082C50" w:rsidRDefault="00867741" w14:paraId="1448A315" w14:textId="090E88B6">
      <w:pPr>
        <w:tabs>
          <w:tab w:val="left" w:pos="-4950"/>
          <w:tab w:val="left" w:pos="-4770"/>
          <w:tab w:val="left" w:pos="-3600"/>
          <w:tab w:val="left" w:pos="-2700"/>
          <w:tab w:val="left" w:pos="-1800"/>
          <w:tab w:val="left" w:pos="-576"/>
        </w:tabs>
        <w:spacing w:before="120" w:after="120"/>
      </w:pPr>
      <w:r w:rsidRPr="00E83413">
        <w:rPr>
          <w:rFonts w:cstheme="minorHAnsi"/>
        </w:rPr>
        <w:t xml:space="preserve">While the KnowledgePanel® provides access to a diverse set of parents and guardians </w:t>
      </w:r>
      <w:r w:rsidRPr="00E83413" w:rsidR="007E3475">
        <w:rPr>
          <w:rFonts w:cstheme="minorHAnsi"/>
        </w:rPr>
        <w:t xml:space="preserve">to reach out to for consent for a youth sample, there are limitations to this design. </w:t>
      </w:r>
      <w:r w:rsidRPr="00E83413" w:rsidR="005E348F">
        <w:rPr>
          <w:rFonts w:cstheme="minorHAnsi"/>
        </w:rPr>
        <w:t xml:space="preserve">The data will not be generalizable to all high-school age youth. We will collect basic demographic items to understand the characteristics of our respondents and who we may be missing. We will include this as a key limitation in all written products. </w:t>
      </w:r>
      <w:r w:rsidRPr="00E83413" w:rsidR="007E3475">
        <w:rPr>
          <w:rFonts w:cstheme="minorHAnsi"/>
        </w:rPr>
        <w:t xml:space="preserve">The survey asks questions about parent child communication and relationships. There is a chance that youth whose </w:t>
      </w:r>
      <w:r w:rsidRPr="00E83413" w:rsidR="002E6386">
        <w:rPr>
          <w:rFonts w:cstheme="minorHAnsi"/>
        </w:rPr>
        <w:t>parents’</w:t>
      </w:r>
      <w:r w:rsidRPr="00E83413" w:rsidR="007E3475">
        <w:rPr>
          <w:rFonts w:cstheme="minorHAnsi"/>
        </w:rPr>
        <w:t xml:space="preserve"> consent and who also agree to do the survey may be those who already have a stronger relationship and communicate more</w:t>
      </w:r>
      <w:r w:rsidRPr="00E83413" w:rsidR="00117F51">
        <w:rPr>
          <w:rFonts w:cstheme="minorHAnsi"/>
        </w:rPr>
        <w:t xml:space="preserve"> with their parents</w:t>
      </w:r>
      <w:r w:rsidRPr="00E83413" w:rsidR="007E3475">
        <w:rPr>
          <w:rFonts w:cstheme="minorHAnsi"/>
        </w:rPr>
        <w:t xml:space="preserve">, compared to the general population of high school age youth. Additionally, </w:t>
      </w:r>
      <w:r w:rsidRPr="00E83413" w:rsidR="00B237BB">
        <w:rPr>
          <w:rFonts w:cstheme="minorHAnsi"/>
        </w:rPr>
        <w:t xml:space="preserve">the </w:t>
      </w:r>
      <w:r w:rsidRPr="00E83413" w:rsidR="00C4267E">
        <w:t>Youth Survey of Relationships, Education, and Behavior</w:t>
      </w:r>
      <w:r w:rsidRPr="00E83413" w:rsidR="009C45C4">
        <w:t xml:space="preserve"> will use a fully web-based method of data collection</w:t>
      </w:r>
      <w:r w:rsidRPr="00E83413" w:rsidR="00C4267E">
        <w:t>. Since questions pertaining to sexual behaviors of high school–age youth can be sensitive in nature,</w:t>
      </w:r>
      <w:r w:rsidRPr="00E83413" w:rsidR="00B237BB">
        <w:t xml:space="preserve"> it possible that some youth may be completing the survey at home while their parents are at home.</w:t>
      </w:r>
      <w:r w:rsidRPr="00E83413" w:rsidR="00C4267E">
        <w:t xml:space="preserve"> </w:t>
      </w:r>
      <w:r w:rsidRPr="00E83413" w:rsidR="00B237BB">
        <w:t>To mitigate this bias, w</w:t>
      </w:r>
      <w:r w:rsidRPr="00E83413" w:rsidR="00C4267E">
        <w:t xml:space="preserve">e will encourage respondents to take the survey in a quiet spot by themselves </w:t>
      </w:r>
      <w:r w:rsidRPr="00E83413" w:rsidR="00041BDF">
        <w:t xml:space="preserve">and inform parents that we want youth to complete the survey independently. </w:t>
      </w:r>
    </w:p>
    <w:p w:rsidRPr="00E83413" w:rsidR="00F01F50" w:rsidP="00082C50" w:rsidRDefault="00867741" w14:paraId="16B5925F" w14:textId="4A4CE74C">
      <w:pPr>
        <w:pStyle w:val="ListParagraph"/>
        <w:spacing w:after="0"/>
        <w:ind w:left="0"/>
        <w:rPr>
          <w:rFonts w:cstheme="minorHAnsi"/>
        </w:rPr>
      </w:pPr>
      <w:r w:rsidRPr="00E83413">
        <w:rPr>
          <w:rFonts w:cstheme="minorHAnsi"/>
        </w:rPr>
        <w:t xml:space="preserve">In Table A2, we provide the data collection activity by respondent and format. The collected data will be analyzed only in the aggregate. </w:t>
      </w:r>
    </w:p>
    <w:p w:rsidRPr="00E83413" w:rsidR="00483F2D" w:rsidP="00E6529C" w:rsidRDefault="00483F2D" w14:paraId="26E83D6E" w14:textId="1ED1E198">
      <w:pPr>
        <w:pStyle w:val="TableTitle"/>
      </w:pPr>
      <w:r w:rsidRPr="00E83413">
        <w:lastRenderedPageBreak/>
        <w:t>Table A</w:t>
      </w:r>
      <w:r w:rsidRPr="00E83413" w:rsidR="00E6529C">
        <w:t>2</w:t>
      </w:r>
      <w:r w:rsidRPr="00E83413">
        <w:t xml:space="preserve">. Data collection activity for the Youth </w:t>
      </w:r>
      <w:r w:rsidRPr="00E83413" w:rsidR="00613C40">
        <w:t>Survey of Relationships, Education, and Behavior</w:t>
      </w:r>
    </w:p>
    <w:tbl>
      <w:tblPr>
        <w:tblStyle w:val="TableGrid"/>
        <w:tblW w:w="7522" w:type="dxa"/>
        <w:tblInd w:w="0" w:type="dxa"/>
        <w:tblLook w:val="04A0" w:firstRow="1" w:lastRow="0" w:firstColumn="1" w:lastColumn="0" w:noHBand="0" w:noVBand="1"/>
      </w:tblPr>
      <w:tblGrid>
        <w:gridCol w:w="1676"/>
        <w:gridCol w:w="4136"/>
        <w:gridCol w:w="1710"/>
      </w:tblGrid>
      <w:tr w:rsidRPr="00E83413" w:rsidR="00165577" w:rsidTr="00CF0052" w14:paraId="51FF2E50" w14:textId="77777777">
        <w:tc>
          <w:tcPr>
            <w:tcW w:w="1676" w:type="dxa"/>
            <w:shd w:val="clear" w:color="auto" w:fill="244061" w:themeFill="accent1" w:themeFillShade="80"/>
          </w:tcPr>
          <w:p w:rsidRPr="00E83413" w:rsidR="00165577" w:rsidP="00E6529C" w:rsidRDefault="00165577" w14:paraId="750C64CA" w14:textId="5E06C704">
            <w:pPr>
              <w:pStyle w:val="TableHeaderCenter"/>
            </w:pPr>
            <w:r w:rsidRPr="00E83413">
              <w:t>Instrument</w:t>
            </w:r>
          </w:p>
        </w:tc>
        <w:tc>
          <w:tcPr>
            <w:tcW w:w="4136" w:type="dxa"/>
            <w:shd w:val="clear" w:color="auto" w:fill="244061" w:themeFill="accent1" w:themeFillShade="80"/>
          </w:tcPr>
          <w:p w:rsidRPr="00E83413" w:rsidR="00165577" w:rsidP="00E6529C" w:rsidRDefault="00165577" w14:paraId="778389EC" w14:textId="5C8CBDC7">
            <w:pPr>
              <w:pStyle w:val="TableHeaderCenter"/>
            </w:pPr>
            <w:r w:rsidRPr="00E83413">
              <w:t>Respondent, content, purpose of collection</w:t>
            </w:r>
          </w:p>
        </w:tc>
        <w:tc>
          <w:tcPr>
            <w:tcW w:w="1710" w:type="dxa"/>
            <w:shd w:val="clear" w:color="auto" w:fill="244061" w:themeFill="accent1" w:themeFillShade="80"/>
          </w:tcPr>
          <w:p w:rsidRPr="00E83413" w:rsidR="00165577" w:rsidP="00E6529C" w:rsidRDefault="00165577" w14:paraId="0C4F1C59" w14:textId="1E595DC1">
            <w:pPr>
              <w:pStyle w:val="TableHeaderCenter"/>
            </w:pPr>
            <w:r w:rsidRPr="00E83413">
              <w:t>Mode and duration</w:t>
            </w:r>
          </w:p>
        </w:tc>
      </w:tr>
      <w:tr w:rsidRPr="00E83413" w:rsidR="00165577" w:rsidTr="00CF0052" w14:paraId="7460439D" w14:textId="77777777">
        <w:tc>
          <w:tcPr>
            <w:tcW w:w="1676" w:type="dxa"/>
          </w:tcPr>
          <w:p w:rsidRPr="00E83413" w:rsidR="00165577" w:rsidP="00C24327" w:rsidRDefault="00165577" w14:paraId="3EDF4256" w14:textId="0F789EA9">
            <w:pPr>
              <w:rPr>
                <w:rFonts w:asciiTheme="minorHAnsi" w:hAnsiTheme="minorHAnsi" w:cstheme="minorHAnsi"/>
              </w:rPr>
            </w:pPr>
            <w:r w:rsidRPr="00E83413">
              <w:rPr>
                <w:rFonts w:asciiTheme="minorHAnsi" w:hAnsiTheme="minorHAnsi" w:cstheme="minorHAnsi"/>
              </w:rPr>
              <w:t xml:space="preserve">Youth Survey of Relationships, Education, and Behavior (Instrument 1) </w:t>
            </w:r>
          </w:p>
        </w:tc>
        <w:tc>
          <w:tcPr>
            <w:tcW w:w="4136" w:type="dxa"/>
          </w:tcPr>
          <w:p w:rsidRPr="001D1548" w:rsidR="00165577" w:rsidP="00C24327" w:rsidRDefault="00165577" w14:paraId="1600AC5F" w14:textId="547EB7A4">
            <w:pPr>
              <w:rPr>
                <w:rFonts w:asciiTheme="minorHAnsi" w:hAnsiTheme="minorHAnsi" w:cstheme="minorHAnsi"/>
              </w:rPr>
            </w:pPr>
            <w:r w:rsidRPr="001D1548">
              <w:rPr>
                <w:rFonts w:asciiTheme="minorHAnsi" w:hAnsiTheme="minorHAnsi" w:cstheme="minorHAnsi"/>
                <w:b/>
              </w:rPr>
              <w:t>Respondents</w:t>
            </w:r>
            <w:r w:rsidRPr="001D1548">
              <w:rPr>
                <w:rFonts w:asciiTheme="minorHAnsi" w:hAnsiTheme="minorHAnsi" w:cstheme="minorHAnsi"/>
                <w:b/>
                <w:bCs/>
              </w:rPr>
              <w:t xml:space="preserve">: </w:t>
            </w:r>
            <w:r w:rsidRPr="001D1548">
              <w:rPr>
                <w:rFonts w:asciiTheme="minorHAnsi" w:hAnsiTheme="minorHAnsi" w:cstheme="minorHAnsi"/>
              </w:rPr>
              <w:t>Youth 14 through 19 years of age.</w:t>
            </w:r>
          </w:p>
          <w:p w:rsidRPr="001D1548" w:rsidR="00165577" w:rsidP="00C24327" w:rsidRDefault="00165577" w14:paraId="32E164CC" w14:textId="77777777">
            <w:pPr>
              <w:rPr>
                <w:rFonts w:asciiTheme="minorHAnsi" w:hAnsiTheme="minorHAnsi" w:cstheme="minorHAnsi"/>
              </w:rPr>
            </w:pPr>
          </w:p>
          <w:p w:rsidRPr="001D1548" w:rsidR="00165577" w:rsidP="00C24327" w:rsidRDefault="00165577" w14:paraId="0BE4A700" w14:textId="035D3EFD">
            <w:pPr>
              <w:rPr>
                <w:rFonts w:asciiTheme="minorHAnsi" w:hAnsiTheme="minorHAnsi" w:cstheme="minorHAnsi"/>
              </w:rPr>
            </w:pPr>
            <w:r w:rsidRPr="001D1548">
              <w:rPr>
                <w:rFonts w:asciiTheme="minorHAnsi" w:hAnsiTheme="minorHAnsi" w:cstheme="minorHAnsi"/>
                <w:b/>
              </w:rPr>
              <w:t>Content</w:t>
            </w:r>
            <w:r w:rsidRPr="001D1548">
              <w:rPr>
                <w:rFonts w:asciiTheme="minorHAnsi" w:hAnsiTheme="minorHAnsi" w:cstheme="minorHAnsi"/>
                <w:b/>
                <w:bCs/>
              </w:rPr>
              <w:t>:</w:t>
            </w:r>
            <w:r w:rsidRPr="001D1548">
              <w:rPr>
                <w:rFonts w:asciiTheme="minorHAnsi" w:hAnsiTheme="minorHAnsi" w:cstheme="minorHAnsi"/>
              </w:rPr>
              <w:t xml:space="preserve"> Changes in parental relationships and communications, sexual education, and sexual risk behaviors related to the COVID-19 pandemic.</w:t>
            </w:r>
          </w:p>
          <w:p w:rsidRPr="001D1548" w:rsidR="00165577" w:rsidP="00C24327" w:rsidRDefault="00165577" w14:paraId="5DE76A03" w14:textId="77777777">
            <w:pPr>
              <w:rPr>
                <w:rFonts w:asciiTheme="minorHAnsi" w:hAnsiTheme="minorHAnsi" w:cstheme="minorHAnsi"/>
              </w:rPr>
            </w:pPr>
          </w:p>
          <w:p w:rsidRPr="00E83413" w:rsidR="00165577" w:rsidP="00C24327" w:rsidRDefault="00165577" w14:paraId="11DAEC14" w14:textId="7DD77AAA">
            <w:pPr>
              <w:rPr>
                <w:rFonts w:asciiTheme="minorHAnsi" w:hAnsiTheme="minorHAnsi" w:cstheme="minorHAnsi"/>
              </w:rPr>
            </w:pPr>
            <w:r w:rsidRPr="001D1548">
              <w:rPr>
                <w:rFonts w:asciiTheme="minorHAnsi" w:hAnsiTheme="minorHAnsi" w:cstheme="minorHAnsi"/>
                <w:b/>
              </w:rPr>
              <w:t>Purpose</w:t>
            </w:r>
            <w:r w:rsidRPr="001D1548">
              <w:rPr>
                <w:rFonts w:asciiTheme="minorHAnsi" w:hAnsiTheme="minorHAnsi" w:cstheme="minorHAnsi"/>
                <w:b/>
                <w:bCs/>
              </w:rPr>
              <w:t>:</w:t>
            </w:r>
            <w:r w:rsidRPr="001D1548">
              <w:rPr>
                <w:rFonts w:asciiTheme="minorHAnsi" w:hAnsiTheme="minorHAnsi" w:cstheme="minorHAnsi"/>
              </w:rPr>
              <w:t xml:space="preserve"> Data collected from the online survey of high school– age youth will provide ACF with descriptive data</w:t>
            </w:r>
            <w:r w:rsidRPr="001D1548">
              <w:rPr>
                <w:rFonts w:asciiTheme="minorHAnsi" w:hAnsiTheme="minorHAnsi" w:cstheme="minorHAnsi"/>
                <w:bCs/>
              </w:rPr>
              <w:t xml:space="preserve"> about how the COVID-19 pandemic has affected youth perceptions of their parent-child relationships, sexual behaviors, and sex educational experiences.</w:t>
            </w:r>
          </w:p>
        </w:tc>
        <w:tc>
          <w:tcPr>
            <w:tcW w:w="1710" w:type="dxa"/>
          </w:tcPr>
          <w:p w:rsidRPr="00E83413" w:rsidR="00165577" w:rsidP="00C24327" w:rsidRDefault="00165577" w14:paraId="169F7FD4" w14:textId="3C39F2A0">
            <w:pPr>
              <w:rPr>
                <w:rFonts w:asciiTheme="minorHAnsi" w:hAnsiTheme="minorHAnsi" w:cstheme="minorHAnsi"/>
              </w:rPr>
            </w:pPr>
            <w:r w:rsidRPr="00E83413">
              <w:rPr>
                <w:rFonts w:asciiTheme="minorHAnsi" w:hAnsiTheme="minorHAnsi" w:cstheme="minorHAnsi"/>
                <w:b/>
              </w:rPr>
              <w:t>Mode</w:t>
            </w:r>
            <w:r w:rsidRPr="00E83413">
              <w:rPr>
                <w:rFonts w:asciiTheme="minorHAnsi" w:hAnsiTheme="minorHAnsi" w:cstheme="minorHAnsi"/>
              </w:rPr>
              <w:t xml:space="preserve">: Online survey </w:t>
            </w:r>
          </w:p>
          <w:p w:rsidRPr="00E83413" w:rsidR="00165577" w:rsidP="00C24327" w:rsidRDefault="00165577" w14:paraId="7FF7A335" w14:textId="77777777">
            <w:pPr>
              <w:rPr>
                <w:rFonts w:asciiTheme="minorHAnsi" w:hAnsiTheme="minorHAnsi" w:cstheme="minorHAnsi"/>
              </w:rPr>
            </w:pPr>
          </w:p>
          <w:p w:rsidRPr="00E83413" w:rsidR="00165577" w:rsidP="00C24327" w:rsidRDefault="00165577" w14:paraId="5A3D1520" w14:textId="03AD69E2">
            <w:pPr>
              <w:rPr>
                <w:rFonts w:asciiTheme="minorHAnsi" w:hAnsiTheme="minorHAnsi" w:cstheme="minorHAnsi"/>
              </w:rPr>
            </w:pPr>
            <w:r w:rsidRPr="00E83413">
              <w:rPr>
                <w:rFonts w:asciiTheme="minorHAnsi" w:hAnsiTheme="minorHAnsi" w:cstheme="minorHAnsi"/>
                <w:b/>
              </w:rPr>
              <w:t>Duration</w:t>
            </w:r>
            <w:r w:rsidRPr="00E83413">
              <w:rPr>
                <w:rFonts w:asciiTheme="minorHAnsi" w:hAnsiTheme="minorHAnsi" w:cstheme="minorHAnsi"/>
              </w:rPr>
              <w:t xml:space="preserve">: </w:t>
            </w:r>
            <w:r w:rsidR="001D1548">
              <w:rPr>
                <w:rFonts w:asciiTheme="minorHAnsi" w:hAnsiTheme="minorHAnsi" w:cstheme="minorHAnsi"/>
              </w:rPr>
              <w:t>2</w:t>
            </w:r>
            <w:r w:rsidRPr="00E83413">
              <w:rPr>
                <w:rFonts w:asciiTheme="minorHAnsi" w:hAnsiTheme="minorHAnsi" w:cstheme="minorHAnsi"/>
              </w:rPr>
              <w:t>5 minutes</w:t>
            </w:r>
          </w:p>
        </w:tc>
      </w:tr>
    </w:tbl>
    <w:p w:rsidRPr="00E83413" w:rsidR="007D0F6E" w:rsidP="007D0F6E" w:rsidRDefault="007D0F6E" w14:paraId="6B426E89" w14:textId="5857DAD9">
      <w:pPr>
        <w:spacing w:after="0" w:line="240" w:lineRule="auto"/>
      </w:pPr>
    </w:p>
    <w:p w:rsidRPr="00E83413" w:rsidR="00412531" w:rsidP="002D5C54" w:rsidRDefault="00412531" w14:paraId="4D0818F2" w14:textId="6A03D4FE">
      <w:pPr>
        <w:spacing w:after="60" w:line="240" w:lineRule="auto"/>
        <w:rPr>
          <w:i/>
        </w:rPr>
      </w:pPr>
      <w:r w:rsidRPr="00E83413">
        <w:rPr>
          <w:i/>
        </w:rPr>
        <w:t>Other Data Sources and Uses of Information</w:t>
      </w:r>
    </w:p>
    <w:p w:rsidRPr="00E83413" w:rsidR="00CF0052" w:rsidP="002D5C54" w:rsidRDefault="00CF0052" w14:paraId="0B062E44" w14:textId="77777777">
      <w:pPr>
        <w:spacing w:after="60" w:line="240" w:lineRule="auto"/>
        <w:rPr>
          <w:iCs/>
        </w:rPr>
      </w:pPr>
      <w:r w:rsidRPr="002D5C54">
        <w:rPr>
          <w:iCs/>
        </w:rPr>
        <w:t>No other</w:t>
      </w:r>
      <w:r w:rsidRPr="00E83413">
        <w:rPr>
          <w:iCs/>
        </w:rPr>
        <w:t xml:space="preserve"> data sources or prior data collections are associated with this request.</w:t>
      </w:r>
    </w:p>
    <w:p w:rsidRPr="00E83413" w:rsidR="00CB1F9B" w:rsidP="007D0F6E" w:rsidRDefault="00CB1F9B" w14:paraId="3D73964B" w14:textId="77777777">
      <w:pPr>
        <w:spacing w:after="0" w:line="240" w:lineRule="auto"/>
      </w:pPr>
    </w:p>
    <w:p w:rsidRPr="00E83413" w:rsidR="007D0F6E" w:rsidP="007D0F6E" w:rsidRDefault="00BD702B" w14:paraId="14276DBE" w14:textId="517D48DC">
      <w:pPr>
        <w:spacing w:after="120" w:line="240" w:lineRule="auto"/>
        <w:rPr>
          <w:b/>
        </w:rPr>
      </w:pPr>
      <w:r w:rsidRPr="00E83413">
        <w:rPr>
          <w:b/>
        </w:rPr>
        <w:t>A3</w:t>
      </w:r>
      <w:r w:rsidRPr="00E83413" w:rsidR="007D0F6E">
        <w:t>.</w:t>
      </w:r>
      <w:r w:rsidRPr="00E83413" w:rsidR="007D0F6E">
        <w:tab/>
      </w:r>
      <w:r w:rsidRPr="00E83413" w:rsidR="004E5778">
        <w:rPr>
          <w:b/>
        </w:rPr>
        <w:t>Use of Information Technology to Reduce Burden</w:t>
      </w:r>
    </w:p>
    <w:p w:rsidRPr="00E83413" w:rsidR="00CB1F9B" w:rsidP="00CF0052" w:rsidRDefault="000E14BE" w14:paraId="0D4EC89E" w14:textId="3C132387">
      <w:pPr>
        <w:pStyle w:val="Paragraph"/>
        <w:spacing w:after="0"/>
      </w:pPr>
      <w:r w:rsidRPr="00E83413">
        <w:rPr>
          <w:rFonts w:eastAsiaTheme="minorHAnsi" w:cstheme="minorHAnsi"/>
          <w:sz w:val="22"/>
          <w:szCs w:val="22"/>
        </w:rPr>
        <w:t xml:space="preserve">Data will be collected </w:t>
      </w:r>
      <w:r w:rsidRPr="00E83413" w:rsidR="00ED2D58">
        <w:rPr>
          <w:rFonts w:eastAsiaTheme="minorHAnsi" w:cstheme="minorHAnsi"/>
          <w:sz w:val="22"/>
          <w:szCs w:val="22"/>
        </w:rPr>
        <w:t xml:space="preserve">by </w:t>
      </w:r>
      <w:r w:rsidRPr="00E83413">
        <w:rPr>
          <w:rFonts w:eastAsiaTheme="minorHAnsi" w:cstheme="minorHAnsi"/>
          <w:sz w:val="22"/>
          <w:szCs w:val="22"/>
        </w:rPr>
        <w:t xml:space="preserve">using </w:t>
      </w:r>
      <w:r w:rsidRPr="00E83413" w:rsidR="00117F51">
        <w:rPr>
          <w:rFonts w:eastAsiaTheme="minorHAnsi" w:cstheme="minorHAnsi"/>
          <w:sz w:val="22"/>
          <w:szCs w:val="22"/>
        </w:rPr>
        <w:t>a web survey</w:t>
      </w:r>
      <w:r w:rsidRPr="00E83413" w:rsidR="00EA2A76">
        <w:rPr>
          <w:rFonts w:eastAsiaTheme="minorHAnsi" w:cstheme="minorHAnsi"/>
          <w:sz w:val="22"/>
          <w:szCs w:val="22"/>
        </w:rPr>
        <w:t xml:space="preserve">. </w:t>
      </w:r>
      <w:r w:rsidRPr="00E83413" w:rsidR="00117F51">
        <w:rPr>
          <w:rFonts w:eastAsiaTheme="minorHAnsi" w:cstheme="minorHAnsi"/>
          <w:sz w:val="22"/>
          <w:szCs w:val="22"/>
        </w:rPr>
        <w:t xml:space="preserve">A web-survey </w:t>
      </w:r>
      <w:r w:rsidRPr="00E83413" w:rsidR="00EA2A76">
        <w:rPr>
          <w:rFonts w:eastAsiaTheme="minorHAnsi" w:cstheme="minorHAnsi"/>
          <w:sz w:val="22"/>
          <w:szCs w:val="22"/>
        </w:rPr>
        <w:t>offers several advantages for respondents</w:t>
      </w:r>
      <w:r w:rsidRPr="00E83413" w:rsidR="00A9394D">
        <w:rPr>
          <w:rFonts w:eastAsiaTheme="minorHAnsi" w:cstheme="minorHAnsi"/>
          <w:sz w:val="22"/>
          <w:szCs w:val="22"/>
        </w:rPr>
        <w:t>; it enables</w:t>
      </w:r>
      <w:r w:rsidRPr="00E83413" w:rsidR="00EA2A76">
        <w:rPr>
          <w:rFonts w:eastAsiaTheme="minorHAnsi" w:cstheme="minorHAnsi"/>
          <w:sz w:val="22"/>
          <w:szCs w:val="22"/>
        </w:rPr>
        <w:t xml:space="preserve"> web respondents to participate on their own time and </w:t>
      </w:r>
      <w:r w:rsidRPr="00E83413" w:rsidR="00DC24C6">
        <w:rPr>
          <w:rFonts w:eastAsiaTheme="minorHAnsi" w:cstheme="minorHAnsi"/>
          <w:sz w:val="22"/>
          <w:szCs w:val="22"/>
        </w:rPr>
        <w:t>permit</w:t>
      </w:r>
      <w:r w:rsidRPr="00E83413" w:rsidR="00A9394D">
        <w:rPr>
          <w:rFonts w:eastAsiaTheme="minorHAnsi" w:cstheme="minorHAnsi"/>
          <w:sz w:val="22"/>
          <w:szCs w:val="22"/>
        </w:rPr>
        <w:t>s</w:t>
      </w:r>
      <w:r w:rsidRPr="00E83413" w:rsidR="00DC24C6">
        <w:rPr>
          <w:rFonts w:eastAsiaTheme="minorHAnsi" w:cstheme="minorHAnsi"/>
          <w:sz w:val="22"/>
          <w:szCs w:val="22"/>
        </w:rPr>
        <w:t xml:space="preserve"> respondents’ u</w:t>
      </w:r>
      <w:r w:rsidRPr="00E83413" w:rsidR="00841257">
        <w:rPr>
          <w:rFonts w:eastAsiaTheme="minorHAnsi" w:cstheme="minorHAnsi"/>
          <w:sz w:val="22"/>
          <w:szCs w:val="22"/>
        </w:rPr>
        <w:t>se</w:t>
      </w:r>
      <w:r w:rsidRPr="00E83413" w:rsidR="00DC24C6">
        <w:rPr>
          <w:rFonts w:eastAsiaTheme="minorHAnsi" w:cstheme="minorHAnsi"/>
          <w:sz w:val="22"/>
          <w:szCs w:val="22"/>
        </w:rPr>
        <w:t xml:space="preserve"> of </w:t>
      </w:r>
      <w:r w:rsidRPr="00E83413" w:rsidR="00EA2A76">
        <w:rPr>
          <w:rFonts w:eastAsiaTheme="minorHAnsi" w:cstheme="minorHAnsi"/>
          <w:sz w:val="22"/>
          <w:szCs w:val="22"/>
        </w:rPr>
        <w:t>their preferred electronic device (</w:t>
      </w:r>
      <w:r w:rsidRPr="00E83413" w:rsidR="004F0684">
        <w:rPr>
          <w:rFonts w:eastAsiaTheme="minorHAnsi" w:cstheme="minorHAnsi"/>
          <w:sz w:val="22"/>
          <w:szCs w:val="22"/>
        </w:rPr>
        <w:t>S</w:t>
      </w:r>
      <w:r w:rsidRPr="00E83413" w:rsidR="00EA2A76">
        <w:rPr>
          <w:rFonts w:eastAsiaTheme="minorHAnsi" w:cstheme="minorHAnsi"/>
          <w:sz w:val="22"/>
          <w:szCs w:val="22"/>
        </w:rPr>
        <w:t xml:space="preserve">martphone, tablet, laptop, or desktop computer). The </w:t>
      </w:r>
      <w:r w:rsidRPr="00E83413" w:rsidR="00117F51">
        <w:rPr>
          <w:rFonts w:eastAsiaTheme="minorHAnsi" w:cstheme="minorHAnsi"/>
          <w:sz w:val="22"/>
          <w:szCs w:val="22"/>
        </w:rPr>
        <w:t>web survey will have</w:t>
      </w:r>
      <w:r w:rsidRPr="00E83413" w:rsidR="00EA2A76">
        <w:rPr>
          <w:rFonts w:eastAsiaTheme="minorHAnsi" w:cstheme="minorHAnsi"/>
          <w:sz w:val="22"/>
          <w:szCs w:val="22"/>
        </w:rPr>
        <w:t xml:space="preserve"> mobile formatting </w:t>
      </w:r>
      <w:r w:rsidRPr="00E83413" w:rsidR="00117F51">
        <w:rPr>
          <w:rFonts w:eastAsiaTheme="minorHAnsi" w:cstheme="minorHAnsi"/>
          <w:sz w:val="22"/>
          <w:szCs w:val="22"/>
        </w:rPr>
        <w:t xml:space="preserve">that </w:t>
      </w:r>
      <w:r w:rsidRPr="00E83413" w:rsidR="00EA2A76">
        <w:rPr>
          <w:rFonts w:eastAsiaTheme="minorHAnsi" w:cstheme="minorHAnsi"/>
          <w:sz w:val="22"/>
          <w:szCs w:val="22"/>
        </w:rPr>
        <w:t>ensure</w:t>
      </w:r>
      <w:r w:rsidRPr="00E83413" w:rsidR="00841257">
        <w:rPr>
          <w:rFonts w:eastAsiaTheme="minorHAnsi" w:cstheme="minorHAnsi"/>
          <w:sz w:val="22"/>
          <w:szCs w:val="22"/>
        </w:rPr>
        <w:t>s</w:t>
      </w:r>
      <w:r w:rsidRPr="00E83413" w:rsidR="00EA2A76">
        <w:rPr>
          <w:rFonts w:eastAsiaTheme="minorHAnsi" w:cstheme="minorHAnsi"/>
          <w:sz w:val="22"/>
          <w:szCs w:val="22"/>
        </w:rPr>
        <w:t xml:space="preserve"> that the display adjusts for device screen size. If needed, respondents can pause and restart the survey, with their responses saved. </w:t>
      </w:r>
      <w:r w:rsidRPr="00E83413" w:rsidR="00117F51">
        <w:rPr>
          <w:rFonts w:eastAsiaTheme="minorHAnsi" w:cstheme="minorHAnsi"/>
          <w:sz w:val="22"/>
          <w:szCs w:val="22"/>
        </w:rPr>
        <w:t xml:space="preserve">The programmed web survey will also </w:t>
      </w:r>
      <w:r w:rsidRPr="00E83413" w:rsidR="00EA2A76">
        <w:rPr>
          <w:rFonts w:eastAsiaTheme="minorHAnsi" w:cstheme="minorHAnsi"/>
          <w:sz w:val="22"/>
          <w:szCs w:val="22"/>
        </w:rPr>
        <w:t>include tailored skip patterns and text fills. These features allow respondents to move through the questions more easily and automatically skip questions that do not apply to them, thus minimizing respondent burden.</w:t>
      </w:r>
    </w:p>
    <w:p w:rsidRPr="00E83413" w:rsidR="0028232C" w:rsidP="00DF1291" w:rsidRDefault="0028232C" w14:paraId="0130E900" w14:textId="77777777">
      <w:pPr>
        <w:pStyle w:val="ListParagraph"/>
        <w:spacing w:after="0" w:line="240" w:lineRule="auto"/>
        <w:ind w:left="360"/>
      </w:pPr>
    </w:p>
    <w:p w:rsidRPr="00E83413" w:rsidR="00891CD9" w:rsidP="007D0F6E" w:rsidRDefault="00BD702B" w14:paraId="1F639D74" w14:textId="4176EB33">
      <w:pPr>
        <w:spacing w:after="120" w:line="240" w:lineRule="auto"/>
        <w:ind w:left="720" w:hanging="720"/>
        <w:rPr>
          <w:b/>
        </w:rPr>
      </w:pPr>
      <w:r w:rsidRPr="00E83413">
        <w:rPr>
          <w:b/>
        </w:rPr>
        <w:t>A4</w:t>
      </w:r>
      <w:r w:rsidRPr="00E83413">
        <w:t>.</w:t>
      </w:r>
      <w:r w:rsidRPr="00E83413">
        <w:tab/>
      </w:r>
      <w:r w:rsidRPr="00E83413" w:rsidR="004E5778">
        <w:rPr>
          <w:b/>
        </w:rPr>
        <w:t xml:space="preserve">Use of Existing Data: </w:t>
      </w:r>
      <w:r w:rsidRPr="00E83413" w:rsidR="0068303E">
        <w:rPr>
          <w:b/>
        </w:rPr>
        <w:t>E</w:t>
      </w:r>
      <w:r w:rsidRPr="00E83413" w:rsidR="00CC4651">
        <w:rPr>
          <w:b/>
        </w:rPr>
        <w:t>fforts to</w:t>
      </w:r>
      <w:r w:rsidRPr="00E83413" w:rsidR="00891CD9">
        <w:rPr>
          <w:b/>
        </w:rPr>
        <w:t xml:space="preserve"> reduce duplication</w:t>
      </w:r>
      <w:r w:rsidRPr="00E83413" w:rsidR="009A3AD8">
        <w:rPr>
          <w:b/>
        </w:rPr>
        <w:t>,</w:t>
      </w:r>
      <w:r w:rsidRPr="00E83413" w:rsidR="00EA0D4F">
        <w:rPr>
          <w:b/>
        </w:rPr>
        <w:t xml:space="preserve"> minimize burden</w:t>
      </w:r>
      <w:r w:rsidRPr="00E83413" w:rsidR="009A3AD8">
        <w:rPr>
          <w:b/>
        </w:rPr>
        <w:t>,</w:t>
      </w:r>
      <w:r w:rsidRPr="00E83413" w:rsidR="00A03E3F">
        <w:rPr>
          <w:b/>
        </w:rPr>
        <w:t xml:space="preserve"> and</w:t>
      </w:r>
      <w:r w:rsidRPr="00E83413" w:rsidR="00EA0D4F">
        <w:rPr>
          <w:b/>
        </w:rPr>
        <w:t xml:space="preserve"> increase</w:t>
      </w:r>
      <w:r w:rsidRPr="00E83413" w:rsidR="00D55767">
        <w:rPr>
          <w:b/>
        </w:rPr>
        <w:t xml:space="preserve"> utility and</w:t>
      </w:r>
      <w:r w:rsidRPr="00E83413" w:rsidR="00EA0D4F">
        <w:rPr>
          <w:b/>
        </w:rPr>
        <w:t xml:space="preserve"> government </w:t>
      </w:r>
      <w:r w:rsidRPr="00E83413" w:rsidR="00591283">
        <w:rPr>
          <w:b/>
        </w:rPr>
        <w:t>efficiency</w:t>
      </w:r>
    </w:p>
    <w:p w:rsidRPr="00E83413" w:rsidR="007236A0" w:rsidP="00CF0052" w:rsidRDefault="007236A0" w14:paraId="389EB05B" w14:textId="5D1CDE85">
      <w:pPr>
        <w:spacing w:after="0"/>
      </w:pPr>
      <w:r w:rsidRPr="00E83413">
        <w:t xml:space="preserve">ACF has carefully reviewed the information collection requirements to avoid duplication with existing studies or other ongoing federal teen pregnancy prevention evaluations. The information collected by the </w:t>
      </w:r>
      <w:r w:rsidRPr="00E83413" w:rsidR="00531B05">
        <w:t>Y</w:t>
      </w:r>
      <w:r w:rsidRPr="00E83413">
        <w:t xml:space="preserve">outh </w:t>
      </w:r>
      <w:r w:rsidRPr="00E83413" w:rsidR="00613C40">
        <w:t>Survey of Relationships, Education, and Behavior</w:t>
      </w:r>
      <w:r w:rsidRPr="00E83413">
        <w:t xml:space="preserve"> is uniquely poised to provide ACF with</w:t>
      </w:r>
      <w:r w:rsidRPr="00E83413" w:rsidR="00211B78">
        <w:t xml:space="preserve"> adolescents’</w:t>
      </w:r>
      <w:r w:rsidRPr="00E83413">
        <w:t xml:space="preserve"> detailed reflections on their experiences</w:t>
      </w:r>
      <w:r w:rsidRPr="00E83413" w:rsidR="00E962FE">
        <w:t xml:space="preserve"> in</w:t>
      </w:r>
      <w:r w:rsidRPr="00E83413">
        <w:t xml:space="preserve"> communicating with their parents, receiving sex</w:t>
      </w:r>
      <w:r w:rsidRPr="00E83413" w:rsidR="00E962FE">
        <w:t>ual</w:t>
      </w:r>
      <w:r w:rsidRPr="00E83413">
        <w:t xml:space="preserve"> education programming, and participating in sexual risk behaviors during </w:t>
      </w:r>
      <w:r w:rsidRPr="00E83413" w:rsidR="00B6168F">
        <w:t>the COVID-19 pandemic</w:t>
      </w:r>
      <w:r w:rsidRPr="00E83413">
        <w:t xml:space="preserve">. </w:t>
      </w:r>
      <w:bookmarkStart w:name="_Hlk70348406" w:id="5"/>
      <w:r w:rsidRPr="00E83413" w:rsidR="000D49F5">
        <w:t>ACF is aware of the Centers for Disease Control’s Adolescent Behaviors and Experiences Survey that will collect nationally representative data from youth around sexual risk behaviors and relationship with parents during the pandemic. Data from that survey is expected to be released in Fall 2021. However, data collected from that survey does not gather</w:t>
      </w:r>
      <w:r w:rsidRPr="00E83413" w:rsidR="009977D8">
        <w:t xml:space="preserve"> information related to youth’s experiences with sex education programming during the pandemic nor </w:t>
      </w:r>
      <w:r w:rsidRPr="00E83413" w:rsidR="00023536">
        <w:t xml:space="preserve">information on </w:t>
      </w:r>
      <w:r w:rsidRPr="00E83413" w:rsidR="00051F43">
        <w:t>communication</w:t>
      </w:r>
      <w:r w:rsidRPr="00E83413" w:rsidR="00023536">
        <w:t xml:space="preserve"> with their parents</w:t>
      </w:r>
      <w:r w:rsidRPr="00E83413" w:rsidR="009977D8">
        <w:t>.</w:t>
      </w:r>
      <w:r w:rsidRPr="00E83413" w:rsidR="00FC0E61">
        <w:t xml:space="preserve"> </w:t>
      </w:r>
      <w:r w:rsidRPr="00E83413" w:rsidR="00B237BB">
        <w:t xml:space="preserve">Additionally, the Youth Survey of Relationships, Education and Behavior is intended </w:t>
      </w:r>
      <w:r w:rsidRPr="00E83413" w:rsidR="00B237BB">
        <w:lastRenderedPageBreak/>
        <w:t>to gather data to inform programming and T/TA needs for ACF grantees in the Fall 2021. Therefore, data must be collected and analyzed prior to the Fall, in order to be accessible to grantees by Fall 2021 as needed.</w:t>
      </w:r>
      <w:r w:rsidRPr="00E83413" w:rsidDel="00B237BB" w:rsidR="00B237BB">
        <w:t xml:space="preserve"> </w:t>
      </w:r>
      <w:bookmarkEnd w:id="5"/>
    </w:p>
    <w:p w:rsidRPr="00E83413" w:rsidR="00CB1F9B" w:rsidP="00DF1291" w:rsidRDefault="00CB1F9B" w14:paraId="3000107E" w14:textId="77777777">
      <w:pPr>
        <w:spacing w:after="0" w:line="240" w:lineRule="auto"/>
      </w:pPr>
    </w:p>
    <w:p w:rsidRPr="00E83413" w:rsidR="00B9441B" w:rsidP="00060B30" w:rsidRDefault="00BD702B" w14:paraId="0F92E2E6" w14:textId="7DC386E7">
      <w:pPr>
        <w:spacing w:after="120" w:line="240" w:lineRule="auto"/>
      </w:pPr>
      <w:r w:rsidRPr="00E83413">
        <w:rPr>
          <w:b/>
        </w:rPr>
        <w:t>A5</w:t>
      </w:r>
      <w:r w:rsidRPr="00E83413">
        <w:t>.</w:t>
      </w:r>
      <w:r w:rsidRPr="00E83413">
        <w:tab/>
      </w:r>
      <w:r w:rsidRPr="00E83413" w:rsidR="004E5778">
        <w:rPr>
          <w:b/>
        </w:rPr>
        <w:t>Impact on Small Businesses</w:t>
      </w:r>
      <w:r w:rsidRPr="00E83413" w:rsidR="004E5778">
        <w:t xml:space="preserve"> </w:t>
      </w:r>
    </w:p>
    <w:p w:rsidRPr="00E83413" w:rsidR="00060B30" w:rsidP="00F94F10" w:rsidRDefault="004220C3" w14:paraId="58C652C0" w14:textId="6C52B73D">
      <w:pPr>
        <w:spacing w:after="0" w:line="240" w:lineRule="auto"/>
      </w:pPr>
      <w:r w:rsidRPr="00E83413">
        <w:t>No small businesses will be involved with th</w:t>
      </w:r>
      <w:r w:rsidRPr="00E83413" w:rsidR="00E962FE">
        <w:t>e</w:t>
      </w:r>
      <w:r w:rsidRPr="00E83413">
        <w:t xml:space="preserve"> information collection.</w:t>
      </w:r>
    </w:p>
    <w:p w:rsidRPr="00E83413" w:rsidR="00FC0E61" w:rsidP="00DF1291" w:rsidRDefault="00FC0E61" w14:paraId="05878F50" w14:textId="77777777">
      <w:pPr>
        <w:spacing w:after="0" w:line="240" w:lineRule="auto"/>
      </w:pPr>
    </w:p>
    <w:p w:rsidRPr="00E83413" w:rsidR="00CC4651" w:rsidP="00060B30" w:rsidRDefault="00BD702B" w14:paraId="0B3334AC" w14:textId="1818253A">
      <w:pPr>
        <w:spacing w:after="120"/>
      </w:pPr>
      <w:r w:rsidRPr="00E83413">
        <w:rPr>
          <w:b/>
        </w:rPr>
        <w:t>A6</w:t>
      </w:r>
      <w:r w:rsidRPr="00E83413">
        <w:t>.</w:t>
      </w:r>
      <w:r w:rsidRPr="00E83413">
        <w:tab/>
      </w:r>
      <w:r w:rsidRPr="00E83413" w:rsidR="004E5778">
        <w:rPr>
          <w:b/>
        </w:rPr>
        <w:t>Consequences of Less Frequent Collection</w:t>
      </w:r>
      <w:r w:rsidRPr="00E83413" w:rsidR="004E5778">
        <w:t xml:space="preserve"> </w:t>
      </w:r>
      <w:r w:rsidRPr="00E83413" w:rsidR="001253F4">
        <w:t xml:space="preserve"> </w:t>
      </w:r>
    </w:p>
    <w:p w:rsidRPr="00E83413" w:rsidR="004220C3" w:rsidP="00096E34" w:rsidRDefault="004220C3" w14:paraId="7158DA57" w14:textId="6EC77587">
      <w:pPr>
        <w:spacing w:after="0" w:line="240" w:lineRule="auto"/>
      </w:pPr>
      <w:r w:rsidRPr="00E83413">
        <w:t>This is a one-time data collection.</w:t>
      </w:r>
    </w:p>
    <w:p w:rsidRPr="00E83413" w:rsidR="00CB1F9B" w:rsidP="00060B30" w:rsidRDefault="00CB1F9B" w14:paraId="2092E3EA" w14:textId="77777777">
      <w:pPr>
        <w:spacing w:after="0"/>
      </w:pPr>
    </w:p>
    <w:p w:rsidRPr="00E83413" w:rsidR="00B9441B" w:rsidP="00060B30" w:rsidRDefault="00BD702B" w14:paraId="109190DF" w14:textId="24A5C3A1">
      <w:pPr>
        <w:spacing w:after="120" w:line="240" w:lineRule="auto"/>
        <w:rPr>
          <w:b/>
        </w:rPr>
      </w:pPr>
      <w:r w:rsidRPr="00E83413">
        <w:rPr>
          <w:b/>
        </w:rPr>
        <w:t>A7</w:t>
      </w:r>
      <w:r w:rsidRPr="00E83413">
        <w:t>.</w:t>
      </w:r>
      <w:r w:rsidRPr="00E83413">
        <w:tab/>
      </w:r>
      <w:r w:rsidRPr="00E83413" w:rsidR="00B9441B">
        <w:rPr>
          <w:b/>
        </w:rPr>
        <w:t>Now subsumed under 2(b) above and 10 (below)</w:t>
      </w:r>
    </w:p>
    <w:p w:rsidRPr="00E83413" w:rsidR="008267B4" w:rsidP="008267B4" w:rsidRDefault="008267B4" w14:paraId="07720509" w14:textId="77777777">
      <w:pPr>
        <w:spacing w:after="0" w:line="240" w:lineRule="auto"/>
        <w:rPr>
          <w:b/>
        </w:rPr>
      </w:pPr>
    </w:p>
    <w:p w:rsidRPr="00E83413" w:rsidR="00B9441B" w:rsidP="00060B30" w:rsidRDefault="00BD702B" w14:paraId="3B6F8604" w14:textId="28A5BD20">
      <w:pPr>
        <w:spacing w:after="120"/>
        <w:rPr>
          <w:b/>
        </w:rPr>
      </w:pPr>
      <w:r w:rsidRPr="00E83413">
        <w:rPr>
          <w:b/>
        </w:rPr>
        <w:t>A8</w:t>
      </w:r>
      <w:r w:rsidRPr="00E83413">
        <w:t>.</w:t>
      </w:r>
      <w:r w:rsidRPr="00E83413">
        <w:tab/>
      </w:r>
      <w:r w:rsidRPr="00E83413" w:rsidR="00B9441B">
        <w:rPr>
          <w:b/>
        </w:rPr>
        <w:t>Consultation</w:t>
      </w:r>
    </w:p>
    <w:p w:rsidRPr="00E83413" w:rsidR="00060B30" w:rsidP="002D5C54" w:rsidRDefault="00060B30" w14:paraId="2F3836D2" w14:textId="77777777">
      <w:pPr>
        <w:spacing w:after="60" w:line="240" w:lineRule="auto"/>
        <w:rPr>
          <w:i/>
        </w:rPr>
      </w:pPr>
      <w:r w:rsidRPr="00E83413">
        <w:rPr>
          <w:i/>
        </w:rPr>
        <w:t>Federal Register Notice and Comments</w:t>
      </w:r>
    </w:p>
    <w:p w:rsidRPr="00E83413" w:rsidR="00014EDC" w:rsidP="002D5C54" w:rsidRDefault="00014EDC" w14:paraId="59ED9214" w14:textId="3C4C8391">
      <w:pPr>
        <w:spacing w:after="60" w:line="240" w:lineRule="auto"/>
      </w:pPr>
      <w:r w:rsidRPr="002D5C54">
        <w:rPr>
          <w:iCs/>
        </w:rPr>
        <w:t>In accordance with the Paperwork Reduction Act of 1995 (Pub. L. 104-13) and Office of Management and Budget (OMB)</w:t>
      </w:r>
      <w:r w:rsidRPr="00E83413">
        <w:t xml:space="preserve"> regulations at 5 CFR Part 1320 (60 FR 44978, August 29, 1995), ACF published a notice in the </w:t>
      </w:r>
      <w:r w:rsidRPr="00E83413">
        <w:rPr>
          <w:i/>
          <w:iCs/>
        </w:rPr>
        <w:t>Federal Register</w:t>
      </w:r>
      <w:r w:rsidRPr="00E83413">
        <w:t xml:space="preserve"> announcing the agency’s intention to request an OMB review of the overarching generic clearanc</w:t>
      </w:r>
      <w:bookmarkStart w:name="_GoBack" w:id="6"/>
      <w:bookmarkEnd w:id="6"/>
      <w:r w:rsidRPr="00E83413">
        <w:t>e for formative information collection. This notice was published on October 1</w:t>
      </w:r>
      <w:r w:rsidRPr="00E83413" w:rsidR="00F4057A">
        <w:t>3</w:t>
      </w:r>
      <w:r w:rsidRPr="00E83413">
        <w:t>, 20</w:t>
      </w:r>
      <w:r w:rsidRPr="00E83413" w:rsidR="00F4057A">
        <w:t>20, Volume 85</w:t>
      </w:r>
      <w:r w:rsidRPr="00E83413">
        <w:t>, Number 19</w:t>
      </w:r>
      <w:r w:rsidRPr="00E83413" w:rsidR="00F4057A">
        <w:t>8</w:t>
      </w:r>
      <w:r w:rsidRPr="00E83413">
        <w:t xml:space="preserve">, page </w:t>
      </w:r>
      <w:r w:rsidRPr="00E83413" w:rsidR="00F4057A">
        <w:t>64480</w:t>
      </w:r>
      <w:r w:rsidRPr="00E83413">
        <w:t xml:space="preserve">, and provided a </w:t>
      </w:r>
      <w:r w:rsidRPr="00E83413" w:rsidR="00003B3D">
        <w:t>60</w:t>
      </w:r>
      <w:r w:rsidRPr="00E83413">
        <w:t xml:space="preserve">-day period for public comment. During the notice and comment period, no substantive comments were received. </w:t>
      </w:r>
    </w:p>
    <w:p w:rsidR="002D5C54" w:rsidP="002D5C54" w:rsidRDefault="002D5C54" w14:paraId="785249FB" w14:textId="77777777">
      <w:pPr>
        <w:spacing w:after="60" w:line="240" w:lineRule="auto"/>
        <w:rPr>
          <w:i/>
        </w:rPr>
      </w:pPr>
    </w:p>
    <w:p w:rsidRPr="002D5C54" w:rsidR="00060B30" w:rsidP="002D5C54" w:rsidRDefault="00060B30" w14:paraId="678F3F3E" w14:textId="2768BE1E">
      <w:pPr>
        <w:spacing w:after="60" w:line="240" w:lineRule="auto"/>
        <w:rPr>
          <w:i/>
        </w:rPr>
      </w:pPr>
      <w:r w:rsidRPr="002D5C54">
        <w:rPr>
          <w:i/>
        </w:rPr>
        <w:t>Consultation with Experts Outside the Study</w:t>
      </w:r>
    </w:p>
    <w:p w:rsidR="004F0684" w:rsidP="002D5C54" w:rsidRDefault="00D316E0" w14:paraId="438A3266" w14:textId="37384747">
      <w:pPr>
        <w:spacing w:after="60" w:line="240" w:lineRule="auto"/>
      </w:pPr>
      <w:r w:rsidRPr="002D5C54">
        <w:rPr>
          <w:iCs/>
        </w:rPr>
        <w:t>Several</w:t>
      </w:r>
      <w:r w:rsidRPr="00E83413">
        <w:t xml:space="preserve"> items on the current survey were </w:t>
      </w:r>
      <w:r w:rsidRPr="00E83413" w:rsidR="00031D79">
        <w:t>informed by ACF work with subject matter experts in adolescent health, sexual education, and instrument development.</w:t>
      </w:r>
      <w:r w:rsidRPr="00E83413" w:rsidR="00C24589">
        <w:t xml:space="preserve"> </w:t>
      </w:r>
    </w:p>
    <w:p w:rsidRPr="00E83413" w:rsidR="006D1D1E" w:rsidP="002560D7" w:rsidRDefault="006D1D1E" w14:paraId="05134A36" w14:textId="77777777">
      <w:pPr>
        <w:spacing w:after="120" w:line="240" w:lineRule="auto"/>
        <w:rPr>
          <w:b/>
        </w:rPr>
      </w:pPr>
    </w:p>
    <w:p w:rsidRPr="00E83413" w:rsidR="005C061D" w:rsidP="00DB1DC6" w:rsidRDefault="00BD702B" w14:paraId="7B86F78A" w14:textId="7256A21E">
      <w:pPr>
        <w:spacing w:after="120" w:line="240" w:lineRule="auto"/>
      </w:pPr>
      <w:r w:rsidRPr="00E83413">
        <w:rPr>
          <w:b/>
        </w:rPr>
        <w:t>A9</w:t>
      </w:r>
      <w:r w:rsidRPr="00E83413">
        <w:t>.</w:t>
      </w:r>
      <w:r w:rsidRPr="00E83413">
        <w:tab/>
      </w:r>
      <w:r w:rsidRPr="00E83413" w:rsidR="009A39E1">
        <w:rPr>
          <w:b/>
        </w:rPr>
        <w:t>Tokens of App</w:t>
      </w:r>
      <w:r w:rsidRPr="00E83413" w:rsidR="005B5FCC">
        <w:rPr>
          <w:b/>
        </w:rPr>
        <w:t>reciation</w:t>
      </w:r>
    </w:p>
    <w:p w:rsidRPr="00E83413" w:rsidR="00FC0E61" w:rsidP="00FC0E61" w:rsidRDefault="008401EA" w14:paraId="762CA03B" w14:textId="0D9F55D5">
      <w:pPr>
        <w:spacing w:after="0"/>
      </w:pPr>
      <w:bookmarkStart w:name="_Ref524441059" w:id="7"/>
      <w:r w:rsidRPr="00E83413">
        <w:t xml:space="preserve">Ipsos provides general </w:t>
      </w:r>
      <w:r w:rsidRPr="00E83413" w:rsidR="004C7D90">
        <w:t>tokens of appreciation</w:t>
      </w:r>
      <w:r w:rsidRPr="00E83413">
        <w:t xml:space="preserve"> to KnowledgePanel® members to maintain a high degree of panel loyalty and to prevent panel attrition. </w:t>
      </w:r>
      <w:r w:rsidRPr="00E83413" w:rsidR="005B3220">
        <w:t xml:space="preserve">Table A9 provides details for the general tokens of appreciation. </w:t>
      </w:r>
      <w:r w:rsidRPr="00E83413">
        <w:t xml:space="preserve">These </w:t>
      </w:r>
      <w:r w:rsidRPr="00E83413" w:rsidR="004C7D90">
        <w:t>tokens of appreciation</w:t>
      </w:r>
      <w:r w:rsidRPr="00E83413">
        <w:t xml:space="preserve"> </w:t>
      </w:r>
      <w:r w:rsidRPr="00E83413" w:rsidR="00CE169B">
        <w:t>apply to</w:t>
      </w:r>
      <w:r w:rsidRPr="00E83413">
        <w:t xml:space="preserve"> any survey that is completed by KnowledgePanel® panelists and are not specific to </w:t>
      </w:r>
      <w:r w:rsidRPr="00E83413" w:rsidR="00802F28">
        <w:t>panelists’</w:t>
      </w:r>
      <w:r w:rsidRPr="00E83413">
        <w:t xml:space="preserve"> participation in the </w:t>
      </w:r>
      <w:r w:rsidRPr="00E83413" w:rsidR="00613C40">
        <w:rPr>
          <w:iCs/>
        </w:rPr>
        <w:t>Youth</w:t>
      </w:r>
      <w:r w:rsidRPr="00E83413">
        <w:rPr>
          <w:iCs/>
        </w:rPr>
        <w:t xml:space="preserve"> Survey</w:t>
      </w:r>
      <w:r w:rsidRPr="00E83413" w:rsidR="00613C40">
        <w:rPr>
          <w:iCs/>
        </w:rPr>
        <w:t xml:space="preserve"> of Relationships, Education, and Behavior</w:t>
      </w:r>
      <w:r w:rsidRPr="00E83413">
        <w:t xml:space="preserve">. </w:t>
      </w:r>
      <w:r w:rsidRPr="00E83413" w:rsidR="005B3220">
        <w:t xml:space="preserve">For longer surveys and surveys fielded with groups with higher nonresponse rates, KnowledgePanel® members also receive </w:t>
      </w:r>
      <w:r w:rsidR="004561BB">
        <w:t>10</w:t>
      </w:r>
      <w:r w:rsidRPr="00E83413" w:rsidR="005B3220">
        <w:t>,000 points ($</w:t>
      </w:r>
      <w:r w:rsidR="004561BB">
        <w:t>10</w:t>
      </w:r>
      <w:r w:rsidRPr="00E83413" w:rsidR="005B3220">
        <w:t xml:space="preserve"> equivalent) upon completion. Ipsos will provide both the general token of appreciation and the $</w:t>
      </w:r>
      <w:r w:rsidR="004561BB">
        <w:t>10</w:t>
      </w:r>
      <w:r w:rsidRPr="00E83413" w:rsidR="005B3220">
        <w:t xml:space="preserve"> equivalent to respondents completing the </w:t>
      </w:r>
      <w:r w:rsidRPr="00E83413" w:rsidR="005B3220">
        <w:rPr>
          <w:iCs/>
        </w:rPr>
        <w:t>Youth Survey of Relationships, Education, and Behavior</w:t>
      </w:r>
      <w:r w:rsidRPr="00E83413" w:rsidR="005B3220">
        <w:t xml:space="preserve">. </w:t>
      </w:r>
      <w:r w:rsidRPr="00E83413" w:rsidR="00FC0E61">
        <w:t>ACF does not propose any additional token of appreciation beyond what Ipsos provides.</w:t>
      </w:r>
    </w:p>
    <w:p w:rsidRPr="00E83413" w:rsidR="00FC0E61" w:rsidP="00146231" w:rsidRDefault="00FC0E61" w14:paraId="4B9AF4CA" w14:textId="77777777">
      <w:pPr>
        <w:spacing w:after="0"/>
      </w:pPr>
    </w:p>
    <w:p w:rsidRPr="00E83413" w:rsidR="00A14594" w:rsidP="00A14594" w:rsidRDefault="0036090B" w14:paraId="75A972F8" w14:textId="50129DCF">
      <w:pPr>
        <w:spacing w:after="60"/>
      </w:pPr>
      <w:bookmarkStart w:name="_Ref524370396" w:id="8"/>
      <w:r w:rsidRPr="00E83413">
        <w:t xml:space="preserve">Ipsos sends </w:t>
      </w:r>
      <w:r w:rsidRPr="00E83413" w:rsidR="004C7D90">
        <w:t>tokens of appreciation</w:t>
      </w:r>
      <w:r w:rsidRPr="00E83413">
        <w:t xml:space="preserve"> to the parent KnowledgePanel® member, notifying the youth that their parent will receive the</w:t>
      </w:r>
      <w:r w:rsidRPr="00E83413" w:rsidR="004C7D90">
        <w:t xml:space="preserve"> token of appreciation</w:t>
      </w:r>
      <w:r w:rsidRPr="00E83413">
        <w:t xml:space="preserve"> and the incentive amount.</w:t>
      </w:r>
    </w:p>
    <w:bookmarkEnd w:id="7"/>
    <w:bookmarkEnd w:id="8"/>
    <w:p w:rsidRPr="00E83413" w:rsidR="008401EA" w:rsidP="00096E34" w:rsidRDefault="00E6529C" w14:paraId="49286284" w14:textId="3ABEA24D">
      <w:pPr>
        <w:pStyle w:val="TableTitle"/>
      </w:pPr>
      <w:r w:rsidRPr="00E83413">
        <w:lastRenderedPageBreak/>
        <w:t xml:space="preserve">Table A9. </w:t>
      </w:r>
      <w:r w:rsidRPr="00E83413" w:rsidR="008401EA">
        <w:t xml:space="preserve">General and </w:t>
      </w:r>
      <w:r w:rsidRPr="00E83413" w:rsidR="00144418">
        <w:t>s</w:t>
      </w:r>
      <w:r w:rsidRPr="00E83413" w:rsidR="008401EA">
        <w:t>tudy-</w:t>
      </w:r>
      <w:r w:rsidRPr="00E83413" w:rsidR="00144418">
        <w:t>s</w:t>
      </w:r>
      <w:r w:rsidRPr="00E83413" w:rsidR="008401EA">
        <w:t xml:space="preserve">pecific </w:t>
      </w:r>
      <w:r w:rsidRPr="00E83413" w:rsidR="00144418">
        <w:t>i</w:t>
      </w:r>
      <w:r w:rsidRPr="00E83413" w:rsidR="008401EA">
        <w:t xml:space="preserve">ncentives by Ipsos </w:t>
      </w:r>
      <w:r w:rsidRPr="00E83413" w:rsidR="00603401">
        <w:t>r</w:t>
      </w:r>
      <w:r w:rsidRPr="00E83413" w:rsidR="008401EA">
        <w:t xml:space="preserve">esearch </w:t>
      </w:r>
      <w:r w:rsidRPr="00E83413" w:rsidR="00603401">
        <w:t>p</w:t>
      </w:r>
      <w:r w:rsidRPr="00E83413" w:rsidR="008401EA">
        <w:t>anel</w:t>
      </w:r>
    </w:p>
    <w:tbl>
      <w:tblPr>
        <w:tblStyle w:val="TableGrid"/>
        <w:tblW w:w="0" w:type="auto"/>
        <w:tblInd w:w="-5" w:type="dxa"/>
        <w:tblLook w:val="04A0" w:firstRow="1" w:lastRow="0" w:firstColumn="1" w:lastColumn="0" w:noHBand="0" w:noVBand="1"/>
      </w:tblPr>
      <w:tblGrid>
        <w:gridCol w:w="2340"/>
        <w:gridCol w:w="4025"/>
        <w:gridCol w:w="2990"/>
      </w:tblGrid>
      <w:tr w:rsidRPr="00E83413" w:rsidR="008401EA" w:rsidTr="00096E34" w14:paraId="2634578A" w14:textId="77777777">
        <w:trPr>
          <w:cantSplit/>
        </w:trPr>
        <w:tc>
          <w:tcPr>
            <w:tcW w:w="2340" w:type="dxa"/>
            <w:shd w:val="clear" w:color="auto" w:fill="244061" w:themeFill="accent1" w:themeFillShade="80"/>
          </w:tcPr>
          <w:p w:rsidRPr="00E83413" w:rsidR="008401EA" w:rsidP="00E6529C" w:rsidRDefault="008401EA" w14:paraId="2D58346A" w14:textId="77777777">
            <w:pPr>
              <w:pStyle w:val="TableHeaderCenter"/>
            </w:pPr>
            <w:r w:rsidRPr="00E83413">
              <w:t>Panel</w:t>
            </w:r>
          </w:p>
        </w:tc>
        <w:tc>
          <w:tcPr>
            <w:tcW w:w="4025" w:type="dxa"/>
            <w:shd w:val="clear" w:color="auto" w:fill="244061" w:themeFill="accent1" w:themeFillShade="80"/>
          </w:tcPr>
          <w:p w:rsidRPr="00E83413" w:rsidR="008401EA" w:rsidP="004C7D90" w:rsidRDefault="008401EA" w14:paraId="2BDF8932" w14:textId="624E419D">
            <w:pPr>
              <w:pStyle w:val="TableHeaderCenter"/>
            </w:pPr>
            <w:r w:rsidRPr="00E83413">
              <w:t xml:space="preserve">General </w:t>
            </w:r>
            <w:r w:rsidRPr="00E83413" w:rsidR="004C7D90">
              <w:t>tokens of appreciation</w:t>
            </w:r>
          </w:p>
        </w:tc>
        <w:tc>
          <w:tcPr>
            <w:tcW w:w="2990" w:type="dxa"/>
            <w:shd w:val="clear" w:color="auto" w:fill="244061" w:themeFill="accent1" w:themeFillShade="80"/>
          </w:tcPr>
          <w:p w:rsidRPr="00E83413" w:rsidR="008401EA" w:rsidP="004C7D90" w:rsidRDefault="008401EA" w14:paraId="399F0FF7" w14:textId="56409BF0">
            <w:pPr>
              <w:pStyle w:val="TableHeaderCenter"/>
            </w:pPr>
            <w:r w:rsidRPr="00E83413">
              <w:t>Study-</w:t>
            </w:r>
            <w:r w:rsidRPr="00E83413" w:rsidR="00603401">
              <w:t>s</w:t>
            </w:r>
            <w:r w:rsidRPr="00E83413">
              <w:t xml:space="preserve">pecific </w:t>
            </w:r>
            <w:r w:rsidRPr="00E83413" w:rsidR="004C7D90">
              <w:t>tokens of appreciation</w:t>
            </w:r>
          </w:p>
        </w:tc>
      </w:tr>
      <w:tr w:rsidRPr="00E83413" w:rsidR="008401EA" w:rsidTr="00096E34" w14:paraId="495AF257" w14:textId="77777777">
        <w:trPr>
          <w:cantSplit/>
        </w:trPr>
        <w:tc>
          <w:tcPr>
            <w:tcW w:w="2340" w:type="dxa"/>
          </w:tcPr>
          <w:p w:rsidRPr="00E83413" w:rsidR="008401EA" w:rsidP="00C24327" w:rsidRDefault="008401EA" w14:paraId="410F16AF" w14:textId="3BFE8F69">
            <w:pPr>
              <w:pStyle w:val="bodytext-gph"/>
              <w:spacing w:after="0" w:line="240" w:lineRule="auto"/>
              <w:ind w:left="0"/>
              <w:rPr>
                <w:rFonts w:asciiTheme="minorHAnsi" w:hAnsiTheme="minorHAnsi"/>
                <w:sz w:val="20"/>
              </w:rPr>
            </w:pPr>
            <w:r w:rsidRPr="00E83413">
              <w:rPr>
                <w:rFonts w:asciiTheme="minorHAnsi" w:hAnsiTheme="minorHAnsi"/>
                <w:sz w:val="20"/>
              </w:rPr>
              <w:t xml:space="preserve">KnowledgePanel® Member </w:t>
            </w:r>
            <w:r w:rsidRPr="00E83413">
              <w:rPr>
                <w:rFonts w:asciiTheme="minorHAnsi" w:hAnsiTheme="minorHAnsi"/>
                <w:iCs/>
                <w:sz w:val="20"/>
              </w:rPr>
              <w:t xml:space="preserve">who does not own a personal device or have </w:t>
            </w:r>
            <w:r w:rsidRPr="00E83413" w:rsidR="00603401">
              <w:rPr>
                <w:rFonts w:asciiTheme="minorHAnsi" w:hAnsiTheme="minorHAnsi"/>
                <w:iCs/>
                <w:sz w:val="20"/>
              </w:rPr>
              <w:t>I</w:t>
            </w:r>
            <w:r w:rsidRPr="00E83413">
              <w:rPr>
                <w:rFonts w:asciiTheme="minorHAnsi" w:hAnsiTheme="minorHAnsi"/>
                <w:iCs/>
                <w:sz w:val="20"/>
              </w:rPr>
              <w:t>nternet</w:t>
            </w:r>
            <w:r w:rsidRPr="00E83413" w:rsidR="00472A8D">
              <w:rPr>
                <w:rFonts w:asciiTheme="minorHAnsi" w:hAnsiTheme="minorHAnsi"/>
                <w:iCs/>
                <w:sz w:val="20"/>
              </w:rPr>
              <w:t xml:space="preserve"> access</w:t>
            </w:r>
          </w:p>
        </w:tc>
        <w:tc>
          <w:tcPr>
            <w:tcW w:w="4025" w:type="dxa"/>
          </w:tcPr>
          <w:p w:rsidRPr="00E83413" w:rsidR="008401EA" w:rsidP="00C24327" w:rsidRDefault="008401EA" w14:paraId="6734014F" w14:textId="09B3F83B">
            <w:pPr>
              <w:pStyle w:val="bodytext-gph"/>
              <w:spacing w:after="0" w:line="240" w:lineRule="auto"/>
              <w:ind w:left="0"/>
              <w:rPr>
                <w:rFonts w:asciiTheme="minorHAnsi" w:hAnsiTheme="minorHAnsi"/>
                <w:sz w:val="20"/>
              </w:rPr>
            </w:pPr>
            <w:r w:rsidRPr="00E83413">
              <w:rPr>
                <w:rFonts w:asciiTheme="minorHAnsi" w:hAnsiTheme="minorHAnsi"/>
                <w:sz w:val="20"/>
              </w:rPr>
              <w:t>Equipment (e.g., laptop)-Internet access</w:t>
            </w:r>
          </w:p>
        </w:tc>
        <w:tc>
          <w:tcPr>
            <w:tcW w:w="2990" w:type="dxa"/>
          </w:tcPr>
          <w:p w:rsidRPr="00E83413" w:rsidR="008401EA" w:rsidP="00C24327" w:rsidRDefault="008401EA" w14:paraId="51231149" w14:textId="1579DCE9">
            <w:pPr>
              <w:pStyle w:val="bodytext-gph"/>
              <w:spacing w:after="0" w:line="240" w:lineRule="auto"/>
              <w:ind w:left="0"/>
              <w:rPr>
                <w:rFonts w:asciiTheme="minorHAnsi" w:hAnsiTheme="minorHAnsi"/>
                <w:sz w:val="20"/>
              </w:rPr>
            </w:pPr>
            <w:r w:rsidRPr="00E83413">
              <w:rPr>
                <w:rFonts w:asciiTheme="minorHAnsi" w:hAnsiTheme="minorHAnsi"/>
                <w:sz w:val="20"/>
              </w:rPr>
              <w:t>$</w:t>
            </w:r>
            <w:r w:rsidR="004561BB">
              <w:rPr>
                <w:rFonts w:asciiTheme="minorHAnsi" w:hAnsiTheme="minorHAnsi"/>
                <w:sz w:val="20"/>
              </w:rPr>
              <w:t>10</w:t>
            </w:r>
            <w:r w:rsidRPr="00E83413">
              <w:rPr>
                <w:rFonts w:asciiTheme="minorHAnsi" w:hAnsiTheme="minorHAnsi"/>
                <w:sz w:val="20"/>
              </w:rPr>
              <w:t xml:space="preserve"> (equivalent in points</w:t>
            </w:r>
            <w:r w:rsidRPr="00E83413" w:rsidR="00603401">
              <w:rPr>
                <w:rFonts w:asciiTheme="minorHAnsi" w:hAnsiTheme="minorHAnsi"/>
                <w:sz w:val="20"/>
              </w:rPr>
              <w:t xml:space="preserve"> </w:t>
            </w:r>
            <w:r w:rsidRPr="00E83413">
              <w:rPr>
                <w:rFonts w:asciiTheme="minorHAnsi" w:hAnsiTheme="minorHAnsi"/>
                <w:sz w:val="20"/>
              </w:rPr>
              <w:t>=</w:t>
            </w:r>
            <w:r w:rsidRPr="00E83413" w:rsidR="00603401">
              <w:rPr>
                <w:rFonts w:asciiTheme="minorHAnsi" w:hAnsiTheme="minorHAnsi"/>
                <w:sz w:val="20"/>
              </w:rPr>
              <w:t xml:space="preserve"> </w:t>
            </w:r>
            <w:r w:rsidR="004561BB">
              <w:rPr>
                <w:rFonts w:asciiTheme="minorHAnsi" w:hAnsiTheme="minorHAnsi"/>
                <w:sz w:val="20"/>
              </w:rPr>
              <w:t>10</w:t>
            </w:r>
            <w:r w:rsidRPr="00E83413">
              <w:rPr>
                <w:rFonts w:asciiTheme="minorHAnsi" w:hAnsiTheme="minorHAnsi"/>
                <w:sz w:val="20"/>
              </w:rPr>
              <w:t>,000)</w:t>
            </w:r>
          </w:p>
        </w:tc>
      </w:tr>
      <w:tr w:rsidRPr="00E83413" w:rsidR="008401EA" w:rsidTr="00096E34" w14:paraId="1DFF0273" w14:textId="77777777">
        <w:trPr>
          <w:cantSplit/>
        </w:trPr>
        <w:tc>
          <w:tcPr>
            <w:tcW w:w="2340" w:type="dxa"/>
          </w:tcPr>
          <w:p w:rsidRPr="00E83413" w:rsidR="008401EA" w:rsidP="00C24327" w:rsidRDefault="008401EA" w14:paraId="410FBEC2" w14:textId="5846A827">
            <w:pPr>
              <w:pStyle w:val="bodytext-gph"/>
              <w:spacing w:after="0" w:line="240" w:lineRule="auto"/>
              <w:ind w:left="0"/>
              <w:rPr>
                <w:rFonts w:asciiTheme="minorHAnsi" w:hAnsiTheme="minorHAnsi"/>
                <w:sz w:val="20"/>
              </w:rPr>
            </w:pPr>
            <w:r w:rsidRPr="00E83413">
              <w:rPr>
                <w:rFonts w:asciiTheme="minorHAnsi" w:hAnsiTheme="minorHAnsi"/>
                <w:sz w:val="20"/>
              </w:rPr>
              <w:t xml:space="preserve">KnowledgePanel® Member </w:t>
            </w:r>
            <w:r w:rsidRPr="00E83413">
              <w:rPr>
                <w:rFonts w:asciiTheme="minorHAnsi" w:hAnsiTheme="minorHAnsi"/>
                <w:iCs/>
                <w:sz w:val="20"/>
              </w:rPr>
              <w:t xml:space="preserve">who owns a personal device and has </w:t>
            </w:r>
            <w:r w:rsidRPr="00E83413" w:rsidR="00472A8D">
              <w:rPr>
                <w:rFonts w:asciiTheme="minorHAnsi" w:hAnsiTheme="minorHAnsi"/>
                <w:iCs/>
                <w:sz w:val="20"/>
              </w:rPr>
              <w:t>I</w:t>
            </w:r>
            <w:r w:rsidRPr="00E83413">
              <w:rPr>
                <w:rFonts w:asciiTheme="minorHAnsi" w:hAnsiTheme="minorHAnsi"/>
                <w:iCs/>
                <w:sz w:val="20"/>
              </w:rPr>
              <w:t>nternet access</w:t>
            </w:r>
          </w:p>
        </w:tc>
        <w:tc>
          <w:tcPr>
            <w:tcW w:w="4025" w:type="dxa"/>
          </w:tcPr>
          <w:p w:rsidRPr="00E83413" w:rsidR="008401EA" w:rsidP="00C24327" w:rsidRDefault="008401EA" w14:paraId="1415F970" w14:textId="29ADCD44">
            <w:pPr>
              <w:pStyle w:val="bodytext-gph"/>
              <w:spacing w:after="0" w:line="240" w:lineRule="auto"/>
              <w:ind w:left="0"/>
              <w:rPr>
                <w:rFonts w:asciiTheme="minorHAnsi" w:hAnsiTheme="minorHAnsi"/>
                <w:sz w:val="20"/>
              </w:rPr>
            </w:pPr>
            <w:r w:rsidRPr="00E83413">
              <w:rPr>
                <w:rFonts w:asciiTheme="minorHAnsi" w:hAnsiTheme="minorHAnsi"/>
                <w:sz w:val="20"/>
              </w:rPr>
              <w:t xml:space="preserve">1,000 points </w:t>
            </w:r>
          </w:p>
          <w:p w:rsidRPr="00E83413" w:rsidR="008401EA" w:rsidP="00C24327" w:rsidRDefault="008401EA" w14:paraId="2A0EF2D0" w14:textId="0CE66C54">
            <w:pPr>
              <w:pStyle w:val="bodytext-gph"/>
              <w:spacing w:after="0" w:line="240" w:lineRule="auto"/>
              <w:ind w:left="0"/>
              <w:rPr>
                <w:rFonts w:asciiTheme="minorHAnsi" w:hAnsiTheme="minorHAnsi"/>
                <w:sz w:val="20"/>
              </w:rPr>
            </w:pPr>
          </w:p>
        </w:tc>
        <w:tc>
          <w:tcPr>
            <w:tcW w:w="2990" w:type="dxa"/>
          </w:tcPr>
          <w:p w:rsidRPr="00E83413" w:rsidR="008401EA" w:rsidP="00C24327" w:rsidRDefault="008401EA" w14:paraId="1A85E716" w14:textId="5F553FC5">
            <w:pPr>
              <w:pStyle w:val="bodytext-gph"/>
              <w:spacing w:after="0" w:line="240" w:lineRule="auto"/>
              <w:ind w:left="0"/>
              <w:rPr>
                <w:rFonts w:asciiTheme="minorHAnsi" w:hAnsiTheme="minorHAnsi"/>
                <w:sz w:val="20"/>
              </w:rPr>
            </w:pPr>
            <w:r w:rsidRPr="00E83413">
              <w:rPr>
                <w:rFonts w:asciiTheme="minorHAnsi" w:hAnsiTheme="minorHAnsi"/>
                <w:sz w:val="20"/>
              </w:rPr>
              <w:t>$</w:t>
            </w:r>
            <w:r w:rsidR="004561BB">
              <w:rPr>
                <w:rFonts w:asciiTheme="minorHAnsi" w:hAnsiTheme="minorHAnsi"/>
                <w:sz w:val="20"/>
              </w:rPr>
              <w:t>10</w:t>
            </w:r>
            <w:r w:rsidRPr="00E83413">
              <w:rPr>
                <w:rFonts w:asciiTheme="minorHAnsi" w:hAnsiTheme="minorHAnsi"/>
                <w:sz w:val="20"/>
              </w:rPr>
              <w:t xml:space="preserve"> (equivalent in points</w:t>
            </w:r>
            <w:r w:rsidRPr="00E83413" w:rsidR="00472A8D">
              <w:rPr>
                <w:rFonts w:asciiTheme="minorHAnsi" w:hAnsiTheme="minorHAnsi"/>
                <w:sz w:val="20"/>
              </w:rPr>
              <w:t xml:space="preserve"> </w:t>
            </w:r>
            <w:r w:rsidRPr="00E83413">
              <w:rPr>
                <w:rFonts w:asciiTheme="minorHAnsi" w:hAnsiTheme="minorHAnsi"/>
                <w:sz w:val="20"/>
              </w:rPr>
              <w:t>=</w:t>
            </w:r>
            <w:r w:rsidRPr="00E83413" w:rsidR="00472A8D">
              <w:rPr>
                <w:rFonts w:asciiTheme="minorHAnsi" w:hAnsiTheme="minorHAnsi"/>
                <w:sz w:val="20"/>
              </w:rPr>
              <w:t xml:space="preserve"> </w:t>
            </w:r>
            <w:r w:rsidR="004561BB">
              <w:rPr>
                <w:rFonts w:asciiTheme="minorHAnsi" w:hAnsiTheme="minorHAnsi"/>
                <w:sz w:val="20"/>
              </w:rPr>
              <w:t>10</w:t>
            </w:r>
            <w:r w:rsidRPr="00E83413">
              <w:rPr>
                <w:rFonts w:asciiTheme="minorHAnsi" w:hAnsiTheme="minorHAnsi"/>
                <w:sz w:val="20"/>
              </w:rPr>
              <w:t>,000)</w:t>
            </w:r>
          </w:p>
        </w:tc>
      </w:tr>
    </w:tbl>
    <w:p w:rsidRPr="00E83413" w:rsidR="002560D7" w:rsidP="002560D7" w:rsidRDefault="002560D7" w14:paraId="144C58E3" w14:textId="6BD5E76E">
      <w:pPr>
        <w:spacing w:after="0"/>
      </w:pPr>
    </w:p>
    <w:p w:rsidRPr="00E83413" w:rsidR="007C7B4B" w:rsidP="00CB57CE" w:rsidRDefault="00BD702B" w14:paraId="50697237" w14:textId="0D4F34E8">
      <w:pPr>
        <w:spacing w:after="120" w:line="240" w:lineRule="auto"/>
      </w:pPr>
      <w:r w:rsidRPr="00E83413">
        <w:rPr>
          <w:b/>
        </w:rPr>
        <w:t>A10</w:t>
      </w:r>
      <w:r w:rsidRPr="00E83413">
        <w:t>.</w:t>
      </w:r>
      <w:r w:rsidRPr="00E83413">
        <w:tab/>
      </w:r>
      <w:r w:rsidRPr="00E83413" w:rsidR="002A41C6">
        <w:rPr>
          <w:b/>
        </w:rPr>
        <w:t xml:space="preserve">Privacy: </w:t>
      </w:r>
      <w:r w:rsidRPr="00E83413" w:rsidR="00FB5BF6">
        <w:rPr>
          <w:b/>
        </w:rPr>
        <w:t>Procedures to p</w:t>
      </w:r>
      <w:r w:rsidRPr="00E83413" w:rsidR="004B75AC">
        <w:rPr>
          <w:b/>
        </w:rPr>
        <w:t xml:space="preserve">rotect </w:t>
      </w:r>
      <w:r w:rsidRPr="00E83413" w:rsidR="00FB5BF6">
        <w:rPr>
          <w:b/>
        </w:rPr>
        <w:t>p</w:t>
      </w:r>
      <w:r w:rsidRPr="00E83413" w:rsidR="00083227">
        <w:rPr>
          <w:b/>
        </w:rPr>
        <w:t>rivacy</w:t>
      </w:r>
      <w:r w:rsidRPr="00E83413" w:rsidR="004B75AC">
        <w:rPr>
          <w:b/>
        </w:rPr>
        <w:t xml:space="preserve"> of </w:t>
      </w:r>
      <w:r w:rsidRPr="00E83413" w:rsidR="00FB5BF6">
        <w:rPr>
          <w:b/>
        </w:rPr>
        <w:t>i</w:t>
      </w:r>
      <w:r w:rsidRPr="00E83413" w:rsidR="004B75AC">
        <w:rPr>
          <w:b/>
        </w:rPr>
        <w:t>nformation</w:t>
      </w:r>
      <w:r w:rsidRPr="00E83413" w:rsidR="00FB5BF6">
        <w:rPr>
          <w:b/>
        </w:rPr>
        <w:t xml:space="preserve"> while maximizing data sharing</w:t>
      </w:r>
    </w:p>
    <w:p w:rsidRPr="002D5C54" w:rsidR="000605B7" w:rsidP="002D5C54" w:rsidRDefault="00CB57CE" w14:paraId="5DF8BECE" w14:textId="77777777">
      <w:pPr>
        <w:spacing w:after="60" w:line="240" w:lineRule="auto"/>
        <w:rPr>
          <w:i/>
        </w:rPr>
      </w:pPr>
      <w:r w:rsidRPr="00E83413">
        <w:rPr>
          <w:i/>
        </w:rPr>
        <w:t>Personally Identifiable Information</w:t>
      </w:r>
      <w:r w:rsidRPr="002D5C54" w:rsidR="0055068A">
        <w:rPr>
          <w:i/>
        </w:rPr>
        <w:t xml:space="preserve"> </w:t>
      </w:r>
    </w:p>
    <w:p w:rsidRPr="00E83413" w:rsidR="000373D8" w:rsidP="002D5C54" w:rsidRDefault="00DB3647" w14:paraId="7958CE83" w14:textId="5D0F467D">
      <w:pPr>
        <w:spacing w:after="60" w:line="240" w:lineRule="auto"/>
        <w:rPr>
          <w:i/>
        </w:rPr>
      </w:pPr>
      <w:r w:rsidRPr="002D5C54">
        <w:rPr>
          <w:iCs/>
        </w:rPr>
        <w:t>The Youth</w:t>
      </w:r>
      <w:r w:rsidRPr="00E83413">
        <w:rPr>
          <w:iCs/>
        </w:rPr>
        <w:t xml:space="preserve"> </w:t>
      </w:r>
      <w:r w:rsidRPr="00E83413" w:rsidR="00613C40">
        <w:rPr>
          <w:iCs/>
        </w:rPr>
        <w:t xml:space="preserve">Survey of Relationships, Education, and Behavior </w:t>
      </w:r>
      <w:r w:rsidRPr="00E83413">
        <w:t>will collect no personally identifiable information (PII). During recruitment of the research panel (i.e., unrelated to this study), Ipsos collects individual respondent’s PII (e.g., name, address, email address, and the names and ages of household members) solely for purposes of conducting its research business, which include</w:t>
      </w:r>
      <w:r w:rsidRPr="00E83413" w:rsidR="00D0434C">
        <w:t>s</w:t>
      </w:r>
      <w:r w:rsidRPr="00E83413">
        <w:t xml:space="preserve"> </w:t>
      </w:r>
      <w:r w:rsidRPr="00E83413" w:rsidR="00962F09">
        <w:t>pre</w:t>
      </w:r>
      <w:r w:rsidRPr="00E83413">
        <w:t xml:space="preserve">qualifying members or households for surveys, communicating with panel members, and ensuring a nationally representative panel. </w:t>
      </w:r>
      <w:r w:rsidRPr="00E83413" w:rsidR="00AE782B">
        <w:t>Ipsos maintains a separate</w:t>
      </w:r>
      <w:r w:rsidRPr="00E83413" w:rsidR="00D0434C">
        <w:t xml:space="preserve"> PII</w:t>
      </w:r>
      <w:r w:rsidRPr="00E83413" w:rsidR="00AE782B">
        <w:t xml:space="preserve"> database</w:t>
      </w:r>
      <w:r w:rsidRPr="00E83413" w:rsidR="00504E81">
        <w:t xml:space="preserve">– </w:t>
      </w:r>
      <w:r w:rsidRPr="00E83413" w:rsidR="00473945">
        <w:t xml:space="preserve">distinct </w:t>
      </w:r>
      <w:r w:rsidRPr="00E83413" w:rsidR="00504E81">
        <w:t>from completed questionnaires and computerized data files–</w:t>
      </w:r>
      <w:r w:rsidRPr="00E83413">
        <w:t xml:space="preserve"> collected for its research business. The survey response data are identifi</w:t>
      </w:r>
      <w:r w:rsidRPr="00E83413" w:rsidR="00473945">
        <w:t xml:space="preserve">able </w:t>
      </w:r>
      <w:r w:rsidRPr="00E83413">
        <w:t>only by an incremented ID number. Ipsos will provide the data analysis contractor (Mathematica) and funding agency (ACF)</w:t>
      </w:r>
      <w:r w:rsidRPr="00E83413" w:rsidR="00473945">
        <w:t xml:space="preserve"> with</w:t>
      </w:r>
      <w:r w:rsidRPr="00E83413">
        <w:t xml:space="preserve"> a data file with no PII (de-identified).</w:t>
      </w:r>
    </w:p>
    <w:p w:rsidRPr="00E83413" w:rsidR="002560D7" w:rsidP="002560D7" w:rsidRDefault="002560D7" w14:paraId="18EED10A" w14:textId="77777777">
      <w:pPr>
        <w:spacing w:after="0" w:line="240" w:lineRule="auto"/>
        <w:rPr>
          <w:i/>
        </w:rPr>
      </w:pPr>
    </w:p>
    <w:p w:rsidRPr="00E83413" w:rsidR="002560D7" w:rsidP="002D5C54" w:rsidRDefault="002560D7" w14:paraId="28D37A40" w14:textId="7557B9D2">
      <w:pPr>
        <w:spacing w:after="60" w:line="240" w:lineRule="auto"/>
        <w:rPr>
          <w:i/>
        </w:rPr>
      </w:pPr>
      <w:r w:rsidRPr="00E83413">
        <w:rPr>
          <w:i/>
        </w:rPr>
        <w:t>Assurances of Privacy</w:t>
      </w:r>
    </w:p>
    <w:p w:rsidRPr="00E83413" w:rsidR="002560D7" w:rsidP="002D5C54" w:rsidRDefault="006D5D4D" w14:paraId="4180ABFE" w14:textId="2885EAE4">
      <w:pPr>
        <w:spacing w:after="60" w:line="240" w:lineRule="auto"/>
        <w:rPr>
          <w:rFonts w:cstheme="minorHAnsi"/>
        </w:rPr>
      </w:pPr>
      <w:r w:rsidRPr="002D5C54">
        <w:rPr>
          <w:iCs/>
        </w:rPr>
        <w:t>All collected i</w:t>
      </w:r>
      <w:r w:rsidRPr="002D5C54" w:rsidR="002560D7">
        <w:rPr>
          <w:iCs/>
        </w:rPr>
        <w:t>nformation will be kept private to the extent permitted by law. Respondents will be informed of all</w:t>
      </w:r>
      <w:r w:rsidRPr="00E83413" w:rsidR="002560D7">
        <w:t xml:space="preserve"> planned uses of data, </w:t>
      </w:r>
      <w:r w:rsidRPr="00E83413" w:rsidR="00521D17">
        <w:t xml:space="preserve">told </w:t>
      </w:r>
      <w:r w:rsidRPr="00E83413" w:rsidR="002560D7">
        <w:t>that their participation is voluntary, and</w:t>
      </w:r>
      <w:r w:rsidRPr="00E83413" w:rsidR="00521D17">
        <w:t xml:space="preserve"> assured</w:t>
      </w:r>
      <w:r w:rsidRPr="00E83413" w:rsidR="002560D7">
        <w:t xml:space="preserve"> that their information will be kept private to the extent permitted by law. As specified in the contract, the </w:t>
      </w:r>
      <w:r w:rsidRPr="00E83413" w:rsidR="003352AA">
        <w:t>c</w:t>
      </w:r>
      <w:r w:rsidRPr="00E83413" w:rsidR="002560D7">
        <w:t xml:space="preserve">ontractor will comply with all </w:t>
      </w:r>
      <w:r w:rsidRPr="00E83413" w:rsidR="003352AA">
        <w:t>f</w:t>
      </w:r>
      <w:r w:rsidRPr="00E83413" w:rsidR="002560D7">
        <w:t xml:space="preserve">ederal and </w:t>
      </w:r>
      <w:r w:rsidRPr="00E83413" w:rsidR="003352AA">
        <w:t>d</w:t>
      </w:r>
      <w:r w:rsidRPr="00E83413" w:rsidR="002560D7">
        <w:t xml:space="preserve">epartmental regulations </w:t>
      </w:r>
      <w:r w:rsidRPr="00E83413" w:rsidR="003352AA">
        <w:t>governing</w:t>
      </w:r>
      <w:r w:rsidRPr="00E83413" w:rsidR="002560D7">
        <w:t xml:space="preserve"> private information.</w:t>
      </w:r>
      <w:r w:rsidRPr="00E83413" w:rsidR="006F61B1">
        <w:t xml:space="preserve"> </w:t>
      </w:r>
      <w:r w:rsidRPr="00E83413" w:rsidR="003352AA">
        <w:t xml:space="preserve">In </w:t>
      </w:r>
      <w:r w:rsidRPr="00E83413" w:rsidR="00C67280">
        <w:rPr>
          <w:rFonts w:cstheme="minorHAnsi"/>
        </w:rPr>
        <w:t xml:space="preserve">Appendix </w:t>
      </w:r>
      <w:r w:rsidRPr="00E83413" w:rsidR="00EE79A1">
        <w:rPr>
          <w:rFonts w:cstheme="minorHAnsi"/>
        </w:rPr>
        <w:t>A</w:t>
      </w:r>
      <w:r w:rsidRPr="00E83413" w:rsidR="003352AA">
        <w:rPr>
          <w:rFonts w:cstheme="minorHAnsi"/>
        </w:rPr>
        <w:t>, we</w:t>
      </w:r>
      <w:r w:rsidRPr="00E83413" w:rsidR="00C67280">
        <w:rPr>
          <w:rFonts w:cstheme="minorHAnsi"/>
        </w:rPr>
        <w:t xml:space="preserve"> provide the consent form, containing assurances of privacy, that all participants read and acknowledge before participating in the data collection.</w:t>
      </w:r>
    </w:p>
    <w:p w:rsidRPr="00E83413" w:rsidR="005B3220" w:rsidP="00E238CD" w:rsidRDefault="005B3220" w14:paraId="3490F104" w14:textId="77777777">
      <w:pPr>
        <w:spacing w:after="0"/>
      </w:pPr>
    </w:p>
    <w:p w:rsidRPr="00E83413" w:rsidR="00C67280" w:rsidP="00E238CD" w:rsidRDefault="00C67280" w14:paraId="2C8108C9" w14:textId="155666B7">
      <w:pPr>
        <w:spacing w:after="0"/>
      </w:pPr>
      <w:r w:rsidRPr="00E83413">
        <w:t>Due to the sensitive nature of th</w:t>
      </w:r>
      <w:r w:rsidRPr="00E83413" w:rsidR="006F61B1">
        <w:t>e</w:t>
      </w:r>
      <w:r w:rsidRPr="00E83413">
        <w:t xml:space="preserve"> research, the evaluation will obtain a Certificate of Confidentiality</w:t>
      </w:r>
      <w:r w:rsidRPr="00E83413" w:rsidR="006F61B1">
        <w:t>, which</w:t>
      </w:r>
      <w:r w:rsidRPr="00E83413">
        <w:t xml:space="preserve"> helps assure participants that their information will be kept private to the fullest extent permitted by law.</w:t>
      </w:r>
      <w:r w:rsidRPr="00E83413" w:rsidR="005B3220">
        <w:t xml:space="preserve"> The consent form provides information about the Certificate of Confidentiality.</w:t>
      </w:r>
    </w:p>
    <w:p w:rsidRPr="00E83413" w:rsidR="002560D7" w:rsidP="002560D7" w:rsidRDefault="002560D7" w14:paraId="6E979ED9" w14:textId="06763008">
      <w:pPr>
        <w:spacing w:after="0" w:line="240" w:lineRule="auto"/>
      </w:pPr>
    </w:p>
    <w:p w:rsidRPr="00E83413" w:rsidR="002560D7" w:rsidP="00E238CD" w:rsidRDefault="002560D7" w14:paraId="2490F478" w14:textId="3CF9D7B9">
      <w:pPr>
        <w:spacing w:after="60" w:line="240" w:lineRule="auto"/>
        <w:rPr>
          <w:i/>
        </w:rPr>
      </w:pPr>
      <w:r w:rsidRPr="00E83413">
        <w:rPr>
          <w:i/>
        </w:rPr>
        <w:t>Data Security and Monitoring</w:t>
      </w:r>
    </w:p>
    <w:p w:rsidRPr="00E83413" w:rsidR="00F325A3" w:rsidP="00E238CD" w:rsidRDefault="00F325A3" w14:paraId="1970055A" w14:textId="078ED964">
      <w:pPr>
        <w:spacing w:after="0"/>
      </w:pPr>
      <w:r w:rsidRPr="00E83413">
        <w:t xml:space="preserve">The contractor has developed a Data Safety and Monitoring Plan that assesses all protections of respondents’ information. The contractor will ensure that all of its employees, subcontractors (at all tiers), and employees of each subcontractor who perform work under this contract or subcontract are trained </w:t>
      </w:r>
      <w:r w:rsidRPr="00E83413" w:rsidR="006F61B1">
        <w:t>i</w:t>
      </w:r>
      <w:r w:rsidRPr="00E83413">
        <w:t xml:space="preserve">n data privacy issues and comply with the above requirements. All study team staff involved in the project will receive training </w:t>
      </w:r>
      <w:r w:rsidRPr="00E83413" w:rsidR="006F61B1">
        <w:t>i</w:t>
      </w:r>
      <w:r w:rsidRPr="00E83413">
        <w:t>n (1) limitations of disclosure</w:t>
      </w:r>
      <w:r w:rsidRPr="00E83413" w:rsidR="006F61B1">
        <w:t>,</w:t>
      </w:r>
      <w:r w:rsidRPr="00E83413">
        <w:t xml:space="preserve"> (2) safeguarding the physical work environment</w:t>
      </w:r>
      <w:r w:rsidRPr="00E83413" w:rsidR="006F61B1">
        <w:t>,</w:t>
      </w:r>
      <w:r w:rsidRPr="00E83413">
        <w:t xml:space="preserve"> and (3) storing, transmitting, and destroying data securely. All Mathematica staff sign the Mathematica Confidentiality Agreement, complete online security awareness training when they are hired, and receive annual refresher training thereafter.</w:t>
      </w:r>
    </w:p>
    <w:p w:rsidRPr="00E83413" w:rsidR="000605B7" w:rsidP="00E238CD" w:rsidRDefault="000605B7" w14:paraId="425A4670" w14:textId="77777777">
      <w:pPr>
        <w:spacing w:after="0"/>
      </w:pPr>
    </w:p>
    <w:p w:rsidRPr="00E83413" w:rsidR="002560D7" w:rsidP="00E238CD" w:rsidRDefault="00F325A3" w14:paraId="5D675627" w14:textId="5AB759D8">
      <w:pPr>
        <w:widowControl w:val="0"/>
        <w:spacing w:after="0"/>
      </w:pPr>
      <w:r w:rsidRPr="00E83413">
        <w:t xml:space="preserve">As specified in </w:t>
      </w:r>
      <w:r w:rsidRPr="00E83413" w:rsidR="00F72300">
        <w:t>its</w:t>
      </w:r>
      <w:r w:rsidRPr="00E83413">
        <w:t xml:space="preserve"> contract, the contractor will use Federal Information Processing Standard</w:t>
      </w:r>
      <w:r w:rsidRPr="00E83413" w:rsidR="00647969">
        <w:t>–</w:t>
      </w:r>
      <w:r w:rsidRPr="00E83413">
        <w:t>compliant encryption (Security Requirements for Cryptographic Module, as amended) to protect all instances of sensitive information during storage and transmission. The contractor will securely generate and manage encryption keys to prevent unauthorized decryption of information in accordance with the Federal Processing Standard. Any data stored electronically will be secured in accordance with National Institute of Standards and Technology requirements and other applicable federal and departmental regulations. In addition, the contractor has a plan for minimizing</w:t>
      </w:r>
      <w:r w:rsidRPr="00E83413" w:rsidR="00AF5CBC">
        <w:t xml:space="preserve"> to</w:t>
      </w:r>
      <w:r w:rsidRPr="00E83413">
        <w:t xml:space="preserve"> the extent possible the inclusion of sensitive information on paper records a</w:t>
      </w:r>
      <w:r w:rsidRPr="00E83413" w:rsidR="008D2DFF">
        <w:t>s well as</w:t>
      </w:r>
      <w:r w:rsidRPr="00E83413">
        <w:t xml:space="preserve"> for protecti</w:t>
      </w:r>
      <w:r w:rsidRPr="00E83413" w:rsidR="00AF5CBC">
        <w:t>ng</w:t>
      </w:r>
      <w:r w:rsidRPr="00E83413">
        <w:t xml:space="preserve"> any paper records, field notes, or other documents that contain sensitive information t</w:t>
      </w:r>
      <w:r w:rsidRPr="00E83413" w:rsidR="00823C72">
        <w:t>o</w:t>
      </w:r>
      <w:r w:rsidRPr="00E83413">
        <w:t xml:space="preserve"> ensure secure storage and limits on access.</w:t>
      </w:r>
    </w:p>
    <w:p w:rsidRPr="00E83413" w:rsidR="002560D7" w:rsidP="002560D7" w:rsidRDefault="002560D7" w14:paraId="249BE1A4" w14:textId="77777777">
      <w:pPr>
        <w:spacing w:after="0" w:line="240" w:lineRule="auto"/>
      </w:pPr>
    </w:p>
    <w:p w:rsidRPr="00E83413" w:rsidR="00717BDC" w:rsidP="00D32E6D" w:rsidRDefault="00B23277" w14:paraId="38C28436" w14:textId="4298E7E3">
      <w:pPr>
        <w:spacing w:after="120" w:line="240" w:lineRule="auto"/>
      </w:pPr>
      <w:r w:rsidRPr="00E83413">
        <w:rPr>
          <w:b/>
        </w:rPr>
        <w:t>A11</w:t>
      </w:r>
      <w:r w:rsidRPr="00E83413">
        <w:t>.</w:t>
      </w:r>
      <w:r w:rsidRPr="00E83413">
        <w:tab/>
      </w:r>
      <w:r w:rsidRPr="00E83413" w:rsidR="002A41C6">
        <w:rPr>
          <w:b/>
        </w:rPr>
        <w:t>Sensitive Information</w:t>
      </w:r>
      <w:r w:rsidRPr="00E83413" w:rsidR="002560D7">
        <w:rPr>
          <w:rStyle w:val="FootnoteReference"/>
        </w:rPr>
        <w:t xml:space="preserve"> </w:t>
      </w:r>
      <w:r w:rsidRPr="00E83413" w:rsidR="002560D7">
        <w:rPr>
          <w:rStyle w:val="FootnoteReference"/>
        </w:rPr>
        <w:footnoteReference w:id="1"/>
      </w:r>
    </w:p>
    <w:p w:rsidRPr="00E83413" w:rsidR="00F325A3" w:rsidP="00F325A3" w:rsidRDefault="00F325A3" w14:paraId="24E395FD" w14:textId="07AB213B">
      <w:pPr>
        <w:pStyle w:val="Paragraph"/>
        <w:rPr>
          <w:rFonts w:eastAsiaTheme="minorHAnsi" w:cstheme="minorBidi"/>
          <w:sz w:val="22"/>
          <w:szCs w:val="22"/>
        </w:rPr>
      </w:pPr>
      <w:r w:rsidRPr="00E83413">
        <w:rPr>
          <w:rFonts w:eastAsiaTheme="minorHAnsi" w:cstheme="minorBidi"/>
          <w:sz w:val="22"/>
          <w:szCs w:val="22"/>
        </w:rPr>
        <w:t xml:space="preserve">Questions pertaining to sexual behaviors of </w:t>
      </w:r>
      <w:r w:rsidRPr="00E83413" w:rsidR="00F664F2">
        <w:rPr>
          <w:rFonts w:eastAsiaTheme="minorHAnsi" w:cstheme="minorBidi"/>
          <w:sz w:val="22"/>
          <w:szCs w:val="22"/>
        </w:rPr>
        <w:t xml:space="preserve">high school–age </w:t>
      </w:r>
      <w:r w:rsidRPr="00E83413">
        <w:rPr>
          <w:rFonts w:eastAsiaTheme="minorHAnsi" w:cstheme="minorBidi"/>
          <w:sz w:val="22"/>
          <w:szCs w:val="22"/>
        </w:rPr>
        <w:t>youth can be sensitive in nature, but the questions ne</w:t>
      </w:r>
      <w:r w:rsidRPr="00E83413" w:rsidR="001B764F">
        <w:rPr>
          <w:rFonts w:eastAsiaTheme="minorHAnsi" w:cstheme="minorBidi"/>
          <w:sz w:val="22"/>
          <w:szCs w:val="22"/>
        </w:rPr>
        <w:t>ed</w:t>
      </w:r>
      <w:r w:rsidRPr="00E83413" w:rsidR="00DE7360">
        <w:rPr>
          <w:rFonts w:eastAsiaTheme="minorHAnsi" w:cstheme="minorBidi"/>
          <w:sz w:val="22"/>
          <w:szCs w:val="22"/>
        </w:rPr>
        <w:t xml:space="preserve"> to be asked</w:t>
      </w:r>
      <w:r w:rsidRPr="00E83413">
        <w:rPr>
          <w:rFonts w:eastAsiaTheme="minorHAnsi" w:cstheme="minorBidi"/>
          <w:sz w:val="22"/>
          <w:szCs w:val="22"/>
        </w:rPr>
        <w:t xml:space="preserve"> to </w:t>
      </w:r>
      <w:r w:rsidRPr="00E83413" w:rsidR="001B764F">
        <w:rPr>
          <w:rFonts w:eastAsiaTheme="minorHAnsi" w:cstheme="minorBidi"/>
          <w:sz w:val="22"/>
          <w:szCs w:val="22"/>
        </w:rPr>
        <w:t>achieve</w:t>
      </w:r>
      <w:r w:rsidRPr="00E83413">
        <w:rPr>
          <w:rFonts w:eastAsiaTheme="minorHAnsi" w:cstheme="minorBidi"/>
          <w:sz w:val="22"/>
          <w:szCs w:val="22"/>
        </w:rPr>
        <w:t xml:space="preserve"> the main study objectives. </w:t>
      </w:r>
      <w:r w:rsidRPr="00E83413" w:rsidR="00F664F2">
        <w:rPr>
          <w:rFonts w:eastAsiaTheme="minorHAnsi" w:cstheme="minorBidi"/>
          <w:sz w:val="22"/>
          <w:szCs w:val="22"/>
        </w:rPr>
        <w:t xml:space="preserve">In </w:t>
      </w:r>
      <w:r w:rsidRPr="00E83413">
        <w:rPr>
          <w:rFonts w:eastAsiaTheme="minorHAnsi" w:cstheme="minorBidi"/>
          <w:sz w:val="22"/>
          <w:szCs w:val="22"/>
        </w:rPr>
        <w:t>Table A11</w:t>
      </w:r>
      <w:r w:rsidRPr="00E83413" w:rsidR="00F664F2">
        <w:rPr>
          <w:rFonts w:eastAsiaTheme="minorHAnsi" w:cstheme="minorBidi"/>
          <w:sz w:val="22"/>
          <w:szCs w:val="22"/>
        </w:rPr>
        <w:t>, we</w:t>
      </w:r>
      <w:r w:rsidRPr="00E83413">
        <w:rPr>
          <w:rFonts w:eastAsiaTheme="minorHAnsi" w:cstheme="minorBidi"/>
          <w:sz w:val="22"/>
          <w:szCs w:val="22"/>
        </w:rPr>
        <w:t xml:space="preserve"> indicate the survey topics and questions deemed sensitive on the Youth</w:t>
      </w:r>
      <w:r w:rsidRPr="00E83413" w:rsidR="00613C40">
        <w:rPr>
          <w:rFonts w:eastAsiaTheme="minorHAnsi" w:cstheme="minorBidi"/>
          <w:sz w:val="22"/>
          <w:szCs w:val="22"/>
        </w:rPr>
        <w:t xml:space="preserve"> Survey of Relationships, Education, and Behavior. </w:t>
      </w:r>
      <w:r w:rsidRPr="00E83413" w:rsidR="005C061D">
        <w:rPr>
          <w:rFonts w:eastAsiaTheme="minorHAnsi" w:cstheme="minorBidi"/>
          <w:sz w:val="22"/>
          <w:szCs w:val="22"/>
        </w:rPr>
        <w:t>A</w:t>
      </w:r>
      <w:r w:rsidRPr="00E83413">
        <w:rPr>
          <w:rFonts w:eastAsiaTheme="minorHAnsi" w:cstheme="minorBidi"/>
          <w:sz w:val="22"/>
          <w:szCs w:val="22"/>
        </w:rPr>
        <w:t xml:space="preserve"> review of the data collection protocol, consent, and assent forms</w:t>
      </w:r>
      <w:r w:rsidRPr="00E83413" w:rsidR="005C061D">
        <w:rPr>
          <w:rFonts w:eastAsiaTheme="minorHAnsi" w:cstheme="minorBidi"/>
          <w:sz w:val="22"/>
          <w:szCs w:val="22"/>
        </w:rPr>
        <w:t xml:space="preserve"> by an Institutional Review Board</w:t>
      </w:r>
      <w:r w:rsidRPr="00E83413">
        <w:rPr>
          <w:rFonts w:eastAsiaTheme="minorHAnsi" w:cstheme="minorBidi"/>
          <w:sz w:val="22"/>
          <w:szCs w:val="22"/>
        </w:rPr>
        <w:t xml:space="preserve"> will be initiated upon OMB approval of the study.</w:t>
      </w:r>
    </w:p>
    <w:p w:rsidRPr="00E83413" w:rsidR="00F325A3" w:rsidP="00F325A3" w:rsidRDefault="007F37D2" w14:paraId="49FDC3A1" w14:textId="5E71B8BF">
      <w:pPr>
        <w:pStyle w:val="Paragraph"/>
        <w:rPr>
          <w:rFonts w:eastAsiaTheme="minorHAnsi" w:cstheme="minorBidi"/>
          <w:sz w:val="22"/>
          <w:szCs w:val="22"/>
        </w:rPr>
      </w:pPr>
      <w:r w:rsidRPr="00E83413">
        <w:rPr>
          <w:rFonts w:eastAsiaTheme="minorHAnsi" w:cstheme="minorBidi"/>
          <w:sz w:val="22"/>
          <w:szCs w:val="22"/>
        </w:rPr>
        <w:t>At the start of the survey, a</w:t>
      </w:r>
      <w:r w:rsidRPr="00E83413" w:rsidR="00F325A3">
        <w:rPr>
          <w:rFonts w:eastAsiaTheme="minorHAnsi" w:cstheme="minorBidi"/>
          <w:sz w:val="22"/>
          <w:szCs w:val="22"/>
        </w:rPr>
        <w:t>ll survey participants will be informed</w:t>
      </w:r>
      <w:r w:rsidRPr="00E83413">
        <w:rPr>
          <w:rFonts w:eastAsiaTheme="minorHAnsi" w:cstheme="minorBidi"/>
          <w:sz w:val="22"/>
          <w:szCs w:val="22"/>
        </w:rPr>
        <w:t xml:space="preserve"> </w:t>
      </w:r>
      <w:r w:rsidRPr="00E83413" w:rsidR="00F325A3">
        <w:rPr>
          <w:rFonts w:eastAsiaTheme="minorHAnsi" w:cstheme="minorBidi"/>
          <w:sz w:val="22"/>
          <w:szCs w:val="22"/>
        </w:rPr>
        <w:t>about the sensitive nature of the questions and</w:t>
      </w:r>
      <w:r w:rsidRPr="00E83413" w:rsidR="0096287B">
        <w:rPr>
          <w:rFonts w:eastAsiaTheme="minorHAnsi" w:cstheme="minorBidi"/>
          <w:sz w:val="22"/>
          <w:szCs w:val="22"/>
        </w:rPr>
        <w:t xml:space="preserve"> advised</w:t>
      </w:r>
      <w:r w:rsidRPr="00E83413" w:rsidR="00F325A3">
        <w:rPr>
          <w:rFonts w:eastAsiaTheme="minorHAnsi" w:cstheme="minorBidi"/>
          <w:sz w:val="22"/>
          <w:szCs w:val="22"/>
        </w:rPr>
        <w:t xml:space="preserve"> that they </w:t>
      </w:r>
      <w:r w:rsidRPr="00E83413" w:rsidR="0096287B">
        <w:rPr>
          <w:rFonts w:eastAsiaTheme="minorHAnsi" w:cstheme="minorBidi"/>
          <w:sz w:val="22"/>
          <w:szCs w:val="22"/>
        </w:rPr>
        <w:t>may</w:t>
      </w:r>
      <w:r w:rsidRPr="00E83413" w:rsidR="00F325A3">
        <w:rPr>
          <w:rFonts w:eastAsiaTheme="minorHAnsi" w:cstheme="minorBidi"/>
          <w:sz w:val="22"/>
          <w:szCs w:val="22"/>
        </w:rPr>
        <w:t xml:space="preserve"> </w:t>
      </w:r>
      <w:r w:rsidRPr="00E83413" w:rsidR="00E70268">
        <w:rPr>
          <w:rFonts w:eastAsiaTheme="minorHAnsi" w:cstheme="minorBidi"/>
          <w:sz w:val="22"/>
          <w:szCs w:val="22"/>
        </w:rPr>
        <w:t>skip</w:t>
      </w:r>
      <w:r w:rsidRPr="00E83413" w:rsidR="003650C1">
        <w:rPr>
          <w:rFonts w:eastAsiaTheme="minorHAnsi" w:cstheme="minorBidi"/>
          <w:sz w:val="22"/>
          <w:szCs w:val="22"/>
        </w:rPr>
        <w:t xml:space="preserve"> or refuse to answer</w:t>
      </w:r>
      <w:r w:rsidRPr="00E83413" w:rsidR="00F325A3">
        <w:rPr>
          <w:rFonts w:eastAsiaTheme="minorHAnsi" w:cstheme="minorBidi"/>
          <w:sz w:val="22"/>
          <w:szCs w:val="22"/>
        </w:rPr>
        <w:t xml:space="preserve"> any questions </w:t>
      </w:r>
      <w:r w:rsidRPr="00E83413" w:rsidR="00E70268">
        <w:rPr>
          <w:rFonts w:eastAsiaTheme="minorHAnsi" w:cstheme="minorBidi"/>
          <w:sz w:val="22"/>
          <w:szCs w:val="22"/>
        </w:rPr>
        <w:t>for any reason</w:t>
      </w:r>
      <w:r w:rsidRPr="00E83413" w:rsidR="00F325A3">
        <w:rPr>
          <w:rFonts w:eastAsiaTheme="minorHAnsi" w:cstheme="minorBidi"/>
          <w:sz w:val="22"/>
          <w:szCs w:val="22"/>
        </w:rPr>
        <w:t xml:space="preserve">. </w:t>
      </w:r>
      <w:r w:rsidRPr="00E83413" w:rsidR="00984036">
        <w:rPr>
          <w:rFonts w:eastAsiaTheme="minorHAnsi" w:cstheme="minorBidi"/>
          <w:sz w:val="22"/>
          <w:szCs w:val="22"/>
        </w:rPr>
        <w:t>This information will also be provided on the parent consent form (Appendix A)</w:t>
      </w:r>
      <w:r w:rsidRPr="00E83413" w:rsidR="00F325A3">
        <w:rPr>
          <w:rFonts w:eastAsiaTheme="minorHAnsi" w:cstheme="minorBidi"/>
          <w:sz w:val="22"/>
          <w:szCs w:val="22"/>
        </w:rPr>
        <w:t xml:space="preserve">. </w:t>
      </w:r>
    </w:p>
    <w:p w:rsidRPr="00E83413" w:rsidR="00D77106" w:rsidP="00D77106" w:rsidRDefault="00F325A3" w14:paraId="5BA42051" w14:textId="77777777">
      <w:pPr>
        <w:pStyle w:val="Paragraph"/>
        <w:rPr>
          <w:rFonts w:eastAsiaTheme="minorHAnsi" w:cstheme="minorBidi"/>
          <w:sz w:val="22"/>
          <w:szCs w:val="22"/>
        </w:rPr>
      </w:pPr>
      <w:r w:rsidRPr="00E83413">
        <w:rPr>
          <w:rFonts w:eastAsiaTheme="minorHAnsi" w:cstheme="minorBidi"/>
          <w:sz w:val="22"/>
          <w:szCs w:val="22"/>
        </w:rPr>
        <w:t>Although high levels of nonresponse are not expected on the</w:t>
      </w:r>
      <w:r w:rsidRPr="00E83413" w:rsidR="00930832">
        <w:rPr>
          <w:rFonts w:eastAsiaTheme="minorHAnsi" w:cstheme="minorBidi"/>
          <w:sz w:val="22"/>
          <w:szCs w:val="22"/>
        </w:rPr>
        <w:t xml:space="preserve"> sensitive</w:t>
      </w:r>
      <w:r w:rsidRPr="00E83413" w:rsidR="007F37D2">
        <w:rPr>
          <w:rFonts w:eastAsiaTheme="minorHAnsi" w:cstheme="minorBidi"/>
          <w:sz w:val="22"/>
          <w:szCs w:val="22"/>
        </w:rPr>
        <w:t xml:space="preserve"> survey</w:t>
      </w:r>
      <w:r w:rsidRPr="00E83413">
        <w:rPr>
          <w:rFonts w:eastAsiaTheme="minorHAnsi" w:cstheme="minorBidi"/>
          <w:sz w:val="22"/>
          <w:szCs w:val="22"/>
        </w:rPr>
        <w:t xml:space="preserve"> items, asking sensitive questions can increase item nonresponse. </w:t>
      </w:r>
      <w:r w:rsidRPr="00E83413" w:rsidR="00AE0381">
        <w:rPr>
          <w:rFonts w:eastAsiaTheme="minorHAnsi" w:cstheme="minorBidi"/>
          <w:sz w:val="22"/>
          <w:szCs w:val="22"/>
        </w:rPr>
        <w:t>A</w:t>
      </w:r>
      <w:r w:rsidRPr="00E83413">
        <w:rPr>
          <w:rFonts w:eastAsiaTheme="minorHAnsi" w:cstheme="minorBidi"/>
          <w:sz w:val="22"/>
          <w:szCs w:val="22"/>
        </w:rPr>
        <w:t xml:space="preserve"> web</w:t>
      </w:r>
      <w:r w:rsidRPr="00E83413" w:rsidR="00A1693B">
        <w:rPr>
          <w:rFonts w:eastAsiaTheme="minorHAnsi" w:cstheme="minorBidi"/>
          <w:sz w:val="22"/>
          <w:szCs w:val="22"/>
        </w:rPr>
        <w:t>-based</w:t>
      </w:r>
      <w:r w:rsidRPr="00E83413">
        <w:rPr>
          <w:rFonts w:eastAsiaTheme="minorHAnsi" w:cstheme="minorBidi"/>
          <w:sz w:val="22"/>
          <w:szCs w:val="22"/>
        </w:rPr>
        <w:t xml:space="preserve"> survey helps mitigate </w:t>
      </w:r>
      <w:r w:rsidRPr="00E83413" w:rsidR="00AE0381">
        <w:rPr>
          <w:rFonts w:eastAsiaTheme="minorHAnsi" w:cstheme="minorBidi"/>
          <w:sz w:val="22"/>
          <w:szCs w:val="22"/>
        </w:rPr>
        <w:t>nonresponse because</w:t>
      </w:r>
      <w:r w:rsidRPr="00E83413">
        <w:rPr>
          <w:rFonts w:eastAsiaTheme="minorHAnsi" w:cstheme="minorBidi"/>
          <w:sz w:val="22"/>
          <w:szCs w:val="22"/>
        </w:rPr>
        <w:t xml:space="preserve"> participants are more likely to disclose sensitive information when an interviewer is not present (Tourangeau et al. 2000). </w:t>
      </w:r>
    </w:p>
    <w:p w:rsidRPr="00E83413" w:rsidR="00C27E6C" w:rsidRDefault="00C27E6C" w14:paraId="68B8B971" w14:textId="77777777">
      <w:pPr>
        <w:rPr>
          <w:rFonts w:eastAsia="Times New Roman" w:cstheme="minorHAnsi"/>
        </w:rPr>
      </w:pPr>
      <w:r w:rsidRPr="00E83413">
        <w:rPr>
          <w:rFonts w:cstheme="minorHAnsi"/>
        </w:rPr>
        <w:br w:type="page"/>
      </w:r>
    </w:p>
    <w:p w:rsidRPr="00786AC2" w:rsidR="00F325A3" w:rsidP="00786AC2" w:rsidRDefault="00F325A3" w14:paraId="02E57AF5" w14:textId="1FA71AB8">
      <w:pPr>
        <w:pStyle w:val="TableTitle"/>
      </w:pPr>
      <w:r w:rsidRPr="00786AC2">
        <w:lastRenderedPageBreak/>
        <w:t xml:space="preserve">Table A11. Summary of </w:t>
      </w:r>
      <w:r w:rsidRPr="00786AC2" w:rsidR="00AE0381">
        <w:t>s</w:t>
      </w:r>
      <w:r w:rsidRPr="00786AC2">
        <w:t xml:space="preserve">ensitive </w:t>
      </w:r>
      <w:r w:rsidRPr="00786AC2" w:rsidR="00AE0381">
        <w:t>q</w:t>
      </w:r>
      <w:r w:rsidRPr="00786AC2">
        <w:t>uestions</w:t>
      </w:r>
      <w:r w:rsidRPr="00786AC2" w:rsidR="008C0945">
        <w:t xml:space="preserve"> and</w:t>
      </w:r>
      <w:r w:rsidRPr="00786AC2">
        <w:t xml:space="preserve"> </w:t>
      </w:r>
      <w:r w:rsidRPr="00786AC2" w:rsidR="00AE0381">
        <w:t>t</w:t>
      </w:r>
      <w:r w:rsidRPr="00786AC2">
        <w:t xml:space="preserve">heir </w:t>
      </w:r>
      <w:r w:rsidRPr="00786AC2" w:rsidR="00AE0381">
        <w:t>j</w:t>
      </w:r>
      <w:r w:rsidRPr="00786AC2">
        <w:t>ustification</w:t>
      </w:r>
    </w:p>
    <w:tbl>
      <w:tblPr>
        <w:tblW w:w="9265" w:type="dxa"/>
        <w:tblLayout w:type="fixed"/>
        <w:tblCellMar>
          <w:left w:w="0" w:type="dxa"/>
          <w:right w:w="0" w:type="dxa"/>
        </w:tblCellMar>
        <w:tblLook w:val="0400" w:firstRow="0" w:lastRow="0" w:firstColumn="0" w:lastColumn="0" w:noHBand="0" w:noVBand="1"/>
      </w:tblPr>
      <w:tblGrid>
        <w:gridCol w:w="3780"/>
        <w:gridCol w:w="5485"/>
      </w:tblGrid>
      <w:tr w:rsidRPr="00E83413" w:rsidR="00F325A3" w:rsidTr="0081152D" w14:paraId="2496C209" w14:textId="77777777">
        <w:tc>
          <w:tcPr>
            <w:tcW w:w="3780" w:type="dxa"/>
            <w:tcBorders>
              <w:bottom w:val="single" w:color="auto" w:sz="4" w:space="0"/>
            </w:tcBorders>
            <w:shd w:val="clear" w:color="auto" w:fill="244061" w:themeFill="accent1" w:themeFillShade="80"/>
            <w:vAlign w:val="bottom"/>
          </w:tcPr>
          <w:p w:rsidRPr="00E83413" w:rsidR="00F325A3" w:rsidP="00C24327" w:rsidRDefault="00F325A3" w14:paraId="38AAC70C" w14:textId="46F1544C">
            <w:pPr>
              <w:pStyle w:val="TableHeaderCenter"/>
              <w:rPr>
                <w:rFonts w:asciiTheme="minorHAnsi" w:hAnsiTheme="minorHAnsi" w:cstheme="minorHAnsi"/>
              </w:rPr>
            </w:pPr>
            <w:r w:rsidRPr="00E83413">
              <w:rPr>
                <w:rFonts w:asciiTheme="minorHAnsi" w:hAnsiTheme="minorHAnsi" w:cstheme="minorHAnsi"/>
              </w:rPr>
              <w:t xml:space="preserve">Topic and </w:t>
            </w:r>
            <w:r w:rsidRPr="00E83413" w:rsidR="00AE0381">
              <w:rPr>
                <w:rFonts w:asciiTheme="minorHAnsi" w:hAnsiTheme="minorHAnsi" w:cstheme="minorHAnsi"/>
              </w:rPr>
              <w:t>s</w:t>
            </w:r>
            <w:r w:rsidRPr="00E83413">
              <w:rPr>
                <w:rFonts w:asciiTheme="minorHAnsi" w:hAnsiTheme="minorHAnsi" w:cstheme="minorHAnsi"/>
              </w:rPr>
              <w:t xml:space="preserve">urvey </w:t>
            </w:r>
            <w:r w:rsidRPr="00E83413" w:rsidR="00AE0381">
              <w:rPr>
                <w:rFonts w:asciiTheme="minorHAnsi" w:hAnsiTheme="minorHAnsi" w:cstheme="minorHAnsi"/>
              </w:rPr>
              <w:t>q</w:t>
            </w:r>
            <w:r w:rsidRPr="00E83413">
              <w:rPr>
                <w:rFonts w:asciiTheme="minorHAnsi" w:hAnsiTheme="minorHAnsi" w:cstheme="minorHAnsi"/>
              </w:rPr>
              <w:t>uestions</w:t>
            </w:r>
          </w:p>
        </w:tc>
        <w:tc>
          <w:tcPr>
            <w:tcW w:w="5485" w:type="dxa"/>
            <w:tcBorders>
              <w:bottom w:val="single" w:color="auto" w:sz="4" w:space="0"/>
            </w:tcBorders>
            <w:shd w:val="clear" w:color="auto" w:fill="244061" w:themeFill="accent1" w:themeFillShade="80"/>
            <w:vAlign w:val="bottom"/>
          </w:tcPr>
          <w:p w:rsidRPr="00E83413" w:rsidR="00F325A3" w:rsidP="00C24327" w:rsidRDefault="00F325A3" w14:paraId="0AA2DA20" w14:textId="77777777">
            <w:pPr>
              <w:pStyle w:val="TableHeaderCenter"/>
              <w:rPr>
                <w:rFonts w:asciiTheme="minorHAnsi" w:hAnsiTheme="minorHAnsi" w:cstheme="minorHAnsi"/>
              </w:rPr>
            </w:pPr>
            <w:r w:rsidRPr="00E83413">
              <w:rPr>
                <w:rFonts w:asciiTheme="minorHAnsi" w:hAnsiTheme="minorHAnsi" w:cstheme="minorHAnsi"/>
              </w:rPr>
              <w:t>Justification</w:t>
            </w:r>
          </w:p>
        </w:tc>
      </w:tr>
      <w:tr w:rsidRPr="00E83413" w:rsidR="0032450D" w:rsidTr="00FE5A1C" w14:paraId="33BFCE33" w14:textId="77777777">
        <w:tc>
          <w:tcPr>
            <w:tcW w:w="37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83413" w:rsidR="0032450D" w:rsidP="0081152D" w:rsidRDefault="0032450D" w14:paraId="1EDB80B4" w14:textId="7620D7B4">
            <w:pPr>
              <w:pStyle w:val="TableHeaderCenter"/>
              <w:jc w:val="left"/>
              <w:rPr>
                <w:rFonts w:asciiTheme="minorHAnsi" w:hAnsiTheme="minorHAnsi" w:cstheme="minorHAnsi"/>
                <w:b w:val="0"/>
                <w:bCs/>
                <w:color w:val="auto"/>
              </w:rPr>
            </w:pPr>
            <w:r w:rsidRPr="00E83413">
              <w:rPr>
                <w:rFonts w:asciiTheme="minorHAnsi" w:hAnsiTheme="minorHAnsi" w:cstheme="minorHAnsi"/>
                <w:b w:val="0"/>
                <w:bCs/>
                <w:color w:val="auto"/>
              </w:rPr>
              <w:t>Gender identity</w:t>
            </w:r>
            <w:r w:rsidRPr="00E83413" w:rsidR="002B25CA">
              <w:rPr>
                <w:rFonts w:asciiTheme="minorHAnsi" w:hAnsiTheme="minorHAnsi" w:cstheme="minorHAnsi"/>
                <w:b w:val="0"/>
                <w:bCs/>
                <w:color w:val="auto"/>
              </w:rPr>
              <w:t xml:space="preserve"> (E4-E5)</w:t>
            </w:r>
            <w:r w:rsidRPr="00E83413">
              <w:rPr>
                <w:rFonts w:asciiTheme="minorHAnsi" w:hAnsiTheme="minorHAnsi" w:cstheme="minorHAnsi"/>
                <w:b w:val="0"/>
                <w:bCs/>
                <w:color w:val="auto"/>
              </w:rPr>
              <w:t xml:space="preserve"> and sexual orientation</w:t>
            </w:r>
            <w:r w:rsidRPr="00E83413" w:rsidR="002B25CA">
              <w:rPr>
                <w:rFonts w:asciiTheme="minorHAnsi" w:hAnsiTheme="minorHAnsi" w:cstheme="minorHAnsi"/>
                <w:b w:val="0"/>
                <w:bCs/>
                <w:color w:val="auto"/>
              </w:rPr>
              <w:t xml:space="preserve"> (E6)</w:t>
            </w:r>
          </w:p>
          <w:p w:rsidRPr="00E83413" w:rsidR="0032450D" w:rsidP="0032450D" w:rsidRDefault="0032450D" w14:paraId="659F8CD7" w14:textId="4F9C2E5B">
            <w:pPr>
              <w:pStyle w:val="TableHeaderCenter"/>
              <w:rPr>
                <w:rFonts w:asciiTheme="minorHAnsi" w:hAnsiTheme="minorHAnsi" w:cstheme="minorHAnsi"/>
                <w:b w:val="0"/>
                <w:bCs/>
                <w:color w:val="auto"/>
              </w:rPr>
            </w:pP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rsidRPr="00E83413" w:rsidR="0032450D" w:rsidP="0032450D" w:rsidRDefault="00A52FB3" w14:paraId="34EAEE2C" w14:textId="033185A8">
            <w:pPr>
              <w:pStyle w:val="TableHeaderCenter"/>
              <w:jc w:val="left"/>
              <w:rPr>
                <w:rFonts w:asciiTheme="minorHAnsi" w:hAnsiTheme="minorHAnsi" w:cstheme="minorHAnsi"/>
                <w:b w:val="0"/>
                <w:bCs/>
                <w:color w:val="auto"/>
              </w:rPr>
            </w:pPr>
            <w:r w:rsidRPr="00E83413">
              <w:rPr>
                <w:rFonts w:asciiTheme="minorHAnsi" w:hAnsiTheme="minorHAnsi" w:cstheme="minorHAnsi"/>
                <w:b w:val="0"/>
                <w:bCs/>
                <w:color w:val="auto"/>
              </w:rPr>
              <w:t>These questions will be used to describe the sample of participants. ACF has a strong interest in allowing youth to accurately describe themselves.</w:t>
            </w:r>
          </w:p>
        </w:tc>
      </w:tr>
      <w:tr w:rsidRPr="00E83413" w:rsidR="00FE5A1C" w:rsidTr="00FE5A1C" w14:paraId="6FC9DA37" w14:textId="77777777">
        <w:tc>
          <w:tcPr>
            <w:tcW w:w="37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83413" w:rsidR="00FE5A1C" w:rsidP="00FE5A1C" w:rsidRDefault="00FE5A1C" w14:paraId="3F9B305C" w14:textId="16BF0081">
            <w:pPr>
              <w:pStyle w:val="TableHeaderCenter"/>
              <w:jc w:val="left"/>
              <w:rPr>
                <w:rFonts w:ascii="Calibri" w:hAnsi="Calibri" w:cs="Calibri"/>
                <w:b w:val="0"/>
                <w:bCs/>
                <w:color w:val="auto"/>
              </w:rPr>
            </w:pPr>
            <w:r w:rsidRPr="00E83413">
              <w:rPr>
                <w:rFonts w:ascii="Calibri" w:hAnsi="Calibri" w:cs="Calibri"/>
                <w:b w:val="0"/>
                <w:bCs/>
                <w:color w:val="auto"/>
              </w:rPr>
              <w:t>Sexual activity and contraceptive use</w:t>
            </w:r>
            <w:r w:rsidRPr="00E83413" w:rsidR="00B237BB">
              <w:rPr>
                <w:rFonts w:ascii="Calibri" w:hAnsi="Calibri" w:cs="Calibri"/>
                <w:b w:val="0"/>
                <w:bCs/>
                <w:color w:val="auto"/>
              </w:rPr>
              <w:t xml:space="preserve"> (</w:t>
            </w:r>
            <w:r w:rsidRPr="00E83413" w:rsidR="002B25CA">
              <w:rPr>
                <w:rFonts w:ascii="Calibri" w:hAnsi="Calibri" w:cs="Calibri"/>
                <w:b w:val="0"/>
                <w:bCs/>
                <w:color w:val="auto"/>
              </w:rPr>
              <w:t>All Items in Section D</w:t>
            </w:r>
            <w:r w:rsidRPr="00E83413" w:rsidR="00B237BB">
              <w:rPr>
                <w:rFonts w:ascii="Calibri" w:hAnsi="Calibri" w:cs="Calibri"/>
                <w:b w:val="0"/>
                <w:bCs/>
                <w:color w:val="auto"/>
              </w:rPr>
              <w:t>)</w:t>
            </w:r>
          </w:p>
          <w:p w:rsidRPr="00E83413" w:rsidR="00FE5A1C" w:rsidP="0081152D" w:rsidRDefault="00FE5A1C" w14:paraId="01203B29" w14:textId="77777777">
            <w:pPr>
              <w:pStyle w:val="TableHeaderCenter"/>
              <w:jc w:val="left"/>
              <w:rPr>
                <w:rFonts w:asciiTheme="minorHAnsi" w:hAnsiTheme="minorHAnsi" w:cstheme="minorHAnsi"/>
                <w:b w:val="0"/>
                <w:bCs/>
                <w:color w:val="auto"/>
              </w:rPr>
            </w:pP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rsidRPr="00E83413" w:rsidR="00FE5A1C" w:rsidP="00FE5A1C" w:rsidRDefault="00FE5A1C" w14:paraId="4C8A46C5" w14:textId="40E3EE15">
            <w:pPr>
              <w:pStyle w:val="TableHeaderCenter"/>
              <w:jc w:val="left"/>
              <w:rPr>
                <w:rFonts w:asciiTheme="minorHAnsi" w:hAnsiTheme="minorHAnsi" w:cstheme="minorHAnsi"/>
                <w:b w:val="0"/>
                <w:bCs/>
                <w:color w:val="auto"/>
              </w:rPr>
            </w:pPr>
            <w:r w:rsidRPr="00E83413">
              <w:rPr>
                <w:rFonts w:asciiTheme="minorHAnsi" w:hAnsiTheme="minorHAnsi" w:cstheme="minorHAnsi"/>
                <w:b w:val="0"/>
                <w:bCs/>
                <w:color w:val="auto"/>
              </w:rPr>
              <w:t>The survey is designed to understand what types of sexual behaviors youth are</w:t>
            </w:r>
            <w:r w:rsidRPr="00E83413" w:rsidR="00D97A97">
              <w:rPr>
                <w:rFonts w:asciiTheme="minorHAnsi" w:hAnsiTheme="minorHAnsi" w:cstheme="minorHAnsi"/>
                <w:b w:val="0"/>
                <w:bCs/>
                <w:color w:val="auto"/>
              </w:rPr>
              <w:t xml:space="preserve"> </w:t>
            </w:r>
            <w:r w:rsidRPr="00E83413">
              <w:rPr>
                <w:rFonts w:asciiTheme="minorHAnsi" w:hAnsiTheme="minorHAnsi" w:cstheme="minorHAnsi"/>
                <w:b w:val="0"/>
                <w:bCs/>
                <w:color w:val="auto"/>
              </w:rPr>
              <w:t xml:space="preserve">engaging </w:t>
            </w:r>
            <w:r w:rsidRPr="00E83413" w:rsidR="00A74D6C">
              <w:rPr>
                <w:rFonts w:asciiTheme="minorHAnsi" w:hAnsiTheme="minorHAnsi" w:cstheme="minorHAnsi"/>
                <w:b w:val="0"/>
                <w:bCs/>
                <w:color w:val="auto"/>
              </w:rPr>
              <w:t>in</w:t>
            </w:r>
            <w:r w:rsidRPr="00E83413" w:rsidR="00F93289">
              <w:rPr>
                <w:rFonts w:asciiTheme="minorHAnsi" w:hAnsiTheme="minorHAnsi" w:cstheme="minorHAnsi"/>
                <w:b w:val="0"/>
                <w:bCs/>
                <w:color w:val="auto"/>
              </w:rPr>
              <w:t>,</w:t>
            </w:r>
            <w:r w:rsidRPr="00E83413" w:rsidR="00A74D6C">
              <w:rPr>
                <w:rFonts w:asciiTheme="minorHAnsi" w:hAnsiTheme="minorHAnsi" w:cstheme="minorHAnsi"/>
                <w:b w:val="0"/>
                <w:bCs/>
                <w:color w:val="auto"/>
              </w:rPr>
              <w:t xml:space="preserve"> </w:t>
            </w:r>
            <w:r w:rsidRPr="00E83413" w:rsidR="00A52FB3">
              <w:rPr>
                <w:rFonts w:asciiTheme="minorHAnsi" w:hAnsiTheme="minorHAnsi" w:cstheme="minorHAnsi"/>
                <w:b w:val="0"/>
                <w:bCs/>
                <w:color w:val="auto"/>
              </w:rPr>
              <w:t>and have been</w:t>
            </w:r>
            <w:r w:rsidRPr="00E83413" w:rsidR="00F93289">
              <w:rPr>
                <w:rFonts w:asciiTheme="minorHAnsi" w:hAnsiTheme="minorHAnsi" w:cstheme="minorHAnsi"/>
                <w:b w:val="0"/>
                <w:bCs/>
                <w:color w:val="auto"/>
              </w:rPr>
              <w:t>,</w:t>
            </w:r>
            <w:r w:rsidRPr="00E83413" w:rsidR="00A52FB3">
              <w:rPr>
                <w:rFonts w:asciiTheme="minorHAnsi" w:hAnsiTheme="minorHAnsi" w:cstheme="minorHAnsi"/>
                <w:b w:val="0"/>
                <w:bCs/>
                <w:color w:val="auto"/>
              </w:rPr>
              <w:t xml:space="preserve"> </w:t>
            </w:r>
            <w:r w:rsidRPr="00E83413">
              <w:rPr>
                <w:rFonts w:asciiTheme="minorHAnsi" w:hAnsiTheme="minorHAnsi" w:cstheme="minorHAnsi"/>
                <w:b w:val="0"/>
                <w:bCs/>
                <w:color w:val="auto"/>
              </w:rPr>
              <w:t>throughout the pandemic. It is important that ACF hear</w:t>
            </w:r>
            <w:r w:rsidRPr="00E83413" w:rsidR="00C62CD4">
              <w:rPr>
                <w:rFonts w:asciiTheme="minorHAnsi" w:hAnsiTheme="minorHAnsi" w:cstheme="minorHAnsi"/>
                <w:b w:val="0"/>
                <w:bCs/>
                <w:color w:val="auto"/>
              </w:rPr>
              <w:t>s</w:t>
            </w:r>
            <w:r w:rsidRPr="00E83413">
              <w:rPr>
                <w:rFonts w:asciiTheme="minorHAnsi" w:hAnsiTheme="minorHAnsi" w:cstheme="minorHAnsi"/>
                <w:b w:val="0"/>
                <w:bCs/>
                <w:color w:val="auto"/>
              </w:rPr>
              <w:t xml:space="preserve"> from youth to learn about </w:t>
            </w:r>
            <w:r w:rsidRPr="00E83413" w:rsidR="00A52FB3">
              <w:rPr>
                <w:rFonts w:asciiTheme="minorHAnsi" w:hAnsiTheme="minorHAnsi" w:cstheme="minorHAnsi"/>
                <w:b w:val="0"/>
                <w:bCs/>
                <w:color w:val="auto"/>
              </w:rPr>
              <w:t>what they are doing from a sexual behavior standpoint to inform how to better</w:t>
            </w:r>
            <w:r w:rsidRPr="00E83413">
              <w:rPr>
                <w:rFonts w:asciiTheme="minorHAnsi" w:hAnsiTheme="minorHAnsi" w:cstheme="minorHAnsi"/>
                <w:b w:val="0"/>
                <w:bCs/>
                <w:color w:val="auto"/>
              </w:rPr>
              <w:t xml:space="preserve"> serve and target youth in adolescent pregnancy prevention programming (both SRAE and PREP).</w:t>
            </w:r>
          </w:p>
        </w:tc>
      </w:tr>
    </w:tbl>
    <w:p w:rsidRPr="00E83413" w:rsidR="00D32E6D" w:rsidP="00D32E6D" w:rsidRDefault="00D32E6D" w14:paraId="65524C3D" w14:textId="529DE00D">
      <w:pPr>
        <w:spacing w:after="0" w:line="240" w:lineRule="auto"/>
        <w:rPr>
          <w:rFonts w:cstheme="minorHAnsi"/>
        </w:rPr>
      </w:pPr>
    </w:p>
    <w:p w:rsidRPr="00E83413" w:rsidR="00230CAA" w:rsidP="001F0446" w:rsidRDefault="00B23277" w14:paraId="1316A99D" w14:textId="4C48D95C">
      <w:pPr>
        <w:spacing w:after="120" w:line="240" w:lineRule="auto"/>
        <w:rPr>
          <w:b/>
        </w:rPr>
      </w:pPr>
      <w:r w:rsidRPr="00E83413">
        <w:rPr>
          <w:b/>
        </w:rPr>
        <w:t>A12</w:t>
      </w:r>
      <w:r w:rsidRPr="00E83413">
        <w:t>.</w:t>
      </w:r>
      <w:r w:rsidRPr="00E83413">
        <w:tab/>
      </w:r>
      <w:r w:rsidRPr="00E83413" w:rsidR="005D4A40">
        <w:rPr>
          <w:b/>
        </w:rPr>
        <w:t>Burden</w:t>
      </w:r>
    </w:p>
    <w:p w:rsidRPr="00E83413" w:rsidR="00230CAA" w:rsidP="000623C4" w:rsidRDefault="00230CAA" w14:paraId="5972B4E8" w14:textId="19743EC4">
      <w:pPr>
        <w:spacing w:after="60" w:line="240" w:lineRule="auto"/>
        <w:rPr>
          <w:i/>
        </w:rPr>
      </w:pPr>
      <w:r w:rsidRPr="00E83413">
        <w:rPr>
          <w:i/>
        </w:rPr>
        <w:t>Explanation of Burden Estimates</w:t>
      </w:r>
    </w:p>
    <w:p w:rsidRPr="00E83413" w:rsidR="001C021E" w:rsidP="001D1548" w:rsidRDefault="001C021E" w14:paraId="3223FBDA" w14:textId="4F532C94">
      <w:pPr>
        <w:spacing w:after="0"/>
        <w:rPr>
          <w:rFonts w:ascii="Calibri" w:hAnsi="Calibri" w:eastAsia="Calibri" w:cs="Times New Roman"/>
          <w:color w:val="000000"/>
        </w:rPr>
      </w:pPr>
      <w:r w:rsidRPr="00E83413">
        <w:rPr>
          <w:rFonts w:ascii="Calibri" w:hAnsi="Calibri" w:eastAsia="Calibri" w:cs="Times New Roman"/>
          <w:color w:val="000000"/>
        </w:rPr>
        <w:t>Table A12 summarize</w:t>
      </w:r>
      <w:r w:rsidRPr="00E83413" w:rsidR="00F623BA">
        <w:rPr>
          <w:rFonts w:ascii="Calibri" w:hAnsi="Calibri" w:eastAsia="Calibri" w:cs="Times New Roman"/>
          <w:color w:val="000000"/>
        </w:rPr>
        <w:t>s</w:t>
      </w:r>
      <w:r w:rsidRPr="00E83413">
        <w:rPr>
          <w:rFonts w:ascii="Calibri" w:hAnsi="Calibri" w:eastAsia="Calibri" w:cs="Times New Roman"/>
          <w:color w:val="000000"/>
        </w:rPr>
        <w:t xml:space="preserve"> the estimated reporting burden and costs for </w:t>
      </w:r>
      <w:r w:rsidRPr="00E83413" w:rsidR="003F182D">
        <w:rPr>
          <w:rFonts w:ascii="Calibri" w:hAnsi="Calibri" w:eastAsia="Calibri" w:cs="Times New Roman"/>
          <w:color w:val="000000"/>
        </w:rPr>
        <w:t>the</w:t>
      </w:r>
      <w:r w:rsidRPr="00E83413">
        <w:rPr>
          <w:rFonts w:ascii="Calibri" w:hAnsi="Calibri" w:eastAsia="Calibri" w:cs="Times New Roman"/>
          <w:color w:val="000000"/>
        </w:rPr>
        <w:t xml:space="preserve"> </w:t>
      </w:r>
      <w:r w:rsidRPr="00E83413" w:rsidR="003F182D">
        <w:rPr>
          <w:rFonts w:ascii="Calibri" w:hAnsi="Calibri" w:eastAsia="Calibri" w:cs="Times New Roman"/>
          <w:color w:val="000000"/>
        </w:rPr>
        <w:t xml:space="preserve">survey </w:t>
      </w:r>
      <w:r w:rsidRPr="00E83413">
        <w:rPr>
          <w:rFonts w:ascii="Calibri" w:hAnsi="Calibri" w:eastAsia="Calibri" w:cs="Times New Roman"/>
          <w:color w:val="000000"/>
        </w:rPr>
        <w:t xml:space="preserve">instrument. </w:t>
      </w:r>
    </w:p>
    <w:p w:rsidRPr="00E83413" w:rsidR="00671142" w:rsidP="001D1548" w:rsidRDefault="00671142" w14:paraId="207CFE5B" w14:textId="31D471F8">
      <w:pPr>
        <w:spacing w:after="0"/>
        <w:rPr>
          <w:rFonts w:ascii="Calibri" w:hAnsi="Calibri" w:eastAsia="Calibri" w:cs="Times New Roman"/>
          <w:color w:val="000000"/>
        </w:rPr>
      </w:pPr>
      <w:r w:rsidRPr="00E83413">
        <w:t>We estimate that 500 high school</w:t>
      </w:r>
      <w:r w:rsidRPr="00E83413" w:rsidR="002835F0">
        <w:t>–</w:t>
      </w:r>
      <w:r w:rsidRPr="00E83413">
        <w:t xml:space="preserve">age youth will complete the survey instrument. We estimate that it will take approximately </w:t>
      </w:r>
      <w:r w:rsidR="005A62DC">
        <w:t>2</w:t>
      </w:r>
      <w:r w:rsidRPr="00E83413">
        <w:t>5 minutes to complete the survey, for an estimated annual burden of</w:t>
      </w:r>
      <w:r w:rsidR="005A62DC">
        <w:t xml:space="preserve"> 210</w:t>
      </w:r>
      <w:r w:rsidRPr="00E83413">
        <w:t xml:space="preserve"> hours.</w:t>
      </w:r>
    </w:p>
    <w:p w:rsidRPr="00E83413" w:rsidR="001F0446" w:rsidP="00230CAA" w:rsidRDefault="001F0446" w14:paraId="24B69DBB" w14:textId="77777777">
      <w:pPr>
        <w:spacing w:after="0" w:line="240" w:lineRule="auto"/>
        <w:rPr>
          <w:i/>
        </w:rPr>
      </w:pPr>
    </w:p>
    <w:p w:rsidRPr="00E83413" w:rsidR="001F0446" w:rsidP="001F0446" w:rsidRDefault="001F0446" w14:paraId="2DFBEA9F" w14:textId="1B1CAEB9">
      <w:pPr>
        <w:spacing w:after="120" w:line="240" w:lineRule="auto"/>
        <w:rPr>
          <w:i/>
        </w:rPr>
      </w:pPr>
      <w:r w:rsidRPr="00E83413">
        <w:rPr>
          <w:i/>
        </w:rPr>
        <w:t>Estimated Annualized Cost to Respondents</w:t>
      </w:r>
    </w:p>
    <w:p w:rsidRPr="00E83413" w:rsidR="00690F88" w:rsidP="001D1548" w:rsidRDefault="00E56389" w14:paraId="3C49F978" w14:textId="4BC96D40">
      <w:pPr>
        <w:spacing w:after="60"/>
        <w:rPr>
          <w:iCs/>
        </w:rPr>
      </w:pPr>
      <w:r w:rsidRPr="00E83413">
        <w:rPr>
          <w:iCs/>
        </w:rPr>
        <w:t>We estimate the average hourly wage for high school</w:t>
      </w:r>
      <w:r w:rsidRPr="00E83413" w:rsidR="002835F0">
        <w:rPr>
          <w:iCs/>
        </w:rPr>
        <w:t>–</w:t>
      </w:r>
      <w:r w:rsidRPr="00E83413">
        <w:rPr>
          <w:iCs/>
        </w:rPr>
        <w:t xml:space="preserve">age youth </w:t>
      </w:r>
      <w:r w:rsidRPr="00E83413" w:rsidR="00FC758D">
        <w:rPr>
          <w:iCs/>
        </w:rPr>
        <w:t>at</w:t>
      </w:r>
      <w:r w:rsidRPr="00E83413">
        <w:rPr>
          <w:iCs/>
        </w:rPr>
        <w:t xml:space="preserve"> $12.58.</w:t>
      </w:r>
      <w:r w:rsidRPr="00E83413" w:rsidR="00690F88">
        <w:rPr>
          <w:iCs/>
        </w:rPr>
        <w:t xml:space="preserve"> The hourly wage is based on current published estimates of the usual weekly earnings of wage and salary workers (</w:t>
      </w:r>
      <w:r w:rsidRPr="00E83413" w:rsidR="00335AC1">
        <w:rPr>
          <w:iCs/>
        </w:rPr>
        <w:t>f</w:t>
      </w:r>
      <w:r w:rsidRPr="00E83413">
        <w:rPr>
          <w:iCs/>
        </w:rPr>
        <w:t>ourth</w:t>
      </w:r>
      <w:r w:rsidRPr="00E83413" w:rsidR="00690F88">
        <w:rPr>
          <w:iCs/>
        </w:rPr>
        <w:t xml:space="preserve"> </w:t>
      </w:r>
      <w:r w:rsidRPr="00E83413" w:rsidR="00335AC1">
        <w:rPr>
          <w:iCs/>
        </w:rPr>
        <w:t>q</w:t>
      </w:r>
      <w:r w:rsidRPr="00E83413" w:rsidR="00690F88">
        <w:rPr>
          <w:iCs/>
        </w:rPr>
        <w:t>uarter 20</w:t>
      </w:r>
      <w:r w:rsidRPr="00E83413">
        <w:rPr>
          <w:iCs/>
        </w:rPr>
        <w:t>20</w:t>
      </w:r>
      <w:r w:rsidRPr="00E83413" w:rsidR="00690F88">
        <w:rPr>
          <w:iCs/>
        </w:rPr>
        <w:t xml:space="preserve">) reported by the Bureau of Labor Statistics. The estimated hourly wage rates are based on median weekly earnings for </w:t>
      </w:r>
      <w:r w:rsidRPr="00E83413">
        <w:rPr>
          <w:iCs/>
        </w:rPr>
        <w:t>youth</w:t>
      </w:r>
      <w:r w:rsidRPr="00E83413" w:rsidR="00690F88">
        <w:rPr>
          <w:iCs/>
        </w:rPr>
        <w:t xml:space="preserve"> 16</w:t>
      </w:r>
      <w:r w:rsidRPr="00E83413" w:rsidR="007E0105">
        <w:rPr>
          <w:iCs/>
        </w:rPr>
        <w:t xml:space="preserve"> to </w:t>
      </w:r>
      <w:r w:rsidRPr="00E83413">
        <w:rPr>
          <w:iCs/>
        </w:rPr>
        <w:t>19</w:t>
      </w:r>
      <w:r w:rsidRPr="00E83413" w:rsidR="00690F88">
        <w:rPr>
          <w:iCs/>
        </w:rPr>
        <w:t xml:space="preserve"> years</w:t>
      </w:r>
      <w:r w:rsidRPr="00E83413">
        <w:rPr>
          <w:iCs/>
        </w:rPr>
        <w:t>, $503</w:t>
      </w:r>
      <w:r w:rsidRPr="00E83413">
        <w:t xml:space="preserve"> and the assumption of a 40-hour work week</w:t>
      </w:r>
      <w:r w:rsidRPr="00E83413" w:rsidR="00984036">
        <w:rPr>
          <w:rStyle w:val="FootnoteReference"/>
        </w:rPr>
        <w:footnoteReference w:id="2"/>
      </w:r>
      <w:r w:rsidRPr="00E83413" w:rsidR="00690F88">
        <w:rPr>
          <w:iCs/>
        </w:rPr>
        <w:t>. The results appear in Table A12</w:t>
      </w:r>
      <w:r w:rsidRPr="00E83413" w:rsidR="00BA22E2">
        <w:rPr>
          <w:iCs/>
        </w:rPr>
        <w:t>.</w:t>
      </w:r>
      <w:r w:rsidRPr="00E83413" w:rsidR="00690F88">
        <w:rPr>
          <w:iCs/>
        </w:rPr>
        <w:t xml:space="preserve"> </w:t>
      </w:r>
    </w:p>
    <w:p w:rsidRPr="00E83413" w:rsidR="003F182D" w:rsidP="000605B7" w:rsidRDefault="003F182D" w14:paraId="19886217" w14:textId="2868C3C2">
      <w:pPr>
        <w:pStyle w:val="TableTitle"/>
      </w:pPr>
      <w:r w:rsidRPr="00E83413">
        <w:t xml:space="preserve">Table A12. Total </w:t>
      </w:r>
      <w:r w:rsidRPr="00E83413" w:rsidR="007E0105">
        <w:t>b</w:t>
      </w:r>
      <w:r w:rsidRPr="00E83413">
        <w:t xml:space="preserve">urden </w:t>
      </w:r>
      <w:r w:rsidRPr="00E83413" w:rsidR="007E0105">
        <w:t>r</w:t>
      </w:r>
      <w:r w:rsidRPr="00E83413">
        <w:t xml:space="preserve">equested </w:t>
      </w:r>
      <w:r w:rsidRPr="00E83413" w:rsidR="007E0105">
        <w:t>u</w:t>
      </w:r>
      <w:r w:rsidRPr="00E83413">
        <w:t xml:space="preserve">nder this </w:t>
      </w:r>
      <w:r w:rsidRPr="00E83413" w:rsidR="007E0105">
        <w:t>i</w:t>
      </w:r>
      <w:r w:rsidRPr="00E83413">
        <w:t xml:space="preserve">nformation </w:t>
      </w:r>
      <w:r w:rsidRPr="00E83413" w:rsidR="007E0105">
        <w:t>c</w:t>
      </w:r>
      <w:r w:rsidRPr="00E83413">
        <w:t>ollection</w:t>
      </w:r>
    </w:p>
    <w:tbl>
      <w:tblPr>
        <w:tblStyle w:val="TableGrid"/>
        <w:tblW w:w="9810" w:type="dxa"/>
        <w:tblInd w:w="-5" w:type="dxa"/>
        <w:tblLayout w:type="fixed"/>
        <w:tblLook w:val="01E0" w:firstRow="1" w:lastRow="1" w:firstColumn="1" w:lastColumn="1" w:noHBand="0" w:noVBand="0"/>
      </w:tblPr>
      <w:tblGrid>
        <w:gridCol w:w="1890"/>
        <w:gridCol w:w="1440"/>
        <w:gridCol w:w="1440"/>
        <w:gridCol w:w="1260"/>
        <w:gridCol w:w="1440"/>
        <w:gridCol w:w="990"/>
        <w:gridCol w:w="1350"/>
      </w:tblGrid>
      <w:tr w:rsidRPr="00E83413" w:rsidR="000605B7" w:rsidTr="000623C4" w14:paraId="233009F6" w14:textId="77777777">
        <w:trPr>
          <w:trHeight w:val="1817"/>
        </w:trPr>
        <w:tc>
          <w:tcPr>
            <w:tcW w:w="189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Pr="00E83413" w:rsidR="003F182D" w:rsidP="000605B7" w:rsidRDefault="003F182D" w14:paraId="2027DD48" w14:textId="77777777">
            <w:pPr>
              <w:pStyle w:val="TableHeaderCenter"/>
              <w:rPr>
                <w:color w:val="auto"/>
              </w:rPr>
            </w:pPr>
            <w:r w:rsidRPr="00E83413">
              <w:rPr>
                <w:color w:val="auto"/>
              </w:rPr>
              <w:t xml:space="preserve">Instrument </w:t>
            </w:r>
          </w:p>
        </w:tc>
        <w:tc>
          <w:tcPr>
            <w:tcW w:w="144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Pr="00E83413" w:rsidR="003F182D" w:rsidP="000605B7" w:rsidRDefault="003F182D" w14:paraId="3460CD3A" w14:textId="3FD08067">
            <w:pPr>
              <w:pStyle w:val="TableHeaderCenter"/>
              <w:rPr>
                <w:color w:val="auto"/>
              </w:rPr>
            </w:pPr>
            <w:r w:rsidRPr="00E83413">
              <w:rPr>
                <w:color w:val="auto"/>
              </w:rPr>
              <w:t>N</w:t>
            </w:r>
            <w:r w:rsidRPr="00E83413" w:rsidR="00B4646B">
              <w:rPr>
                <w:color w:val="auto"/>
              </w:rPr>
              <w:t>umber</w:t>
            </w:r>
            <w:r w:rsidRPr="00E83413">
              <w:rPr>
                <w:color w:val="auto"/>
              </w:rPr>
              <w:t xml:space="preserve"> of </w:t>
            </w:r>
            <w:r w:rsidRPr="00E83413" w:rsidR="00B4646B">
              <w:rPr>
                <w:color w:val="auto"/>
              </w:rPr>
              <w:t>r</w:t>
            </w:r>
            <w:r w:rsidRPr="00E83413">
              <w:rPr>
                <w:color w:val="auto"/>
              </w:rPr>
              <w:t>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Pr="00E83413" w:rsidR="003F182D" w:rsidP="000605B7" w:rsidRDefault="003F182D" w14:paraId="00ADFB26" w14:textId="3589F26B">
            <w:pPr>
              <w:pStyle w:val="TableHeaderCenter"/>
              <w:rPr>
                <w:color w:val="auto"/>
              </w:rPr>
            </w:pPr>
            <w:r w:rsidRPr="00E83413">
              <w:rPr>
                <w:color w:val="auto"/>
              </w:rPr>
              <w:t>N</w:t>
            </w:r>
            <w:r w:rsidRPr="00E83413" w:rsidR="007E0105">
              <w:rPr>
                <w:color w:val="auto"/>
              </w:rPr>
              <w:t xml:space="preserve">umber </w:t>
            </w:r>
            <w:r w:rsidRPr="00E83413">
              <w:rPr>
                <w:color w:val="auto"/>
              </w:rPr>
              <w:t xml:space="preserve">of </w:t>
            </w:r>
            <w:r w:rsidRPr="00E83413" w:rsidR="00B4646B">
              <w:rPr>
                <w:color w:val="auto"/>
              </w:rPr>
              <w:t>r</w:t>
            </w:r>
            <w:r w:rsidRPr="00E83413">
              <w:rPr>
                <w:color w:val="auto"/>
              </w:rPr>
              <w:t xml:space="preserve">esponses per </w:t>
            </w:r>
            <w:r w:rsidRPr="00E83413" w:rsidR="00B4646B">
              <w:rPr>
                <w:color w:val="auto"/>
              </w:rPr>
              <w:t>r</w:t>
            </w:r>
            <w:r w:rsidRPr="00E83413">
              <w:rPr>
                <w:color w:val="auto"/>
              </w:rPr>
              <w:t>espondent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Pr="00E83413" w:rsidR="003F182D" w:rsidP="000605B7" w:rsidRDefault="003F182D" w14:paraId="2D888273" w14:textId="369B2520">
            <w:pPr>
              <w:pStyle w:val="TableHeaderCenter"/>
              <w:rPr>
                <w:color w:val="auto"/>
              </w:rPr>
            </w:pPr>
            <w:r w:rsidRPr="00E83413">
              <w:rPr>
                <w:color w:val="auto"/>
              </w:rPr>
              <w:t>Av</w:t>
            </w:r>
            <w:r w:rsidRPr="00E83413" w:rsidR="007E0105">
              <w:rPr>
                <w:color w:val="auto"/>
              </w:rPr>
              <w:t>era</w:t>
            </w:r>
            <w:r w:rsidRPr="00E83413">
              <w:rPr>
                <w:color w:val="auto"/>
              </w:rPr>
              <w:t>g</w:t>
            </w:r>
            <w:r w:rsidRPr="00E83413" w:rsidR="007E0105">
              <w:rPr>
                <w:color w:val="auto"/>
              </w:rPr>
              <w:t>e</w:t>
            </w:r>
            <w:r w:rsidRPr="00E83413">
              <w:rPr>
                <w:color w:val="auto"/>
              </w:rPr>
              <w:t xml:space="preserve"> </w:t>
            </w:r>
            <w:r w:rsidRPr="00E83413" w:rsidR="007E0105">
              <w:rPr>
                <w:color w:val="auto"/>
              </w:rPr>
              <w:t>b</w:t>
            </w:r>
            <w:r w:rsidRPr="00E83413">
              <w:rPr>
                <w:color w:val="auto"/>
              </w:rPr>
              <w:t xml:space="preserve">urden per </w:t>
            </w:r>
            <w:r w:rsidRPr="00E83413" w:rsidR="007E0105">
              <w:rPr>
                <w:color w:val="auto"/>
              </w:rPr>
              <w:t>r</w:t>
            </w:r>
            <w:r w:rsidRPr="00E83413">
              <w:rPr>
                <w:color w:val="auto"/>
              </w:rPr>
              <w:t>esponse (in hours)</w:t>
            </w:r>
          </w:p>
        </w:tc>
        <w:tc>
          <w:tcPr>
            <w:tcW w:w="1440" w:type="dxa"/>
            <w:tcBorders>
              <w:top w:val="single" w:color="auto" w:sz="4" w:space="0"/>
              <w:left w:val="single" w:color="auto" w:sz="4" w:space="0"/>
              <w:bottom w:val="single" w:color="auto" w:sz="4" w:space="0"/>
              <w:right w:val="single" w:color="auto" w:sz="4" w:space="0"/>
            </w:tcBorders>
            <w:shd w:val="clear" w:color="auto" w:fill="244061" w:themeFill="accent1" w:themeFillShade="80"/>
          </w:tcPr>
          <w:p w:rsidRPr="00E83413" w:rsidR="003F182D" w:rsidP="000605B7" w:rsidRDefault="003F182D" w14:paraId="69013E9B" w14:textId="11666497">
            <w:pPr>
              <w:pStyle w:val="TableHeaderCenter"/>
              <w:rPr>
                <w:color w:val="auto"/>
              </w:rPr>
            </w:pPr>
            <w:r w:rsidRPr="00E83413">
              <w:rPr>
                <w:color w:val="auto"/>
              </w:rPr>
              <w:t>Total/</w:t>
            </w:r>
            <w:r w:rsidRPr="00E83413" w:rsidR="007E0105">
              <w:rPr>
                <w:color w:val="auto"/>
              </w:rPr>
              <w:t>a</w:t>
            </w:r>
            <w:r w:rsidRPr="00E83413">
              <w:rPr>
                <w:color w:val="auto"/>
              </w:rPr>
              <w:t xml:space="preserve">nnual </w:t>
            </w:r>
            <w:r w:rsidRPr="00E83413" w:rsidR="007E0105">
              <w:rPr>
                <w:color w:val="auto"/>
              </w:rPr>
              <w:t>b</w:t>
            </w:r>
            <w:r w:rsidRPr="00E83413">
              <w:rPr>
                <w:color w:val="auto"/>
              </w:rPr>
              <w:t>urden (in hours)</w:t>
            </w:r>
          </w:p>
        </w:tc>
        <w:tc>
          <w:tcPr>
            <w:tcW w:w="99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Pr="00E83413" w:rsidR="003F182D" w:rsidP="000605B7" w:rsidRDefault="003F182D" w14:paraId="6FCBBAED" w14:textId="1ED4D357">
            <w:pPr>
              <w:pStyle w:val="TableHeaderCenter"/>
              <w:rPr>
                <w:color w:val="auto"/>
              </w:rPr>
            </w:pPr>
            <w:r w:rsidRPr="00E83413">
              <w:rPr>
                <w:color w:val="auto"/>
              </w:rPr>
              <w:t xml:space="preserve">Average </w:t>
            </w:r>
            <w:r w:rsidRPr="00E83413" w:rsidR="007E0105">
              <w:rPr>
                <w:color w:val="auto"/>
              </w:rPr>
              <w:t>h</w:t>
            </w:r>
            <w:r w:rsidRPr="00E83413">
              <w:rPr>
                <w:color w:val="auto"/>
              </w:rPr>
              <w:t xml:space="preserve">ourly </w:t>
            </w:r>
            <w:r w:rsidRPr="00E83413" w:rsidR="007E0105">
              <w:rPr>
                <w:color w:val="auto"/>
              </w:rPr>
              <w:t>w</w:t>
            </w:r>
            <w:r w:rsidRPr="00E83413">
              <w:rPr>
                <w:color w:val="auto"/>
              </w:rPr>
              <w:t xml:space="preserve">age </w:t>
            </w:r>
            <w:r w:rsidRPr="00E83413" w:rsidR="007E0105">
              <w:rPr>
                <w:color w:val="auto"/>
              </w:rPr>
              <w:t>r</w:t>
            </w:r>
            <w:r w:rsidRPr="00E83413">
              <w:rPr>
                <w:color w:val="auto"/>
              </w:rPr>
              <w:t>ate</w:t>
            </w:r>
          </w:p>
        </w:tc>
        <w:tc>
          <w:tcPr>
            <w:tcW w:w="135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Pr="00E83413" w:rsidR="003F182D" w:rsidP="000605B7" w:rsidRDefault="003F182D" w14:paraId="75CF0CEE" w14:textId="5D2282EA">
            <w:pPr>
              <w:pStyle w:val="TableHeaderCenter"/>
              <w:rPr>
                <w:color w:val="auto"/>
              </w:rPr>
            </w:pPr>
            <w:r w:rsidRPr="00E83413">
              <w:rPr>
                <w:color w:val="auto"/>
              </w:rPr>
              <w:t xml:space="preserve">Total </w:t>
            </w:r>
            <w:r w:rsidRPr="00E83413" w:rsidR="007E0105">
              <w:rPr>
                <w:color w:val="auto"/>
              </w:rPr>
              <w:t>a</w:t>
            </w:r>
            <w:r w:rsidRPr="00E83413">
              <w:rPr>
                <w:color w:val="auto"/>
              </w:rPr>
              <w:t xml:space="preserve">nnual </w:t>
            </w:r>
            <w:r w:rsidRPr="00E83413" w:rsidR="007E0105">
              <w:rPr>
                <w:color w:val="auto"/>
              </w:rPr>
              <w:t>r</w:t>
            </w:r>
            <w:r w:rsidRPr="00E83413">
              <w:rPr>
                <w:color w:val="auto"/>
              </w:rPr>
              <w:t xml:space="preserve">espondent </w:t>
            </w:r>
            <w:r w:rsidRPr="00E83413" w:rsidR="007E0105">
              <w:rPr>
                <w:color w:val="auto"/>
              </w:rPr>
              <w:t>c</w:t>
            </w:r>
            <w:r w:rsidRPr="00E83413">
              <w:rPr>
                <w:color w:val="auto"/>
              </w:rPr>
              <w:t>ost</w:t>
            </w:r>
          </w:p>
        </w:tc>
      </w:tr>
      <w:tr w:rsidRPr="00E83413" w:rsidR="003F182D" w:rsidTr="000623C4" w14:paraId="3BA1AE6B" w14:textId="77777777">
        <w:tc>
          <w:tcPr>
            <w:tcW w:w="1890" w:type="dxa"/>
            <w:tcBorders>
              <w:top w:val="single" w:color="auto" w:sz="4" w:space="0"/>
              <w:left w:val="single" w:color="auto" w:sz="4" w:space="0"/>
              <w:bottom w:val="single" w:color="auto" w:sz="4" w:space="0"/>
              <w:right w:val="single" w:color="auto" w:sz="4" w:space="0"/>
            </w:tcBorders>
          </w:tcPr>
          <w:p w:rsidRPr="00E83413" w:rsidR="003F182D" w:rsidP="00C24327" w:rsidRDefault="003F182D" w14:paraId="04FAF3D1" w14:textId="7979D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E83413">
              <w:rPr>
                <w:rFonts w:cstheme="minorHAnsi"/>
                <w:bCs/>
              </w:rPr>
              <w:t xml:space="preserve">Instrument 1. </w:t>
            </w:r>
            <w:r w:rsidRPr="00E83413" w:rsidR="00613C40">
              <w:rPr>
                <w:rFonts w:cstheme="minorHAnsi"/>
                <w:bCs/>
              </w:rPr>
              <w:t>Youth</w:t>
            </w:r>
            <w:r w:rsidRPr="00E83413" w:rsidR="006275E2">
              <w:rPr>
                <w:rFonts w:cstheme="minorHAnsi"/>
                <w:bCs/>
              </w:rPr>
              <w:t xml:space="preserve"> Survey</w:t>
            </w:r>
            <w:r w:rsidRPr="00E83413" w:rsidR="00613C40">
              <w:rPr>
                <w:rFonts w:cstheme="minorHAnsi"/>
                <w:bCs/>
              </w:rPr>
              <w:t xml:space="preserve"> of Relationships, Education, and Behavior</w:t>
            </w:r>
          </w:p>
        </w:tc>
        <w:tc>
          <w:tcPr>
            <w:tcW w:w="1440" w:type="dxa"/>
            <w:tcBorders>
              <w:top w:val="single" w:color="auto" w:sz="4" w:space="0"/>
              <w:left w:val="single" w:color="auto" w:sz="4" w:space="0"/>
              <w:bottom w:val="single" w:color="auto" w:sz="4" w:space="0"/>
              <w:right w:val="single" w:color="auto" w:sz="4" w:space="0"/>
            </w:tcBorders>
            <w:vAlign w:val="center"/>
          </w:tcPr>
          <w:p w:rsidRPr="00E83413" w:rsidR="003F182D" w:rsidP="00C24327" w:rsidRDefault="006275E2" w14:paraId="2A685D69" w14:textId="449E3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E83413">
              <w:rPr>
                <w:rFonts w:cstheme="minorHAnsi"/>
                <w:bCs/>
              </w:rPr>
              <w:t>500</w:t>
            </w:r>
          </w:p>
        </w:tc>
        <w:tc>
          <w:tcPr>
            <w:tcW w:w="1440" w:type="dxa"/>
            <w:tcBorders>
              <w:top w:val="single" w:color="auto" w:sz="4" w:space="0"/>
              <w:left w:val="single" w:color="auto" w:sz="4" w:space="0"/>
              <w:bottom w:val="single" w:color="auto" w:sz="4" w:space="0"/>
              <w:right w:val="single" w:color="auto" w:sz="4" w:space="0"/>
            </w:tcBorders>
            <w:vAlign w:val="center"/>
          </w:tcPr>
          <w:p w:rsidRPr="00E83413" w:rsidR="003F182D" w:rsidP="00C24327" w:rsidRDefault="003F182D" w14:paraId="00D45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E83413">
              <w:rPr>
                <w:rFonts w:cstheme="minorHAnsi"/>
                <w:bCs/>
              </w:rPr>
              <w:t>1</w:t>
            </w:r>
          </w:p>
        </w:tc>
        <w:tc>
          <w:tcPr>
            <w:tcW w:w="1260" w:type="dxa"/>
            <w:tcBorders>
              <w:top w:val="single" w:color="auto" w:sz="4" w:space="0"/>
              <w:left w:val="single" w:color="auto" w:sz="4" w:space="0"/>
              <w:bottom w:val="single" w:color="auto" w:sz="4" w:space="0"/>
              <w:right w:val="single" w:color="auto" w:sz="4" w:space="0"/>
            </w:tcBorders>
            <w:vAlign w:val="center"/>
          </w:tcPr>
          <w:p w:rsidRPr="00E83413" w:rsidR="003F182D" w:rsidP="00C24327" w:rsidRDefault="003F182D" w14:paraId="6E6979EC" w14:textId="6FD17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E83413">
              <w:rPr>
                <w:rFonts w:cstheme="minorHAnsi"/>
                <w:bCs/>
              </w:rPr>
              <w:t>0.</w:t>
            </w:r>
            <w:r w:rsidR="001D1548">
              <w:rPr>
                <w:rFonts w:cstheme="minorHAnsi"/>
                <w:bCs/>
              </w:rPr>
              <w:t>42</w:t>
            </w:r>
          </w:p>
        </w:tc>
        <w:tc>
          <w:tcPr>
            <w:tcW w:w="1440" w:type="dxa"/>
            <w:tcBorders>
              <w:top w:val="single" w:color="auto" w:sz="4" w:space="0"/>
              <w:left w:val="single" w:color="auto" w:sz="4" w:space="0"/>
              <w:bottom w:val="single" w:color="auto" w:sz="4" w:space="0"/>
              <w:right w:val="single" w:color="auto" w:sz="4" w:space="0"/>
            </w:tcBorders>
            <w:vAlign w:val="center"/>
          </w:tcPr>
          <w:p w:rsidRPr="00E83413" w:rsidR="003F182D" w:rsidP="006275E2" w:rsidRDefault="005A62DC" w14:paraId="5F774FA4" w14:textId="4CAF7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210</w:t>
            </w:r>
          </w:p>
        </w:tc>
        <w:tc>
          <w:tcPr>
            <w:tcW w:w="990" w:type="dxa"/>
            <w:tcBorders>
              <w:top w:val="single" w:color="auto" w:sz="4" w:space="0"/>
              <w:left w:val="single" w:color="auto" w:sz="4" w:space="0"/>
              <w:bottom w:val="single" w:color="auto" w:sz="4" w:space="0"/>
              <w:right w:val="single" w:color="auto" w:sz="4" w:space="0"/>
            </w:tcBorders>
            <w:vAlign w:val="center"/>
          </w:tcPr>
          <w:p w:rsidRPr="00E83413" w:rsidR="003F182D" w:rsidP="00C24327" w:rsidRDefault="003F182D" w14:paraId="7F372429" w14:textId="0F4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E83413">
              <w:rPr>
                <w:rFonts w:asciiTheme="minorHAnsi" w:hAnsiTheme="minorHAnsi" w:cstheme="minorHAnsi"/>
                <w:bCs/>
              </w:rPr>
              <w:t>$</w:t>
            </w:r>
            <w:r w:rsidRPr="00E83413" w:rsidR="00702029">
              <w:rPr>
                <w:rFonts w:asciiTheme="minorHAnsi" w:hAnsiTheme="minorHAnsi" w:cstheme="minorHAnsi"/>
                <w:bCs/>
              </w:rPr>
              <w:t>12.58</w:t>
            </w:r>
          </w:p>
        </w:tc>
        <w:tc>
          <w:tcPr>
            <w:tcW w:w="1350" w:type="dxa"/>
            <w:tcBorders>
              <w:top w:val="single" w:color="auto" w:sz="4" w:space="0"/>
              <w:left w:val="single" w:color="auto" w:sz="4" w:space="0"/>
              <w:bottom w:val="single" w:color="auto" w:sz="4" w:space="0"/>
              <w:right w:val="single" w:color="auto" w:sz="4" w:space="0"/>
            </w:tcBorders>
            <w:vAlign w:val="center"/>
          </w:tcPr>
          <w:p w:rsidRPr="00E83413" w:rsidR="003F182D" w:rsidP="00C24327" w:rsidRDefault="003F182D" w14:paraId="01733415" w14:textId="1CEB4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E83413">
              <w:rPr>
                <w:rFonts w:cstheme="minorHAnsi"/>
                <w:bCs/>
              </w:rPr>
              <w:t>$</w:t>
            </w:r>
            <w:r w:rsidR="005A62DC">
              <w:rPr>
                <w:rFonts w:cstheme="minorHAnsi"/>
                <w:bCs/>
              </w:rPr>
              <w:t>2</w:t>
            </w:r>
            <w:r w:rsidRPr="00E83413" w:rsidR="00702029">
              <w:rPr>
                <w:rFonts w:cstheme="minorHAnsi"/>
                <w:bCs/>
              </w:rPr>
              <w:t>,</w:t>
            </w:r>
            <w:r w:rsidR="005A62DC">
              <w:rPr>
                <w:rFonts w:cstheme="minorHAnsi"/>
                <w:bCs/>
              </w:rPr>
              <w:t>641</w:t>
            </w:r>
            <w:r w:rsidRPr="00E83413" w:rsidR="00702029">
              <w:rPr>
                <w:rFonts w:cstheme="minorHAnsi"/>
                <w:bCs/>
              </w:rPr>
              <w:t>.</w:t>
            </w:r>
            <w:r w:rsidR="005A62DC">
              <w:rPr>
                <w:rFonts w:cstheme="minorHAnsi"/>
                <w:bCs/>
              </w:rPr>
              <w:t>8</w:t>
            </w:r>
            <w:r w:rsidRPr="00E83413" w:rsidR="00702029">
              <w:rPr>
                <w:rFonts w:cstheme="minorHAnsi"/>
                <w:bCs/>
              </w:rPr>
              <w:t>0</w:t>
            </w:r>
          </w:p>
        </w:tc>
      </w:tr>
      <w:tr w:rsidRPr="00E83413" w:rsidR="003F182D" w:rsidTr="000623C4" w14:paraId="6B9F1AD5" w14:textId="77777777">
        <w:tc>
          <w:tcPr>
            <w:tcW w:w="6030" w:type="dxa"/>
            <w:gridSpan w:val="4"/>
            <w:tcBorders>
              <w:top w:val="single" w:color="auto" w:sz="4" w:space="0"/>
              <w:left w:val="nil"/>
              <w:bottom w:val="single" w:color="auto" w:sz="4" w:space="0"/>
              <w:right w:val="single" w:color="auto" w:sz="4" w:space="0"/>
            </w:tcBorders>
            <w:hideMark/>
          </w:tcPr>
          <w:p w:rsidRPr="00E83413" w:rsidR="003F182D" w:rsidP="00C24327" w:rsidRDefault="003F182D" w14:paraId="372ACF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E83413">
              <w:rPr>
                <w:rFonts w:asciiTheme="minorHAnsi" w:hAnsiTheme="minorHAnsi" w:cstheme="minorHAnsi"/>
                <w:b/>
              </w:rPr>
              <w:t>Total</w:t>
            </w:r>
          </w:p>
        </w:tc>
        <w:tc>
          <w:tcPr>
            <w:tcW w:w="1440" w:type="dxa"/>
            <w:tcBorders>
              <w:top w:val="single" w:color="auto" w:sz="4" w:space="0"/>
              <w:left w:val="single" w:color="auto" w:sz="4" w:space="0"/>
              <w:bottom w:val="single" w:color="auto" w:sz="4" w:space="0"/>
              <w:right w:val="single" w:color="auto" w:sz="4" w:space="0"/>
            </w:tcBorders>
          </w:tcPr>
          <w:p w:rsidRPr="00E83413" w:rsidR="003F182D" w:rsidP="00C24327" w:rsidRDefault="005A62DC" w14:paraId="00588526" w14:textId="68CC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210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E83413" w:rsidR="003F182D" w:rsidP="00C24327" w:rsidRDefault="003F182D" w14:paraId="5EF8A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350" w:type="dxa"/>
            <w:tcBorders>
              <w:top w:val="single" w:color="auto" w:sz="4" w:space="0"/>
              <w:left w:val="single" w:color="auto" w:sz="4" w:space="0"/>
              <w:bottom w:val="single" w:color="auto" w:sz="4" w:space="0"/>
              <w:right w:val="single" w:color="auto" w:sz="4" w:space="0"/>
            </w:tcBorders>
            <w:vAlign w:val="center"/>
            <w:hideMark/>
          </w:tcPr>
          <w:p w:rsidRPr="00E83413" w:rsidR="003F182D" w:rsidP="00C24327" w:rsidRDefault="003F182D" w14:paraId="055366E5" w14:textId="62DD4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83413">
              <w:rPr>
                <w:rFonts w:asciiTheme="minorHAnsi" w:hAnsiTheme="minorHAnsi" w:cstheme="minorHAnsi"/>
                <w:b/>
              </w:rPr>
              <w:t>$</w:t>
            </w:r>
            <w:r w:rsidR="005A62DC">
              <w:rPr>
                <w:rFonts w:asciiTheme="minorHAnsi" w:hAnsiTheme="minorHAnsi" w:cstheme="minorHAnsi"/>
                <w:b/>
              </w:rPr>
              <w:t>2,641.80</w:t>
            </w:r>
          </w:p>
        </w:tc>
      </w:tr>
    </w:tbl>
    <w:p w:rsidR="006D1D1E" w:rsidP="00373D2F" w:rsidRDefault="006D1D1E" w14:paraId="4041F8A1" w14:textId="5FF8E890">
      <w:pPr>
        <w:spacing w:after="0" w:line="240" w:lineRule="auto"/>
      </w:pPr>
    </w:p>
    <w:p w:rsidRPr="006D1D1E" w:rsidR="00373D2F" w:rsidP="006D1D1E" w:rsidRDefault="006D1D1E" w14:paraId="3D55F30E" w14:textId="4CB518C4">
      <w:pPr>
        <w:spacing w:after="120" w:line="240" w:lineRule="auto"/>
        <w:rPr>
          <w:rFonts w:cstheme="minorHAnsi"/>
          <w:b/>
        </w:rPr>
      </w:pPr>
      <w:r>
        <w:br w:type="page"/>
      </w:r>
      <w:r w:rsidRPr="00E83413" w:rsidR="00B23277">
        <w:rPr>
          <w:rFonts w:cstheme="minorHAnsi"/>
          <w:b/>
        </w:rPr>
        <w:lastRenderedPageBreak/>
        <w:t>A13</w:t>
      </w:r>
      <w:r w:rsidRPr="006D1D1E" w:rsidR="00B23277">
        <w:rPr>
          <w:rFonts w:cstheme="minorHAnsi"/>
          <w:b/>
        </w:rPr>
        <w:t>.</w:t>
      </w:r>
      <w:r w:rsidRPr="006D1D1E" w:rsidR="00B23277">
        <w:rPr>
          <w:rFonts w:cstheme="minorHAnsi"/>
          <w:b/>
        </w:rPr>
        <w:tab/>
      </w:r>
      <w:r w:rsidRPr="00E83413" w:rsidR="00083227">
        <w:rPr>
          <w:rFonts w:cstheme="minorHAnsi"/>
          <w:b/>
        </w:rPr>
        <w:t>Costs</w:t>
      </w:r>
    </w:p>
    <w:p w:rsidRPr="00E83413" w:rsidR="0075675E" w:rsidP="006D1D1E" w:rsidRDefault="0075675E" w14:paraId="69AE4827" w14:textId="77777777">
      <w:pPr>
        <w:spacing w:after="120" w:line="240" w:lineRule="auto"/>
      </w:pPr>
      <w:r w:rsidRPr="006D1D1E">
        <w:rPr>
          <w:rFonts w:cstheme="minorHAnsi"/>
          <w:bCs/>
        </w:rPr>
        <w:t>There are no additional</w:t>
      </w:r>
      <w:r w:rsidRPr="006D1D1E">
        <w:rPr>
          <w:bCs/>
        </w:rPr>
        <w:t xml:space="preserve"> costs to respondents</w:t>
      </w:r>
      <w:r w:rsidRPr="00E83413">
        <w:t>.</w:t>
      </w:r>
    </w:p>
    <w:p w:rsidRPr="00E83413" w:rsidR="00577243" w:rsidP="00577243" w:rsidRDefault="00577243" w14:paraId="456CA4E3" w14:textId="77777777">
      <w:pPr>
        <w:autoSpaceDE w:val="0"/>
        <w:autoSpaceDN w:val="0"/>
        <w:adjustRightInd w:val="0"/>
        <w:spacing w:after="0" w:line="240" w:lineRule="auto"/>
        <w:rPr>
          <w:rFonts w:cstheme="minorHAnsi"/>
        </w:rPr>
      </w:pPr>
    </w:p>
    <w:p w:rsidRPr="00E83413" w:rsidR="00373D2F" w:rsidP="00577243" w:rsidRDefault="00B23277" w14:paraId="6D7CE77A" w14:textId="01F078C4">
      <w:pPr>
        <w:spacing w:after="120" w:line="240" w:lineRule="auto"/>
        <w:rPr>
          <w:rFonts w:cstheme="minorHAnsi"/>
        </w:rPr>
      </w:pPr>
      <w:r w:rsidRPr="00E83413">
        <w:rPr>
          <w:rFonts w:cstheme="minorHAnsi"/>
          <w:b/>
        </w:rPr>
        <w:t>A14</w:t>
      </w:r>
      <w:r w:rsidRPr="00E83413">
        <w:rPr>
          <w:rFonts w:cstheme="minorHAnsi"/>
        </w:rPr>
        <w:t>.</w:t>
      </w:r>
      <w:r w:rsidRPr="00E83413">
        <w:rPr>
          <w:rFonts w:cstheme="minorHAnsi"/>
        </w:rPr>
        <w:tab/>
      </w:r>
      <w:r w:rsidRPr="00E83413" w:rsidR="00577243">
        <w:rPr>
          <w:rFonts w:cstheme="minorHAnsi"/>
          <w:b/>
        </w:rPr>
        <w:t>Estimated Annualized Costs to the Federal Government</w:t>
      </w:r>
      <w:r w:rsidRPr="00E83413" w:rsidR="00577243">
        <w:rPr>
          <w:rFonts w:cstheme="minorHAnsi"/>
        </w:rPr>
        <w:t xml:space="preserve"> </w:t>
      </w:r>
    </w:p>
    <w:p w:rsidRPr="00E83413" w:rsidR="000605B7" w:rsidP="005A62DC" w:rsidRDefault="000605B7" w14:paraId="136E7073" w14:textId="652C1AA8">
      <w:pPr>
        <w:rPr>
          <w:rFonts w:cstheme="minorHAnsi"/>
        </w:rPr>
      </w:pPr>
      <w:r w:rsidRPr="00E83413">
        <w:rPr>
          <w:rFonts w:cstheme="minorHAnsi"/>
        </w:rPr>
        <w:t>The total and annual cost</w:t>
      </w:r>
      <w:r w:rsidRPr="00E83413" w:rsidR="005B759D">
        <w:rPr>
          <w:rFonts w:cstheme="minorHAnsi"/>
        </w:rPr>
        <w:t>s</w:t>
      </w:r>
      <w:r w:rsidRPr="00E83413">
        <w:rPr>
          <w:rFonts w:cstheme="minorHAnsi"/>
        </w:rPr>
        <w:t xml:space="preserve"> for the data collection activities under this current request will be $</w:t>
      </w:r>
      <w:r w:rsidRPr="00E83413" w:rsidR="00096E34">
        <w:rPr>
          <w:rFonts w:cstheme="minorHAnsi"/>
        </w:rPr>
        <w:t>286,066</w:t>
      </w:r>
      <w:r w:rsidRPr="00E83413" w:rsidR="0064351D">
        <w:rPr>
          <w:rFonts w:cstheme="minorHAnsi"/>
        </w:rPr>
        <w:t xml:space="preserve">. This </w:t>
      </w:r>
      <w:r w:rsidRPr="00E83413">
        <w:rPr>
          <w:rFonts w:cstheme="minorHAnsi"/>
        </w:rPr>
        <w:t>includ</w:t>
      </w:r>
      <w:r w:rsidRPr="00E83413" w:rsidR="0064351D">
        <w:rPr>
          <w:rFonts w:cstheme="minorHAnsi"/>
        </w:rPr>
        <w:t>es</w:t>
      </w:r>
      <w:r w:rsidRPr="00E83413" w:rsidR="00091823">
        <w:rPr>
          <w:rFonts w:cstheme="minorHAnsi"/>
        </w:rPr>
        <w:t xml:space="preserve"> </w:t>
      </w:r>
      <w:r w:rsidRPr="00E83413">
        <w:rPr>
          <w:rFonts w:cstheme="minorHAnsi"/>
        </w:rPr>
        <w:t xml:space="preserve">direct and indirect costs of data collection. </w:t>
      </w:r>
      <w:r w:rsidRPr="00E83413" w:rsidR="00091823">
        <w:rPr>
          <w:rFonts w:cstheme="minorHAnsi"/>
        </w:rPr>
        <w:t xml:space="preserve">In </w:t>
      </w:r>
      <w:r w:rsidRPr="00E83413">
        <w:rPr>
          <w:rFonts w:cstheme="minorHAnsi"/>
        </w:rPr>
        <w:t>Table A14</w:t>
      </w:r>
      <w:r w:rsidRPr="00E83413" w:rsidR="00091823">
        <w:rPr>
          <w:rFonts w:cstheme="minorHAnsi"/>
        </w:rPr>
        <w:t>, we</w:t>
      </w:r>
      <w:r w:rsidRPr="00E83413">
        <w:rPr>
          <w:rFonts w:cstheme="minorHAnsi"/>
        </w:rPr>
        <w:t xml:space="preserve"> display the costs by work categories.</w:t>
      </w:r>
    </w:p>
    <w:p w:rsidRPr="00E83413" w:rsidR="005E7DDA" w:rsidP="005E7DDA" w:rsidRDefault="005E7DDA" w14:paraId="178F346E" w14:textId="025D83C2">
      <w:pPr>
        <w:pStyle w:val="TableTitle"/>
      </w:pPr>
      <w:r w:rsidRPr="00E83413">
        <w:t>Table A14. Estimated annualized costs by category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78"/>
        <w:gridCol w:w="2250"/>
      </w:tblGrid>
      <w:tr w:rsidRPr="00E83413" w:rsidR="00B13DC4" w:rsidTr="005A62DC" w14:paraId="799745E2" w14:textId="77777777">
        <w:tc>
          <w:tcPr>
            <w:tcW w:w="4878" w:type="dxa"/>
            <w:shd w:val="clear" w:color="auto" w:fill="244061" w:themeFill="accent1" w:themeFillShade="80"/>
            <w:tcMar>
              <w:top w:w="0" w:type="dxa"/>
              <w:left w:w="108" w:type="dxa"/>
              <w:bottom w:w="0" w:type="dxa"/>
              <w:right w:w="108" w:type="dxa"/>
            </w:tcMar>
            <w:hideMark/>
          </w:tcPr>
          <w:p w:rsidRPr="00E83413" w:rsidR="00B13DC4" w:rsidP="005E7DDA" w:rsidRDefault="00B13DC4" w14:paraId="4E01E280" w14:textId="7AC9E967">
            <w:pPr>
              <w:pStyle w:val="TableHeaderCenter"/>
            </w:pPr>
            <w:r w:rsidRPr="00E83413">
              <w:t xml:space="preserve">Cost </w:t>
            </w:r>
            <w:r w:rsidRPr="00E83413" w:rsidR="00091823">
              <w:t>c</w:t>
            </w:r>
            <w:r w:rsidRPr="00E83413">
              <w:t>ategory</w:t>
            </w:r>
          </w:p>
        </w:tc>
        <w:tc>
          <w:tcPr>
            <w:tcW w:w="2250" w:type="dxa"/>
            <w:shd w:val="clear" w:color="auto" w:fill="244061" w:themeFill="accent1" w:themeFillShade="80"/>
            <w:tcMar>
              <w:top w:w="0" w:type="dxa"/>
              <w:left w:w="108" w:type="dxa"/>
              <w:bottom w:w="0" w:type="dxa"/>
              <w:right w:w="108" w:type="dxa"/>
            </w:tcMar>
            <w:hideMark/>
          </w:tcPr>
          <w:p w:rsidRPr="00E83413" w:rsidR="00B13DC4" w:rsidP="005E7DDA" w:rsidRDefault="00B13DC4" w14:paraId="395B2B42" w14:textId="2F0C0A35">
            <w:pPr>
              <w:pStyle w:val="TableHeaderCenter"/>
            </w:pPr>
            <w:r w:rsidRPr="00E83413">
              <w:t xml:space="preserve">Estimated </w:t>
            </w:r>
            <w:r w:rsidRPr="00E83413" w:rsidR="00091823">
              <w:t>c</w:t>
            </w:r>
            <w:r w:rsidRPr="00E83413">
              <w:t>osts</w:t>
            </w:r>
          </w:p>
        </w:tc>
      </w:tr>
      <w:tr w:rsidRPr="00E83413" w:rsidR="00CB4358" w:rsidTr="005A62DC" w14:paraId="51B075A3" w14:textId="77777777">
        <w:tc>
          <w:tcPr>
            <w:tcW w:w="4878" w:type="dxa"/>
            <w:tcMar>
              <w:top w:w="0" w:type="dxa"/>
              <w:left w:w="108" w:type="dxa"/>
              <w:bottom w:w="0" w:type="dxa"/>
              <w:right w:w="108" w:type="dxa"/>
            </w:tcMar>
            <w:vAlign w:val="center"/>
            <w:hideMark/>
          </w:tcPr>
          <w:p w:rsidRPr="00E83413" w:rsidR="00CB4358" w:rsidP="00CB4358" w:rsidRDefault="00CB4358" w14:paraId="3B60F72C" w14:textId="4EEFA1E9">
            <w:pPr>
              <w:spacing w:after="0"/>
              <w:rPr>
                <w:sz w:val="20"/>
              </w:rPr>
            </w:pPr>
            <w:r w:rsidRPr="00E83413">
              <w:rPr>
                <w:sz w:val="20"/>
              </w:rPr>
              <w:t xml:space="preserve">Instrument </w:t>
            </w:r>
            <w:r w:rsidRPr="00E83413" w:rsidR="00091823">
              <w:rPr>
                <w:sz w:val="20"/>
              </w:rPr>
              <w:t>d</w:t>
            </w:r>
            <w:r w:rsidRPr="00E83413">
              <w:rPr>
                <w:sz w:val="20"/>
              </w:rPr>
              <w:t xml:space="preserve">evelopment and OMB </w:t>
            </w:r>
            <w:r w:rsidRPr="00E83413" w:rsidR="00091823">
              <w:rPr>
                <w:sz w:val="20"/>
              </w:rPr>
              <w:t>c</w:t>
            </w:r>
            <w:r w:rsidRPr="00E83413">
              <w:rPr>
                <w:sz w:val="20"/>
              </w:rPr>
              <w:t>learance</w:t>
            </w:r>
          </w:p>
        </w:tc>
        <w:tc>
          <w:tcPr>
            <w:tcW w:w="2250" w:type="dxa"/>
            <w:tcMar>
              <w:top w:w="0" w:type="dxa"/>
              <w:left w:w="108" w:type="dxa"/>
              <w:bottom w:w="0" w:type="dxa"/>
              <w:right w:w="108" w:type="dxa"/>
            </w:tcMar>
            <w:vAlign w:val="center"/>
            <w:hideMark/>
          </w:tcPr>
          <w:p w:rsidRPr="00E83413" w:rsidR="00CB4358" w:rsidP="00CB4358" w:rsidRDefault="00CB4358" w14:paraId="11F7276F" w14:textId="18119E44">
            <w:pPr>
              <w:spacing w:after="0"/>
              <w:jc w:val="center"/>
              <w:rPr>
                <w:sz w:val="20"/>
              </w:rPr>
            </w:pPr>
            <w:r w:rsidRPr="00E83413">
              <w:rPr>
                <w:sz w:val="20"/>
              </w:rPr>
              <w:t>$</w:t>
            </w:r>
            <w:r w:rsidRPr="00E83413" w:rsidR="00201E6D">
              <w:rPr>
                <w:sz w:val="20"/>
              </w:rPr>
              <w:t>54,695</w:t>
            </w:r>
          </w:p>
        </w:tc>
      </w:tr>
      <w:tr w:rsidRPr="00E83413" w:rsidR="00CB4358" w:rsidTr="005A62DC" w14:paraId="2CCC3965" w14:textId="77777777">
        <w:tc>
          <w:tcPr>
            <w:tcW w:w="4878" w:type="dxa"/>
            <w:tcMar>
              <w:top w:w="0" w:type="dxa"/>
              <w:left w:w="108" w:type="dxa"/>
              <w:bottom w:w="0" w:type="dxa"/>
              <w:right w:w="108" w:type="dxa"/>
            </w:tcMar>
            <w:vAlign w:val="center"/>
            <w:hideMark/>
          </w:tcPr>
          <w:p w:rsidRPr="00E83413" w:rsidR="00CB4358" w:rsidP="00CB4358" w:rsidRDefault="00CB4358" w14:paraId="799DBD69" w14:textId="5A234EAB">
            <w:pPr>
              <w:spacing w:after="0"/>
              <w:rPr>
                <w:rFonts w:ascii="Calibri" w:hAnsi="Calibri" w:eastAsia="Calibri" w:cs="Calibri"/>
                <w:sz w:val="20"/>
              </w:rPr>
            </w:pPr>
            <w:r w:rsidRPr="00E83413">
              <w:rPr>
                <w:sz w:val="20"/>
              </w:rPr>
              <w:t xml:space="preserve">Field </w:t>
            </w:r>
            <w:r w:rsidRPr="00E83413" w:rsidR="00091823">
              <w:rPr>
                <w:sz w:val="20"/>
              </w:rPr>
              <w:t>w</w:t>
            </w:r>
            <w:r w:rsidRPr="00E83413">
              <w:rPr>
                <w:sz w:val="20"/>
              </w:rPr>
              <w:t>ork</w:t>
            </w:r>
          </w:p>
        </w:tc>
        <w:tc>
          <w:tcPr>
            <w:tcW w:w="2250" w:type="dxa"/>
            <w:tcMar>
              <w:top w:w="0" w:type="dxa"/>
              <w:left w:w="108" w:type="dxa"/>
              <w:bottom w:w="0" w:type="dxa"/>
              <w:right w:w="108" w:type="dxa"/>
            </w:tcMar>
            <w:vAlign w:val="center"/>
            <w:hideMark/>
          </w:tcPr>
          <w:p w:rsidRPr="00E83413" w:rsidR="00CB4358" w:rsidP="00CB4358" w:rsidRDefault="00CB4358" w14:paraId="33786520" w14:textId="134049F3">
            <w:pPr>
              <w:spacing w:after="0"/>
              <w:jc w:val="center"/>
              <w:rPr>
                <w:sz w:val="20"/>
              </w:rPr>
            </w:pPr>
            <w:r w:rsidRPr="00E83413">
              <w:rPr>
                <w:sz w:val="20"/>
              </w:rPr>
              <w:t>$</w:t>
            </w:r>
            <w:r w:rsidRPr="00E83413" w:rsidR="00201E6D">
              <w:rPr>
                <w:sz w:val="20"/>
              </w:rPr>
              <w:t>187,739</w:t>
            </w:r>
          </w:p>
        </w:tc>
      </w:tr>
      <w:tr w:rsidRPr="00E83413" w:rsidR="00CB4358" w:rsidTr="005A62DC" w14:paraId="32235541" w14:textId="77777777">
        <w:tc>
          <w:tcPr>
            <w:tcW w:w="4878" w:type="dxa"/>
            <w:tcMar>
              <w:top w:w="0" w:type="dxa"/>
              <w:left w:w="108" w:type="dxa"/>
              <w:bottom w:w="0" w:type="dxa"/>
              <w:right w:w="108" w:type="dxa"/>
            </w:tcMar>
            <w:vAlign w:val="center"/>
            <w:hideMark/>
          </w:tcPr>
          <w:p w:rsidRPr="00E83413" w:rsidR="00CB4358" w:rsidP="00CB4358" w:rsidRDefault="00F93289" w14:paraId="31C29715" w14:textId="6BE4CF85">
            <w:pPr>
              <w:spacing w:after="0"/>
              <w:rPr>
                <w:rFonts w:ascii="Calibri" w:hAnsi="Calibri" w:eastAsia="Calibri" w:cs="Calibri"/>
                <w:sz w:val="20"/>
              </w:rPr>
            </w:pPr>
            <w:r w:rsidRPr="00E83413">
              <w:rPr>
                <w:sz w:val="20"/>
              </w:rPr>
              <w:t>Analysis</w:t>
            </w:r>
          </w:p>
        </w:tc>
        <w:tc>
          <w:tcPr>
            <w:tcW w:w="2250" w:type="dxa"/>
            <w:tcMar>
              <w:top w:w="0" w:type="dxa"/>
              <w:left w:w="108" w:type="dxa"/>
              <w:bottom w:w="0" w:type="dxa"/>
              <w:right w:w="108" w:type="dxa"/>
            </w:tcMar>
            <w:vAlign w:val="center"/>
            <w:hideMark/>
          </w:tcPr>
          <w:p w:rsidRPr="00E83413" w:rsidR="00CB4358" w:rsidP="00CB4358" w:rsidRDefault="00CB4358" w14:paraId="112ACDBC" w14:textId="5E9C7265">
            <w:pPr>
              <w:spacing w:after="0"/>
              <w:jc w:val="center"/>
              <w:rPr>
                <w:sz w:val="20"/>
              </w:rPr>
            </w:pPr>
            <w:r w:rsidRPr="00E83413">
              <w:rPr>
                <w:sz w:val="20"/>
              </w:rPr>
              <w:t>$</w:t>
            </w:r>
            <w:r w:rsidRPr="00E83413" w:rsidR="00201E6D">
              <w:rPr>
                <w:sz w:val="20"/>
              </w:rPr>
              <w:t>43,632</w:t>
            </w:r>
          </w:p>
        </w:tc>
      </w:tr>
      <w:tr w:rsidRPr="00E83413" w:rsidR="00CB4358" w:rsidTr="005A62DC" w14:paraId="4667EDF0" w14:textId="77777777">
        <w:tc>
          <w:tcPr>
            <w:tcW w:w="4878" w:type="dxa"/>
            <w:tcMar>
              <w:top w:w="0" w:type="dxa"/>
              <w:left w:w="108" w:type="dxa"/>
              <w:bottom w:w="0" w:type="dxa"/>
              <w:right w:w="108" w:type="dxa"/>
            </w:tcMar>
            <w:vAlign w:val="center"/>
            <w:hideMark/>
          </w:tcPr>
          <w:p w:rsidRPr="00E83413" w:rsidR="00CB4358" w:rsidP="00CB4358" w:rsidRDefault="00CB4358" w14:paraId="108A5BAF" w14:textId="71DED6CE">
            <w:pPr>
              <w:spacing w:after="0"/>
              <w:jc w:val="right"/>
              <w:rPr>
                <w:rFonts w:ascii="Calibri" w:hAnsi="Calibri" w:eastAsia="Calibri" w:cs="Calibri"/>
                <w:b/>
                <w:bCs/>
                <w:sz w:val="20"/>
              </w:rPr>
            </w:pPr>
            <w:r w:rsidRPr="00E83413">
              <w:rPr>
                <w:b/>
                <w:color w:val="000000"/>
                <w:sz w:val="20"/>
              </w:rPr>
              <w:t>Total</w:t>
            </w:r>
            <w:r w:rsidRPr="00E83413" w:rsidR="008C3717">
              <w:rPr>
                <w:b/>
                <w:color w:val="000000"/>
                <w:sz w:val="20"/>
              </w:rPr>
              <w:t>/annual</w:t>
            </w:r>
            <w:r w:rsidRPr="00E83413">
              <w:rPr>
                <w:b/>
                <w:color w:val="000000"/>
                <w:sz w:val="20"/>
              </w:rPr>
              <w:t xml:space="preserve"> costs over the request period</w:t>
            </w:r>
          </w:p>
        </w:tc>
        <w:tc>
          <w:tcPr>
            <w:tcW w:w="2250" w:type="dxa"/>
            <w:tcMar>
              <w:top w:w="0" w:type="dxa"/>
              <w:left w:w="108" w:type="dxa"/>
              <w:bottom w:w="0" w:type="dxa"/>
              <w:right w:w="108" w:type="dxa"/>
            </w:tcMar>
            <w:vAlign w:val="center"/>
            <w:hideMark/>
          </w:tcPr>
          <w:p w:rsidRPr="00E83413" w:rsidR="00CB4358" w:rsidP="00CB4358" w:rsidRDefault="00CB4358" w14:paraId="26EBFD7A" w14:textId="5311DE69">
            <w:pPr>
              <w:spacing w:after="0"/>
              <w:jc w:val="center"/>
              <w:rPr>
                <w:b/>
                <w:bCs/>
                <w:sz w:val="20"/>
              </w:rPr>
            </w:pPr>
            <w:r w:rsidRPr="00E83413">
              <w:rPr>
                <w:sz w:val="20"/>
              </w:rPr>
              <w:t>$</w:t>
            </w:r>
            <w:r w:rsidRPr="00E83413" w:rsidR="00201E6D">
              <w:rPr>
                <w:sz w:val="20"/>
              </w:rPr>
              <w:t>286,066</w:t>
            </w:r>
          </w:p>
        </w:tc>
      </w:tr>
    </w:tbl>
    <w:p w:rsidRPr="00E83413" w:rsidR="0055068A" w:rsidP="00CB4358" w:rsidRDefault="0055068A" w14:paraId="0B86F08B" w14:textId="77777777">
      <w:pPr>
        <w:spacing w:after="120" w:line="240" w:lineRule="auto"/>
        <w:rPr>
          <w:rFonts w:cstheme="minorHAnsi"/>
          <w:b/>
        </w:rPr>
      </w:pPr>
    </w:p>
    <w:p w:rsidRPr="00E83413" w:rsidR="0068383E" w:rsidP="00CB4358" w:rsidRDefault="00B23277" w14:paraId="3C111F63" w14:textId="31B186B6">
      <w:pPr>
        <w:spacing w:after="120" w:line="240" w:lineRule="auto"/>
        <w:rPr>
          <w:rFonts w:cstheme="minorHAnsi"/>
        </w:rPr>
      </w:pPr>
      <w:r w:rsidRPr="00E83413">
        <w:rPr>
          <w:rFonts w:cstheme="minorHAnsi"/>
          <w:b/>
        </w:rPr>
        <w:t>A15</w:t>
      </w:r>
      <w:r w:rsidRPr="00E83413">
        <w:rPr>
          <w:rFonts w:cstheme="minorHAnsi"/>
        </w:rPr>
        <w:t>.</w:t>
      </w:r>
      <w:r w:rsidRPr="00E83413">
        <w:rPr>
          <w:rFonts w:cstheme="minorHAnsi"/>
        </w:rPr>
        <w:tab/>
      </w:r>
      <w:r w:rsidRPr="00E83413" w:rsidR="007C7B4B">
        <w:rPr>
          <w:rFonts w:cstheme="minorHAnsi"/>
          <w:b/>
        </w:rPr>
        <w:t xml:space="preserve">Reasons for </w:t>
      </w:r>
      <w:r w:rsidRPr="00E83413" w:rsidR="000F0BE3">
        <w:rPr>
          <w:rFonts w:cstheme="minorHAnsi"/>
          <w:b/>
        </w:rPr>
        <w:t>C</w:t>
      </w:r>
      <w:r w:rsidRPr="00E83413" w:rsidR="007C7B4B">
        <w:rPr>
          <w:rFonts w:cstheme="minorHAnsi"/>
          <w:b/>
        </w:rPr>
        <w:t xml:space="preserve">hanges in </w:t>
      </w:r>
      <w:r w:rsidRPr="00E83413" w:rsidR="000F0BE3">
        <w:rPr>
          <w:rFonts w:cstheme="minorHAnsi"/>
          <w:b/>
        </w:rPr>
        <w:t>B</w:t>
      </w:r>
      <w:r w:rsidRPr="00E83413" w:rsidR="007C7B4B">
        <w:rPr>
          <w:rFonts w:cstheme="minorHAnsi"/>
          <w:b/>
        </w:rPr>
        <w:t>urden</w:t>
      </w:r>
      <w:r w:rsidRPr="00E83413" w:rsidR="007C7B4B">
        <w:rPr>
          <w:rFonts w:cstheme="minorHAnsi"/>
        </w:rPr>
        <w:t xml:space="preserve"> </w:t>
      </w:r>
    </w:p>
    <w:p w:rsidRPr="00E83413" w:rsidR="0075675E" w:rsidP="0075675E" w:rsidRDefault="0075675E" w14:paraId="39F234A5" w14:textId="77777777">
      <w:r w:rsidRPr="00E83413">
        <w:t>This is for an individual information collection under the umbrella formative generic clearance for program support (0970-0531).</w:t>
      </w:r>
    </w:p>
    <w:p w:rsidRPr="00E83413" w:rsidR="000D4E9A" w:rsidP="00CB4358" w:rsidRDefault="00B23277" w14:paraId="2FB760D1" w14:textId="50337F9C">
      <w:pPr>
        <w:spacing w:after="120" w:line="240" w:lineRule="auto"/>
        <w:rPr>
          <w:rFonts w:cstheme="minorHAnsi"/>
        </w:rPr>
      </w:pPr>
      <w:r w:rsidRPr="00E83413">
        <w:rPr>
          <w:rFonts w:cstheme="minorHAnsi"/>
          <w:b/>
        </w:rPr>
        <w:t>A16</w:t>
      </w:r>
      <w:r w:rsidRPr="00E83413">
        <w:rPr>
          <w:rFonts w:cstheme="minorHAnsi"/>
        </w:rPr>
        <w:t>.</w:t>
      </w:r>
      <w:r w:rsidRPr="00E83413">
        <w:rPr>
          <w:rFonts w:cstheme="minorHAnsi"/>
        </w:rPr>
        <w:tab/>
      </w:r>
      <w:r w:rsidRPr="00E83413" w:rsidR="00083227">
        <w:rPr>
          <w:rFonts w:cstheme="minorHAnsi"/>
          <w:b/>
        </w:rPr>
        <w:t>Timeline</w:t>
      </w:r>
    </w:p>
    <w:p w:rsidRPr="00E83413" w:rsidR="00EE3785" w:rsidP="005A62DC" w:rsidRDefault="00F2288F" w14:paraId="744B0ECE" w14:textId="64B242C3">
      <w:pPr>
        <w:spacing w:after="0"/>
        <w:rPr>
          <w:rFonts w:cstheme="minorHAnsi"/>
        </w:rPr>
      </w:pPr>
      <w:r w:rsidRPr="00E83413">
        <w:rPr>
          <w:rFonts w:cstheme="minorHAnsi"/>
        </w:rPr>
        <w:t xml:space="preserve">The </w:t>
      </w:r>
      <w:r w:rsidRPr="00E83413" w:rsidR="00EE3785">
        <w:rPr>
          <w:rFonts w:cstheme="minorHAnsi"/>
        </w:rPr>
        <w:t xml:space="preserve">goal is to complete data collection and analysis by late summer 2021 in order to inform programming prior to the new grant year beginning at the end of September 2021. </w:t>
      </w:r>
      <w:r w:rsidRPr="00E83413" w:rsidR="00DE221E">
        <w:rPr>
          <w:rFonts w:cstheme="minorHAnsi"/>
        </w:rPr>
        <w:t xml:space="preserve">In </w:t>
      </w:r>
      <w:r w:rsidRPr="00E83413" w:rsidR="00EE79A1">
        <w:rPr>
          <w:rFonts w:cstheme="minorHAnsi"/>
        </w:rPr>
        <w:t>Table A16</w:t>
      </w:r>
      <w:r w:rsidRPr="00E83413" w:rsidR="00DE221E">
        <w:rPr>
          <w:rFonts w:cstheme="minorHAnsi"/>
        </w:rPr>
        <w:t>, we</w:t>
      </w:r>
      <w:r w:rsidRPr="00E83413" w:rsidR="00EE79A1">
        <w:rPr>
          <w:rFonts w:cstheme="minorHAnsi"/>
        </w:rPr>
        <w:t xml:space="preserve"> provide </w:t>
      </w:r>
      <w:r w:rsidRPr="00E83413" w:rsidR="00EE3785">
        <w:rPr>
          <w:rFonts w:cstheme="minorHAnsi"/>
        </w:rPr>
        <w:t>an estimated</w:t>
      </w:r>
      <w:r w:rsidRPr="00E83413" w:rsidR="00EE79A1">
        <w:rPr>
          <w:rFonts w:cstheme="minorHAnsi"/>
        </w:rPr>
        <w:t xml:space="preserve"> timeline for the Youth </w:t>
      </w:r>
      <w:r w:rsidRPr="00E83413" w:rsidR="00613C40">
        <w:rPr>
          <w:rFonts w:cstheme="minorHAnsi"/>
        </w:rPr>
        <w:t>Survey of Relationships, Education, and Behavior</w:t>
      </w:r>
      <w:r w:rsidRPr="00E83413" w:rsidR="00EE79A1">
        <w:rPr>
          <w:rFonts w:cstheme="minorHAnsi"/>
        </w:rPr>
        <w:t xml:space="preserve"> study</w:t>
      </w:r>
      <w:r w:rsidRPr="00E83413" w:rsidR="00EE3785">
        <w:rPr>
          <w:rFonts w:cstheme="minorHAnsi"/>
        </w:rPr>
        <w:t xml:space="preserve"> to meet the September deadline</w:t>
      </w:r>
      <w:r w:rsidRPr="00E83413" w:rsidR="00EE79A1">
        <w:rPr>
          <w:rFonts w:cstheme="minorHAnsi"/>
        </w:rPr>
        <w:t xml:space="preserve">. </w:t>
      </w:r>
      <w:r w:rsidRPr="00E83413" w:rsidR="00EE3785">
        <w:rPr>
          <w:rFonts w:cstheme="minorHAnsi"/>
        </w:rPr>
        <w:t xml:space="preserve">Actual dates are subject to change dependent on timing of OMB approval. </w:t>
      </w:r>
    </w:p>
    <w:p w:rsidRPr="00E83413" w:rsidR="00EE3785" w:rsidP="005A62DC" w:rsidRDefault="00EE3785" w14:paraId="28846523" w14:textId="77777777">
      <w:pPr>
        <w:spacing w:after="0"/>
        <w:rPr>
          <w:rFonts w:cstheme="minorHAnsi"/>
        </w:rPr>
      </w:pPr>
    </w:p>
    <w:p w:rsidRPr="00E83413" w:rsidR="000D4E9A" w:rsidP="005A62DC" w:rsidRDefault="00EE79A1" w14:paraId="48FD0E51" w14:textId="41F6A7AB">
      <w:pPr>
        <w:spacing w:after="0"/>
        <w:rPr>
          <w:rFonts w:cstheme="minorHAnsi"/>
        </w:rPr>
      </w:pPr>
      <w:r w:rsidRPr="00E83413">
        <w:rPr>
          <w:rFonts w:cstheme="minorHAnsi"/>
        </w:rPr>
        <w:t>Survey</w:t>
      </w:r>
      <w:r w:rsidRPr="00E83413" w:rsidR="0075675E">
        <w:rPr>
          <w:rFonts w:cstheme="minorHAnsi"/>
        </w:rPr>
        <w:t xml:space="preserve"> </w:t>
      </w:r>
      <w:r w:rsidRPr="00E83413">
        <w:rPr>
          <w:rFonts w:cstheme="minorHAnsi"/>
        </w:rPr>
        <w:t>data collection</w:t>
      </w:r>
      <w:r w:rsidRPr="00E83413" w:rsidR="0075675E">
        <w:rPr>
          <w:rFonts w:cstheme="minorHAnsi"/>
        </w:rPr>
        <w:t xml:space="preserve"> is expected to take place </w:t>
      </w:r>
      <w:r w:rsidRPr="00E83413" w:rsidR="008C3717">
        <w:rPr>
          <w:rFonts w:cstheme="minorHAnsi"/>
        </w:rPr>
        <w:t>over a three-week period in early summer 2021 after obtaining OMB approval</w:t>
      </w:r>
      <w:r w:rsidRPr="00E83413" w:rsidR="0075675E">
        <w:rPr>
          <w:rFonts w:cstheme="minorHAnsi"/>
        </w:rPr>
        <w:t xml:space="preserve">. </w:t>
      </w:r>
      <w:r w:rsidRPr="00E83413" w:rsidR="00D82426">
        <w:rPr>
          <w:rFonts w:cstheme="minorHAnsi"/>
        </w:rPr>
        <w:t xml:space="preserve">A </w:t>
      </w:r>
      <w:r w:rsidRPr="00E83413" w:rsidR="00F93289">
        <w:rPr>
          <w:rFonts w:cstheme="minorHAnsi"/>
        </w:rPr>
        <w:t xml:space="preserve">memo </w:t>
      </w:r>
      <w:r w:rsidRPr="00E83413" w:rsidR="00447CB7">
        <w:rPr>
          <w:rFonts w:cstheme="minorHAnsi"/>
        </w:rPr>
        <w:t>that</w:t>
      </w:r>
      <w:r w:rsidRPr="00E83413" w:rsidR="00D82426">
        <w:rPr>
          <w:rFonts w:cstheme="minorHAnsi"/>
        </w:rPr>
        <w:t xml:space="preserve"> summariz</w:t>
      </w:r>
      <w:r w:rsidRPr="00E83413" w:rsidR="00447CB7">
        <w:rPr>
          <w:rFonts w:cstheme="minorHAnsi"/>
        </w:rPr>
        <w:t>es</w:t>
      </w:r>
      <w:r w:rsidRPr="00E83413" w:rsidR="00D82426">
        <w:rPr>
          <w:rFonts w:cstheme="minorHAnsi"/>
        </w:rPr>
        <w:t xml:space="preserve"> key themes and lessons will be developed during </w:t>
      </w:r>
      <w:r w:rsidRPr="00E83413" w:rsidR="003A3F61">
        <w:rPr>
          <w:rFonts w:cstheme="minorHAnsi"/>
        </w:rPr>
        <w:t xml:space="preserve">late </w:t>
      </w:r>
      <w:r w:rsidRPr="00E83413" w:rsidR="00D82426">
        <w:rPr>
          <w:rFonts w:cstheme="minorHAnsi"/>
        </w:rPr>
        <w:t>summer 202</w:t>
      </w:r>
      <w:r w:rsidRPr="00E83413">
        <w:rPr>
          <w:rFonts w:cstheme="minorHAnsi"/>
        </w:rPr>
        <w:t>1</w:t>
      </w:r>
      <w:r w:rsidRPr="00E83413" w:rsidR="00D82426">
        <w:rPr>
          <w:rFonts w:cstheme="minorHAnsi"/>
        </w:rPr>
        <w:t xml:space="preserve"> for purposes of </w:t>
      </w:r>
      <w:r w:rsidRPr="00E83413" w:rsidR="00447CB7">
        <w:rPr>
          <w:rFonts w:cstheme="minorHAnsi"/>
        </w:rPr>
        <w:t>highligh</w:t>
      </w:r>
      <w:r w:rsidRPr="00E83413" w:rsidR="00D82426">
        <w:rPr>
          <w:rFonts w:cstheme="minorHAnsi"/>
        </w:rPr>
        <w:t xml:space="preserve">ting </w:t>
      </w:r>
      <w:r w:rsidRPr="00E83413" w:rsidR="003A3F61">
        <w:rPr>
          <w:rFonts w:cstheme="minorHAnsi"/>
        </w:rPr>
        <w:t>the relevant</w:t>
      </w:r>
      <w:r w:rsidRPr="00E83413" w:rsidR="00447CB7">
        <w:rPr>
          <w:rFonts w:cstheme="minorHAnsi"/>
        </w:rPr>
        <w:t xml:space="preserve"> survey</w:t>
      </w:r>
      <w:r w:rsidRPr="00E83413" w:rsidR="003A3F61">
        <w:rPr>
          <w:rFonts w:cstheme="minorHAnsi"/>
        </w:rPr>
        <w:t xml:space="preserve"> findings. </w:t>
      </w:r>
      <w:r w:rsidRPr="00E83413" w:rsidR="003A3F61">
        <w:rPr>
          <w:rFonts w:cs="Calibri"/>
        </w:rPr>
        <w:t xml:space="preserve">The </w:t>
      </w:r>
      <w:r w:rsidRPr="00E83413" w:rsidR="00F93289">
        <w:rPr>
          <w:rFonts w:cs="Calibri"/>
        </w:rPr>
        <w:t>memo</w:t>
      </w:r>
      <w:r w:rsidRPr="00E83413" w:rsidR="003A3F61">
        <w:rPr>
          <w:rFonts w:cs="Calibri"/>
        </w:rPr>
        <w:t xml:space="preserve"> will emphasize areas of need resulting </w:t>
      </w:r>
      <w:r w:rsidRPr="00E83413" w:rsidR="00EE3785">
        <w:rPr>
          <w:rFonts w:cs="Calibri"/>
        </w:rPr>
        <w:t xml:space="preserve">during </w:t>
      </w:r>
      <w:r w:rsidRPr="00E83413" w:rsidR="003A3F61">
        <w:rPr>
          <w:rFonts w:cs="Calibri"/>
        </w:rPr>
        <w:t xml:space="preserve">the </w:t>
      </w:r>
      <w:r w:rsidRPr="00E83413" w:rsidR="00EE3785">
        <w:rPr>
          <w:rFonts w:cs="Calibri"/>
        </w:rPr>
        <w:t>pandemic</w:t>
      </w:r>
      <w:r w:rsidRPr="00E83413" w:rsidR="00447CB7">
        <w:rPr>
          <w:rFonts w:cs="Calibri"/>
        </w:rPr>
        <w:t xml:space="preserve"> in order</w:t>
      </w:r>
      <w:r w:rsidRPr="00E83413" w:rsidR="003A3F61">
        <w:rPr>
          <w:rFonts w:cs="Calibri"/>
        </w:rPr>
        <w:t xml:space="preserve"> to </w:t>
      </w:r>
      <w:r w:rsidRPr="00E83413" w:rsidR="005E7DDA">
        <w:rPr>
          <w:rFonts w:cs="Calibri"/>
        </w:rPr>
        <w:t xml:space="preserve">help </w:t>
      </w:r>
      <w:r w:rsidRPr="00E83413" w:rsidR="00447CB7">
        <w:rPr>
          <w:rFonts w:cs="Calibri"/>
        </w:rPr>
        <w:t>guide</w:t>
      </w:r>
      <w:r w:rsidRPr="00E83413" w:rsidR="005E7DDA">
        <w:rPr>
          <w:rFonts w:cs="Calibri"/>
        </w:rPr>
        <w:t xml:space="preserve"> and tailor</w:t>
      </w:r>
      <w:r w:rsidRPr="00E83413" w:rsidR="004C195A">
        <w:rPr>
          <w:rFonts w:cs="Calibri"/>
        </w:rPr>
        <w:t xml:space="preserve"> future</w:t>
      </w:r>
      <w:r w:rsidRPr="00E83413" w:rsidR="003A3F61">
        <w:rPr>
          <w:rFonts w:cs="Calibri"/>
        </w:rPr>
        <w:t xml:space="preserve"> ACF programming and research</w:t>
      </w:r>
      <w:r w:rsidRPr="00E83413" w:rsidR="005E7DDA">
        <w:rPr>
          <w:rFonts w:cs="Calibri"/>
        </w:rPr>
        <w:t xml:space="preserve">. ACF may </w:t>
      </w:r>
      <w:r w:rsidRPr="00E83413" w:rsidR="00CD1D4F">
        <w:rPr>
          <w:rFonts w:cs="Calibri"/>
        </w:rPr>
        <w:t>develop a public facing document, as well, in order to share findings with PREP and SRAE grantees</w:t>
      </w:r>
      <w:r w:rsidRPr="00E83413" w:rsidR="00766EC3">
        <w:rPr>
          <w:rFonts w:cs="Calibri"/>
        </w:rPr>
        <w:t xml:space="preserve"> and other stakeholders</w:t>
      </w:r>
      <w:r w:rsidRPr="00E83413" w:rsidR="005E7DDA">
        <w:rPr>
          <w:rFonts w:cs="Calibri"/>
        </w:rPr>
        <w:t>.</w:t>
      </w:r>
    </w:p>
    <w:p w:rsidRPr="00E83413" w:rsidR="005E7DDA" w:rsidP="005E7DDA" w:rsidRDefault="005E7DDA" w14:paraId="74FFF1F5" w14:textId="70AB9BC1">
      <w:pPr>
        <w:pStyle w:val="TableTitle"/>
      </w:pPr>
      <w:r w:rsidRPr="00E83413">
        <w:t xml:space="preserve">Table A16. Youth </w:t>
      </w:r>
      <w:r w:rsidRPr="00E83413" w:rsidR="00613C40">
        <w:t>Survey of Relationships, Education, and Behavior</w:t>
      </w:r>
      <w:r w:rsidRPr="00E83413">
        <w:t xml:space="preserve"> study timeline</w:t>
      </w:r>
    </w:p>
    <w:tbl>
      <w:tblPr>
        <w:tblStyle w:val="TableGrid"/>
        <w:tblW w:w="10345" w:type="dxa"/>
        <w:tblInd w:w="0" w:type="dxa"/>
        <w:tblLook w:val="04A0" w:firstRow="1" w:lastRow="0" w:firstColumn="1" w:lastColumn="0" w:noHBand="0" w:noVBand="1"/>
      </w:tblPr>
      <w:tblGrid>
        <w:gridCol w:w="3415"/>
        <w:gridCol w:w="2790"/>
        <w:gridCol w:w="4140"/>
      </w:tblGrid>
      <w:tr w:rsidRPr="00E83413" w:rsidR="00EE3785" w:rsidTr="000623C4" w14:paraId="645C4EB8" w14:textId="0E27E202">
        <w:tc>
          <w:tcPr>
            <w:tcW w:w="3415" w:type="dxa"/>
            <w:shd w:val="clear" w:color="auto" w:fill="244061" w:themeFill="accent1" w:themeFillShade="80"/>
          </w:tcPr>
          <w:p w:rsidRPr="00E83413" w:rsidR="00EE3785" w:rsidP="005E7DDA" w:rsidRDefault="00EE3785" w14:paraId="1BBDA361" w14:textId="77777777">
            <w:pPr>
              <w:pStyle w:val="TableHeaderCenter"/>
            </w:pPr>
            <w:r w:rsidRPr="00E83413">
              <w:t>Activity</w:t>
            </w:r>
          </w:p>
        </w:tc>
        <w:tc>
          <w:tcPr>
            <w:tcW w:w="2790" w:type="dxa"/>
            <w:shd w:val="clear" w:color="auto" w:fill="244061" w:themeFill="accent1" w:themeFillShade="80"/>
          </w:tcPr>
          <w:p w:rsidRPr="00E83413" w:rsidR="00EE3785" w:rsidP="005E7DDA" w:rsidRDefault="00031D79" w14:paraId="55316E2B" w14:textId="2EA4818B">
            <w:pPr>
              <w:pStyle w:val="TableHeaderCenter"/>
            </w:pPr>
            <w:r w:rsidRPr="00E83413">
              <w:t>Number of weeks</w:t>
            </w:r>
          </w:p>
        </w:tc>
        <w:tc>
          <w:tcPr>
            <w:tcW w:w="4140" w:type="dxa"/>
            <w:shd w:val="clear" w:color="auto" w:fill="244061" w:themeFill="accent1" w:themeFillShade="80"/>
          </w:tcPr>
          <w:p w:rsidRPr="00E83413" w:rsidR="00EE3785" w:rsidP="005E7DDA" w:rsidRDefault="00EE3785" w14:paraId="2B1621D9" w14:textId="728B9720">
            <w:pPr>
              <w:pStyle w:val="TableHeaderCenter"/>
            </w:pPr>
            <w:r w:rsidRPr="00E83413">
              <w:t>Example Dates</w:t>
            </w:r>
          </w:p>
        </w:tc>
      </w:tr>
      <w:tr w:rsidRPr="00E83413" w:rsidR="00EE3785" w:rsidTr="000623C4" w14:paraId="478C61DA" w14:textId="0B1D4160">
        <w:tc>
          <w:tcPr>
            <w:tcW w:w="3415" w:type="dxa"/>
          </w:tcPr>
          <w:p w:rsidRPr="00E83413" w:rsidR="00EE3785" w:rsidP="00EE3785" w:rsidRDefault="00EE3785" w14:paraId="11AC281C" w14:textId="77777777">
            <w:pPr>
              <w:rPr>
                <w:rFonts w:asciiTheme="minorHAnsi" w:hAnsiTheme="minorHAnsi" w:cstheme="minorHAnsi"/>
              </w:rPr>
            </w:pPr>
            <w:r w:rsidRPr="00E83413">
              <w:rPr>
                <w:rFonts w:asciiTheme="minorHAnsi" w:hAnsiTheme="minorHAnsi" w:cstheme="minorHAnsi"/>
              </w:rPr>
              <w:t>Data collection</w:t>
            </w:r>
          </w:p>
        </w:tc>
        <w:tc>
          <w:tcPr>
            <w:tcW w:w="2790" w:type="dxa"/>
          </w:tcPr>
          <w:p w:rsidRPr="00E83413" w:rsidR="00EE3785" w:rsidP="00EE3785" w:rsidRDefault="00EE3785" w14:paraId="148B857A" w14:textId="780A8DA8">
            <w:pPr>
              <w:rPr>
                <w:rFonts w:asciiTheme="minorHAnsi" w:hAnsiTheme="minorHAnsi" w:cstheme="minorHAnsi"/>
              </w:rPr>
            </w:pPr>
            <w:r w:rsidRPr="00E83413">
              <w:rPr>
                <w:rFonts w:asciiTheme="minorHAnsi" w:hAnsiTheme="minorHAnsi" w:cstheme="minorHAnsi"/>
              </w:rPr>
              <w:t>Three weeks</w:t>
            </w:r>
          </w:p>
        </w:tc>
        <w:tc>
          <w:tcPr>
            <w:tcW w:w="4140" w:type="dxa"/>
          </w:tcPr>
          <w:p w:rsidRPr="00E83413" w:rsidR="00EE3785" w:rsidP="00EE3785" w:rsidRDefault="00EE3785" w14:paraId="7C61B48C" w14:textId="0727F445">
            <w:pPr>
              <w:rPr>
                <w:rFonts w:cstheme="minorHAnsi"/>
              </w:rPr>
            </w:pPr>
            <w:r w:rsidRPr="00E83413">
              <w:rPr>
                <w:rFonts w:asciiTheme="minorHAnsi" w:hAnsiTheme="minorHAnsi" w:cstheme="minorHAnsi"/>
              </w:rPr>
              <w:t>June 2021</w:t>
            </w:r>
          </w:p>
        </w:tc>
      </w:tr>
      <w:tr w:rsidRPr="00E83413" w:rsidR="00EE3785" w:rsidTr="000623C4" w14:paraId="761C0239" w14:textId="4B58534C">
        <w:trPr>
          <w:trHeight w:val="296"/>
        </w:trPr>
        <w:tc>
          <w:tcPr>
            <w:tcW w:w="3415" w:type="dxa"/>
          </w:tcPr>
          <w:p w:rsidRPr="00E83413" w:rsidR="00EE3785" w:rsidP="00EE3785" w:rsidRDefault="00EE3785" w14:paraId="52D224B6" w14:textId="59FD27EC">
            <w:pPr>
              <w:rPr>
                <w:rFonts w:asciiTheme="minorHAnsi" w:hAnsiTheme="minorHAnsi" w:cstheme="minorHAnsi"/>
              </w:rPr>
            </w:pPr>
            <w:r w:rsidRPr="00E83413">
              <w:rPr>
                <w:rFonts w:asciiTheme="minorHAnsi" w:hAnsiTheme="minorHAnsi" w:cstheme="minorHAnsi"/>
              </w:rPr>
              <w:t>Data processing and cleaning</w:t>
            </w:r>
          </w:p>
        </w:tc>
        <w:tc>
          <w:tcPr>
            <w:tcW w:w="2790" w:type="dxa"/>
          </w:tcPr>
          <w:p w:rsidRPr="00E83413" w:rsidR="00EE3785" w:rsidP="00EE3785" w:rsidRDefault="002B25CA" w14:paraId="62D73BBF" w14:textId="5CAB4415">
            <w:pPr>
              <w:rPr>
                <w:rFonts w:asciiTheme="minorHAnsi" w:hAnsiTheme="minorHAnsi" w:cstheme="minorHAnsi"/>
              </w:rPr>
            </w:pPr>
            <w:r w:rsidRPr="00E83413">
              <w:rPr>
                <w:rFonts w:asciiTheme="minorHAnsi" w:hAnsiTheme="minorHAnsi" w:cstheme="minorHAnsi"/>
              </w:rPr>
              <w:t>Two weeks</w:t>
            </w:r>
          </w:p>
        </w:tc>
        <w:tc>
          <w:tcPr>
            <w:tcW w:w="4140" w:type="dxa"/>
          </w:tcPr>
          <w:p w:rsidRPr="00E83413" w:rsidR="00EE3785" w:rsidP="00EE3785" w:rsidRDefault="00EE3785" w14:paraId="16806EF1" w14:textId="22D2C16E">
            <w:pPr>
              <w:rPr>
                <w:rFonts w:cstheme="minorHAnsi"/>
              </w:rPr>
            </w:pPr>
            <w:r w:rsidRPr="00E83413">
              <w:rPr>
                <w:rFonts w:asciiTheme="minorHAnsi" w:hAnsiTheme="minorHAnsi" w:cstheme="minorHAnsi"/>
              </w:rPr>
              <w:t>July 2021</w:t>
            </w:r>
          </w:p>
        </w:tc>
      </w:tr>
      <w:tr w:rsidRPr="00E83413" w:rsidR="00EE3785" w:rsidTr="000623C4" w14:paraId="0A67AAF8" w14:textId="582CCF58">
        <w:tc>
          <w:tcPr>
            <w:tcW w:w="3415" w:type="dxa"/>
          </w:tcPr>
          <w:p w:rsidRPr="00E83413" w:rsidR="00EE3785" w:rsidP="00EE3785" w:rsidRDefault="00EE3785" w14:paraId="2B8E3DDE" w14:textId="2CD9A907">
            <w:pPr>
              <w:rPr>
                <w:rFonts w:asciiTheme="minorHAnsi" w:hAnsiTheme="minorHAnsi" w:cstheme="minorHAnsi"/>
              </w:rPr>
            </w:pPr>
            <w:r w:rsidRPr="00E83413">
              <w:rPr>
                <w:rFonts w:asciiTheme="minorHAnsi" w:hAnsiTheme="minorHAnsi" w:cstheme="minorHAnsi"/>
              </w:rPr>
              <w:t>Data analysis</w:t>
            </w:r>
          </w:p>
        </w:tc>
        <w:tc>
          <w:tcPr>
            <w:tcW w:w="2790" w:type="dxa"/>
          </w:tcPr>
          <w:p w:rsidRPr="00E83413" w:rsidR="00EE3785" w:rsidP="00EE3785" w:rsidRDefault="002B25CA" w14:paraId="0AE83C8D" w14:textId="315FBA70">
            <w:pPr>
              <w:rPr>
                <w:rFonts w:asciiTheme="minorHAnsi" w:hAnsiTheme="minorHAnsi" w:cstheme="minorHAnsi"/>
              </w:rPr>
            </w:pPr>
            <w:r w:rsidRPr="00E83413">
              <w:rPr>
                <w:rFonts w:asciiTheme="minorHAnsi" w:hAnsiTheme="minorHAnsi" w:cstheme="minorHAnsi"/>
              </w:rPr>
              <w:t>Four weeks</w:t>
            </w:r>
          </w:p>
        </w:tc>
        <w:tc>
          <w:tcPr>
            <w:tcW w:w="4140" w:type="dxa"/>
          </w:tcPr>
          <w:p w:rsidRPr="00E83413" w:rsidR="00EE3785" w:rsidP="00EE3785" w:rsidRDefault="00EE3785" w14:paraId="4A1B3ADC" w14:textId="0A535293">
            <w:pPr>
              <w:rPr>
                <w:rFonts w:cstheme="minorHAnsi"/>
              </w:rPr>
            </w:pPr>
            <w:r w:rsidRPr="00E83413">
              <w:rPr>
                <w:rFonts w:asciiTheme="minorHAnsi" w:hAnsiTheme="minorHAnsi" w:cstheme="minorHAnsi"/>
              </w:rPr>
              <w:t>July/August 2021</w:t>
            </w:r>
          </w:p>
        </w:tc>
      </w:tr>
      <w:tr w:rsidRPr="00E83413" w:rsidR="00EE3785" w:rsidTr="000623C4" w14:paraId="436F979C" w14:textId="11ADE63D">
        <w:tc>
          <w:tcPr>
            <w:tcW w:w="3415" w:type="dxa"/>
          </w:tcPr>
          <w:p w:rsidRPr="00E83413" w:rsidR="00EE3785" w:rsidP="00EE3785" w:rsidRDefault="00EE3785" w14:paraId="0C19C41F" w14:textId="3D1238B0">
            <w:pPr>
              <w:rPr>
                <w:rFonts w:cstheme="minorHAnsi"/>
              </w:rPr>
            </w:pPr>
            <w:r w:rsidRPr="00E83413">
              <w:rPr>
                <w:rFonts w:asciiTheme="minorHAnsi" w:hAnsiTheme="minorHAnsi" w:cstheme="minorHAnsi"/>
              </w:rPr>
              <w:t>Memo</w:t>
            </w:r>
          </w:p>
        </w:tc>
        <w:tc>
          <w:tcPr>
            <w:tcW w:w="2790" w:type="dxa"/>
          </w:tcPr>
          <w:p w:rsidRPr="00E83413" w:rsidR="00EE3785" w:rsidP="00EE3785" w:rsidRDefault="002B25CA" w14:paraId="53857F40" w14:textId="4080283D">
            <w:pPr>
              <w:rPr>
                <w:rFonts w:cstheme="minorHAnsi"/>
              </w:rPr>
            </w:pPr>
            <w:r w:rsidRPr="00E83413">
              <w:rPr>
                <w:rFonts w:asciiTheme="minorHAnsi" w:hAnsiTheme="minorHAnsi" w:cstheme="minorHAnsi"/>
              </w:rPr>
              <w:t>Four weeks</w:t>
            </w:r>
          </w:p>
        </w:tc>
        <w:tc>
          <w:tcPr>
            <w:tcW w:w="4140" w:type="dxa"/>
          </w:tcPr>
          <w:p w:rsidRPr="00E83413" w:rsidR="00EE3785" w:rsidP="00EE3785" w:rsidRDefault="00EE3785" w14:paraId="57665D3E" w14:textId="39938FC8">
            <w:pPr>
              <w:rPr>
                <w:rFonts w:cstheme="minorHAnsi"/>
              </w:rPr>
            </w:pPr>
            <w:r w:rsidRPr="00E83413">
              <w:rPr>
                <w:rFonts w:asciiTheme="minorHAnsi" w:hAnsiTheme="minorHAnsi" w:cstheme="minorHAnsi"/>
              </w:rPr>
              <w:t>August/September 2021</w:t>
            </w:r>
          </w:p>
        </w:tc>
      </w:tr>
    </w:tbl>
    <w:p w:rsidRPr="00E83413" w:rsidR="00EE79A1" w:rsidP="00EE79A1" w:rsidRDefault="00EE79A1" w14:paraId="00E900D2" w14:textId="0825C9F1">
      <w:pPr>
        <w:pStyle w:val="Bullet"/>
        <w:numPr>
          <w:ilvl w:val="0"/>
          <w:numId w:val="0"/>
        </w:numPr>
      </w:pPr>
      <w:proofErr w:type="spellStart"/>
      <w:r w:rsidRPr="00E83413">
        <w:rPr>
          <w:vertAlign w:val="superscript"/>
        </w:rPr>
        <w:t>a</w:t>
      </w:r>
      <w:proofErr w:type="spellEnd"/>
      <w:r w:rsidRPr="00E83413">
        <w:rPr>
          <w:vertAlign w:val="superscript"/>
        </w:rPr>
        <w:t xml:space="preserve"> </w:t>
      </w:r>
      <w:r w:rsidRPr="00E83413">
        <w:t>After obtaining OMB approval.</w:t>
      </w:r>
    </w:p>
    <w:p w:rsidRPr="00E83413" w:rsidR="00CB4358" w:rsidP="00CB4358" w:rsidRDefault="00CB4358" w14:paraId="7C4F5683" w14:textId="11196C64">
      <w:pPr>
        <w:spacing w:after="0" w:line="240" w:lineRule="auto"/>
        <w:rPr>
          <w:rFonts w:cstheme="minorHAnsi"/>
        </w:rPr>
      </w:pPr>
    </w:p>
    <w:p w:rsidRPr="00E83413" w:rsidR="00C73360" w:rsidP="00CB1F9B" w:rsidRDefault="00B23277" w14:paraId="2F1B2639" w14:textId="0320905F">
      <w:pPr>
        <w:spacing w:after="120" w:line="240" w:lineRule="auto"/>
        <w:rPr>
          <w:rFonts w:cstheme="minorHAnsi"/>
        </w:rPr>
      </w:pPr>
      <w:r w:rsidRPr="00E83413">
        <w:rPr>
          <w:rFonts w:cstheme="minorHAnsi"/>
          <w:b/>
        </w:rPr>
        <w:lastRenderedPageBreak/>
        <w:t>A17</w:t>
      </w:r>
      <w:r w:rsidRPr="00E83413">
        <w:rPr>
          <w:rFonts w:cstheme="minorHAnsi"/>
        </w:rPr>
        <w:t>.</w:t>
      </w:r>
      <w:r w:rsidRPr="00E83413">
        <w:rPr>
          <w:rFonts w:cstheme="minorHAnsi"/>
        </w:rPr>
        <w:tab/>
      </w:r>
      <w:r w:rsidRPr="00E83413" w:rsidR="00C73360">
        <w:rPr>
          <w:rFonts w:cstheme="minorHAnsi"/>
          <w:b/>
        </w:rPr>
        <w:t>Exceptions</w:t>
      </w:r>
    </w:p>
    <w:p w:rsidRPr="00E83413" w:rsidR="00083227" w:rsidP="00B13297" w:rsidRDefault="00CB1F9B" w14:paraId="1E574BF6" w14:textId="46F38EE4">
      <w:r w:rsidRPr="00E83413">
        <w:t>No exceptions are necessary for this information collection.</w:t>
      </w:r>
      <w:r w:rsidRPr="00E83413">
        <w:tab/>
      </w:r>
    </w:p>
    <w:p w:rsidRPr="00E83413" w:rsidR="00C3640A" w:rsidP="006D1D1E" w:rsidRDefault="00C3640A" w14:paraId="6F4706BC" w14:textId="77777777">
      <w:pPr>
        <w:spacing w:after="120" w:line="240" w:lineRule="auto"/>
        <w:rPr>
          <w:b/>
        </w:rPr>
      </w:pPr>
    </w:p>
    <w:p w:rsidRPr="00E83413" w:rsidR="00C3640A" w:rsidP="006D1D1E" w:rsidRDefault="00C3640A" w14:paraId="5761A4C1" w14:textId="12DA5E19">
      <w:pPr>
        <w:spacing w:after="120" w:line="240" w:lineRule="auto"/>
        <w:rPr>
          <w:b/>
        </w:rPr>
      </w:pPr>
      <w:r w:rsidRPr="00E83413">
        <w:rPr>
          <w:b/>
        </w:rPr>
        <w:t>Attachments</w:t>
      </w:r>
    </w:p>
    <w:p w:rsidRPr="006D1D1E" w:rsidR="00C3640A" w:rsidP="006D1D1E" w:rsidRDefault="00C3640A" w14:paraId="57FA74ED" w14:textId="77777777">
      <w:pPr>
        <w:spacing w:after="120" w:line="240" w:lineRule="auto"/>
        <w:rPr>
          <w:b/>
        </w:rPr>
      </w:pPr>
      <w:bookmarkStart w:name="_Hlk69463920" w:id="9"/>
      <w:r w:rsidRPr="006D1D1E">
        <w:rPr>
          <w:b/>
        </w:rPr>
        <w:t>Appendices</w:t>
      </w:r>
    </w:p>
    <w:bookmarkEnd w:id="9"/>
    <w:p w:rsidRPr="00E83413" w:rsidR="00C3640A" w:rsidP="006D1D1E" w:rsidRDefault="00C3640A" w14:paraId="3E6488C1" w14:textId="06137C23">
      <w:pPr>
        <w:spacing w:after="0" w:line="276" w:lineRule="auto"/>
      </w:pPr>
      <w:r w:rsidRPr="00E83413">
        <w:t>Appendix A. Parent Consent</w:t>
      </w:r>
      <w:r w:rsidRPr="00E83413" w:rsidR="00722FFF">
        <w:t xml:space="preserve"> Form</w:t>
      </w:r>
    </w:p>
    <w:p w:rsidRPr="00E83413" w:rsidR="00C3640A" w:rsidP="006D1D1E" w:rsidRDefault="00C3640A" w14:paraId="31DF3A18" w14:textId="666D4035">
      <w:pPr>
        <w:spacing w:after="0" w:line="276" w:lineRule="auto"/>
      </w:pPr>
      <w:r w:rsidRPr="00E83413">
        <w:t>Appendix B. Youth Assent</w:t>
      </w:r>
    </w:p>
    <w:p w:rsidR="00676A15" w:rsidP="006D1D1E" w:rsidRDefault="00676A15" w14:paraId="084518CF" w14:textId="57B86903">
      <w:pPr>
        <w:spacing w:after="0" w:line="276" w:lineRule="auto"/>
      </w:pPr>
      <w:r w:rsidRPr="00E83413">
        <w:t>Appendix C. Item by Item Source Crosswalk for Survey</w:t>
      </w:r>
    </w:p>
    <w:p w:rsidRPr="00E83413" w:rsidR="006D1D1E" w:rsidP="006D1D1E" w:rsidRDefault="006D1D1E" w14:paraId="58A18D6D" w14:textId="77777777">
      <w:pPr>
        <w:spacing w:after="0" w:line="276" w:lineRule="auto"/>
      </w:pPr>
    </w:p>
    <w:p w:rsidRPr="00E83413" w:rsidR="00C3640A" w:rsidP="00C3640A" w:rsidRDefault="00C3640A" w14:paraId="1897C7BE" w14:textId="77777777">
      <w:pPr>
        <w:spacing w:after="120"/>
        <w:rPr>
          <w:b/>
          <w:bCs/>
        </w:rPr>
      </w:pPr>
      <w:bookmarkStart w:name="_Hlk69463931" w:id="10"/>
      <w:r w:rsidRPr="00E83413">
        <w:rPr>
          <w:b/>
          <w:bCs/>
        </w:rPr>
        <w:t>Instrument</w:t>
      </w:r>
    </w:p>
    <w:bookmarkEnd w:id="10"/>
    <w:p w:rsidRPr="00E83413" w:rsidR="00C3640A" w:rsidP="00C3640A" w:rsidRDefault="00C3640A" w14:paraId="11D68238" w14:textId="77777777">
      <w:pPr>
        <w:spacing w:after="0"/>
      </w:pPr>
      <w:r w:rsidRPr="00E83413">
        <w:t xml:space="preserve">Instrument 1. </w:t>
      </w:r>
      <w:bookmarkStart w:name="_Hlk69463872" w:id="11"/>
      <w:r w:rsidRPr="00E83413">
        <w:t>Youth Survey of Relationships, Education, and Behavior</w:t>
      </w:r>
      <w:bookmarkEnd w:id="11"/>
    </w:p>
    <w:p w:rsidRPr="00E83413" w:rsidR="001E6229" w:rsidRDefault="001E6229" w14:paraId="4CF6F473" w14:textId="3A88724C">
      <w:pPr>
        <w:rPr>
          <w:b/>
        </w:rPr>
      </w:pPr>
    </w:p>
    <w:p w:rsidRPr="00E83413" w:rsidR="001E6229" w:rsidRDefault="00C3640A" w14:paraId="1F95A9A0" w14:textId="4E1C2F6E">
      <w:pPr>
        <w:rPr>
          <w:b/>
        </w:rPr>
      </w:pPr>
      <w:r w:rsidRPr="00E83413">
        <w:rPr>
          <w:b/>
        </w:rPr>
        <w:br w:type="page"/>
      </w:r>
      <w:bookmarkStart w:name="_Hlk69468269" w:id="12"/>
      <w:r w:rsidRPr="00E83413" w:rsidR="001E6229">
        <w:rPr>
          <w:b/>
        </w:rPr>
        <w:lastRenderedPageBreak/>
        <w:t>References</w:t>
      </w:r>
    </w:p>
    <w:bookmarkEnd w:id="12"/>
    <w:p w:rsidRPr="00E83413" w:rsidR="00B60BF2" w:rsidP="001E6229" w:rsidRDefault="00B60BF2" w14:paraId="24A46907" w14:textId="1CDE4725">
      <w:pPr>
        <w:pStyle w:val="References"/>
        <w:spacing w:after="120"/>
        <w:rPr>
          <w:sz w:val="22"/>
          <w:szCs w:val="22"/>
        </w:rPr>
      </w:pPr>
      <w:r w:rsidRPr="00E83413">
        <w:rPr>
          <w:sz w:val="22"/>
          <w:szCs w:val="22"/>
        </w:rPr>
        <w:t>Administration for Children and Families. “Grantee Covid Survey.” Washington, DC: Administration for Children and Families, 2020 (unpublished).</w:t>
      </w:r>
    </w:p>
    <w:p w:rsidRPr="00E83413" w:rsidR="00466391" w:rsidP="00466391" w:rsidRDefault="00466391" w14:paraId="49D90E78" w14:textId="77777777">
      <w:pPr>
        <w:pStyle w:val="References"/>
        <w:spacing w:after="120"/>
        <w:rPr>
          <w:color w:val="000000"/>
          <w:sz w:val="22"/>
          <w:szCs w:val="22"/>
          <w:shd w:val="clear" w:color="auto" w:fill="FEFEFE"/>
        </w:rPr>
      </w:pPr>
      <w:r w:rsidRPr="00E83413">
        <w:rPr>
          <w:color w:val="000000"/>
          <w:sz w:val="22"/>
          <w:szCs w:val="22"/>
          <w:shd w:val="clear" w:color="auto" w:fill="FEFEFE"/>
        </w:rPr>
        <w:t>Cano, M. A., M. Sanchez, P. Rojas, D. Ramirez‐Ortiz, K.L. Polo, E. Romano, and M. De La Rosa. “Alcohol Use Severity Among Adult Hispanic Immigrants: Examining the Roles of Family Cohesion, Social Support, and Gender.” </w:t>
      </w:r>
      <w:r w:rsidRPr="00E83413">
        <w:rPr>
          <w:i/>
          <w:iCs/>
          <w:color w:val="000000"/>
          <w:sz w:val="22"/>
          <w:szCs w:val="22"/>
          <w:shd w:val="clear" w:color="auto" w:fill="FEFEFE"/>
        </w:rPr>
        <w:t>Substance Use &amp; Misuse</w:t>
      </w:r>
      <w:r w:rsidRPr="00E83413">
        <w:rPr>
          <w:color w:val="000000"/>
          <w:sz w:val="22"/>
          <w:szCs w:val="22"/>
          <w:shd w:val="clear" w:color="auto" w:fill="FEFEFE"/>
        </w:rPr>
        <w:t>, vol. 53, 2018, pp. 668–676.</w:t>
      </w:r>
    </w:p>
    <w:p w:rsidRPr="00E83413" w:rsidR="001E6229" w:rsidP="001E6229" w:rsidRDefault="001E6229" w14:paraId="2AA30499" w14:textId="159F8B01">
      <w:pPr>
        <w:pStyle w:val="References"/>
        <w:spacing w:after="120"/>
        <w:rPr>
          <w:rFonts w:cstheme="minorHAnsi"/>
          <w:color w:val="000000"/>
          <w:sz w:val="22"/>
          <w:szCs w:val="22"/>
          <w:shd w:val="clear" w:color="auto" w:fill="FEFEFE"/>
        </w:rPr>
      </w:pPr>
      <w:r w:rsidRPr="00E83413">
        <w:rPr>
          <w:rFonts w:cstheme="minorHAnsi"/>
          <w:color w:val="000000"/>
          <w:sz w:val="22"/>
          <w:szCs w:val="22"/>
          <w:shd w:val="clear" w:color="auto" w:fill="FEFEFE"/>
        </w:rPr>
        <w:t xml:space="preserve">Commendador, K. A. “Parental Influences on Adolescent Decision Making and Contraceptive Use.” </w:t>
      </w:r>
      <w:r w:rsidRPr="00E83413">
        <w:rPr>
          <w:rFonts w:cstheme="minorHAnsi"/>
          <w:i/>
          <w:iCs/>
          <w:color w:val="000000"/>
          <w:sz w:val="22"/>
          <w:szCs w:val="22"/>
          <w:shd w:val="clear" w:color="auto" w:fill="FEFEFE"/>
        </w:rPr>
        <w:t>Pediatric Nursing,</w:t>
      </w:r>
      <w:r w:rsidRPr="00E83413">
        <w:rPr>
          <w:rFonts w:cstheme="minorHAnsi"/>
          <w:color w:val="000000"/>
          <w:sz w:val="22"/>
          <w:szCs w:val="22"/>
          <w:shd w:val="clear" w:color="auto" w:fill="FEFEFE"/>
        </w:rPr>
        <w:t xml:space="preserve"> vol. 36, no. 3, 2010, p. 147.</w:t>
      </w:r>
    </w:p>
    <w:p w:rsidRPr="00E83413" w:rsidR="00B60BF2" w:rsidP="00B60BF2" w:rsidRDefault="00B60BF2" w14:paraId="390595C3" w14:textId="45EC98A2">
      <w:pPr>
        <w:pStyle w:val="References"/>
        <w:spacing w:after="120"/>
        <w:rPr>
          <w:rFonts w:cstheme="minorHAnsi"/>
          <w:color w:val="000000"/>
          <w:sz w:val="22"/>
          <w:szCs w:val="22"/>
          <w:shd w:val="clear" w:color="auto" w:fill="FEFEFE"/>
        </w:rPr>
      </w:pPr>
      <w:r w:rsidRPr="00E83413">
        <w:rPr>
          <w:rFonts w:cstheme="minorHAnsi"/>
          <w:color w:val="000000"/>
          <w:sz w:val="22"/>
          <w:szCs w:val="22"/>
          <w:shd w:val="clear" w:color="auto" w:fill="FEFEFE"/>
        </w:rPr>
        <w:t xml:space="preserve">Family &amp; Youth Services Bureau. “State Personal Responsibility Education Program Fact Sheet.” 2020. Washington, DC: Family &amp; Youth Services Bureau. Available at </w:t>
      </w:r>
      <w:hyperlink w:history="1" r:id="rId11">
        <w:r w:rsidRPr="00E83413">
          <w:rPr>
            <w:rFonts w:cstheme="minorHAnsi"/>
            <w:color w:val="000000"/>
            <w:sz w:val="22"/>
            <w:szCs w:val="22"/>
            <w:shd w:val="clear" w:color="auto" w:fill="FEFEFE"/>
          </w:rPr>
          <w:t>https://www.acf.hhs.gov/sites/default/files/documents/fysb/fysb_app_stateprep_factsheet_oc_2020_508.pdf</w:t>
        </w:r>
      </w:hyperlink>
      <w:r w:rsidRPr="00E83413">
        <w:rPr>
          <w:rFonts w:cstheme="minorHAnsi"/>
          <w:color w:val="000000"/>
          <w:sz w:val="22"/>
          <w:szCs w:val="22"/>
          <w:shd w:val="clear" w:color="auto" w:fill="FEFEFE"/>
        </w:rPr>
        <w:t>.</w:t>
      </w:r>
    </w:p>
    <w:p w:rsidRPr="00E83413" w:rsidR="00B60BF2" w:rsidP="00B60BF2" w:rsidRDefault="00B60BF2" w14:paraId="742E9DAE" w14:textId="16AB93A5">
      <w:pPr>
        <w:pStyle w:val="References"/>
        <w:spacing w:after="120"/>
        <w:rPr>
          <w:rFonts w:cstheme="minorHAnsi"/>
          <w:color w:val="000000"/>
          <w:sz w:val="22"/>
          <w:szCs w:val="22"/>
          <w:shd w:val="clear" w:color="auto" w:fill="FEFEFE"/>
        </w:rPr>
      </w:pPr>
      <w:r w:rsidRPr="00E83413">
        <w:rPr>
          <w:rFonts w:cstheme="minorHAnsi"/>
          <w:color w:val="000000"/>
          <w:sz w:val="22"/>
          <w:szCs w:val="22"/>
          <w:shd w:val="clear" w:color="auto" w:fill="FEFEFE"/>
        </w:rPr>
        <w:t xml:space="preserve">Fitzpatrick, M. A., and A.L. Vangelisti. </w:t>
      </w:r>
      <w:r w:rsidRPr="00E83413">
        <w:rPr>
          <w:rFonts w:cstheme="minorHAnsi"/>
          <w:i/>
          <w:iCs/>
          <w:color w:val="000000"/>
          <w:sz w:val="22"/>
          <w:szCs w:val="22"/>
          <w:shd w:val="clear" w:color="auto" w:fill="FEFEFE"/>
        </w:rPr>
        <w:t>Explaining Family Interactions</w:t>
      </w:r>
      <w:r w:rsidRPr="00E83413">
        <w:rPr>
          <w:rFonts w:cstheme="minorHAnsi"/>
          <w:color w:val="000000"/>
          <w:sz w:val="22"/>
          <w:szCs w:val="22"/>
          <w:shd w:val="clear" w:color="auto" w:fill="FEFEFE"/>
        </w:rPr>
        <w:t>. Thousand Oaks, CA: Sage, 1995.</w:t>
      </w:r>
    </w:p>
    <w:p w:rsidRPr="00E83413" w:rsidR="00C3640A" w:rsidP="00B60BF2" w:rsidRDefault="00C3640A" w14:paraId="4F4BD910" w14:textId="5B999220">
      <w:pPr>
        <w:pStyle w:val="References"/>
        <w:spacing w:after="120"/>
        <w:rPr>
          <w:rFonts w:cstheme="minorHAnsi"/>
          <w:color w:val="000000"/>
          <w:sz w:val="22"/>
          <w:szCs w:val="22"/>
          <w:shd w:val="clear" w:color="auto" w:fill="FEFEFE"/>
        </w:rPr>
      </w:pPr>
      <w:r w:rsidRPr="00E83413">
        <w:rPr>
          <w:rFonts w:eastAsiaTheme="minorHAnsi" w:cstheme="minorBidi"/>
          <w:sz w:val="22"/>
          <w:szCs w:val="22"/>
        </w:rPr>
        <w:t>Tourangeau</w:t>
      </w:r>
      <w:r w:rsidRPr="00E83413" w:rsidR="00052135">
        <w:rPr>
          <w:rFonts w:eastAsiaTheme="minorHAnsi" w:cstheme="minorBidi"/>
          <w:sz w:val="22"/>
          <w:szCs w:val="22"/>
        </w:rPr>
        <w:t xml:space="preserve">, R., L.J. Rips, and K. Rasinski, K. </w:t>
      </w:r>
      <w:r w:rsidRPr="00E83413" w:rsidR="005864A3">
        <w:rPr>
          <w:rFonts w:eastAsiaTheme="minorHAnsi" w:cstheme="minorBidi"/>
          <w:i/>
          <w:iCs/>
          <w:sz w:val="22"/>
          <w:szCs w:val="22"/>
        </w:rPr>
        <w:t>The Psychology of Survey Response</w:t>
      </w:r>
      <w:r w:rsidRPr="00E83413" w:rsidR="00052135">
        <w:rPr>
          <w:rFonts w:eastAsiaTheme="minorHAnsi" w:cstheme="minorBidi"/>
          <w:sz w:val="22"/>
          <w:szCs w:val="22"/>
        </w:rPr>
        <w:t>. Cambridge University Press: 2000.</w:t>
      </w:r>
    </w:p>
    <w:p w:rsidRPr="00E83413" w:rsidR="00B60BF2" w:rsidP="00B60BF2" w:rsidRDefault="00B60BF2" w14:paraId="4E6D4080" w14:textId="77777777">
      <w:pPr>
        <w:pStyle w:val="References"/>
        <w:spacing w:after="120"/>
        <w:rPr>
          <w:rFonts w:cstheme="minorHAnsi"/>
          <w:sz w:val="22"/>
          <w:szCs w:val="22"/>
          <w:shd w:val="clear" w:color="auto" w:fill="FEFEFE"/>
        </w:rPr>
      </w:pPr>
      <w:r w:rsidRPr="00E83413">
        <w:rPr>
          <w:rFonts w:cstheme="minorHAnsi"/>
          <w:sz w:val="22"/>
          <w:szCs w:val="22"/>
          <w:shd w:val="clear" w:color="auto" w:fill="FEFEFE"/>
        </w:rPr>
        <w:t>Weir, K. “What Did Distance Learning Accomplish? </w:t>
      </w:r>
      <w:r w:rsidRPr="00E83413">
        <w:rPr>
          <w:rFonts w:cstheme="minorHAnsi"/>
          <w:i/>
          <w:iCs/>
          <w:sz w:val="22"/>
          <w:szCs w:val="22"/>
          <w:shd w:val="clear" w:color="auto" w:fill="FEFEFE"/>
        </w:rPr>
        <w:t>Monitor on Psychology</w:t>
      </w:r>
      <w:r w:rsidRPr="00E83413">
        <w:rPr>
          <w:rFonts w:cstheme="minorHAnsi"/>
          <w:sz w:val="22"/>
          <w:szCs w:val="22"/>
          <w:shd w:val="clear" w:color="auto" w:fill="FEFEFE"/>
        </w:rPr>
        <w:t xml:space="preserve">, vol. 51, no.6, September 2020. Available at </w:t>
      </w:r>
      <w:hyperlink w:history="1" r:id="rId12">
        <w:r w:rsidRPr="00E83413">
          <w:rPr>
            <w:rFonts w:cstheme="minorHAnsi"/>
            <w:sz w:val="22"/>
            <w:szCs w:val="22"/>
            <w:shd w:val="clear" w:color="auto" w:fill="FEFEFE"/>
          </w:rPr>
          <w:t>http://www.apa.org/monitor/2020/09/distance-learning-accomplish</w:t>
        </w:r>
      </w:hyperlink>
      <w:r w:rsidRPr="00E83413">
        <w:rPr>
          <w:rFonts w:cstheme="minorHAnsi"/>
          <w:sz w:val="22"/>
          <w:szCs w:val="22"/>
          <w:shd w:val="clear" w:color="auto" w:fill="FEFEFE"/>
        </w:rPr>
        <w:t>.</w:t>
      </w:r>
    </w:p>
    <w:p w:rsidRPr="005864A3" w:rsidR="00B60BF2" w:rsidP="00B60BF2" w:rsidRDefault="00B60BF2" w14:paraId="50503D66" w14:textId="77777777">
      <w:pPr>
        <w:pStyle w:val="References"/>
        <w:spacing w:after="120"/>
        <w:rPr>
          <w:rFonts w:cstheme="minorHAnsi"/>
          <w:color w:val="000000"/>
          <w:sz w:val="22"/>
          <w:szCs w:val="22"/>
          <w:shd w:val="clear" w:color="auto" w:fill="FEFEFE"/>
        </w:rPr>
      </w:pPr>
      <w:r w:rsidRPr="00E83413">
        <w:rPr>
          <w:rFonts w:cstheme="minorHAnsi"/>
          <w:color w:val="000000"/>
          <w:sz w:val="22"/>
          <w:szCs w:val="22"/>
          <w:shd w:val="clear" w:color="auto" w:fill="FEFEFE"/>
        </w:rPr>
        <w:t xml:space="preserve">Wight, D., and D. Fullerton. “A Review of Interventions with Parents to Promote the Sexual Health of Their Children.” </w:t>
      </w:r>
      <w:r w:rsidRPr="00E83413">
        <w:rPr>
          <w:rFonts w:cstheme="minorHAnsi"/>
          <w:i/>
          <w:iCs/>
          <w:color w:val="000000"/>
          <w:sz w:val="22"/>
          <w:szCs w:val="22"/>
          <w:shd w:val="clear" w:color="auto" w:fill="FEFEFE"/>
        </w:rPr>
        <w:t>Journal of Adolescent Health</w:t>
      </w:r>
      <w:r w:rsidRPr="00E83413">
        <w:rPr>
          <w:rFonts w:cstheme="minorHAnsi"/>
          <w:color w:val="000000"/>
          <w:sz w:val="22"/>
          <w:szCs w:val="22"/>
          <w:shd w:val="clear" w:color="auto" w:fill="FEFEFE"/>
        </w:rPr>
        <w:t>, vol. 52, no. 1, 2013, pp. 4–27.</w:t>
      </w:r>
    </w:p>
    <w:p w:rsidRPr="0052687A" w:rsidR="00B60BF2" w:rsidP="00B60BF2" w:rsidRDefault="00B60BF2" w14:paraId="20A850C0" w14:textId="77777777">
      <w:pPr>
        <w:pStyle w:val="References"/>
        <w:spacing w:after="120"/>
        <w:rPr>
          <w:rFonts w:cstheme="minorHAnsi"/>
          <w:color w:val="000000"/>
          <w:sz w:val="22"/>
          <w:szCs w:val="22"/>
          <w:shd w:val="clear" w:color="auto" w:fill="FEFEFE"/>
        </w:rPr>
      </w:pPr>
    </w:p>
    <w:p w:rsidR="001E6229" w:rsidRDefault="001E6229" w14:paraId="31C30DDD" w14:textId="22F79AB9">
      <w:pPr>
        <w:rPr>
          <w:b/>
        </w:rPr>
      </w:pPr>
    </w:p>
    <w:p w:rsidR="001E6229" w:rsidRDefault="001E6229" w14:paraId="0FF770F8" w14:textId="77777777">
      <w:pPr>
        <w:rPr>
          <w:b/>
        </w:rPr>
      </w:pPr>
    </w:p>
    <w:p w:rsidR="00C3640A" w:rsidRDefault="00C3640A" w14:paraId="4DAA451A" w14:textId="43EAA696">
      <w:pPr>
        <w:rPr>
          <w:b/>
        </w:rPr>
      </w:pPr>
    </w:p>
    <w:sectPr w:rsidR="00C3640A"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62965" w14:textId="77777777" w:rsidR="005C494B" w:rsidRDefault="005C494B" w:rsidP="0004063C">
      <w:pPr>
        <w:spacing w:after="0" w:line="240" w:lineRule="auto"/>
      </w:pPr>
      <w:r>
        <w:separator/>
      </w:r>
    </w:p>
  </w:endnote>
  <w:endnote w:type="continuationSeparator" w:id="0">
    <w:p w14:paraId="2A9576FE" w14:textId="77777777" w:rsidR="005C494B" w:rsidRDefault="005C494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2387299C" w:rsidR="00867741" w:rsidRDefault="00867741">
        <w:pPr>
          <w:pStyle w:val="Footer"/>
          <w:jc w:val="right"/>
        </w:pPr>
        <w:r>
          <w:fldChar w:fldCharType="begin"/>
        </w:r>
        <w:r>
          <w:instrText xml:space="preserve"> PAGE   \* MERGEFORMAT </w:instrText>
        </w:r>
        <w:r>
          <w:fldChar w:fldCharType="separate"/>
        </w:r>
        <w:r w:rsidR="00E83413">
          <w:rPr>
            <w:noProof/>
          </w:rPr>
          <w:t>13</w:t>
        </w:r>
        <w:r>
          <w:rPr>
            <w:noProof/>
          </w:rPr>
          <w:fldChar w:fldCharType="end"/>
        </w:r>
      </w:p>
    </w:sdtContent>
  </w:sdt>
  <w:p w14:paraId="04723F22" w14:textId="77777777" w:rsidR="00867741" w:rsidRDefault="00867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03C57" w14:textId="77777777" w:rsidR="005C494B" w:rsidRDefault="005C494B" w:rsidP="0004063C">
      <w:pPr>
        <w:spacing w:after="0" w:line="240" w:lineRule="auto"/>
      </w:pPr>
      <w:r>
        <w:separator/>
      </w:r>
    </w:p>
  </w:footnote>
  <w:footnote w:type="continuationSeparator" w:id="0">
    <w:p w14:paraId="46D4EE22" w14:textId="77777777" w:rsidR="005C494B" w:rsidRDefault="005C494B" w:rsidP="0004063C">
      <w:pPr>
        <w:spacing w:after="0" w:line="240" w:lineRule="auto"/>
      </w:pPr>
      <w:r>
        <w:continuationSeparator/>
      </w:r>
    </w:p>
  </w:footnote>
  <w:footnote w:id="1">
    <w:p w14:paraId="4F110D3D" w14:textId="0B6506EB" w:rsidR="00867741" w:rsidRPr="00D82755" w:rsidRDefault="00867741" w:rsidP="002560D7">
      <w:pPr>
        <w:pStyle w:val="FootnoteText"/>
      </w:pPr>
      <w:r w:rsidRPr="00D82755">
        <w:rPr>
          <w:rStyle w:val="FootnoteReference"/>
        </w:rPr>
        <w:footnoteRef/>
      </w:r>
      <w:r w:rsidRPr="00D82755">
        <w:t xml:space="preserve"> </w:t>
      </w:r>
      <w:r w:rsidRPr="00D30B6F">
        <w:rPr>
          <w:rFonts w:cstheme="minorHAnsi"/>
        </w:rPr>
        <w:t>Examples of sensitive topics include (but</w:t>
      </w:r>
      <w:r>
        <w:rPr>
          <w:rFonts w:cstheme="minorHAnsi"/>
        </w:rPr>
        <w:t xml:space="preserve"> are</w:t>
      </w:r>
      <w:r w:rsidRPr="00D30B6F">
        <w:rPr>
          <w:rFonts w:cstheme="minorHAnsi"/>
        </w:rPr>
        <w:t xml:space="preserve"> not limited to) </w:t>
      </w:r>
      <w:r>
        <w:rPr>
          <w:rFonts w:cstheme="minorHAnsi"/>
        </w:rPr>
        <w:t>S</w:t>
      </w:r>
      <w:r w:rsidRPr="00D30B6F">
        <w:rPr>
          <w:rFonts w:cstheme="minorHAnsi"/>
        </w:rPr>
        <w:t xml:space="preserve">ocial </w:t>
      </w:r>
      <w:r>
        <w:rPr>
          <w:rFonts w:cstheme="minorHAnsi"/>
        </w:rPr>
        <w:t>S</w:t>
      </w:r>
      <w:r w:rsidRPr="00D30B6F">
        <w:rPr>
          <w:rFonts w:cstheme="minorHAnsi"/>
        </w:rPr>
        <w:t>ecurity number; sex</w:t>
      </w:r>
      <w:r>
        <w:rPr>
          <w:rFonts w:cstheme="minorHAnsi"/>
        </w:rPr>
        <w:t>ual</w:t>
      </w:r>
      <w:r w:rsidRPr="00D30B6F">
        <w:rPr>
          <w:rFonts w:cstheme="minorHAnsi"/>
        </w:rPr>
        <w:t xml:space="preserve"> behavior and attitudes; illegal, antisocial, self-incriminating</w:t>
      </w:r>
      <w:r>
        <w:rPr>
          <w:rFonts w:cstheme="minorHAnsi"/>
        </w:rPr>
        <w:t>,</w:t>
      </w:r>
      <w:r w:rsidRPr="00D30B6F">
        <w:rPr>
          <w:rFonts w:cstheme="minorHAnsi"/>
        </w:rPr>
        <w:t xml:space="preserve">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 or WIC or SNAP); immigration/citizenship status.</w:t>
      </w:r>
    </w:p>
  </w:footnote>
  <w:footnote w:id="2">
    <w:p w14:paraId="0970FF61" w14:textId="5FEDD0AD" w:rsidR="00867741" w:rsidRDefault="00867741">
      <w:pPr>
        <w:pStyle w:val="FootnoteText"/>
      </w:pPr>
      <w:r>
        <w:rPr>
          <w:rStyle w:val="FootnoteReference"/>
        </w:rPr>
        <w:footnoteRef/>
      </w:r>
      <w:r>
        <w:t xml:space="preserve"> </w:t>
      </w:r>
      <w:hyperlink r:id="rId1" w:history="1">
        <w:r w:rsidRPr="00EF5928">
          <w:rPr>
            <w:rStyle w:val="Hyperlink"/>
          </w:rPr>
          <w:t>https://www.bls.gov/news.release/archives/wkyeng_01212021.htm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37B92EA3" w:rsidR="00867741" w:rsidRPr="000D7D44" w:rsidRDefault="00867741"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67741" w:rsidRDefault="00867741"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E5082E"/>
    <w:multiLevelType w:val="multilevel"/>
    <w:tmpl w:val="E97CE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B257C3"/>
    <w:multiLevelType w:val="hybridMultilevel"/>
    <w:tmpl w:val="7ED0786C"/>
    <w:lvl w:ilvl="0" w:tplc="0409000F">
      <w:start w:val="1"/>
      <w:numFmt w:val="decimal"/>
      <w:lvlText w:val="%1."/>
      <w:lvlJc w:val="left"/>
      <w:pPr>
        <w:ind w:left="1440" w:hanging="360"/>
      </w:pPr>
    </w:lvl>
    <w:lvl w:ilvl="1" w:tplc="65E226D0">
      <w:start w:val="1"/>
      <w:numFmt w:val="lowerLetter"/>
      <w:lvlText w:val="%2."/>
      <w:lvlJc w:val="left"/>
      <w:pPr>
        <w:ind w:left="2160" w:hanging="360"/>
      </w:pPr>
      <w:rPr>
        <w:rFonts w:ascii="Times New Roman" w:hAnsi="Times New Roman" w:cs="Times New Roman"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B2F26"/>
    <w:multiLevelType w:val="hybridMultilevel"/>
    <w:tmpl w:val="E0F824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10"/>
  </w:num>
  <w:num w:numId="6">
    <w:abstractNumId w:val="8"/>
  </w:num>
  <w:num w:numId="7">
    <w:abstractNumId w:val="13"/>
  </w:num>
  <w:num w:numId="8">
    <w:abstractNumId w:val="11"/>
  </w:num>
  <w:num w:numId="9">
    <w:abstractNumId w:val="15"/>
  </w:num>
  <w:num w:numId="10">
    <w:abstractNumId w:val="3"/>
  </w:num>
  <w:num w:numId="11">
    <w:abstractNumId w:val="16"/>
  </w:num>
  <w:num w:numId="12">
    <w:abstractNumId w:val="2"/>
  </w:num>
  <w:num w:numId="13">
    <w:abstractNumId w:val="12"/>
  </w:num>
  <w:num w:numId="14">
    <w:abstractNumId w:val="7"/>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B3D"/>
    <w:rsid w:val="0001255D"/>
    <w:rsid w:val="00014EDC"/>
    <w:rsid w:val="00023536"/>
    <w:rsid w:val="00026192"/>
    <w:rsid w:val="00027E79"/>
    <w:rsid w:val="00031D79"/>
    <w:rsid w:val="00034C02"/>
    <w:rsid w:val="000373D8"/>
    <w:rsid w:val="0003782D"/>
    <w:rsid w:val="0004063C"/>
    <w:rsid w:val="00041BDF"/>
    <w:rsid w:val="0004247F"/>
    <w:rsid w:val="00051F43"/>
    <w:rsid w:val="00052135"/>
    <w:rsid w:val="000605B7"/>
    <w:rsid w:val="000608A4"/>
    <w:rsid w:val="00060B30"/>
    <w:rsid w:val="00060C59"/>
    <w:rsid w:val="000617D5"/>
    <w:rsid w:val="000623C4"/>
    <w:rsid w:val="00062AFB"/>
    <w:rsid w:val="000655DD"/>
    <w:rsid w:val="00071F79"/>
    <w:rsid w:val="0007251B"/>
    <w:rsid w:val="000733A5"/>
    <w:rsid w:val="00074819"/>
    <w:rsid w:val="00082C50"/>
    <w:rsid w:val="00082C5B"/>
    <w:rsid w:val="00083227"/>
    <w:rsid w:val="0008432F"/>
    <w:rsid w:val="00086CBE"/>
    <w:rsid w:val="00090812"/>
    <w:rsid w:val="00091823"/>
    <w:rsid w:val="000921F0"/>
    <w:rsid w:val="00096E34"/>
    <w:rsid w:val="00097391"/>
    <w:rsid w:val="000A012A"/>
    <w:rsid w:val="000A07F6"/>
    <w:rsid w:val="000A12C1"/>
    <w:rsid w:val="000B154C"/>
    <w:rsid w:val="000C3D13"/>
    <w:rsid w:val="000C5EF7"/>
    <w:rsid w:val="000C733A"/>
    <w:rsid w:val="000D49F5"/>
    <w:rsid w:val="000D4E9A"/>
    <w:rsid w:val="000D5B12"/>
    <w:rsid w:val="000D6D30"/>
    <w:rsid w:val="000D7D44"/>
    <w:rsid w:val="000E0961"/>
    <w:rsid w:val="000E14BE"/>
    <w:rsid w:val="000E3979"/>
    <w:rsid w:val="000F0BE3"/>
    <w:rsid w:val="000F1E4A"/>
    <w:rsid w:val="001001BC"/>
    <w:rsid w:val="00100D34"/>
    <w:rsid w:val="00103EFD"/>
    <w:rsid w:val="00107D87"/>
    <w:rsid w:val="00110067"/>
    <w:rsid w:val="001102A8"/>
    <w:rsid w:val="00112D50"/>
    <w:rsid w:val="00115818"/>
    <w:rsid w:val="00117F51"/>
    <w:rsid w:val="001210F9"/>
    <w:rsid w:val="00122E25"/>
    <w:rsid w:val="00125303"/>
    <w:rsid w:val="001253F4"/>
    <w:rsid w:val="00136283"/>
    <w:rsid w:val="00144418"/>
    <w:rsid w:val="00144539"/>
    <w:rsid w:val="00146231"/>
    <w:rsid w:val="001462FF"/>
    <w:rsid w:val="00153B3E"/>
    <w:rsid w:val="00157482"/>
    <w:rsid w:val="00165577"/>
    <w:rsid w:val="001707D8"/>
    <w:rsid w:val="001801F7"/>
    <w:rsid w:val="00187417"/>
    <w:rsid w:val="0019491B"/>
    <w:rsid w:val="00195BF4"/>
    <w:rsid w:val="00195FD9"/>
    <w:rsid w:val="001A38FD"/>
    <w:rsid w:val="001B0A76"/>
    <w:rsid w:val="001B2274"/>
    <w:rsid w:val="001B3247"/>
    <w:rsid w:val="001B6E1A"/>
    <w:rsid w:val="001B764F"/>
    <w:rsid w:val="001C021E"/>
    <w:rsid w:val="001D1548"/>
    <w:rsid w:val="001D7761"/>
    <w:rsid w:val="001E6229"/>
    <w:rsid w:val="001E6A8F"/>
    <w:rsid w:val="001F0446"/>
    <w:rsid w:val="001F57F5"/>
    <w:rsid w:val="001F633B"/>
    <w:rsid w:val="00201E6D"/>
    <w:rsid w:val="002030A6"/>
    <w:rsid w:val="0020401C"/>
    <w:rsid w:val="0020629A"/>
    <w:rsid w:val="00206E11"/>
    <w:rsid w:val="00206FE3"/>
    <w:rsid w:val="00207554"/>
    <w:rsid w:val="0021022D"/>
    <w:rsid w:val="00211261"/>
    <w:rsid w:val="00211B78"/>
    <w:rsid w:val="00211D96"/>
    <w:rsid w:val="00214676"/>
    <w:rsid w:val="00216B5F"/>
    <w:rsid w:val="00230CAA"/>
    <w:rsid w:val="002316B2"/>
    <w:rsid w:val="002441BE"/>
    <w:rsid w:val="002465FC"/>
    <w:rsid w:val="002517BB"/>
    <w:rsid w:val="00251E8C"/>
    <w:rsid w:val="002524BB"/>
    <w:rsid w:val="002545AA"/>
    <w:rsid w:val="002560D7"/>
    <w:rsid w:val="00256E24"/>
    <w:rsid w:val="00265491"/>
    <w:rsid w:val="00270719"/>
    <w:rsid w:val="00275337"/>
    <w:rsid w:val="00276CE2"/>
    <w:rsid w:val="00276EA7"/>
    <w:rsid w:val="0028232C"/>
    <w:rsid w:val="002835F0"/>
    <w:rsid w:val="00287AF1"/>
    <w:rsid w:val="002A026A"/>
    <w:rsid w:val="002A41C6"/>
    <w:rsid w:val="002A53D9"/>
    <w:rsid w:val="002B25CA"/>
    <w:rsid w:val="002B5DBE"/>
    <w:rsid w:val="002B785B"/>
    <w:rsid w:val="002C4660"/>
    <w:rsid w:val="002C76FB"/>
    <w:rsid w:val="002D1C11"/>
    <w:rsid w:val="002D5C54"/>
    <w:rsid w:val="002E6386"/>
    <w:rsid w:val="002E6538"/>
    <w:rsid w:val="002E6CCF"/>
    <w:rsid w:val="002F33D0"/>
    <w:rsid w:val="002F51CF"/>
    <w:rsid w:val="00300722"/>
    <w:rsid w:val="0030316D"/>
    <w:rsid w:val="003055C8"/>
    <w:rsid w:val="00306028"/>
    <w:rsid w:val="00321B2F"/>
    <w:rsid w:val="0032450D"/>
    <w:rsid w:val="00330255"/>
    <w:rsid w:val="003352AA"/>
    <w:rsid w:val="00335AC1"/>
    <w:rsid w:val="003404A8"/>
    <w:rsid w:val="003562B0"/>
    <w:rsid w:val="0036090B"/>
    <w:rsid w:val="00363E26"/>
    <w:rsid w:val="003650C1"/>
    <w:rsid w:val="003664F6"/>
    <w:rsid w:val="00372C95"/>
    <w:rsid w:val="00373D2F"/>
    <w:rsid w:val="00385F00"/>
    <w:rsid w:val="00390BF8"/>
    <w:rsid w:val="003949FD"/>
    <w:rsid w:val="003A1178"/>
    <w:rsid w:val="003A1C3E"/>
    <w:rsid w:val="003A3F61"/>
    <w:rsid w:val="003A442E"/>
    <w:rsid w:val="003A7774"/>
    <w:rsid w:val="003C7358"/>
    <w:rsid w:val="003E1FAA"/>
    <w:rsid w:val="003E61F6"/>
    <w:rsid w:val="003F182D"/>
    <w:rsid w:val="003F2866"/>
    <w:rsid w:val="00400834"/>
    <w:rsid w:val="00401D0C"/>
    <w:rsid w:val="00403780"/>
    <w:rsid w:val="00406230"/>
    <w:rsid w:val="00407537"/>
    <w:rsid w:val="00412531"/>
    <w:rsid w:val="00416037"/>
    <w:rsid w:val="004165BD"/>
    <w:rsid w:val="004220C3"/>
    <w:rsid w:val="0042220D"/>
    <w:rsid w:val="00424C47"/>
    <w:rsid w:val="004328A4"/>
    <w:rsid w:val="0043377A"/>
    <w:rsid w:val="00434B5F"/>
    <w:rsid w:val="004379B6"/>
    <w:rsid w:val="0044177D"/>
    <w:rsid w:val="00441A46"/>
    <w:rsid w:val="0044428E"/>
    <w:rsid w:val="00446465"/>
    <w:rsid w:val="00447028"/>
    <w:rsid w:val="00447CB7"/>
    <w:rsid w:val="004531B0"/>
    <w:rsid w:val="004561BB"/>
    <w:rsid w:val="00460D54"/>
    <w:rsid w:val="0046178D"/>
    <w:rsid w:val="00461D3E"/>
    <w:rsid w:val="00464639"/>
    <w:rsid w:val="00466391"/>
    <w:rsid w:val="00467ADF"/>
    <w:rsid w:val="004706CC"/>
    <w:rsid w:val="00472A8D"/>
    <w:rsid w:val="00473945"/>
    <w:rsid w:val="00477FD2"/>
    <w:rsid w:val="00483F2D"/>
    <w:rsid w:val="00484036"/>
    <w:rsid w:val="004A3594"/>
    <w:rsid w:val="004B4839"/>
    <w:rsid w:val="004B75AA"/>
    <w:rsid w:val="004B75AC"/>
    <w:rsid w:val="004C195A"/>
    <w:rsid w:val="004C3644"/>
    <w:rsid w:val="004C7D90"/>
    <w:rsid w:val="004D12DD"/>
    <w:rsid w:val="004D1E55"/>
    <w:rsid w:val="004D2A3E"/>
    <w:rsid w:val="004D68E2"/>
    <w:rsid w:val="004E5778"/>
    <w:rsid w:val="004E7B47"/>
    <w:rsid w:val="004E7ED8"/>
    <w:rsid w:val="004F0684"/>
    <w:rsid w:val="004F146F"/>
    <w:rsid w:val="004F5A59"/>
    <w:rsid w:val="004F5F61"/>
    <w:rsid w:val="0050376D"/>
    <w:rsid w:val="00504E81"/>
    <w:rsid w:val="00512C25"/>
    <w:rsid w:val="00512FA1"/>
    <w:rsid w:val="00514C93"/>
    <w:rsid w:val="00521D17"/>
    <w:rsid w:val="005302CB"/>
    <w:rsid w:val="00531B05"/>
    <w:rsid w:val="005374A8"/>
    <w:rsid w:val="0054255A"/>
    <w:rsid w:val="0055068A"/>
    <w:rsid w:val="0055434C"/>
    <w:rsid w:val="005607D4"/>
    <w:rsid w:val="00563941"/>
    <w:rsid w:val="00577243"/>
    <w:rsid w:val="005864A3"/>
    <w:rsid w:val="00591283"/>
    <w:rsid w:val="00591A60"/>
    <w:rsid w:val="00592F7F"/>
    <w:rsid w:val="005A2190"/>
    <w:rsid w:val="005A3B56"/>
    <w:rsid w:val="005A61CE"/>
    <w:rsid w:val="005A62DC"/>
    <w:rsid w:val="005A7E5A"/>
    <w:rsid w:val="005B1285"/>
    <w:rsid w:val="005B1410"/>
    <w:rsid w:val="005B1586"/>
    <w:rsid w:val="005B3220"/>
    <w:rsid w:val="005B5FCC"/>
    <w:rsid w:val="005B60DD"/>
    <w:rsid w:val="005B759D"/>
    <w:rsid w:val="005C061D"/>
    <w:rsid w:val="005C494B"/>
    <w:rsid w:val="005C61FF"/>
    <w:rsid w:val="005D4A40"/>
    <w:rsid w:val="005E348F"/>
    <w:rsid w:val="005E3F36"/>
    <w:rsid w:val="005E493B"/>
    <w:rsid w:val="005E520D"/>
    <w:rsid w:val="005E7AAF"/>
    <w:rsid w:val="005E7DDA"/>
    <w:rsid w:val="005F2951"/>
    <w:rsid w:val="005F3461"/>
    <w:rsid w:val="005F5549"/>
    <w:rsid w:val="00603401"/>
    <w:rsid w:val="006036E0"/>
    <w:rsid w:val="00611EE1"/>
    <w:rsid w:val="00613C40"/>
    <w:rsid w:val="00624DDC"/>
    <w:rsid w:val="006253B6"/>
    <w:rsid w:val="006257ED"/>
    <w:rsid w:val="0062686E"/>
    <w:rsid w:val="00626890"/>
    <w:rsid w:val="006275E2"/>
    <w:rsid w:val="00630B30"/>
    <w:rsid w:val="0064351D"/>
    <w:rsid w:val="00647969"/>
    <w:rsid w:val="00651FF6"/>
    <w:rsid w:val="00654CB7"/>
    <w:rsid w:val="00667E56"/>
    <w:rsid w:val="00671142"/>
    <w:rsid w:val="00675D39"/>
    <w:rsid w:val="00676A15"/>
    <w:rsid w:val="0068303E"/>
    <w:rsid w:val="0068383E"/>
    <w:rsid w:val="00690637"/>
    <w:rsid w:val="00690F88"/>
    <w:rsid w:val="00691811"/>
    <w:rsid w:val="00695AA6"/>
    <w:rsid w:val="00697CBE"/>
    <w:rsid w:val="006A2B00"/>
    <w:rsid w:val="006A4D02"/>
    <w:rsid w:val="006A7C29"/>
    <w:rsid w:val="006B1BF9"/>
    <w:rsid w:val="006B31DA"/>
    <w:rsid w:val="006B31FE"/>
    <w:rsid w:val="006B53F1"/>
    <w:rsid w:val="006B6037"/>
    <w:rsid w:val="006C0E56"/>
    <w:rsid w:val="006C2708"/>
    <w:rsid w:val="006C73D2"/>
    <w:rsid w:val="006D0687"/>
    <w:rsid w:val="006D1D1E"/>
    <w:rsid w:val="006D5D4D"/>
    <w:rsid w:val="006D7524"/>
    <w:rsid w:val="006E4F82"/>
    <w:rsid w:val="006F0FDD"/>
    <w:rsid w:val="006F188A"/>
    <w:rsid w:val="006F4546"/>
    <w:rsid w:val="006F61B1"/>
    <w:rsid w:val="00702029"/>
    <w:rsid w:val="00707C6B"/>
    <w:rsid w:val="00714E70"/>
    <w:rsid w:val="00717BDC"/>
    <w:rsid w:val="00720604"/>
    <w:rsid w:val="00721395"/>
    <w:rsid w:val="00721E60"/>
    <w:rsid w:val="00722FFF"/>
    <w:rsid w:val="007236A0"/>
    <w:rsid w:val="00723A28"/>
    <w:rsid w:val="00727F69"/>
    <w:rsid w:val="007352A8"/>
    <w:rsid w:val="00736B62"/>
    <w:rsid w:val="00743F9A"/>
    <w:rsid w:val="00746B61"/>
    <w:rsid w:val="00751987"/>
    <w:rsid w:val="0075675E"/>
    <w:rsid w:val="00757DE1"/>
    <w:rsid w:val="007612BE"/>
    <w:rsid w:val="00764C85"/>
    <w:rsid w:val="007659CB"/>
    <w:rsid w:val="00766EC3"/>
    <w:rsid w:val="00782D0D"/>
    <w:rsid w:val="007844AD"/>
    <w:rsid w:val="00786AC2"/>
    <w:rsid w:val="007917FF"/>
    <w:rsid w:val="00793E3E"/>
    <w:rsid w:val="00794FCF"/>
    <w:rsid w:val="007A29C5"/>
    <w:rsid w:val="007A7A62"/>
    <w:rsid w:val="007B18E0"/>
    <w:rsid w:val="007B7066"/>
    <w:rsid w:val="007C7B4B"/>
    <w:rsid w:val="007D0F6E"/>
    <w:rsid w:val="007E0105"/>
    <w:rsid w:val="007E3475"/>
    <w:rsid w:val="007F37D2"/>
    <w:rsid w:val="007F3DC0"/>
    <w:rsid w:val="00802DEC"/>
    <w:rsid w:val="00802F28"/>
    <w:rsid w:val="00810635"/>
    <w:rsid w:val="0081152D"/>
    <w:rsid w:val="008126B1"/>
    <w:rsid w:val="00813994"/>
    <w:rsid w:val="00823428"/>
    <w:rsid w:val="00823C72"/>
    <w:rsid w:val="008267B4"/>
    <w:rsid w:val="00834C54"/>
    <w:rsid w:val="008369BA"/>
    <w:rsid w:val="008401EA"/>
    <w:rsid w:val="00840D32"/>
    <w:rsid w:val="00841257"/>
    <w:rsid w:val="00842CAB"/>
    <w:rsid w:val="00843933"/>
    <w:rsid w:val="0084522B"/>
    <w:rsid w:val="0084783C"/>
    <w:rsid w:val="00847B2E"/>
    <w:rsid w:val="00847EA6"/>
    <w:rsid w:val="008502D9"/>
    <w:rsid w:val="008507BD"/>
    <w:rsid w:val="00850F4C"/>
    <w:rsid w:val="00852322"/>
    <w:rsid w:val="008579BC"/>
    <w:rsid w:val="0086437C"/>
    <w:rsid w:val="00864C1F"/>
    <w:rsid w:val="00867741"/>
    <w:rsid w:val="00870C02"/>
    <w:rsid w:val="00870FA1"/>
    <w:rsid w:val="00875220"/>
    <w:rsid w:val="00876A55"/>
    <w:rsid w:val="008849CE"/>
    <w:rsid w:val="00891CD9"/>
    <w:rsid w:val="0089311B"/>
    <w:rsid w:val="00896E86"/>
    <w:rsid w:val="008A2296"/>
    <w:rsid w:val="008A49BA"/>
    <w:rsid w:val="008A547C"/>
    <w:rsid w:val="008C0945"/>
    <w:rsid w:val="008C3717"/>
    <w:rsid w:val="008C79B8"/>
    <w:rsid w:val="008C7CA9"/>
    <w:rsid w:val="008D07C6"/>
    <w:rsid w:val="008D2DFF"/>
    <w:rsid w:val="008E0239"/>
    <w:rsid w:val="008E1982"/>
    <w:rsid w:val="008E2D89"/>
    <w:rsid w:val="008E3BAF"/>
    <w:rsid w:val="008E4718"/>
    <w:rsid w:val="008E6106"/>
    <w:rsid w:val="008E62BC"/>
    <w:rsid w:val="008E7D3C"/>
    <w:rsid w:val="008F0C75"/>
    <w:rsid w:val="008F2446"/>
    <w:rsid w:val="00901040"/>
    <w:rsid w:val="00906F6A"/>
    <w:rsid w:val="00917365"/>
    <w:rsid w:val="00923943"/>
    <w:rsid w:val="00923F25"/>
    <w:rsid w:val="0092424B"/>
    <w:rsid w:val="00930593"/>
    <w:rsid w:val="00930832"/>
    <w:rsid w:val="00930DA3"/>
    <w:rsid w:val="00932942"/>
    <w:rsid w:val="009508AC"/>
    <w:rsid w:val="00954726"/>
    <w:rsid w:val="0096287B"/>
    <w:rsid w:val="00962F09"/>
    <w:rsid w:val="00963503"/>
    <w:rsid w:val="00963DA4"/>
    <w:rsid w:val="00965DBD"/>
    <w:rsid w:val="00967B04"/>
    <w:rsid w:val="00971944"/>
    <w:rsid w:val="00973303"/>
    <w:rsid w:val="00976F39"/>
    <w:rsid w:val="009815C6"/>
    <w:rsid w:val="00984036"/>
    <w:rsid w:val="00987A70"/>
    <w:rsid w:val="00996201"/>
    <w:rsid w:val="00996A5D"/>
    <w:rsid w:val="009977D8"/>
    <w:rsid w:val="009A3885"/>
    <w:rsid w:val="009A39E1"/>
    <w:rsid w:val="009A3AD8"/>
    <w:rsid w:val="009A44CE"/>
    <w:rsid w:val="009A6EE8"/>
    <w:rsid w:val="009B0F58"/>
    <w:rsid w:val="009C3380"/>
    <w:rsid w:val="009C45C4"/>
    <w:rsid w:val="009E7E38"/>
    <w:rsid w:val="009F265B"/>
    <w:rsid w:val="009F482C"/>
    <w:rsid w:val="009F536F"/>
    <w:rsid w:val="009F6064"/>
    <w:rsid w:val="009F68DB"/>
    <w:rsid w:val="00A03E3F"/>
    <w:rsid w:val="00A1108E"/>
    <w:rsid w:val="00A14594"/>
    <w:rsid w:val="00A1693B"/>
    <w:rsid w:val="00A27CD0"/>
    <w:rsid w:val="00A36134"/>
    <w:rsid w:val="00A362B6"/>
    <w:rsid w:val="00A37E92"/>
    <w:rsid w:val="00A429DA"/>
    <w:rsid w:val="00A52FB3"/>
    <w:rsid w:val="00A63DE9"/>
    <w:rsid w:val="00A65859"/>
    <w:rsid w:val="00A66122"/>
    <w:rsid w:val="00A67DFF"/>
    <w:rsid w:val="00A71475"/>
    <w:rsid w:val="00A714DC"/>
    <w:rsid w:val="00A7179C"/>
    <w:rsid w:val="00A71D77"/>
    <w:rsid w:val="00A74D6C"/>
    <w:rsid w:val="00A761CB"/>
    <w:rsid w:val="00A802ED"/>
    <w:rsid w:val="00A85701"/>
    <w:rsid w:val="00A90765"/>
    <w:rsid w:val="00A9394D"/>
    <w:rsid w:val="00AB71E2"/>
    <w:rsid w:val="00AC5C58"/>
    <w:rsid w:val="00AD0344"/>
    <w:rsid w:val="00AD3261"/>
    <w:rsid w:val="00AD3AAF"/>
    <w:rsid w:val="00AD4355"/>
    <w:rsid w:val="00AD47E4"/>
    <w:rsid w:val="00AE0381"/>
    <w:rsid w:val="00AE0A37"/>
    <w:rsid w:val="00AE3F5F"/>
    <w:rsid w:val="00AE782B"/>
    <w:rsid w:val="00AF5CBC"/>
    <w:rsid w:val="00AF7EB0"/>
    <w:rsid w:val="00B026D1"/>
    <w:rsid w:val="00B04785"/>
    <w:rsid w:val="00B076A7"/>
    <w:rsid w:val="00B13297"/>
    <w:rsid w:val="00B13DC4"/>
    <w:rsid w:val="00B16899"/>
    <w:rsid w:val="00B17B7C"/>
    <w:rsid w:val="00B23277"/>
    <w:rsid w:val="00B237BB"/>
    <w:rsid w:val="00B245AD"/>
    <w:rsid w:val="00B3652D"/>
    <w:rsid w:val="00B4182B"/>
    <w:rsid w:val="00B4646B"/>
    <w:rsid w:val="00B5247B"/>
    <w:rsid w:val="00B543AE"/>
    <w:rsid w:val="00B55E54"/>
    <w:rsid w:val="00B56589"/>
    <w:rsid w:val="00B60BF2"/>
    <w:rsid w:val="00B6168F"/>
    <w:rsid w:val="00B64D05"/>
    <w:rsid w:val="00B64F67"/>
    <w:rsid w:val="00B70460"/>
    <w:rsid w:val="00B76212"/>
    <w:rsid w:val="00B775CA"/>
    <w:rsid w:val="00B8444F"/>
    <w:rsid w:val="00B922E3"/>
    <w:rsid w:val="00B9441B"/>
    <w:rsid w:val="00B96AB6"/>
    <w:rsid w:val="00BA0297"/>
    <w:rsid w:val="00BA22E2"/>
    <w:rsid w:val="00BA4DBD"/>
    <w:rsid w:val="00BB4BF8"/>
    <w:rsid w:val="00BC18D3"/>
    <w:rsid w:val="00BC1DE9"/>
    <w:rsid w:val="00BC76E1"/>
    <w:rsid w:val="00BD702B"/>
    <w:rsid w:val="00BD7963"/>
    <w:rsid w:val="00BD7B78"/>
    <w:rsid w:val="00BE371B"/>
    <w:rsid w:val="00BE773B"/>
    <w:rsid w:val="00BF1B7D"/>
    <w:rsid w:val="00BF463A"/>
    <w:rsid w:val="00BF4732"/>
    <w:rsid w:val="00C05352"/>
    <w:rsid w:val="00C11EA7"/>
    <w:rsid w:val="00C13AC3"/>
    <w:rsid w:val="00C175E5"/>
    <w:rsid w:val="00C24327"/>
    <w:rsid w:val="00C24589"/>
    <w:rsid w:val="00C27E6C"/>
    <w:rsid w:val="00C32404"/>
    <w:rsid w:val="00C3640A"/>
    <w:rsid w:val="00C408E2"/>
    <w:rsid w:val="00C42644"/>
    <w:rsid w:val="00C4267E"/>
    <w:rsid w:val="00C4656E"/>
    <w:rsid w:val="00C46E94"/>
    <w:rsid w:val="00C53AEC"/>
    <w:rsid w:val="00C624AA"/>
    <w:rsid w:val="00C62CD4"/>
    <w:rsid w:val="00C6393E"/>
    <w:rsid w:val="00C67280"/>
    <w:rsid w:val="00C7152E"/>
    <w:rsid w:val="00C73360"/>
    <w:rsid w:val="00C7673F"/>
    <w:rsid w:val="00C8357D"/>
    <w:rsid w:val="00C86CB2"/>
    <w:rsid w:val="00C91C71"/>
    <w:rsid w:val="00C9297C"/>
    <w:rsid w:val="00C93F21"/>
    <w:rsid w:val="00C95126"/>
    <w:rsid w:val="00CA72A5"/>
    <w:rsid w:val="00CB1F9B"/>
    <w:rsid w:val="00CB212E"/>
    <w:rsid w:val="00CB4358"/>
    <w:rsid w:val="00CB57CE"/>
    <w:rsid w:val="00CC07BF"/>
    <w:rsid w:val="00CC3A0A"/>
    <w:rsid w:val="00CC4651"/>
    <w:rsid w:val="00CD1B0E"/>
    <w:rsid w:val="00CD1D4F"/>
    <w:rsid w:val="00CD75F6"/>
    <w:rsid w:val="00CE018E"/>
    <w:rsid w:val="00CE169B"/>
    <w:rsid w:val="00CE7A4A"/>
    <w:rsid w:val="00CF0052"/>
    <w:rsid w:val="00CF0862"/>
    <w:rsid w:val="00CF315D"/>
    <w:rsid w:val="00CF6EFE"/>
    <w:rsid w:val="00D0434C"/>
    <w:rsid w:val="00D1343F"/>
    <w:rsid w:val="00D13AA8"/>
    <w:rsid w:val="00D22581"/>
    <w:rsid w:val="00D239B5"/>
    <w:rsid w:val="00D30B6F"/>
    <w:rsid w:val="00D316E0"/>
    <w:rsid w:val="00D32B72"/>
    <w:rsid w:val="00D32E6D"/>
    <w:rsid w:val="00D33D64"/>
    <w:rsid w:val="00D4033C"/>
    <w:rsid w:val="00D45504"/>
    <w:rsid w:val="00D51986"/>
    <w:rsid w:val="00D5346A"/>
    <w:rsid w:val="00D55767"/>
    <w:rsid w:val="00D61E5A"/>
    <w:rsid w:val="00D643DA"/>
    <w:rsid w:val="00D6609E"/>
    <w:rsid w:val="00D71BA0"/>
    <w:rsid w:val="00D71D01"/>
    <w:rsid w:val="00D73699"/>
    <w:rsid w:val="00D749DF"/>
    <w:rsid w:val="00D77106"/>
    <w:rsid w:val="00D77957"/>
    <w:rsid w:val="00D82426"/>
    <w:rsid w:val="00D82755"/>
    <w:rsid w:val="00D82E67"/>
    <w:rsid w:val="00D831AC"/>
    <w:rsid w:val="00D87630"/>
    <w:rsid w:val="00D87B09"/>
    <w:rsid w:val="00D97926"/>
    <w:rsid w:val="00D97A97"/>
    <w:rsid w:val="00DA2245"/>
    <w:rsid w:val="00DA3557"/>
    <w:rsid w:val="00DA4701"/>
    <w:rsid w:val="00DB1DC6"/>
    <w:rsid w:val="00DB3647"/>
    <w:rsid w:val="00DB4C67"/>
    <w:rsid w:val="00DC055F"/>
    <w:rsid w:val="00DC24C6"/>
    <w:rsid w:val="00DC36AE"/>
    <w:rsid w:val="00DC4D02"/>
    <w:rsid w:val="00DC65F2"/>
    <w:rsid w:val="00DC7876"/>
    <w:rsid w:val="00DC7DD5"/>
    <w:rsid w:val="00DE221E"/>
    <w:rsid w:val="00DE3ED7"/>
    <w:rsid w:val="00DE7360"/>
    <w:rsid w:val="00DF1291"/>
    <w:rsid w:val="00DF575E"/>
    <w:rsid w:val="00E0689A"/>
    <w:rsid w:val="00E1392C"/>
    <w:rsid w:val="00E218C4"/>
    <w:rsid w:val="00E22AC6"/>
    <w:rsid w:val="00E238CD"/>
    <w:rsid w:val="00E24830"/>
    <w:rsid w:val="00E271B3"/>
    <w:rsid w:val="00E318A6"/>
    <w:rsid w:val="00E33D68"/>
    <w:rsid w:val="00E41C62"/>
    <w:rsid w:val="00E41EE9"/>
    <w:rsid w:val="00E44AB6"/>
    <w:rsid w:val="00E461D4"/>
    <w:rsid w:val="00E477C6"/>
    <w:rsid w:val="00E47838"/>
    <w:rsid w:val="00E5133F"/>
    <w:rsid w:val="00E55F49"/>
    <w:rsid w:val="00E56389"/>
    <w:rsid w:val="00E57403"/>
    <w:rsid w:val="00E62285"/>
    <w:rsid w:val="00E62819"/>
    <w:rsid w:val="00E64242"/>
    <w:rsid w:val="00E6529C"/>
    <w:rsid w:val="00E67567"/>
    <w:rsid w:val="00E70268"/>
    <w:rsid w:val="00E71E25"/>
    <w:rsid w:val="00E83413"/>
    <w:rsid w:val="00E9045F"/>
    <w:rsid w:val="00E91E98"/>
    <w:rsid w:val="00E962FE"/>
    <w:rsid w:val="00EA0D4F"/>
    <w:rsid w:val="00EA2A76"/>
    <w:rsid w:val="00EA405B"/>
    <w:rsid w:val="00EB084E"/>
    <w:rsid w:val="00EB28AA"/>
    <w:rsid w:val="00EB45AD"/>
    <w:rsid w:val="00EB4C26"/>
    <w:rsid w:val="00EB6134"/>
    <w:rsid w:val="00EB6586"/>
    <w:rsid w:val="00EC1A6C"/>
    <w:rsid w:val="00EC2119"/>
    <w:rsid w:val="00EC282C"/>
    <w:rsid w:val="00EC46E1"/>
    <w:rsid w:val="00EC6D70"/>
    <w:rsid w:val="00ED2D58"/>
    <w:rsid w:val="00ED7509"/>
    <w:rsid w:val="00EE076C"/>
    <w:rsid w:val="00EE3785"/>
    <w:rsid w:val="00EE38AF"/>
    <w:rsid w:val="00EE79A1"/>
    <w:rsid w:val="00EE7A69"/>
    <w:rsid w:val="00EF254B"/>
    <w:rsid w:val="00EF4FF2"/>
    <w:rsid w:val="00EF798B"/>
    <w:rsid w:val="00F00EC9"/>
    <w:rsid w:val="00F01F50"/>
    <w:rsid w:val="00F0499F"/>
    <w:rsid w:val="00F071DE"/>
    <w:rsid w:val="00F10A03"/>
    <w:rsid w:val="00F15BCE"/>
    <w:rsid w:val="00F2101C"/>
    <w:rsid w:val="00F2288F"/>
    <w:rsid w:val="00F25AF6"/>
    <w:rsid w:val="00F325A3"/>
    <w:rsid w:val="00F32F22"/>
    <w:rsid w:val="00F4057A"/>
    <w:rsid w:val="00F42057"/>
    <w:rsid w:val="00F42246"/>
    <w:rsid w:val="00F52F0F"/>
    <w:rsid w:val="00F543E9"/>
    <w:rsid w:val="00F60D0D"/>
    <w:rsid w:val="00F623BA"/>
    <w:rsid w:val="00F664F2"/>
    <w:rsid w:val="00F7142A"/>
    <w:rsid w:val="00F72300"/>
    <w:rsid w:val="00F729CA"/>
    <w:rsid w:val="00F74630"/>
    <w:rsid w:val="00F87CA1"/>
    <w:rsid w:val="00F87FE9"/>
    <w:rsid w:val="00F9122A"/>
    <w:rsid w:val="00F92B44"/>
    <w:rsid w:val="00F93289"/>
    <w:rsid w:val="00F94F10"/>
    <w:rsid w:val="00F95830"/>
    <w:rsid w:val="00FA6996"/>
    <w:rsid w:val="00FA6D2C"/>
    <w:rsid w:val="00FB3629"/>
    <w:rsid w:val="00FB5BF6"/>
    <w:rsid w:val="00FC0E61"/>
    <w:rsid w:val="00FC758D"/>
    <w:rsid w:val="00FC779A"/>
    <w:rsid w:val="00FD4587"/>
    <w:rsid w:val="00FE5A1C"/>
    <w:rsid w:val="00FE700F"/>
    <w:rsid w:val="00FF16D2"/>
    <w:rsid w:val="00FF5C51"/>
    <w:rsid w:val="00FF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A2634334-A434-4C29-B589-1E07227A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B524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9"/>
    <w:semiHidden/>
    <w:rsid w:val="0032450D"/>
    <w:pPr>
      <w:keepNext/>
      <w:numPr>
        <w:ilvl w:val="5"/>
        <w:numId w:val="14"/>
      </w:numPr>
      <w:spacing w:after="120"/>
      <w:outlineLvl w:val="5"/>
    </w:pPr>
    <w:rPr>
      <w:rFonts w:eastAsia="Times New Roman" w:cs="Times New Roman"/>
      <w:sz w:val="24"/>
      <w:szCs w:val="20"/>
    </w:rPr>
  </w:style>
  <w:style w:type="paragraph" w:styleId="Heading7">
    <w:name w:val="heading 7"/>
    <w:basedOn w:val="Normal"/>
    <w:next w:val="Normal"/>
    <w:link w:val="Heading7Char"/>
    <w:uiPriority w:val="99"/>
    <w:semiHidden/>
    <w:rsid w:val="0032450D"/>
    <w:pPr>
      <w:keepNext/>
      <w:numPr>
        <w:ilvl w:val="6"/>
        <w:numId w:val="14"/>
      </w:numPr>
      <w:spacing w:after="120"/>
      <w:outlineLvl w:val="6"/>
    </w:pPr>
    <w:rPr>
      <w:rFonts w:eastAsia="Times New Roman" w:cs="Times New Roman"/>
      <w:sz w:val="24"/>
      <w:szCs w:val="20"/>
    </w:rPr>
  </w:style>
  <w:style w:type="paragraph" w:styleId="Heading8">
    <w:name w:val="heading 8"/>
    <w:basedOn w:val="Normal"/>
    <w:next w:val="Normal"/>
    <w:link w:val="Heading8Char"/>
    <w:uiPriority w:val="99"/>
    <w:semiHidden/>
    <w:rsid w:val="0032450D"/>
    <w:pPr>
      <w:keepNext/>
      <w:numPr>
        <w:ilvl w:val="7"/>
        <w:numId w:val="14"/>
      </w:numPr>
      <w:spacing w:after="120"/>
      <w:outlineLvl w:val="7"/>
    </w:pPr>
    <w:rPr>
      <w:rFonts w:eastAsia="Times New Roman" w:cs="Times New Roman"/>
      <w:sz w:val="24"/>
      <w:szCs w:val="20"/>
    </w:rPr>
  </w:style>
  <w:style w:type="paragraph" w:styleId="Heading9">
    <w:name w:val="heading 9"/>
    <w:aliases w:val="Heading 9 (business proposal only)"/>
    <w:basedOn w:val="Normal"/>
    <w:next w:val="Normal"/>
    <w:link w:val="Heading9Char"/>
    <w:uiPriority w:val="99"/>
    <w:semiHidden/>
    <w:rsid w:val="0032450D"/>
    <w:pPr>
      <w:keepNext/>
      <w:numPr>
        <w:ilvl w:val="8"/>
        <w:numId w:val="14"/>
      </w:numPr>
      <w:spacing w:after="120"/>
      <w:outlineLvl w:val="8"/>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uiPriority w:val="1"/>
    <w:qFormat/>
    <w:rsid w:val="00EA2A76"/>
    <w:rPr>
      <w:rFonts w:eastAsia="Times New Roman" w:cs="Times New Roman"/>
      <w:sz w:val="24"/>
      <w:szCs w:val="20"/>
    </w:rPr>
  </w:style>
  <w:style w:type="paragraph" w:customStyle="1" w:styleId="TableTitle">
    <w:name w:val="Table Title"/>
    <w:basedOn w:val="Normal"/>
    <w:next w:val="Paragraph"/>
    <w:qFormat/>
    <w:rsid w:val="00F325A3"/>
    <w:pPr>
      <w:keepNext/>
      <w:spacing w:before="360" w:after="60"/>
    </w:pPr>
    <w:rPr>
      <w:rFonts w:asciiTheme="majorHAnsi" w:eastAsia="Times New Roman" w:hAnsiTheme="majorHAnsi" w:cs="Times New Roman"/>
      <w:b/>
      <w:szCs w:val="20"/>
    </w:rPr>
  </w:style>
  <w:style w:type="paragraph" w:customStyle="1" w:styleId="TableHeaderCenter">
    <w:name w:val="Table Header Center"/>
    <w:basedOn w:val="Normal"/>
    <w:qFormat/>
    <w:rsid w:val="00F325A3"/>
    <w:pPr>
      <w:spacing w:before="120" w:after="6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extLeft">
    <w:name w:val="Table Text Left"/>
    <w:basedOn w:val="Normal"/>
    <w:uiPriority w:val="1"/>
    <w:qFormat/>
    <w:rsid w:val="00F325A3"/>
    <w:pPr>
      <w:spacing w:after="60" w:line="240" w:lineRule="auto"/>
    </w:pPr>
    <w:rPr>
      <w:rFonts w:asciiTheme="majorHAnsi" w:eastAsia="Times New Roman" w:hAnsiTheme="majorHAnsi" w:cs="Times New Roman"/>
      <w:sz w:val="20"/>
      <w:szCs w:val="20"/>
    </w:rPr>
  </w:style>
  <w:style w:type="paragraph" w:customStyle="1" w:styleId="bodytext-gph">
    <w:name w:val="body text-gph"/>
    <w:link w:val="bodytext-gphChar"/>
    <w:rsid w:val="008401EA"/>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8401EA"/>
    <w:rPr>
      <w:rFonts w:ascii="Times New Roman" w:eastAsia="Times New Roman" w:hAnsi="Times New Roman" w:cs="Times New Roman"/>
      <w:sz w:val="23"/>
    </w:rPr>
  </w:style>
  <w:style w:type="paragraph" w:styleId="Caption">
    <w:name w:val="caption"/>
    <w:basedOn w:val="Normal"/>
    <w:uiPriority w:val="35"/>
    <w:qFormat/>
    <w:rsid w:val="008401EA"/>
    <w:pPr>
      <w:spacing w:after="0" w:line="240" w:lineRule="auto"/>
      <w:ind w:left="360"/>
    </w:pPr>
    <w:rPr>
      <w:rFonts w:ascii="Calibri" w:eastAsia="Times New Roman" w:hAnsi="Calibri" w:cs="Times New Roman"/>
      <w:b/>
      <w:bCs/>
      <w:sz w:val="20"/>
      <w:szCs w:val="20"/>
    </w:rPr>
  </w:style>
  <w:style w:type="paragraph" w:styleId="BodyText">
    <w:name w:val="Body Text"/>
    <w:basedOn w:val="Normal"/>
    <w:link w:val="BodyTextChar"/>
    <w:uiPriority w:val="99"/>
    <w:unhideWhenUsed/>
    <w:rsid w:val="008401E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01EA"/>
    <w:rPr>
      <w:rFonts w:ascii="Times New Roman" w:eastAsia="Times New Roman" w:hAnsi="Times New Roman" w:cs="Times New Roman"/>
      <w:sz w:val="24"/>
      <w:szCs w:val="24"/>
    </w:rPr>
  </w:style>
  <w:style w:type="paragraph" w:customStyle="1" w:styleId="Stylebodytext-gphBefore6pt">
    <w:name w:val="Style body text-gph + Before:  6 pt"/>
    <w:basedOn w:val="bodytext-gph"/>
    <w:rsid w:val="008401EA"/>
    <w:pPr>
      <w:spacing w:before="120"/>
    </w:pPr>
    <w:rPr>
      <w:rFonts w:ascii="Calibri" w:hAnsi="Calibri"/>
      <w:sz w:val="24"/>
      <w:szCs w:val="20"/>
    </w:rPr>
  </w:style>
  <w:style w:type="character" w:customStyle="1" w:styleId="Heading6Char">
    <w:name w:val="Heading 6 Char"/>
    <w:basedOn w:val="DefaultParagraphFont"/>
    <w:link w:val="Heading6"/>
    <w:uiPriority w:val="99"/>
    <w:semiHidden/>
    <w:rsid w:val="0032450D"/>
    <w:rPr>
      <w:rFonts w:eastAsia="Times New Roman" w:cs="Times New Roman"/>
      <w:sz w:val="24"/>
      <w:szCs w:val="20"/>
    </w:rPr>
  </w:style>
  <w:style w:type="character" w:customStyle="1" w:styleId="Heading7Char">
    <w:name w:val="Heading 7 Char"/>
    <w:basedOn w:val="DefaultParagraphFont"/>
    <w:link w:val="Heading7"/>
    <w:uiPriority w:val="99"/>
    <w:semiHidden/>
    <w:rsid w:val="0032450D"/>
    <w:rPr>
      <w:rFonts w:eastAsia="Times New Roman" w:cs="Times New Roman"/>
      <w:sz w:val="24"/>
      <w:szCs w:val="20"/>
    </w:rPr>
  </w:style>
  <w:style w:type="character" w:customStyle="1" w:styleId="Heading8Char">
    <w:name w:val="Heading 8 Char"/>
    <w:basedOn w:val="DefaultParagraphFont"/>
    <w:link w:val="Heading8"/>
    <w:uiPriority w:val="99"/>
    <w:semiHidden/>
    <w:rsid w:val="0032450D"/>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32450D"/>
    <w:rPr>
      <w:rFonts w:eastAsia="Times New Roman" w:cs="Times New Roman"/>
      <w:sz w:val="24"/>
      <w:szCs w:val="20"/>
    </w:rPr>
  </w:style>
  <w:style w:type="paragraph" w:customStyle="1" w:styleId="Bullet">
    <w:name w:val="Bullet"/>
    <w:basedOn w:val="Normal"/>
    <w:qFormat/>
    <w:rsid w:val="00EE79A1"/>
    <w:pPr>
      <w:numPr>
        <w:numId w:val="20"/>
      </w:numPr>
      <w:spacing w:after="80" w:line="240" w:lineRule="auto"/>
      <w:ind w:left="360"/>
    </w:pPr>
    <w:rPr>
      <w:rFonts w:ascii="Calibri" w:eastAsia="Times New Roman" w:hAnsi="Calibri" w:cs="Calibri"/>
      <w:bCs/>
    </w:rPr>
  </w:style>
  <w:style w:type="paragraph" w:customStyle="1" w:styleId="References">
    <w:name w:val="References"/>
    <w:basedOn w:val="Normal"/>
    <w:qFormat/>
    <w:rsid w:val="001E6229"/>
    <w:pPr>
      <w:keepLines/>
      <w:spacing w:after="60"/>
      <w:ind w:left="432" w:hanging="432"/>
    </w:pPr>
    <w:rPr>
      <w:rFonts w:eastAsia="Times New Roman" w:cs="Times New Roman"/>
      <w:sz w:val="24"/>
      <w:szCs w:val="20"/>
    </w:rPr>
  </w:style>
  <w:style w:type="character" w:customStyle="1" w:styleId="Heading1Char">
    <w:name w:val="Heading 1 Char"/>
    <w:basedOn w:val="DefaultParagraphFont"/>
    <w:link w:val="Heading1"/>
    <w:uiPriority w:val="9"/>
    <w:rsid w:val="00B5247B"/>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034C02"/>
  </w:style>
  <w:style w:type="character" w:customStyle="1" w:styleId="UnresolvedMention1">
    <w:name w:val="Unresolved Mention1"/>
    <w:basedOn w:val="DefaultParagraphFont"/>
    <w:uiPriority w:val="99"/>
    <w:semiHidden/>
    <w:unhideWhenUsed/>
    <w:rsid w:val="00F87FE9"/>
    <w:rPr>
      <w:color w:val="605E5C"/>
      <w:shd w:val="clear" w:color="auto" w:fill="E1DFDD"/>
    </w:rPr>
  </w:style>
  <w:style w:type="paragraph" w:customStyle="1" w:styleId="ListAlpha3">
    <w:name w:val="List Alpha 3"/>
    <w:basedOn w:val="Normal"/>
    <w:uiPriority w:val="1"/>
    <w:qFormat/>
    <w:rsid w:val="00CF0052"/>
    <w:pPr>
      <w:numPr>
        <w:numId w:val="21"/>
      </w:numPr>
      <w:ind w:left="1170"/>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213">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70785615">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61692310">
      <w:bodyDiv w:val="1"/>
      <w:marLeft w:val="0"/>
      <w:marRight w:val="0"/>
      <w:marTop w:val="0"/>
      <w:marBottom w:val="0"/>
      <w:divBdr>
        <w:top w:val="none" w:sz="0" w:space="0" w:color="auto"/>
        <w:left w:val="none" w:sz="0" w:space="0" w:color="auto"/>
        <w:bottom w:val="none" w:sz="0" w:space="0" w:color="auto"/>
        <w:right w:val="none" w:sz="0" w:space="0" w:color="auto"/>
      </w:divBdr>
    </w:div>
    <w:div w:id="1691760507">
      <w:bodyDiv w:val="1"/>
      <w:marLeft w:val="0"/>
      <w:marRight w:val="0"/>
      <w:marTop w:val="0"/>
      <w:marBottom w:val="0"/>
      <w:divBdr>
        <w:top w:val="none" w:sz="0" w:space="0" w:color="auto"/>
        <w:left w:val="none" w:sz="0" w:space="0" w:color="auto"/>
        <w:bottom w:val="none" w:sz="0" w:space="0" w:color="auto"/>
        <w:right w:val="none" w:sz="0" w:space="0" w:color="auto"/>
      </w:divBdr>
    </w:div>
    <w:div w:id="1853183484">
      <w:bodyDiv w:val="1"/>
      <w:marLeft w:val="0"/>
      <w:marRight w:val="0"/>
      <w:marTop w:val="0"/>
      <w:marBottom w:val="0"/>
      <w:divBdr>
        <w:top w:val="none" w:sz="0" w:space="0" w:color="auto"/>
        <w:left w:val="none" w:sz="0" w:space="0" w:color="auto"/>
        <w:bottom w:val="none" w:sz="0" w:space="0" w:color="auto"/>
        <w:right w:val="none" w:sz="0" w:space="0" w:color="auto"/>
      </w:divBdr>
    </w:div>
    <w:div w:id="206506148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org/monitor/2020/09/distance-learning-accompli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documents/fysb/fysb_app_stateprep_factsheet_oc_2020_50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wkyeng_0121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147BC-83B1-4190-95F2-EC6213E0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Soble</dc:creator>
  <cp:keywords/>
  <dc:description/>
  <cp:lastModifiedBy>Mathematica</cp:lastModifiedBy>
  <cp:revision>7</cp:revision>
  <dcterms:created xsi:type="dcterms:W3CDTF">2021-05-03T18:49:00Z</dcterms:created>
  <dcterms:modified xsi:type="dcterms:W3CDTF">2021-05-14T21:49:00Z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