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4B3C" w:rsidR="00BB6B79" w:rsidP="00BB6B79" w:rsidRDefault="00C20861" w14:paraId="68A3346A" w14:textId="14A3A879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Attachment </w:t>
      </w:r>
      <w:r w:rsidR="005D79DC">
        <w:rPr>
          <w:rFonts w:ascii="Arial" w:hAnsi="Arial" w:cs="Arial"/>
          <w:b/>
          <w:i/>
          <w:sz w:val="44"/>
          <w:szCs w:val="44"/>
        </w:rPr>
        <w:t>5a</w:t>
      </w:r>
    </w:p>
    <w:p w:rsidRPr="00734B3C" w:rsidR="00BB6B79" w:rsidP="00BB6B79" w:rsidRDefault="00BB6B79" w14:paraId="581EBFAA" w14:textId="77777777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BB6B79" w:rsidP="00BB6B79" w:rsidRDefault="002B4E25" w14:paraId="2EABD1F2" w14:textId="261467A1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Sample Design Tables </w:t>
      </w:r>
      <w:r w:rsidR="00346E36">
        <w:rPr>
          <w:rFonts w:ascii="Arial" w:hAnsi="Arial" w:cs="Arial"/>
          <w:b/>
          <w:i/>
          <w:sz w:val="36"/>
          <w:szCs w:val="36"/>
        </w:rPr>
        <w:t>20</w:t>
      </w:r>
      <w:r w:rsidR="00CA1CFE">
        <w:rPr>
          <w:rFonts w:ascii="Arial" w:hAnsi="Arial" w:cs="Arial"/>
          <w:b/>
          <w:i/>
          <w:sz w:val="36"/>
          <w:szCs w:val="36"/>
        </w:rPr>
        <w:t>21</w:t>
      </w:r>
      <w:r>
        <w:rPr>
          <w:rFonts w:ascii="Arial" w:hAnsi="Arial" w:cs="Arial"/>
          <w:b/>
          <w:i/>
          <w:sz w:val="36"/>
          <w:szCs w:val="36"/>
        </w:rPr>
        <w:t>-</w:t>
      </w:r>
      <w:r w:rsidR="00FD1229">
        <w:rPr>
          <w:rFonts w:ascii="Arial" w:hAnsi="Arial" w:cs="Arial"/>
          <w:b/>
          <w:i/>
          <w:sz w:val="36"/>
          <w:szCs w:val="36"/>
        </w:rPr>
        <w:t>2022</w:t>
      </w:r>
    </w:p>
    <w:p w:rsidR="00183576" w:rsidP="00183576" w:rsidRDefault="00183576" w14:paraId="1DEB8BFB" w14:textId="0FEB60A2">
      <w:pPr>
        <w:rPr>
          <w:rFonts w:ascii="Arial" w:hAnsi="Arial" w:cs="Arial"/>
          <w:b/>
          <w:i/>
          <w:sz w:val="36"/>
          <w:szCs w:val="36"/>
        </w:rPr>
      </w:pPr>
    </w:p>
    <w:p w:rsidRPr="00725DBB" w:rsidR="000300AF" w:rsidP="00183576" w:rsidRDefault="000300AF" w14:paraId="180BF396" w14:textId="27A188B2">
      <w:pPr>
        <w:rPr>
          <w:b/>
          <w:szCs w:val="24"/>
        </w:rPr>
      </w:pPr>
      <w:bookmarkStart w:name="_GoBack" w:id="0"/>
      <w:bookmarkEnd w:id="0"/>
      <w:r w:rsidRPr="00725DBB">
        <w:rPr>
          <w:color w:val="000000" w:themeColor="text1"/>
          <w:szCs w:val="24"/>
        </w:rPr>
        <w:t>The</w:t>
      </w:r>
      <w:r w:rsidRPr="00725DBB" w:rsidR="0090656F">
        <w:rPr>
          <w:color w:val="000000" w:themeColor="text1"/>
          <w:szCs w:val="24"/>
        </w:rPr>
        <w:t>re are two major</w:t>
      </w:r>
      <w:r w:rsidRPr="00725DBB">
        <w:rPr>
          <w:color w:val="000000" w:themeColor="text1"/>
          <w:szCs w:val="24"/>
        </w:rPr>
        <w:t xml:space="preserve"> sample design </w:t>
      </w:r>
      <w:r w:rsidRPr="00725DBB" w:rsidR="0090656F">
        <w:rPr>
          <w:color w:val="000000" w:themeColor="text1"/>
          <w:szCs w:val="24"/>
        </w:rPr>
        <w:t>changes</w:t>
      </w:r>
      <w:r w:rsidRPr="00725DBB">
        <w:rPr>
          <w:color w:val="000000" w:themeColor="text1"/>
          <w:szCs w:val="24"/>
        </w:rPr>
        <w:t xml:space="preserve"> for </w:t>
      </w:r>
      <w:r w:rsidR="00BB689B">
        <w:rPr>
          <w:color w:val="000000" w:themeColor="text1"/>
          <w:szCs w:val="24"/>
        </w:rPr>
        <w:t xml:space="preserve">the 2021-2022 </w:t>
      </w:r>
      <w:r w:rsidRPr="00725DBB">
        <w:rPr>
          <w:color w:val="000000" w:themeColor="text1"/>
          <w:szCs w:val="24"/>
        </w:rPr>
        <w:t xml:space="preserve">NHANES </w:t>
      </w:r>
      <w:r w:rsidR="00105031">
        <w:rPr>
          <w:color w:val="000000" w:themeColor="text1"/>
          <w:szCs w:val="24"/>
        </w:rPr>
        <w:t>from</w:t>
      </w:r>
      <w:r w:rsidRPr="00725DBB" w:rsidR="00105031">
        <w:rPr>
          <w:color w:val="000000" w:themeColor="text1"/>
          <w:szCs w:val="24"/>
        </w:rPr>
        <w:t xml:space="preserve"> </w:t>
      </w:r>
      <w:r w:rsidR="00BB689B">
        <w:rPr>
          <w:color w:val="000000" w:themeColor="text1"/>
          <w:szCs w:val="24"/>
        </w:rPr>
        <w:t xml:space="preserve">the 2019-2020 </w:t>
      </w:r>
      <w:r w:rsidR="007863F0">
        <w:rPr>
          <w:color w:val="000000" w:themeColor="text1"/>
          <w:szCs w:val="24"/>
        </w:rPr>
        <w:t>cycle</w:t>
      </w:r>
      <w:r w:rsidRPr="00725DBB">
        <w:rPr>
          <w:color w:val="000000" w:themeColor="text1"/>
          <w:szCs w:val="24"/>
        </w:rPr>
        <w:t xml:space="preserve">. </w:t>
      </w:r>
      <w:r w:rsidR="00A01F83">
        <w:rPr>
          <w:color w:val="000000" w:themeColor="text1"/>
          <w:szCs w:val="24"/>
        </w:rPr>
        <w:t xml:space="preserve">The first </w:t>
      </w:r>
      <w:r w:rsidR="00A67BF9">
        <w:rPr>
          <w:color w:val="000000" w:themeColor="text1"/>
          <w:szCs w:val="24"/>
        </w:rPr>
        <w:t xml:space="preserve">change </w:t>
      </w:r>
      <w:r w:rsidR="00A01F83">
        <w:rPr>
          <w:color w:val="000000" w:themeColor="text1"/>
          <w:szCs w:val="24"/>
        </w:rPr>
        <w:t xml:space="preserve">is </w:t>
      </w:r>
      <w:r w:rsidR="00A67BF9">
        <w:rPr>
          <w:color w:val="000000" w:themeColor="text1"/>
          <w:szCs w:val="24"/>
        </w:rPr>
        <w:t>that we made</w:t>
      </w:r>
      <w:r w:rsidR="007A48B6">
        <w:rPr>
          <w:color w:val="000000" w:themeColor="text1"/>
          <w:szCs w:val="24"/>
        </w:rPr>
        <w:t xml:space="preserve"> each</w:t>
      </w:r>
      <w:r w:rsidR="005D79DC">
        <w:rPr>
          <w:color w:val="000000" w:themeColor="text1"/>
          <w:szCs w:val="24"/>
        </w:rPr>
        <w:t xml:space="preserve"> </w:t>
      </w:r>
      <w:r w:rsidR="007A48B6">
        <w:rPr>
          <w:color w:val="000000" w:themeColor="text1"/>
          <w:szCs w:val="24"/>
        </w:rPr>
        <w:t>year</w:t>
      </w:r>
      <w:r w:rsidR="007863F0">
        <w:rPr>
          <w:color w:val="000000" w:themeColor="text1"/>
          <w:szCs w:val="24"/>
        </w:rPr>
        <w:t>’s sample</w:t>
      </w:r>
      <w:r w:rsidR="007A48B6">
        <w:rPr>
          <w:color w:val="000000" w:themeColor="text1"/>
          <w:szCs w:val="24"/>
        </w:rPr>
        <w:t xml:space="preserve"> </w:t>
      </w:r>
      <w:r w:rsidR="00A01F83">
        <w:rPr>
          <w:color w:val="000000" w:themeColor="text1"/>
          <w:szCs w:val="24"/>
        </w:rPr>
        <w:t>nationally representative. This will</w:t>
      </w:r>
      <w:r w:rsidR="007A48B6">
        <w:rPr>
          <w:color w:val="000000" w:themeColor="text1"/>
          <w:szCs w:val="24"/>
        </w:rPr>
        <w:t xml:space="preserve"> </w:t>
      </w:r>
      <w:r w:rsidR="00A01F83">
        <w:rPr>
          <w:color w:val="000000" w:themeColor="text1"/>
          <w:szCs w:val="24"/>
        </w:rPr>
        <w:t xml:space="preserve">eliminate the </w:t>
      </w:r>
      <w:r w:rsidR="00A67BF9">
        <w:rPr>
          <w:color w:val="000000" w:themeColor="text1"/>
          <w:szCs w:val="24"/>
        </w:rPr>
        <w:t>problem</w:t>
      </w:r>
      <w:r w:rsidR="00A01F83">
        <w:rPr>
          <w:color w:val="000000" w:themeColor="text1"/>
          <w:szCs w:val="24"/>
        </w:rPr>
        <w:t xml:space="preserve"> that occurred </w:t>
      </w:r>
      <w:r w:rsidR="007863F0">
        <w:rPr>
          <w:color w:val="000000" w:themeColor="text1"/>
          <w:szCs w:val="24"/>
        </w:rPr>
        <w:t xml:space="preserve">for the </w:t>
      </w:r>
      <w:r w:rsidR="00A01F83">
        <w:rPr>
          <w:color w:val="000000" w:themeColor="text1"/>
          <w:szCs w:val="24"/>
        </w:rPr>
        <w:t>2019-</w:t>
      </w:r>
      <w:r w:rsidR="007863F0">
        <w:rPr>
          <w:color w:val="000000" w:themeColor="text1"/>
          <w:szCs w:val="24"/>
        </w:rPr>
        <w:t>20</w:t>
      </w:r>
      <w:r w:rsidR="00A01F83">
        <w:rPr>
          <w:color w:val="000000" w:themeColor="text1"/>
          <w:szCs w:val="24"/>
        </w:rPr>
        <w:t>2</w:t>
      </w:r>
      <w:r w:rsidR="00A67BF9">
        <w:rPr>
          <w:color w:val="000000" w:themeColor="text1"/>
          <w:szCs w:val="24"/>
        </w:rPr>
        <w:t>0</w:t>
      </w:r>
      <w:r w:rsidR="007863F0">
        <w:rPr>
          <w:color w:val="000000" w:themeColor="text1"/>
          <w:szCs w:val="24"/>
        </w:rPr>
        <w:t xml:space="preserve"> cycle</w:t>
      </w:r>
      <w:r w:rsidR="00A67BF9">
        <w:rPr>
          <w:color w:val="000000" w:themeColor="text1"/>
          <w:szCs w:val="24"/>
        </w:rPr>
        <w:t xml:space="preserve"> </w:t>
      </w:r>
      <w:r w:rsidR="007863F0">
        <w:rPr>
          <w:color w:val="000000" w:themeColor="text1"/>
          <w:szCs w:val="24"/>
        </w:rPr>
        <w:t xml:space="preserve">when we </w:t>
      </w:r>
      <w:r w:rsidR="00B722E8">
        <w:rPr>
          <w:color w:val="000000" w:themeColor="text1"/>
          <w:szCs w:val="24"/>
        </w:rPr>
        <w:t>had</w:t>
      </w:r>
      <w:r w:rsidR="007863F0">
        <w:rPr>
          <w:color w:val="000000" w:themeColor="text1"/>
          <w:szCs w:val="24"/>
        </w:rPr>
        <w:t xml:space="preserve"> to suspend the data collection in 2020 due to </w:t>
      </w:r>
      <w:r w:rsidR="00BD5287">
        <w:rPr>
          <w:color w:val="000000" w:themeColor="text1"/>
          <w:szCs w:val="24"/>
        </w:rPr>
        <w:t xml:space="preserve">the </w:t>
      </w:r>
      <w:r w:rsidR="007863F0">
        <w:rPr>
          <w:color w:val="000000" w:themeColor="text1"/>
          <w:szCs w:val="24"/>
        </w:rPr>
        <w:t xml:space="preserve">pandemic. As the result, the data we did collect in 2019-2020 are not nationally representative, because </w:t>
      </w:r>
      <w:r w:rsidR="00A67BF9">
        <w:rPr>
          <w:color w:val="000000" w:themeColor="text1"/>
          <w:szCs w:val="24"/>
        </w:rPr>
        <w:t>we were unable to complete the</w:t>
      </w:r>
      <w:r w:rsidR="007863F0">
        <w:rPr>
          <w:color w:val="000000" w:themeColor="text1"/>
          <w:szCs w:val="24"/>
        </w:rPr>
        <w:t xml:space="preserve"> collection for</w:t>
      </w:r>
      <w:r w:rsidR="00A67BF9">
        <w:rPr>
          <w:color w:val="000000" w:themeColor="text1"/>
          <w:szCs w:val="24"/>
        </w:rPr>
        <w:t xml:space="preserve"> </w:t>
      </w:r>
      <w:r w:rsidR="00BD5287">
        <w:rPr>
          <w:color w:val="000000" w:themeColor="text1"/>
          <w:szCs w:val="24"/>
        </w:rPr>
        <w:t xml:space="preserve">all </w:t>
      </w:r>
      <w:r w:rsidR="007863F0">
        <w:rPr>
          <w:color w:val="000000" w:themeColor="text1"/>
          <w:szCs w:val="24"/>
        </w:rPr>
        <w:t xml:space="preserve">the </w:t>
      </w:r>
      <w:r w:rsidR="00BD5287">
        <w:rPr>
          <w:color w:val="000000" w:themeColor="text1"/>
          <w:szCs w:val="24"/>
        </w:rPr>
        <w:t xml:space="preserve">survey locations in the </w:t>
      </w:r>
      <w:r w:rsidR="007863F0">
        <w:rPr>
          <w:color w:val="000000" w:themeColor="text1"/>
          <w:szCs w:val="24"/>
        </w:rPr>
        <w:t>full two</w:t>
      </w:r>
      <w:r w:rsidR="00BD5287">
        <w:rPr>
          <w:color w:val="000000" w:themeColor="text1"/>
          <w:szCs w:val="24"/>
        </w:rPr>
        <w:t>-</w:t>
      </w:r>
      <w:r w:rsidR="007863F0">
        <w:rPr>
          <w:color w:val="000000" w:themeColor="text1"/>
          <w:szCs w:val="24"/>
        </w:rPr>
        <w:t>year</w:t>
      </w:r>
      <w:r w:rsidR="00BD5287">
        <w:rPr>
          <w:color w:val="000000" w:themeColor="text1"/>
          <w:szCs w:val="24"/>
        </w:rPr>
        <w:t xml:space="preserve"> sample</w:t>
      </w:r>
      <w:r w:rsidR="007863F0">
        <w:rPr>
          <w:color w:val="000000" w:themeColor="text1"/>
          <w:szCs w:val="24"/>
        </w:rPr>
        <w:t xml:space="preserve">. This has </w:t>
      </w:r>
      <w:r w:rsidR="00EF4346">
        <w:rPr>
          <w:color w:val="000000" w:themeColor="text1"/>
          <w:szCs w:val="24"/>
        </w:rPr>
        <w:t>profound implication in the utility of our data, and the mission it supports.</w:t>
      </w:r>
      <w:r w:rsidR="005D79DC">
        <w:rPr>
          <w:color w:val="000000" w:themeColor="text1"/>
          <w:szCs w:val="24"/>
        </w:rPr>
        <w:t xml:space="preserve"> </w:t>
      </w:r>
      <w:r w:rsidR="00EF4346">
        <w:rPr>
          <w:color w:val="000000" w:themeColor="text1"/>
          <w:szCs w:val="24"/>
        </w:rPr>
        <w:t>Therefore, for 2021-2022, given the uncertainty of the pandemic status, we will select an annually</w:t>
      </w:r>
      <w:r w:rsidR="00BD5287">
        <w:rPr>
          <w:color w:val="000000" w:themeColor="text1"/>
          <w:szCs w:val="24"/>
        </w:rPr>
        <w:t>,</w:t>
      </w:r>
      <w:r w:rsidR="00EF4346">
        <w:rPr>
          <w:color w:val="000000" w:themeColor="text1"/>
          <w:szCs w:val="24"/>
        </w:rPr>
        <w:t xml:space="preserve"> nationally representative sample for each year of the data collection. </w:t>
      </w:r>
      <w:r w:rsidR="00A67BF9">
        <w:rPr>
          <w:color w:val="000000" w:themeColor="text1"/>
          <w:szCs w:val="24"/>
        </w:rPr>
        <w:t>The second change is eliminating our</w:t>
      </w:r>
      <w:r w:rsidR="00813B65">
        <w:rPr>
          <w:color w:val="000000" w:themeColor="text1"/>
          <w:szCs w:val="24"/>
        </w:rPr>
        <w:t xml:space="preserve"> oversample by race, Hispanic origin</w:t>
      </w:r>
      <w:r w:rsidR="00A67BF9">
        <w:rPr>
          <w:color w:val="000000" w:themeColor="text1"/>
          <w:szCs w:val="24"/>
        </w:rPr>
        <w:t>,</w:t>
      </w:r>
      <w:r w:rsidR="00813B65">
        <w:rPr>
          <w:color w:val="000000" w:themeColor="text1"/>
          <w:szCs w:val="24"/>
        </w:rPr>
        <w:t xml:space="preserve"> </w:t>
      </w:r>
      <w:r w:rsidR="00A67BF9">
        <w:rPr>
          <w:color w:val="000000" w:themeColor="text1"/>
          <w:szCs w:val="24"/>
        </w:rPr>
        <w:t>and</w:t>
      </w:r>
      <w:r w:rsidR="00813B65">
        <w:rPr>
          <w:color w:val="000000" w:themeColor="text1"/>
          <w:szCs w:val="24"/>
        </w:rPr>
        <w:t xml:space="preserve"> income. In 2021-22, </w:t>
      </w:r>
      <w:r w:rsidR="00A67BF9">
        <w:rPr>
          <w:color w:val="000000" w:themeColor="text1"/>
          <w:szCs w:val="24"/>
        </w:rPr>
        <w:t xml:space="preserve">within </w:t>
      </w:r>
      <w:r w:rsidR="00813B65">
        <w:rPr>
          <w:color w:val="000000" w:themeColor="text1"/>
          <w:szCs w:val="24"/>
        </w:rPr>
        <w:t xml:space="preserve">all </w:t>
      </w:r>
      <w:r w:rsidR="00A67BF9">
        <w:rPr>
          <w:color w:val="000000" w:themeColor="text1"/>
          <w:szCs w:val="24"/>
        </w:rPr>
        <w:t>selected households, anyone</w:t>
      </w:r>
      <w:r w:rsidR="00813B65">
        <w:rPr>
          <w:color w:val="000000" w:themeColor="text1"/>
          <w:szCs w:val="24"/>
        </w:rPr>
        <w:t xml:space="preserve"> aged 0-19 </w:t>
      </w:r>
      <w:r w:rsidR="00EF4346">
        <w:rPr>
          <w:color w:val="000000" w:themeColor="text1"/>
          <w:szCs w:val="24"/>
        </w:rPr>
        <w:t xml:space="preserve">years </w:t>
      </w:r>
      <w:r w:rsidR="00B722E8">
        <w:rPr>
          <w:color w:val="000000" w:themeColor="text1"/>
          <w:szCs w:val="24"/>
        </w:rPr>
        <w:t>and</w:t>
      </w:r>
      <w:r w:rsidR="00EF4346">
        <w:rPr>
          <w:color w:val="000000" w:themeColor="text1"/>
          <w:szCs w:val="24"/>
        </w:rPr>
        <w:t xml:space="preserve"> </w:t>
      </w:r>
      <w:r w:rsidR="00813B65">
        <w:rPr>
          <w:color w:val="000000" w:themeColor="text1"/>
          <w:szCs w:val="24"/>
        </w:rPr>
        <w:t>60</w:t>
      </w:r>
      <w:r w:rsidR="00EF4346">
        <w:rPr>
          <w:color w:val="000000" w:themeColor="text1"/>
          <w:szCs w:val="24"/>
        </w:rPr>
        <w:t xml:space="preserve"> years and older will be</w:t>
      </w:r>
      <w:r w:rsidR="00813B65">
        <w:rPr>
          <w:color w:val="000000" w:themeColor="text1"/>
          <w:szCs w:val="24"/>
        </w:rPr>
        <w:t xml:space="preserve"> eligible. In addition, </w:t>
      </w:r>
      <w:r w:rsidR="004F5483">
        <w:rPr>
          <w:color w:val="000000" w:themeColor="text1"/>
          <w:szCs w:val="24"/>
        </w:rPr>
        <w:t xml:space="preserve">one or two people aged </w:t>
      </w:r>
      <w:r w:rsidR="00813B65">
        <w:rPr>
          <w:color w:val="000000" w:themeColor="text1"/>
          <w:szCs w:val="24"/>
        </w:rPr>
        <w:t>20-59</w:t>
      </w:r>
      <w:r w:rsidR="004F5483">
        <w:rPr>
          <w:color w:val="000000" w:themeColor="text1"/>
          <w:szCs w:val="24"/>
        </w:rPr>
        <w:t>,</w:t>
      </w:r>
      <w:r w:rsidR="00813B65">
        <w:rPr>
          <w:color w:val="000000" w:themeColor="text1"/>
          <w:szCs w:val="24"/>
        </w:rPr>
        <w:t xml:space="preserve"> resid</w:t>
      </w:r>
      <w:r w:rsidR="004F5483">
        <w:rPr>
          <w:color w:val="000000" w:themeColor="text1"/>
          <w:szCs w:val="24"/>
        </w:rPr>
        <w:t>ing</w:t>
      </w:r>
      <w:r w:rsidR="00813B65">
        <w:rPr>
          <w:color w:val="000000" w:themeColor="text1"/>
          <w:szCs w:val="24"/>
        </w:rPr>
        <w:t xml:space="preserve"> in the </w:t>
      </w:r>
      <w:r w:rsidR="00A67BF9">
        <w:rPr>
          <w:color w:val="000000" w:themeColor="text1"/>
          <w:szCs w:val="24"/>
        </w:rPr>
        <w:t xml:space="preserve">selected </w:t>
      </w:r>
      <w:r w:rsidR="00813B65">
        <w:rPr>
          <w:color w:val="000000" w:themeColor="text1"/>
          <w:szCs w:val="24"/>
        </w:rPr>
        <w:t>household</w:t>
      </w:r>
      <w:r w:rsidR="004F5483">
        <w:rPr>
          <w:color w:val="000000" w:themeColor="text1"/>
          <w:szCs w:val="24"/>
        </w:rPr>
        <w:t>s</w:t>
      </w:r>
      <w:r w:rsidR="00813B65">
        <w:rPr>
          <w:color w:val="000000" w:themeColor="text1"/>
          <w:szCs w:val="24"/>
        </w:rPr>
        <w:t>, will be eligible</w:t>
      </w:r>
      <w:r w:rsidR="00EF4346">
        <w:rPr>
          <w:color w:val="000000" w:themeColor="text1"/>
          <w:szCs w:val="24"/>
        </w:rPr>
        <w:t xml:space="preserve"> as well</w:t>
      </w:r>
      <w:r w:rsidR="00813B65">
        <w:rPr>
          <w:color w:val="000000" w:themeColor="text1"/>
          <w:szCs w:val="24"/>
        </w:rPr>
        <w:t xml:space="preserve">. </w:t>
      </w:r>
      <w:r w:rsidRPr="00725DBB" w:rsidR="00C604CE">
        <w:rPr>
          <w:color w:val="000000" w:themeColor="text1"/>
          <w:szCs w:val="24"/>
        </w:rPr>
        <w:t>Th</w:t>
      </w:r>
      <w:r w:rsidR="004F5483">
        <w:rPr>
          <w:color w:val="000000" w:themeColor="text1"/>
          <w:szCs w:val="24"/>
        </w:rPr>
        <w:t xml:space="preserve">is elimination of oversampling </w:t>
      </w:r>
      <w:r w:rsidR="00833090">
        <w:rPr>
          <w:color w:val="000000" w:themeColor="text1"/>
          <w:szCs w:val="24"/>
        </w:rPr>
        <w:t>allow</w:t>
      </w:r>
      <w:r w:rsidR="004F5483">
        <w:rPr>
          <w:color w:val="000000" w:themeColor="text1"/>
          <w:szCs w:val="24"/>
        </w:rPr>
        <w:t>s</w:t>
      </w:r>
      <w:r w:rsidRPr="00725DBB" w:rsidR="00833090">
        <w:rPr>
          <w:color w:val="000000" w:themeColor="text1"/>
          <w:szCs w:val="24"/>
        </w:rPr>
        <w:t xml:space="preserve"> </w:t>
      </w:r>
      <w:r w:rsidRPr="00725DBB" w:rsidR="00C7683B">
        <w:rPr>
          <w:color w:val="000000" w:themeColor="text1"/>
          <w:szCs w:val="24"/>
        </w:rPr>
        <w:t xml:space="preserve">every </w:t>
      </w:r>
      <w:r w:rsidR="004F5483">
        <w:rPr>
          <w:color w:val="000000" w:themeColor="text1"/>
          <w:szCs w:val="24"/>
        </w:rPr>
        <w:t xml:space="preserve">selected </w:t>
      </w:r>
      <w:r w:rsidRPr="00725DBB" w:rsidR="00C7683B">
        <w:rPr>
          <w:color w:val="000000" w:themeColor="text1"/>
          <w:szCs w:val="24"/>
        </w:rPr>
        <w:t xml:space="preserve">household </w:t>
      </w:r>
      <w:r w:rsidRPr="00725DBB" w:rsidR="00BB689B">
        <w:rPr>
          <w:color w:val="000000" w:themeColor="text1"/>
          <w:szCs w:val="24"/>
        </w:rPr>
        <w:t>to have</w:t>
      </w:r>
      <w:r w:rsidRPr="00725DBB" w:rsidR="00C604CE">
        <w:rPr>
          <w:color w:val="000000" w:themeColor="text1"/>
          <w:szCs w:val="24"/>
        </w:rPr>
        <w:t xml:space="preserve"> </w:t>
      </w:r>
      <w:r w:rsidRPr="00725DBB" w:rsidR="00C7683B">
        <w:rPr>
          <w:color w:val="000000" w:themeColor="text1"/>
          <w:szCs w:val="24"/>
        </w:rPr>
        <w:t xml:space="preserve">at least one eligible </w:t>
      </w:r>
      <w:r w:rsidR="00833090">
        <w:rPr>
          <w:color w:val="000000" w:themeColor="text1"/>
          <w:szCs w:val="24"/>
        </w:rPr>
        <w:t>sampled participant (SP)</w:t>
      </w:r>
      <w:r w:rsidR="004F5483">
        <w:rPr>
          <w:color w:val="000000" w:themeColor="text1"/>
          <w:szCs w:val="24"/>
        </w:rPr>
        <w:t>, cutting down significantly on screener burden.</w:t>
      </w:r>
      <w:r w:rsidRPr="00725DBB" w:rsidR="00C7683B">
        <w:rPr>
          <w:color w:val="000000" w:themeColor="text1"/>
          <w:szCs w:val="24"/>
        </w:rPr>
        <w:t xml:space="preserve"> </w:t>
      </w:r>
    </w:p>
    <w:p w:rsidRPr="00725DBB" w:rsidR="000300AF" w:rsidP="00183576" w:rsidRDefault="000300AF" w14:paraId="4400054B" w14:textId="77777777">
      <w:pPr>
        <w:rPr>
          <w:b/>
          <w:szCs w:val="24"/>
        </w:rPr>
      </w:pPr>
    </w:p>
    <w:p w:rsidRPr="00725DBB" w:rsidR="00183576" w:rsidP="00183576" w:rsidRDefault="00183576" w14:paraId="5A96CF2A" w14:textId="2BC431BF">
      <w:pPr>
        <w:rPr>
          <w:szCs w:val="24"/>
        </w:rPr>
      </w:pPr>
      <w:r w:rsidRPr="00954A2F">
        <w:rPr>
          <w:bCs/>
          <w:szCs w:val="24"/>
        </w:rPr>
        <w:t>Table 1</w:t>
      </w:r>
      <w:r w:rsidRPr="00725DBB">
        <w:rPr>
          <w:szCs w:val="24"/>
        </w:rPr>
        <w:t xml:space="preserve"> shows the summary distribution by age for </w:t>
      </w:r>
      <w:r w:rsidR="00EF4346">
        <w:rPr>
          <w:szCs w:val="24"/>
        </w:rPr>
        <w:t xml:space="preserve">the examination targets in </w:t>
      </w:r>
      <w:r w:rsidRPr="00725DBB">
        <w:rPr>
          <w:szCs w:val="24"/>
        </w:rPr>
        <w:t>201</w:t>
      </w:r>
      <w:r w:rsidRPr="00725DBB" w:rsidR="00372B2C">
        <w:rPr>
          <w:szCs w:val="24"/>
        </w:rPr>
        <w:t>9</w:t>
      </w:r>
      <w:r w:rsidRPr="00725DBB">
        <w:rPr>
          <w:szCs w:val="24"/>
        </w:rPr>
        <w:t>-</w:t>
      </w:r>
      <w:r w:rsidRPr="00725DBB" w:rsidR="00346E36">
        <w:rPr>
          <w:szCs w:val="24"/>
        </w:rPr>
        <w:t>20</w:t>
      </w:r>
      <w:r w:rsidRPr="00725DBB" w:rsidR="00372B2C">
        <w:rPr>
          <w:szCs w:val="24"/>
        </w:rPr>
        <w:t>2</w:t>
      </w:r>
      <w:r w:rsidRPr="00725DBB" w:rsidR="00283FE6">
        <w:rPr>
          <w:szCs w:val="24"/>
        </w:rPr>
        <w:t>0</w:t>
      </w:r>
      <w:r w:rsidRPr="00725DBB" w:rsidR="00346E36">
        <w:rPr>
          <w:szCs w:val="24"/>
        </w:rPr>
        <w:t xml:space="preserve"> </w:t>
      </w:r>
      <w:r w:rsidRPr="00725DBB">
        <w:rPr>
          <w:szCs w:val="24"/>
        </w:rPr>
        <w:t xml:space="preserve">and </w:t>
      </w:r>
      <w:r w:rsidRPr="00725DBB" w:rsidR="00BB689B">
        <w:rPr>
          <w:szCs w:val="24"/>
        </w:rPr>
        <w:t>20</w:t>
      </w:r>
      <w:r w:rsidR="00BB689B">
        <w:rPr>
          <w:szCs w:val="24"/>
        </w:rPr>
        <w:t>21</w:t>
      </w:r>
      <w:r w:rsidRPr="00725DBB" w:rsidR="00AD2C6A">
        <w:rPr>
          <w:szCs w:val="24"/>
        </w:rPr>
        <w:t>-</w:t>
      </w:r>
      <w:r w:rsidRPr="00725DBB">
        <w:rPr>
          <w:szCs w:val="24"/>
        </w:rPr>
        <w:t>202</w:t>
      </w:r>
      <w:r w:rsidRPr="00725DBB" w:rsidR="00346E36">
        <w:rPr>
          <w:szCs w:val="24"/>
        </w:rPr>
        <w:t>2</w:t>
      </w:r>
      <w:r w:rsidRPr="00725DBB">
        <w:rPr>
          <w:szCs w:val="24"/>
        </w:rPr>
        <w:t>. For NHANES 20</w:t>
      </w:r>
      <w:r w:rsidRPr="00725DBB" w:rsidR="00346E36">
        <w:rPr>
          <w:szCs w:val="24"/>
        </w:rPr>
        <w:t>21</w:t>
      </w:r>
      <w:r w:rsidRPr="00725DBB">
        <w:rPr>
          <w:szCs w:val="24"/>
        </w:rPr>
        <w:t>-202</w:t>
      </w:r>
      <w:r w:rsidRPr="00725DBB" w:rsidR="00346E36">
        <w:rPr>
          <w:szCs w:val="24"/>
        </w:rPr>
        <w:t>2</w:t>
      </w:r>
      <w:r w:rsidRPr="00725DBB">
        <w:rPr>
          <w:szCs w:val="24"/>
        </w:rPr>
        <w:t xml:space="preserve">, there will be </w:t>
      </w:r>
      <w:r w:rsidRPr="00725DBB" w:rsidR="00372B2C">
        <w:rPr>
          <w:szCs w:val="24"/>
        </w:rPr>
        <w:t>12</w:t>
      </w:r>
      <w:r w:rsidRPr="00725DBB">
        <w:rPr>
          <w:szCs w:val="24"/>
        </w:rPr>
        <w:t xml:space="preserve"> sampling domains defined by gender</w:t>
      </w:r>
      <w:r w:rsidRPr="00725DBB" w:rsidR="00372B2C">
        <w:rPr>
          <w:szCs w:val="24"/>
        </w:rPr>
        <w:t xml:space="preserve"> and</w:t>
      </w:r>
      <w:r w:rsidRPr="00725DBB">
        <w:rPr>
          <w:szCs w:val="24"/>
        </w:rPr>
        <w:t xml:space="preserve"> age. These domains represent the analytic subpopulations of interest. </w:t>
      </w:r>
      <w:r w:rsidRPr="00954A2F">
        <w:rPr>
          <w:bCs/>
          <w:szCs w:val="24"/>
        </w:rPr>
        <w:t>Table 2</w:t>
      </w:r>
      <w:r w:rsidRPr="00725DBB">
        <w:rPr>
          <w:szCs w:val="24"/>
        </w:rPr>
        <w:t xml:space="preserve"> shows the detailed sampling domains for NHANES </w:t>
      </w:r>
      <w:r w:rsidR="00C45E85">
        <w:rPr>
          <w:szCs w:val="24"/>
        </w:rPr>
        <w:t xml:space="preserve">2021-2022 </w:t>
      </w:r>
      <w:r w:rsidRPr="00725DBB">
        <w:rPr>
          <w:szCs w:val="24"/>
        </w:rPr>
        <w:t xml:space="preserve">with expected total sampled persons, estimated exam response rates and expected number of exams for the </w:t>
      </w:r>
      <w:r w:rsidRPr="00725DBB" w:rsidR="00372B2C">
        <w:rPr>
          <w:szCs w:val="24"/>
        </w:rPr>
        <w:t>12</w:t>
      </w:r>
      <w:r w:rsidRPr="00725DBB">
        <w:rPr>
          <w:szCs w:val="24"/>
        </w:rPr>
        <w:t xml:space="preserve"> sampling domains</w:t>
      </w:r>
      <w:r w:rsidR="00605E22">
        <w:rPr>
          <w:szCs w:val="24"/>
        </w:rPr>
        <w:t xml:space="preserve"> presented</w:t>
      </w:r>
      <w:r w:rsidRPr="00725DBB">
        <w:rPr>
          <w:szCs w:val="24"/>
        </w:rPr>
        <w:t xml:space="preserve">. </w:t>
      </w:r>
      <w:r w:rsidRPr="00954A2F">
        <w:rPr>
          <w:bCs/>
          <w:szCs w:val="24"/>
        </w:rPr>
        <w:t xml:space="preserve">Attachment </w:t>
      </w:r>
      <w:r w:rsidR="008B6160">
        <w:rPr>
          <w:bCs/>
          <w:szCs w:val="24"/>
        </w:rPr>
        <w:t>5b</w:t>
      </w:r>
      <w:r w:rsidRPr="00725DBB">
        <w:rPr>
          <w:b/>
          <w:szCs w:val="24"/>
        </w:rPr>
        <w:t xml:space="preserve"> </w:t>
      </w:r>
      <w:r w:rsidRPr="00725DBB">
        <w:rPr>
          <w:szCs w:val="24"/>
        </w:rPr>
        <w:t xml:space="preserve">contains the NHANES </w:t>
      </w:r>
      <w:r w:rsidRPr="00725DBB" w:rsidR="008B6160">
        <w:rPr>
          <w:szCs w:val="24"/>
        </w:rPr>
        <w:t>201</w:t>
      </w:r>
      <w:r w:rsidR="008B6160">
        <w:rPr>
          <w:szCs w:val="24"/>
        </w:rPr>
        <w:t>9</w:t>
      </w:r>
      <w:r w:rsidRPr="00725DBB">
        <w:rPr>
          <w:szCs w:val="24"/>
        </w:rPr>
        <w:t>-</w:t>
      </w:r>
      <w:r w:rsidR="008B6160">
        <w:rPr>
          <w:szCs w:val="24"/>
        </w:rPr>
        <w:t>20</w:t>
      </w:r>
      <w:r w:rsidRPr="00725DBB" w:rsidR="008B6160">
        <w:rPr>
          <w:szCs w:val="24"/>
        </w:rPr>
        <w:t xml:space="preserve"> </w:t>
      </w:r>
      <w:r w:rsidRPr="00725DBB">
        <w:rPr>
          <w:szCs w:val="24"/>
        </w:rPr>
        <w:t>sample design as presented in the NHANES Protocol #</w:t>
      </w:r>
      <w:r w:rsidRPr="00725DBB" w:rsidR="008B6160">
        <w:rPr>
          <w:szCs w:val="24"/>
        </w:rPr>
        <w:t>201</w:t>
      </w:r>
      <w:r w:rsidR="008B6160">
        <w:rPr>
          <w:szCs w:val="24"/>
        </w:rPr>
        <w:t>9</w:t>
      </w:r>
      <w:r w:rsidRPr="00725DBB">
        <w:rPr>
          <w:szCs w:val="24"/>
        </w:rPr>
        <w:t>-01</w:t>
      </w:r>
      <w:r w:rsidR="0019026F">
        <w:rPr>
          <w:szCs w:val="24"/>
        </w:rPr>
        <w:t>.</w:t>
      </w:r>
    </w:p>
    <w:p w:rsidRPr="00725DBB" w:rsidR="00183576" w:rsidP="00183576" w:rsidRDefault="00183576" w14:paraId="669668A7" w14:textId="77777777">
      <w:pPr>
        <w:rPr>
          <w:szCs w:val="24"/>
        </w:rPr>
      </w:pPr>
    </w:p>
    <w:p w:rsidRPr="00725DBB" w:rsidR="00183576" w:rsidP="00183576" w:rsidRDefault="00183576" w14:paraId="3339CC2D" w14:textId="77777777">
      <w:pPr>
        <w:rPr>
          <w:szCs w:val="24"/>
        </w:rPr>
      </w:pPr>
    </w:p>
    <w:p w:rsidRPr="00725DBB" w:rsidR="00183576" w:rsidP="00B722E8" w:rsidRDefault="00183576" w14:paraId="7EFE36A7" w14:textId="20B5373E">
      <w:pPr>
        <w:ind w:left="3330" w:right="2430" w:hanging="990"/>
        <w:rPr>
          <w:szCs w:val="24"/>
        </w:rPr>
      </w:pPr>
      <w:r w:rsidRPr="00725DBB">
        <w:rPr>
          <w:b/>
          <w:szCs w:val="24"/>
        </w:rPr>
        <w:t>Table 1:  Examination Target Distribution</w:t>
      </w:r>
      <w:r w:rsidR="00C45E85">
        <w:rPr>
          <w:b/>
          <w:szCs w:val="24"/>
        </w:rPr>
        <w:t xml:space="preserve"> </w:t>
      </w:r>
      <w:r w:rsidRPr="00725DBB">
        <w:rPr>
          <w:b/>
          <w:szCs w:val="24"/>
        </w:rPr>
        <w:t>by Age Category</w:t>
      </w:r>
    </w:p>
    <w:p w:rsidRPr="00725DBB" w:rsidR="00183576" w:rsidP="00183576" w:rsidRDefault="00183576" w14:paraId="06A71623" w14:textId="77777777">
      <w:pPr>
        <w:rPr>
          <w:szCs w:val="24"/>
        </w:rPr>
      </w:pPr>
    </w:p>
    <w:tbl>
      <w:tblPr>
        <w:tblStyle w:val="TableWestatStandardFormat"/>
        <w:tblW w:w="2451" w:type="pct"/>
        <w:jc w:val="center"/>
        <w:tblInd w:w="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8"/>
        <w:gridCol w:w="1400"/>
        <w:gridCol w:w="1400"/>
      </w:tblGrid>
      <w:tr w:rsidRPr="00725DBB" w:rsidR="008B6160" w:rsidTr="00B722E8" w14:paraId="2B16EC42" w14:textId="7A3C5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bottom w:val="nil"/>
            </w:tcBorders>
          </w:tcPr>
          <w:p w:rsidRPr="00725DBB" w:rsidR="008B6160" w:rsidP="00CA1CFE" w:rsidRDefault="008B6160" w14:paraId="5308F5BC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pct"/>
            <w:gridSpan w:val="2"/>
            <w:tcBorders>
              <w:bottom w:val="nil"/>
            </w:tcBorders>
          </w:tcPr>
          <w:p w:rsidRPr="00725DBB" w:rsidR="008B6160" w:rsidP="00CA1CFE" w:rsidRDefault="008B6160" w14:paraId="19C80FE8" w14:textId="77777777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725DBB">
              <w:rPr>
                <w:rFonts w:ascii="Times New Roman" w:hAnsi="Times New Roman"/>
                <w:b/>
                <w:szCs w:val="24"/>
              </w:rPr>
              <w:t>Distribution</w:t>
            </w:r>
          </w:p>
        </w:tc>
      </w:tr>
      <w:tr w:rsidRPr="00725DBB" w:rsidR="008B6160" w:rsidTr="00B722E8" w14:paraId="744ED875" w14:textId="4EEAB021">
        <w:trPr>
          <w:jc w:val="center"/>
        </w:trPr>
        <w:tc>
          <w:tcPr>
            <w:tcW w:w="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FBED7"/>
            <w:hideMark/>
          </w:tcPr>
          <w:p w:rsidRPr="00725DBB" w:rsidR="008B6160" w:rsidP="00CA1CFE" w:rsidRDefault="008B6160" w14:paraId="29726390" w14:textId="77777777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725DBB">
              <w:rPr>
                <w:rFonts w:ascii="Times New Roman" w:hAnsi="Times New Roman"/>
                <w:b/>
                <w:szCs w:val="24"/>
              </w:rPr>
              <w:t>Age Category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</w:tcPr>
          <w:p w:rsidRPr="00725DBB" w:rsidR="008B6160" w:rsidP="00CA1CFE" w:rsidRDefault="008B6160" w14:paraId="6CE3A571" w14:textId="782DD353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725DBB">
              <w:rPr>
                <w:rFonts w:ascii="Times New Roman" w:hAnsi="Times New Roman"/>
                <w:b/>
                <w:szCs w:val="24"/>
              </w:rPr>
              <w:t>2019-2020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FBED7"/>
          </w:tcPr>
          <w:p w:rsidRPr="00725DBB" w:rsidR="008B6160" w:rsidP="00CA1CFE" w:rsidRDefault="008B6160" w14:paraId="1C73B9BB" w14:textId="6D3AB1E9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725DBB">
              <w:rPr>
                <w:rFonts w:ascii="Times New Roman" w:hAnsi="Times New Roman"/>
                <w:b/>
                <w:szCs w:val="24"/>
              </w:rPr>
              <w:t>2021-2022</w:t>
            </w:r>
          </w:p>
        </w:tc>
      </w:tr>
      <w:tr w:rsidRPr="00725DBB" w:rsidR="008B6160" w:rsidTr="00B722E8" w14:paraId="51CEC67B" w14:textId="1EA90950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0FD2FCD0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0-5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33C6198B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16%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55D6F563" w14:textId="42609B6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11%</w:t>
            </w:r>
          </w:p>
        </w:tc>
      </w:tr>
      <w:tr w:rsidRPr="00725DBB" w:rsidR="008B6160" w:rsidTr="00B722E8" w14:paraId="56DCB768" w14:textId="3290C110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04A1467C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6-11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0A3964CD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764B6471" w14:textId="0F376963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11%</w:t>
            </w:r>
          </w:p>
        </w:tc>
      </w:tr>
      <w:tr w:rsidRPr="00725DBB" w:rsidR="008B6160" w:rsidTr="00B722E8" w14:paraId="280AC0E4" w14:textId="455936E4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6C74EDB1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12-19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1FC01C4F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0A9B9BC7" w14:textId="5BD2A4B3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14%</w:t>
            </w:r>
          </w:p>
        </w:tc>
      </w:tr>
      <w:tr w:rsidRPr="00725DBB" w:rsidR="008B6160" w:rsidTr="00B722E8" w14:paraId="68577233" w14:textId="0EB3D7B2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3F96BB87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20-39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176DBF7A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24667632" w14:textId="3B054789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20%</w:t>
            </w:r>
          </w:p>
        </w:tc>
      </w:tr>
      <w:tr w:rsidRPr="00725DBB" w:rsidR="008B6160" w:rsidTr="00B722E8" w14:paraId="0B06ABD1" w14:textId="09D12E4A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7DC50848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40-59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2A4A9A1A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38E9835B" w14:textId="54962ACF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18%</w:t>
            </w:r>
          </w:p>
        </w:tc>
      </w:tr>
      <w:tr w:rsidRPr="00725DBB" w:rsidR="008B6160" w:rsidTr="00B722E8" w14:paraId="13E2005D" w14:textId="716115EB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283FE6" w:rsidRDefault="008B6160" w14:paraId="19FA38A3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60+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283FE6" w:rsidRDefault="008B6160" w14:paraId="6237DB39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21%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25DBB" w:rsidR="008B6160" w:rsidP="00283FE6" w:rsidRDefault="008B6160" w14:paraId="3492CCBC" w14:textId="1FF53173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color w:val="000000"/>
                <w:szCs w:val="24"/>
              </w:rPr>
              <w:t>27%</w:t>
            </w:r>
          </w:p>
        </w:tc>
      </w:tr>
      <w:tr w:rsidRPr="00725DBB" w:rsidR="008B6160" w:rsidTr="00B722E8" w14:paraId="09B95419" w14:textId="7EC52594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60349D6A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4039F002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6C3FA46F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Pr="00725DBB" w:rsidR="008B6160" w:rsidTr="00B722E8" w14:paraId="7A5C8EE6" w14:textId="60943853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CA1CFE" w:rsidRDefault="008B6160" w14:paraId="25DBEE9E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0-19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0B19DDBF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3141A7B0" w14:textId="7D4D4D33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35%</w:t>
            </w:r>
          </w:p>
        </w:tc>
      </w:tr>
      <w:tr w:rsidRPr="00725DBB" w:rsidR="008B6160" w:rsidTr="00B722E8" w14:paraId="4FBFA43F" w14:textId="3ECAD51E">
        <w:trPr>
          <w:jc w:val="center"/>
        </w:trPr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725DBB" w:rsidR="008B6160" w:rsidP="00CA1CFE" w:rsidRDefault="008B6160" w14:paraId="4BE300D5" w14:textId="77777777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20+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4B9289DC" w14:textId="7777777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60%</w:t>
            </w:r>
          </w:p>
        </w:tc>
        <w:tc>
          <w:tcPr>
            <w:tcW w:w="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5DBB" w:rsidR="008B6160" w:rsidP="00CA1CFE" w:rsidRDefault="008B6160" w14:paraId="065EB2FF" w14:textId="6BA031D7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25DBB">
              <w:rPr>
                <w:rFonts w:ascii="Times New Roman" w:hAnsi="Times New Roman"/>
                <w:szCs w:val="24"/>
              </w:rPr>
              <w:t>65%</w:t>
            </w:r>
          </w:p>
        </w:tc>
      </w:tr>
    </w:tbl>
    <w:p w:rsidR="00C604CE" w:rsidRDefault="00C604CE" w14:paraId="4F73A66B" w14:textId="07865E84">
      <w:pPr>
        <w:rPr>
          <w:szCs w:val="24"/>
        </w:rPr>
      </w:pPr>
      <w:r w:rsidRPr="00725DBB">
        <w:rPr>
          <w:szCs w:val="24"/>
        </w:rPr>
        <w:br w:type="page"/>
      </w:r>
    </w:p>
    <w:p w:rsidRPr="00954A2F" w:rsidR="00BB689B" w:rsidP="00B722E8" w:rsidRDefault="00BB689B" w14:paraId="48E4A3D4" w14:textId="3944C848">
      <w:pPr>
        <w:ind w:left="1620" w:right="720" w:hanging="900"/>
        <w:rPr>
          <w:b/>
          <w:bCs/>
          <w:szCs w:val="24"/>
        </w:rPr>
      </w:pPr>
      <w:r w:rsidRPr="00954A2F">
        <w:rPr>
          <w:b/>
          <w:bCs/>
          <w:szCs w:val="24"/>
        </w:rPr>
        <w:lastRenderedPageBreak/>
        <w:t>Table 2: Detailed Sampling Domains, Expected Total Sampled Persons,</w:t>
      </w:r>
      <w:r w:rsidR="00C45E85">
        <w:rPr>
          <w:b/>
          <w:bCs/>
          <w:szCs w:val="24"/>
        </w:rPr>
        <w:t xml:space="preserve"> </w:t>
      </w:r>
      <w:r w:rsidRPr="00954A2F">
        <w:rPr>
          <w:b/>
          <w:bCs/>
          <w:szCs w:val="24"/>
        </w:rPr>
        <w:t xml:space="preserve">Estimated Exam Response Rates </w:t>
      </w:r>
      <w:r w:rsidRPr="00954A2F" w:rsidR="008B6160">
        <w:rPr>
          <w:b/>
          <w:bCs/>
          <w:szCs w:val="24"/>
        </w:rPr>
        <w:t>a</w:t>
      </w:r>
      <w:r w:rsidRPr="00954A2F">
        <w:rPr>
          <w:b/>
          <w:bCs/>
          <w:szCs w:val="24"/>
        </w:rPr>
        <w:t xml:space="preserve">nd Expected Number </w:t>
      </w:r>
      <w:r w:rsidRPr="00954A2F" w:rsidR="008B6160">
        <w:rPr>
          <w:b/>
          <w:bCs/>
          <w:szCs w:val="24"/>
        </w:rPr>
        <w:t>o</w:t>
      </w:r>
      <w:r w:rsidRPr="00954A2F">
        <w:rPr>
          <w:b/>
          <w:bCs/>
          <w:szCs w:val="24"/>
        </w:rPr>
        <w:t xml:space="preserve">f Exams </w:t>
      </w:r>
      <w:r w:rsidRPr="00954A2F" w:rsidR="008B6160">
        <w:rPr>
          <w:b/>
          <w:bCs/>
          <w:szCs w:val="24"/>
        </w:rPr>
        <w:t>by</w:t>
      </w:r>
      <w:r w:rsidRPr="00954A2F">
        <w:rPr>
          <w:b/>
          <w:bCs/>
          <w:szCs w:val="24"/>
        </w:rPr>
        <w:t xml:space="preserve"> Sex</w:t>
      </w:r>
      <w:r w:rsidR="00C45E85">
        <w:rPr>
          <w:b/>
          <w:bCs/>
          <w:szCs w:val="24"/>
        </w:rPr>
        <w:t xml:space="preserve"> </w:t>
      </w:r>
      <w:r w:rsidRPr="00954A2F" w:rsidR="008B6160">
        <w:rPr>
          <w:b/>
          <w:bCs/>
          <w:szCs w:val="24"/>
        </w:rPr>
        <w:t>and</w:t>
      </w:r>
      <w:r w:rsidRPr="00954A2F">
        <w:rPr>
          <w:b/>
          <w:bCs/>
          <w:szCs w:val="24"/>
        </w:rPr>
        <w:t xml:space="preserve"> Age</w:t>
      </w:r>
      <w:r w:rsidR="00C45E85">
        <w:rPr>
          <w:b/>
          <w:bCs/>
          <w:szCs w:val="24"/>
        </w:rPr>
        <w:t>, 2021-2022</w:t>
      </w:r>
    </w:p>
    <w:p w:rsidRPr="00725DBB" w:rsidR="00BB689B" w:rsidRDefault="00BB689B" w14:paraId="73F08045" w14:textId="77777777">
      <w:pPr>
        <w:rPr>
          <w:szCs w:val="24"/>
        </w:rPr>
      </w:pPr>
    </w:p>
    <w:tbl>
      <w:tblPr>
        <w:tblStyle w:val="TableGrid"/>
        <w:tblW w:w="792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440"/>
        <w:gridCol w:w="1971"/>
        <w:gridCol w:w="1179"/>
        <w:gridCol w:w="1260"/>
        <w:gridCol w:w="1260"/>
      </w:tblGrid>
      <w:tr w:rsidRPr="00725DBB" w:rsidR="00C604CE" w:rsidTr="00B722E8" w14:paraId="271C9975" w14:textId="77777777">
        <w:trPr>
          <w:trHeight w:val="1005"/>
          <w:jc w:val="center"/>
        </w:trPr>
        <w:tc>
          <w:tcPr>
            <w:tcW w:w="810" w:type="dxa"/>
            <w:shd w:val="clear" w:color="auto" w:fill="B8CCE4" w:themeFill="accent1" w:themeFillTint="66"/>
            <w:noWrap/>
            <w:hideMark/>
          </w:tcPr>
          <w:p w:rsidRPr="00725DBB" w:rsidR="00C604CE" w:rsidP="00CA1CFE" w:rsidRDefault="00C604CE" w14:paraId="47E2C6B1" w14:textId="77777777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  <w:hideMark/>
          </w:tcPr>
          <w:p w:rsidRPr="00725DBB" w:rsidR="00C604CE" w:rsidP="00CA1CFE" w:rsidRDefault="00C604CE" w14:paraId="61ED4D3D" w14:textId="77777777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hideMark/>
          </w:tcPr>
          <w:p w:rsidRPr="00725DBB" w:rsidR="00C604CE" w:rsidP="00CA1CFE" w:rsidRDefault="00C604CE" w14:paraId="67B90E4D" w14:textId="5AE35755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Projected population average over years 2019-2022</w:t>
            </w:r>
          </w:p>
        </w:tc>
        <w:tc>
          <w:tcPr>
            <w:tcW w:w="1179" w:type="dxa"/>
            <w:shd w:val="clear" w:color="auto" w:fill="B8CCE4" w:themeFill="accent1" w:themeFillTint="66"/>
            <w:hideMark/>
          </w:tcPr>
          <w:p w:rsidRPr="00725DBB" w:rsidR="00C604CE" w:rsidP="00CA1CFE" w:rsidRDefault="00C604CE" w14:paraId="41668474" w14:textId="77777777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:rsidRPr="00725DBB" w:rsidR="00C604CE" w:rsidP="00CA1CFE" w:rsidRDefault="00C604CE" w14:paraId="14F41FDF" w14:textId="77777777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Estimated exam response rate</w:t>
            </w:r>
            <w:r w:rsidRPr="00725DBB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:rsidRPr="00725DBB" w:rsidR="00C604CE" w:rsidP="00CA1CFE" w:rsidRDefault="00C604CE" w14:paraId="74777DA8" w14:textId="45B6A1C5">
            <w:pPr>
              <w:rPr>
                <w:b/>
                <w:szCs w:val="24"/>
              </w:rPr>
            </w:pPr>
            <w:r w:rsidRPr="00725DBB">
              <w:rPr>
                <w:b/>
                <w:szCs w:val="24"/>
              </w:rPr>
              <w:t>Target number of exams for 2021-2022</w:t>
            </w:r>
          </w:p>
        </w:tc>
      </w:tr>
      <w:tr w:rsidRPr="00725DBB" w:rsidR="00C604CE" w:rsidTr="00B722E8" w14:paraId="493B5031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7A15DA7B" w14:textId="77777777">
            <w:pPr>
              <w:rPr>
                <w:szCs w:val="24"/>
              </w:rPr>
            </w:pPr>
            <w:bookmarkStart w:name="_Hlk53147322" w:id="1"/>
            <w:r w:rsidRPr="00725DBB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336B8FBA" w14:textId="142800C0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0-5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4075B3E7" w14:textId="5DB171BB">
            <w:pPr>
              <w:jc w:val="right"/>
              <w:rPr>
                <w:szCs w:val="24"/>
              </w:rPr>
            </w:pPr>
            <w:r w:rsidRPr="00725DBB">
              <w:rPr>
                <w:szCs w:val="24"/>
              </w:rPr>
              <w:t xml:space="preserve"> 12,633,263 </w:t>
            </w: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6F8EE132" w14:textId="2C3FC8DB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051</w:t>
            </w:r>
          </w:p>
          <w:p w:rsidRPr="00725DBB" w:rsidR="00C604CE" w:rsidP="00725DBB" w:rsidRDefault="00C604CE" w14:paraId="7E837CE1" w14:textId="7B6504AC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2D13C1DC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52%</w:t>
            </w:r>
          </w:p>
          <w:p w:rsidRPr="00725DBB" w:rsidR="00C604CE" w:rsidP="00725DBB" w:rsidRDefault="00C604CE" w14:paraId="155ACD62" w14:textId="6D713058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Pr="00725DBB" w:rsidR="00C604CE" w:rsidP="00725DBB" w:rsidRDefault="00C604CE" w14:paraId="5C0BC909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546</w:t>
            </w:r>
          </w:p>
          <w:p w:rsidRPr="00725DBB" w:rsidR="00C604CE" w:rsidP="00725DBB" w:rsidRDefault="00C604CE" w14:paraId="5785F600" w14:textId="2A589588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541506EF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695A8E25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520C1CB3" w14:textId="236D5C19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6-11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35B5D126" w14:textId="3572EED1">
            <w:pPr>
              <w:jc w:val="right"/>
              <w:rPr>
                <w:szCs w:val="24"/>
              </w:rPr>
            </w:pPr>
            <w:r w:rsidRPr="00725DBB">
              <w:rPr>
                <w:szCs w:val="24"/>
              </w:rPr>
              <w:t xml:space="preserve"> 12,461,586 </w:t>
            </w: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18621BCD" w14:textId="2609531A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036</w:t>
            </w:r>
          </w:p>
          <w:p w:rsidRPr="00725DBB" w:rsidR="00C604CE" w:rsidP="00725DBB" w:rsidRDefault="00C604CE" w14:paraId="1B257BA5" w14:textId="1540A98F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31CE0BC9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50%</w:t>
            </w:r>
          </w:p>
          <w:p w:rsidRPr="00725DBB" w:rsidR="00C604CE" w:rsidP="00725DBB" w:rsidRDefault="00C604CE" w14:paraId="08051E72" w14:textId="6CB5A06C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Pr="00725DBB" w:rsidR="00C604CE" w:rsidP="00725DBB" w:rsidRDefault="00C604CE" w14:paraId="785106DC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523</w:t>
            </w:r>
          </w:p>
          <w:p w:rsidRPr="00725DBB" w:rsidR="00C604CE" w:rsidP="00725DBB" w:rsidRDefault="00C604CE" w14:paraId="476DA30D" w14:textId="0ED84866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7FA7E6E3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38C6460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2978E68A" w14:textId="1A5E1998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12-19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1E3102DE" w14:textId="270899F6">
            <w:pPr>
              <w:jc w:val="right"/>
              <w:rPr>
                <w:szCs w:val="24"/>
              </w:rPr>
            </w:pPr>
            <w:r w:rsidRPr="00725DBB">
              <w:rPr>
                <w:szCs w:val="24"/>
              </w:rPr>
              <w:t xml:space="preserve"> 16,944,665 </w:t>
            </w: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5E3C3072" w14:textId="4EC5C23E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409</w:t>
            </w:r>
          </w:p>
          <w:p w:rsidRPr="00725DBB" w:rsidR="00C604CE" w:rsidP="00725DBB" w:rsidRDefault="00C604CE" w14:paraId="5947C41B" w14:textId="10073F9F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3B20599C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51%</w:t>
            </w:r>
          </w:p>
          <w:p w:rsidRPr="00725DBB" w:rsidR="00C604CE" w:rsidP="00725DBB" w:rsidRDefault="00C604CE" w14:paraId="313B2843" w14:textId="012074A8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Pr="00725DBB" w:rsidR="00C604CE" w:rsidP="00725DBB" w:rsidRDefault="00C604CE" w14:paraId="58679F86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714</w:t>
            </w:r>
          </w:p>
          <w:p w:rsidRPr="00725DBB" w:rsidR="00C604CE" w:rsidP="00725DBB" w:rsidRDefault="00C604CE" w14:paraId="45844DC2" w14:textId="552805DB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62FAEE46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3D2A164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12A47250" w14:textId="7B757E92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20-39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2AE9FBED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44,314,630</w:t>
            </w:r>
          </w:p>
          <w:p w:rsidRPr="00725DBB" w:rsidR="00C604CE" w:rsidP="00725DBB" w:rsidRDefault="00C604CE" w14:paraId="49C23177" w14:textId="65858E70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215AA97E" w14:textId="13B9AE66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2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211</w:t>
            </w:r>
          </w:p>
          <w:p w:rsidRPr="00725DBB" w:rsidR="00C604CE" w:rsidP="00725DBB" w:rsidRDefault="00C604CE" w14:paraId="39F08A3B" w14:textId="4FB65200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0793DE59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41%</w:t>
            </w:r>
          </w:p>
          <w:p w:rsidRPr="00725DBB" w:rsidR="00C604CE" w:rsidP="00725DBB" w:rsidRDefault="00C604CE" w14:paraId="5BF3D7C4" w14:textId="2074B8BF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Pr="00725DBB" w:rsidR="00C604CE" w:rsidP="00725DBB" w:rsidRDefault="00C604CE" w14:paraId="2FFA8E26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912</w:t>
            </w:r>
          </w:p>
          <w:p w:rsidRPr="00725DBB" w:rsidR="00C604CE" w:rsidP="00725DBB" w:rsidRDefault="00C604CE" w14:paraId="34A96E58" w14:textId="38E03CB2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3E0AEFA8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75D76EFC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64C9A332" w14:textId="0D85532E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40-59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25643047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40,223,196</w:t>
            </w:r>
          </w:p>
          <w:p w:rsidRPr="00725DBB" w:rsidR="00C604CE" w:rsidP="00725DBB" w:rsidRDefault="00C604CE" w14:paraId="26869380" w14:textId="4ED4CF5F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7AEC1FBB" w14:textId="55644BC8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2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007</w:t>
            </w:r>
          </w:p>
          <w:p w:rsidRPr="00725DBB" w:rsidR="00C604CE" w:rsidP="00725DBB" w:rsidRDefault="00C604CE" w14:paraId="13D56347" w14:textId="55244A2D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65E23714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41%</w:t>
            </w:r>
          </w:p>
          <w:p w:rsidRPr="00725DBB" w:rsidR="00C604CE" w:rsidP="00725DBB" w:rsidRDefault="00C604CE" w14:paraId="7C4E6318" w14:textId="6C3E71F1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Pr="00725DBB" w:rsidR="00C604CE" w:rsidP="00725DBB" w:rsidRDefault="00C604CE" w14:paraId="754BBA11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827</w:t>
            </w:r>
          </w:p>
          <w:p w:rsidRPr="00725DBB" w:rsidR="00C604CE" w:rsidP="00725DBB" w:rsidRDefault="00C604CE" w14:paraId="663C9AC9" w14:textId="32A62356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0AC78BD9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D816E6" w:rsidRDefault="00C604CE" w14:paraId="3389D89D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D816E6" w:rsidRDefault="00C604CE" w14:paraId="4A47BEE0" w14:textId="2AA66C97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60+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4CD8CF70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35,298,161</w:t>
            </w:r>
          </w:p>
          <w:p w:rsidRPr="00725DBB" w:rsidR="00C604CE" w:rsidP="00725DBB" w:rsidRDefault="00C604CE" w14:paraId="3D7267EC" w14:textId="4DA0A83C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center"/>
            <w:hideMark/>
          </w:tcPr>
          <w:p w:rsidRPr="00725DBB" w:rsidR="00C604CE" w:rsidP="00725DBB" w:rsidRDefault="00C604CE" w14:paraId="314B06C0" w14:textId="03BC1180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2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936</w:t>
            </w:r>
          </w:p>
          <w:p w:rsidRPr="00725DBB" w:rsidR="00C604CE" w:rsidP="00725DBB" w:rsidRDefault="00C604CE" w14:paraId="6909ACB0" w14:textId="2762D54C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398BEAF8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40%</w:t>
            </w:r>
          </w:p>
          <w:p w:rsidRPr="00725DBB" w:rsidR="00C604CE" w:rsidP="00725DBB" w:rsidRDefault="00C604CE" w14:paraId="3332C19E" w14:textId="159D93BD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6634BB78" w14:textId="6827E43C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186</w:t>
            </w:r>
          </w:p>
          <w:p w:rsidRPr="00725DBB" w:rsidR="00C604CE" w:rsidP="00725DBB" w:rsidRDefault="00C604CE" w14:paraId="3D3A9088" w14:textId="593965F1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5FD4AD6D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B87451" w:rsidRDefault="00C604CE" w14:paraId="2F82B377" w14:textId="77777777">
            <w:pPr>
              <w:rPr>
                <w:szCs w:val="24"/>
              </w:rPr>
            </w:pPr>
            <w:r w:rsidRPr="00725DBB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B87451" w:rsidRDefault="00C604CE" w14:paraId="442BAD74" w14:textId="0A08B5CE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0-5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2050BF72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12,067,654</w:t>
            </w:r>
          </w:p>
          <w:p w:rsidRPr="00725DBB" w:rsidR="00C604CE" w:rsidP="00725DBB" w:rsidRDefault="00C604CE" w14:paraId="5AAA1115" w14:textId="0B335EDB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Pr="00725DBB" w:rsidR="00C604CE" w:rsidP="00725DBB" w:rsidRDefault="00C604CE" w14:paraId="3C663810" w14:textId="60F806CF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004</w:t>
            </w:r>
          </w:p>
          <w:p w:rsidRPr="00725DBB" w:rsidR="00C604CE" w:rsidP="00725DBB" w:rsidRDefault="00C604CE" w14:paraId="495E3995" w14:textId="4CCAA1D1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12E7232D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52%</w:t>
            </w:r>
          </w:p>
          <w:p w:rsidRPr="00725DBB" w:rsidR="00C604CE" w:rsidP="00725DBB" w:rsidRDefault="00C604CE" w14:paraId="3ED3D2A2" w14:textId="14AEB9DA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508695CD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522</w:t>
            </w:r>
          </w:p>
          <w:p w:rsidRPr="00725DBB" w:rsidR="00C604CE" w:rsidP="00725DBB" w:rsidRDefault="00C604CE" w14:paraId="5F4471F5" w14:textId="0E1C9B64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33E94233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B87451" w:rsidRDefault="00C604CE" w14:paraId="21AAFCBA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B87451" w:rsidRDefault="00C604CE" w14:paraId="37AE3B12" w14:textId="7A8211D5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6-11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18C2A4A2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11,940,786</w:t>
            </w:r>
          </w:p>
          <w:p w:rsidRPr="00725DBB" w:rsidR="00C604CE" w:rsidP="00725DBB" w:rsidRDefault="00C604CE" w14:paraId="321CF0AA" w14:textId="6AF315A8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Pr="00725DBB" w:rsidR="00C604CE" w:rsidP="00725DBB" w:rsidRDefault="00C604CE" w14:paraId="6CFFA004" w14:textId="4866D40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993</w:t>
            </w:r>
          </w:p>
          <w:p w:rsidRPr="00725DBB" w:rsidR="00C604CE" w:rsidP="00725DBB" w:rsidRDefault="00C604CE" w14:paraId="1B497C68" w14:textId="0A92C2D9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51EAFDFA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54%</w:t>
            </w:r>
          </w:p>
          <w:p w:rsidRPr="00725DBB" w:rsidR="00C604CE" w:rsidP="00725DBB" w:rsidRDefault="00C604CE" w14:paraId="6D3662AB" w14:textId="3B49B934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7AEEE432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532</w:t>
            </w:r>
          </w:p>
          <w:p w:rsidRPr="00725DBB" w:rsidR="00C604CE" w:rsidP="00725DBB" w:rsidRDefault="00C604CE" w14:paraId="5A741F7F" w14:textId="1652C67A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094E0ACF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B87451" w:rsidRDefault="00C604CE" w14:paraId="2FFA7886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B87451" w:rsidRDefault="00C604CE" w14:paraId="36EE7390" w14:textId="0094EDD9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12-19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440B308A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16,396,197</w:t>
            </w:r>
          </w:p>
          <w:p w:rsidRPr="00725DBB" w:rsidR="00C604CE" w:rsidP="00725DBB" w:rsidRDefault="00C604CE" w14:paraId="74D42EB4" w14:textId="6C7541CC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Pr="00725DBB" w:rsidR="00C604CE" w:rsidP="00725DBB" w:rsidRDefault="00C604CE" w14:paraId="1CDC6BD0" w14:textId="262A0C9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364</w:t>
            </w:r>
          </w:p>
          <w:p w:rsidRPr="00725DBB" w:rsidR="00C604CE" w:rsidP="00725DBB" w:rsidRDefault="00C604CE" w14:paraId="0B10B5F7" w14:textId="696A1024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7908FD91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52%</w:t>
            </w:r>
          </w:p>
          <w:p w:rsidRPr="00725DBB" w:rsidR="00C604CE" w:rsidP="00725DBB" w:rsidRDefault="00C604CE" w14:paraId="1B2180E7" w14:textId="24FA2326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30C37A66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702</w:t>
            </w:r>
          </w:p>
          <w:p w:rsidRPr="00725DBB" w:rsidR="00C604CE" w:rsidP="00725DBB" w:rsidRDefault="00C604CE" w14:paraId="6F5ACBEC" w14:textId="2B233C20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0822F383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B87451" w:rsidRDefault="00C604CE" w14:paraId="58093BA4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B87451" w:rsidRDefault="00C604CE" w14:paraId="7541E51B" w14:textId="01C670DE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20-39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42139F27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44,455,528</w:t>
            </w:r>
          </w:p>
          <w:p w:rsidRPr="00725DBB" w:rsidR="00C604CE" w:rsidP="00725DBB" w:rsidRDefault="00C604CE" w14:paraId="7BFF378A" w14:textId="34E4B4F0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Pr="00725DBB" w:rsidR="00C604CE" w:rsidP="00725DBB" w:rsidRDefault="00C604CE" w14:paraId="7235941B" w14:textId="3631CB15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2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218</w:t>
            </w:r>
          </w:p>
          <w:p w:rsidRPr="00725DBB" w:rsidR="00C604CE" w:rsidP="00725DBB" w:rsidRDefault="00C604CE" w14:paraId="0902975B" w14:textId="44FE2F2F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7C49DF90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49%</w:t>
            </w:r>
          </w:p>
          <w:p w:rsidRPr="00725DBB" w:rsidR="00C604CE" w:rsidP="00725DBB" w:rsidRDefault="00C604CE" w14:paraId="43753907" w14:textId="6665004E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22910698" w14:textId="5D6BD153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087</w:t>
            </w:r>
          </w:p>
          <w:p w:rsidRPr="00725DBB" w:rsidR="00C604CE" w:rsidP="00725DBB" w:rsidRDefault="00C604CE" w14:paraId="03199983" w14:textId="4BC98F32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3D79E9F4" w14:textId="77777777">
        <w:trPr>
          <w:trHeight w:val="315"/>
          <w:jc w:val="center"/>
        </w:trPr>
        <w:tc>
          <w:tcPr>
            <w:tcW w:w="810" w:type="dxa"/>
            <w:noWrap/>
            <w:hideMark/>
          </w:tcPr>
          <w:p w:rsidRPr="00725DBB" w:rsidR="00C604CE" w:rsidP="00B87451" w:rsidRDefault="00C604CE" w14:paraId="3E641670" w14:textId="77777777">
            <w:pPr>
              <w:rPr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Pr="00725DBB" w:rsidR="00C604CE" w:rsidP="00B87451" w:rsidRDefault="00C604CE" w14:paraId="20BDABC5" w14:textId="0E87495C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40-59 yrs.</w:t>
            </w:r>
          </w:p>
        </w:tc>
        <w:tc>
          <w:tcPr>
            <w:tcW w:w="1971" w:type="dxa"/>
            <w:noWrap/>
            <w:vAlign w:val="bottom"/>
            <w:hideMark/>
          </w:tcPr>
          <w:p w:rsidRPr="00725DBB" w:rsidR="00C604CE" w:rsidP="00725DBB" w:rsidRDefault="00C604CE" w14:paraId="12177375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41,978,331</w:t>
            </w:r>
          </w:p>
          <w:p w:rsidRPr="00725DBB" w:rsidR="00C604CE" w:rsidP="00725DBB" w:rsidRDefault="00C604CE" w14:paraId="27735951" w14:textId="7715F9E1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Pr="00725DBB" w:rsidR="00C604CE" w:rsidP="00725DBB" w:rsidRDefault="00C604CE" w14:paraId="01649679" w14:textId="2F48B062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2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095</w:t>
            </w:r>
          </w:p>
          <w:p w:rsidRPr="00725DBB" w:rsidR="00C604CE" w:rsidP="00725DBB" w:rsidRDefault="00C604CE" w14:paraId="0F364D79" w14:textId="21201411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Pr="00725DBB" w:rsidR="00C604CE" w:rsidP="00725DBB" w:rsidRDefault="00C604CE" w14:paraId="40284481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47%</w:t>
            </w:r>
          </w:p>
          <w:p w:rsidRPr="00725DBB" w:rsidR="00C604CE" w:rsidP="00725DBB" w:rsidRDefault="00C604CE" w14:paraId="3146D4A7" w14:textId="66AE963B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Pr="00725DBB" w:rsidR="00C604CE" w:rsidP="00725DBB" w:rsidRDefault="00C604CE" w14:paraId="0C8F0A73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982</w:t>
            </w:r>
          </w:p>
          <w:p w:rsidRPr="00725DBB" w:rsidR="00C604CE" w:rsidP="00725DBB" w:rsidRDefault="00C604CE" w14:paraId="0558DF44" w14:textId="52C64F44">
            <w:pPr>
              <w:jc w:val="right"/>
              <w:rPr>
                <w:szCs w:val="24"/>
              </w:rPr>
            </w:pPr>
          </w:p>
        </w:tc>
      </w:tr>
      <w:tr w:rsidRPr="00725DBB" w:rsidR="00C604CE" w:rsidTr="00B722E8" w14:paraId="731C5671" w14:textId="77777777">
        <w:trPr>
          <w:trHeight w:val="315"/>
          <w:jc w:val="center"/>
        </w:trPr>
        <w:tc>
          <w:tcPr>
            <w:tcW w:w="810" w:type="dxa"/>
            <w:tcBorders>
              <w:bottom w:val="single" w:color="auto" w:sz="4" w:space="0"/>
            </w:tcBorders>
            <w:noWrap/>
            <w:hideMark/>
          </w:tcPr>
          <w:p w:rsidRPr="00725DBB" w:rsidR="00C604CE" w:rsidP="00B87451" w:rsidRDefault="00C604CE" w14:paraId="6BB753F1" w14:textId="77777777">
            <w:pPr>
              <w:rPr>
                <w:szCs w:val="24"/>
              </w:rPr>
            </w:pPr>
            <w:r w:rsidRPr="00725DBB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725DBB" w:rsidR="00C604CE" w:rsidP="00B87451" w:rsidRDefault="00C604CE" w14:paraId="731C4700" w14:textId="1CDBCAE2">
            <w:pPr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725DBB" w:rsidR="00C604CE" w:rsidP="00725DBB" w:rsidRDefault="00C604CE" w14:paraId="71FB7494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41,718,611</w:t>
            </w:r>
          </w:p>
          <w:p w:rsidRPr="00725DBB" w:rsidR="00C604CE" w:rsidP="00725DBB" w:rsidRDefault="00C604CE" w14:paraId="1EDCADFC" w14:textId="3702F826">
            <w:pPr>
              <w:jc w:val="right"/>
              <w:rPr>
                <w:szCs w:val="24"/>
              </w:rPr>
            </w:pP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725DBB" w:rsidR="00C604CE" w:rsidP="00725DBB" w:rsidRDefault="00C604CE" w14:paraId="4B5E57F9" w14:textId="12A36B95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3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470</w:t>
            </w:r>
          </w:p>
          <w:p w:rsidRPr="00725DBB" w:rsidR="00C604CE" w:rsidP="00725DBB" w:rsidRDefault="00C604CE" w14:paraId="130B4E14" w14:textId="07F69E8D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bottom"/>
            <w:hideMark/>
          </w:tcPr>
          <w:p w:rsidRPr="00725DBB" w:rsidR="00C604CE" w:rsidP="00725DBB" w:rsidRDefault="00C604CE" w14:paraId="6E2443FE" w14:textId="7777777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42%</w:t>
            </w:r>
          </w:p>
          <w:p w:rsidRPr="00725DBB" w:rsidR="00C604CE" w:rsidP="00725DBB" w:rsidRDefault="00C604CE" w14:paraId="33BF0B37" w14:textId="1B2D4B69">
            <w:pPr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725DBB" w:rsidR="00C604CE" w:rsidP="00725DBB" w:rsidRDefault="00C604CE" w14:paraId="7CD491A2" w14:textId="0C4A3CD7">
            <w:pPr>
              <w:jc w:val="right"/>
              <w:rPr>
                <w:color w:val="000000"/>
                <w:szCs w:val="24"/>
              </w:rPr>
            </w:pPr>
            <w:r w:rsidRPr="00725DBB">
              <w:rPr>
                <w:color w:val="000000"/>
                <w:szCs w:val="24"/>
              </w:rPr>
              <w:t>1</w:t>
            </w:r>
            <w:r w:rsidR="00725DBB">
              <w:rPr>
                <w:color w:val="000000"/>
                <w:szCs w:val="24"/>
              </w:rPr>
              <w:t>,</w:t>
            </w:r>
            <w:r w:rsidRPr="00725DBB">
              <w:rPr>
                <w:color w:val="000000"/>
                <w:szCs w:val="24"/>
              </w:rPr>
              <w:t>468</w:t>
            </w:r>
          </w:p>
          <w:p w:rsidRPr="00725DBB" w:rsidR="00C604CE" w:rsidP="00725DBB" w:rsidRDefault="00C604CE" w14:paraId="431E0E6D" w14:textId="33B2B9DC">
            <w:pPr>
              <w:jc w:val="right"/>
              <w:rPr>
                <w:szCs w:val="24"/>
              </w:rPr>
            </w:pPr>
          </w:p>
        </w:tc>
      </w:tr>
      <w:bookmarkEnd w:id="1"/>
      <w:tr w:rsidRPr="00725DBB" w:rsidR="00C604CE" w:rsidTr="00B722E8" w14:paraId="0D9CA3DF" w14:textId="77777777">
        <w:trPr>
          <w:trHeight w:val="611"/>
          <w:jc w:val="center"/>
        </w:trPr>
        <w:tc>
          <w:tcPr>
            <w:tcW w:w="2250" w:type="dxa"/>
            <w:gridSpan w:val="2"/>
            <w:tcBorders>
              <w:bottom w:val="single" w:color="auto" w:sz="4" w:space="0"/>
            </w:tcBorders>
            <w:vAlign w:val="center"/>
          </w:tcPr>
          <w:p w:rsidRPr="00725DBB" w:rsidR="00C604CE" w:rsidP="00C604CE" w:rsidRDefault="00C604CE" w14:paraId="0C3968C5" w14:textId="046F2CFF">
            <w:pPr>
              <w:rPr>
                <w:szCs w:val="24"/>
              </w:rPr>
            </w:pPr>
            <w:r w:rsidRPr="00725DBB">
              <w:rPr>
                <w:b/>
                <w:szCs w:val="24"/>
              </w:rPr>
              <w:t>TOTAL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/>
            <w:vAlign w:val="center"/>
          </w:tcPr>
          <w:p w:rsidRPr="00725DBB" w:rsidR="00C604CE" w:rsidP="00725DBB" w:rsidRDefault="00C604CE" w14:paraId="1FF85CF3" w14:textId="6C37A57F">
            <w:pPr>
              <w:jc w:val="right"/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330,432,608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noWrap/>
            <w:vAlign w:val="center"/>
          </w:tcPr>
          <w:p w:rsidRPr="00725DBB" w:rsidR="00C604CE" w:rsidP="00725DBB" w:rsidRDefault="00C604CE" w14:paraId="38C23A8D" w14:textId="31800DA5">
            <w:pPr>
              <w:jc w:val="right"/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21,794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center"/>
          </w:tcPr>
          <w:p w:rsidRPr="00725DBB" w:rsidR="00C604CE" w:rsidP="00725DBB" w:rsidRDefault="00C604CE" w14:paraId="5AA7AA17" w14:textId="689E8BD8">
            <w:pPr>
              <w:jc w:val="right"/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46%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vAlign w:val="center"/>
          </w:tcPr>
          <w:p w:rsidRPr="00725DBB" w:rsidR="00C604CE" w:rsidP="00725DBB" w:rsidRDefault="00C604CE" w14:paraId="55328171" w14:textId="507215FC">
            <w:pPr>
              <w:jc w:val="right"/>
              <w:rPr>
                <w:szCs w:val="24"/>
              </w:rPr>
            </w:pPr>
            <w:r w:rsidRPr="00725DBB">
              <w:rPr>
                <w:color w:val="000000"/>
                <w:szCs w:val="24"/>
              </w:rPr>
              <w:t>10,000</w:t>
            </w:r>
          </w:p>
        </w:tc>
      </w:tr>
    </w:tbl>
    <w:p w:rsidRPr="00725DBB" w:rsidR="00183576" w:rsidP="00183576" w:rsidRDefault="00183576" w14:paraId="0363EA9D" w14:textId="77777777">
      <w:pPr>
        <w:rPr>
          <w:szCs w:val="24"/>
        </w:rPr>
      </w:pPr>
    </w:p>
    <w:p w:rsidRPr="00725DBB" w:rsidR="00183576" w:rsidP="00183576" w:rsidRDefault="00183576" w14:paraId="2B2C3758" w14:textId="77777777">
      <w:pPr>
        <w:rPr>
          <w:szCs w:val="24"/>
        </w:rPr>
      </w:pPr>
    </w:p>
    <w:p w:rsidRPr="00725DBB" w:rsidR="00BB6B79" w:rsidP="00183576" w:rsidRDefault="00BB6B79" w14:paraId="10A20E0E" w14:textId="77777777">
      <w:pPr>
        <w:rPr>
          <w:szCs w:val="24"/>
        </w:rPr>
      </w:pPr>
    </w:p>
    <w:sectPr w:rsidRPr="00725DBB" w:rsidR="00BB6B79" w:rsidSect="0051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499C" w14:textId="77777777" w:rsidR="006C5292" w:rsidRDefault="006C5292">
      <w:r>
        <w:separator/>
      </w:r>
    </w:p>
  </w:endnote>
  <w:endnote w:type="continuationSeparator" w:id="0">
    <w:p w14:paraId="283EF665" w14:textId="77777777" w:rsidR="006C5292" w:rsidRDefault="006C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C9E3" w14:textId="77777777" w:rsidR="00283FE6" w:rsidRDefault="00283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9E493" w14:textId="77777777" w:rsidR="00283FE6" w:rsidRDefault="00283F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A342" w14:textId="76861407" w:rsidR="00283FE6" w:rsidRPr="00ED0A66" w:rsidRDefault="00283FE6" w:rsidP="00ED0A66">
    <w:pPr>
      <w:pStyle w:val="Footer"/>
      <w:ind w:right="360"/>
      <w:jc w:val="center"/>
      <w:rPr>
        <w:rFonts w:ascii="Arial" w:hAnsi="Arial" w:cs="Arial"/>
        <w:b/>
        <w:sz w:val="18"/>
        <w:szCs w:val="18"/>
      </w:rPr>
    </w:pPr>
    <w:r w:rsidRPr="00ED0A66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ED0A66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sz w:val="18"/>
        <w:szCs w:val="18"/>
      </w:rPr>
      <w:t>1</w: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9774" w14:textId="77777777" w:rsidR="00725DBB" w:rsidRDefault="00725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AFFD7" w14:textId="77777777" w:rsidR="006C5292" w:rsidRDefault="006C5292">
      <w:r>
        <w:separator/>
      </w:r>
    </w:p>
  </w:footnote>
  <w:footnote w:type="continuationSeparator" w:id="0">
    <w:p w14:paraId="18829DFD" w14:textId="77777777" w:rsidR="006C5292" w:rsidRDefault="006C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CDD3" w14:textId="77777777" w:rsidR="00725DBB" w:rsidRDefault="00725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7F46" w14:textId="07F10E5C" w:rsidR="00283FE6" w:rsidRDefault="00283FE6">
    <w:pPr>
      <w:pStyle w:val="Header"/>
    </w:pPr>
  </w:p>
  <w:p w14:paraId="5464D4AD" w14:textId="77777777" w:rsidR="00283FE6" w:rsidRDefault="00283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47B0" w14:textId="77777777" w:rsidR="00725DBB" w:rsidRDefault="00725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A73030"/>
    <w:multiLevelType w:val="hybridMultilevel"/>
    <w:tmpl w:val="27369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4240B"/>
    <w:multiLevelType w:val="hybridMultilevel"/>
    <w:tmpl w:val="354C20B4"/>
    <w:lvl w:ilvl="0" w:tplc="E6BA2CE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06D2569C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35FF"/>
    <w:multiLevelType w:val="hybridMultilevel"/>
    <w:tmpl w:val="59F45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8CCB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E0645"/>
    <w:multiLevelType w:val="multilevel"/>
    <w:tmpl w:val="BD20E5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700D7"/>
    <w:multiLevelType w:val="multilevel"/>
    <w:tmpl w:val="B20CF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A6301D3"/>
    <w:multiLevelType w:val="singleLevel"/>
    <w:tmpl w:val="37181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8036DD"/>
    <w:multiLevelType w:val="hybridMultilevel"/>
    <w:tmpl w:val="F0C0A1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EBE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101FE5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3D2D"/>
    <w:multiLevelType w:val="hybridMultilevel"/>
    <w:tmpl w:val="4FDE80FE"/>
    <w:lvl w:ilvl="0" w:tplc="7F543A76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1DE9"/>
    <w:multiLevelType w:val="hybridMultilevel"/>
    <w:tmpl w:val="F946A5F6"/>
    <w:lvl w:ilvl="0" w:tplc="6D980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13257"/>
    <w:multiLevelType w:val="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B6713"/>
    <w:multiLevelType w:val="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C772C8"/>
    <w:multiLevelType w:val="hybridMultilevel"/>
    <w:tmpl w:val="54B06D3E"/>
    <w:lvl w:ilvl="0" w:tplc="9B28CCB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6B3F61"/>
    <w:multiLevelType w:val="hybridMultilevel"/>
    <w:tmpl w:val="57E2E46E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6CB5"/>
    <w:multiLevelType w:val="hybridMultilevel"/>
    <w:tmpl w:val="4FC0D3A0"/>
    <w:lvl w:ilvl="0" w:tplc="992E1C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E706CD"/>
    <w:multiLevelType w:val="hybridMultilevel"/>
    <w:tmpl w:val="688C2B44"/>
    <w:lvl w:ilvl="0" w:tplc="37564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F761E"/>
    <w:multiLevelType w:val="hybridMultilevel"/>
    <w:tmpl w:val="501E0932"/>
    <w:lvl w:ilvl="0" w:tplc="C5307B54"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62094"/>
    <w:multiLevelType w:val="hybridMultilevel"/>
    <w:tmpl w:val="12D4B42C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4658"/>
    <w:multiLevelType w:val="multilevel"/>
    <w:tmpl w:val="4FDE80FE"/>
    <w:lvl w:ilvl="0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B6802"/>
    <w:multiLevelType w:val="multilevel"/>
    <w:tmpl w:val="412EE8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C74E3"/>
    <w:multiLevelType w:val="hybridMultilevel"/>
    <w:tmpl w:val="EEACE084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AA7"/>
    <w:multiLevelType w:val="hybridMultilevel"/>
    <w:tmpl w:val="1BFE351A"/>
    <w:lvl w:ilvl="0" w:tplc="AE8A8D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B0040"/>
    <w:multiLevelType w:val="hybridMultilevel"/>
    <w:tmpl w:val="832E03AA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D6078"/>
    <w:multiLevelType w:val="hybridMultilevel"/>
    <w:tmpl w:val="D65E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C23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D333B4"/>
    <w:multiLevelType w:val="hybridMultilevel"/>
    <w:tmpl w:val="7A220C7C"/>
    <w:lvl w:ilvl="0" w:tplc="C5307B54">
      <w:numFmt w:val="bullet"/>
      <w:lvlText w:val=""/>
      <w:lvlJc w:val="left"/>
      <w:pPr>
        <w:tabs>
          <w:tab w:val="num" w:pos="1305"/>
        </w:tabs>
        <w:ind w:left="130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DD772A"/>
    <w:multiLevelType w:val="hybridMultilevel"/>
    <w:tmpl w:val="B1A6C89A"/>
    <w:lvl w:ilvl="0" w:tplc="6EA88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E2E6A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E3C2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DE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5CEF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808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DC1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22AF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FA1F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F86461"/>
    <w:multiLevelType w:val="singleLevel"/>
    <w:tmpl w:val="6F323A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7"/>
  </w:num>
  <w:num w:numId="5">
    <w:abstractNumId w:val="19"/>
  </w:num>
  <w:num w:numId="6">
    <w:abstractNumId w:val="17"/>
  </w:num>
  <w:num w:numId="7">
    <w:abstractNumId w:val="5"/>
  </w:num>
  <w:num w:numId="8">
    <w:abstractNumId w:val="27"/>
  </w:num>
  <w:num w:numId="9">
    <w:abstractNumId w:val="15"/>
  </w:num>
  <w:num w:numId="10">
    <w:abstractNumId w:val="33"/>
  </w:num>
  <w:num w:numId="11">
    <w:abstractNumId w:val="4"/>
  </w:num>
  <w:num w:numId="12">
    <w:abstractNumId w:val="28"/>
  </w:num>
  <w:num w:numId="13">
    <w:abstractNumId w:val="22"/>
  </w:num>
  <w:num w:numId="14">
    <w:abstractNumId w:val="23"/>
  </w:num>
  <w:num w:numId="15">
    <w:abstractNumId w:val="3"/>
  </w:num>
  <w:num w:numId="16">
    <w:abstractNumId w:val="14"/>
  </w:num>
  <w:num w:numId="17">
    <w:abstractNumId w:val="25"/>
  </w:num>
  <w:num w:numId="18">
    <w:abstractNumId w:val="20"/>
  </w:num>
  <w:num w:numId="19">
    <w:abstractNumId w:val="8"/>
  </w:num>
  <w:num w:numId="20">
    <w:abstractNumId w:val="30"/>
  </w:num>
  <w:num w:numId="21">
    <w:abstractNumId w:val="16"/>
  </w:num>
  <w:num w:numId="22">
    <w:abstractNumId w:val="9"/>
  </w:num>
  <w:num w:numId="23">
    <w:abstractNumId w:val="6"/>
  </w:num>
  <w:num w:numId="24">
    <w:abstractNumId w:val="26"/>
  </w:num>
  <w:num w:numId="25">
    <w:abstractNumId w:val="12"/>
  </w:num>
  <w:num w:numId="26">
    <w:abstractNumId w:val="18"/>
  </w:num>
  <w:num w:numId="27">
    <w:abstractNumId w:val="32"/>
  </w:num>
  <w:num w:numId="28">
    <w:abstractNumId w:val="13"/>
  </w:num>
  <w:num w:numId="29">
    <w:abstractNumId w:val="24"/>
  </w:num>
  <w:num w:numId="30">
    <w:abstractNumId w:val="21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2F"/>
    <w:rsid w:val="00000D9C"/>
    <w:rsid w:val="00001B2E"/>
    <w:rsid w:val="000036EC"/>
    <w:rsid w:val="00005179"/>
    <w:rsid w:val="00005B8D"/>
    <w:rsid w:val="0001144F"/>
    <w:rsid w:val="00013A97"/>
    <w:rsid w:val="0001411C"/>
    <w:rsid w:val="000159E4"/>
    <w:rsid w:val="00020573"/>
    <w:rsid w:val="00022902"/>
    <w:rsid w:val="0002755E"/>
    <w:rsid w:val="000300AF"/>
    <w:rsid w:val="00030E24"/>
    <w:rsid w:val="00034206"/>
    <w:rsid w:val="000348D0"/>
    <w:rsid w:val="00036A87"/>
    <w:rsid w:val="000405AB"/>
    <w:rsid w:val="00042DAE"/>
    <w:rsid w:val="00043B7F"/>
    <w:rsid w:val="0004457C"/>
    <w:rsid w:val="0004625B"/>
    <w:rsid w:val="00050161"/>
    <w:rsid w:val="000520F0"/>
    <w:rsid w:val="00052598"/>
    <w:rsid w:val="000568F7"/>
    <w:rsid w:val="00057933"/>
    <w:rsid w:val="000618D9"/>
    <w:rsid w:val="00061FCB"/>
    <w:rsid w:val="00066E0F"/>
    <w:rsid w:val="00072505"/>
    <w:rsid w:val="00074466"/>
    <w:rsid w:val="000745DC"/>
    <w:rsid w:val="000749DF"/>
    <w:rsid w:val="00074B49"/>
    <w:rsid w:val="00081AA1"/>
    <w:rsid w:val="000832C7"/>
    <w:rsid w:val="000851BF"/>
    <w:rsid w:val="00086AEF"/>
    <w:rsid w:val="00086EDF"/>
    <w:rsid w:val="000920EF"/>
    <w:rsid w:val="000A3337"/>
    <w:rsid w:val="000A4551"/>
    <w:rsid w:val="000A66FA"/>
    <w:rsid w:val="000A76D7"/>
    <w:rsid w:val="000B261D"/>
    <w:rsid w:val="000B6013"/>
    <w:rsid w:val="000C00A0"/>
    <w:rsid w:val="000C3702"/>
    <w:rsid w:val="000C50EE"/>
    <w:rsid w:val="000D168F"/>
    <w:rsid w:val="000D380C"/>
    <w:rsid w:val="000D3B6C"/>
    <w:rsid w:val="000D6495"/>
    <w:rsid w:val="000D6E2E"/>
    <w:rsid w:val="000E0A58"/>
    <w:rsid w:val="000F538F"/>
    <w:rsid w:val="00100DE4"/>
    <w:rsid w:val="00101B60"/>
    <w:rsid w:val="00101C18"/>
    <w:rsid w:val="00102BCE"/>
    <w:rsid w:val="00105031"/>
    <w:rsid w:val="001072CF"/>
    <w:rsid w:val="00107D4E"/>
    <w:rsid w:val="00115791"/>
    <w:rsid w:val="00115B20"/>
    <w:rsid w:val="00115D1B"/>
    <w:rsid w:val="00116006"/>
    <w:rsid w:val="00120060"/>
    <w:rsid w:val="00123C07"/>
    <w:rsid w:val="001249C4"/>
    <w:rsid w:val="00125B9A"/>
    <w:rsid w:val="001321A0"/>
    <w:rsid w:val="00132924"/>
    <w:rsid w:val="001346CC"/>
    <w:rsid w:val="00136875"/>
    <w:rsid w:val="00137E9F"/>
    <w:rsid w:val="001404CB"/>
    <w:rsid w:val="0015522A"/>
    <w:rsid w:val="00163302"/>
    <w:rsid w:val="001637A1"/>
    <w:rsid w:val="00164C43"/>
    <w:rsid w:val="00171772"/>
    <w:rsid w:val="00172652"/>
    <w:rsid w:val="00176243"/>
    <w:rsid w:val="00180D16"/>
    <w:rsid w:val="00182D07"/>
    <w:rsid w:val="00182D18"/>
    <w:rsid w:val="00183576"/>
    <w:rsid w:val="001851C9"/>
    <w:rsid w:val="00186CC5"/>
    <w:rsid w:val="0019026F"/>
    <w:rsid w:val="0019033E"/>
    <w:rsid w:val="001906CE"/>
    <w:rsid w:val="0019382E"/>
    <w:rsid w:val="001940A6"/>
    <w:rsid w:val="001940EC"/>
    <w:rsid w:val="00197527"/>
    <w:rsid w:val="001A0F78"/>
    <w:rsid w:val="001A2750"/>
    <w:rsid w:val="001A2CC0"/>
    <w:rsid w:val="001A33C6"/>
    <w:rsid w:val="001A5B40"/>
    <w:rsid w:val="001A621C"/>
    <w:rsid w:val="001A62A0"/>
    <w:rsid w:val="001A6EE5"/>
    <w:rsid w:val="001B54F2"/>
    <w:rsid w:val="001C0BE1"/>
    <w:rsid w:val="001C28E8"/>
    <w:rsid w:val="001D4A0A"/>
    <w:rsid w:val="001E0C56"/>
    <w:rsid w:val="001E302C"/>
    <w:rsid w:val="001E4B1F"/>
    <w:rsid w:val="001E5CC6"/>
    <w:rsid w:val="001E74DE"/>
    <w:rsid w:val="001F2663"/>
    <w:rsid w:val="001F5B80"/>
    <w:rsid w:val="001F7959"/>
    <w:rsid w:val="00200F53"/>
    <w:rsid w:val="00203C58"/>
    <w:rsid w:val="0020459E"/>
    <w:rsid w:val="00204C71"/>
    <w:rsid w:val="0020671C"/>
    <w:rsid w:val="00206A26"/>
    <w:rsid w:val="00211398"/>
    <w:rsid w:val="00212D05"/>
    <w:rsid w:val="00220C1C"/>
    <w:rsid w:val="002216DE"/>
    <w:rsid w:val="00234CBA"/>
    <w:rsid w:val="0024566B"/>
    <w:rsid w:val="002466CE"/>
    <w:rsid w:val="00247228"/>
    <w:rsid w:val="00247A75"/>
    <w:rsid w:val="002513B6"/>
    <w:rsid w:val="002559CC"/>
    <w:rsid w:val="00256A4C"/>
    <w:rsid w:val="002574DD"/>
    <w:rsid w:val="0025788E"/>
    <w:rsid w:val="00260260"/>
    <w:rsid w:val="00261961"/>
    <w:rsid w:val="002634C8"/>
    <w:rsid w:val="00264325"/>
    <w:rsid w:val="002652CA"/>
    <w:rsid w:val="00270E9A"/>
    <w:rsid w:val="00271228"/>
    <w:rsid w:val="00271427"/>
    <w:rsid w:val="00277C11"/>
    <w:rsid w:val="002828AC"/>
    <w:rsid w:val="0028343B"/>
    <w:rsid w:val="0028357B"/>
    <w:rsid w:val="00283FE6"/>
    <w:rsid w:val="00284D34"/>
    <w:rsid w:val="00285874"/>
    <w:rsid w:val="0028646E"/>
    <w:rsid w:val="00293D40"/>
    <w:rsid w:val="002A01D7"/>
    <w:rsid w:val="002A3070"/>
    <w:rsid w:val="002A364E"/>
    <w:rsid w:val="002A383C"/>
    <w:rsid w:val="002A3A78"/>
    <w:rsid w:val="002A7851"/>
    <w:rsid w:val="002B11F5"/>
    <w:rsid w:val="002B4E25"/>
    <w:rsid w:val="002B506E"/>
    <w:rsid w:val="002B6B69"/>
    <w:rsid w:val="002C36E8"/>
    <w:rsid w:val="002C4DED"/>
    <w:rsid w:val="002D0DF4"/>
    <w:rsid w:val="002D1092"/>
    <w:rsid w:val="002D19B9"/>
    <w:rsid w:val="002E5CEE"/>
    <w:rsid w:val="002F093D"/>
    <w:rsid w:val="002F1C20"/>
    <w:rsid w:val="002F2000"/>
    <w:rsid w:val="002F50E3"/>
    <w:rsid w:val="003021E0"/>
    <w:rsid w:val="003026E9"/>
    <w:rsid w:val="003044B8"/>
    <w:rsid w:val="0030712C"/>
    <w:rsid w:val="00314401"/>
    <w:rsid w:val="00314504"/>
    <w:rsid w:val="0031523E"/>
    <w:rsid w:val="00317E02"/>
    <w:rsid w:val="00321612"/>
    <w:rsid w:val="00323371"/>
    <w:rsid w:val="00324AF3"/>
    <w:rsid w:val="003257F7"/>
    <w:rsid w:val="00325FA0"/>
    <w:rsid w:val="0033045E"/>
    <w:rsid w:val="00341D76"/>
    <w:rsid w:val="00343A8B"/>
    <w:rsid w:val="0034485E"/>
    <w:rsid w:val="00344E69"/>
    <w:rsid w:val="00346E36"/>
    <w:rsid w:val="00350F3B"/>
    <w:rsid w:val="003562C4"/>
    <w:rsid w:val="00356882"/>
    <w:rsid w:val="00363668"/>
    <w:rsid w:val="00364500"/>
    <w:rsid w:val="003654B1"/>
    <w:rsid w:val="0036643A"/>
    <w:rsid w:val="003676BA"/>
    <w:rsid w:val="00372B2C"/>
    <w:rsid w:val="003746FB"/>
    <w:rsid w:val="00375DB9"/>
    <w:rsid w:val="00381D3E"/>
    <w:rsid w:val="00385995"/>
    <w:rsid w:val="00385BAC"/>
    <w:rsid w:val="00387B0C"/>
    <w:rsid w:val="00390434"/>
    <w:rsid w:val="003908BB"/>
    <w:rsid w:val="00392C21"/>
    <w:rsid w:val="003A0558"/>
    <w:rsid w:val="003A0717"/>
    <w:rsid w:val="003A105B"/>
    <w:rsid w:val="003C1919"/>
    <w:rsid w:val="003C644B"/>
    <w:rsid w:val="003C6989"/>
    <w:rsid w:val="003C6B12"/>
    <w:rsid w:val="003D0F98"/>
    <w:rsid w:val="003D3581"/>
    <w:rsid w:val="003D6A08"/>
    <w:rsid w:val="003E0FFF"/>
    <w:rsid w:val="003E12A6"/>
    <w:rsid w:val="003E7313"/>
    <w:rsid w:val="003F010A"/>
    <w:rsid w:val="003F0966"/>
    <w:rsid w:val="003F2E91"/>
    <w:rsid w:val="003F62CD"/>
    <w:rsid w:val="00402736"/>
    <w:rsid w:val="0040292C"/>
    <w:rsid w:val="00404AD4"/>
    <w:rsid w:val="00412ADA"/>
    <w:rsid w:val="00413315"/>
    <w:rsid w:val="00413ED2"/>
    <w:rsid w:val="00414B23"/>
    <w:rsid w:val="00415F1B"/>
    <w:rsid w:val="00416E96"/>
    <w:rsid w:val="00421A5F"/>
    <w:rsid w:val="00422715"/>
    <w:rsid w:val="0042413F"/>
    <w:rsid w:val="004245B3"/>
    <w:rsid w:val="00424DED"/>
    <w:rsid w:val="00431E8B"/>
    <w:rsid w:val="00433049"/>
    <w:rsid w:val="004339D8"/>
    <w:rsid w:val="00435B8C"/>
    <w:rsid w:val="0043627E"/>
    <w:rsid w:val="00437DB9"/>
    <w:rsid w:val="0044263F"/>
    <w:rsid w:val="00445213"/>
    <w:rsid w:val="00445589"/>
    <w:rsid w:val="0045055C"/>
    <w:rsid w:val="00456D0B"/>
    <w:rsid w:val="00457DD9"/>
    <w:rsid w:val="00457E6B"/>
    <w:rsid w:val="00462954"/>
    <w:rsid w:val="0047323B"/>
    <w:rsid w:val="00475538"/>
    <w:rsid w:val="0047720D"/>
    <w:rsid w:val="004779D7"/>
    <w:rsid w:val="00481836"/>
    <w:rsid w:val="00484CE3"/>
    <w:rsid w:val="004850F9"/>
    <w:rsid w:val="004872C8"/>
    <w:rsid w:val="00487D2E"/>
    <w:rsid w:val="00491B38"/>
    <w:rsid w:val="00493761"/>
    <w:rsid w:val="00493983"/>
    <w:rsid w:val="00495295"/>
    <w:rsid w:val="004A4C32"/>
    <w:rsid w:val="004B1324"/>
    <w:rsid w:val="004B1F2B"/>
    <w:rsid w:val="004B4319"/>
    <w:rsid w:val="004B46D8"/>
    <w:rsid w:val="004B543E"/>
    <w:rsid w:val="004C1497"/>
    <w:rsid w:val="004C7FC1"/>
    <w:rsid w:val="004D394C"/>
    <w:rsid w:val="004D52CD"/>
    <w:rsid w:val="004D7457"/>
    <w:rsid w:val="004E0C84"/>
    <w:rsid w:val="004E0E15"/>
    <w:rsid w:val="004E354C"/>
    <w:rsid w:val="004E5D66"/>
    <w:rsid w:val="004E716A"/>
    <w:rsid w:val="004F1E48"/>
    <w:rsid w:val="004F2AAD"/>
    <w:rsid w:val="004F2C26"/>
    <w:rsid w:val="004F5483"/>
    <w:rsid w:val="004F58EE"/>
    <w:rsid w:val="00500BAC"/>
    <w:rsid w:val="0050487C"/>
    <w:rsid w:val="00504B3F"/>
    <w:rsid w:val="005064DE"/>
    <w:rsid w:val="005127F5"/>
    <w:rsid w:val="005134E0"/>
    <w:rsid w:val="00514D41"/>
    <w:rsid w:val="00515F6A"/>
    <w:rsid w:val="00520784"/>
    <w:rsid w:val="00523123"/>
    <w:rsid w:val="00526289"/>
    <w:rsid w:val="005305BE"/>
    <w:rsid w:val="00532C14"/>
    <w:rsid w:val="00533613"/>
    <w:rsid w:val="005345D0"/>
    <w:rsid w:val="00536907"/>
    <w:rsid w:val="00536966"/>
    <w:rsid w:val="00547D13"/>
    <w:rsid w:val="00560DD9"/>
    <w:rsid w:val="00562C7D"/>
    <w:rsid w:val="00565B92"/>
    <w:rsid w:val="0056675A"/>
    <w:rsid w:val="00566DED"/>
    <w:rsid w:val="005713A3"/>
    <w:rsid w:val="00572B66"/>
    <w:rsid w:val="00574CEA"/>
    <w:rsid w:val="0058216B"/>
    <w:rsid w:val="00585525"/>
    <w:rsid w:val="00585532"/>
    <w:rsid w:val="005860E5"/>
    <w:rsid w:val="00586DB7"/>
    <w:rsid w:val="00587818"/>
    <w:rsid w:val="005918C6"/>
    <w:rsid w:val="00591AB5"/>
    <w:rsid w:val="00593700"/>
    <w:rsid w:val="00596EDD"/>
    <w:rsid w:val="005A1B58"/>
    <w:rsid w:val="005A2462"/>
    <w:rsid w:val="005A3FDB"/>
    <w:rsid w:val="005A4317"/>
    <w:rsid w:val="005A5A7B"/>
    <w:rsid w:val="005B00D8"/>
    <w:rsid w:val="005B079F"/>
    <w:rsid w:val="005B291C"/>
    <w:rsid w:val="005B4840"/>
    <w:rsid w:val="005C0869"/>
    <w:rsid w:val="005C0936"/>
    <w:rsid w:val="005C0CB1"/>
    <w:rsid w:val="005C1EF2"/>
    <w:rsid w:val="005C2442"/>
    <w:rsid w:val="005C4523"/>
    <w:rsid w:val="005C4AAB"/>
    <w:rsid w:val="005D09DD"/>
    <w:rsid w:val="005D3E48"/>
    <w:rsid w:val="005D79DC"/>
    <w:rsid w:val="005E2363"/>
    <w:rsid w:val="005E4A48"/>
    <w:rsid w:val="005F3613"/>
    <w:rsid w:val="005F3D55"/>
    <w:rsid w:val="005F7A01"/>
    <w:rsid w:val="00601926"/>
    <w:rsid w:val="00602B6E"/>
    <w:rsid w:val="00604131"/>
    <w:rsid w:val="00604377"/>
    <w:rsid w:val="00605E22"/>
    <w:rsid w:val="006173C7"/>
    <w:rsid w:val="0062138B"/>
    <w:rsid w:val="006250E1"/>
    <w:rsid w:val="006301B6"/>
    <w:rsid w:val="006303F7"/>
    <w:rsid w:val="006339C1"/>
    <w:rsid w:val="00635A3E"/>
    <w:rsid w:val="00640EC3"/>
    <w:rsid w:val="00643A88"/>
    <w:rsid w:val="00643CA4"/>
    <w:rsid w:val="006461D8"/>
    <w:rsid w:val="00650165"/>
    <w:rsid w:val="0065176E"/>
    <w:rsid w:val="00652041"/>
    <w:rsid w:val="00652906"/>
    <w:rsid w:val="00654B7C"/>
    <w:rsid w:val="006556A1"/>
    <w:rsid w:val="00655778"/>
    <w:rsid w:val="0065691B"/>
    <w:rsid w:val="00657338"/>
    <w:rsid w:val="00664738"/>
    <w:rsid w:val="00671200"/>
    <w:rsid w:val="0067248E"/>
    <w:rsid w:val="00676D3B"/>
    <w:rsid w:val="00677C84"/>
    <w:rsid w:val="00677D6F"/>
    <w:rsid w:val="00681424"/>
    <w:rsid w:val="006837B1"/>
    <w:rsid w:val="00683DCF"/>
    <w:rsid w:val="00690352"/>
    <w:rsid w:val="00690804"/>
    <w:rsid w:val="00696384"/>
    <w:rsid w:val="006A2315"/>
    <w:rsid w:val="006A4606"/>
    <w:rsid w:val="006A5B1C"/>
    <w:rsid w:val="006B4826"/>
    <w:rsid w:val="006B7BF0"/>
    <w:rsid w:val="006C0718"/>
    <w:rsid w:val="006C1D63"/>
    <w:rsid w:val="006C5292"/>
    <w:rsid w:val="006C5A56"/>
    <w:rsid w:val="006E00A9"/>
    <w:rsid w:val="006E2E0E"/>
    <w:rsid w:val="006F0C19"/>
    <w:rsid w:val="006F0D8F"/>
    <w:rsid w:val="006F260F"/>
    <w:rsid w:val="006F418F"/>
    <w:rsid w:val="00703814"/>
    <w:rsid w:val="007049AF"/>
    <w:rsid w:val="00704CB3"/>
    <w:rsid w:val="0070620D"/>
    <w:rsid w:val="007175C8"/>
    <w:rsid w:val="007178B6"/>
    <w:rsid w:val="00720005"/>
    <w:rsid w:val="007239A5"/>
    <w:rsid w:val="00725DBB"/>
    <w:rsid w:val="00730763"/>
    <w:rsid w:val="00732913"/>
    <w:rsid w:val="00734B3C"/>
    <w:rsid w:val="00734FFE"/>
    <w:rsid w:val="0073736C"/>
    <w:rsid w:val="0074581E"/>
    <w:rsid w:val="00746432"/>
    <w:rsid w:val="00746A14"/>
    <w:rsid w:val="00746E73"/>
    <w:rsid w:val="007476F8"/>
    <w:rsid w:val="007506C5"/>
    <w:rsid w:val="00751FCC"/>
    <w:rsid w:val="00756283"/>
    <w:rsid w:val="00762E2B"/>
    <w:rsid w:val="0076416A"/>
    <w:rsid w:val="00765D99"/>
    <w:rsid w:val="00770477"/>
    <w:rsid w:val="007710DA"/>
    <w:rsid w:val="007748DB"/>
    <w:rsid w:val="00775F93"/>
    <w:rsid w:val="00780F7E"/>
    <w:rsid w:val="00782A9A"/>
    <w:rsid w:val="00784F3F"/>
    <w:rsid w:val="00785A4E"/>
    <w:rsid w:val="007863F0"/>
    <w:rsid w:val="00786D71"/>
    <w:rsid w:val="0078795B"/>
    <w:rsid w:val="00793BF1"/>
    <w:rsid w:val="00794A1A"/>
    <w:rsid w:val="00794EA0"/>
    <w:rsid w:val="00797DAC"/>
    <w:rsid w:val="007A400C"/>
    <w:rsid w:val="007A48B6"/>
    <w:rsid w:val="007A51FF"/>
    <w:rsid w:val="007A5209"/>
    <w:rsid w:val="007A6869"/>
    <w:rsid w:val="007A6EF4"/>
    <w:rsid w:val="007B6748"/>
    <w:rsid w:val="007B731A"/>
    <w:rsid w:val="007D226A"/>
    <w:rsid w:val="007D36BB"/>
    <w:rsid w:val="007D46BE"/>
    <w:rsid w:val="007D64A4"/>
    <w:rsid w:val="007D74A9"/>
    <w:rsid w:val="007E758C"/>
    <w:rsid w:val="007F0E3F"/>
    <w:rsid w:val="007F2CDF"/>
    <w:rsid w:val="007F361B"/>
    <w:rsid w:val="007F58E3"/>
    <w:rsid w:val="00800050"/>
    <w:rsid w:val="00800A96"/>
    <w:rsid w:val="00800AF2"/>
    <w:rsid w:val="008044DC"/>
    <w:rsid w:val="0080504F"/>
    <w:rsid w:val="008063A8"/>
    <w:rsid w:val="00813B65"/>
    <w:rsid w:val="008156D3"/>
    <w:rsid w:val="008206ED"/>
    <w:rsid w:val="0082655E"/>
    <w:rsid w:val="0083249A"/>
    <w:rsid w:val="00833003"/>
    <w:rsid w:val="00833090"/>
    <w:rsid w:val="00833CED"/>
    <w:rsid w:val="0083590F"/>
    <w:rsid w:val="0083606F"/>
    <w:rsid w:val="00837059"/>
    <w:rsid w:val="0083752F"/>
    <w:rsid w:val="008403BC"/>
    <w:rsid w:val="00842009"/>
    <w:rsid w:val="00844266"/>
    <w:rsid w:val="00845061"/>
    <w:rsid w:val="0084717A"/>
    <w:rsid w:val="00847F5B"/>
    <w:rsid w:val="00852AA3"/>
    <w:rsid w:val="00866A96"/>
    <w:rsid w:val="008709AF"/>
    <w:rsid w:val="008733A5"/>
    <w:rsid w:val="00873940"/>
    <w:rsid w:val="00876964"/>
    <w:rsid w:val="008775F4"/>
    <w:rsid w:val="00880844"/>
    <w:rsid w:val="008853CC"/>
    <w:rsid w:val="00891B54"/>
    <w:rsid w:val="00893689"/>
    <w:rsid w:val="0089668B"/>
    <w:rsid w:val="0089789D"/>
    <w:rsid w:val="008A1F9C"/>
    <w:rsid w:val="008A221D"/>
    <w:rsid w:val="008A6CEF"/>
    <w:rsid w:val="008B1A65"/>
    <w:rsid w:val="008B6160"/>
    <w:rsid w:val="008B66E0"/>
    <w:rsid w:val="008B70F8"/>
    <w:rsid w:val="008C19F9"/>
    <w:rsid w:val="008C7448"/>
    <w:rsid w:val="008D07C3"/>
    <w:rsid w:val="008D245D"/>
    <w:rsid w:val="008D4B44"/>
    <w:rsid w:val="008D67A0"/>
    <w:rsid w:val="008D7ABE"/>
    <w:rsid w:val="008E1669"/>
    <w:rsid w:val="008E3DF6"/>
    <w:rsid w:val="008E6FF6"/>
    <w:rsid w:val="008E7566"/>
    <w:rsid w:val="008F3300"/>
    <w:rsid w:val="008F3937"/>
    <w:rsid w:val="009043ED"/>
    <w:rsid w:val="0090656F"/>
    <w:rsid w:val="00912C56"/>
    <w:rsid w:val="009135F2"/>
    <w:rsid w:val="009140BB"/>
    <w:rsid w:val="0091698A"/>
    <w:rsid w:val="00917BDC"/>
    <w:rsid w:val="009205BF"/>
    <w:rsid w:val="00921901"/>
    <w:rsid w:val="00921C9E"/>
    <w:rsid w:val="009239C9"/>
    <w:rsid w:val="00925322"/>
    <w:rsid w:val="00925D60"/>
    <w:rsid w:val="00930FC4"/>
    <w:rsid w:val="00934896"/>
    <w:rsid w:val="009376B6"/>
    <w:rsid w:val="00941CB1"/>
    <w:rsid w:val="00943ED1"/>
    <w:rsid w:val="00954A2F"/>
    <w:rsid w:val="00956A83"/>
    <w:rsid w:val="00963BE4"/>
    <w:rsid w:val="00964078"/>
    <w:rsid w:val="009661AB"/>
    <w:rsid w:val="00971A94"/>
    <w:rsid w:val="00973E0B"/>
    <w:rsid w:val="00976786"/>
    <w:rsid w:val="009806B0"/>
    <w:rsid w:val="009842C9"/>
    <w:rsid w:val="00985B53"/>
    <w:rsid w:val="009941D6"/>
    <w:rsid w:val="00994501"/>
    <w:rsid w:val="009A3C8D"/>
    <w:rsid w:val="009A629F"/>
    <w:rsid w:val="009B16DF"/>
    <w:rsid w:val="009B542E"/>
    <w:rsid w:val="009B5A28"/>
    <w:rsid w:val="009C5573"/>
    <w:rsid w:val="009C56C8"/>
    <w:rsid w:val="009C6794"/>
    <w:rsid w:val="009D1AF7"/>
    <w:rsid w:val="009D205C"/>
    <w:rsid w:val="009D76B2"/>
    <w:rsid w:val="009E00B0"/>
    <w:rsid w:val="009E5D97"/>
    <w:rsid w:val="009E66E6"/>
    <w:rsid w:val="009E7226"/>
    <w:rsid w:val="009F148B"/>
    <w:rsid w:val="009F18DD"/>
    <w:rsid w:val="009F1A71"/>
    <w:rsid w:val="009F2ADF"/>
    <w:rsid w:val="009F43F8"/>
    <w:rsid w:val="009F5377"/>
    <w:rsid w:val="00A01BA8"/>
    <w:rsid w:val="00A01F83"/>
    <w:rsid w:val="00A053AF"/>
    <w:rsid w:val="00A072F7"/>
    <w:rsid w:val="00A157D1"/>
    <w:rsid w:val="00A17A64"/>
    <w:rsid w:val="00A23085"/>
    <w:rsid w:val="00A305B5"/>
    <w:rsid w:val="00A37CEB"/>
    <w:rsid w:val="00A417C0"/>
    <w:rsid w:val="00A41C83"/>
    <w:rsid w:val="00A50AE3"/>
    <w:rsid w:val="00A53F48"/>
    <w:rsid w:val="00A6034B"/>
    <w:rsid w:val="00A64005"/>
    <w:rsid w:val="00A67BF9"/>
    <w:rsid w:val="00A706CF"/>
    <w:rsid w:val="00A77B8C"/>
    <w:rsid w:val="00A806D1"/>
    <w:rsid w:val="00A82614"/>
    <w:rsid w:val="00A834B6"/>
    <w:rsid w:val="00A8430D"/>
    <w:rsid w:val="00A91265"/>
    <w:rsid w:val="00A9258C"/>
    <w:rsid w:val="00A9467C"/>
    <w:rsid w:val="00A94740"/>
    <w:rsid w:val="00A973D8"/>
    <w:rsid w:val="00AA2D1A"/>
    <w:rsid w:val="00AA4620"/>
    <w:rsid w:val="00AA46DE"/>
    <w:rsid w:val="00AA5DD7"/>
    <w:rsid w:val="00AB0FD1"/>
    <w:rsid w:val="00AB1AE7"/>
    <w:rsid w:val="00AB2554"/>
    <w:rsid w:val="00AB4CF0"/>
    <w:rsid w:val="00AB54E5"/>
    <w:rsid w:val="00AB62C9"/>
    <w:rsid w:val="00AB6EE3"/>
    <w:rsid w:val="00AC1A00"/>
    <w:rsid w:val="00AC27B9"/>
    <w:rsid w:val="00AD2C6A"/>
    <w:rsid w:val="00AD2F20"/>
    <w:rsid w:val="00AD6C00"/>
    <w:rsid w:val="00AE3F87"/>
    <w:rsid w:val="00AF1474"/>
    <w:rsid w:val="00AF21CC"/>
    <w:rsid w:val="00AF3772"/>
    <w:rsid w:val="00B00754"/>
    <w:rsid w:val="00B00756"/>
    <w:rsid w:val="00B01675"/>
    <w:rsid w:val="00B03539"/>
    <w:rsid w:val="00B059F1"/>
    <w:rsid w:val="00B05DA1"/>
    <w:rsid w:val="00B11ABE"/>
    <w:rsid w:val="00B159B0"/>
    <w:rsid w:val="00B170AB"/>
    <w:rsid w:val="00B17EB4"/>
    <w:rsid w:val="00B2551C"/>
    <w:rsid w:val="00B30668"/>
    <w:rsid w:val="00B3623A"/>
    <w:rsid w:val="00B4153A"/>
    <w:rsid w:val="00B42D8E"/>
    <w:rsid w:val="00B44D59"/>
    <w:rsid w:val="00B51120"/>
    <w:rsid w:val="00B5135D"/>
    <w:rsid w:val="00B62DF2"/>
    <w:rsid w:val="00B64584"/>
    <w:rsid w:val="00B700F6"/>
    <w:rsid w:val="00B722E8"/>
    <w:rsid w:val="00B73D15"/>
    <w:rsid w:val="00B75957"/>
    <w:rsid w:val="00B7729E"/>
    <w:rsid w:val="00B812BC"/>
    <w:rsid w:val="00B818E8"/>
    <w:rsid w:val="00B83405"/>
    <w:rsid w:val="00B84084"/>
    <w:rsid w:val="00B851BE"/>
    <w:rsid w:val="00B85C53"/>
    <w:rsid w:val="00B87451"/>
    <w:rsid w:val="00B8794C"/>
    <w:rsid w:val="00B87A16"/>
    <w:rsid w:val="00B91008"/>
    <w:rsid w:val="00B92720"/>
    <w:rsid w:val="00B92B54"/>
    <w:rsid w:val="00B948F3"/>
    <w:rsid w:val="00B9746C"/>
    <w:rsid w:val="00BA2B02"/>
    <w:rsid w:val="00BA307F"/>
    <w:rsid w:val="00BA3A2F"/>
    <w:rsid w:val="00BA3D91"/>
    <w:rsid w:val="00BA4223"/>
    <w:rsid w:val="00BA5AD2"/>
    <w:rsid w:val="00BA718A"/>
    <w:rsid w:val="00BA7AE7"/>
    <w:rsid w:val="00BB56B3"/>
    <w:rsid w:val="00BB689B"/>
    <w:rsid w:val="00BB6B79"/>
    <w:rsid w:val="00BC192C"/>
    <w:rsid w:val="00BD200D"/>
    <w:rsid w:val="00BD5287"/>
    <w:rsid w:val="00BD73CB"/>
    <w:rsid w:val="00BE3204"/>
    <w:rsid w:val="00BE4BB8"/>
    <w:rsid w:val="00BE6145"/>
    <w:rsid w:val="00BE75B0"/>
    <w:rsid w:val="00BF197F"/>
    <w:rsid w:val="00BF2352"/>
    <w:rsid w:val="00BF27C0"/>
    <w:rsid w:val="00BF49BD"/>
    <w:rsid w:val="00BF6194"/>
    <w:rsid w:val="00BF670D"/>
    <w:rsid w:val="00C02A4D"/>
    <w:rsid w:val="00C037F8"/>
    <w:rsid w:val="00C0564D"/>
    <w:rsid w:val="00C06429"/>
    <w:rsid w:val="00C12BC1"/>
    <w:rsid w:val="00C144B4"/>
    <w:rsid w:val="00C15A75"/>
    <w:rsid w:val="00C16E94"/>
    <w:rsid w:val="00C20861"/>
    <w:rsid w:val="00C23BAA"/>
    <w:rsid w:val="00C3138F"/>
    <w:rsid w:val="00C32829"/>
    <w:rsid w:val="00C3692A"/>
    <w:rsid w:val="00C40D34"/>
    <w:rsid w:val="00C434A7"/>
    <w:rsid w:val="00C43CC9"/>
    <w:rsid w:val="00C4500F"/>
    <w:rsid w:val="00C45E85"/>
    <w:rsid w:val="00C479CB"/>
    <w:rsid w:val="00C51C6D"/>
    <w:rsid w:val="00C604CE"/>
    <w:rsid w:val="00C631CB"/>
    <w:rsid w:val="00C6492B"/>
    <w:rsid w:val="00C67F15"/>
    <w:rsid w:val="00C71355"/>
    <w:rsid w:val="00C7683B"/>
    <w:rsid w:val="00C779F7"/>
    <w:rsid w:val="00C83096"/>
    <w:rsid w:val="00C868F5"/>
    <w:rsid w:val="00C8789D"/>
    <w:rsid w:val="00C912A8"/>
    <w:rsid w:val="00C9177A"/>
    <w:rsid w:val="00C917F5"/>
    <w:rsid w:val="00C91969"/>
    <w:rsid w:val="00C94A68"/>
    <w:rsid w:val="00C95140"/>
    <w:rsid w:val="00C97169"/>
    <w:rsid w:val="00CA1CFE"/>
    <w:rsid w:val="00CA2624"/>
    <w:rsid w:val="00CA512F"/>
    <w:rsid w:val="00CA694E"/>
    <w:rsid w:val="00CA6ED1"/>
    <w:rsid w:val="00CA785E"/>
    <w:rsid w:val="00CA7A54"/>
    <w:rsid w:val="00CB2BD5"/>
    <w:rsid w:val="00CB4AD7"/>
    <w:rsid w:val="00CB7258"/>
    <w:rsid w:val="00CC2683"/>
    <w:rsid w:val="00CC29B8"/>
    <w:rsid w:val="00CC30F6"/>
    <w:rsid w:val="00CC70B0"/>
    <w:rsid w:val="00CD5D41"/>
    <w:rsid w:val="00CE6F91"/>
    <w:rsid w:val="00CE7BC4"/>
    <w:rsid w:val="00D01387"/>
    <w:rsid w:val="00D02D2B"/>
    <w:rsid w:val="00D0506E"/>
    <w:rsid w:val="00D11B4E"/>
    <w:rsid w:val="00D13C40"/>
    <w:rsid w:val="00D20CD1"/>
    <w:rsid w:val="00D21B7A"/>
    <w:rsid w:val="00D21D1C"/>
    <w:rsid w:val="00D2419F"/>
    <w:rsid w:val="00D243C8"/>
    <w:rsid w:val="00D24FAE"/>
    <w:rsid w:val="00D33CBE"/>
    <w:rsid w:val="00D354F5"/>
    <w:rsid w:val="00D42015"/>
    <w:rsid w:val="00D43D86"/>
    <w:rsid w:val="00D45DA6"/>
    <w:rsid w:val="00D50511"/>
    <w:rsid w:val="00D53F0E"/>
    <w:rsid w:val="00D55D97"/>
    <w:rsid w:val="00D73820"/>
    <w:rsid w:val="00D75AC6"/>
    <w:rsid w:val="00D7672A"/>
    <w:rsid w:val="00D80161"/>
    <w:rsid w:val="00D816E6"/>
    <w:rsid w:val="00D82303"/>
    <w:rsid w:val="00D82436"/>
    <w:rsid w:val="00D82F5A"/>
    <w:rsid w:val="00D83B62"/>
    <w:rsid w:val="00D83D3B"/>
    <w:rsid w:val="00D854D9"/>
    <w:rsid w:val="00D864AC"/>
    <w:rsid w:val="00D87C67"/>
    <w:rsid w:val="00D905E7"/>
    <w:rsid w:val="00D910C6"/>
    <w:rsid w:val="00D93923"/>
    <w:rsid w:val="00D94B24"/>
    <w:rsid w:val="00D9793E"/>
    <w:rsid w:val="00DA0AAD"/>
    <w:rsid w:val="00DA1381"/>
    <w:rsid w:val="00DA21EF"/>
    <w:rsid w:val="00DA5085"/>
    <w:rsid w:val="00DA5EC5"/>
    <w:rsid w:val="00DB3AED"/>
    <w:rsid w:val="00DB4392"/>
    <w:rsid w:val="00DB63ED"/>
    <w:rsid w:val="00DB7073"/>
    <w:rsid w:val="00DC1183"/>
    <w:rsid w:val="00DC672F"/>
    <w:rsid w:val="00DD03E9"/>
    <w:rsid w:val="00DD1438"/>
    <w:rsid w:val="00DD3102"/>
    <w:rsid w:val="00DD542E"/>
    <w:rsid w:val="00DE0570"/>
    <w:rsid w:val="00DE2443"/>
    <w:rsid w:val="00DE6E74"/>
    <w:rsid w:val="00DF052F"/>
    <w:rsid w:val="00DF2102"/>
    <w:rsid w:val="00DF47BA"/>
    <w:rsid w:val="00DF7D86"/>
    <w:rsid w:val="00E0705B"/>
    <w:rsid w:val="00E11803"/>
    <w:rsid w:val="00E12D4D"/>
    <w:rsid w:val="00E13765"/>
    <w:rsid w:val="00E13A69"/>
    <w:rsid w:val="00E17008"/>
    <w:rsid w:val="00E219DE"/>
    <w:rsid w:val="00E34214"/>
    <w:rsid w:val="00E476E1"/>
    <w:rsid w:val="00E563A3"/>
    <w:rsid w:val="00E56ACA"/>
    <w:rsid w:val="00E57ABB"/>
    <w:rsid w:val="00E62092"/>
    <w:rsid w:val="00E62790"/>
    <w:rsid w:val="00E62CE6"/>
    <w:rsid w:val="00E64833"/>
    <w:rsid w:val="00E72781"/>
    <w:rsid w:val="00E77526"/>
    <w:rsid w:val="00E85650"/>
    <w:rsid w:val="00E90236"/>
    <w:rsid w:val="00E92822"/>
    <w:rsid w:val="00E93EC3"/>
    <w:rsid w:val="00EA154E"/>
    <w:rsid w:val="00EB044E"/>
    <w:rsid w:val="00EB327B"/>
    <w:rsid w:val="00EB56F6"/>
    <w:rsid w:val="00EC2791"/>
    <w:rsid w:val="00EC3259"/>
    <w:rsid w:val="00EC4418"/>
    <w:rsid w:val="00ED02B8"/>
    <w:rsid w:val="00ED0A66"/>
    <w:rsid w:val="00ED0B6B"/>
    <w:rsid w:val="00ED2F3B"/>
    <w:rsid w:val="00ED659B"/>
    <w:rsid w:val="00ED783A"/>
    <w:rsid w:val="00EE14B5"/>
    <w:rsid w:val="00EE7F5E"/>
    <w:rsid w:val="00EF1C12"/>
    <w:rsid w:val="00EF4346"/>
    <w:rsid w:val="00EF6EBF"/>
    <w:rsid w:val="00F11039"/>
    <w:rsid w:val="00F13D39"/>
    <w:rsid w:val="00F143CD"/>
    <w:rsid w:val="00F205B0"/>
    <w:rsid w:val="00F214AA"/>
    <w:rsid w:val="00F21F58"/>
    <w:rsid w:val="00F3082C"/>
    <w:rsid w:val="00F314B0"/>
    <w:rsid w:val="00F32287"/>
    <w:rsid w:val="00F3324F"/>
    <w:rsid w:val="00F35F6D"/>
    <w:rsid w:val="00F408FB"/>
    <w:rsid w:val="00F409E7"/>
    <w:rsid w:val="00F43EB7"/>
    <w:rsid w:val="00F4485E"/>
    <w:rsid w:val="00F46851"/>
    <w:rsid w:val="00F46D1C"/>
    <w:rsid w:val="00F50461"/>
    <w:rsid w:val="00F518CF"/>
    <w:rsid w:val="00F52367"/>
    <w:rsid w:val="00F53366"/>
    <w:rsid w:val="00F558B6"/>
    <w:rsid w:val="00F573AC"/>
    <w:rsid w:val="00F60372"/>
    <w:rsid w:val="00F63BA2"/>
    <w:rsid w:val="00F66983"/>
    <w:rsid w:val="00F70789"/>
    <w:rsid w:val="00F7179C"/>
    <w:rsid w:val="00F7349F"/>
    <w:rsid w:val="00F74224"/>
    <w:rsid w:val="00F763CC"/>
    <w:rsid w:val="00F773F5"/>
    <w:rsid w:val="00F80E98"/>
    <w:rsid w:val="00F82275"/>
    <w:rsid w:val="00F846D1"/>
    <w:rsid w:val="00F857D9"/>
    <w:rsid w:val="00F86872"/>
    <w:rsid w:val="00F9208E"/>
    <w:rsid w:val="00F92521"/>
    <w:rsid w:val="00F95CB0"/>
    <w:rsid w:val="00F964B1"/>
    <w:rsid w:val="00FA0171"/>
    <w:rsid w:val="00FA164E"/>
    <w:rsid w:val="00FA3D01"/>
    <w:rsid w:val="00FA3F59"/>
    <w:rsid w:val="00FA502E"/>
    <w:rsid w:val="00FA5578"/>
    <w:rsid w:val="00FA59AC"/>
    <w:rsid w:val="00FA7FD8"/>
    <w:rsid w:val="00FB3BE3"/>
    <w:rsid w:val="00FC2792"/>
    <w:rsid w:val="00FC4575"/>
    <w:rsid w:val="00FD1229"/>
    <w:rsid w:val="00FD1676"/>
    <w:rsid w:val="00FD46B6"/>
    <w:rsid w:val="00FD4BAC"/>
    <w:rsid w:val="00FD71E4"/>
    <w:rsid w:val="00FD7759"/>
    <w:rsid w:val="00FE00FE"/>
    <w:rsid w:val="00FE5C75"/>
    <w:rsid w:val="00FF0BEA"/>
    <w:rsid w:val="00FF0CCD"/>
    <w:rsid w:val="00FF112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F05D7E"/>
  <w15:docId w15:val="{A205FC1A-D60D-47F0-A1BF-7D1BF0F4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paragraph" w:styleId="ListParagraph">
    <w:name w:val="List Paragraph"/>
    <w:basedOn w:val="Normal"/>
    <w:uiPriority w:val="34"/>
    <w:qFormat/>
    <w:rsid w:val="00183576"/>
    <w:pPr>
      <w:widowControl w:val="0"/>
      <w:autoSpaceDE w:val="0"/>
      <w:autoSpaceDN w:val="0"/>
      <w:adjustRightInd w:val="0"/>
      <w:ind w:left="720"/>
    </w:pPr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rsid w:val="00183576"/>
  </w:style>
  <w:style w:type="table" w:customStyle="1" w:styleId="TableWestatStandardFormat">
    <w:name w:val="Table Westat Standard Format"/>
    <w:basedOn w:val="TableNormal"/>
    <w:rsid w:val="00183576"/>
    <w:rPr>
      <w:rFonts w:ascii="Franklin Gothic Medium" w:hAnsi="Franklin Gothic Medium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34896"/>
    <w:rPr>
      <w:sz w:val="24"/>
    </w:rPr>
  </w:style>
  <w:style w:type="paragraph" w:styleId="Revision">
    <w:name w:val="Revision"/>
    <w:hidden/>
    <w:uiPriority w:val="99"/>
    <w:semiHidden/>
    <w:rsid w:val="00346E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INSTITUTIONAL REVIEW BOARD (IRB)</vt:lpstr>
    </vt:vector>
  </TitlesOfParts>
  <Company>CDC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creator>vlt0</dc:creator>
  <cp:lastModifiedBy>Woodwell, David A. (CDC/DDPHSS/NCHS/DHNES)</cp:lastModifiedBy>
  <cp:revision>2</cp:revision>
  <cp:lastPrinted>2016-10-18T22:10:00Z</cp:lastPrinted>
  <dcterms:created xsi:type="dcterms:W3CDTF">2020-10-29T21:49:00Z</dcterms:created>
  <dcterms:modified xsi:type="dcterms:W3CDTF">2020-10-29T21:49:00Z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2020-10-28T02:47:56Z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d80ace5c-8e79-4b32-828e-240ba4fce5c9</vt:lpwstr>
  </property>
  <property fmtid="{D5CDD505-2E9C-101B-9397-08002B2CF9AE}" pid="8" name="MSIP_Label_7b94a7b8-f06c-4dfe-bdcc-9b548fd58c31_ContentBits">
    <vt:lpwstr>0</vt:lpwstr>
  </property>
</Properties>
</file>