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1C7A" w:rsidP="001655C0" w:rsidRDefault="00364051" w14:paraId="499498BB" w14:textId="77777777">
      <w:pPr>
        <w:pStyle w:val="Heading2"/>
        <w:tabs>
          <w:tab w:val="left" w:pos="900"/>
        </w:tabs>
        <w:ind w:right="-180"/>
        <w:rPr>
          <w:sz w:val="28"/>
        </w:rPr>
      </w:pPr>
      <w:r>
        <w:rPr>
          <w:sz w:val="28"/>
        </w:rPr>
        <w:t>FDA</w:t>
      </w:r>
      <w:r w:rsidR="002F5329">
        <w:rPr>
          <w:sz w:val="28"/>
        </w:rPr>
        <w:t xml:space="preserve"> </w:t>
      </w:r>
      <w:r w:rsidR="003F1C7A">
        <w:rPr>
          <w:sz w:val="28"/>
        </w:rPr>
        <w:t>DOCUMENTATION FOR THE GENERIC CLEARANCE</w:t>
      </w:r>
    </w:p>
    <w:p w:rsidRPr="00A63790" w:rsidR="00A63790" w:rsidP="00A63790" w:rsidRDefault="003F1C7A" w14:paraId="64B4161F" w14:textId="77777777">
      <w:pPr>
        <w:jc w:val="center"/>
        <w:rPr>
          <w:b/>
          <w:sz w:val="28"/>
        </w:rPr>
      </w:pPr>
      <w:r>
        <w:rPr>
          <w:b/>
          <w:sz w:val="28"/>
        </w:rPr>
        <w:t xml:space="preserve">OF </w:t>
      </w:r>
      <w:r w:rsidR="00C62019">
        <w:rPr>
          <w:b/>
          <w:sz w:val="28"/>
        </w:rPr>
        <w:t xml:space="preserve">REQUEST FOR </w:t>
      </w:r>
      <w:r w:rsidR="003D022B">
        <w:rPr>
          <w:b/>
          <w:sz w:val="28"/>
        </w:rPr>
        <w:t>DATA TO SUPPORT</w:t>
      </w:r>
      <w:r w:rsidR="00512E74">
        <w:rPr>
          <w:b/>
          <w:sz w:val="28"/>
        </w:rPr>
        <w:t xml:space="preserve"> SOCIAL AND BEHAVIORAL RESEARCH </w:t>
      </w:r>
      <w:r w:rsidR="003D022B">
        <w:rPr>
          <w:b/>
          <w:sz w:val="28"/>
        </w:rPr>
        <w:t>(0910-0847)</w:t>
      </w:r>
    </w:p>
    <w:p w:rsidR="00A63790" w:rsidP="00A63790" w:rsidRDefault="00F24CC4" w14:paraId="6BC19B72" w14:textId="77777777">
      <w:pPr>
        <w:rPr>
          <w:sz w:val="18"/>
          <w:szCs w:val="18"/>
        </w:rPr>
      </w:pPr>
      <w:r>
        <w:rPr>
          <w:noProof/>
          <w:sz w:val="18"/>
          <w:szCs w:val="18"/>
        </w:rPr>
        <mc:AlternateContent>
          <mc:Choice Requires="wps">
            <w:drawing>
              <wp:anchor distT="0" distB="0" distL="114300" distR="114300" simplePos="0" relativeHeight="251658240" behindDoc="0" locked="0" layoutInCell="1" allowOverlap="1" wp14:editId="71EFD829" wp14:anchorId="2B0C422A">
                <wp:simplePos x="0" y="0"/>
                <wp:positionH relativeFrom="column">
                  <wp:posOffset>0</wp:posOffset>
                </wp:positionH>
                <wp:positionV relativeFrom="paragraph">
                  <wp:posOffset>48260</wp:posOffset>
                </wp:positionV>
                <wp:extent cx="5943600" cy="0"/>
                <wp:effectExtent l="0" t="1270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786C0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">
                <o:lock v:ext="edit" shapetype="f"/>
              </v:line>
            </w:pict>
          </mc:Fallback>
        </mc:AlternateContent>
      </w:r>
    </w:p>
    <w:p w:rsidR="003F1C7A" w:rsidP="005E23BA" w:rsidRDefault="003F1C7A" w14:paraId="7D754BBD" w14:textId="77777777">
      <w:pPr>
        <w:spacing w:before="120"/>
      </w:pPr>
      <w:r>
        <w:rPr>
          <w:b/>
        </w:rPr>
        <w:t>TITLE OF INFORMATION COLLECTION:</w:t>
      </w:r>
      <w:r w:rsidR="003D022B">
        <w:t xml:space="preserve"> </w:t>
      </w:r>
    </w:p>
    <w:p w:rsidRPr="00992D72" w:rsidR="00992D72" w:rsidDel="00992D72" w:rsidP="687D3D20" w:rsidRDefault="00E6088C" w14:paraId="2B155AE9" w14:textId="27FF579F">
      <w:pPr>
        <w:spacing w:before="120" w:after="200"/>
        <w:rPr>
          <w:rFonts w:ascii="Cambria" w:hAnsi="Cambria" w:cs="Calibri"/>
          <w:sz w:val="22"/>
          <w:szCs w:val="22"/>
        </w:rPr>
      </w:pPr>
      <w:r>
        <w:t xml:space="preserve">Collection of </w:t>
      </w:r>
      <w:r w:rsidR="008C5993">
        <w:t xml:space="preserve">Data </w:t>
      </w:r>
      <w:r>
        <w:t xml:space="preserve">to </w:t>
      </w:r>
      <w:r w:rsidR="008C5993">
        <w:t xml:space="preserve">Support </w:t>
      </w:r>
      <w:r w:rsidR="00992D72">
        <w:t>“</w:t>
      </w:r>
      <w:r w:rsidR="00023618">
        <w:t xml:space="preserve">Risk Evaluation and Mitigation Strategy (REMS) Programs to Promote Appropriate Medication </w:t>
      </w:r>
      <w:r w:rsidR="008C5993">
        <w:t xml:space="preserve">Use </w:t>
      </w:r>
      <w:r w:rsidR="00023618">
        <w:t>and Knowledge</w:t>
      </w:r>
      <w:r w:rsidR="00197FC9">
        <w:t xml:space="preserve">: </w:t>
      </w:r>
      <w:r w:rsidR="00992D72">
        <w:t xml:space="preserve">Patient Experiences with REMS Programs.”  </w:t>
      </w:r>
    </w:p>
    <w:p w:rsidR="003F1C7A" w:rsidRDefault="003F1C7A" w14:paraId="26DCBF2D" w14:textId="77777777"/>
    <w:p w:rsidR="003F1C7A" w:rsidRDefault="003F1C7A" w14:paraId="7D9EE920" w14:textId="77777777">
      <w:pPr>
        <w:spacing w:after="120"/>
      </w:pPr>
      <w:r>
        <w:rPr>
          <w:b/>
        </w:rPr>
        <w:t>DESCRIPTION OF THIS SPECIFIC COLLECTION</w:t>
      </w:r>
      <w:r>
        <w:t xml:space="preserve"> </w:t>
      </w:r>
    </w:p>
    <w:p w:rsidR="00991078" w:rsidP="00357045" w:rsidRDefault="0049419A" w14:paraId="30417C81" w14:textId="2C2D9D76">
      <w:pPr>
        <w:numPr>
          <w:ilvl w:val="0"/>
          <w:numId w:val="15"/>
        </w:numPr>
        <w:tabs>
          <w:tab w:val="num" w:pos="720"/>
        </w:tabs>
        <w:ind w:left="360" w:firstLine="0"/>
      </w:pPr>
      <w:r>
        <w:rPr>
          <w:b/>
        </w:rPr>
        <w:t>Statement of n</w:t>
      </w:r>
      <w:r w:rsidR="00F12AEE">
        <w:rPr>
          <w:b/>
        </w:rPr>
        <w:t>eed</w:t>
      </w:r>
      <w:r w:rsidRPr="00E26798" w:rsidR="003F1C7A">
        <w:rPr>
          <w:b/>
        </w:rPr>
        <w:t>:</w:t>
      </w:r>
      <w:r w:rsidR="003D022B">
        <w:t xml:space="preserve"> </w:t>
      </w:r>
    </w:p>
    <w:p w:rsidRPr="00357045" w:rsidR="00F56226" w:rsidP="00F56226" w:rsidRDefault="00F56226" w14:paraId="6CFE8A10" w14:textId="77777777">
      <w:pPr>
        <w:ind w:left="360"/>
      </w:pPr>
    </w:p>
    <w:p w:rsidR="00C12513" w:rsidP="008C5993" w:rsidRDefault="000C5EF1" w14:paraId="5FA085FC" w14:textId="30A67CEB">
      <w:pPr>
        <w:pStyle w:val="BodyText"/>
        <w:ind w:left="720"/>
        <w:rPr>
          <w:i w:val="0"/>
          <w:sz w:val="24"/>
          <w:szCs w:val="24"/>
        </w:rPr>
      </w:pPr>
      <w:r w:rsidRPr="008C5993">
        <w:rPr>
          <w:i w:val="0"/>
          <w:sz w:val="24"/>
          <w:szCs w:val="24"/>
        </w:rPr>
        <w:t xml:space="preserve">The Food and Drug </w:t>
      </w:r>
      <w:r w:rsidRPr="008C5993" w:rsidR="008C5993">
        <w:rPr>
          <w:i w:val="0"/>
          <w:sz w:val="24"/>
          <w:szCs w:val="24"/>
        </w:rPr>
        <w:t>Administration</w:t>
      </w:r>
      <w:r w:rsidRPr="008C5993">
        <w:rPr>
          <w:i w:val="0"/>
          <w:sz w:val="24"/>
          <w:szCs w:val="24"/>
        </w:rPr>
        <w:t xml:space="preserve"> (</w:t>
      </w:r>
      <w:r w:rsidRPr="008C5993" w:rsidR="00CB1D7F">
        <w:rPr>
          <w:i w:val="0"/>
          <w:sz w:val="24"/>
          <w:szCs w:val="24"/>
        </w:rPr>
        <w:t>FDA</w:t>
      </w:r>
      <w:r w:rsidRPr="008C5993">
        <w:rPr>
          <w:i w:val="0"/>
          <w:sz w:val="24"/>
          <w:szCs w:val="24"/>
        </w:rPr>
        <w:t>)</w:t>
      </w:r>
      <w:r w:rsidRPr="008C5993" w:rsidR="00CB1D7F">
        <w:rPr>
          <w:i w:val="0"/>
          <w:sz w:val="24"/>
          <w:szCs w:val="24"/>
        </w:rPr>
        <w:t xml:space="preserve"> </w:t>
      </w:r>
      <w:r w:rsidRPr="008C5993">
        <w:rPr>
          <w:i w:val="0"/>
          <w:sz w:val="24"/>
          <w:szCs w:val="24"/>
        </w:rPr>
        <w:t xml:space="preserve">has limited </w:t>
      </w:r>
      <w:r w:rsidRPr="008C5993" w:rsidR="00CB1D7F">
        <w:rPr>
          <w:i w:val="0"/>
          <w:sz w:val="24"/>
          <w:szCs w:val="24"/>
        </w:rPr>
        <w:t>data to determine</w:t>
      </w:r>
      <w:r w:rsidRPr="008C5993" w:rsidR="008C5993">
        <w:rPr>
          <w:i w:val="0"/>
          <w:sz w:val="24"/>
          <w:szCs w:val="24"/>
        </w:rPr>
        <w:t xml:space="preserve"> </w:t>
      </w:r>
      <w:r w:rsidRPr="008C5993" w:rsidR="00CB1D7F">
        <w:rPr>
          <w:i w:val="0"/>
          <w:sz w:val="24"/>
          <w:szCs w:val="24"/>
        </w:rPr>
        <w:t xml:space="preserve">the </w:t>
      </w:r>
      <w:r w:rsidR="00921518">
        <w:rPr>
          <w:i w:val="0"/>
          <w:sz w:val="24"/>
          <w:szCs w:val="24"/>
        </w:rPr>
        <w:t xml:space="preserve">impact of </w:t>
      </w:r>
      <w:r w:rsidR="000A3718">
        <w:rPr>
          <w:i w:val="0"/>
          <w:sz w:val="24"/>
          <w:szCs w:val="24"/>
        </w:rPr>
        <w:t>Risk Evaluation and Mitigation Strategy (</w:t>
      </w:r>
      <w:r w:rsidRPr="008C5993" w:rsidR="00CB1D7F">
        <w:rPr>
          <w:i w:val="0"/>
          <w:sz w:val="24"/>
          <w:szCs w:val="24"/>
        </w:rPr>
        <w:t>REMS</w:t>
      </w:r>
      <w:r w:rsidR="000A3718">
        <w:rPr>
          <w:i w:val="0"/>
          <w:sz w:val="24"/>
          <w:szCs w:val="24"/>
        </w:rPr>
        <w:t>)</w:t>
      </w:r>
      <w:r w:rsidRPr="008C5993" w:rsidR="00CB1D7F">
        <w:rPr>
          <w:i w:val="0"/>
          <w:sz w:val="24"/>
          <w:szCs w:val="24"/>
        </w:rPr>
        <w:t xml:space="preserve"> program</w:t>
      </w:r>
      <w:r w:rsidR="00921518">
        <w:rPr>
          <w:i w:val="0"/>
          <w:sz w:val="24"/>
          <w:szCs w:val="24"/>
        </w:rPr>
        <w:t>s</w:t>
      </w:r>
      <w:r w:rsidRPr="008C5993" w:rsidR="00CB1D7F">
        <w:rPr>
          <w:i w:val="0"/>
          <w:sz w:val="24"/>
          <w:szCs w:val="24"/>
        </w:rPr>
        <w:t xml:space="preserve">. </w:t>
      </w:r>
      <w:r w:rsidR="000A3718">
        <w:rPr>
          <w:i w:val="0"/>
          <w:sz w:val="24"/>
          <w:szCs w:val="24"/>
        </w:rPr>
        <w:t xml:space="preserve">REMS is a drug safety program that the FDA can require for certain medications with serious safety concerns to help ensure the benefits of the medication outweigh its risks.  </w:t>
      </w:r>
      <w:r w:rsidR="007100A9">
        <w:rPr>
          <w:i w:val="0"/>
          <w:sz w:val="24"/>
          <w:szCs w:val="24"/>
        </w:rPr>
        <w:t xml:space="preserve">REMS </w:t>
      </w:r>
      <w:r w:rsidR="00A015ED">
        <w:rPr>
          <w:i w:val="0"/>
          <w:sz w:val="24"/>
          <w:szCs w:val="24"/>
        </w:rPr>
        <w:t>may include one or more of the following such a</w:t>
      </w:r>
      <w:r w:rsidR="00F657B3">
        <w:rPr>
          <w:i w:val="0"/>
          <w:sz w:val="24"/>
          <w:szCs w:val="24"/>
        </w:rPr>
        <w:t xml:space="preserve">s:  </w:t>
      </w:r>
      <w:r w:rsidR="00991078">
        <w:rPr>
          <w:i w:val="0"/>
          <w:sz w:val="24"/>
          <w:szCs w:val="24"/>
        </w:rPr>
        <w:t>(</w:t>
      </w:r>
      <w:r w:rsidR="00F657B3">
        <w:rPr>
          <w:i w:val="0"/>
          <w:sz w:val="24"/>
          <w:szCs w:val="24"/>
        </w:rPr>
        <w:t>1) A Medication Guide or patient package insert for patients</w:t>
      </w:r>
      <w:r w:rsidR="00991078">
        <w:rPr>
          <w:i w:val="0"/>
          <w:sz w:val="24"/>
          <w:szCs w:val="24"/>
        </w:rPr>
        <w:t>;</w:t>
      </w:r>
      <w:r w:rsidR="00F657B3">
        <w:rPr>
          <w:i w:val="0"/>
          <w:sz w:val="24"/>
          <w:szCs w:val="24"/>
        </w:rPr>
        <w:t xml:space="preserve"> </w:t>
      </w:r>
      <w:r w:rsidR="00991078">
        <w:rPr>
          <w:i w:val="0"/>
          <w:sz w:val="24"/>
          <w:szCs w:val="24"/>
        </w:rPr>
        <w:t>(</w:t>
      </w:r>
      <w:r w:rsidR="00F657B3">
        <w:rPr>
          <w:i w:val="0"/>
          <w:sz w:val="24"/>
          <w:szCs w:val="24"/>
        </w:rPr>
        <w:t xml:space="preserve">2) </w:t>
      </w:r>
      <w:r w:rsidR="00D049A0">
        <w:rPr>
          <w:i w:val="0"/>
          <w:sz w:val="24"/>
          <w:szCs w:val="24"/>
        </w:rPr>
        <w:t>a Communication Plan for healthcare providers</w:t>
      </w:r>
      <w:r w:rsidR="00991078">
        <w:rPr>
          <w:i w:val="0"/>
          <w:sz w:val="24"/>
          <w:szCs w:val="24"/>
        </w:rPr>
        <w:t>;</w:t>
      </w:r>
      <w:r w:rsidR="00D049A0">
        <w:rPr>
          <w:i w:val="0"/>
          <w:sz w:val="24"/>
          <w:szCs w:val="24"/>
        </w:rPr>
        <w:t xml:space="preserve"> and </w:t>
      </w:r>
      <w:r w:rsidR="00991078">
        <w:rPr>
          <w:i w:val="0"/>
          <w:sz w:val="24"/>
          <w:szCs w:val="24"/>
        </w:rPr>
        <w:t>(</w:t>
      </w:r>
      <w:r w:rsidR="007859CC">
        <w:rPr>
          <w:i w:val="0"/>
          <w:sz w:val="24"/>
          <w:szCs w:val="24"/>
        </w:rPr>
        <w:t xml:space="preserve">3) </w:t>
      </w:r>
      <w:r w:rsidR="00D049A0">
        <w:rPr>
          <w:i w:val="0"/>
          <w:sz w:val="24"/>
          <w:szCs w:val="24"/>
        </w:rPr>
        <w:t xml:space="preserve">Elements to Assure Safe Use (ETASU), </w:t>
      </w:r>
      <w:r w:rsidR="00C128EB">
        <w:rPr>
          <w:i w:val="0"/>
          <w:sz w:val="24"/>
          <w:szCs w:val="24"/>
        </w:rPr>
        <w:t xml:space="preserve">which often involve some form of restricted distribution and/or evidence of safe-use </w:t>
      </w:r>
      <w:r w:rsidR="00E32D7A">
        <w:rPr>
          <w:i w:val="0"/>
          <w:sz w:val="24"/>
          <w:szCs w:val="24"/>
        </w:rPr>
        <w:t>conditions.</w:t>
      </w:r>
      <w:r w:rsidR="002415CA">
        <w:rPr>
          <w:rStyle w:val="FootnoteReference"/>
          <w:i w:val="0"/>
          <w:sz w:val="24"/>
          <w:szCs w:val="24"/>
        </w:rPr>
        <w:footnoteReference w:id="2"/>
      </w:r>
      <w:r w:rsidR="00E32D7A">
        <w:rPr>
          <w:i w:val="0"/>
          <w:sz w:val="24"/>
          <w:szCs w:val="24"/>
        </w:rPr>
        <w:t xml:space="preserve"> </w:t>
      </w:r>
      <w:r w:rsidR="00F615D9">
        <w:rPr>
          <w:i w:val="0"/>
          <w:sz w:val="24"/>
          <w:szCs w:val="24"/>
        </w:rPr>
        <w:t xml:space="preserve"> </w:t>
      </w:r>
      <w:r w:rsidR="000A3718">
        <w:rPr>
          <w:i w:val="0"/>
          <w:sz w:val="24"/>
          <w:szCs w:val="24"/>
        </w:rPr>
        <w:t>REMS focus on preventing, monitoring, and/or managing a specific serious risk by informing, educating, and/or reinforcing actions</w:t>
      </w:r>
      <w:r w:rsidR="00C12513">
        <w:rPr>
          <w:i w:val="0"/>
          <w:sz w:val="24"/>
          <w:szCs w:val="24"/>
        </w:rPr>
        <w:t xml:space="preserve"> to mitigate the frequency and/or severity of an adverse event.</w:t>
      </w:r>
      <w:r w:rsidR="000A3718">
        <w:rPr>
          <w:i w:val="0"/>
          <w:sz w:val="24"/>
          <w:szCs w:val="24"/>
        </w:rPr>
        <w:t xml:space="preserve"> </w:t>
      </w:r>
    </w:p>
    <w:p w:rsidR="00C12513" w:rsidP="008C5993" w:rsidRDefault="00C12513" w14:paraId="2C41028B" w14:textId="77777777">
      <w:pPr>
        <w:pStyle w:val="BodyText"/>
        <w:ind w:left="720"/>
        <w:rPr>
          <w:i w:val="0"/>
          <w:sz w:val="24"/>
          <w:szCs w:val="24"/>
        </w:rPr>
      </w:pPr>
    </w:p>
    <w:p w:rsidRPr="008C5993" w:rsidR="00997FCF" w:rsidP="008C5993" w:rsidRDefault="00C12513" w14:paraId="550B5AD9" w14:textId="3D2F3F7B">
      <w:pPr>
        <w:pStyle w:val="BodyText"/>
        <w:ind w:left="720"/>
        <w:rPr>
          <w:i w:val="0"/>
          <w:sz w:val="24"/>
          <w:szCs w:val="24"/>
        </w:rPr>
      </w:pPr>
      <w:r>
        <w:rPr>
          <w:i w:val="0"/>
          <w:sz w:val="24"/>
          <w:szCs w:val="24"/>
        </w:rPr>
        <w:t xml:space="preserve">FDA has contracted with Brigham and Women’s Hospital affiliated with Harvard Medical School to conduct the REMS Programs to Promote Appropriate Medication Use and Knowledge - Patient Experiences with REMS Programs Study. They will conduct the </w:t>
      </w:r>
      <w:r w:rsidRPr="008C5993" w:rsidR="00CB1D7F">
        <w:rPr>
          <w:i w:val="0"/>
          <w:sz w:val="24"/>
          <w:szCs w:val="24"/>
        </w:rPr>
        <w:t xml:space="preserve">study </w:t>
      </w:r>
      <w:r w:rsidRPr="008C5993" w:rsidR="00997FCF">
        <w:rPr>
          <w:i w:val="0"/>
          <w:sz w:val="24"/>
          <w:szCs w:val="24"/>
        </w:rPr>
        <w:t xml:space="preserve">to </w:t>
      </w:r>
      <w:r>
        <w:rPr>
          <w:i w:val="0"/>
          <w:sz w:val="24"/>
          <w:szCs w:val="24"/>
        </w:rPr>
        <w:t xml:space="preserve">better </w:t>
      </w:r>
      <w:r w:rsidRPr="008C5993" w:rsidR="00997FCF">
        <w:rPr>
          <w:i w:val="0"/>
          <w:sz w:val="24"/>
          <w:szCs w:val="24"/>
        </w:rPr>
        <w:t>understand how</w:t>
      </w:r>
      <w:r w:rsidRPr="008C5993" w:rsidR="00413D78">
        <w:rPr>
          <w:i w:val="0"/>
          <w:sz w:val="24"/>
          <w:szCs w:val="24"/>
        </w:rPr>
        <w:t xml:space="preserve"> </w:t>
      </w:r>
      <w:r w:rsidRPr="008C5993" w:rsidR="00997FCF">
        <w:rPr>
          <w:i w:val="0"/>
          <w:sz w:val="24"/>
          <w:szCs w:val="24"/>
        </w:rPr>
        <w:t>REMS program</w:t>
      </w:r>
      <w:r w:rsidR="00921518">
        <w:rPr>
          <w:i w:val="0"/>
          <w:sz w:val="24"/>
          <w:szCs w:val="24"/>
        </w:rPr>
        <w:t>s</w:t>
      </w:r>
      <w:r w:rsidRPr="008C5993" w:rsidR="00997FCF">
        <w:rPr>
          <w:i w:val="0"/>
          <w:sz w:val="24"/>
          <w:szCs w:val="24"/>
        </w:rPr>
        <w:t xml:space="preserve"> </w:t>
      </w:r>
      <w:r w:rsidRPr="008C5993" w:rsidR="00921518">
        <w:rPr>
          <w:i w:val="0"/>
          <w:sz w:val="24"/>
          <w:szCs w:val="24"/>
        </w:rPr>
        <w:t>ha</w:t>
      </w:r>
      <w:r w:rsidR="00921518">
        <w:rPr>
          <w:i w:val="0"/>
          <w:sz w:val="24"/>
          <w:szCs w:val="24"/>
        </w:rPr>
        <w:t>ve</w:t>
      </w:r>
      <w:r w:rsidRPr="008C5993" w:rsidR="00921518">
        <w:rPr>
          <w:i w:val="0"/>
          <w:sz w:val="24"/>
          <w:szCs w:val="24"/>
        </w:rPr>
        <w:t xml:space="preserve"> </w:t>
      </w:r>
      <w:r w:rsidRPr="008C5993" w:rsidR="00997FCF">
        <w:rPr>
          <w:i w:val="0"/>
          <w:sz w:val="24"/>
          <w:szCs w:val="24"/>
        </w:rPr>
        <w:t>operated in practice and use this information to develop actionable steps</w:t>
      </w:r>
      <w:r w:rsidR="00921518">
        <w:rPr>
          <w:i w:val="0"/>
          <w:sz w:val="24"/>
          <w:szCs w:val="24"/>
        </w:rPr>
        <w:t xml:space="preserve"> for improvement</w:t>
      </w:r>
      <w:r w:rsidRPr="008C5993" w:rsidR="00997FCF">
        <w:rPr>
          <w:i w:val="0"/>
          <w:sz w:val="24"/>
          <w:szCs w:val="24"/>
        </w:rPr>
        <w:t xml:space="preserve">. </w:t>
      </w:r>
      <w:r w:rsidR="001221E6">
        <w:rPr>
          <w:i w:val="0"/>
          <w:sz w:val="24"/>
          <w:szCs w:val="24"/>
        </w:rPr>
        <w:t xml:space="preserve"> </w:t>
      </w:r>
      <w:r w:rsidRPr="008C5993" w:rsidR="00997FCF">
        <w:rPr>
          <w:i w:val="0"/>
          <w:sz w:val="24"/>
          <w:szCs w:val="24"/>
        </w:rPr>
        <w:t xml:space="preserve">Specifically, </w:t>
      </w:r>
      <w:r w:rsidRPr="008C5993" w:rsidR="00182BCE">
        <w:rPr>
          <w:i w:val="0"/>
          <w:sz w:val="24"/>
          <w:szCs w:val="24"/>
        </w:rPr>
        <w:t xml:space="preserve">this study </w:t>
      </w:r>
      <w:r w:rsidRPr="008C5993" w:rsidR="00997FCF">
        <w:rPr>
          <w:i w:val="0"/>
          <w:sz w:val="24"/>
          <w:szCs w:val="24"/>
        </w:rPr>
        <w:t>seek</w:t>
      </w:r>
      <w:r w:rsidRPr="008C5993" w:rsidR="00182BCE">
        <w:rPr>
          <w:i w:val="0"/>
          <w:sz w:val="24"/>
          <w:szCs w:val="24"/>
        </w:rPr>
        <w:t>s</w:t>
      </w:r>
      <w:r w:rsidRPr="008C5993" w:rsidR="00997FCF">
        <w:rPr>
          <w:i w:val="0"/>
          <w:sz w:val="24"/>
          <w:szCs w:val="24"/>
        </w:rPr>
        <w:t xml:space="preserve"> to answer to what degree the terms of REMS programs have been followed</w:t>
      </w:r>
      <w:r w:rsidR="00BF507D">
        <w:rPr>
          <w:i w:val="0"/>
          <w:sz w:val="24"/>
          <w:szCs w:val="24"/>
        </w:rPr>
        <w:t>,</w:t>
      </w:r>
      <w:r w:rsidRPr="008C5993" w:rsidR="00997FCF">
        <w:rPr>
          <w:i w:val="0"/>
          <w:sz w:val="24"/>
          <w:szCs w:val="24"/>
        </w:rPr>
        <w:t xml:space="preserve"> how REMS programs have impacted drug utilization, health outcomes, and patient experiences</w:t>
      </w:r>
      <w:r w:rsidR="00BF507D">
        <w:rPr>
          <w:i w:val="0"/>
          <w:sz w:val="24"/>
          <w:szCs w:val="24"/>
        </w:rPr>
        <w:t>,</w:t>
      </w:r>
      <w:r w:rsidRPr="008C5993" w:rsidR="00997FCF">
        <w:rPr>
          <w:i w:val="0"/>
          <w:sz w:val="24"/>
          <w:szCs w:val="24"/>
        </w:rPr>
        <w:t xml:space="preserve"> and how effectively REMS programs translate important risk-benefit information to patients. </w:t>
      </w:r>
      <w:r w:rsidR="00835717">
        <w:rPr>
          <w:i w:val="0"/>
          <w:sz w:val="24"/>
          <w:szCs w:val="24"/>
        </w:rPr>
        <w:t>Th</w:t>
      </w:r>
      <w:r w:rsidR="005B1BC9">
        <w:rPr>
          <w:i w:val="0"/>
          <w:sz w:val="24"/>
          <w:szCs w:val="24"/>
        </w:rPr>
        <w:t>e aspect of this study pertaining to this information collection request</w:t>
      </w:r>
      <w:r w:rsidRPr="008C5993" w:rsidR="00686D9F">
        <w:rPr>
          <w:i w:val="0"/>
          <w:sz w:val="24"/>
          <w:szCs w:val="24"/>
        </w:rPr>
        <w:t xml:space="preserve"> </w:t>
      </w:r>
      <w:r w:rsidR="008C5993">
        <w:rPr>
          <w:i w:val="0"/>
          <w:sz w:val="24"/>
          <w:szCs w:val="24"/>
        </w:rPr>
        <w:t>entails</w:t>
      </w:r>
      <w:r w:rsidRPr="008C5993" w:rsidR="008C5993">
        <w:rPr>
          <w:i w:val="0"/>
          <w:sz w:val="24"/>
          <w:szCs w:val="24"/>
        </w:rPr>
        <w:t xml:space="preserve"> </w:t>
      </w:r>
      <w:r w:rsidR="008C5993">
        <w:rPr>
          <w:i w:val="0"/>
          <w:sz w:val="24"/>
          <w:szCs w:val="24"/>
        </w:rPr>
        <w:t>interviews</w:t>
      </w:r>
      <w:r w:rsidRPr="008C5993" w:rsidR="008C5993">
        <w:rPr>
          <w:i w:val="0"/>
          <w:sz w:val="24"/>
          <w:szCs w:val="24"/>
        </w:rPr>
        <w:t xml:space="preserve"> </w:t>
      </w:r>
      <w:r w:rsidR="008C5993">
        <w:rPr>
          <w:i w:val="0"/>
          <w:sz w:val="24"/>
          <w:szCs w:val="24"/>
        </w:rPr>
        <w:t xml:space="preserve">with patients </w:t>
      </w:r>
      <w:r w:rsidRPr="008C5993" w:rsidR="00997FCF">
        <w:rPr>
          <w:i w:val="0"/>
          <w:sz w:val="24"/>
          <w:szCs w:val="24"/>
        </w:rPr>
        <w:t>about their experiences with select REMS</w:t>
      </w:r>
      <w:r w:rsidRPr="008C5993" w:rsidR="00997FCF">
        <w:rPr>
          <w:i w:val="0"/>
          <w:spacing w:val="-14"/>
          <w:sz w:val="24"/>
          <w:szCs w:val="24"/>
        </w:rPr>
        <w:t xml:space="preserve"> </w:t>
      </w:r>
      <w:r w:rsidRPr="008C5993" w:rsidR="00997FCF">
        <w:rPr>
          <w:i w:val="0"/>
          <w:sz w:val="24"/>
          <w:szCs w:val="24"/>
        </w:rPr>
        <w:t>programs.</w:t>
      </w:r>
      <w:r w:rsidR="003E0DAC">
        <w:rPr>
          <w:i w:val="0"/>
          <w:sz w:val="24"/>
          <w:szCs w:val="24"/>
        </w:rPr>
        <w:t xml:space="preserve">  Other information collection requests will be submitted s</w:t>
      </w:r>
      <w:r w:rsidR="00E13C0C">
        <w:rPr>
          <w:i w:val="0"/>
          <w:sz w:val="24"/>
          <w:szCs w:val="24"/>
        </w:rPr>
        <w:t>ubsequently</w:t>
      </w:r>
      <w:r w:rsidR="003E0DAC">
        <w:rPr>
          <w:i w:val="0"/>
          <w:sz w:val="24"/>
          <w:szCs w:val="24"/>
        </w:rPr>
        <w:t xml:space="preserve"> that pertain to </w:t>
      </w:r>
      <w:r w:rsidR="006F7E3A">
        <w:rPr>
          <w:i w:val="0"/>
          <w:sz w:val="24"/>
          <w:szCs w:val="24"/>
        </w:rPr>
        <w:t xml:space="preserve">another aspect of the overall study, </w:t>
      </w:r>
      <w:r w:rsidR="003E0DAC">
        <w:rPr>
          <w:i w:val="0"/>
          <w:sz w:val="24"/>
          <w:szCs w:val="24"/>
        </w:rPr>
        <w:t xml:space="preserve">physician </w:t>
      </w:r>
      <w:r w:rsidR="009477A1">
        <w:rPr>
          <w:i w:val="0"/>
          <w:sz w:val="24"/>
          <w:szCs w:val="24"/>
        </w:rPr>
        <w:t xml:space="preserve">surveys and </w:t>
      </w:r>
      <w:r w:rsidR="003E0DAC">
        <w:rPr>
          <w:i w:val="0"/>
          <w:sz w:val="24"/>
          <w:szCs w:val="24"/>
        </w:rPr>
        <w:t>interviews.</w:t>
      </w:r>
    </w:p>
    <w:p w:rsidRPr="00413D78" w:rsidR="007A4331" w:rsidP="001E0E7C" w:rsidRDefault="007A4331" w14:paraId="2FA91432" w14:textId="28691760">
      <w:pPr>
        <w:rPr>
          <w:sz w:val="22"/>
          <w:szCs w:val="22"/>
        </w:rPr>
      </w:pPr>
    </w:p>
    <w:p w:rsidR="00F56226" w:rsidP="00357045" w:rsidRDefault="0049419A" w14:paraId="7BF61FC4" w14:textId="77777777">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rsidR="00991078" w:rsidP="00F56226" w:rsidRDefault="003F1C7A" w14:paraId="4D8CEA30" w14:textId="28D7DAEB">
      <w:pPr>
        <w:ind w:left="720"/>
      </w:pPr>
      <w:r>
        <w:t xml:space="preserve"> </w:t>
      </w:r>
    </w:p>
    <w:p w:rsidR="0035310A" w:rsidP="00853BC0" w:rsidRDefault="002E2EB1" w14:paraId="1E2310C9" w14:textId="7E102CA0">
      <w:pPr>
        <w:ind w:left="720"/>
      </w:pPr>
      <w:r>
        <w:t>The contractor will analyze the data collected from participants to assess</w:t>
      </w:r>
      <w:r w:rsidR="00C42C50">
        <w:t xml:space="preserve"> patient experiences enrolling in REMS program</w:t>
      </w:r>
      <w:r w:rsidR="00921518">
        <w:t>s</w:t>
      </w:r>
      <w:r w:rsidR="00C42C50">
        <w:t xml:space="preserve"> and accessing the REMS program-covered drug</w:t>
      </w:r>
      <w:r w:rsidR="00921518">
        <w:t>s</w:t>
      </w:r>
      <w:r w:rsidR="00C42C50">
        <w:t xml:space="preserve"> as well as </w:t>
      </w:r>
      <w:r w:rsidR="00AC2874">
        <w:t>patient</w:t>
      </w:r>
      <w:r w:rsidR="00C42C50">
        <w:t xml:space="preserve"> knowledge of REMS program rationale</w:t>
      </w:r>
      <w:r w:rsidR="00921518">
        <w:t>s</w:t>
      </w:r>
      <w:r w:rsidR="00C42C50">
        <w:t xml:space="preserve"> and structure</w:t>
      </w:r>
      <w:r w:rsidR="00921518">
        <w:t>s</w:t>
      </w:r>
      <w:r w:rsidR="00C42C50">
        <w:t xml:space="preserve">. </w:t>
      </w:r>
      <w:r w:rsidR="009436CD">
        <w:t xml:space="preserve"> </w:t>
      </w:r>
      <w:r w:rsidR="001221E6">
        <w:t>By leveraging interdisciplinary expertise, t</w:t>
      </w:r>
      <w:r>
        <w:t xml:space="preserve">he results of the findings </w:t>
      </w:r>
      <w:r w:rsidR="00686D9F">
        <w:t>will be used to</w:t>
      </w:r>
      <w:r w:rsidR="00FC6F1E">
        <w:t xml:space="preserve"> </w:t>
      </w:r>
      <w:r w:rsidR="000F7340">
        <w:t xml:space="preserve">better understand </w:t>
      </w:r>
      <w:r w:rsidR="00FC6F1E">
        <w:t>real</w:t>
      </w:r>
      <w:r w:rsidR="008C5993">
        <w:t>-</w:t>
      </w:r>
      <w:r w:rsidR="00FC6F1E">
        <w:t xml:space="preserve">world experiences </w:t>
      </w:r>
      <w:r w:rsidR="00281ED4">
        <w:t>with</w:t>
      </w:r>
      <w:r w:rsidR="00FC6F1E">
        <w:t xml:space="preserve"> the REMS program</w:t>
      </w:r>
      <w:r w:rsidR="00921518">
        <w:t>s</w:t>
      </w:r>
      <w:r w:rsidR="00FC6F1E">
        <w:t xml:space="preserve">. </w:t>
      </w:r>
      <w:r w:rsidR="000C3259">
        <w:t xml:space="preserve">This information will be included with other </w:t>
      </w:r>
      <w:r w:rsidR="00C42C50">
        <w:t xml:space="preserve">analyses </w:t>
      </w:r>
      <w:r w:rsidR="000C3259">
        <w:t xml:space="preserve">to recommend actionable steps to </w:t>
      </w:r>
      <w:r w:rsidR="00C46EC5">
        <w:t>support</w:t>
      </w:r>
      <w:r w:rsidR="00C42C50">
        <w:t xml:space="preserve"> and improve</w:t>
      </w:r>
      <w:r w:rsidR="000C3259">
        <w:t xml:space="preserve"> the REMS program</w:t>
      </w:r>
      <w:r w:rsidR="00921518">
        <w:t>s</w:t>
      </w:r>
      <w:r w:rsidR="000C3259">
        <w:t>.</w:t>
      </w:r>
      <w:r w:rsidR="00686D9F">
        <w:t xml:space="preserve"> </w:t>
      </w:r>
    </w:p>
    <w:p w:rsidR="003F1C7A" w:rsidP="00F12AEE" w:rsidRDefault="003F1C7A" w14:paraId="4247A87D" w14:textId="45122707">
      <w:pPr>
        <w:ind w:left="360"/>
      </w:pPr>
    </w:p>
    <w:p w:rsidR="00357045" w:rsidP="00F12AEE" w:rsidRDefault="00357045" w14:paraId="64700BAF" w14:textId="77777777">
      <w:pPr>
        <w:ind w:left="360"/>
      </w:pPr>
    </w:p>
    <w:p w:rsidR="00991078" w:rsidP="00357045" w:rsidRDefault="0049419A" w14:paraId="49975448" w14:textId="7400C6AC">
      <w:pPr>
        <w:numPr>
          <w:ilvl w:val="0"/>
          <w:numId w:val="15"/>
        </w:numPr>
        <w:tabs>
          <w:tab w:val="num" w:pos="720"/>
        </w:tabs>
        <w:ind w:left="720"/>
      </w:pPr>
      <w:r>
        <w:rPr>
          <w:b/>
        </w:rPr>
        <w:t>Description of r</w:t>
      </w:r>
      <w:r w:rsidR="00F12AEE">
        <w:rPr>
          <w:b/>
        </w:rPr>
        <w:t>espondents</w:t>
      </w:r>
      <w:r w:rsidRPr="00E26798" w:rsidR="003F1C7A">
        <w:rPr>
          <w:b/>
        </w:rPr>
        <w:t>:</w:t>
      </w:r>
      <w:r w:rsidR="003F1C7A">
        <w:t xml:space="preserve">  </w:t>
      </w:r>
    </w:p>
    <w:p w:rsidR="009D24C4" w:rsidP="00F56226" w:rsidRDefault="009D24C4" w14:paraId="5CD29B96" w14:textId="77777777">
      <w:pPr>
        <w:ind w:left="720"/>
      </w:pPr>
    </w:p>
    <w:p w:rsidRPr="005E7428" w:rsidR="0051082C" w:rsidP="005E7428" w:rsidRDefault="00B20CC7" w14:paraId="70CCFCD7" w14:textId="6F7DD668">
      <w:pPr>
        <w:ind w:left="720"/>
      </w:pPr>
      <w:r w:rsidRPr="005E7428">
        <w:t xml:space="preserve">Eligible </w:t>
      </w:r>
      <w:r w:rsidRPr="005E7428" w:rsidR="0048324D">
        <w:t>participants</w:t>
      </w:r>
      <w:r w:rsidR="00CB3393">
        <w:t xml:space="preserve"> </w:t>
      </w:r>
      <w:r w:rsidRPr="005E7428">
        <w:t xml:space="preserve">will </w:t>
      </w:r>
      <w:r w:rsidRPr="005E7428" w:rsidR="0048324D">
        <w:t>constitute adult patients or adult caregivers of patients</w:t>
      </w:r>
      <w:r w:rsidR="00CB3393">
        <w:t>, aged 18 years or older,</w:t>
      </w:r>
      <w:r w:rsidRPr="005E7428" w:rsidR="0048324D">
        <w:t xml:space="preserve"> who </w:t>
      </w:r>
      <w:r w:rsidRPr="005E7428" w:rsidR="00921518">
        <w:t xml:space="preserve">started </w:t>
      </w:r>
      <w:r w:rsidRPr="005E7428" w:rsidR="005E7428">
        <w:t>one</w:t>
      </w:r>
      <w:r w:rsidRPr="005E7428" w:rsidR="00921518">
        <w:t xml:space="preserve"> of </w:t>
      </w:r>
      <w:r w:rsidRPr="005E7428" w:rsidR="005E7428">
        <w:t>nine</w:t>
      </w:r>
      <w:r w:rsidRPr="005E7428" w:rsidR="00921518">
        <w:t xml:space="preserve"> </w:t>
      </w:r>
      <w:r w:rsidRPr="005E7428" w:rsidR="00C42C50">
        <w:t>REMS program</w:t>
      </w:r>
      <w:r w:rsidRPr="005E7428" w:rsidR="005E7428">
        <w:t>-covered drugs—alemtuzumab, ambrisentan, bosentan, clozapine, isotretinoin, lenalidomide, pomalidomide, sodium oxybate, and thalidomide—i</w:t>
      </w:r>
      <w:r w:rsidRPr="005E7428">
        <w:t>n the past year</w:t>
      </w:r>
      <w:r w:rsidRPr="005E7428" w:rsidR="00BB62F3">
        <w:t>.</w:t>
      </w:r>
      <w:r w:rsidRPr="005E7428" w:rsidR="00D232C2">
        <w:t xml:space="preserve"> </w:t>
      </w:r>
      <w:r w:rsidRPr="005E7428" w:rsidR="00921518">
        <w:t xml:space="preserve">For the REMS programs imposed because of teratogenic risks, participants will be further restricted to women of childbearing age. </w:t>
      </w:r>
      <w:r w:rsidRPr="005E7428" w:rsidR="00D232C2">
        <w:t xml:space="preserve">Up to </w:t>
      </w:r>
      <w:r w:rsidRPr="005E7428" w:rsidR="008C5993">
        <w:t>20</w:t>
      </w:r>
      <w:r w:rsidRPr="005E7428" w:rsidR="00D232C2">
        <w:t xml:space="preserve"> pa</w:t>
      </w:r>
      <w:r w:rsidRPr="005E7428" w:rsidR="0048324D">
        <w:t>rticipants</w:t>
      </w:r>
      <w:r w:rsidRPr="005E7428" w:rsidR="00D232C2">
        <w:t xml:space="preserve"> </w:t>
      </w:r>
      <w:r w:rsidRPr="005E7428">
        <w:t xml:space="preserve">will be recruited </w:t>
      </w:r>
      <w:r w:rsidRPr="005E7428" w:rsidR="008C5993">
        <w:t xml:space="preserve">for each REMS program </w:t>
      </w:r>
      <w:r w:rsidRPr="005E7428" w:rsidR="005E7428">
        <w:t>(we will treat the REMS programs for lenalidomide, pomalidomide, and thalidomide as a single REMS program as they have the same requirements)</w:t>
      </w:r>
      <w:r w:rsidR="002D4646">
        <w:t xml:space="preserve">. Recruitment will be performed </w:t>
      </w:r>
      <w:r w:rsidRPr="005E7428">
        <w:t>through patient support groups and online advertisements</w:t>
      </w:r>
      <w:r w:rsidR="00CB3393">
        <w:t xml:space="preserve"> with voluntary measures</w:t>
      </w:r>
      <w:r w:rsidRPr="005E7428" w:rsidR="00D232C2">
        <w:t xml:space="preserve">. </w:t>
      </w:r>
      <w:r w:rsidRPr="005E7428" w:rsidR="0051082C">
        <w:t xml:space="preserve">For each group, </w:t>
      </w:r>
      <w:r w:rsidRPr="005E7428" w:rsidR="002E2EB1">
        <w:t>the contractor</w:t>
      </w:r>
      <w:r w:rsidRPr="005E7428" w:rsidR="0051082C">
        <w:t xml:space="preserve"> will ensure a reasonable degree of geographic and demographic diversity, including</w:t>
      </w:r>
      <w:r w:rsidRPr="005E7428" w:rsidR="00C42C50">
        <w:t xml:space="preserve"> </w:t>
      </w:r>
      <w:r w:rsidRPr="005E7428" w:rsidR="0051082C">
        <w:t>race/ethnicity</w:t>
      </w:r>
      <w:r w:rsidR="002D4646">
        <w:t>, sex,</w:t>
      </w:r>
      <w:r w:rsidRPr="005E7428" w:rsidR="0051082C">
        <w:t xml:space="preserve"> and age.</w:t>
      </w:r>
      <w:r w:rsidR="00F52B03">
        <w:t xml:space="preserve">  Overall, subjects participating in the research are expected to benefit from improved risk communication content and strategies of the REMS program.</w:t>
      </w:r>
    </w:p>
    <w:p w:rsidR="0051082C" w:rsidP="0051082C" w:rsidRDefault="0051082C" w14:paraId="030CB04E" w14:textId="77777777">
      <w:pPr>
        <w:ind w:left="720"/>
      </w:pPr>
    </w:p>
    <w:p w:rsidRPr="00C26DD5" w:rsidR="00BF507D" w:rsidP="00357045" w:rsidRDefault="000E7C99" w14:paraId="5CE2789B" w14:textId="4B978701">
      <w:pPr>
        <w:numPr>
          <w:ilvl w:val="0"/>
          <w:numId w:val="15"/>
        </w:numPr>
        <w:tabs>
          <w:tab w:val="num" w:pos="720"/>
        </w:tabs>
        <w:ind w:left="720"/>
      </w:pPr>
      <w:r>
        <w:rPr>
          <w:b/>
        </w:rPr>
        <w:t xml:space="preserve">Date(s) </w:t>
      </w:r>
      <w:r w:rsidR="00915E13">
        <w:rPr>
          <w:b/>
        </w:rPr>
        <w:t xml:space="preserve">to be </w:t>
      </w:r>
      <w:r w:rsidR="00346DEA">
        <w:rPr>
          <w:b/>
        </w:rPr>
        <w:t>c</w:t>
      </w:r>
      <w:r>
        <w:rPr>
          <w:b/>
        </w:rPr>
        <w:t>onducted</w:t>
      </w:r>
      <w:r w:rsidR="0049419A">
        <w:rPr>
          <w:b/>
        </w:rPr>
        <w:t>:</w:t>
      </w:r>
    </w:p>
    <w:p w:rsidR="00C26DD5" w:rsidP="00C26DD5" w:rsidRDefault="00C26DD5" w14:paraId="0F231373" w14:textId="77777777">
      <w:pPr>
        <w:ind w:left="720"/>
      </w:pPr>
    </w:p>
    <w:p w:rsidRPr="00E215FA" w:rsidR="0051082C" w:rsidP="00921518" w:rsidRDefault="0051082C" w14:paraId="26499119" w14:textId="1C3FF68E">
      <w:pPr>
        <w:ind w:left="720"/>
      </w:pPr>
      <w:r>
        <w:t xml:space="preserve">The </w:t>
      </w:r>
      <w:r w:rsidR="002E2EB1">
        <w:t>contractor</w:t>
      </w:r>
      <w:r>
        <w:t xml:space="preserve"> will conduct </w:t>
      </w:r>
      <w:r w:rsidR="00CA28B6">
        <w:t xml:space="preserve">the interview sessions </w:t>
      </w:r>
      <w:r>
        <w:t xml:space="preserve">between </w:t>
      </w:r>
      <w:r w:rsidR="008C5993">
        <w:t>10</w:t>
      </w:r>
      <w:r w:rsidR="00CA28B6">
        <w:t>/</w:t>
      </w:r>
      <w:r w:rsidR="008C5993">
        <w:t>01</w:t>
      </w:r>
      <w:r w:rsidR="00CA28B6">
        <w:t>/202</w:t>
      </w:r>
      <w:r w:rsidR="002853EB">
        <w:t xml:space="preserve">1 and </w:t>
      </w:r>
      <w:r w:rsidR="008C5993">
        <w:t>12</w:t>
      </w:r>
      <w:r w:rsidR="002853EB">
        <w:t>/</w:t>
      </w:r>
      <w:r w:rsidR="008C5993">
        <w:t>31</w:t>
      </w:r>
      <w:r w:rsidR="002853EB">
        <w:t>/202</w:t>
      </w:r>
      <w:r w:rsidR="008C5993">
        <w:t xml:space="preserve">2 </w:t>
      </w:r>
      <w:r>
        <w:t xml:space="preserve">and conduct the full study between </w:t>
      </w:r>
      <w:r w:rsidR="008C5993">
        <w:t>10</w:t>
      </w:r>
      <w:r w:rsidR="002853EB">
        <w:t>/</w:t>
      </w:r>
      <w:r w:rsidR="008C5993">
        <w:t>01</w:t>
      </w:r>
      <w:r w:rsidR="002853EB">
        <w:t xml:space="preserve">/2021 and </w:t>
      </w:r>
      <w:r w:rsidR="008C5993">
        <w:t>06</w:t>
      </w:r>
      <w:r w:rsidR="002853EB">
        <w:t>/</w:t>
      </w:r>
      <w:r w:rsidR="008C5993">
        <w:t>30</w:t>
      </w:r>
      <w:r w:rsidR="002853EB">
        <w:t>/202</w:t>
      </w:r>
      <w:r w:rsidR="008C5993">
        <w:t>3</w:t>
      </w:r>
      <w:r>
        <w:t>.</w:t>
      </w:r>
    </w:p>
    <w:p w:rsidR="00190AA2" w:rsidP="00F12AEE" w:rsidRDefault="00190AA2" w14:paraId="6F503A01" w14:textId="77777777">
      <w:pPr>
        <w:ind w:left="360"/>
        <w:jc w:val="both"/>
      </w:pPr>
    </w:p>
    <w:p w:rsidRPr="00C26DD5" w:rsidR="00BF507D" w:rsidP="00357045" w:rsidRDefault="00346DEA" w14:paraId="7C096E67" w14:textId="4FADCD56">
      <w:pPr>
        <w:numPr>
          <w:ilvl w:val="0"/>
          <w:numId w:val="15"/>
        </w:numPr>
        <w:tabs>
          <w:tab w:val="num" w:pos="720"/>
        </w:tabs>
        <w:ind w:left="720"/>
      </w:pPr>
      <w:r>
        <w:rPr>
          <w:b/>
        </w:rPr>
        <w:t>How the i</w:t>
      </w:r>
      <w:r w:rsidR="000E7C99">
        <w:rPr>
          <w:b/>
        </w:rPr>
        <w:t>nformation is being collected</w:t>
      </w:r>
      <w:r w:rsidR="0049419A">
        <w:rPr>
          <w:b/>
        </w:rPr>
        <w:t>:</w:t>
      </w:r>
    </w:p>
    <w:p w:rsidR="00C26DD5" w:rsidP="00C26DD5" w:rsidRDefault="00C26DD5" w14:paraId="59AB3CAC" w14:textId="77777777">
      <w:pPr>
        <w:ind w:left="720"/>
      </w:pPr>
    </w:p>
    <w:p w:rsidR="00921518" w:rsidP="00853BC0" w:rsidRDefault="00921518" w14:paraId="48D2EAA1" w14:textId="7739B609">
      <w:pPr>
        <w:autoSpaceDE w:val="0"/>
        <w:autoSpaceDN w:val="0"/>
        <w:adjustRightInd w:val="0"/>
        <w:ind w:left="720"/>
      </w:pPr>
      <w:r w:rsidRPr="00105C05">
        <w:t>Using an interview guide, the contractor will conduct qualitative</w:t>
      </w:r>
      <w:r w:rsidR="00853BC0">
        <w:t xml:space="preserve"> </w:t>
      </w:r>
      <w:r w:rsidRPr="00105C05">
        <w:t xml:space="preserve">phone interviews with each </w:t>
      </w:r>
      <w:r w:rsidRPr="00105C05" w:rsidR="0048324D">
        <w:t>participant</w:t>
      </w:r>
      <w:r w:rsidRPr="00105C05">
        <w:t xml:space="preserve"> lasting up to one hour. Audio recordings of the patient interviews</w:t>
      </w:r>
      <w:r w:rsidRPr="00105C05" w:rsidR="0048324D">
        <w:t xml:space="preserve"> </w:t>
      </w:r>
      <w:r w:rsidRPr="00105C05">
        <w:t>will be transcribed.</w:t>
      </w:r>
    </w:p>
    <w:p w:rsidR="00DD1669" w:rsidP="005E7428" w:rsidRDefault="00DD1669" w14:paraId="4A7D2C75" w14:textId="77777777"/>
    <w:p w:rsidRPr="00C26DD5" w:rsidR="00BF507D" w:rsidP="00357045" w:rsidRDefault="00DD1CCA" w14:paraId="177C62ED" w14:textId="194389EC">
      <w:pPr>
        <w:numPr>
          <w:ilvl w:val="0"/>
          <w:numId w:val="15"/>
        </w:numPr>
        <w:tabs>
          <w:tab w:val="num" w:pos="720"/>
        </w:tabs>
        <w:ind w:left="720"/>
      </w:pPr>
      <w:r>
        <w:rPr>
          <w:b/>
        </w:rPr>
        <w:t xml:space="preserve">Confidentiality of </w:t>
      </w:r>
      <w:r w:rsidR="00346DEA">
        <w:rPr>
          <w:b/>
        </w:rPr>
        <w:t>r</w:t>
      </w:r>
      <w:r>
        <w:rPr>
          <w:b/>
        </w:rPr>
        <w:t>espondents</w:t>
      </w:r>
      <w:r w:rsidR="0049419A">
        <w:rPr>
          <w:b/>
        </w:rPr>
        <w:t>:</w:t>
      </w:r>
    </w:p>
    <w:p w:rsidR="00C26DD5" w:rsidP="00C26DD5" w:rsidRDefault="00C26DD5" w14:paraId="4F0EEABD" w14:textId="77777777">
      <w:pPr>
        <w:ind w:left="720"/>
      </w:pPr>
    </w:p>
    <w:p w:rsidR="002853EB" w:rsidP="002853EB" w:rsidRDefault="002853EB" w14:paraId="33675124" w14:textId="10DD5E6E">
      <w:pPr>
        <w:ind w:left="720"/>
      </w:pPr>
      <w:r>
        <w:t>The contractor will record p</w:t>
      </w:r>
      <w:r w:rsidRPr="00B52FE9">
        <w:t>ersonal details of each participant (i.e., name and address) solely for the purpose of collecting initial screening information</w:t>
      </w:r>
      <w:r w:rsidR="0048324D">
        <w:t xml:space="preserve"> and providing payment</w:t>
      </w:r>
      <w:r>
        <w:t xml:space="preserve">. Once </w:t>
      </w:r>
      <w:r w:rsidRPr="00B52FE9">
        <w:t xml:space="preserve">the testing is initiated, </w:t>
      </w:r>
      <w:r>
        <w:t>the</w:t>
      </w:r>
      <w:r w:rsidR="0048324D">
        <w:t xml:space="preserve"> contractor</w:t>
      </w:r>
      <w:r>
        <w:t xml:space="preserve"> will use </w:t>
      </w:r>
      <w:r w:rsidRPr="00B52FE9">
        <w:t xml:space="preserve">a numbering system to protect the identity of </w:t>
      </w:r>
      <w:r>
        <w:t>each</w:t>
      </w:r>
      <w:r w:rsidRPr="00B52FE9">
        <w:t xml:space="preserve"> participant and to remove the link between personal details and test data. </w:t>
      </w:r>
    </w:p>
    <w:p w:rsidR="002853EB" w:rsidP="002853EB" w:rsidRDefault="002853EB" w14:paraId="1DA090F2" w14:textId="77777777">
      <w:pPr>
        <w:ind w:left="720"/>
      </w:pPr>
    </w:p>
    <w:p w:rsidRPr="00B52FE9" w:rsidR="002853EB" w:rsidP="002853EB" w:rsidRDefault="002853EB" w14:paraId="33E5569A" w14:textId="039A612D">
      <w:pPr>
        <w:ind w:left="720"/>
      </w:pPr>
      <w:r w:rsidRPr="00B52FE9">
        <w:t xml:space="preserve">At no stage during the recruitment process will the recruiters seek to gain access to any medical records for any participant. </w:t>
      </w:r>
      <w:r>
        <w:t xml:space="preserve">The </w:t>
      </w:r>
      <w:r w:rsidR="004929F1">
        <w:t>contractor</w:t>
      </w:r>
      <w:r>
        <w:t xml:space="preserve"> will keep</w:t>
      </w:r>
      <w:r w:rsidR="004929F1">
        <w:t xml:space="preserve"> protected health information (PHI)</w:t>
      </w:r>
      <w:r w:rsidR="00D6673E">
        <w:t xml:space="preserve"> </w:t>
      </w:r>
      <w:r w:rsidR="004929F1">
        <w:t>and other information in a secure platform during the study</w:t>
      </w:r>
      <w:r w:rsidRPr="00B52FE9">
        <w:t xml:space="preserve"> and will not circulate</w:t>
      </w:r>
      <w:r>
        <w:t xml:space="preserve"> them </w:t>
      </w:r>
      <w:r w:rsidRPr="00B52FE9">
        <w:t>to any third party.</w:t>
      </w:r>
      <w:r w:rsidR="0029494F">
        <w:t xml:space="preserve">  </w:t>
      </w:r>
      <w:r w:rsidR="004929F1">
        <w:t xml:space="preserve">The collected information will be available only to the authorized study team members through a secure mechanism and deleted upon completion of the study.   </w:t>
      </w:r>
    </w:p>
    <w:p w:rsidRPr="00B52FE9" w:rsidR="002853EB" w:rsidP="002853EB" w:rsidRDefault="002853EB" w14:paraId="00381EC0" w14:textId="77777777"/>
    <w:p w:rsidRPr="00B52FE9" w:rsidR="002853EB" w:rsidP="002853EB" w:rsidRDefault="002853EB" w14:paraId="04006633" w14:textId="77777777">
      <w:pPr>
        <w:ind w:left="720"/>
      </w:pPr>
      <w:r w:rsidRPr="00B52FE9">
        <w:t>All study personnel interacting with human subjects as part of this research will have completed training on the protection of human subjects.</w:t>
      </w:r>
    </w:p>
    <w:p w:rsidR="002853EB" w:rsidP="002853EB" w:rsidRDefault="002853EB" w14:paraId="1E5D59B8" w14:textId="77777777">
      <w:pPr>
        <w:ind w:left="720"/>
      </w:pPr>
    </w:p>
    <w:p w:rsidRPr="00B52FE9" w:rsidR="002853EB" w:rsidP="002853EB" w:rsidRDefault="002853EB" w14:paraId="7E47A99D" w14:textId="5676FF8A">
      <w:pPr>
        <w:ind w:left="720"/>
      </w:pPr>
      <w:r>
        <w:t xml:space="preserve">The contractor will </w:t>
      </w:r>
      <w:r w:rsidR="0048324D">
        <w:t xml:space="preserve">present each participant </w:t>
      </w:r>
      <w:r w:rsidR="00105C05">
        <w:t xml:space="preserve">with a fact sheet explaining the purpose of the study, what participation entails, the availability of </w:t>
      </w:r>
      <w:r w:rsidR="00D3075C">
        <w:t xml:space="preserve">a </w:t>
      </w:r>
      <w:r w:rsidR="005F244F">
        <w:t xml:space="preserve">token of appreciation </w:t>
      </w:r>
      <w:r w:rsidR="00105C05">
        <w:t>(a $50 Amazon gift card</w:t>
      </w:r>
      <w:r w:rsidR="005F244F">
        <w:t>)</w:t>
      </w:r>
      <w:r w:rsidR="00105C05">
        <w:t xml:space="preserve"> for completion of an interview, the right not to participa</w:t>
      </w:r>
      <w:r w:rsidR="005E0DDF">
        <w:t>te</w:t>
      </w:r>
      <w:r w:rsidR="00105C05">
        <w:t xml:space="preserve">, and contact </w:t>
      </w:r>
      <w:r w:rsidR="00105C05">
        <w:lastRenderedPageBreak/>
        <w:t xml:space="preserve">information </w:t>
      </w:r>
      <w:r w:rsidR="002D4646">
        <w:t>for</w:t>
      </w:r>
      <w:r w:rsidR="00105C05">
        <w:t xml:space="preserve"> the principal investigator and IRB. Consent will be presumed based </w:t>
      </w:r>
      <w:r w:rsidR="00853BC0">
        <w:t>on</w:t>
      </w:r>
      <w:r w:rsidR="00105C05">
        <w:t xml:space="preserve"> participation. </w:t>
      </w:r>
      <w:r>
        <w:t xml:space="preserve">(See </w:t>
      </w:r>
      <w:r w:rsidR="00105C05">
        <w:t>Fact Sheet/</w:t>
      </w:r>
      <w:r>
        <w:t>Consent Form).</w:t>
      </w:r>
      <w:r w:rsidR="0029494F">
        <w:t xml:space="preserve">  </w:t>
      </w:r>
    </w:p>
    <w:p w:rsidR="0051082C" w:rsidP="002853EB" w:rsidRDefault="0051082C" w14:paraId="1E42E7C8" w14:textId="2F90679A"/>
    <w:p w:rsidRPr="00357045" w:rsidR="00272A62" w:rsidP="00357045" w:rsidRDefault="00840740" w14:paraId="5F633C58" w14:textId="77FD3B9E">
      <w:pPr>
        <w:numPr>
          <w:ilvl w:val="0"/>
          <w:numId w:val="15"/>
        </w:numPr>
        <w:tabs>
          <w:tab w:val="num" w:pos="720"/>
        </w:tabs>
        <w:ind w:left="720"/>
        <w:rPr>
          <w:b/>
        </w:rPr>
      </w:pPr>
      <w:r>
        <w:rPr>
          <w:b/>
        </w:rPr>
        <w:t>Amount and justification for any proposed incentive:</w:t>
      </w:r>
    </w:p>
    <w:p w:rsidR="00C73060" w:rsidP="00357045" w:rsidRDefault="001A6E17" w14:paraId="3B465C66" w14:textId="43BFD29F">
      <w:pPr>
        <w:shd w:val="clear" w:color="auto" w:fill="FFFFFF"/>
        <w:spacing w:before="100" w:beforeAutospacing="1" w:after="100" w:afterAutospacing="1"/>
        <w:ind w:left="720"/>
      </w:pPr>
      <w:r w:rsidRPr="7CC0CF44">
        <w:t>As a token of appreciation</w:t>
      </w:r>
      <w:r w:rsidRPr="00105C05" w:rsidR="00105C05">
        <w:rPr>
          <w:bCs/>
        </w:rPr>
        <w:t xml:space="preserve">, </w:t>
      </w:r>
      <w:r w:rsidRPr="7CC0CF44" w:rsidR="00105C05">
        <w:t xml:space="preserve">the contractor will offer a $50 Amazon gift card to </w:t>
      </w:r>
      <w:r w:rsidR="00280AC5">
        <w:t xml:space="preserve">patient </w:t>
      </w:r>
      <w:r w:rsidRPr="7CC0CF44" w:rsidR="00105C05">
        <w:t>participants</w:t>
      </w:r>
      <w:r w:rsidR="00EF402F">
        <w:t xml:space="preserve">. All patient interviewees will receive </w:t>
      </w:r>
      <w:r w:rsidR="00E67867">
        <w:t>this token from the contractor electronically after completing an interview.</w:t>
      </w:r>
      <w:r w:rsidR="006C24DF">
        <w:t xml:space="preserve"> </w:t>
      </w:r>
      <w:r w:rsidR="00FC2C58">
        <w:t>In comparable prior research</w:t>
      </w:r>
      <w:r w:rsidR="00D5081E">
        <w:t>, Rapid Interviews and Survey of Patients Being Treated with Ambien and Lunesta or their Health Care Professionals</w:t>
      </w:r>
      <w:r w:rsidR="00FC2C58">
        <w:t xml:space="preserve"> (</w:t>
      </w:r>
      <w:r w:rsidR="00454B1A">
        <w:t xml:space="preserve">OMB 0910-0500; </w:t>
      </w:r>
      <w:r w:rsidR="00FC2C58">
        <w:t xml:space="preserve">PMID: </w:t>
      </w:r>
      <w:r w:rsidR="00D3613C">
        <w:t xml:space="preserve">28247279), the contractor offered an equivalent token of appreciation, yielding successful recruitment efforts. </w:t>
      </w:r>
      <w:r w:rsidR="000A46D2">
        <w:t xml:space="preserve">While this is above the </w:t>
      </w:r>
      <w:r w:rsidR="00C04B56">
        <w:t xml:space="preserve">Federal recommendation of a $40 token for a 60-minute </w:t>
      </w:r>
      <w:r w:rsidR="001F3421">
        <w:t xml:space="preserve">interview, we believe that a slightly higher amount of $50 is justified in this project for </w:t>
      </w:r>
      <w:r w:rsidR="00FF1939">
        <w:t xml:space="preserve">three primary </w:t>
      </w:r>
      <w:r w:rsidR="00C73060">
        <w:t>reasons.</w:t>
      </w:r>
    </w:p>
    <w:p w:rsidR="00337948" w:rsidP="005F111B" w:rsidRDefault="006C134E" w14:paraId="474765F2" w14:textId="2D4AD082">
      <w:pPr>
        <w:shd w:val="clear" w:color="auto" w:fill="FFFFFF"/>
        <w:spacing w:before="100" w:beforeAutospacing="1" w:after="100" w:afterAutospacing="1"/>
        <w:ind w:left="720"/>
      </w:pPr>
      <w:r>
        <w:t xml:space="preserve">First, </w:t>
      </w:r>
      <w:r w:rsidR="00FB5825">
        <w:t xml:space="preserve">although the contractor </w:t>
      </w:r>
      <w:r w:rsidR="00F75225">
        <w:t>estimates that each</w:t>
      </w:r>
      <w:r w:rsidR="00F61046">
        <w:t xml:space="preserve"> remote</w:t>
      </w:r>
      <w:r w:rsidR="00F75225">
        <w:t xml:space="preserve"> </w:t>
      </w:r>
      <w:r w:rsidR="00FB5825">
        <w:t xml:space="preserve">interview </w:t>
      </w:r>
      <w:r w:rsidR="00F75225">
        <w:t xml:space="preserve">will run 60 minutes, </w:t>
      </w:r>
      <w:r w:rsidR="005F111B">
        <w:t>we anticipate that some interviews</w:t>
      </w:r>
      <w:r w:rsidR="00337F70">
        <w:t xml:space="preserve"> will</w:t>
      </w:r>
      <w:r w:rsidR="005F111B">
        <w:t xml:space="preserve"> last slightly longer than an hour depending on the nature of the discussion.</w:t>
      </w:r>
      <w:r w:rsidR="00337F70">
        <w:t xml:space="preserve"> </w:t>
      </w:r>
      <w:r w:rsidR="00EA6A70">
        <w:t xml:space="preserve">Furthermore, </w:t>
      </w:r>
      <w:r w:rsidR="001E6418">
        <w:t xml:space="preserve">due to the structure of recruitment and scheduling processes, </w:t>
      </w:r>
      <w:r w:rsidR="00095148">
        <w:t>we anticipate that interviewees will</w:t>
      </w:r>
      <w:r w:rsidR="002C75D8">
        <w:t xml:space="preserve"> spend additional time outside of the formal interview</w:t>
      </w:r>
      <w:r w:rsidR="001E6418">
        <w:t xml:space="preserve"> to sign up and prepare for the interview.</w:t>
      </w:r>
      <w:r w:rsidR="00654469">
        <w:t xml:space="preserve"> This includes time for signing up (5 minutes), scheduling (10 min</w:t>
      </w:r>
      <w:r w:rsidR="00E269E6">
        <w:t xml:space="preserve">utes), </w:t>
      </w:r>
      <w:r w:rsidR="00BA453B">
        <w:t xml:space="preserve">a phone screen (5 minutes), and any follow-up questions the contractor may have after the end of the interview (10 minutes). Although </w:t>
      </w:r>
      <w:r w:rsidR="0077335B">
        <w:t xml:space="preserve">the amount of time each patient interviewee spends on interview-related </w:t>
      </w:r>
      <w:r w:rsidR="00885D26">
        <w:t>activities will vary, we believe that</w:t>
      </w:r>
      <w:r w:rsidR="00A90360">
        <w:t xml:space="preserve"> </w:t>
      </w:r>
      <w:r w:rsidR="00FC1385">
        <w:t>it will be significant enough to merit a higher token of $50.</w:t>
      </w:r>
    </w:p>
    <w:p w:rsidR="00C73060" w:rsidP="00357045" w:rsidRDefault="00125D37" w14:paraId="434165FB" w14:textId="47101B0D">
      <w:pPr>
        <w:shd w:val="clear" w:color="auto" w:fill="FFFFFF"/>
        <w:spacing w:before="100" w:beforeAutospacing="1" w:after="100" w:afterAutospacing="1"/>
        <w:ind w:left="720"/>
      </w:pPr>
      <w:r>
        <w:t xml:space="preserve">Second, </w:t>
      </w:r>
      <w:r w:rsidR="00FB5825">
        <w:t>all patient interviews will be conducted during business hours</w:t>
      </w:r>
      <w:r>
        <w:t xml:space="preserve">, potentially resulting in a loss of </w:t>
      </w:r>
      <w:r w:rsidR="004612E4">
        <w:t>income for the time the participant spends in the interview.</w:t>
      </w:r>
      <w:r w:rsidR="006E529A">
        <w:t xml:space="preserve"> The Bureau of Labor Statistics </w:t>
      </w:r>
      <w:r w:rsidR="00FC794A">
        <w:t xml:space="preserve">(BLS) estimates that the average hour wage of </w:t>
      </w:r>
      <w:r w:rsidR="00816695">
        <w:t xml:space="preserve">employees on non-farm payrolls was </w:t>
      </w:r>
      <w:r w:rsidR="000503F6">
        <w:t>$30.85</w:t>
      </w:r>
      <w:r w:rsidR="00C27519">
        <w:t xml:space="preserve"> in September 2021 (</w:t>
      </w:r>
      <w:hyperlink w:history="1" w:anchor="re_table1.f.1" r:id="rId11">
        <w:r w:rsidRPr="00955EF6" w:rsidR="00C27519">
          <w:rPr>
            <w:rStyle w:val="Hyperlink"/>
          </w:rPr>
          <w:t>Bureau of Labor Statistics, 2021</w:t>
        </w:r>
      </w:hyperlink>
      <w:r w:rsidR="00C27519">
        <w:t xml:space="preserve">). </w:t>
      </w:r>
      <w:r w:rsidR="00910CEE">
        <w:t>Factoring in t</w:t>
      </w:r>
      <w:r w:rsidR="00C31E7A">
        <w:t>he</w:t>
      </w:r>
      <w:r w:rsidR="00AF5D87">
        <w:t xml:space="preserve"> time a patient may spend in recruitment, scheduling, screening, </w:t>
      </w:r>
      <w:r w:rsidR="00C31E7A">
        <w:t xml:space="preserve">the interview, </w:t>
      </w:r>
      <w:r w:rsidR="00AF5D87">
        <w:t>and follow-up</w:t>
      </w:r>
      <w:r w:rsidR="00C31E7A">
        <w:t>—a maximum total of 90 minutes—th</w:t>
      </w:r>
      <w:r w:rsidR="00C82D06">
        <w:t>e equivalent average compensation should be $46.28</w:t>
      </w:r>
      <w:r w:rsidR="00996C78">
        <w:t>.</w:t>
      </w:r>
      <w:r w:rsidR="00EB78E9">
        <w:t xml:space="preserve"> Our suggested token of $50 is just above </w:t>
      </w:r>
      <w:r w:rsidR="003C48C4">
        <w:t>this figure.</w:t>
      </w:r>
    </w:p>
    <w:p w:rsidR="00C0047F" w:rsidP="00C0047F" w:rsidRDefault="00F476CE" w14:paraId="7B9A80BA" w14:textId="13A2F682">
      <w:pPr>
        <w:shd w:val="clear" w:color="auto" w:fill="FFFFFF"/>
        <w:spacing w:before="100" w:beforeAutospacing="1" w:after="100" w:afterAutospacing="1"/>
        <w:ind w:left="720"/>
      </w:pPr>
      <w:r>
        <w:t xml:space="preserve">Third, $50 for a 60-minute interview is consistent with what OMB has approved in recent years for online interview participants. </w:t>
      </w:r>
      <w:r w:rsidR="00E3166E">
        <w:t xml:space="preserve">In </w:t>
      </w:r>
      <w:r w:rsidR="00BD7079">
        <w:t>a recent</w:t>
      </w:r>
      <w:r w:rsidR="00E3166E">
        <w:t xml:space="preserve"> past study</w:t>
      </w:r>
      <w:r w:rsidR="00BD7079">
        <w:t>,</w:t>
      </w:r>
      <w:r w:rsidR="00BD7079">
        <w:rPr>
          <w:rStyle w:val="FootnoteReference"/>
        </w:rPr>
        <w:footnoteReference w:id="3"/>
      </w:r>
      <w:r w:rsidR="00E3166E">
        <w:t xml:space="preserve"> </w:t>
      </w:r>
      <w:r w:rsidR="00202504">
        <w:t xml:space="preserve">the </w:t>
      </w:r>
      <w:r w:rsidR="00BD7079">
        <w:t>contractor successfully used</w:t>
      </w:r>
      <w:r w:rsidR="00202504">
        <w:t xml:space="preserve"> a monetary incentive of $50 for each 60-minute interview. </w:t>
      </w:r>
      <w:r w:rsidR="008A4976">
        <w:t xml:space="preserve">The OMB has also previously approved incentive amounts greater than $50 for similar remote research. For example, </w:t>
      </w:r>
      <w:r w:rsidR="008318A7">
        <w:t xml:space="preserve">in the </w:t>
      </w:r>
      <w:r w:rsidRPr="000E2391" w:rsidR="008318A7">
        <w:rPr>
          <w:color w:val="333333"/>
        </w:rPr>
        <w:t>CFPB’s Consumer Response Intake Form Improvement Study</w:t>
      </w:r>
      <w:r w:rsidR="008318A7">
        <w:rPr>
          <w:color w:val="333333"/>
        </w:rPr>
        <w:t xml:space="preserve"> from 2017 (</w:t>
      </w:r>
      <w:r w:rsidRPr="00C0047F" w:rsidR="008318A7">
        <w:rPr>
          <w:color w:val="333333"/>
        </w:rPr>
        <w:t>OMB 3170-0042)</w:t>
      </w:r>
      <w:r w:rsidR="008318A7">
        <w:rPr>
          <w:color w:val="333333"/>
        </w:rPr>
        <w:t>, the token of appreciation was approved at $75 for 60-minute remote interviews. This is higher than our proposed token of $50</w:t>
      </w:r>
      <w:r w:rsidR="005C3C3B">
        <w:rPr>
          <w:color w:val="333333"/>
        </w:rPr>
        <w:t xml:space="preserve"> </w:t>
      </w:r>
      <w:r w:rsidR="00AA2A5E">
        <w:rPr>
          <w:color w:val="333333"/>
        </w:rPr>
        <w:t xml:space="preserve">for the same interview duration. </w:t>
      </w:r>
    </w:p>
    <w:p w:rsidR="00BD7079" w:rsidP="00C0047F" w:rsidRDefault="000B5B95" w14:paraId="6CDD3F2B" w14:textId="6DD78D26">
      <w:pPr>
        <w:shd w:val="clear" w:color="auto" w:fill="FFFFFF"/>
        <w:spacing w:before="100" w:beforeAutospacing="1" w:after="100" w:afterAutospacing="1"/>
        <w:ind w:left="720"/>
      </w:pPr>
      <w:r>
        <w:t>Considerable research has shown that the use of tokens can increase participation rates in qualitative research studies involving patient interviews.</w:t>
      </w:r>
      <w:r w:rsidR="00FE77D7">
        <w:t xml:space="preserve"> Studies have found that </w:t>
      </w:r>
      <w:r w:rsidR="001E3742">
        <w:t xml:space="preserve">a $50 incentive is more likely </w:t>
      </w:r>
      <w:r w:rsidR="00B31236">
        <w:t>to produce a greater willingness to participate in a qualitative interview than a $25 incentive (Kelly et al., 2017).</w:t>
      </w:r>
      <w:r w:rsidR="00BC49BE">
        <w:t xml:space="preserve"> The contractor believes that a greater incentive amount </w:t>
      </w:r>
      <w:r w:rsidR="00CB37E8">
        <w:t>will increase willingness to participate</w:t>
      </w:r>
      <w:r w:rsidR="00D3778E">
        <w:t xml:space="preserve"> in our study, </w:t>
      </w:r>
      <w:r w:rsidR="00CB37E8">
        <w:t xml:space="preserve">especially given the potentially sensitive subject matter of </w:t>
      </w:r>
      <w:r w:rsidR="00433D5B">
        <w:t>medication usage and health history</w:t>
      </w:r>
      <w:r w:rsidR="00D3778E">
        <w:t xml:space="preserve">. </w:t>
      </w:r>
      <w:r w:rsidR="00A85942">
        <w:t xml:space="preserve">This </w:t>
      </w:r>
      <w:r w:rsidR="00774F6F">
        <w:t>may also</w:t>
      </w:r>
      <w:r w:rsidR="00D3778E">
        <w:t xml:space="preserve"> expedite the recruitment process</w:t>
      </w:r>
      <w:r w:rsidR="007D5AF8">
        <w:t>;</w:t>
      </w:r>
      <w:r w:rsidR="00D3778E">
        <w:t xml:space="preserve"> </w:t>
      </w:r>
      <w:r w:rsidR="00774F6F">
        <w:t xml:space="preserve">decrease the number of last-minute cancellations or </w:t>
      </w:r>
      <w:r w:rsidR="00774F6F">
        <w:lastRenderedPageBreak/>
        <w:t>reschedules</w:t>
      </w:r>
      <w:r w:rsidR="007D5AF8">
        <w:t>;</w:t>
      </w:r>
      <w:r w:rsidR="00774F6F">
        <w:t xml:space="preserve"> and </w:t>
      </w:r>
      <w:r w:rsidR="00F3466F">
        <w:t>increase representation of low-income and other demographics typically underrepresented in qualitative research</w:t>
      </w:r>
      <w:r w:rsidR="00774F6F">
        <w:t xml:space="preserve">. </w:t>
      </w:r>
      <w:r w:rsidR="005D574F">
        <w:t>This saves time (and cost) on recruitment delays</w:t>
      </w:r>
      <w:r w:rsidR="007513E3">
        <w:t xml:space="preserve"> and on overscheduling to achieve the target number of participants. </w:t>
      </w:r>
      <w:r w:rsidR="007D5AF8">
        <w:t xml:space="preserve">Overall, using a slightly higher monetary incentive to increase willingness to participate may save time, and therefore </w:t>
      </w:r>
      <w:r w:rsidR="007513E3">
        <w:t xml:space="preserve">cost, and produce </w:t>
      </w:r>
      <w:r w:rsidR="00AA58F9">
        <w:t xml:space="preserve">higher quality </w:t>
      </w:r>
      <w:r w:rsidR="007513E3">
        <w:t xml:space="preserve">data for our project. </w:t>
      </w:r>
    </w:p>
    <w:p w:rsidR="00840740" w:rsidP="00BD7079" w:rsidRDefault="00840740" w14:paraId="7B3911AB" w14:textId="77777777">
      <w:pPr>
        <w:shd w:val="clear" w:color="auto" w:fill="FFFFFF"/>
        <w:ind w:left="720"/>
        <w:rPr>
          <w:b/>
        </w:rPr>
      </w:pPr>
    </w:p>
    <w:p w:rsidR="000872F1" w:rsidP="00357045" w:rsidRDefault="003A2F10" w14:paraId="368BC3E4" w14:textId="1BF62D36">
      <w:pPr>
        <w:numPr>
          <w:ilvl w:val="0"/>
          <w:numId w:val="15"/>
        </w:numPr>
        <w:tabs>
          <w:tab w:val="num" w:pos="720"/>
        </w:tabs>
        <w:ind w:left="720"/>
        <w:rPr>
          <w:b/>
        </w:rPr>
      </w:pPr>
      <w:r>
        <w:rPr>
          <w:b/>
        </w:rPr>
        <w:t>Questions of a sensitive n</w:t>
      </w:r>
      <w:r w:rsidR="00DD1CCA">
        <w:rPr>
          <w:b/>
        </w:rPr>
        <w:t>ature</w:t>
      </w:r>
      <w:r>
        <w:rPr>
          <w:b/>
        </w:rPr>
        <w:t>:</w:t>
      </w:r>
    </w:p>
    <w:p w:rsidRPr="00357045" w:rsidR="008D49B6" w:rsidP="008D49B6" w:rsidRDefault="008D49B6" w14:paraId="4E31206C" w14:textId="77777777">
      <w:pPr>
        <w:ind w:left="720"/>
        <w:rPr>
          <w:b/>
        </w:rPr>
      </w:pPr>
    </w:p>
    <w:p w:rsidRPr="00B52FE9" w:rsidR="00E228FB" w:rsidP="00E228FB" w:rsidRDefault="00E228FB" w14:paraId="44CF5461" w14:textId="7E1CEBB7">
      <w:pPr>
        <w:ind w:left="720"/>
      </w:pPr>
      <w:r>
        <w:t xml:space="preserve">The contractor will not ask questions that are </w:t>
      </w:r>
      <w:r w:rsidRPr="00B52FE9">
        <w:t>sensitive in nature. Participants will be allowed to abstain from answering if they are uncomfortable with any questions asked during th</w:t>
      </w:r>
      <w:r w:rsidR="00C51F73">
        <w:t xml:space="preserve">is </w:t>
      </w:r>
      <w:r w:rsidRPr="00B52FE9">
        <w:t xml:space="preserve">study. Additionally, participants will be notified at the beginning of the study session that they are welcome to end the session and leave at any time for any reason. </w:t>
      </w:r>
    </w:p>
    <w:p w:rsidR="00DD1CCA" w:rsidP="00853BC0" w:rsidRDefault="00DD1CCA" w14:paraId="60E4E235" w14:textId="77777777">
      <w:pPr>
        <w:pStyle w:val="ListParagraph"/>
        <w:ind w:left="0"/>
      </w:pPr>
    </w:p>
    <w:p w:rsidR="00595C95" w:rsidP="00357045" w:rsidRDefault="00DD1CCA" w14:paraId="58903404" w14:textId="4C7D5713">
      <w:pPr>
        <w:numPr>
          <w:ilvl w:val="0"/>
          <w:numId w:val="15"/>
        </w:numPr>
        <w:tabs>
          <w:tab w:val="num" w:pos="720"/>
        </w:tabs>
        <w:ind w:left="720"/>
        <w:rPr>
          <w:b/>
        </w:rPr>
      </w:pPr>
      <w:r>
        <w:rPr>
          <w:b/>
        </w:rPr>
        <w:t>Descripti</w:t>
      </w:r>
      <w:r w:rsidR="003A2F10">
        <w:rPr>
          <w:b/>
        </w:rPr>
        <w:t>on of statistical m</w:t>
      </w:r>
      <w:r>
        <w:rPr>
          <w:b/>
        </w:rPr>
        <w:t>ethods</w:t>
      </w:r>
      <w:r w:rsidR="008D49B6">
        <w:rPr>
          <w:b/>
        </w:rPr>
        <w:t>:</w:t>
      </w:r>
    </w:p>
    <w:p w:rsidRPr="00357045" w:rsidR="008D49B6" w:rsidP="008D49B6" w:rsidRDefault="008D49B6" w14:paraId="7F825621" w14:textId="77777777">
      <w:pPr>
        <w:ind w:left="720"/>
        <w:rPr>
          <w:b/>
        </w:rPr>
      </w:pPr>
    </w:p>
    <w:p w:rsidR="005E7428" w:rsidP="00E836D8" w:rsidRDefault="0093BEC4" w14:paraId="3432DCAF" w14:textId="770A1338">
      <w:pPr>
        <w:autoSpaceDE w:val="0"/>
        <w:autoSpaceDN w:val="0"/>
        <w:adjustRightInd w:val="0"/>
        <w:ind w:left="720"/>
      </w:pPr>
      <w:r>
        <w:t xml:space="preserve">We will only use descriptive statistical methods for this study. </w:t>
      </w:r>
      <w:r w:rsidR="0048324D">
        <w:t xml:space="preserve">The </w:t>
      </w:r>
      <w:r w:rsidR="00105C05">
        <w:t xml:space="preserve">contractor </w:t>
      </w:r>
      <w:r w:rsidR="0048324D">
        <w:t>will</w:t>
      </w:r>
      <w:r w:rsidR="00105C05">
        <w:t xml:space="preserve"> </w:t>
      </w:r>
      <w:r w:rsidR="0048324D">
        <w:t>strip</w:t>
      </w:r>
      <w:r w:rsidR="00105C05">
        <w:t xml:space="preserve"> transcribed interviews</w:t>
      </w:r>
      <w:r w:rsidR="0048324D">
        <w:t xml:space="preserve"> of personal identifiers and import </w:t>
      </w:r>
      <w:r w:rsidR="00105C05">
        <w:t>them into</w:t>
      </w:r>
      <w:r w:rsidR="0048324D">
        <w:t xml:space="preserve"> qualitative analysis software package.</w:t>
      </w:r>
      <w:r w:rsidR="00105C05">
        <w:t xml:space="preserve"> After reading each transcript independently, the contractor will draw</w:t>
      </w:r>
      <w:r w:rsidR="00853BC0">
        <w:t xml:space="preserve"> </w:t>
      </w:r>
      <w:r w:rsidR="00105C05">
        <w:t>up a list of exploratory codes that best captures the ideas in the interviews and conduct an initial round of coding. The contractor will then review the text for each code and determine whether changes to the code list are needed. Using a final code list, the contractor will recode the transcripts and examine the interrelationship between the codes, the range and gravity of themes particular to each stakeholder, the diversity of responses within themes, and the nature of responses to specific REMS components</w:t>
      </w:r>
      <w:r w:rsidR="0061093A">
        <w:t>.</w:t>
      </w:r>
    </w:p>
    <w:p w:rsidRPr="00E836D8" w:rsidR="00E836D8" w:rsidP="00E836D8" w:rsidRDefault="00E836D8" w14:paraId="1E4901D0" w14:textId="77777777">
      <w:pPr>
        <w:autoSpaceDE w:val="0"/>
        <w:autoSpaceDN w:val="0"/>
        <w:adjustRightInd w:val="0"/>
        <w:ind w:left="720"/>
      </w:pPr>
    </w:p>
    <w:p w:rsidRPr="002F5329" w:rsidR="007424EB" w:rsidP="00E836D8" w:rsidRDefault="003F1C7A" w14:paraId="71D7530A" w14:textId="77777777">
      <w:pPr>
        <w:ind w:left="360"/>
        <w:rPr>
          <w:i/>
        </w:rPr>
      </w:pPr>
      <w:r>
        <w:rPr>
          <w:b/>
        </w:rPr>
        <w:t>BURDEN HOUR COMPUTATION</w:t>
      </w:r>
      <w:r w:rsidR="007424EB">
        <w:t>:</w:t>
      </w:r>
      <w:r w:rsidR="00C51F73">
        <w:t xml:space="preserve"> </w:t>
      </w:r>
      <w:r w:rsidRPr="00B52FE9" w:rsidR="00C51F73">
        <w:t>(</w:t>
      </w:r>
      <w:r w:rsidRPr="00B52FE9" w:rsidR="00C51F73">
        <w:rPr>
          <w:i/>
        </w:rPr>
        <w:t>Number of responses (X) estimated response or participation time in minutes (/60) = annual burden hours):</w:t>
      </w:r>
    </w:p>
    <w:tbl>
      <w:tblPr>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5"/>
        <w:gridCol w:w="1620"/>
        <w:gridCol w:w="2184"/>
        <w:gridCol w:w="1506"/>
      </w:tblGrid>
      <w:tr w:rsidR="007424EB" w:rsidTr="00105C05" w14:paraId="77A19C36" w14:textId="77777777">
        <w:trPr>
          <w:trHeight w:val="274"/>
          <w:jc w:val="center"/>
        </w:trPr>
        <w:tc>
          <w:tcPr>
            <w:tcW w:w="4075" w:type="dxa"/>
            <w:shd w:val="clear" w:color="auto" w:fill="E0E0E0"/>
          </w:tcPr>
          <w:p w:rsidR="003F1C7A" w:rsidRDefault="00696B03" w14:paraId="6C999599" w14:textId="77777777">
            <w:pPr>
              <w:jc w:val="center"/>
              <w:rPr>
                <w:b/>
              </w:rPr>
            </w:pPr>
            <w:r>
              <w:rPr>
                <w:b/>
              </w:rPr>
              <w:t>Type/</w:t>
            </w:r>
            <w:r w:rsidR="003F1C7A">
              <w:rPr>
                <w:b/>
              </w:rPr>
              <w:t>Category of Respondent</w:t>
            </w:r>
          </w:p>
        </w:tc>
        <w:tc>
          <w:tcPr>
            <w:tcW w:w="1620" w:type="dxa"/>
            <w:shd w:val="clear" w:color="auto" w:fill="E0E0E0"/>
          </w:tcPr>
          <w:p w:rsidR="003F1C7A" w:rsidP="00696B03" w:rsidRDefault="003F1C7A" w14:paraId="5B0D0F3C" w14:textId="77777777">
            <w:pPr>
              <w:jc w:val="center"/>
              <w:rPr>
                <w:b/>
              </w:rPr>
            </w:pPr>
            <w:r>
              <w:rPr>
                <w:b/>
              </w:rPr>
              <w:t>No. of Respondent</w:t>
            </w:r>
            <w:r w:rsidR="00696B03">
              <w:rPr>
                <w:b/>
              </w:rPr>
              <w:t>s</w:t>
            </w:r>
          </w:p>
        </w:tc>
        <w:tc>
          <w:tcPr>
            <w:tcW w:w="2184" w:type="dxa"/>
            <w:shd w:val="clear" w:color="auto" w:fill="E0E0E0"/>
          </w:tcPr>
          <w:p w:rsidR="003F1C7A" w:rsidRDefault="003F1C7A" w14:paraId="1F0E45FE" w14:textId="77777777">
            <w:pPr>
              <w:jc w:val="center"/>
              <w:rPr>
                <w:b/>
              </w:rPr>
            </w:pPr>
            <w:r>
              <w:rPr>
                <w:b/>
              </w:rPr>
              <w:t>Participation Time</w:t>
            </w:r>
            <w:r w:rsidR="00696B03">
              <w:rPr>
                <w:b/>
              </w:rPr>
              <w:t xml:space="preserve"> (minutes)</w:t>
            </w:r>
          </w:p>
        </w:tc>
        <w:tc>
          <w:tcPr>
            <w:tcW w:w="1506" w:type="dxa"/>
            <w:shd w:val="clear" w:color="auto" w:fill="E0E0E0"/>
          </w:tcPr>
          <w:p w:rsidR="003F1C7A" w:rsidP="000857BB" w:rsidRDefault="003F1C7A" w14:paraId="019FE8E9" w14:textId="77777777">
            <w:pPr>
              <w:rPr>
                <w:b/>
              </w:rPr>
            </w:pPr>
            <w:r>
              <w:rPr>
                <w:b/>
              </w:rPr>
              <w:t>Burden</w:t>
            </w:r>
          </w:p>
          <w:p w:rsidR="00696B03" w:rsidP="000857BB" w:rsidRDefault="00696B03" w14:paraId="6EB6D8A1" w14:textId="77777777">
            <w:pPr>
              <w:rPr>
                <w:b/>
              </w:rPr>
            </w:pPr>
            <w:r>
              <w:rPr>
                <w:b/>
              </w:rPr>
              <w:t>(hours)</w:t>
            </w:r>
          </w:p>
        </w:tc>
      </w:tr>
      <w:tr w:rsidR="007424EB" w:rsidTr="00357045" w14:paraId="5808452C" w14:textId="77777777">
        <w:trPr>
          <w:trHeight w:val="287"/>
          <w:jc w:val="center"/>
        </w:trPr>
        <w:tc>
          <w:tcPr>
            <w:tcW w:w="4075" w:type="dxa"/>
          </w:tcPr>
          <w:p w:rsidR="007424EB" w:rsidP="00F67C4A" w:rsidRDefault="007E3587" w14:paraId="0DF2B570" w14:textId="08E23D24">
            <w:r>
              <w:t xml:space="preserve">Interview </w:t>
            </w:r>
          </w:p>
        </w:tc>
        <w:tc>
          <w:tcPr>
            <w:tcW w:w="1620" w:type="dxa"/>
          </w:tcPr>
          <w:p w:rsidR="003F1C7A" w:rsidP="00633687" w:rsidRDefault="00105C05" w14:paraId="332739DE" w14:textId="6937486C">
            <w:pPr>
              <w:jc w:val="center"/>
            </w:pPr>
            <w:r>
              <w:t>160</w:t>
            </w:r>
            <w:r w:rsidR="007E3587">
              <w:t xml:space="preserve"> </w:t>
            </w:r>
          </w:p>
        </w:tc>
        <w:tc>
          <w:tcPr>
            <w:tcW w:w="2184" w:type="dxa"/>
          </w:tcPr>
          <w:p w:rsidRPr="00357045" w:rsidR="003F1C7A" w:rsidP="00357045" w:rsidRDefault="007E3587" w14:paraId="780761A8" w14:textId="0A159CDF">
            <w:pPr>
              <w:jc w:val="center"/>
            </w:pPr>
            <w:r>
              <w:t>60</w:t>
            </w:r>
          </w:p>
        </w:tc>
        <w:tc>
          <w:tcPr>
            <w:tcW w:w="1506" w:type="dxa"/>
          </w:tcPr>
          <w:p w:rsidRPr="00357045" w:rsidR="003F1C7A" w:rsidP="00357045" w:rsidRDefault="00105C05" w14:paraId="339436D4" w14:textId="2296799E">
            <w:pPr>
              <w:jc w:val="center"/>
            </w:pPr>
            <w:r>
              <w:t>160</w:t>
            </w:r>
          </w:p>
        </w:tc>
      </w:tr>
    </w:tbl>
    <w:p w:rsidR="00853BC0" w:rsidRDefault="00853BC0" w14:paraId="0826EDB1" w14:textId="77777777">
      <w:pPr>
        <w:rPr>
          <w:b/>
        </w:rPr>
      </w:pPr>
    </w:p>
    <w:p w:rsidR="00E215FA" w:rsidRDefault="003F1C7A" w14:paraId="58794A62" w14:textId="521FF2B5">
      <w:pPr>
        <w:rPr>
          <w:b/>
        </w:rPr>
      </w:pPr>
      <w:r>
        <w:rPr>
          <w:b/>
        </w:rPr>
        <w:t xml:space="preserve">REQUESTED APPROVAL DATE:  </w:t>
      </w:r>
      <w:r w:rsidR="008D49B6">
        <w:rPr>
          <w:b/>
        </w:rPr>
        <w:t>November</w:t>
      </w:r>
      <w:r w:rsidR="00F52B03">
        <w:rPr>
          <w:b/>
        </w:rPr>
        <w:t xml:space="preserve"> 2021</w:t>
      </w:r>
    </w:p>
    <w:p w:rsidR="003B7ADD" w:rsidRDefault="003B7ADD" w14:paraId="40277C73" w14:textId="77777777">
      <w:pPr>
        <w:rPr>
          <w:b/>
        </w:rPr>
      </w:pPr>
    </w:p>
    <w:p w:rsidR="00A7421A" w:rsidP="003B7ADD" w:rsidRDefault="00B378CA" w14:paraId="2593DAF6" w14:textId="7A2FCE75">
      <w:pPr>
        <w:rPr>
          <w:b/>
        </w:rPr>
      </w:pPr>
      <w:r>
        <w:rPr>
          <w:b/>
        </w:rPr>
        <w:t xml:space="preserve">NAME OF PRA ANALYST &amp; PROGRAM CONTACT: </w:t>
      </w:r>
    </w:p>
    <w:p w:rsidR="00357045" w:rsidP="00A7421A" w:rsidRDefault="00357045" w14:paraId="66AFBE4C" w14:textId="77777777">
      <w:bookmarkStart w:name="_Hlk66970217" w:id="1"/>
    </w:p>
    <w:p w:rsidRPr="00291E68" w:rsidR="00A7421A" w:rsidP="00A7421A" w:rsidRDefault="00A7421A" w14:paraId="43D13BCC" w14:textId="1710483B">
      <w:r w:rsidRPr="0C0D1D51">
        <w:t>Ila S. Mizrachi</w:t>
      </w:r>
    </w:p>
    <w:p w:rsidRPr="00291E68" w:rsidR="00A7421A" w:rsidP="00A7421A" w:rsidRDefault="00A7421A" w14:paraId="4CEFE630" w14:textId="77777777">
      <w:r w:rsidRPr="0C0D1D51">
        <w:t>Paperwork Reduction Act Staff</w:t>
      </w:r>
    </w:p>
    <w:p w:rsidRPr="00291E68" w:rsidR="00A7421A" w:rsidP="00A7421A" w:rsidRDefault="00653E39" w14:paraId="2A5E9A8D" w14:textId="77777777">
      <w:hyperlink w:history="1" r:id="rId12">
        <w:r w:rsidRPr="0036194C" w:rsidR="00A7421A">
          <w:rPr>
            <w:rStyle w:val="Hyperlink"/>
          </w:rPr>
          <w:t>Ila.Mizrachi@fda.hhs.gov</w:t>
        </w:r>
      </w:hyperlink>
    </w:p>
    <w:p w:rsidRPr="00291E68" w:rsidR="00A7421A" w:rsidP="00A7421A" w:rsidRDefault="00A7421A" w14:paraId="0A5BE845" w14:textId="77777777">
      <w:r w:rsidRPr="0C0D1D51">
        <w:t>301-796-7726</w:t>
      </w:r>
    </w:p>
    <w:p w:rsidR="00A7421A" w:rsidP="00A7421A" w:rsidRDefault="00A7421A" w14:paraId="02EA58C4" w14:textId="77777777"/>
    <w:p w:rsidR="00A7421A" w:rsidP="00A7421A" w:rsidRDefault="00A7421A" w14:paraId="735C056E" w14:textId="77777777">
      <w:r w:rsidRPr="0C0D1D51">
        <w:t>George Neyarapally</w:t>
      </w:r>
    </w:p>
    <w:p w:rsidRPr="00291E68" w:rsidR="00A7421A" w:rsidP="00A7421A" w:rsidRDefault="00A7421A" w14:paraId="2C494FF1" w14:textId="77777777">
      <w:r w:rsidRPr="0C0D1D51">
        <w:t>Office of Surveillance and Epidemiology</w:t>
      </w:r>
    </w:p>
    <w:bookmarkEnd w:id="1"/>
    <w:p w:rsidRPr="00E215FA" w:rsidR="003F1C7A" w:rsidP="00357045" w:rsidRDefault="00A7421A" w14:paraId="665A2362" w14:textId="29AA531F">
      <w:pPr>
        <w:spacing w:after="120"/>
      </w:pPr>
      <w:r>
        <w:fldChar w:fldCharType="begin"/>
      </w:r>
      <w:r>
        <w:instrText xml:space="preserve"> HYPERLINK "mailto:</w:instrText>
      </w:r>
      <w:r w:rsidRPr="0C0D1D51">
        <w:instrText>George.Neyarapally@fda.hhs.gov</w:instrText>
      </w:r>
      <w:r>
        <w:instrText xml:space="preserve">" </w:instrText>
      </w:r>
      <w:r>
        <w:fldChar w:fldCharType="separate"/>
      </w:r>
      <w:r w:rsidRPr="0036194C">
        <w:rPr>
          <w:rStyle w:val="Hyperlink"/>
        </w:rPr>
        <w:t>George.Neyarapally@fda.hhs.gov</w:t>
      </w:r>
      <w:r>
        <w:fldChar w:fldCharType="end"/>
      </w:r>
    </w:p>
    <w:sectPr w:rsidRPr="00E215FA" w:rsidR="003F1C7A">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0A62C" w14:textId="77777777" w:rsidR="00B64565" w:rsidRDefault="00B64565">
      <w:r>
        <w:separator/>
      </w:r>
    </w:p>
  </w:endnote>
  <w:endnote w:type="continuationSeparator" w:id="0">
    <w:p w14:paraId="20100843" w14:textId="77777777" w:rsidR="00B64565" w:rsidRDefault="00B64565">
      <w:r>
        <w:continuationSeparator/>
      </w:r>
    </w:p>
  </w:endnote>
  <w:endnote w:type="continuationNotice" w:id="1">
    <w:p w14:paraId="4E3A263E" w14:textId="77777777" w:rsidR="00B64565" w:rsidRDefault="00B64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8F187" w14:textId="77777777" w:rsidR="00832B57" w:rsidRDefault="00832B5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B24E1" w14:textId="77777777" w:rsidR="00B64565" w:rsidRDefault="00B64565">
      <w:r>
        <w:separator/>
      </w:r>
    </w:p>
  </w:footnote>
  <w:footnote w:type="continuationSeparator" w:id="0">
    <w:p w14:paraId="585B624D" w14:textId="77777777" w:rsidR="00B64565" w:rsidRDefault="00B64565">
      <w:r>
        <w:continuationSeparator/>
      </w:r>
    </w:p>
  </w:footnote>
  <w:footnote w:type="continuationNotice" w:id="1">
    <w:p w14:paraId="08E7AE50" w14:textId="77777777" w:rsidR="00B64565" w:rsidRDefault="00B64565"/>
  </w:footnote>
  <w:footnote w:id="2">
    <w:p w14:paraId="2F4A09C9" w14:textId="63B2C54C" w:rsidR="002415CA" w:rsidRDefault="002415CA">
      <w:pPr>
        <w:pStyle w:val="FootnoteText"/>
      </w:pPr>
      <w:r>
        <w:rPr>
          <w:rStyle w:val="FootnoteReference"/>
        </w:rPr>
        <w:footnoteRef/>
      </w:r>
      <w:r w:rsidR="00757B40">
        <w:t>FDA</w:t>
      </w:r>
      <w:r w:rsidR="00424075">
        <w:t xml:space="preserve"> Website</w:t>
      </w:r>
      <w:r w:rsidR="00520F61">
        <w:t xml:space="preserve">: </w:t>
      </w:r>
      <w:bookmarkStart w:id="0" w:name="_Hlk83278504"/>
      <w:r w:rsidR="004807AA" w:rsidRPr="00BD7079">
        <w:fldChar w:fldCharType="begin"/>
      </w:r>
      <w:r w:rsidR="004807AA" w:rsidRPr="00BD7079">
        <w:instrText xml:space="preserve"> HYPERLINK "https://www.fda.gov/drugs/drug-safety-and-availability/risk-evaluation-and-mitigation-strategies-rems" </w:instrText>
      </w:r>
      <w:r w:rsidR="004807AA" w:rsidRPr="00BD7079">
        <w:fldChar w:fldCharType="separate"/>
      </w:r>
      <w:r w:rsidR="00463B51" w:rsidRPr="00BD7079">
        <w:rPr>
          <w:rStyle w:val="Hyperlink"/>
          <w:b/>
          <w:bCs/>
          <w:u w:val="none"/>
        </w:rPr>
        <w:t>Risk Evaluation and Mitigation Strategies</w:t>
      </w:r>
      <w:r w:rsidR="004807AA" w:rsidRPr="00BD7079">
        <w:rPr>
          <w:rStyle w:val="Hyperlink"/>
          <w:b/>
          <w:bCs/>
          <w:u w:val="none"/>
        </w:rPr>
        <w:fldChar w:fldCharType="end"/>
      </w:r>
      <w:bookmarkEnd w:id="0"/>
      <w:r w:rsidR="0067686F" w:rsidRPr="00BD7079">
        <w:rPr>
          <w:rStyle w:val="Hyperlink"/>
          <w:color w:val="auto"/>
          <w:u w:val="none"/>
        </w:rPr>
        <w:t>,</w:t>
      </w:r>
      <w:r w:rsidR="0067686F" w:rsidRPr="00BD7079">
        <w:rPr>
          <w:rStyle w:val="Hyperlink"/>
          <w:u w:val="none"/>
        </w:rPr>
        <w:t xml:space="preserve"> </w:t>
      </w:r>
      <w:r w:rsidR="0067686F" w:rsidRPr="00BD7079">
        <w:rPr>
          <w:rStyle w:val="Hyperlink"/>
          <w:color w:val="auto"/>
          <w:u w:val="none"/>
        </w:rPr>
        <w:t xml:space="preserve">Accessed on </w:t>
      </w:r>
      <w:r w:rsidR="00BD7079" w:rsidRPr="00BD7079">
        <w:rPr>
          <w:rStyle w:val="Hyperlink"/>
          <w:color w:val="auto"/>
          <w:u w:val="none"/>
        </w:rPr>
        <w:t>Oct. 25</w:t>
      </w:r>
      <w:r w:rsidR="0067686F" w:rsidRPr="00BD7079">
        <w:rPr>
          <w:rStyle w:val="Hyperlink"/>
          <w:color w:val="auto"/>
          <w:u w:val="none"/>
        </w:rPr>
        <w:t>, 2021</w:t>
      </w:r>
    </w:p>
  </w:footnote>
  <w:footnote w:id="3">
    <w:p w14:paraId="179BF1BE" w14:textId="77777777" w:rsidR="00BD7079" w:rsidRPr="00BD7079" w:rsidRDefault="00BD7079" w:rsidP="00BD7079">
      <w:pPr>
        <w:pStyle w:val="EndNoteBibliography"/>
        <w:ind w:left="720" w:hanging="720"/>
        <w:rPr>
          <w:rFonts w:ascii="Times New Roman" w:hAnsi="Times New Roman" w:cs="Times New Roman"/>
          <w:noProof/>
          <w:sz w:val="20"/>
          <w:szCs w:val="20"/>
        </w:rPr>
      </w:pPr>
      <w:r w:rsidRPr="00BD7079">
        <w:rPr>
          <w:rStyle w:val="FootnoteReference"/>
          <w:rFonts w:ascii="Times New Roman" w:hAnsi="Times New Roman" w:cs="Times New Roman"/>
          <w:sz w:val="20"/>
          <w:szCs w:val="20"/>
        </w:rPr>
        <w:footnoteRef/>
      </w:r>
      <w:r w:rsidRPr="00BD7079">
        <w:rPr>
          <w:rFonts w:ascii="Times New Roman" w:hAnsi="Times New Roman" w:cs="Times New Roman"/>
          <w:sz w:val="20"/>
          <w:szCs w:val="20"/>
        </w:rPr>
        <w:t xml:space="preserve"> </w:t>
      </w:r>
      <w:r w:rsidRPr="00BD7079">
        <w:rPr>
          <w:rFonts w:ascii="Times New Roman" w:hAnsi="Times New Roman" w:cs="Times New Roman"/>
          <w:noProof/>
          <w:sz w:val="20"/>
          <w:szCs w:val="20"/>
        </w:rPr>
        <w:t xml:space="preserve">Kesselheim AS, McGraw SA, Dejene SZ, et al. Patient and Physician Perceptions of Drug Safety Information for Sleep Aids: A Qualitative Study. </w:t>
      </w:r>
      <w:r w:rsidRPr="00BD7079">
        <w:rPr>
          <w:rFonts w:ascii="Times New Roman" w:hAnsi="Times New Roman" w:cs="Times New Roman"/>
          <w:i/>
          <w:noProof/>
          <w:sz w:val="20"/>
          <w:szCs w:val="20"/>
        </w:rPr>
        <w:t xml:space="preserve">Drug Saf. </w:t>
      </w:r>
      <w:r w:rsidRPr="00BD7079">
        <w:rPr>
          <w:rFonts w:ascii="Times New Roman" w:hAnsi="Times New Roman" w:cs="Times New Roman"/>
          <w:noProof/>
          <w:sz w:val="20"/>
          <w:szCs w:val="20"/>
        </w:rPr>
        <w:t>2017;40(6):531-542.</w:t>
      </w:r>
    </w:p>
    <w:p w14:paraId="4774A8BE" w14:textId="5495BA53" w:rsidR="00BD7079" w:rsidRDefault="00BD707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135C0"/>
    <w:multiLevelType w:val="hybridMultilevel"/>
    <w:tmpl w:val="ACDC1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30463E0"/>
    <w:multiLevelType w:val="multilevel"/>
    <w:tmpl w:val="C5A8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E722F63"/>
    <w:multiLevelType w:val="multilevel"/>
    <w:tmpl w:val="4404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2"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A5639C6"/>
    <w:multiLevelType w:val="multilevel"/>
    <w:tmpl w:val="237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2C0038"/>
    <w:multiLevelType w:val="hybridMultilevel"/>
    <w:tmpl w:val="13563C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3E79AB"/>
    <w:multiLevelType w:val="multilevel"/>
    <w:tmpl w:val="D64EE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E3AEB"/>
    <w:multiLevelType w:val="hybridMultilevel"/>
    <w:tmpl w:val="26F29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024F46"/>
    <w:multiLevelType w:val="hybridMultilevel"/>
    <w:tmpl w:val="C8E45B46"/>
    <w:lvl w:ilvl="0" w:tplc="77903D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4F72E3"/>
    <w:multiLevelType w:val="hybridMultilevel"/>
    <w:tmpl w:val="625E1C16"/>
    <w:lvl w:ilvl="0" w:tplc="C8B67EC4">
      <w:start w:val="1"/>
      <w:numFmt w:val="decimal"/>
      <w:lvlText w:val="%1)"/>
      <w:lvlJc w:val="left"/>
      <w:pPr>
        <w:ind w:left="1380" w:hanging="360"/>
      </w:pPr>
      <w:rPr>
        <w:rFonts w:ascii="Times New Roman" w:eastAsia="Arial" w:hAnsi="Times New Roman" w:cs="Times New Roman" w:hint="default"/>
        <w:spacing w:val="0"/>
        <w:w w:val="99"/>
        <w:sz w:val="22"/>
        <w:szCs w:val="22"/>
        <w:lang w:val="en-US" w:eastAsia="en-US" w:bidi="en-US"/>
      </w:rPr>
    </w:lvl>
    <w:lvl w:ilvl="1" w:tplc="FA36B508">
      <w:numFmt w:val="bullet"/>
      <w:lvlText w:val="•"/>
      <w:lvlJc w:val="left"/>
      <w:pPr>
        <w:ind w:left="2382" w:hanging="360"/>
      </w:pPr>
      <w:rPr>
        <w:rFonts w:hint="default"/>
        <w:lang w:val="en-US" w:eastAsia="en-US" w:bidi="en-US"/>
      </w:rPr>
    </w:lvl>
    <w:lvl w:ilvl="2" w:tplc="84809094">
      <w:numFmt w:val="bullet"/>
      <w:lvlText w:val="•"/>
      <w:lvlJc w:val="left"/>
      <w:pPr>
        <w:ind w:left="3384" w:hanging="360"/>
      </w:pPr>
      <w:rPr>
        <w:rFonts w:hint="default"/>
        <w:lang w:val="en-US" w:eastAsia="en-US" w:bidi="en-US"/>
      </w:rPr>
    </w:lvl>
    <w:lvl w:ilvl="3" w:tplc="E5B63BEA">
      <w:numFmt w:val="bullet"/>
      <w:lvlText w:val="•"/>
      <w:lvlJc w:val="left"/>
      <w:pPr>
        <w:ind w:left="4386" w:hanging="360"/>
      </w:pPr>
      <w:rPr>
        <w:rFonts w:hint="default"/>
        <w:lang w:val="en-US" w:eastAsia="en-US" w:bidi="en-US"/>
      </w:rPr>
    </w:lvl>
    <w:lvl w:ilvl="4" w:tplc="F3AE1A44">
      <w:numFmt w:val="bullet"/>
      <w:lvlText w:val="•"/>
      <w:lvlJc w:val="left"/>
      <w:pPr>
        <w:ind w:left="5388" w:hanging="360"/>
      </w:pPr>
      <w:rPr>
        <w:rFonts w:hint="default"/>
        <w:lang w:val="en-US" w:eastAsia="en-US" w:bidi="en-US"/>
      </w:rPr>
    </w:lvl>
    <w:lvl w:ilvl="5" w:tplc="20F265FC">
      <w:numFmt w:val="bullet"/>
      <w:lvlText w:val="•"/>
      <w:lvlJc w:val="left"/>
      <w:pPr>
        <w:ind w:left="6390" w:hanging="360"/>
      </w:pPr>
      <w:rPr>
        <w:rFonts w:hint="default"/>
        <w:lang w:val="en-US" w:eastAsia="en-US" w:bidi="en-US"/>
      </w:rPr>
    </w:lvl>
    <w:lvl w:ilvl="6" w:tplc="D5D850AE">
      <w:numFmt w:val="bullet"/>
      <w:lvlText w:val="•"/>
      <w:lvlJc w:val="left"/>
      <w:pPr>
        <w:ind w:left="7392" w:hanging="360"/>
      </w:pPr>
      <w:rPr>
        <w:rFonts w:hint="default"/>
        <w:lang w:val="en-US" w:eastAsia="en-US" w:bidi="en-US"/>
      </w:rPr>
    </w:lvl>
    <w:lvl w:ilvl="7" w:tplc="958A7E1A">
      <w:numFmt w:val="bullet"/>
      <w:lvlText w:val="•"/>
      <w:lvlJc w:val="left"/>
      <w:pPr>
        <w:ind w:left="8394" w:hanging="360"/>
      </w:pPr>
      <w:rPr>
        <w:rFonts w:hint="default"/>
        <w:lang w:val="en-US" w:eastAsia="en-US" w:bidi="en-US"/>
      </w:rPr>
    </w:lvl>
    <w:lvl w:ilvl="8" w:tplc="3D4CD9BE">
      <w:numFmt w:val="bullet"/>
      <w:lvlText w:val="•"/>
      <w:lvlJc w:val="left"/>
      <w:pPr>
        <w:ind w:left="9396" w:hanging="360"/>
      </w:pPr>
      <w:rPr>
        <w:rFonts w:hint="default"/>
        <w:lang w:val="en-US" w:eastAsia="en-US" w:bidi="en-US"/>
      </w:rPr>
    </w:lvl>
  </w:abstractNum>
  <w:abstractNum w:abstractNumId="22"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7010FDA"/>
    <w:multiLevelType w:val="hybridMultilevel"/>
    <w:tmpl w:val="7F8A4D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964855"/>
    <w:multiLevelType w:val="hybridMultilevel"/>
    <w:tmpl w:val="4482C6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15:restartNumberingAfterBreak="0">
    <w:nsid w:val="7CC1475A"/>
    <w:multiLevelType w:val="multilevel"/>
    <w:tmpl w:val="000E8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8"/>
  </w:num>
  <w:num w:numId="3">
    <w:abstractNumId w:val="27"/>
  </w:num>
  <w:num w:numId="4">
    <w:abstractNumId w:val="30"/>
  </w:num>
  <w:num w:numId="5">
    <w:abstractNumId w:val="6"/>
  </w:num>
  <w:num w:numId="6">
    <w:abstractNumId w:val="4"/>
  </w:num>
  <w:num w:numId="7">
    <w:abstractNumId w:val="14"/>
  </w:num>
  <w:num w:numId="8">
    <w:abstractNumId w:val="25"/>
  </w:num>
  <w:num w:numId="9">
    <w:abstractNumId w:val="15"/>
  </w:num>
  <w:num w:numId="10">
    <w:abstractNumId w:val="5"/>
  </w:num>
  <w:num w:numId="11">
    <w:abstractNumId w:val="8"/>
  </w:num>
  <w:num w:numId="12">
    <w:abstractNumId w:val="10"/>
  </w:num>
  <w:num w:numId="13">
    <w:abstractNumId w:val="1"/>
  </w:num>
  <w:num w:numId="14">
    <w:abstractNumId w:val="12"/>
  </w:num>
  <w:num w:numId="15">
    <w:abstractNumId w:val="26"/>
  </w:num>
  <w:num w:numId="16">
    <w:abstractNumId w:val="22"/>
  </w:num>
  <w:num w:numId="17">
    <w:abstractNumId w:val="0"/>
  </w:num>
  <w:num w:numId="18">
    <w:abstractNumId w:val="11"/>
  </w:num>
  <w:num w:numId="19">
    <w:abstractNumId w:val="9"/>
  </w:num>
  <w:num w:numId="20">
    <w:abstractNumId w:val="20"/>
  </w:num>
  <w:num w:numId="21">
    <w:abstractNumId w:val="17"/>
  </w:num>
  <w:num w:numId="22">
    <w:abstractNumId w:val="19"/>
  </w:num>
  <w:num w:numId="23">
    <w:abstractNumId w:val="21"/>
  </w:num>
  <w:num w:numId="24">
    <w:abstractNumId w:val="23"/>
  </w:num>
  <w:num w:numId="25">
    <w:abstractNumId w:val="7"/>
  </w:num>
  <w:num w:numId="26">
    <w:abstractNumId w:val="13"/>
  </w:num>
  <w:num w:numId="27">
    <w:abstractNumId w:val="3"/>
  </w:num>
  <w:num w:numId="28">
    <w:abstractNumId w:val="2"/>
  </w:num>
  <w:num w:numId="29">
    <w:abstractNumId w:val="24"/>
  </w:num>
  <w:num w:numId="30">
    <w:abstractNumId w:val="29"/>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grammar="clean"/>
  <w:defaultTabStop w:val="72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08DA"/>
    <w:rsid w:val="00005D48"/>
    <w:rsid w:val="00006C78"/>
    <w:rsid w:val="00012D4B"/>
    <w:rsid w:val="00012D87"/>
    <w:rsid w:val="000146AE"/>
    <w:rsid w:val="000165E4"/>
    <w:rsid w:val="00020F17"/>
    <w:rsid w:val="00023618"/>
    <w:rsid w:val="0003505F"/>
    <w:rsid w:val="00035B5C"/>
    <w:rsid w:val="000368A2"/>
    <w:rsid w:val="000372CF"/>
    <w:rsid w:val="000411A4"/>
    <w:rsid w:val="000503F6"/>
    <w:rsid w:val="00084C2E"/>
    <w:rsid w:val="00084EF1"/>
    <w:rsid w:val="000857BB"/>
    <w:rsid w:val="000872F1"/>
    <w:rsid w:val="00087A80"/>
    <w:rsid w:val="000903B9"/>
    <w:rsid w:val="00091CF4"/>
    <w:rsid w:val="00093D32"/>
    <w:rsid w:val="00095148"/>
    <w:rsid w:val="00096C94"/>
    <w:rsid w:val="0009729A"/>
    <w:rsid w:val="000A3718"/>
    <w:rsid w:val="000A383E"/>
    <w:rsid w:val="000A43BC"/>
    <w:rsid w:val="000A46D2"/>
    <w:rsid w:val="000A525C"/>
    <w:rsid w:val="000B1952"/>
    <w:rsid w:val="000B34FC"/>
    <w:rsid w:val="000B5B95"/>
    <w:rsid w:val="000C3259"/>
    <w:rsid w:val="000C386B"/>
    <w:rsid w:val="000C46CA"/>
    <w:rsid w:val="000C5EF1"/>
    <w:rsid w:val="000E2391"/>
    <w:rsid w:val="000E2A3E"/>
    <w:rsid w:val="000E2FAA"/>
    <w:rsid w:val="000E674B"/>
    <w:rsid w:val="000E7C99"/>
    <w:rsid w:val="000E7D76"/>
    <w:rsid w:val="000F170B"/>
    <w:rsid w:val="000F1CDA"/>
    <w:rsid w:val="000F2311"/>
    <w:rsid w:val="000F7340"/>
    <w:rsid w:val="0010508B"/>
    <w:rsid w:val="00105C05"/>
    <w:rsid w:val="00110747"/>
    <w:rsid w:val="001221E6"/>
    <w:rsid w:val="001223A3"/>
    <w:rsid w:val="00125D37"/>
    <w:rsid w:val="00126D06"/>
    <w:rsid w:val="00132EF8"/>
    <w:rsid w:val="0013495D"/>
    <w:rsid w:val="001356AA"/>
    <w:rsid w:val="00135B9C"/>
    <w:rsid w:val="00140343"/>
    <w:rsid w:val="00150862"/>
    <w:rsid w:val="00164B6F"/>
    <w:rsid w:val="001655C0"/>
    <w:rsid w:val="00165D41"/>
    <w:rsid w:val="001677D9"/>
    <w:rsid w:val="00172A6E"/>
    <w:rsid w:val="0017724E"/>
    <w:rsid w:val="001817CB"/>
    <w:rsid w:val="001822F7"/>
    <w:rsid w:val="00182BCE"/>
    <w:rsid w:val="001874E8"/>
    <w:rsid w:val="00190AA2"/>
    <w:rsid w:val="00190D2B"/>
    <w:rsid w:val="00190D79"/>
    <w:rsid w:val="00191D95"/>
    <w:rsid w:val="00193A1E"/>
    <w:rsid w:val="00197FC9"/>
    <w:rsid w:val="001A07D9"/>
    <w:rsid w:val="001A68F4"/>
    <w:rsid w:val="001A6E17"/>
    <w:rsid w:val="001B0DE5"/>
    <w:rsid w:val="001C0117"/>
    <w:rsid w:val="001C4EC7"/>
    <w:rsid w:val="001D19B4"/>
    <w:rsid w:val="001D6068"/>
    <w:rsid w:val="001E05BF"/>
    <w:rsid w:val="001E0E7C"/>
    <w:rsid w:val="001E198B"/>
    <w:rsid w:val="001E3742"/>
    <w:rsid w:val="001E4519"/>
    <w:rsid w:val="001E6418"/>
    <w:rsid w:val="001F09C0"/>
    <w:rsid w:val="001F3290"/>
    <w:rsid w:val="001F3421"/>
    <w:rsid w:val="0020194F"/>
    <w:rsid w:val="00202504"/>
    <w:rsid w:val="00202E1D"/>
    <w:rsid w:val="00206314"/>
    <w:rsid w:val="002121F4"/>
    <w:rsid w:val="00221723"/>
    <w:rsid w:val="0022571A"/>
    <w:rsid w:val="0024039A"/>
    <w:rsid w:val="002415CA"/>
    <w:rsid w:val="00242573"/>
    <w:rsid w:val="00255B16"/>
    <w:rsid w:val="00261565"/>
    <w:rsid w:val="00261E8C"/>
    <w:rsid w:val="0026320D"/>
    <w:rsid w:val="00264C93"/>
    <w:rsid w:val="00272823"/>
    <w:rsid w:val="00272A62"/>
    <w:rsid w:val="00272EDC"/>
    <w:rsid w:val="00280997"/>
    <w:rsid w:val="00280AC5"/>
    <w:rsid w:val="00281A30"/>
    <w:rsid w:val="00281B2C"/>
    <w:rsid w:val="00281ED4"/>
    <w:rsid w:val="002853EB"/>
    <w:rsid w:val="0029494F"/>
    <w:rsid w:val="002A3B49"/>
    <w:rsid w:val="002A7043"/>
    <w:rsid w:val="002C43D9"/>
    <w:rsid w:val="002C57A7"/>
    <w:rsid w:val="002C75D8"/>
    <w:rsid w:val="002D4646"/>
    <w:rsid w:val="002E2EB1"/>
    <w:rsid w:val="002F0A68"/>
    <w:rsid w:val="002F1731"/>
    <w:rsid w:val="002F5329"/>
    <w:rsid w:val="002F5492"/>
    <w:rsid w:val="002F61FC"/>
    <w:rsid w:val="002F733A"/>
    <w:rsid w:val="003073BF"/>
    <w:rsid w:val="00310756"/>
    <w:rsid w:val="00331C9C"/>
    <w:rsid w:val="00337948"/>
    <w:rsid w:val="00337F70"/>
    <w:rsid w:val="003428FB"/>
    <w:rsid w:val="00346DEA"/>
    <w:rsid w:val="0035310A"/>
    <w:rsid w:val="00357045"/>
    <w:rsid w:val="00363CF2"/>
    <w:rsid w:val="00364051"/>
    <w:rsid w:val="003762F7"/>
    <w:rsid w:val="00383F4E"/>
    <w:rsid w:val="00390833"/>
    <w:rsid w:val="0039095C"/>
    <w:rsid w:val="00396214"/>
    <w:rsid w:val="003A2ED5"/>
    <w:rsid w:val="003A2F10"/>
    <w:rsid w:val="003A6832"/>
    <w:rsid w:val="003B58CD"/>
    <w:rsid w:val="003B7ADD"/>
    <w:rsid w:val="003C48C4"/>
    <w:rsid w:val="003C5B5B"/>
    <w:rsid w:val="003C678E"/>
    <w:rsid w:val="003C79A5"/>
    <w:rsid w:val="003D022B"/>
    <w:rsid w:val="003D0EC1"/>
    <w:rsid w:val="003E0DAC"/>
    <w:rsid w:val="003F117D"/>
    <w:rsid w:val="003F1C7A"/>
    <w:rsid w:val="003F2DD9"/>
    <w:rsid w:val="003F607F"/>
    <w:rsid w:val="00402F6C"/>
    <w:rsid w:val="00411149"/>
    <w:rsid w:val="00413CC1"/>
    <w:rsid w:val="00413D78"/>
    <w:rsid w:val="00415A18"/>
    <w:rsid w:val="00423A24"/>
    <w:rsid w:val="00424075"/>
    <w:rsid w:val="00433D5B"/>
    <w:rsid w:val="0043542C"/>
    <w:rsid w:val="00450D75"/>
    <w:rsid w:val="00454B1A"/>
    <w:rsid w:val="00456550"/>
    <w:rsid w:val="004612E4"/>
    <w:rsid w:val="00463B51"/>
    <w:rsid w:val="004725B6"/>
    <w:rsid w:val="00477836"/>
    <w:rsid w:val="004807AA"/>
    <w:rsid w:val="0048324D"/>
    <w:rsid w:val="00485924"/>
    <w:rsid w:val="004929F1"/>
    <w:rsid w:val="0049419A"/>
    <w:rsid w:val="00496172"/>
    <w:rsid w:val="004A2201"/>
    <w:rsid w:val="004B694D"/>
    <w:rsid w:val="004B7B5A"/>
    <w:rsid w:val="004C7090"/>
    <w:rsid w:val="004D047C"/>
    <w:rsid w:val="004E2103"/>
    <w:rsid w:val="005016A9"/>
    <w:rsid w:val="00504502"/>
    <w:rsid w:val="0051082C"/>
    <w:rsid w:val="00512789"/>
    <w:rsid w:val="00512E74"/>
    <w:rsid w:val="0052010F"/>
    <w:rsid w:val="00520F61"/>
    <w:rsid w:val="00521818"/>
    <w:rsid w:val="00521F03"/>
    <w:rsid w:val="00525C79"/>
    <w:rsid w:val="0052796B"/>
    <w:rsid w:val="00527F6C"/>
    <w:rsid w:val="00531CB0"/>
    <w:rsid w:val="00531E89"/>
    <w:rsid w:val="005418B5"/>
    <w:rsid w:val="005429B3"/>
    <w:rsid w:val="00543544"/>
    <w:rsid w:val="00545F15"/>
    <w:rsid w:val="0055202B"/>
    <w:rsid w:val="005541B8"/>
    <w:rsid w:val="005541F6"/>
    <w:rsid w:val="00555460"/>
    <w:rsid w:val="005622A3"/>
    <w:rsid w:val="00562B5C"/>
    <w:rsid w:val="005726F3"/>
    <w:rsid w:val="00573820"/>
    <w:rsid w:val="005841D2"/>
    <w:rsid w:val="00584653"/>
    <w:rsid w:val="00595C95"/>
    <w:rsid w:val="005A18A4"/>
    <w:rsid w:val="005A221E"/>
    <w:rsid w:val="005A34D0"/>
    <w:rsid w:val="005A60BF"/>
    <w:rsid w:val="005B018D"/>
    <w:rsid w:val="005B1BC9"/>
    <w:rsid w:val="005B31D9"/>
    <w:rsid w:val="005C3C3B"/>
    <w:rsid w:val="005C430C"/>
    <w:rsid w:val="005C6A05"/>
    <w:rsid w:val="005D01D9"/>
    <w:rsid w:val="005D0440"/>
    <w:rsid w:val="005D3EC9"/>
    <w:rsid w:val="005D574F"/>
    <w:rsid w:val="005E0DDF"/>
    <w:rsid w:val="005E23BA"/>
    <w:rsid w:val="005E3386"/>
    <w:rsid w:val="005E3DB6"/>
    <w:rsid w:val="005E4981"/>
    <w:rsid w:val="005E6AA0"/>
    <w:rsid w:val="005E7428"/>
    <w:rsid w:val="005F111B"/>
    <w:rsid w:val="005F233D"/>
    <w:rsid w:val="005F244F"/>
    <w:rsid w:val="005F6C7B"/>
    <w:rsid w:val="00602B5B"/>
    <w:rsid w:val="00602CB4"/>
    <w:rsid w:val="00605FCA"/>
    <w:rsid w:val="00607046"/>
    <w:rsid w:val="006073F7"/>
    <w:rsid w:val="0061093A"/>
    <w:rsid w:val="00615DE0"/>
    <w:rsid w:val="00633687"/>
    <w:rsid w:val="00644197"/>
    <w:rsid w:val="006462D9"/>
    <w:rsid w:val="00651C4C"/>
    <w:rsid w:val="0065289B"/>
    <w:rsid w:val="00653B3C"/>
    <w:rsid w:val="00653E39"/>
    <w:rsid w:val="00654469"/>
    <w:rsid w:val="006549F5"/>
    <w:rsid w:val="00655563"/>
    <w:rsid w:val="006605F4"/>
    <w:rsid w:val="0066760E"/>
    <w:rsid w:val="0067686F"/>
    <w:rsid w:val="006776FD"/>
    <w:rsid w:val="00677811"/>
    <w:rsid w:val="00677DA6"/>
    <w:rsid w:val="00682641"/>
    <w:rsid w:val="00686D9F"/>
    <w:rsid w:val="00687287"/>
    <w:rsid w:val="00692AAD"/>
    <w:rsid w:val="00696316"/>
    <w:rsid w:val="00696B03"/>
    <w:rsid w:val="006B3261"/>
    <w:rsid w:val="006B4580"/>
    <w:rsid w:val="006C134E"/>
    <w:rsid w:val="006C24DF"/>
    <w:rsid w:val="006D3B31"/>
    <w:rsid w:val="006D533B"/>
    <w:rsid w:val="006E48B8"/>
    <w:rsid w:val="006E529A"/>
    <w:rsid w:val="006F0F52"/>
    <w:rsid w:val="006F7E3A"/>
    <w:rsid w:val="0070710A"/>
    <w:rsid w:val="007100A9"/>
    <w:rsid w:val="007206FD"/>
    <w:rsid w:val="007242B8"/>
    <w:rsid w:val="0072545C"/>
    <w:rsid w:val="00726F35"/>
    <w:rsid w:val="007342FB"/>
    <w:rsid w:val="0073562F"/>
    <w:rsid w:val="00736332"/>
    <w:rsid w:val="007424EB"/>
    <w:rsid w:val="0074463A"/>
    <w:rsid w:val="00744F5B"/>
    <w:rsid w:val="0074607F"/>
    <w:rsid w:val="00750EF3"/>
    <w:rsid w:val="007513E3"/>
    <w:rsid w:val="00753B37"/>
    <w:rsid w:val="00757B40"/>
    <w:rsid w:val="00760A54"/>
    <w:rsid w:val="00761D61"/>
    <w:rsid w:val="007679D3"/>
    <w:rsid w:val="007713B3"/>
    <w:rsid w:val="0077335B"/>
    <w:rsid w:val="00774F6F"/>
    <w:rsid w:val="00776440"/>
    <w:rsid w:val="007837DC"/>
    <w:rsid w:val="00784692"/>
    <w:rsid w:val="00784B5B"/>
    <w:rsid w:val="007859CC"/>
    <w:rsid w:val="00785EAE"/>
    <w:rsid w:val="00790079"/>
    <w:rsid w:val="0079254E"/>
    <w:rsid w:val="00792EBB"/>
    <w:rsid w:val="007957EC"/>
    <w:rsid w:val="00796760"/>
    <w:rsid w:val="007A4331"/>
    <w:rsid w:val="007B045B"/>
    <w:rsid w:val="007B399D"/>
    <w:rsid w:val="007B5F94"/>
    <w:rsid w:val="007B777E"/>
    <w:rsid w:val="007C01D1"/>
    <w:rsid w:val="007C1D27"/>
    <w:rsid w:val="007C2716"/>
    <w:rsid w:val="007D5AF8"/>
    <w:rsid w:val="007E3587"/>
    <w:rsid w:val="007F7888"/>
    <w:rsid w:val="00812532"/>
    <w:rsid w:val="00813F8D"/>
    <w:rsid w:val="0081470C"/>
    <w:rsid w:val="00815709"/>
    <w:rsid w:val="00816695"/>
    <w:rsid w:val="008225CC"/>
    <w:rsid w:val="00824F5F"/>
    <w:rsid w:val="00830839"/>
    <w:rsid w:val="008318A7"/>
    <w:rsid w:val="00832B57"/>
    <w:rsid w:val="00834B2F"/>
    <w:rsid w:val="00834BDD"/>
    <w:rsid w:val="00835717"/>
    <w:rsid w:val="008371AA"/>
    <w:rsid w:val="008402FD"/>
    <w:rsid w:val="00840740"/>
    <w:rsid w:val="008478E1"/>
    <w:rsid w:val="008519EE"/>
    <w:rsid w:val="00853BC0"/>
    <w:rsid w:val="008658FA"/>
    <w:rsid w:val="008728F6"/>
    <w:rsid w:val="00874231"/>
    <w:rsid w:val="0087437D"/>
    <w:rsid w:val="00875103"/>
    <w:rsid w:val="00882AE4"/>
    <w:rsid w:val="00885D26"/>
    <w:rsid w:val="008863D0"/>
    <w:rsid w:val="00887FDC"/>
    <w:rsid w:val="00890604"/>
    <w:rsid w:val="00890986"/>
    <w:rsid w:val="00891C6D"/>
    <w:rsid w:val="00892ACE"/>
    <w:rsid w:val="008A0BD0"/>
    <w:rsid w:val="008A4976"/>
    <w:rsid w:val="008B23F8"/>
    <w:rsid w:val="008B41FD"/>
    <w:rsid w:val="008B4DE4"/>
    <w:rsid w:val="008C5993"/>
    <w:rsid w:val="008D08E6"/>
    <w:rsid w:val="008D2771"/>
    <w:rsid w:val="008D4738"/>
    <w:rsid w:val="008D49B6"/>
    <w:rsid w:val="008D565E"/>
    <w:rsid w:val="008D7540"/>
    <w:rsid w:val="008E6145"/>
    <w:rsid w:val="008F0979"/>
    <w:rsid w:val="008F59DF"/>
    <w:rsid w:val="008F6E91"/>
    <w:rsid w:val="009064C5"/>
    <w:rsid w:val="00910CEE"/>
    <w:rsid w:val="0091368D"/>
    <w:rsid w:val="0091537E"/>
    <w:rsid w:val="00915E13"/>
    <w:rsid w:val="00921518"/>
    <w:rsid w:val="00921BB0"/>
    <w:rsid w:val="00923212"/>
    <w:rsid w:val="0093BEC4"/>
    <w:rsid w:val="009436CD"/>
    <w:rsid w:val="009477A1"/>
    <w:rsid w:val="00955EF6"/>
    <w:rsid w:val="0096489D"/>
    <w:rsid w:val="009678B0"/>
    <w:rsid w:val="00971543"/>
    <w:rsid w:val="00976BD4"/>
    <w:rsid w:val="00983CD6"/>
    <w:rsid w:val="00985667"/>
    <w:rsid w:val="00991078"/>
    <w:rsid w:val="00992D72"/>
    <w:rsid w:val="00996C78"/>
    <w:rsid w:val="00997FCF"/>
    <w:rsid w:val="009B0C30"/>
    <w:rsid w:val="009B4232"/>
    <w:rsid w:val="009B6232"/>
    <w:rsid w:val="009C3A82"/>
    <w:rsid w:val="009C60A3"/>
    <w:rsid w:val="009C65B6"/>
    <w:rsid w:val="009C7A9F"/>
    <w:rsid w:val="009D24C4"/>
    <w:rsid w:val="009D3BC6"/>
    <w:rsid w:val="009D3D7D"/>
    <w:rsid w:val="009D64AA"/>
    <w:rsid w:val="009D6B7A"/>
    <w:rsid w:val="009E0D6E"/>
    <w:rsid w:val="009E6FFF"/>
    <w:rsid w:val="009F03DE"/>
    <w:rsid w:val="009F2E3D"/>
    <w:rsid w:val="009F5788"/>
    <w:rsid w:val="009F6EB2"/>
    <w:rsid w:val="00A015ED"/>
    <w:rsid w:val="00A175DD"/>
    <w:rsid w:val="00A22D50"/>
    <w:rsid w:val="00A25982"/>
    <w:rsid w:val="00A26BA5"/>
    <w:rsid w:val="00A30B07"/>
    <w:rsid w:val="00A33F7F"/>
    <w:rsid w:val="00A366BD"/>
    <w:rsid w:val="00A41746"/>
    <w:rsid w:val="00A44BF9"/>
    <w:rsid w:val="00A46671"/>
    <w:rsid w:val="00A476E3"/>
    <w:rsid w:val="00A53BA2"/>
    <w:rsid w:val="00A571CC"/>
    <w:rsid w:val="00A5725A"/>
    <w:rsid w:val="00A63790"/>
    <w:rsid w:val="00A7421A"/>
    <w:rsid w:val="00A77790"/>
    <w:rsid w:val="00A81C92"/>
    <w:rsid w:val="00A82DCC"/>
    <w:rsid w:val="00A85942"/>
    <w:rsid w:val="00A90360"/>
    <w:rsid w:val="00A90756"/>
    <w:rsid w:val="00AA0314"/>
    <w:rsid w:val="00AA1E76"/>
    <w:rsid w:val="00AA2A5E"/>
    <w:rsid w:val="00AA58F9"/>
    <w:rsid w:val="00AC2874"/>
    <w:rsid w:val="00AC4CEB"/>
    <w:rsid w:val="00AC7172"/>
    <w:rsid w:val="00AD074B"/>
    <w:rsid w:val="00AD578A"/>
    <w:rsid w:val="00AE2C02"/>
    <w:rsid w:val="00AF5BD0"/>
    <w:rsid w:val="00AF5D87"/>
    <w:rsid w:val="00AF5E47"/>
    <w:rsid w:val="00B17F2E"/>
    <w:rsid w:val="00B20CC7"/>
    <w:rsid w:val="00B21387"/>
    <w:rsid w:val="00B27E3D"/>
    <w:rsid w:val="00B30A67"/>
    <w:rsid w:val="00B31236"/>
    <w:rsid w:val="00B330AE"/>
    <w:rsid w:val="00B335A0"/>
    <w:rsid w:val="00B378CA"/>
    <w:rsid w:val="00B41016"/>
    <w:rsid w:val="00B412FF"/>
    <w:rsid w:val="00B57732"/>
    <w:rsid w:val="00B57837"/>
    <w:rsid w:val="00B64565"/>
    <w:rsid w:val="00B762F5"/>
    <w:rsid w:val="00B83DBA"/>
    <w:rsid w:val="00B9139D"/>
    <w:rsid w:val="00B9344F"/>
    <w:rsid w:val="00B93FBA"/>
    <w:rsid w:val="00B95021"/>
    <w:rsid w:val="00BA453B"/>
    <w:rsid w:val="00BB62F3"/>
    <w:rsid w:val="00BC3385"/>
    <w:rsid w:val="00BC49BE"/>
    <w:rsid w:val="00BD1BEE"/>
    <w:rsid w:val="00BD2002"/>
    <w:rsid w:val="00BD2A9F"/>
    <w:rsid w:val="00BD7079"/>
    <w:rsid w:val="00BE2B88"/>
    <w:rsid w:val="00BE61D3"/>
    <w:rsid w:val="00BF0967"/>
    <w:rsid w:val="00BF507D"/>
    <w:rsid w:val="00BF7AEF"/>
    <w:rsid w:val="00C0047F"/>
    <w:rsid w:val="00C00FB9"/>
    <w:rsid w:val="00C0481E"/>
    <w:rsid w:val="00C04B56"/>
    <w:rsid w:val="00C0615D"/>
    <w:rsid w:val="00C12513"/>
    <w:rsid w:val="00C128EB"/>
    <w:rsid w:val="00C13EA3"/>
    <w:rsid w:val="00C213D5"/>
    <w:rsid w:val="00C26DD5"/>
    <w:rsid w:val="00C27519"/>
    <w:rsid w:val="00C31E7A"/>
    <w:rsid w:val="00C40D15"/>
    <w:rsid w:val="00C42C50"/>
    <w:rsid w:val="00C43708"/>
    <w:rsid w:val="00C46EC5"/>
    <w:rsid w:val="00C51D7F"/>
    <w:rsid w:val="00C51F73"/>
    <w:rsid w:val="00C562CA"/>
    <w:rsid w:val="00C564C6"/>
    <w:rsid w:val="00C60C08"/>
    <w:rsid w:val="00C62019"/>
    <w:rsid w:val="00C655CD"/>
    <w:rsid w:val="00C73060"/>
    <w:rsid w:val="00C75839"/>
    <w:rsid w:val="00C76B30"/>
    <w:rsid w:val="00C82D06"/>
    <w:rsid w:val="00C83E9F"/>
    <w:rsid w:val="00C93823"/>
    <w:rsid w:val="00C94E65"/>
    <w:rsid w:val="00C96FB8"/>
    <w:rsid w:val="00CA28B6"/>
    <w:rsid w:val="00CB1D7F"/>
    <w:rsid w:val="00CB3393"/>
    <w:rsid w:val="00CB37E8"/>
    <w:rsid w:val="00CD2D8E"/>
    <w:rsid w:val="00CE57C2"/>
    <w:rsid w:val="00CF10F4"/>
    <w:rsid w:val="00CF2BC2"/>
    <w:rsid w:val="00CF777A"/>
    <w:rsid w:val="00D049A0"/>
    <w:rsid w:val="00D10336"/>
    <w:rsid w:val="00D1230C"/>
    <w:rsid w:val="00D1326F"/>
    <w:rsid w:val="00D16CBF"/>
    <w:rsid w:val="00D1703E"/>
    <w:rsid w:val="00D17316"/>
    <w:rsid w:val="00D232C2"/>
    <w:rsid w:val="00D276A0"/>
    <w:rsid w:val="00D3075C"/>
    <w:rsid w:val="00D340AB"/>
    <w:rsid w:val="00D3613C"/>
    <w:rsid w:val="00D3778E"/>
    <w:rsid w:val="00D406EC"/>
    <w:rsid w:val="00D45E0C"/>
    <w:rsid w:val="00D47BBE"/>
    <w:rsid w:val="00D5081E"/>
    <w:rsid w:val="00D52319"/>
    <w:rsid w:val="00D542D4"/>
    <w:rsid w:val="00D64CED"/>
    <w:rsid w:val="00D64E63"/>
    <w:rsid w:val="00D6673E"/>
    <w:rsid w:val="00D77013"/>
    <w:rsid w:val="00D7795A"/>
    <w:rsid w:val="00D87E68"/>
    <w:rsid w:val="00D9438A"/>
    <w:rsid w:val="00D97D41"/>
    <w:rsid w:val="00DA1EEE"/>
    <w:rsid w:val="00DB219B"/>
    <w:rsid w:val="00DC4461"/>
    <w:rsid w:val="00DC567F"/>
    <w:rsid w:val="00DC76EE"/>
    <w:rsid w:val="00DD1669"/>
    <w:rsid w:val="00DD1675"/>
    <w:rsid w:val="00DD1CCA"/>
    <w:rsid w:val="00DD39EF"/>
    <w:rsid w:val="00DD6106"/>
    <w:rsid w:val="00DE1035"/>
    <w:rsid w:val="00DE598C"/>
    <w:rsid w:val="00DF4250"/>
    <w:rsid w:val="00DF5AB3"/>
    <w:rsid w:val="00DF610B"/>
    <w:rsid w:val="00E00BFD"/>
    <w:rsid w:val="00E01ED8"/>
    <w:rsid w:val="00E039B8"/>
    <w:rsid w:val="00E13C0C"/>
    <w:rsid w:val="00E161B3"/>
    <w:rsid w:val="00E215FA"/>
    <w:rsid w:val="00E228FB"/>
    <w:rsid w:val="00E24F95"/>
    <w:rsid w:val="00E26798"/>
    <w:rsid w:val="00E269E6"/>
    <w:rsid w:val="00E3166E"/>
    <w:rsid w:val="00E32D7A"/>
    <w:rsid w:val="00E370B3"/>
    <w:rsid w:val="00E40777"/>
    <w:rsid w:val="00E45BA0"/>
    <w:rsid w:val="00E6088C"/>
    <w:rsid w:val="00E629FF"/>
    <w:rsid w:val="00E64301"/>
    <w:rsid w:val="00E65876"/>
    <w:rsid w:val="00E67867"/>
    <w:rsid w:val="00E74EC2"/>
    <w:rsid w:val="00E81894"/>
    <w:rsid w:val="00E836D8"/>
    <w:rsid w:val="00E85B3B"/>
    <w:rsid w:val="00E90EB0"/>
    <w:rsid w:val="00E92FBA"/>
    <w:rsid w:val="00E94994"/>
    <w:rsid w:val="00E962B3"/>
    <w:rsid w:val="00EA0586"/>
    <w:rsid w:val="00EA4994"/>
    <w:rsid w:val="00EA6A70"/>
    <w:rsid w:val="00EA71FB"/>
    <w:rsid w:val="00EB72D5"/>
    <w:rsid w:val="00EB78E9"/>
    <w:rsid w:val="00EC4BAB"/>
    <w:rsid w:val="00EC4BFD"/>
    <w:rsid w:val="00ED774B"/>
    <w:rsid w:val="00ED7AE2"/>
    <w:rsid w:val="00EE2769"/>
    <w:rsid w:val="00EE4E27"/>
    <w:rsid w:val="00EE56F1"/>
    <w:rsid w:val="00EE679F"/>
    <w:rsid w:val="00EE7334"/>
    <w:rsid w:val="00EF0A0E"/>
    <w:rsid w:val="00EF3630"/>
    <w:rsid w:val="00EF402F"/>
    <w:rsid w:val="00EF41EB"/>
    <w:rsid w:val="00EF4BD9"/>
    <w:rsid w:val="00EF60A4"/>
    <w:rsid w:val="00F06B30"/>
    <w:rsid w:val="00F10B9F"/>
    <w:rsid w:val="00F12AEE"/>
    <w:rsid w:val="00F17B07"/>
    <w:rsid w:val="00F20AE6"/>
    <w:rsid w:val="00F24CC4"/>
    <w:rsid w:val="00F25AC6"/>
    <w:rsid w:val="00F27155"/>
    <w:rsid w:val="00F3466F"/>
    <w:rsid w:val="00F3704A"/>
    <w:rsid w:val="00F4022A"/>
    <w:rsid w:val="00F461A3"/>
    <w:rsid w:val="00F476CE"/>
    <w:rsid w:val="00F52B03"/>
    <w:rsid w:val="00F54E83"/>
    <w:rsid w:val="00F56226"/>
    <w:rsid w:val="00F57CC9"/>
    <w:rsid w:val="00F61046"/>
    <w:rsid w:val="00F615D9"/>
    <w:rsid w:val="00F64E6C"/>
    <w:rsid w:val="00F657B3"/>
    <w:rsid w:val="00F65DB6"/>
    <w:rsid w:val="00F67C4A"/>
    <w:rsid w:val="00F75225"/>
    <w:rsid w:val="00F83881"/>
    <w:rsid w:val="00F8611F"/>
    <w:rsid w:val="00F957CA"/>
    <w:rsid w:val="00F967A7"/>
    <w:rsid w:val="00F97BB4"/>
    <w:rsid w:val="00FA2211"/>
    <w:rsid w:val="00FB5825"/>
    <w:rsid w:val="00FC1385"/>
    <w:rsid w:val="00FC2C58"/>
    <w:rsid w:val="00FC38C8"/>
    <w:rsid w:val="00FC6F1E"/>
    <w:rsid w:val="00FC794A"/>
    <w:rsid w:val="00FE1038"/>
    <w:rsid w:val="00FE1D5A"/>
    <w:rsid w:val="00FE45BF"/>
    <w:rsid w:val="00FE4FBE"/>
    <w:rsid w:val="00FE77D7"/>
    <w:rsid w:val="00FF1939"/>
    <w:rsid w:val="0D5E830D"/>
    <w:rsid w:val="2746C14B"/>
    <w:rsid w:val="42430BEE"/>
    <w:rsid w:val="48556FF6"/>
    <w:rsid w:val="5DD55FF3"/>
    <w:rsid w:val="687D3D20"/>
    <w:rsid w:val="6A69AE6E"/>
    <w:rsid w:val="7CC0C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A84C7"/>
  <w15:chartTrackingRefBased/>
  <w15:docId w15:val="{4FE0BE70-EDAB-4FCA-A2BE-06649289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428"/>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paragraph" w:styleId="FootnoteText">
    <w:name w:val="footnote text"/>
    <w:basedOn w:val="Normal"/>
    <w:link w:val="FootnoteTextChar"/>
    <w:uiPriority w:val="99"/>
    <w:semiHidden/>
    <w:unhideWhenUsed/>
    <w:rsid w:val="00B27E3D"/>
    <w:rPr>
      <w:sz w:val="20"/>
      <w:szCs w:val="20"/>
    </w:rPr>
  </w:style>
  <w:style w:type="character" w:customStyle="1" w:styleId="FootnoteTextChar">
    <w:name w:val="Footnote Text Char"/>
    <w:basedOn w:val="DefaultParagraphFont"/>
    <w:link w:val="FootnoteText"/>
    <w:uiPriority w:val="99"/>
    <w:semiHidden/>
    <w:rsid w:val="00B27E3D"/>
  </w:style>
  <w:style w:type="character" w:styleId="FootnoteReference">
    <w:name w:val="footnote reference"/>
    <w:uiPriority w:val="99"/>
    <w:semiHidden/>
    <w:unhideWhenUsed/>
    <w:rsid w:val="00B27E3D"/>
    <w:rPr>
      <w:vertAlign w:val="superscript"/>
    </w:rPr>
  </w:style>
  <w:style w:type="character" w:styleId="CommentReference">
    <w:name w:val="annotation reference"/>
    <w:uiPriority w:val="99"/>
    <w:semiHidden/>
    <w:unhideWhenUsed/>
    <w:rsid w:val="00B20CC7"/>
    <w:rPr>
      <w:sz w:val="16"/>
      <w:szCs w:val="16"/>
    </w:rPr>
  </w:style>
  <w:style w:type="paragraph" w:styleId="CommentText">
    <w:name w:val="annotation text"/>
    <w:basedOn w:val="Normal"/>
    <w:link w:val="CommentTextChar"/>
    <w:uiPriority w:val="99"/>
    <w:unhideWhenUsed/>
    <w:rsid w:val="00B20CC7"/>
    <w:pPr>
      <w:spacing w:after="200"/>
    </w:pPr>
    <w:rPr>
      <w:rFonts w:ascii="Calibri" w:hAnsi="Calibri"/>
      <w:sz w:val="20"/>
      <w:szCs w:val="20"/>
      <w:lang w:eastAsia="ja-JP"/>
    </w:rPr>
  </w:style>
  <w:style w:type="character" w:customStyle="1" w:styleId="CommentTextChar">
    <w:name w:val="Comment Text Char"/>
    <w:link w:val="CommentText"/>
    <w:uiPriority w:val="99"/>
    <w:rsid w:val="00B20CC7"/>
    <w:rPr>
      <w:rFonts w:ascii="Calibri" w:hAnsi="Calibri"/>
      <w:lang w:eastAsia="ja-JP"/>
    </w:rPr>
  </w:style>
  <w:style w:type="paragraph" w:styleId="CommentSubject">
    <w:name w:val="annotation subject"/>
    <w:basedOn w:val="CommentText"/>
    <w:next w:val="CommentText"/>
    <w:link w:val="CommentSubjectChar"/>
    <w:uiPriority w:val="99"/>
    <w:semiHidden/>
    <w:unhideWhenUsed/>
    <w:rsid w:val="00CA28B6"/>
    <w:pPr>
      <w:spacing w:after="0"/>
    </w:pPr>
    <w:rPr>
      <w:rFonts w:ascii="Times New Roman" w:hAnsi="Times New Roman"/>
      <w:b/>
      <w:bCs/>
      <w:lang w:eastAsia="en-US"/>
    </w:rPr>
  </w:style>
  <w:style w:type="character" w:customStyle="1" w:styleId="CommentSubjectChar">
    <w:name w:val="Comment Subject Char"/>
    <w:link w:val="CommentSubject"/>
    <w:uiPriority w:val="99"/>
    <w:semiHidden/>
    <w:rsid w:val="00CA28B6"/>
    <w:rPr>
      <w:rFonts w:ascii="Calibri" w:hAnsi="Calibri"/>
      <w:b/>
      <w:bCs/>
      <w:lang w:eastAsia="ja-JP"/>
    </w:rPr>
  </w:style>
  <w:style w:type="character" w:styleId="UnresolvedMention">
    <w:name w:val="Unresolved Mention"/>
    <w:basedOn w:val="DefaultParagraphFont"/>
    <w:uiPriority w:val="99"/>
    <w:semiHidden/>
    <w:unhideWhenUsed/>
    <w:rsid w:val="007C01D1"/>
    <w:rPr>
      <w:color w:val="605E5C"/>
      <w:shd w:val="clear" w:color="auto" w:fill="E1DFDD"/>
    </w:rPr>
  </w:style>
  <w:style w:type="character" w:styleId="FollowedHyperlink">
    <w:name w:val="FollowedHyperlink"/>
    <w:basedOn w:val="DefaultParagraphFont"/>
    <w:uiPriority w:val="99"/>
    <w:semiHidden/>
    <w:unhideWhenUsed/>
    <w:rsid w:val="0066760E"/>
    <w:rPr>
      <w:color w:val="954F72" w:themeColor="followedHyperlink"/>
      <w:u w:val="single"/>
    </w:rPr>
  </w:style>
  <w:style w:type="character" w:styleId="Strong">
    <w:name w:val="Strong"/>
    <w:basedOn w:val="DefaultParagraphFont"/>
    <w:uiPriority w:val="22"/>
    <w:qFormat/>
    <w:rsid w:val="006C24DF"/>
    <w:rPr>
      <w:b/>
      <w:bCs/>
    </w:rPr>
  </w:style>
  <w:style w:type="character" w:customStyle="1" w:styleId="ListParagraphChar">
    <w:name w:val="List Paragraph Char"/>
    <w:link w:val="ListParagraph"/>
    <w:uiPriority w:val="34"/>
    <w:locked/>
    <w:rsid w:val="00BE2B88"/>
    <w:rPr>
      <w:sz w:val="24"/>
      <w:szCs w:val="24"/>
    </w:rPr>
  </w:style>
  <w:style w:type="paragraph" w:customStyle="1" w:styleId="western">
    <w:name w:val="western"/>
    <w:basedOn w:val="Normal"/>
    <w:rsid w:val="00C0047F"/>
    <w:pPr>
      <w:spacing w:before="100" w:beforeAutospacing="1" w:after="100" w:afterAutospacing="1"/>
    </w:pPr>
  </w:style>
  <w:style w:type="paragraph" w:styleId="Revision">
    <w:name w:val="Revision"/>
    <w:hidden/>
    <w:uiPriority w:val="99"/>
    <w:semiHidden/>
    <w:rsid w:val="00692AAD"/>
    <w:rPr>
      <w:sz w:val="24"/>
      <w:szCs w:val="24"/>
    </w:rPr>
  </w:style>
  <w:style w:type="paragraph" w:customStyle="1" w:styleId="EndNoteBibliography">
    <w:name w:val="EndNote Bibliography"/>
    <w:basedOn w:val="Normal"/>
    <w:link w:val="EndNoteBibliographyChar"/>
    <w:rsid w:val="00BD7079"/>
    <w:rPr>
      <w:rFonts w:ascii="Calibri" w:eastAsiaTheme="minorHAnsi" w:hAnsi="Calibri" w:cs="Calibri"/>
    </w:rPr>
  </w:style>
  <w:style w:type="character" w:customStyle="1" w:styleId="EndNoteBibliographyChar">
    <w:name w:val="EndNote Bibliography Char"/>
    <w:basedOn w:val="DefaultParagraphFont"/>
    <w:link w:val="EndNoteBibliography"/>
    <w:rsid w:val="00BD7079"/>
    <w:rPr>
      <w:rFonts w:ascii="Calibri" w:eastAsiaTheme="minorHAns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45636">
      <w:bodyDiv w:val="1"/>
      <w:marLeft w:val="0"/>
      <w:marRight w:val="0"/>
      <w:marTop w:val="0"/>
      <w:marBottom w:val="0"/>
      <w:divBdr>
        <w:top w:val="none" w:sz="0" w:space="0" w:color="auto"/>
        <w:left w:val="none" w:sz="0" w:space="0" w:color="auto"/>
        <w:bottom w:val="none" w:sz="0" w:space="0" w:color="auto"/>
        <w:right w:val="none" w:sz="0" w:space="0" w:color="auto"/>
      </w:divBdr>
    </w:div>
    <w:div w:id="149247879">
      <w:bodyDiv w:val="1"/>
      <w:marLeft w:val="0"/>
      <w:marRight w:val="0"/>
      <w:marTop w:val="0"/>
      <w:marBottom w:val="0"/>
      <w:divBdr>
        <w:top w:val="none" w:sz="0" w:space="0" w:color="auto"/>
        <w:left w:val="none" w:sz="0" w:space="0" w:color="auto"/>
        <w:bottom w:val="none" w:sz="0" w:space="0" w:color="auto"/>
        <w:right w:val="none" w:sz="0" w:space="0" w:color="auto"/>
      </w:divBdr>
    </w:div>
    <w:div w:id="305402632">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335574859">
      <w:bodyDiv w:val="1"/>
      <w:marLeft w:val="0"/>
      <w:marRight w:val="0"/>
      <w:marTop w:val="0"/>
      <w:marBottom w:val="0"/>
      <w:divBdr>
        <w:top w:val="none" w:sz="0" w:space="0" w:color="auto"/>
        <w:left w:val="none" w:sz="0" w:space="0" w:color="auto"/>
        <w:bottom w:val="none" w:sz="0" w:space="0" w:color="auto"/>
        <w:right w:val="none" w:sz="0" w:space="0" w:color="auto"/>
      </w:divBdr>
    </w:div>
    <w:div w:id="1514761002">
      <w:bodyDiv w:val="1"/>
      <w:marLeft w:val="0"/>
      <w:marRight w:val="0"/>
      <w:marTop w:val="0"/>
      <w:marBottom w:val="0"/>
      <w:divBdr>
        <w:top w:val="none" w:sz="0" w:space="0" w:color="auto"/>
        <w:left w:val="none" w:sz="0" w:space="0" w:color="auto"/>
        <w:bottom w:val="none" w:sz="0" w:space="0" w:color="auto"/>
        <w:right w:val="none" w:sz="0" w:space="0" w:color="auto"/>
      </w:divBdr>
    </w:div>
    <w:div w:id="1598249384">
      <w:bodyDiv w:val="1"/>
      <w:marLeft w:val="0"/>
      <w:marRight w:val="0"/>
      <w:marTop w:val="0"/>
      <w:marBottom w:val="0"/>
      <w:divBdr>
        <w:top w:val="none" w:sz="0" w:space="0" w:color="auto"/>
        <w:left w:val="none" w:sz="0" w:space="0" w:color="auto"/>
        <w:bottom w:val="none" w:sz="0" w:space="0" w:color="auto"/>
        <w:right w:val="none" w:sz="0" w:space="0" w:color="auto"/>
      </w:divBdr>
    </w:div>
    <w:div w:id="1718115914">
      <w:bodyDiv w:val="1"/>
      <w:marLeft w:val="0"/>
      <w:marRight w:val="0"/>
      <w:marTop w:val="0"/>
      <w:marBottom w:val="0"/>
      <w:divBdr>
        <w:top w:val="none" w:sz="0" w:space="0" w:color="auto"/>
        <w:left w:val="none" w:sz="0" w:space="0" w:color="auto"/>
        <w:bottom w:val="none" w:sz="0" w:space="0" w:color="auto"/>
        <w:right w:val="none" w:sz="0" w:space="0" w:color="auto"/>
      </w:divBdr>
    </w:div>
    <w:div w:id="206421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a.Mizrachi@fda.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archives/realer_10132021.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WorkingonContract xmlns="36ad6c80-97ad-4cd3-8f9f-de717de3e2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6CBEB344F8DB4F83D303CF3B107D6A" ma:contentTypeVersion="10" ma:contentTypeDescription="Create a new document." ma:contentTypeScope="" ma:versionID="d12fa84ed2913deb2cd6648e427a053d">
  <xsd:schema xmlns:xsd="http://www.w3.org/2001/XMLSchema" xmlns:xs="http://www.w3.org/2001/XMLSchema" xmlns:p="http://schemas.microsoft.com/office/2006/metadata/properties" xmlns:ns2="36ad6c80-97ad-4cd3-8f9f-de717de3e268" xmlns:ns3="b6a906ec-e300-4fa3-8460-f32a40c858c2" targetNamespace="http://schemas.microsoft.com/office/2006/metadata/properties" ma:root="true" ma:fieldsID="97726900dd0e5531b780204a8d2f7d72" ns2:_="" ns3:_="">
    <xsd:import namespace="36ad6c80-97ad-4cd3-8f9f-de717de3e268"/>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TeamsWorkingonContract"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d6c80-97ad-4cd3-8f9f-de717de3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TeamsWorkingonContract" ma:index="14" nillable="true" ma:displayName="Teams Working on Contract" ma:format="Dropdown" ma:internalName="TeamsWorkingonContract">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389D6-D5EC-469A-8934-95F4B8455734}">
  <ds:schemaRefs>
    <ds:schemaRef ds:uri="http://schemas.microsoft.com/office/2006/metadata/properties"/>
    <ds:schemaRef ds:uri="http://schemas.microsoft.com/office/infopath/2007/PartnerControls"/>
    <ds:schemaRef ds:uri="36ad6c80-97ad-4cd3-8f9f-de717de3e268"/>
  </ds:schemaRefs>
</ds:datastoreItem>
</file>

<file path=customXml/itemProps2.xml><?xml version="1.0" encoding="utf-8"?>
<ds:datastoreItem xmlns:ds="http://schemas.openxmlformats.org/officeDocument/2006/customXml" ds:itemID="{DCBFDA11-A0E0-4421-994F-52CBF0013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d6c80-97ad-4cd3-8f9f-de717de3e268"/>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71E2B-5F5C-4E8E-B4AD-FBAE6CEC9065}">
  <ds:schemaRefs>
    <ds:schemaRef ds:uri="http://schemas.microsoft.com/sharepoint/v3/contenttype/forms"/>
  </ds:schemaRefs>
</ds:datastoreItem>
</file>

<file path=customXml/itemProps4.xml><?xml version="1.0" encoding="utf-8"?>
<ds:datastoreItem xmlns:ds="http://schemas.openxmlformats.org/officeDocument/2006/customXml" ds:itemID="{ADFCE6C7-AE11-48C7-8BEC-5E6152B5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1645</Words>
  <Characters>9704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Joann Lee</dc:creator>
  <cp:keywords>MERC OMB MEP</cp:keywords>
  <cp:lastModifiedBy>Mizrachi, Ila</cp:lastModifiedBy>
  <cp:revision>2</cp:revision>
  <cp:lastPrinted>2013-06-14T19:30:00Z</cp:lastPrinted>
  <dcterms:created xsi:type="dcterms:W3CDTF">2021-10-29T14:59:00Z</dcterms:created>
  <dcterms:modified xsi:type="dcterms:W3CDTF">2021-10-29T14:59:00Z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0x010100EB6CBEB344F8DB4F83D303CF3B107D6A</vt:lpwstr>
  </property>
</Properties>
</file>