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C7513" w:rsidR="003F1C7A" w:rsidP="005A691D" w:rsidRDefault="00364051" w14:paraId="2AB7A67B" w14:textId="77777777">
      <w:pPr>
        <w:pStyle w:val="Heading2"/>
        <w:tabs>
          <w:tab w:val="left" w:pos="900"/>
        </w:tabs>
        <w:ind w:right="-180"/>
        <w:rPr>
          <w:sz w:val="28"/>
          <w:szCs w:val="28"/>
        </w:rPr>
      </w:pPr>
      <w:r w:rsidRPr="00FC7513">
        <w:rPr>
          <w:sz w:val="28"/>
          <w:szCs w:val="28"/>
        </w:rPr>
        <w:t>FDA</w:t>
      </w:r>
      <w:r w:rsidRPr="00FC7513" w:rsidR="002F5329">
        <w:rPr>
          <w:sz w:val="28"/>
          <w:szCs w:val="28"/>
        </w:rPr>
        <w:t xml:space="preserve"> </w:t>
      </w:r>
      <w:r w:rsidRPr="00FC7513" w:rsidR="003F1C7A">
        <w:rPr>
          <w:sz w:val="28"/>
          <w:szCs w:val="28"/>
        </w:rPr>
        <w:t>DOCUMENTATION FOR THE GENERIC CLEARANCE</w:t>
      </w:r>
    </w:p>
    <w:p w:rsidRPr="00FC7513" w:rsidR="00A63790" w:rsidP="005A691D" w:rsidRDefault="003F1C7A" w14:paraId="627A9253" w14:textId="77777777">
      <w:pPr>
        <w:jc w:val="center"/>
        <w:rPr>
          <w:b/>
          <w:sz w:val="28"/>
          <w:szCs w:val="28"/>
        </w:rPr>
      </w:pPr>
      <w:r w:rsidRPr="00FC7513">
        <w:rPr>
          <w:b/>
          <w:sz w:val="28"/>
          <w:szCs w:val="28"/>
        </w:rPr>
        <w:t xml:space="preserve">OF </w:t>
      </w:r>
      <w:r w:rsidRPr="00FC7513" w:rsidR="00C62019">
        <w:rPr>
          <w:b/>
          <w:sz w:val="28"/>
          <w:szCs w:val="28"/>
        </w:rPr>
        <w:t xml:space="preserve">REQUEST FOR </w:t>
      </w:r>
      <w:r w:rsidRPr="00FC7513" w:rsidR="003D022B">
        <w:rPr>
          <w:b/>
          <w:sz w:val="28"/>
          <w:szCs w:val="28"/>
        </w:rPr>
        <w:t>DATA TO SUPPORT</w:t>
      </w:r>
      <w:r w:rsidRPr="00FC7513" w:rsidR="00512E74">
        <w:rPr>
          <w:b/>
          <w:sz w:val="28"/>
          <w:szCs w:val="28"/>
        </w:rPr>
        <w:t xml:space="preserve"> SOCIAL AND BEHAVIORAL RESEARCH </w:t>
      </w:r>
      <w:r w:rsidRPr="00FC7513" w:rsidR="003D022B">
        <w:rPr>
          <w:b/>
          <w:sz w:val="28"/>
          <w:szCs w:val="28"/>
        </w:rPr>
        <w:t>(0910-0847)</w:t>
      </w:r>
    </w:p>
    <w:p w:rsidRPr="005A691D" w:rsidR="00A63790" w:rsidP="005A691D" w:rsidRDefault="004A3136" w14:paraId="134C6B99" w14:textId="31330324">
      <w:r w:rsidRPr="005A691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editId="384E5C2D" wp14:anchorId="52AFD4DE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9436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from="0,3.8pt" to="468pt,3.8pt" w14:anchorId="380FF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"/>
            </w:pict>
          </mc:Fallback>
        </mc:AlternateContent>
      </w:r>
    </w:p>
    <w:p w:rsidRPr="005A691D" w:rsidR="00CB751B" w:rsidP="005A691D" w:rsidRDefault="00CB751B" w14:paraId="6616448A" w14:textId="77777777">
      <w:pPr>
        <w:rPr>
          <w:b/>
        </w:rPr>
      </w:pPr>
    </w:p>
    <w:p w:rsidRPr="005A691D" w:rsidR="00E407EB" w:rsidP="005A691D" w:rsidRDefault="003F1C7A" w14:paraId="5E20B399" w14:textId="1AD0BCD6">
      <w:r w:rsidRPr="005A691D">
        <w:rPr>
          <w:b/>
        </w:rPr>
        <w:t>TITLE OF INFORMATION COLLECTION:</w:t>
      </w:r>
      <w:r w:rsidRPr="005A691D" w:rsidR="003D022B">
        <w:t xml:space="preserve"> </w:t>
      </w:r>
      <w:r w:rsidRPr="005A691D" w:rsidR="00E407EB">
        <w:t>Accuracy of Opioid Product Ascertainment (Inflexxion Task Order #5, Aim 2)</w:t>
      </w:r>
    </w:p>
    <w:p w:rsidRPr="005A691D" w:rsidR="00E405F4" w:rsidP="005A691D" w:rsidRDefault="00E405F4" w14:paraId="27EB50DD" w14:textId="77777777"/>
    <w:p w:rsidRPr="005A691D" w:rsidR="003F1C7A" w:rsidP="005A691D" w:rsidRDefault="003F1C7A" w14:paraId="0989FF70" w14:textId="0963B07B">
      <w:r w:rsidRPr="005A691D">
        <w:rPr>
          <w:b/>
        </w:rPr>
        <w:t>DESCRIPTION OF THIS SPECIFIC COLLECTION</w:t>
      </w:r>
      <w:r w:rsidRPr="005A691D">
        <w:t xml:space="preserve"> </w:t>
      </w:r>
    </w:p>
    <w:p w:rsidRPr="005A691D" w:rsidR="00CB751B" w:rsidP="005A691D" w:rsidRDefault="00CB751B" w14:paraId="5076075E" w14:textId="77777777"/>
    <w:p w:rsidRPr="005A691D" w:rsidR="002146CF" w:rsidP="005A691D" w:rsidRDefault="0049419A" w14:paraId="58C10264" w14:textId="296C5831">
      <w:pPr>
        <w:numPr>
          <w:ilvl w:val="0"/>
          <w:numId w:val="23"/>
        </w:numPr>
        <w:ind w:hanging="720"/>
        <w:jc w:val="both"/>
      </w:pPr>
      <w:r w:rsidRPr="005A691D">
        <w:rPr>
          <w:b/>
        </w:rPr>
        <w:t xml:space="preserve">Statement of </w:t>
      </w:r>
      <w:r w:rsidRPr="005A691D" w:rsidR="008C2F58">
        <w:rPr>
          <w:b/>
        </w:rPr>
        <w:t>N</w:t>
      </w:r>
      <w:r w:rsidRPr="005A691D" w:rsidR="00F12AEE">
        <w:rPr>
          <w:b/>
        </w:rPr>
        <w:t>eed</w:t>
      </w:r>
      <w:r w:rsidRPr="005A691D" w:rsidR="003F1C7A">
        <w:rPr>
          <w:b/>
        </w:rPr>
        <w:t>:</w:t>
      </w:r>
      <w:r w:rsidRPr="005A691D" w:rsidR="003D022B">
        <w:t xml:space="preserve"> </w:t>
      </w:r>
    </w:p>
    <w:p w:rsidRPr="005A691D" w:rsidR="00CB751B" w:rsidP="005A691D" w:rsidRDefault="00CB751B" w14:paraId="08374F2B" w14:textId="77777777">
      <w:pPr>
        <w:ind w:left="360"/>
      </w:pPr>
    </w:p>
    <w:p w:rsidRPr="005A691D" w:rsidR="007A4331" w:rsidP="005A691D" w:rsidRDefault="00305D45" w14:paraId="10040CB5" w14:textId="66DC8384">
      <w:pPr>
        <w:ind w:left="720"/>
      </w:pPr>
      <w:r w:rsidRPr="005A691D">
        <w:t xml:space="preserve">Data on the use and misuse of prescription opioids are frequently collected via self-report (Substance Abuse and Mental Health Services Administration, 2019). </w:t>
      </w:r>
      <w:r w:rsidRPr="005A691D" w:rsidR="00B9728F">
        <w:t xml:space="preserve"> </w:t>
      </w:r>
      <w:r w:rsidRPr="005A691D">
        <w:t xml:space="preserve">However, a variety of respondent characteristics and situational factors can affect the validity of self-reported use of prescription opioids (Del Boca </w:t>
      </w:r>
      <w:r w:rsidRPr="005A691D" w:rsidR="00C61E89">
        <w:t xml:space="preserve">and </w:t>
      </w:r>
      <w:r w:rsidRPr="005A691D">
        <w:t xml:space="preserve">Noll, 2000; Smith, Rosenblum, Parrino, Fong, </w:t>
      </w:r>
      <w:r w:rsidRPr="005A691D" w:rsidR="00C61E89">
        <w:t xml:space="preserve">and </w:t>
      </w:r>
      <w:r w:rsidRPr="005A691D">
        <w:t xml:space="preserve">Salvatore, 2010). </w:t>
      </w:r>
      <w:r w:rsidRPr="005A691D" w:rsidR="00B9728F">
        <w:t xml:space="preserve"> </w:t>
      </w:r>
      <w:r w:rsidRPr="005A691D">
        <w:t xml:space="preserve">Additionally, data on the use of opioid products have often been grouped under the broader category of opioids or at the level of active pharmaceutical ingredient (e.g., hydrocodone), rather than </w:t>
      </w:r>
      <w:r w:rsidRPr="005A691D" w:rsidR="00D00967">
        <w:t xml:space="preserve">grouped </w:t>
      </w:r>
      <w:r w:rsidRPr="005A691D">
        <w:t>product</w:t>
      </w:r>
      <w:r w:rsidRPr="005A691D" w:rsidR="00D00967">
        <w:t>-</w:t>
      </w:r>
      <w:r w:rsidRPr="005A691D">
        <w:t>specific</w:t>
      </w:r>
      <w:r w:rsidRPr="005A691D" w:rsidR="00D00967">
        <w:t>ally</w:t>
      </w:r>
      <w:r w:rsidRPr="005A691D">
        <w:t xml:space="preserve"> (e.g., Vicodin). </w:t>
      </w:r>
      <w:r w:rsidRPr="005A691D" w:rsidR="00B9728F">
        <w:t xml:space="preserve"> </w:t>
      </w:r>
      <w:r w:rsidRPr="005A691D">
        <w:t>Having accurate product-specific information about opioid use would be helpful for determining whether pharmaceutical interventions, such as abuse-deterrent formulations of prescription opioids or other intervention efforts</w:t>
      </w:r>
      <w:r w:rsidRPr="005A691D" w:rsidR="00B9728F">
        <w:t>,</w:t>
      </w:r>
      <w:r w:rsidRPr="005A691D">
        <w:t xml:space="preserve"> are effective in reducing the rates of abuse of specific products.</w:t>
      </w:r>
    </w:p>
    <w:p w:rsidRPr="005A691D" w:rsidR="00305D45" w:rsidP="005A691D" w:rsidRDefault="00305D45" w14:paraId="79B767C4" w14:textId="77777777">
      <w:pPr>
        <w:ind w:left="360"/>
        <w:jc w:val="both"/>
      </w:pPr>
    </w:p>
    <w:p w:rsidRPr="005A691D" w:rsidR="002146CF" w:rsidP="005A691D" w:rsidRDefault="00305D45" w14:paraId="3A225EF9" w14:textId="34AE5138">
      <w:pPr>
        <w:ind w:left="720"/>
      </w:pPr>
      <w:r w:rsidRPr="005A691D">
        <w:t>A small study by Smith and colleagues (2010) provided some evidence</w:t>
      </w:r>
      <w:r w:rsidRPr="005A691D" w:rsidR="00D00967">
        <w:t>,</w:t>
      </w:r>
      <w:r w:rsidRPr="005A691D">
        <w:t xml:space="preserve"> supporting the use of photographs as a valid strategy for identifying opioid products and reporting use. </w:t>
      </w:r>
      <w:r w:rsidRPr="005A691D" w:rsidR="00B9728F">
        <w:t xml:space="preserve"> </w:t>
      </w:r>
      <w:r w:rsidRPr="005A691D">
        <w:t>However, more research is needed to determine the accuracy of self-report in opioid product ascertainment; the role of product brand names, active pharmaceutical ingredients, slang terms, and photos in identifying products; and the overarching strategies used to identify products.</w:t>
      </w:r>
    </w:p>
    <w:p w:rsidRPr="005A691D" w:rsidR="00305D45" w:rsidP="005A691D" w:rsidRDefault="00305D45" w14:paraId="03BC165A" w14:textId="61B23FDA">
      <w:pPr>
        <w:ind w:left="360"/>
      </w:pPr>
    </w:p>
    <w:p w:rsidRPr="005A691D" w:rsidR="00305D45" w:rsidP="005A691D" w:rsidRDefault="00305D45" w14:paraId="0E488123" w14:textId="16ACDB9F">
      <w:pPr>
        <w:ind w:left="720"/>
      </w:pPr>
      <w:r w:rsidRPr="005A691D">
        <w:t>The purpose of this study is to assess the accuracy of opioid product ascertainment</w:t>
      </w:r>
      <w:r w:rsidRPr="005A691D" w:rsidR="00D00967">
        <w:t>,</w:t>
      </w:r>
      <w:r w:rsidRPr="005A691D">
        <w:t xml:space="preserve"> among patients undergoing treatment for substance abuse. </w:t>
      </w:r>
      <w:r w:rsidRPr="005A691D" w:rsidR="00B9728F">
        <w:t xml:space="preserve"> </w:t>
      </w:r>
      <w:r w:rsidRPr="005A691D">
        <w:t>Thus, this study will use a within-subjects experimental design to examine whether the accuracy of patient identification of opioid products varies</w:t>
      </w:r>
      <w:r w:rsidRPr="005A691D" w:rsidR="00B9728F">
        <w:t>,</w:t>
      </w:r>
      <w:r w:rsidRPr="005A691D">
        <w:t xml:space="preserve"> depending on the information provided about the product (e.g., product name</w:t>
      </w:r>
      <w:r w:rsidRPr="005A691D" w:rsidR="00B9728F">
        <w:t>,</w:t>
      </w:r>
      <w:r w:rsidRPr="005A691D">
        <w:t xml:space="preserve"> only</w:t>
      </w:r>
      <w:r w:rsidRPr="005A691D" w:rsidR="00B9728F">
        <w:t>,</w:t>
      </w:r>
      <w:r w:rsidRPr="005A691D">
        <w:t xml:space="preserve"> v</w:t>
      </w:r>
      <w:r w:rsidRPr="005A691D" w:rsidR="00B9728F">
        <w:t>ersus</w:t>
      </w:r>
      <w:r w:rsidRPr="005A691D">
        <w:t xml:space="preserve"> product name and active ingredient v</w:t>
      </w:r>
      <w:r w:rsidRPr="005A691D" w:rsidR="00B9728F">
        <w:t>ersus</w:t>
      </w:r>
      <w:r w:rsidRPr="005A691D">
        <w:t xml:space="preserve"> photo</w:t>
      </w:r>
      <w:r w:rsidRPr="005A691D" w:rsidR="00B9728F">
        <w:t>,</w:t>
      </w:r>
      <w:r w:rsidRPr="005A691D">
        <w:t xml:space="preserve"> only). </w:t>
      </w:r>
      <w:r w:rsidRPr="005A691D" w:rsidR="00D00967">
        <w:t xml:space="preserve"> </w:t>
      </w:r>
      <w:r w:rsidRPr="005A691D">
        <w:t xml:space="preserve">Additionally, we will investigate individual patient characteristics that affect the accuracy of opioid product ascertainment. </w:t>
      </w:r>
      <w:r w:rsidRPr="005A691D" w:rsidR="00B9728F">
        <w:t xml:space="preserve"> </w:t>
      </w:r>
      <w:r w:rsidRPr="005A691D">
        <w:t>Finally, we will examine decision</w:t>
      </w:r>
      <w:r w:rsidRPr="005A691D" w:rsidR="00240680">
        <w:t>-</w:t>
      </w:r>
      <w:r w:rsidRPr="005A691D">
        <w:t>making and strategies used to identify opioid products via brief cognitive interviews with patients.</w:t>
      </w:r>
    </w:p>
    <w:p w:rsidRPr="005A691D" w:rsidR="00305D45" w:rsidP="005A691D" w:rsidRDefault="00305D45" w14:paraId="0D01A655" w14:textId="011B9510">
      <w:pPr>
        <w:ind w:left="360"/>
      </w:pPr>
    </w:p>
    <w:p w:rsidRPr="005A691D" w:rsidR="00CD3CE5" w:rsidP="005A691D" w:rsidRDefault="00CD3CE5" w14:paraId="112B3EF1" w14:textId="77777777">
      <w:pPr>
        <w:ind w:left="360" w:firstLine="360"/>
      </w:pPr>
      <w:r w:rsidRPr="005A691D">
        <w:t>Specifically, the primary objectives of this study are to:</w:t>
      </w:r>
    </w:p>
    <w:p w:rsidRPr="005A691D" w:rsidR="00CD3CE5" w:rsidP="005A691D" w:rsidRDefault="00CD3CE5" w14:paraId="431A4D23" w14:textId="77777777">
      <w:pPr>
        <w:ind w:left="360"/>
      </w:pPr>
    </w:p>
    <w:p w:rsidRPr="005A691D" w:rsidR="00CD3CE5" w:rsidP="005A691D" w:rsidRDefault="00CD3CE5" w14:paraId="630E0A49" w14:textId="59A48329">
      <w:pPr>
        <w:numPr>
          <w:ilvl w:val="0"/>
          <w:numId w:val="24"/>
        </w:numPr>
        <w:ind w:left="1440"/>
      </w:pPr>
      <w:r w:rsidRPr="005A691D">
        <w:t>Assess the accuracy of opioid product ascertainment among patients in treatment programs for substance abuse</w:t>
      </w:r>
      <w:r w:rsidRPr="005A691D" w:rsidR="00B9728F">
        <w:t>.</w:t>
      </w:r>
    </w:p>
    <w:p w:rsidRPr="005A691D" w:rsidR="008C2F58" w:rsidP="005A691D" w:rsidRDefault="008C2F58" w14:paraId="1748913E" w14:textId="77777777">
      <w:pPr>
        <w:ind w:left="1080"/>
      </w:pPr>
    </w:p>
    <w:p w:rsidRPr="005A691D" w:rsidR="00CD3CE5" w:rsidP="005A691D" w:rsidRDefault="00CD3CE5" w14:paraId="151A0BFA" w14:textId="55F8A6BA">
      <w:pPr>
        <w:numPr>
          <w:ilvl w:val="0"/>
          <w:numId w:val="24"/>
        </w:numPr>
        <w:ind w:left="1440"/>
      </w:pPr>
      <w:r w:rsidRPr="005A691D">
        <w:t>Determine the influence of photographs on the accuracy of opioid product ascertainment</w:t>
      </w:r>
      <w:r w:rsidRPr="005A691D" w:rsidR="00B9728F">
        <w:t>.</w:t>
      </w:r>
    </w:p>
    <w:p w:rsidRPr="005A691D" w:rsidR="008C2F58" w:rsidP="005A691D" w:rsidRDefault="008C2F58" w14:paraId="3F21180B" w14:textId="77777777"/>
    <w:p w:rsidRPr="005A691D" w:rsidR="00CD3CE5" w:rsidP="005A691D" w:rsidRDefault="00CD3CE5" w14:paraId="234A1FB5" w14:textId="7EA2B70A">
      <w:pPr>
        <w:numPr>
          <w:ilvl w:val="0"/>
          <w:numId w:val="24"/>
        </w:numPr>
        <w:ind w:left="1440"/>
      </w:pPr>
      <w:r w:rsidRPr="005A691D">
        <w:t>Evaluate the impact of nonspecific product endorsements (e.g., by active pharmaceutical ingredient) and potential analytic approaches to account for nonspecific data</w:t>
      </w:r>
      <w:r w:rsidRPr="005A691D" w:rsidR="00B9728F">
        <w:t>.</w:t>
      </w:r>
    </w:p>
    <w:p w:rsidRPr="005A691D" w:rsidR="008C2F58" w:rsidP="005A691D" w:rsidRDefault="008C2F58" w14:paraId="4354F5BD" w14:textId="77777777">
      <w:pPr>
        <w:ind w:left="1080"/>
      </w:pPr>
    </w:p>
    <w:p w:rsidRPr="005A691D" w:rsidR="00CD3CE5" w:rsidP="005A691D" w:rsidRDefault="00CD3CE5" w14:paraId="740B238A" w14:textId="2D643E49">
      <w:pPr>
        <w:numPr>
          <w:ilvl w:val="0"/>
          <w:numId w:val="24"/>
        </w:numPr>
        <w:ind w:left="1440"/>
      </w:pPr>
      <w:r w:rsidRPr="005A691D">
        <w:t>Identify factors that affect the accuracy of opioid product ascertainment and strategies employed in the identification of opioid products</w:t>
      </w:r>
      <w:r w:rsidRPr="005A691D" w:rsidR="00C61E89">
        <w:t>.</w:t>
      </w:r>
    </w:p>
    <w:p w:rsidRPr="005A691D" w:rsidR="008C2F58" w:rsidP="005A691D" w:rsidRDefault="008C2F58" w14:paraId="79B63C33" w14:textId="77777777"/>
    <w:p w:rsidRPr="005A691D" w:rsidR="00E405F4" w:rsidP="005A691D" w:rsidRDefault="0049419A" w14:paraId="06683A06" w14:textId="6B9EB78B">
      <w:pPr>
        <w:numPr>
          <w:ilvl w:val="0"/>
          <w:numId w:val="23"/>
        </w:numPr>
        <w:ind w:hanging="720"/>
      </w:pPr>
      <w:r w:rsidRPr="005A691D">
        <w:rPr>
          <w:b/>
        </w:rPr>
        <w:t xml:space="preserve">Intended </w:t>
      </w:r>
      <w:r w:rsidRPr="005A691D" w:rsidR="008C2F58">
        <w:rPr>
          <w:b/>
        </w:rPr>
        <w:t>U</w:t>
      </w:r>
      <w:r w:rsidRPr="005A691D" w:rsidR="00F12AEE">
        <w:rPr>
          <w:b/>
        </w:rPr>
        <w:t>se</w:t>
      </w:r>
      <w:r w:rsidRPr="005A691D">
        <w:rPr>
          <w:b/>
        </w:rPr>
        <w:t xml:space="preserve"> of </w:t>
      </w:r>
      <w:r w:rsidRPr="005A691D" w:rsidR="008C2F58">
        <w:rPr>
          <w:b/>
        </w:rPr>
        <w:t>I</w:t>
      </w:r>
      <w:r w:rsidRPr="005A691D">
        <w:rPr>
          <w:b/>
        </w:rPr>
        <w:t>nformation</w:t>
      </w:r>
      <w:r w:rsidRPr="005A691D" w:rsidR="003F1C7A">
        <w:rPr>
          <w:b/>
        </w:rPr>
        <w:t>:</w:t>
      </w:r>
      <w:r w:rsidRPr="005A691D" w:rsidR="00472F7D">
        <w:t xml:space="preserve"> </w:t>
      </w:r>
    </w:p>
    <w:p w:rsidRPr="005A691D" w:rsidR="00565245" w:rsidP="005A691D" w:rsidRDefault="00565245" w14:paraId="6899F7F2" w14:textId="77777777">
      <w:pPr>
        <w:pStyle w:val="ListParagraph"/>
      </w:pPr>
    </w:p>
    <w:p w:rsidRPr="005A691D" w:rsidR="00565245" w:rsidP="005A691D" w:rsidRDefault="00565245" w14:paraId="1464583E" w14:textId="11D1C788">
      <w:pPr>
        <w:ind w:left="720"/>
      </w:pPr>
      <w:r w:rsidRPr="005A691D">
        <w:t>These data will be used to inform methods employed in real-world data collection systems</w:t>
      </w:r>
      <w:r w:rsidRPr="005A691D" w:rsidR="00B9728F">
        <w:t>,</w:t>
      </w:r>
      <w:r w:rsidRPr="005A691D">
        <w:t xml:space="preserve"> regarding prescription drug abuse, misuse, and diversions. </w:t>
      </w:r>
      <w:r w:rsidRPr="005A691D" w:rsidR="00B9728F">
        <w:t xml:space="preserve"> </w:t>
      </w:r>
      <w:r w:rsidRPr="005A691D" w:rsidR="008B3FC2">
        <w:t>Specifically,</w:t>
      </w:r>
      <w:r w:rsidRPr="005A691D" w:rsidR="00B9728F">
        <w:t xml:space="preserve"> the data</w:t>
      </w:r>
      <w:r w:rsidRPr="005A691D" w:rsidR="008B3FC2">
        <w:t xml:space="preserve"> </w:t>
      </w:r>
      <w:r w:rsidRPr="005A691D" w:rsidR="00B9728F">
        <w:t xml:space="preserve">will inform methods employed in </w:t>
      </w:r>
      <w:r w:rsidRPr="005A691D" w:rsidR="008B3FC2">
        <w:t>the Addiction Severity Index-Multimedia Version (ASI-MV)</w:t>
      </w:r>
      <w:r w:rsidRPr="005A691D" w:rsidR="00B9728F">
        <w:t>,</w:t>
      </w:r>
      <w:r w:rsidRPr="005A691D" w:rsidR="008B3FC2">
        <w:t xml:space="preserve"> which is used to study individuals evaluated for substance abuse and treatment planning.</w:t>
      </w:r>
    </w:p>
    <w:p w:rsidRPr="005A691D" w:rsidR="00E405F4" w:rsidP="005A691D" w:rsidRDefault="00E405F4" w14:paraId="6786A97B" w14:textId="77777777">
      <w:pPr>
        <w:ind w:left="360"/>
      </w:pPr>
    </w:p>
    <w:p w:rsidRPr="005A691D" w:rsidR="00E405F4" w:rsidP="005A691D" w:rsidRDefault="0049419A" w14:paraId="3420C174" w14:textId="421CC2B9">
      <w:pPr>
        <w:numPr>
          <w:ilvl w:val="0"/>
          <w:numId w:val="23"/>
        </w:numPr>
        <w:ind w:hanging="720"/>
      </w:pPr>
      <w:r w:rsidRPr="005A691D">
        <w:rPr>
          <w:b/>
        </w:rPr>
        <w:t xml:space="preserve">Description of </w:t>
      </w:r>
      <w:r w:rsidRPr="005A691D" w:rsidR="008C2F58">
        <w:rPr>
          <w:b/>
        </w:rPr>
        <w:t>R</w:t>
      </w:r>
      <w:r w:rsidRPr="005A691D" w:rsidR="00F12AEE">
        <w:rPr>
          <w:b/>
        </w:rPr>
        <w:t>espondents</w:t>
      </w:r>
      <w:r w:rsidRPr="005A691D" w:rsidR="003F1C7A">
        <w:rPr>
          <w:b/>
        </w:rPr>
        <w:t>:</w:t>
      </w:r>
      <w:r w:rsidRPr="005A691D" w:rsidR="003F1C7A">
        <w:t xml:space="preserve"> </w:t>
      </w:r>
    </w:p>
    <w:p w:rsidRPr="005A691D" w:rsidR="008C2F58" w:rsidP="005A691D" w:rsidRDefault="008C2F58" w14:paraId="6466FD62" w14:textId="77777777">
      <w:pPr>
        <w:ind w:left="720"/>
      </w:pPr>
    </w:p>
    <w:p w:rsidRPr="005A691D" w:rsidR="002146CF" w:rsidP="005A691D" w:rsidRDefault="00565245" w14:paraId="57AE0E39" w14:textId="2E1500A6">
      <w:pPr>
        <w:ind w:left="720"/>
      </w:pPr>
      <w:r w:rsidRPr="005A691D">
        <w:t>Respondents will be recruited from substance abuse treatment center</w:t>
      </w:r>
      <w:r w:rsidRPr="005A691D" w:rsidR="002146CF">
        <w:t xml:space="preserve">s to participate voluntarily in this study. </w:t>
      </w:r>
      <w:r w:rsidRPr="005A691D" w:rsidR="00B9728F">
        <w:t xml:space="preserve"> </w:t>
      </w:r>
      <w:r w:rsidRPr="005A691D" w:rsidR="002146CF">
        <w:t>Their treatment will not be dependent upon their participation</w:t>
      </w:r>
      <w:r w:rsidRPr="005A691D" w:rsidR="00B9728F">
        <w:t>,</w:t>
      </w:r>
      <w:r w:rsidRPr="005A691D" w:rsidR="002146CF">
        <w:t xml:space="preserve"> and participation will not impact their treatment. </w:t>
      </w:r>
      <w:r w:rsidRPr="005A691D" w:rsidR="00B9728F">
        <w:t xml:space="preserve"> </w:t>
      </w:r>
      <w:r w:rsidRPr="005A691D" w:rsidR="002146CF">
        <w:t>Respondents must:</w:t>
      </w:r>
    </w:p>
    <w:p w:rsidRPr="005A691D" w:rsidR="001F3F69" w:rsidP="005A691D" w:rsidRDefault="001F3F69" w14:paraId="76C6998C" w14:textId="77777777">
      <w:pPr>
        <w:ind w:left="1440"/>
      </w:pPr>
    </w:p>
    <w:p w:rsidRPr="005A691D" w:rsidR="002146CF" w:rsidP="005A691D" w:rsidRDefault="00240680" w14:paraId="1585AF46" w14:textId="304CCACE">
      <w:pPr>
        <w:numPr>
          <w:ilvl w:val="2"/>
          <w:numId w:val="23"/>
        </w:numPr>
        <w:ind w:left="1440" w:hanging="720"/>
      </w:pPr>
      <w:r w:rsidRPr="005A691D">
        <w:t xml:space="preserve">Be </w:t>
      </w:r>
      <w:r w:rsidRPr="005A691D" w:rsidR="002146CF">
        <w:t xml:space="preserve">18 years </w:t>
      </w:r>
      <w:r w:rsidRPr="005A691D" w:rsidR="00B9728F">
        <w:t xml:space="preserve">of </w:t>
      </w:r>
      <w:r w:rsidRPr="005A691D" w:rsidR="002146CF">
        <w:t>age or older</w:t>
      </w:r>
      <w:r w:rsidR="00894E0A">
        <w:t>.</w:t>
      </w:r>
    </w:p>
    <w:p w:rsidRPr="005A691D" w:rsidR="001F3F69" w:rsidP="005A691D" w:rsidRDefault="001F3F69" w14:paraId="590E8F57" w14:textId="77777777">
      <w:pPr>
        <w:ind w:left="2160"/>
      </w:pPr>
    </w:p>
    <w:p w:rsidRPr="005A691D" w:rsidR="002146CF" w:rsidP="005A691D" w:rsidRDefault="00240680" w14:paraId="6D1FD37C" w14:textId="0D0CFF41">
      <w:pPr>
        <w:numPr>
          <w:ilvl w:val="2"/>
          <w:numId w:val="23"/>
        </w:numPr>
        <w:ind w:left="1440" w:hanging="720"/>
      </w:pPr>
      <w:r w:rsidRPr="005A691D">
        <w:t>Be a</w:t>
      </w:r>
      <w:r w:rsidRPr="005A691D" w:rsidR="002146CF">
        <w:t>ble to read English</w:t>
      </w:r>
      <w:r w:rsidR="00894E0A">
        <w:t>.</w:t>
      </w:r>
    </w:p>
    <w:p w:rsidRPr="005A691D" w:rsidR="001F3F69" w:rsidP="005A691D" w:rsidRDefault="001F3F69" w14:paraId="2A692BDE" w14:textId="77777777"/>
    <w:p w:rsidRPr="005A691D" w:rsidR="001F3F69" w:rsidP="005A691D" w:rsidRDefault="002146CF" w14:paraId="643C4CB8" w14:textId="489D7F59">
      <w:pPr>
        <w:numPr>
          <w:ilvl w:val="2"/>
          <w:numId w:val="23"/>
        </w:numPr>
        <w:ind w:left="1440" w:hanging="720"/>
      </w:pPr>
      <w:r w:rsidRPr="005A691D">
        <w:t>Report past 30-day abuse of at least one prescription opioid intended for the treatment of pain (e.g., any prescription opioid which contains hydrocodone, hydromorphone, oxycodone, oxymorphone, morphine,</w:t>
      </w:r>
      <w:r w:rsidRPr="005A691D" w:rsidR="00240680">
        <w:t xml:space="preserve"> or</w:t>
      </w:r>
      <w:r w:rsidRPr="005A691D">
        <w:t xml:space="preserve"> tapentadol)</w:t>
      </w:r>
      <w:r w:rsidR="007049D9">
        <w:t>.</w:t>
      </w:r>
    </w:p>
    <w:p w:rsidRPr="005A691D" w:rsidR="001F3F69" w:rsidP="005A691D" w:rsidRDefault="001F3F69" w14:paraId="123C78F4" w14:textId="77777777"/>
    <w:p w:rsidRPr="005A691D" w:rsidR="002146CF" w:rsidP="005A691D" w:rsidRDefault="002146CF" w14:paraId="2DD5D179" w14:textId="5D2B478E">
      <w:pPr>
        <w:numPr>
          <w:ilvl w:val="2"/>
          <w:numId w:val="23"/>
        </w:numPr>
        <w:ind w:left="1440" w:hanging="720"/>
      </w:pPr>
      <w:r w:rsidRPr="005A691D">
        <w:t xml:space="preserve">Not </w:t>
      </w:r>
      <w:r w:rsidRPr="005A691D" w:rsidR="00240680">
        <w:t xml:space="preserve">be </w:t>
      </w:r>
      <w:r w:rsidRPr="005A691D">
        <w:t>experiencing cognitive or physical symptoms</w:t>
      </w:r>
      <w:r w:rsidRPr="005A691D" w:rsidR="00240680">
        <w:t>,</w:t>
      </w:r>
      <w:r w:rsidRPr="005A691D">
        <w:t xml:space="preserve"> due to drug use (e.g., currently high) or the stage of treatment (e.g., withdrawal)</w:t>
      </w:r>
      <w:r w:rsidRPr="005A691D" w:rsidR="00D00967">
        <w:t>,</w:t>
      </w:r>
      <w:r w:rsidRPr="005A691D">
        <w:t xml:space="preserve"> that may affect their ability to understand study procedures, provide informed consent, and complete a 45-minute questionnaire</w:t>
      </w:r>
      <w:r w:rsidR="007049D9">
        <w:t>.</w:t>
      </w:r>
    </w:p>
    <w:p w:rsidRPr="005A691D" w:rsidR="001F3F69" w:rsidP="005A691D" w:rsidRDefault="001F3F69" w14:paraId="4E793997" w14:textId="77777777"/>
    <w:p w:rsidRPr="005A691D" w:rsidR="002146CF" w:rsidP="005A691D" w:rsidRDefault="00240680" w14:paraId="0C4C8190" w14:textId="1A32F77A">
      <w:pPr>
        <w:numPr>
          <w:ilvl w:val="2"/>
          <w:numId w:val="23"/>
        </w:numPr>
        <w:ind w:left="1440" w:hanging="720"/>
      </w:pPr>
      <w:r w:rsidRPr="005A691D">
        <w:t>Have n</w:t>
      </w:r>
      <w:r w:rsidRPr="005A691D" w:rsidR="002146CF">
        <w:t>o prior experience working in a medical or health-related field</w:t>
      </w:r>
      <w:r w:rsidR="00894E0A">
        <w:t>.</w:t>
      </w:r>
    </w:p>
    <w:p w:rsidRPr="005A691D" w:rsidR="005F233D" w:rsidP="005A691D" w:rsidRDefault="005F233D" w14:paraId="67AA5CF3" w14:textId="77777777">
      <w:pPr>
        <w:ind w:left="720"/>
      </w:pPr>
    </w:p>
    <w:p w:rsidRPr="005A691D" w:rsidR="002146CF" w:rsidP="005A691D" w:rsidRDefault="000E7C99" w14:paraId="74B42819" w14:textId="3B681805">
      <w:pPr>
        <w:numPr>
          <w:ilvl w:val="0"/>
          <w:numId w:val="23"/>
        </w:numPr>
        <w:ind w:hanging="720"/>
      </w:pPr>
      <w:r w:rsidRPr="005A691D">
        <w:rPr>
          <w:b/>
        </w:rPr>
        <w:t xml:space="preserve">Date(s) </w:t>
      </w:r>
      <w:r w:rsidRPr="005A691D" w:rsidR="00915E13">
        <w:rPr>
          <w:b/>
        </w:rPr>
        <w:t xml:space="preserve">to </w:t>
      </w:r>
      <w:r w:rsidRPr="005A691D" w:rsidR="0054414A">
        <w:rPr>
          <w:b/>
        </w:rPr>
        <w:t>B</w:t>
      </w:r>
      <w:r w:rsidRPr="005A691D" w:rsidR="00915E13">
        <w:rPr>
          <w:b/>
        </w:rPr>
        <w:t xml:space="preserve">e </w:t>
      </w:r>
      <w:r w:rsidRPr="005A691D" w:rsidR="0054414A">
        <w:rPr>
          <w:b/>
        </w:rPr>
        <w:t>C</w:t>
      </w:r>
      <w:r w:rsidRPr="005A691D">
        <w:rPr>
          <w:b/>
        </w:rPr>
        <w:t>onducted</w:t>
      </w:r>
      <w:r w:rsidRPr="005A691D" w:rsidR="0049419A">
        <w:rPr>
          <w:b/>
        </w:rPr>
        <w:t>:</w:t>
      </w:r>
      <w:r w:rsidRPr="005A691D" w:rsidR="007D0AC9">
        <w:rPr>
          <w:b/>
        </w:rPr>
        <w:t xml:space="preserve"> </w:t>
      </w:r>
    </w:p>
    <w:p w:rsidRPr="005A691D" w:rsidR="0054414A" w:rsidP="005A691D" w:rsidRDefault="0054414A" w14:paraId="5DE1E794" w14:textId="77777777">
      <w:pPr>
        <w:ind w:left="720"/>
      </w:pPr>
    </w:p>
    <w:p w:rsidRPr="005A691D" w:rsidR="009D3BC6" w:rsidP="005A691D" w:rsidRDefault="007D0AC9" w14:paraId="0DBCC001" w14:textId="30024380">
      <w:pPr>
        <w:ind w:left="720"/>
        <w:rPr>
          <w:iCs/>
        </w:rPr>
      </w:pPr>
      <w:r w:rsidRPr="005A691D">
        <w:rPr>
          <w:iCs/>
        </w:rPr>
        <w:t>As soon as OMB PRA approval is obtained</w:t>
      </w:r>
      <w:r w:rsidRPr="005A691D" w:rsidR="00A3674B">
        <w:rPr>
          <w:iCs/>
        </w:rPr>
        <w:t xml:space="preserve">. </w:t>
      </w:r>
      <w:r w:rsidRPr="005A691D" w:rsidR="00240680">
        <w:rPr>
          <w:iCs/>
        </w:rPr>
        <w:t xml:space="preserve"> The a</w:t>
      </w:r>
      <w:r w:rsidRPr="005A691D" w:rsidR="00A3674B">
        <w:rPr>
          <w:iCs/>
        </w:rPr>
        <w:t>nticipated launch will be</w:t>
      </w:r>
      <w:r w:rsidRPr="005A691D" w:rsidR="002146CF">
        <w:rPr>
          <w:iCs/>
        </w:rPr>
        <w:t xml:space="preserve"> </w:t>
      </w:r>
      <w:r w:rsidRPr="005A691D" w:rsidR="00796223">
        <w:rPr>
          <w:iCs/>
        </w:rPr>
        <w:t>upon approval.</w:t>
      </w:r>
    </w:p>
    <w:p w:rsidRPr="005A691D" w:rsidR="00810104" w:rsidP="005A691D" w:rsidRDefault="00810104" w14:paraId="1CBE74EF" w14:textId="77777777">
      <w:pPr>
        <w:ind w:left="360"/>
        <w:jc w:val="both"/>
      </w:pPr>
    </w:p>
    <w:p w:rsidRPr="005A691D" w:rsidR="00F967A7" w:rsidP="005A691D" w:rsidRDefault="00346DEA" w14:paraId="5060872C" w14:textId="48DB5838">
      <w:pPr>
        <w:numPr>
          <w:ilvl w:val="0"/>
          <w:numId w:val="23"/>
        </w:numPr>
        <w:ind w:hanging="720"/>
      </w:pPr>
      <w:r w:rsidRPr="005A691D">
        <w:rPr>
          <w:b/>
        </w:rPr>
        <w:t xml:space="preserve">How the </w:t>
      </w:r>
      <w:r w:rsidRPr="005A691D" w:rsidR="0054414A">
        <w:rPr>
          <w:b/>
        </w:rPr>
        <w:t>I</w:t>
      </w:r>
      <w:r w:rsidRPr="005A691D" w:rsidR="000E7C99">
        <w:rPr>
          <w:b/>
        </w:rPr>
        <w:t xml:space="preserve">nformation </w:t>
      </w:r>
      <w:r w:rsidRPr="005A691D" w:rsidR="0054414A">
        <w:rPr>
          <w:b/>
        </w:rPr>
        <w:t>I</w:t>
      </w:r>
      <w:r w:rsidRPr="005A691D" w:rsidR="000E7C99">
        <w:rPr>
          <w:b/>
        </w:rPr>
        <w:t xml:space="preserve">s </w:t>
      </w:r>
      <w:r w:rsidRPr="005A691D" w:rsidR="0054414A">
        <w:rPr>
          <w:b/>
        </w:rPr>
        <w:t>B</w:t>
      </w:r>
      <w:r w:rsidRPr="005A691D" w:rsidR="000E7C99">
        <w:rPr>
          <w:b/>
        </w:rPr>
        <w:t xml:space="preserve">eing </w:t>
      </w:r>
      <w:r w:rsidRPr="005A691D" w:rsidR="0054414A">
        <w:rPr>
          <w:b/>
        </w:rPr>
        <w:t>C</w:t>
      </w:r>
      <w:r w:rsidRPr="005A691D" w:rsidR="000E7C99">
        <w:rPr>
          <w:b/>
        </w:rPr>
        <w:t>ollected</w:t>
      </w:r>
      <w:r w:rsidRPr="005A691D" w:rsidR="0049419A">
        <w:rPr>
          <w:b/>
        </w:rPr>
        <w:t>:</w:t>
      </w:r>
      <w:r w:rsidRPr="005A691D" w:rsidR="007D0AC9">
        <w:rPr>
          <w:b/>
        </w:rPr>
        <w:t xml:space="preserve"> </w:t>
      </w:r>
    </w:p>
    <w:p w:rsidRPr="005A691D" w:rsidR="0054414A" w:rsidP="005A691D" w:rsidRDefault="0054414A" w14:paraId="44466A95" w14:textId="77777777">
      <w:pPr>
        <w:ind w:left="720"/>
      </w:pPr>
    </w:p>
    <w:p w:rsidRPr="005A691D" w:rsidR="008B3FC2" w:rsidP="005A691D" w:rsidRDefault="008B3FC2" w14:paraId="21504122" w14:textId="77982897">
      <w:pPr>
        <w:numPr>
          <w:ilvl w:val="1"/>
          <w:numId w:val="23"/>
        </w:numPr>
        <w:ind w:hanging="720"/>
      </w:pPr>
      <w:r w:rsidRPr="005A691D">
        <w:t xml:space="preserve">Respondents will participate via a secure video conference portal. </w:t>
      </w:r>
      <w:r w:rsidRPr="005A691D" w:rsidR="00240680">
        <w:t xml:space="preserve"> </w:t>
      </w:r>
      <w:r w:rsidRPr="005A691D">
        <w:t xml:space="preserve">Trained study personnel will explain the study and gather informed consent. </w:t>
      </w:r>
    </w:p>
    <w:p w:rsidRPr="005A691D" w:rsidR="0054414A" w:rsidP="005A691D" w:rsidRDefault="0054414A" w14:paraId="235A2DB5" w14:textId="77777777">
      <w:pPr>
        <w:ind w:left="1440"/>
      </w:pPr>
    </w:p>
    <w:p w:rsidRPr="005A691D" w:rsidR="008B3FC2" w:rsidP="005A691D" w:rsidRDefault="002146CF" w14:paraId="6683C144" w14:textId="331C9BB9">
      <w:pPr>
        <w:numPr>
          <w:ilvl w:val="1"/>
          <w:numId w:val="23"/>
        </w:numPr>
        <w:ind w:hanging="720"/>
      </w:pPr>
      <w:r w:rsidRPr="005A691D">
        <w:lastRenderedPageBreak/>
        <w:t xml:space="preserve">Following informed consent, </w:t>
      </w:r>
      <w:r w:rsidRPr="005A691D" w:rsidR="008B3FC2">
        <w:t>respondent</w:t>
      </w:r>
      <w:r w:rsidRPr="005A691D" w:rsidR="00240680">
        <w:t>s</w:t>
      </w:r>
      <w:r w:rsidRPr="005A691D" w:rsidR="008B3FC2">
        <w:t xml:space="preserve"> will independently complete the study exercises</w:t>
      </w:r>
      <w:r w:rsidRPr="005A691D" w:rsidR="00D00967">
        <w:t>,</w:t>
      </w:r>
      <w:r w:rsidRPr="005A691D">
        <w:t xml:space="preserve"> via an online portal</w:t>
      </w:r>
      <w:r w:rsidRPr="005A691D" w:rsidR="008B3FC2">
        <w:t>.</w:t>
      </w:r>
      <w:r w:rsidRPr="005A691D">
        <w:t xml:space="preserve"> </w:t>
      </w:r>
      <w:r w:rsidRPr="005A691D" w:rsidR="00240680">
        <w:t xml:space="preserve"> </w:t>
      </w:r>
      <w:r w:rsidRPr="005A691D" w:rsidR="008B3FC2">
        <w:t>These</w:t>
      </w:r>
      <w:r w:rsidRPr="005A691D">
        <w:t xml:space="preserve"> exercises </w:t>
      </w:r>
      <w:r w:rsidRPr="005A691D" w:rsidR="008B3FC2">
        <w:t xml:space="preserve">are intended </w:t>
      </w:r>
      <w:r w:rsidRPr="005A691D">
        <w:t xml:space="preserve">to </w:t>
      </w:r>
      <w:r w:rsidRPr="005A691D" w:rsidR="008B3FC2">
        <w:t xml:space="preserve">evaluate </w:t>
      </w:r>
      <w:r w:rsidRPr="005A691D">
        <w:t>the respondent</w:t>
      </w:r>
      <w:r w:rsidRPr="005A691D" w:rsidR="008B3FC2">
        <w:t>s</w:t>
      </w:r>
      <w:r w:rsidRPr="005A691D" w:rsidR="00240680">
        <w:t>’</w:t>
      </w:r>
      <w:r w:rsidRPr="005A691D">
        <w:t xml:space="preserve"> ability to accurately identify different prescription opioid products</w:t>
      </w:r>
      <w:r w:rsidRPr="005A691D" w:rsidR="00240680">
        <w:t>,</w:t>
      </w:r>
      <w:r w:rsidRPr="005A691D">
        <w:t xml:space="preserve"> using brand names, active ingredients, photographs, and slang terms. </w:t>
      </w:r>
      <w:r w:rsidRPr="005A691D" w:rsidR="00240680">
        <w:t xml:space="preserve"> </w:t>
      </w:r>
      <w:r w:rsidRPr="005A691D" w:rsidR="008B3FC2">
        <w:t>Other demographic and respondent characteristic information will be collected as well to further evaluate potential differences between respondents</w:t>
      </w:r>
      <w:r w:rsidRPr="005A691D" w:rsidR="00240680">
        <w:t>,</w:t>
      </w:r>
      <w:r w:rsidRPr="005A691D" w:rsidR="008B3FC2">
        <w:t xml:space="preserve"> which impact accuracy scores.</w:t>
      </w:r>
    </w:p>
    <w:p w:rsidRPr="005A691D" w:rsidR="0054414A" w:rsidP="005A691D" w:rsidRDefault="0054414A" w14:paraId="3EFE8D8E" w14:textId="77777777"/>
    <w:p w:rsidRPr="005A691D" w:rsidR="002146CF" w:rsidP="005A691D" w:rsidRDefault="002146CF" w14:paraId="3EA2FCB9" w14:textId="60DF41EC">
      <w:pPr>
        <w:numPr>
          <w:ilvl w:val="1"/>
          <w:numId w:val="23"/>
        </w:numPr>
        <w:ind w:hanging="720"/>
      </w:pPr>
      <w:r w:rsidRPr="005A691D">
        <w:t xml:space="preserve">After </w:t>
      </w:r>
      <w:r w:rsidRPr="005A691D" w:rsidR="008B3FC2">
        <w:t xml:space="preserve">completion of </w:t>
      </w:r>
      <w:r w:rsidRPr="005A691D">
        <w:t>the</w:t>
      </w:r>
      <w:r w:rsidRPr="005A691D" w:rsidR="008B3FC2">
        <w:t xml:space="preserve"> independent</w:t>
      </w:r>
      <w:r w:rsidRPr="005A691D">
        <w:t xml:space="preserve"> online exercises, </w:t>
      </w:r>
      <w:r w:rsidRPr="005A691D" w:rsidR="008B3FC2">
        <w:t xml:space="preserve">study staff will conduct </w:t>
      </w:r>
      <w:r w:rsidRPr="005A691D">
        <w:t>a qualitative interview</w:t>
      </w:r>
      <w:r w:rsidRPr="005A691D" w:rsidR="00D00967">
        <w:t>,</w:t>
      </w:r>
      <w:r w:rsidRPr="005A691D">
        <w:t xml:space="preserve"> via video conference</w:t>
      </w:r>
      <w:r w:rsidRPr="005A691D" w:rsidR="00D00967">
        <w:t>,</w:t>
      </w:r>
      <w:r w:rsidRPr="005A691D">
        <w:t xml:space="preserve"> </w:t>
      </w:r>
      <w:r w:rsidRPr="005A691D" w:rsidR="008B3FC2">
        <w:t>to further</w:t>
      </w:r>
      <w:r w:rsidRPr="005A691D">
        <w:t xml:space="preserve"> explore the </w:t>
      </w:r>
      <w:r w:rsidRPr="005A691D" w:rsidR="00810104">
        <w:t>decision-making</w:t>
      </w:r>
      <w:r w:rsidRPr="005A691D">
        <w:t xml:space="preserve"> process and </w:t>
      </w:r>
      <w:r w:rsidRPr="005A691D" w:rsidR="00061426">
        <w:t>how respondents identify prescription opioid products</w:t>
      </w:r>
      <w:r w:rsidRPr="005A691D">
        <w:t>.</w:t>
      </w:r>
    </w:p>
    <w:p w:rsidRPr="005A691D" w:rsidR="00DD1669" w:rsidP="005A691D" w:rsidRDefault="00DD1669" w14:paraId="222E836B" w14:textId="77777777">
      <w:pPr>
        <w:ind w:left="720"/>
      </w:pPr>
    </w:p>
    <w:p w:rsidRPr="005A691D" w:rsidR="00DD1CCA" w:rsidP="005A691D" w:rsidRDefault="00DD1CCA" w14:paraId="6D7470F1" w14:textId="381700E6">
      <w:pPr>
        <w:numPr>
          <w:ilvl w:val="0"/>
          <w:numId w:val="23"/>
        </w:numPr>
        <w:ind w:hanging="720"/>
      </w:pPr>
      <w:r w:rsidRPr="005A691D">
        <w:rPr>
          <w:b/>
        </w:rPr>
        <w:t xml:space="preserve">Confidentiality of </w:t>
      </w:r>
      <w:r w:rsidRPr="005A691D" w:rsidR="00EB75EE">
        <w:rPr>
          <w:b/>
        </w:rPr>
        <w:t>R</w:t>
      </w:r>
      <w:r w:rsidRPr="005A691D">
        <w:rPr>
          <w:b/>
        </w:rPr>
        <w:t>espondents</w:t>
      </w:r>
      <w:r w:rsidRPr="005A691D" w:rsidR="0049419A">
        <w:rPr>
          <w:b/>
        </w:rPr>
        <w:t>:</w:t>
      </w:r>
      <w:r w:rsidRPr="005A691D" w:rsidR="0090503B">
        <w:rPr>
          <w:b/>
        </w:rPr>
        <w:t xml:space="preserve"> </w:t>
      </w:r>
    </w:p>
    <w:p w:rsidRPr="005A691D" w:rsidR="00EB75EE" w:rsidP="005A691D" w:rsidRDefault="00EB75EE" w14:paraId="658A4C26" w14:textId="77777777">
      <w:pPr>
        <w:ind w:left="720"/>
      </w:pPr>
    </w:p>
    <w:p w:rsidRPr="005A691D" w:rsidR="002146CF" w:rsidP="005A691D" w:rsidRDefault="002146CF" w14:paraId="34659886" w14:textId="1E73B0E5">
      <w:pPr>
        <w:ind w:left="720"/>
        <w:rPr>
          <w:bCs/>
        </w:rPr>
      </w:pPr>
      <w:r w:rsidRPr="005A691D">
        <w:rPr>
          <w:bCs/>
        </w:rPr>
        <w:t>Human subject protection of confidentiality is important and will be maintained through several careful measures</w:t>
      </w:r>
      <w:r w:rsidRPr="005A691D" w:rsidR="00DB4D59">
        <w:rPr>
          <w:bCs/>
        </w:rPr>
        <w:t xml:space="preserve">. </w:t>
      </w:r>
      <w:r w:rsidRPr="005A691D" w:rsidR="00240680">
        <w:rPr>
          <w:bCs/>
        </w:rPr>
        <w:t xml:space="preserve"> </w:t>
      </w:r>
      <w:r w:rsidRPr="005A691D" w:rsidR="00DB4D59">
        <w:rPr>
          <w:bCs/>
        </w:rPr>
        <w:t xml:space="preserve">Respondents will be encouraged to participate in a private location. </w:t>
      </w:r>
      <w:r w:rsidRPr="005A691D" w:rsidR="00240680">
        <w:rPr>
          <w:bCs/>
        </w:rPr>
        <w:t xml:space="preserve"> </w:t>
      </w:r>
      <w:r w:rsidRPr="005A691D" w:rsidR="00DB4D59">
        <w:rPr>
          <w:bCs/>
        </w:rPr>
        <w:t>The study visit will be conducted</w:t>
      </w:r>
      <w:r w:rsidRPr="005A691D" w:rsidR="00240680">
        <w:rPr>
          <w:bCs/>
        </w:rPr>
        <w:t>,</w:t>
      </w:r>
      <w:r w:rsidRPr="005A691D" w:rsidR="00DB4D59">
        <w:rPr>
          <w:bCs/>
        </w:rPr>
        <w:t xml:space="preserve"> using </w:t>
      </w:r>
      <w:r w:rsidRPr="005A691D" w:rsidR="008B3FC2">
        <w:rPr>
          <w:bCs/>
        </w:rPr>
        <w:t xml:space="preserve">a secure videoconference portal and secure </w:t>
      </w:r>
      <w:r w:rsidRPr="005A691D" w:rsidR="00BA6BF7">
        <w:rPr>
          <w:bCs/>
        </w:rPr>
        <w:t xml:space="preserve">private </w:t>
      </w:r>
      <w:r w:rsidRPr="005A691D" w:rsidR="008B3FC2">
        <w:rPr>
          <w:bCs/>
        </w:rPr>
        <w:t>physical location of the study staff</w:t>
      </w:r>
      <w:r w:rsidRPr="005A691D" w:rsidR="00240680">
        <w:rPr>
          <w:bCs/>
        </w:rPr>
        <w:t>,</w:t>
      </w:r>
      <w:r w:rsidRPr="005A691D" w:rsidR="008B3FC2">
        <w:rPr>
          <w:bCs/>
        </w:rPr>
        <w:t xml:space="preserve"> when performing the interviews</w:t>
      </w:r>
      <w:r w:rsidRPr="005A691D">
        <w:rPr>
          <w:bCs/>
        </w:rPr>
        <w:t>.</w:t>
      </w:r>
      <w:r w:rsidRPr="005A691D" w:rsidR="008B3FC2">
        <w:rPr>
          <w:bCs/>
        </w:rPr>
        <w:t xml:space="preserve"> </w:t>
      </w:r>
      <w:r w:rsidRPr="005A691D" w:rsidR="00240680">
        <w:rPr>
          <w:bCs/>
        </w:rPr>
        <w:t xml:space="preserve"> </w:t>
      </w:r>
      <w:r w:rsidRPr="005A691D" w:rsidR="008B3FC2">
        <w:rPr>
          <w:bCs/>
        </w:rPr>
        <w:t>Documentation of study recruitment and scheduling will be stored separate from the data collected</w:t>
      </w:r>
      <w:r w:rsidRPr="005A691D" w:rsidR="00D00967">
        <w:rPr>
          <w:bCs/>
        </w:rPr>
        <w:t>,</w:t>
      </w:r>
      <w:r w:rsidRPr="005A691D" w:rsidR="008B3FC2">
        <w:rPr>
          <w:bCs/>
        </w:rPr>
        <w:t xml:space="preserve"> during the study. </w:t>
      </w:r>
      <w:r w:rsidRPr="005A691D" w:rsidR="00240680">
        <w:rPr>
          <w:bCs/>
        </w:rPr>
        <w:t xml:space="preserve"> </w:t>
      </w:r>
      <w:r w:rsidRPr="005A691D" w:rsidR="008B3FC2">
        <w:rPr>
          <w:bCs/>
        </w:rPr>
        <w:t>The study dataset will not contain any identifiable information.</w:t>
      </w:r>
      <w:r w:rsidRPr="005A691D">
        <w:rPr>
          <w:bCs/>
        </w:rPr>
        <w:t xml:space="preserve"> </w:t>
      </w:r>
    </w:p>
    <w:p w:rsidRPr="005A691D" w:rsidR="00E405F4" w:rsidP="005A691D" w:rsidRDefault="00E405F4" w14:paraId="271DBBEC" w14:textId="77777777">
      <w:pPr>
        <w:ind w:left="360"/>
      </w:pPr>
    </w:p>
    <w:p w:rsidRPr="005A691D" w:rsidR="00EB75EE" w:rsidP="005A691D" w:rsidRDefault="00840740" w14:paraId="4FFB79D1" w14:textId="77777777">
      <w:pPr>
        <w:numPr>
          <w:ilvl w:val="0"/>
          <w:numId w:val="23"/>
        </w:numPr>
        <w:ind w:hanging="720"/>
      </w:pPr>
      <w:r w:rsidRPr="005A691D">
        <w:rPr>
          <w:b/>
        </w:rPr>
        <w:t xml:space="preserve">Amount and </w:t>
      </w:r>
      <w:r w:rsidRPr="005A691D" w:rsidR="00EB75EE">
        <w:rPr>
          <w:b/>
        </w:rPr>
        <w:t>J</w:t>
      </w:r>
      <w:r w:rsidRPr="005A691D">
        <w:rPr>
          <w:b/>
        </w:rPr>
        <w:t xml:space="preserve">ustification for </w:t>
      </w:r>
      <w:r w:rsidRPr="005A691D" w:rsidR="00EB75EE">
        <w:rPr>
          <w:b/>
        </w:rPr>
        <w:t>A</w:t>
      </w:r>
      <w:r w:rsidRPr="005A691D">
        <w:rPr>
          <w:b/>
        </w:rPr>
        <w:t xml:space="preserve">ny </w:t>
      </w:r>
      <w:r w:rsidRPr="005A691D" w:rsidR="00EB75EE">
        <w:rPr>
          <w:b/>
        </w:rPr>
        <w:t>P</w:t>
      </w:r>
      <w:r w:rsidRPr="005A691D">
        <w:rPr>
          <w:b/>
        </w:rPr>
        <w:t xml:space="preserve">roposed </w:t>
      </w:r>
      <w:r w:rsidRPr="005A691D" w:rsidR="00EB75EE">
        <w:rPr>
          <w:b/>
        </w:rPr>
        <w:t>I</w:t>
      </w:r>
      <w:r w:rsidRPr="005A691D">
        <w:rPr>
          <w:b/>
        </w:rPr>
        <w:t>ncentive:</w:t>
      </w:r>
    </w:p>
    <w:p w:rsidRPr="005A691D" w:rsidR="00BA6BF7" w:rsidP="005A691D" w:rsidRDefault="0090503B" w14:paraId="1CD1C292" w14:textId="286F46CA">
      <w:pPr>
        <w:ind w:left="720"/>
      </w:pPr>
      <w:r w:rsidRPr="005A691D">
        <w:t xml:space="preserve"> </w:t>
      </w:r>
    </w:p>
    <w:p w:rsidRPr="005A691D" w:rsidR="00E405F4" w:rsidP="005A691D" w:rsidRDefault="00BA6BF7" w14:paraId="4FAE044D" w14:textId="5B940111">
      <w:pPr>
        <w:ind w:left="720"/>
        <w:rPr>
          <w:b/>
        </w:rPr>
      </w:pPr>
      <w:r w:rsidRPr="005A691D">
        <w:rPr>
          <w:iCs/>
        </w:rPr>
        <w:t xml:space="preserve">Respondents will receive a $25 visa gift card for their participation in the study. Participation time is expected to be 60 minutes. </w:t>
      </w:r>
      <w:r w:rsidRPr="005A691D" w:rsidR="00240680">
        <w:rPr>
          <w:iCs/>
        </w:rPr>
        <w:t xml:space="preserve"> </w:t>
      </w:r>
      <w:r w:rsidRPr="005A691D">
        <w:rPr>
          <w:iCs/>
        </w:rPr>
        <w:t xml:space="preserve">This amount of compensation is </w:t>
      </w:r>
      <w:r w:rsidRPr="005A691D" w:rsidR="00B5012B">
        <w:rPr>
          <w:iCs/>
        </w:rPr>
        <w:t>appropriate for</w:t>
      </w:r>
      <w:r w:rsidRPr="005A691D">
        <w:rPr>
          <w:iCs/>
        </w:rPr>
        <w:t xml:space="preserve"> the </w:t>
      </w:r>
      <w:r w:rsidR="00A5152F">
        <w:rPr>
          <w:iCs/>
        </w:rPr>
        <w:t>e</w:t>
      </w:r>
      <w:r w:rsidRPr="005A691D">
        <w:rPr>
          <w:iCs/>
        </w:rPr>
        <w:t>ffort required to complete the study.</w:t>
      </w:r>
    </w:p>
    <w:p w:rsidRPr="005A691D" w:rsidR="00E405F4" w:rsidP="005A691D" w:rsidRDefault="00E405F4" w14:paraId="61E7E200" w14:textId="77777777">
      <w:pPr>
        <w:ind w:left="720"/>
        <w:rPr>
          <w:b/>
        </w:rPr>
      </w:pPr>
    </w:p>
    <w:p w:rsidRPr="005A691D" w:rsidR="00E405F4" w:rsidP="005A691D" w:rsidRDefault="003A2F10" w14:paraId="17D606A6" w14:textId="78E9533A">
      <w:pPr>
        <w:numPr>
          <w:ilvl w:val="0"/>
          <w:numId w:val="23"/>
        </w:numPr>
        <w:ind w:hanging="720"/>
        <w:rPr>
          <w:b/>
        </w:rPr>
      </w:pPr>
      <w:r w:rsidRPr="005A691D">
        <w:rPr>
          <w:b/>
        </w:rPr>
        <w:t xml:space="preserve">Questions of a </w:t>
      </w:r>
      <w:r w:rsidRPr="005A691D" w:rsidR="004F30A2">
        <w:rPr>
          <w:b/>
        </w:rPr>
        <w:t>S</w:t>
      </w:r>
      <w:r w:rsidRPr="005A691D">
        <w:rPr>
          <w:b/>
        </w:rPr>
        <w:t xml:space="preserve">ensitive </w:t>
      </w:r>
      <w:r w:rsidRPr="005A691D" w:rsidR="004F30A2">
        <w:rPr>
          <w:b/>
        </w:rPr>
        <w:t>N</w:t>
      </w:r>
      <w:r w:rsidRPr="005A691D" w:rsidR="00DD1CCA">
        <w:rPr>
          <w:b/>
        </w:rPr>
        <w:t>ature</w:t>
      </w:r>
      <w:r w:rsidRPr="005A691D">
        <w:rPr>
          <w:b/>
        </w:rPr>
        <w:t>:</w:t>
      </w:r>
      <w:r w:rsidRPr="005A691D" w:rsidR="007D0AC9">
        <w:rPr>
          <w:b/>
        </w:rPr>
        <w:t xml:space="preserve"> </w:t>
      </w:r>
    </w:p>
    <w:p w:rsidRPr="005A691D" w:rsidR="004F30A2" w:rsidP="005A691D" w:rsidRDefault="004F30A2" w14:paraId="2522D0F9" w14:textId="77777777">
      <w:pPr>
        <w:ind w:left="720"/>
        <w:rPr>
          <w:b/>
        </w:rPr>
      </w:pPr>
    </w:p>
    <w:p w:rsidRPr="005A691D" w:rsidR="00BA6BF7" w:rsidP="005A691D" w:rsidRDefault="00BA6BF7" w14:paraId="744C7710" w14:textId="513BFEA6">
      <w:pPr>
        <w:ind w:left="720"/>
        <w:rPr>
          <w:b/>
        </w:rPr>
      </w:pPr>
      <w:r w:rsidRPr="005A691D">
        <w:rPr>
          <w:bCs/>
        </w:rPr>
        <w:t>Respondents will be asked questions about their history of substance use</w:t>
      </w:r>
      <w:r w:rsidRPr="005A691D" w:rsidR="00DB4D59">
        <w:rPr>
          <w:bCs/>
        </w:rPr>
        <w:t>, which may be viewed as sensitive in nature.</w:t>
      </w:r>
      <w:r w:rsidRPr="005A691D">
        <w:rPr>
          <w:bCs/>
        </w:rPr>
        <w:t xml:space="preserve"> </w:t>
      </w:r>
    </w:p>
    <w:p w:rsidRPr="005A691D" w:rsidR="00DD1CCA" w:rsidP="005A691D" w:rsidRDefault="00DD1CCA" w14:paraId="41498E3D" w14:textId="77777777">
      <w:pPr>
        <w:pStyle w:val="ListParagraph"/>
      </w:pPr>
      <w:bookmarkStart w:name="_GoBack" w:id="0"/>
      <w:bookmarkEnd w:id="0"/>
    </w:p>
    <w:p w:rsidRPr="005A691D" w:rsidR="004B441C" w:rsidP="005A691D" w:rsidRDefault="00DD1CCA" w14:paraId="3C6D5661" w14:textId="77777777">
      <w:pPr>
        <w:numPr>
          <w:ilvl w:val="0"/>
          <w:numId w:val="23"/>
        </w:numPr>
        <w:ind w:hanging="720"/>
      </w:pPr>
      <w:r w:rsidRPr="005A691D">
        <w:rPr>
          <w:b/>
        </w:rPr>
        <w:t>Descripti</w:t>
      </w:r>
      <w:r w:rsidRPr="005A691D" w:rsidR="003A2F10">
        <w:rPr>
          <w:b/>
        </w:rPr>
        <w:t xml:space="preserve">on of </w:t>
      </w:r>
      <w:r w:rsidRPr="005A691D" w:rsidR="004B441C">
        <w:rPr>
          <w:b/>
        </w:rPr>
        <w:t>S</w:t>
      </w:r>
      <w:r w:rsidRPr="005A691D" w:rsidR="003A2F10">
        <w:rPr>
          <w:b/>
        </w:rPr>
        <w:t xml:space="preserve">tatistical </w:t>
      </w:r>
      <w:r w:rsidRPr="005A691D" w:rsidR="004B441C">
        <w:rPr>
          <w:b/>
        </w:rPr>
        <w:t>M</w:t>
      </w:r>
      <w:r w:rsidRPr="005A691D">
        <w:rPr>
          <w:b/>
        </w:rPr>
        <w:t>ethods</w:t>
      </w:r>
      <w:r w:rsidRPr="005A691D" w:rsidR="003A2F10">
        <w:rPr>
          <w:b/>
        </w:rPr>
        <w:t>:</w:t>
      </w:r>
    </w:p>
    <w:p w:rsidRPr="005A691D" w:rsidR="00DD1CCA" w:rsidP="005A691D" w:rsidRDefault="004219DF" w14:paraId="3DE299B2" w14:textId="7B88713E">
      <w:pPr>
        <w:ind w:left="720"/>
      </w:pPr>
      <w:r w:rsidRPr="005A691D">
        <w:rPr>
          <w:b/>
        </w:rPr>
        <w:t xml:space="preserve"> </w:t>
      </w:r>
    </w:p>
    <w:p w:rsidRPr="005A691D" w:rsidR="00DB4D59" w:rsidP="005A691D" w:rsidRDefault="00DB4D59" w14:paraId="3B1C69C6" w14:textId="5755FA49">
      <w:pPr>
        <w:numPr>
          <w:ilvl w:val="1"/>
          <w:numId w:val="23"/>
        </w:numPr>
        <w:ind w:hanging="720"/>
      </w:pPr>
      <w:r w:rsidRPr="005A691D">
        <w:t xml:space="preserve">As a first step, we will produce descriptive statistics for continuous variables (i.e., means, standard deviations, medians, quartiles, and frequencies) and categorical variables (i.e., frequencies and percentages). </w:t>
      </w:r>
      <w:r w:rsidRPr="005A691D" w:rsidR="00240680">
        <w:t xml:space="preserve"> </w:t>
      </w:r>
      <w:r w:rsidRPr="005A691D">
        <w:t>For composite measures</w:t>
      </w:r>
      <w:r w:rsidRPr="005A691D" w:rsidR="00240680">
        <w:t>,</w:t>
      </w:r>
      <w:r w:rsidRPr="005A691D">
        <w:t xml:space="preserve"> we will assess internal consistency</w:t>
      </w:r>
      <w:r w:rsidRPr="005A691D" w:rsidR="00D00967">
        <w:t>,</w:t>
      </w:r>
      <w:r w:rsidRPr="005A691D">
        <w:t xml:space="preserve"> among the items for each measure</w:t>
      </w:r>
      <w:r w:rsidRPr="005A691D" w:rsidR="00240680">
        <w:t>,</w:t>
      </w:r>
      <w:r w:rsidRPr="005A691D">
        <w:t xml:space="preserve"> using Cronbach’s alpha as our metric. </w:t>
      </w:r>
      <w:r w:rsidRPr="005A691D" w:rsidR="00240680">
        <w:t xml:space="preserve"> </w:t>
      </w:r>
      <w:r w:rsidRPr="005A691D">
        <w:t>For scales that fail to meet our threshold of 0.75, we will examine whether dropping items will improve reliability or use a single-item measure.</w:t>
      </w:r>
    </w:p>
    <w:p w:rsidRPr="005A691D" w:rsidR="004B441C" w:rsidP="005A691D" w:rsidRDefault="004B441C" w14:paraId="377899F1" w14:textId="77777777">
      <w:pPr>
        <w:ind w:left="1440"/>
      </w:pPr>
    </w:p>
    <w:p w:rsidRPr="005A691D" w:rsidR="00DB4D59" w:rsidP="005A691D" w:rsidRDefault="00DB4D59" w14:paraId="12DF5620" w14:textId="7E08B5AE">
      <w:pPr>
        <w:numPr>
          <w:ilvl w:val="1"/>
          <w:numId w:val="23"/>
        </w:numPr>
        <w:ind w:hanging="720"/>
      </w:pPr>
      <w:r w:rsidRPr="005A691D">
        <w:t xml:space="preserve">We will conduct a content analysis of responses to the open-ended questions to classify responses as either correctly or incorrectly identifying the product shown in each free-recall exercise. </w:t>
      </w:r>
      <w:r w:rsidRPr="005A691D" w:rsidR="00240680">
        <w:t xml:space="preserve"> </w:t>
      </w:r>
      <w:r w:rsidRPr="005A691D">
        <w:t xml:space="preserve">We will </w:t>
      </w:r>
      <w:r w:rsidRPr="005A691D" w:rsidR="00796223">
        <w:t>d</w:t>
      </w:r>
      <w:r w:rsidRPr="005A691D">
        <w:t xml:space="preserve">evelop a codebook that captures whether the answers provided constitute correct ascertainment for each product and the degree to which answers are correct. </w:t>
      </w:r>
      <w:r w:rsidRPr="005A691D" w:rsidR="00240680">
        <w:t xml:space="preserve"> </w:t>
      </w:r>
      <w:r w:rsidRPr="005A691D">
        <w:t>For example,</w:t>
      </w:r>
      <w:r w:rsidRPr="005A691D" w:rsidR="00240680">
        <w:t xml:space="preserve"> we will capture whether </w:t>
      </w:r>
      <w:r w:rsidRPr="005A691D">
        <w:lastRenderedPageBreak/>
        <w:t>participants correctly identif</w:t>
      </w:r>
      <w:r w:rsidRPr="005A691D" w:rsidR="00240680">
        <w:t>ied</w:t>
      </w:r>
      <w:r w:rsidRPr="005A691D">
        <w:t xml:space="preserve"> the brand name (if applicable), the active ingredient, the time release formulation, </w:t>
      </w:r>
      <w:r w:rsidRPr="005A691D" w:rsidR="00240680">
        <w:t xml:space="preserve">and </w:t>
      </w:r>
      <w:r w:rsidRPr="005A691D">
        <w:t>the street or slang name</w:t>
      </w:r>
      <w:r w:rsidRPr="005A691D" w:rsidR="00240680">
        <w:t>.</w:t>
      </w:r>
      <w:r w:rsidRPr="005A691D">
        <w:t xml:space="preserve"> </w:t>
      </w:r>
    </w:p>
    <w:p w:rsidRPr="005A691D" w:rsidR="004B441C" w:rsidP="005A691D" w:rsidRDefault="004B441C" w14:paraId="3494814A" w14:textId="77777777">
      <w:pPr>
        <w:pStyle w:val="ListParagraph"/>
      </w:pPr>
    </w:p>
    <w:p w:rsidRPr="005A691D" w:rsidR="00DB4D59" w:rsidP="005A691D" w:rsidRDefault="00DB4D59" w14:paraId="014A8F07" w14:textId="412ADF7E">
      <w:pPr>
        <w:numPr>
          <w:ilvl w:val="1"/>
          <w:numId w:val="23"/>
        </w:numPr>
        <w:ind w:hanging="720"/>
      </w:pPr>
      <w:r w:rsidRPr="005A691D">
        <w:t xml:space="preserve">To understand the effect of stimuli and exercises on product ascertainment, repeated measures will be conducted on each participant. </w:t>
      </w:r>
      <w:bookmarkStart w:name="_Hlk56421140" w:id="1"/>
      <w:r w:rsidRPr="005A691D" w:rsidR="00240680">
        <w:t xml:space="preserve"> </w:t>
      </w:r>
      <w:r w:rsidRPr="005A691D">
        <w:t xml:space="preserve">Whenever within-subject factors </w:t>
      </w:r>
      <w:bookmarkEnd w:id="1"/>
      <w:r w:rsidRPr="005A691D">
        <w:t>are used in an experiment, the statistical methods need to adjust for data-correlated errors that are likely to arise</w:t>
      </w:r>
      <w:r w:rsidRPr="005A691D" w:rsidR="00240680">
        <w:t>,</w:t>
      </w:r>
      <w:r w:rsidRPr="005A691D">
        <w:t xml:space="preserve"> due to multiple measurements made on the same subject. </w:t>
      </w:r>
      <w:r w:rsidRPr="005A691D" w:rsidR="00240680">
        <w:t xml:space="preserve"> </w:t>
      </w:r>
      <w:r w:rsidRPr="005A691D">
        <w:t>Hierarchal models or mixed models will be used to analyze and account for variability among participants and within participants from measure to measure.</w:t>
      </w:r>
    </w:p>
    <w:p w:rsidRPr="005A691D" w:rsidR="004B441C" w:rsidP="005A691D" w:rsidRDefault="004B441C" w14:paraId="5B215C94" w14:textId="77777777">
      <w:pPr>
        <w:pStyle w:val="ListParagraph"/>
      </w:pPr>
    </w:p>
    <w:p w:rsidRPr="005A691D" w:rsidR="00DB4D59" w:rsidP="005A691D" w:rsidRDefault="00240680" w14:paraId="094F1353" w14:textId="2DB70606">
      <w:pPr>
        <w:numPr>
          <w:ilvl w:val="1"/>
          <w:numId w:val="23"/>
        </w:numPr>
        <w:ind w:hanging="720"/>
      </w:pPr>
      <w:r w:rsidRPr="005A691D">
        <w:t>Sinc</w:t>
      </w:r>
      <w:r w:rsidRPr="005A691D" w:rsidR="00DB4D59">
        <w:t xml:space="preserve">e our primary outcome measure is dichotomous, we will conduct a multilevel mixed-effects logistic regression. </w:t>
      </w:r>
      <w:r w:rsidRPr="005A691D">
        <w:t xml:space="preserve"> </w:t>
      </w:r>
      <w:r w:rsidRPr="005A691D" w:rsidR="00DB4D59">
        <w:t xml:space="preserve">In this model, correct ascertainment is the outcome and is measured at </w:t>
      </w:r>
      <w:r w:rsidRPr="005A691D" w:rsidR="00B62583">
        <w:t>l</w:t>
      </w:r>
      <w:r w:rsidRPr="005A691D" w:rsidR="00DB4D59">
        <w:t xml:space="preserve">evel 1 (i.e., the ascertainment exercise level). </w:t>
      </w:r>
      <w:r w:rsidRPr="005A691D">
        <w:t xml:space="preserve"> </w:t>
      </w:r>
      <w:r w:rsidRPr="005A691D" w:rsidR="00DB4D59">
        <w:t xml:space="preserve">The main predictors of interest also occur at Level 1 and relate to the type of measure (free-recall, product list, product list with active ingredient option, active ingredient list, or photograph). </w:t>
      </w:r>
      <w:r w:rsidRPr="005A691D">
        <w:t xml:space="preserve"> </w:t>
      </w:r>
      <w:r w:rsidRPr="005A691D" w:rsidR="00DB4D59">
        <w:t>See protocol for detailed methods and algorithms.</w:t>
      </w:r>
    </w:p>
    <w:p w:rsidRPr="005A691D" w:rsidR="00F94524" w:rsidP="005A691D" w:rsidRDefault="00F94524" w14:paraId="616EDD15" w14:textId="77777777"/>
    <w:p w:rsidRPr="005A691D" w:rsidR="00DB4D59" w:rsidP="005A691D" w:rsidRDefault="00DB4D59" w14:paraId="41B80647" w14:textId="74E49C1D">
      <w:pPr>
        <w:ind w:left="1440"/>
      </w:pPr>
      <w:r w:rsidRPr="005A691D">
        <w:t>Assuming repeated measures over 96 participants, with each participant answering questions for 8 product names, and 5 types of ascertainment measures per participant and product name in a multilevel design with crossed random effects (i.e., participants and drug products are nested in 4 blocks with 24 participants and 8 products</w:t>
      </w:r>
      <w:r w:rsidRPr="005A691D" w:rsidR="00B7540E">
        <w:t>,</w:t>
      </w:r>
      <w:r w:rsidRPr="005A691D">
        <w:t xml:space="preserve"> per block), the study will have 80% power at α = 0.05 to detect medium-small main effects by type of ascertainment measure (d = 0.41).  The design has considerable flexibility if we need to revise assumptions to include fewer participants. </w:t>
      </w:r>
      <w:r w:rsidRPr="005A691D" w:rsidR="00240680">
        <w:t xml:space="preserve"> </w:t>
      </w:r>
      <w:r w:rsidRPr="005A691D">
        <w:t>For example, with only 48 participants and all other assumptions held constant, the study would still be sensitive to detect conventionally medium-sized effects (d = 0.47).</w:t>
      </w:r>
    </w:p>
    <w:p w:rsidRPr="005A691D" w:rsidR="00F94524" w:rsidP="005A691D" w:rsidRDefault="00F94524" w14:paraId="1521FA80" w14:textId="77777777">
      <w:pPr>
        <w:ind w:left="1440"/>
      </w:pPr>
    </w:p>
    <w:p w:rsidRPr="005A691D" w:rsidR="00DB4D59" w:rsidP="005A691D" w:rsidRDefault="00DB4D59" w14:paraId="32389E74" w14:textId="71D82A61">
      <w:pPr>
        <w:numPr>
          <w:ilvl w:val="1"/>
          <w:numId w:val="23"/>
        </w:numPr>
        <w:ind w:hanging="720"/>
      </w:pPr>
      <w:r w:rsidRPr="005A691D">
        <w:t xml:space="preserve">We will use a thematic and iterative approach for analyzing the interview data gathered from all participants who complete the interview. </w:t>
      </w:r>
      <w:r w:rsidRPr="005A691D" w:rsidR="00240680">
        <w:t xml:space="preserve"> </w:t>
      </w:r>
      <w:r w:rsidRPr="005A691D">
        <w:t>These will be the same participants as those included in the main analyses</w:t>
      </w:r>
      <w:r w:rsidRPr="005A691D" w:rsidR="00240680">
        <w:t>,</w:t>
      </w:r>
      <w:r w:rsidRPr="005A691D">
        <w:t xml:space="preserve"> described above. </w:t>
      </w:r>
      <w:r w:rsidRPr="005A691D" w:rsidR="00240680">
        <w:t xml:space="preserve"> </w:t>
      </w:r>
      <w:r w:rsidRPr="005A691D">
        <w:t>This qualitative method involves identifying, analyzing, and reporting patterns or “themes</w:t>
      </w:r>
      <w:r w:rsidRPr="005A691D" w:rsidR="00B7540E">
        <w:t>,</w:t>
      </w:r>
      <w:r w:rsidRPr="005A691D">
        <w:t>” within data</w:t>
      </w:r>
      <w:r w:rsidRPr="005A691D" w:rsidR="00B7540E">
        <w:t>,</w:t>
      </w:r>
      <w:r w:rsidRPr="005A691D">
        <w:t xml:space="preserve"> </w:t>
      </w:r>
      <w:r w:rsidRPr="005A691D" w:rsidR="00240680">
        <w:t xml:space="preserve">that are </w:t>
      </w:r>
      <w:r w:rsidRPr="005A691D">
        <w:t>specific to decision</w:t>
      </w:r>
      <w:r w:rsidRPr="005A691D" w:rsidR="00240680">
        <w:t>-</w:t>
      </w:r>
      <w:r w:rsidRPr="005A691D">
        <w:t>making and identification of prescription opioid products.</w:t>
      </w:r>
    </w:p>
    <w:p w:rsidRPr="005A691D" w:rsidR="00DB4D59" w:rsidP="005A691D" w:rsidRDefault="00DB4D59" w14:paraId="20A02618" w14:textId="77777777"/>
    <w:p w:rsidRPr="005A691D" w:rsidR="00E405F4" w:rsidP="005A691D" w:rsidRDefault="00E405F4" w14:paraId="392F0BD8" w14:textId="77777777">
      <w:pPr>
        <w:ind w:left="720"/>
      </w:pPr>
    </w:p>
    <w:p w:rsidRPr="005A691D" w:rsidR="00CB751B" w:rsidP="005A691D" w:rsidRDefault="003F1C7A" w14:paraId="4B7D892E" w14:textId="77777777">
      <w:pPr>
        <w:rPr>
          <w:i/>
        </w:rPr>
      </w:pPr>
      <w:r w:rsidRPr="005A691D">
        <w:rPr>
          <w:b/>
        </w:rPr>
        <w:t>BURDEN HOUR COMPUTATION</w:t>
      </w:r>
      <w:r w:rsidRPr="005A691D" w:rsidR="007424EB">
        <w:t>:</w:t>
      </w:r>
      <w:r w:rsidRPr="005A691D" w:rsidR="00CB751B">
        <w:t xml:space="preserve"> (</w:t>
      </w:r>
      <w:r w:rsidRPr="005A691D" w:rsidR="00CB751B">
        <w:rPr>
          <w:i/>
        </w:rPr>
        <w:t>Number of responses (X) estimated response or participation time in minutes (/60) = annual burden hours):</w:t>
      </w:r>
    </w:p>
    <w:p w:rsidRPr="005A691D" w:rsidR="003F1C7A" w:rsidP="005A691D" w:rsidRDefault="003F1C7A" w14:paraId="5CE63090" w14:textId="0C917D39"/>
    <w:p w:rsidRPr="005A691D" w:rsidR="007424EB" w:rsidP="005A691D" w:rsidRDefault="007424EB" w14:paraId="05E1EF04" w14:textId="77777777">
      <w:pPr>
        <w:rPr>
          <w:i/>
        </w:rPr>
      </w:pPr>
    </w:p>
    <w:tbl>
      <w:tblPr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325"/>
        <w:gridCol w:w="1710"/>
        <w:gridCol w:w="2160"/>
        <w:gridCol w:w="1674"/>
      </w:tblGrid>
      <w:tr w:rsidRPr="005A691D" w:rsidR="007424EB" w:rsidTr="00332267" w14:paraId="6EE14CCE" w14:textId="77777777">
        <w:trPr>
          <w:trHeight w:val="274"/>
          <w:jc w:val="center"/>
        </w:trPr>
        <w:tc>
          <w:tcPr>
            <w:tcW w:w="3325" w:type="dxa"/>
            <w:shd w:val="clear" w:color="auto" w:fill="E0E0E0"/>
          </w:tcPr>
          <w:p w:rsidRPr="005A691D" w:rsidR="003F1C7A" w:rsidP="005A691D" w:rsidRDefault="00696B03" w14:paraId="479B12BE" w14:textId="77777777">
            <w:pPr>
              <w:jc w:val="center"/>
              <w:rPr>
                <w:b/>
              </w:rPr>
            </w:pPr>
            <w:r w:rsidRPr="005A691D">
              <w:rPr>
                <w:b/>
              </w:rPr>
              <w:t>Type/</w:t>
            </w:r>
            <w:r w:rsidRPr="005A691D" w:rsidR="003F1C7A">
              <w:rPr>
                <w:b/>
              </w:rPr>
              <w:t>Category of Respondent</w:t>
            </w:r>
          </w:p>
        </w:tc>
        <w:tc>
          <w:tcPr>
            <w:tcW w:w="1710" w:type="dxa"/>
            <w:shd w:val="clear" w:color="auto" w:fill="E0E0E0"/>
          </w:tcPr>
          <w:p w:rsidRPr="005A691D" w:rsidR="003F1C7A" w:rsidP="005A691D" w:rsidRDefault="003F1C7A" w14:paraId="232AD5E5" w14:textId="77777777">
            <w:pPr>
              <w:jc w:val="center"/>
              <w:rPr>
                <w:b/>
              </w:rPr>
            </w:pPr>
            <w:r w:rsidRPr="005A691D">
              <w:rPr>
                <w:b/>
              </w:rPr>
              <w:t>No. of Respondent</w:t>
            </w:r>
            <w:r w:rsidRPr="005A691D" w:rsidR="00696B03">
              <w:rPr>
                <w:b/>
              </w:rPr>
              <w:t>s</w:t>
            </w:r>
          </w:p>
        </w:tc>
        <w:tc>
          <w:tcPr>
            <w:tcW w:w="2160" w:type="dxa"/>
            <w:shd w:val="clear" w:color="auto" w:fill="E0E0E0"/>
          </w:tcPr>
          <w:p w:rsidRPr="005A691D" w:rsidR="003F1C7A" w:rsidP="005A691D" w:rsidRDefault="003F1C7A" w14:paraId="3D5C87FC" w14:textId="77777777">
            <w:pPr>
              <w:jc w:val="center"/>
              <w:rPr>
                <w:b/>
              </w:rPr>
            </w:pPr>
            <w:r w:rsidRPr="005A691D">
              <w:rPr>
                <w:b/>
              </w:rPr>
              <w:t>Participation Time</w:t>
            </w:r>
            <w:r w:rsidRPr="005A691D" w:rsidR="00696B03">
              <w:rPr>
                <w:b/>
              </w:rPr>
              <w:t xml:space="preserve"> (minutes)</w:t>
            </w:r>
          </w:p>
        </w:tc>
        <w:tc>
          <w:tcPr>
            <w:tcW w:w="1674" w:type="dxa"/>
            <w:shd w:val="clear" w:color="auto" w:fill="E0E0E0"/>
          </w:tcPr>
          <w:p w:rsidRPr="005A691D" w:rsidR="003F1C7A" w:rsidP="005A691D" w:rsidRDefault="003F1C7A" w14:paraId="21D9A790" w14:textId="77777777">
            <w:pPr>
              <w:jc w:val="center"/>
              <w:rPr>
                <w:b/>
              </w:rPr>
            </w:pPr>
            <w:r w:rsidRPr="005A691D">
              <w:rPr>
                <w:b/>
              </w:rPr>
              <w:t>Burden</w:t>
            </w:r>
          </w:p>
          <w:p w:rsidRPr="005A691D" w:rsidR="00696B03" w:rsidP="005A691D" w:rsidRDefault="00696B03" w14:paraId="35FE110F" w14:textId="77777777">
            <w:pPr>
              <w:jc w:val="center"/>
              <w:rPr>
                <w:b/>
              </w:rPr>
            </w:pPr>
            <w:r w:rsidRPr="005A691D">
              <w:rPr>
                <w:b/>
              </w:rPr>
              <w:t>(hours)</w:t>
            </w:r>
          </w:p>
        </w:tc>
      </w:tr>
      <w:tr w:rsidRPr="005A691D" w:rsidR="007424EB" w:rsidTr="00332267" w14:paraId="40D5CEB1" w14:textId="77777777">
        <w:trPr>
          <w:trHeight w:val="274"/>
          <w:jc w:val="center"/>
        </w:trPr>
        <w:tc>
          <w:tcPr>
            <w:tcW w:w="3325" w:type="dxa"/>
          </w:tcPr>
          <w:p w:rsidRPr="005A691D" w:rsidR="007424EB" w:rsidP="005A691D" w:rsidRDefault="002146CF" w14:paraId="544C6B4D" w14:textId="1DFD03A7">
            <w:r w:rsidRPr="005A691D">
              <w:t>Online exercise completion</w:t>
            </w:r>
          </w:p>
        </w:tc>
        <w:tc>
          <w:tcPr>
            <w:tcW w:w="1710" w:type="dxa"/>
          </w:tcPr>
          <w:p w:rsidRPr="005A691D" w:rsidR="00E405F4" w:rsidP="005A691D" w:rsidRDefault="00BA6BF7" w14:paraId="056D8C90" w14:textId="695BA427">
            <w:pPr>
              <w:jc w:val="center"/>
            </w:pPr>
            <w:r w:rsidRPr="005A691D">
              <w:t>96</w:t>
            </w:r>
          </w:p>
        </w:tc>
        <w:tc>
          <w:tcPr>
            <w:tcW w:w="2160" w:type="dxa"/>
          </w:tcPr>
          <w:p w:rsidRPr="005A691D" w:rsidR="00E405F4" w:rsidP="005A691D" w:rsidRDefault="00BA6BF7" w14:paraId="21E16C94" w14:textId="4067A373">
            <w:r w:rsidRPr="005A691D">
              <w:t>45 minutes</w:t>
            </w:r>
          </w:p>
        </w:tc>
        <w:tc>
          <w:tcPr>
            <w:tcW w:w="1674" w:type="dxa"/>
          </w:tcPr>
          <w:p w:rsidRPr="005A691D" w:rsidR="003F1C7A" w:rsidP="005A691D" w:rsidRDefault="00BA6BF7" w14:paraId="600F2A47" w14:textId="20F372D6">
            <w:r w:rsidRPr="005A691D">
              <w:t>72 hours</w:t>
            </w:r>
          </w:p>
        </w:tc>
      </w:tr>
      <w:tr w:rsidRPr="005A691D" w:rsidR="00061426" w:rsidTr="00332267" w14:paraId="1B94F1A8" w14:textId="77777777">
        <w:trPr>
          <w:trHeight w:val="274"/>
          <w:jc w:val="center"/>
        </w:trPr>
        <w:tc>
          <w:tcPr>
            <w:tcW w:w="3325" w:type="dxa"/>
          </w:tcPr>
          <w:p w:rsidRPr="005A691D" w:rsidR="00061426" w:rsidP="005A691D" w:rsidRDefault="00061426" w14:paraId="6F53BBD5" w14:textId="16EBF436">
            <w:r w:rsidRPr="005A691D">
              <w:t>Qualitative interview</w:t>
            </w:r>
          </w:p>
        </w:tc>
        <w:tc>
          <w:tcPr>
            <w:tcW w:w="1710" w:type="dxa"/>
          </w:tcPr>
          <w:p w:rsidRPr="005A691D" w:rsidR="00061426" w:rsidP="005A691D" w:rsidRDefault="00BA6BF7" w14:paraId="7A59CC44" w14:textId="204EE4BE">
            <w:pPr>
              <w:jc w:val="center"/>
            </w:pPr>
            <w:r w:rsidRPr="005A691D">
              <w:t>96</w:t>
            </w:r>
          </w:p>
        </w:tc>
        <w:tc>
          <w:tcPr>
            <w:tcW w:w="2160" w:type="dxa"/>
          </w:tcPr>
          <w:p w:rsidRPr="005A691D" w:rsidR="00061426" w:rsidP="005A691D" w:rsidRDefault="00BA6BF7" w14:paraId="61FE5080" w14:textId="3CCC496C">
            <w:r w:rsidRPr="005A691D">
              <w:t>15 minutes</w:t>
            </w:r>
          </w:p>
        </w:tc>
        <w:tc>
          <w:tcPr>
            <w:tcW w:w="1674" w:type="dxa"/>
          </w:tcPr>
          <w:p w:rsidRPr="005A691D" w:rsidR="00061426" w:rsidP="005A691D" w:rsidRDefault="00BA6BF7" w14:paraId="74632BD1" w14:textId="1A5271F7">
            <w:r w:rsidRPr="005A691D">
              <w:t>24 hours</w:t>
            </w:r>
          </w:p>
        </w:tc>
      </w:tr>
      <w:tr w:rsidRPr="005A691D" w:rsidR="00F95589" w:rsidTr="00332267" w14:paraId="6C60EC61" w14:textId="77777777">
        <w:trPr>
          <w:trHeight w:val="274"/>
          <w:jc w:val="center"/>
        </w:trPr>
        <w:tc>
          <w:tcPr>
            <w:tcW w:w="3325" w:type="dxa"/>
          </w:tcPr>
          <w:p w:rsidRPr="005A691D" w:rsidR="00F95589" w:rsidP="005A691D" w:rsidRDefault="00F95589" w14:paraId="44BFB246" w14:textId="0C48DE99">
            <w:pPr>
              <w:rPr>
                <w:b/>
              </w:rPr>
            </w:pPr>
            <w:r w:rsidRPr="005A691D">
              <w:rPr>
                <w:b/>
              </w:rPr>
              <w:t>Total</w:t>
            </w:r>
          </w:p>
        </w:tc>
        <w:tc>
          <w:tcPr>
            <w:tcW w:w="1710" w:type="dxa"/>
          </w:tcPr>
          <w:p w:rsidRPr="005A691D" w:rsidR="00F95589" w:rsidP="005A691D" w:rsidRDefault="00F95589" w14:paraId="0927022C" w14:textId="569DBE1E">
            <w:pPr>
              <w:jc w:val="center"/>
              <w:rPr>
                <w:b/>
              </w:rPr>
            </w:pPr>
            <w:r w:rsidRPr="005A691D">
              <w:rPr>
                <w:b/>
              </w:rPr>
              <w:t>96</w:t>
            </w:r>
          </w:p>
        </w:tc>
        <w:tc>
          <w:tcPr>
            <w:tcW w:w="2160" w:type="dxa"/>
          </w:tcPr>
          <w:p w:rsidRPr="005A691D" w:rsidR="00F95589" w:rsidP="005A691D" w:rsidRDefault="00435728" w14:paraId="388B0430" w14:textId="48114E06">
            <w:pPr>
              <w:rPr>
                <w:b/>
              </w:rPr>
            </w:pPr>
            <w:r w:rsidRPr="005A691D">
              <w:rPr>
                <w:b/>
              </w:rPr>
              <w:t>6</w:t>
            </w:r>
            <w:r w:rsidRPr="005A691D" w:rsidR="00F95589">
              <w:rPr>
                <w:b/>
              </w:rPr>
              <w:t>0 minutes</w:t>
            </w:r>
          </w:p>
        </w:tc>
        <w:tc>
          <w:tcPr>
            <w:tcW w:w="1674" w:type="dxa"/>
          </w:tcPr>
          <w:p w:rsidRPr="005A691D" w:rsidR="00F95589" w:rsidP="005A691D" w:rsidRDefault="00435728" w14:paraId="482C73BD" w14:textId="37598C1A">
            <w:pPr>
              <w:rPr>
                <w:b/>
              </w:rPr>
            </w:pPr>
            <w:r w:rsidRPr="005A691D">
              <w:rPr>
                <w:b/>
              </w:rPr>
              <w:t>96</w:t>
            </w:r>
            <w:r w:rsidRPr="005A691D" w:rsidR="00F95589">
              <w:rPr>
                <w:b/>
              </w:rPr>
              <w:t xml:space="preserve"> hours</w:t>
            </w:r>
          </w:p>
        </w:tc>
      </w:tr>
    </w:tbl>
    <w:p w:rsidRPr="005A691D" w:rsidR="00AE2C02" w:rsidP="005A691D" w:rsidRDefault="00AE2C02" w14:paraId="65674187" w14:textId="77777777"/>
    <w:p w:rsidRPr="005A691D" w:rsidR="00CB751B" w:rsidP="005A691D" w:rsidRDefault="00CB751B" w14:paraId="7870E57A" w14:textId="77777777">
      <w:pPr>
        <w:rPr>
          <w:b/>
        </w:rPr>
      </w:pPr>
    </w:p>
    <w:p w:rsidRPr="005A691D" w:rsidR="00E215FA" w:rsidP="005A691D" w:rsidRDefault="003F1C7A" w14:paraId="4549C118" w14:textId="6806F96F">
      <w:pPr>
        <w:rPr>
          <w:b/>
        </w:rPr>
      </w:pPr>
      <w:r w:rsidRPr="005A691D">
        <w:rPr>
          <w:b/>
        </w:rPr>
        <w:lastRenderedPageBreak/>
        <w:t xml:space="preserve">REQUESTED APPROVAL DATE:  </w:t>
      </w:r>
      <w:r w:rsidR="002A0DBB">
        <w:rPr>
          <w:bCs/>
        </w:rPr>
        <w:t>May</w:t>
      </w:r>
      <w:r w:rsidR="006A743B">
        <w:rPr>
          <w:bCs/>
        </w:rPr>
        <w:t>,</w:t>
      </w:r>
      <w:r w:rsidR="00720042">
        <w:rPr>
          <w:bCs/>
        </w:rPr>
        <w:t xml:space="preserve"> </w:t>
      </w:r>
      <w:r w:rsidRPr="005A691D" w:rsidR="00DB4D59">
        <w:rPr>
          <w:bCs/>
        </w:rPr>
        <w:t>202</w:t>
      </w:r>
      <w:r w:rsidRPr="005A691D" w:rsidR="00C40563">
        <w:rPr>
          <w:bCs/>
        </w:rPr>
        <w:t>1</w:t>
      </w:r>
      <w:r w:rsidRPr="005A691D" w:rsidR="00E33D8E">
        <w:rPr>
          <w:bCs/>
        </w:rPr>
        <w:t>.</w:t>
      </w:r>
    </w:p>
    <w:p w:rsidRPr="005A691D" w:rsidR="003B7ADD" w:rsidP="005A691D" w:rsidRDefault="003B7ADD" w14:paraId="39818285" w14:textId="55CB7D89">
      <w:pPr>
        <w:rPr>
          <w:b/>
        </w:rPr>
      </w:pPr>
    </w:p>
    <w:p w:rsidRPr="005A691D" w:rsidR="00CB751B" w:rsidP="005A691D" w:rsidRDefault="00CB751B" w14:paraId="7A9BCF40" w14:textId="77777777">
      <w:pPr>
        <w:rPr>
          <w:b/>
        </w:rPr>
      </w:pPr>
    </w:p>
    <w:p w:rsidRPr="005A691D" w:rsidR="00B378CA" w:rsidP="005A691D" w:rsidRDefault="00B378CA" w14:paraId="38790920" w14:textId="77777777">
      <w:pPr>
        <w:rPr>
          <w:b/>
        </w:rPr>
      </w:pPr>
      <w:r w:rsidRPr="005A691D">
        <w:rPr>
          <w:b/>
        </w:rPr>
        <w:t xml:space="preserve">NAME OF PRA ANALYST &amp; PROGRAM CONTACT: </w:t>
      </w:r>
    </w:p>
    <w:p w:rsidRPr="005A691D" w:rsidR="00521F03" w:rsidP="005A691D" w:rsidRDefault="00521F03" w14:paraId="165FDE2E" w14:textId="77777777">
      <w:pPr>
        <w:rPr>
          <w:b/>
        </w:rPr>
      </w:pPr>
    </w:p>
    <w:p w:rsidRPr="005A691D" w:rsidR="00772F67" w:rsidP="005A691D" w:rsidRDefault="00772F67" w14:paraId="7A1D0EFC" w14:textId="77777777">
      <w:pPr>
        <w:rPr>
          <w:bCs/>
        </w:rPr>
      </w:pPr>
      <w:r w:rsidRPr="005A691D">
        <w:rPr>
          <w:bCs/>
        </w:rPr>
        <w:t>Ila S. Mizrachi</w:t>
      </w:r>
    </w:p>
    <w:p w:rsidRPr="005A691D" w:rsidR="00772F67" w:rsidP="005A691D" w:rsidRDefault="00772F67" w14:paraId="47D4CA04" w14:textId="77777777">
      <w:pPr>
        <w:rPr>
          <w:bCs/>
        </w:rPr>
      </w:pPr>
      <w:r w:rsidRPr="005A691D">
        <w:rPr>
          <w:bCs/>
        </w:rPr>
        <w:t>Paperwork Reduction Act Staff</w:t>
      </w:r>
    </w:p>
    <w:p w:rsidRPr="005A691D" w:rsidR="00772F67" w:rsidP="005A691D" w:rsidRDefault="006A743B" w14:paraId="4956C7A8" w14:textId="13081741">
      <w:pPr>
        <w:rPr>
          <w:bCs/>
        </w:rPr>
      </w:pPr>
      <w:hyperlink w:history="1" r:id="rId11">
        <w:r w:rsidRPr="005A691D" w:rsidR="004A3136">
          <w:rPr>
            <w:rStyle w:val="Hyperlink"/>
            <w:bCs/>
          </w:rPr>
          <w:t>Ila.Mizrachi@fda.hhs.gov</w:t>
        </w:r>
      </w:hyperlink>
    </w:p>
    <w:p w:rsidRPr="005A691D" w:rsidR="00521F03" w:rsidP="005A691D" w:rsidRDefault="00772F67" w14:paraId="76DB3E1C" w14:textId="21364775">
      <w:r w:rsidRPr="005A691D">
        <w:rPr>
          <w:bCs/>
        </w:rPr>
        <w:t>301-796-7726</w:t>
      </w:r>
      <w:r w:rsidRPr="005A691D" w:rsidR="00521F03">
        <w:rPr>
          <w:b/>
        </w:rPr>
        <w:tab/>
      </w:r>
      <w:r w:rsidRPr="005A691D" w:rsidR="00521F03">
        <w:rPr>
          <w:b/>
        </w:rPr>
        <w:tab/>
      </w:r>
    </w:p>
    <w:p w:rsidRPr="005A691D" w:rsidR="00521F03" w:rsidP="005A691D" w:rsidRDefault="00521F03" w14:paraId="53EAA93D" w14:textId="77777777"/>
    <w:p w:rsidRPr="005A691D" w:rsidR="00772F67" w:rsidP="005A691D" w:rsidRDefault="00772F67" w14:paraId="263BA0BB" w14:textId="77777777">
      <w:pPr>
        <w:rPr>
          <w:bCs/>
        </w:rPr>
      </w:pPr>
      <w:r w:rsidRPr="005A691D">
        <w:rPr>
          <w:bCs/>
        </w:rPr>
        <w:t>Gretchen Opper</w:t>
      </w:r>
    </w:p>
    <w:p w:rsidRPr="005A691D" w:rsidR="00772F67" w:rsidP="005A691D" w:rsidRDefault="00772F67" w14:paraId="5891E6AC" w14:textId="77777777">
      <w:pPr>
        <w:rPr>
          <w:bCs/>
        </w:rPr>
      </w:pPr>
      <w:r w:rsidRPr="005A691D">
        <w:rPr>
          <w:bCs/>
        </w:rPr>
        <w:t>Office of Surveillance and Epidemiology</w:t>
      </w:r>
    </w:p>
    <w:p w:rsidRPr="005A691D" w:rsidR="00772F67" w:rsidP="005A691D" w:rsidRDefault="006A743B" w14:paraId="704B2BEC" w14:textId="39013C82">
      <w:pPr>
        <w:rPr>
          <w:bCs/>
        </w:rPr>
      </w:pPr>
      <w:hyperlink w:history="1" r:id="rId12">
        <w:r w:rsidRPr="005A691D" w:rsidR="004A3136">
          <w:rPr>
            <w:rStyle w:val="Hyperlink"/>
            <w:bCs/>
          </w:rPr>
          <w:t>Gretchen.Opper@fda.hhs.gov</w:t>
        </w:r>
      </w:hyperlink>
    </w:p>
    <w:p w:rsidRPr="005A691D" w:rsidR="00CB751B" w:rsidP="005A691D" w:rsidRDefault="00772F67" w14:paraId="5E3942FB" w14:textId="77777777">
      <w:pPr>
        <w:rPr>
          <w:b/>
        </w:rPr>
      </w:pPr>
      <w:r w:rsidRPr="005A691D">
        <w:rPr>
          <w:bCs/>
        </w:rPr>
        <w:t>240-402-8339</w:t>
      </w:r>
      <w:r w:rsidRPr="005A691D" w:rsidR="000857BB">
        <w:rPr>
          <w:b/>
        </w:rPr>
        <w:br/>
      </w:r>
    </w:p>
    <w:p w:rsidRPr="005A691D" w:rsidR="00521F03" w:rsidP="005A691D" w:rsidRDefault="00521F03" w14:paraId="6C6B66BE" w14:textId="1E20751B">
      <w:pPr>
        <w:rPr>
          <w:bCs/>
        </w:rPr>
      </w:pPr>
      <w:r w:rsidRPr="005A691D">
        <w:rPr>
          <w:b/>
        </w:rPr>
        <w:tab/>
      </w:r>
      <w:r w:rsidRPr="005A691D">
        <w:rPr>
          <w:b/>
        </w:rPr>
        <w:tab/>
      </w:r>
    </w:p>
    <w:p w:rsidRPr="005A691D" w:rsidR="003F1C7A" w:rsidP="005A691D" w:rsidRDefault="00B378CA" w14:paraId="6F518234" w14:textId="316F0230">
      <w:pPr>
        <w:tabs>
          <w:tab w:val="left" w:pos="5670"/>
        </w:tabs>
        <w:suppressAutoHyphens/>
      </w:pPr>
      <w:r w:rsidRPr="005A691D">
        <w:rPr>
          <w:b/>
        </w:rPr>
        <w:t>FDA CENTER:</w:t>
      </w:r>
      <w:r w:rsidRPr="005A691D" w:rsidR="00772F67">
        <w:rPr>
          <w:b/>
        </w:rPr>
        <w:t xml:space="preserve"> </w:t>
      </w:r>
      <w:r w:rsidRPr="005A691D" w:rsidR="00772F67">
        <w:rPr>
          <w:bCs/>
        </w:rPr>
        <w:t>Center for Drug Evaluation and Research</w:t>
      </w:r>
    </w:p>
    <w:sectPr w:rsidRPr="005A691D" w:rsidR="003F1C7A">
      <w:headerReference w:type="default" r:id="rId13"/>
      <w:footerReference w:type="defaul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E0D75" w14:textId="77777777" w:rsidR="00905E84" w:rsidRDefault="00905E84">
      <w:r>
        <w:separator/>
      </w:r>
    </w:p>
  </w:endnote>
  <w:endnote w:type="continuationSeparator" w:id="0">
    <w:p w14:paraId="19E2C229" w14:textId="77777777" w:rsidR="00905E84" w:rsidRDefault="00905E84">
      <w:r>
        <w:continuationSeparator/>
      </w:r>
    </w:p>
  </w:endnote>
  <w:endnote w:type="continuationNotice" w:id="1">
    <w:p w14:paraId="370E5AC5" w14:textId="77777777" w:rsidR="00905E84" w:rsidRDefault="00905E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CF669" w14:textId="77777777" w:rsidR="00F12AEE" w:rsidRDefault="00F12AE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4450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6B2D2" w14:textId="77777777" w:rsidR="00905E84" w:rsidRDefault="00905E84">
      <w:r>
        <w:separator/>
      </w:r>
    </w:p>
  </w:footnote>
  <w:footnote w:type="continuationSeparator" w:id="0">
    <w:p w14:paraId="3F1551BB" w14:textId="77777777" w:rsidR="00905E84" w:rsidRDefault="00905E84">
      <w:r>
        <w:continuationSeparator/>
      </w:r>
    </w:p>
  </w:footnote>
  <w:footnote w:type="continuationNotice" w:id="1">
    <w:p w14:paraId="3BFDACBE" w14:textId="77777777" w:rsidR="00905E84" w:rsidRDefault="00905E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63D0E" w14:textId="77777777" w:rsidR="00550DA3" w:rsidRDefault="00550D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2D7B"/>
    <w:multiLevelType w:val="singleLevel"/>
    <w:tmpl w:val="44735331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" w15:restartNumberingAfterBreak="0">
    <w:nsid w:val="01E5509A"/>
    <w:multiLevelType w:val="hybridMultilevel"/>
    <w:tmpl w:val="6B7A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C550A"/>
    <w:multiLevelType w:val="singleLevel"/>
    <w:tmpl w:val="241A6F21"/>
    <w:lvl w:ilvl="0"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645C6B"/>
    <w:multiLevelType w:val="singleLevel"/>
    <w:tmpl w:val="4DA19B50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9" w15:restartNumberingAfterBreak="0">
    <w:nsid w:val="300746F5"/>
    <w:multiLevelType w:val="hybridMultilevel"/>
    <w:tmpl w:val="B8AE7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771C0C"/>
    <w:multiLevelType w:val="hybridMultilevel"/>
    <w:tmpl w:val="67D264FE"/>
    <w:lvl w:ilvl="0" w:tplc="D460F176">
      <w:start w:val="1"/>
      <w:numFmt w:val="bullet"/>
      <w:lvlText w:val="▪"/>
      <w:lvlJc w:val="left"/>
      <w:pPr>
        <w:ind w:left="1650" w:hanging="360"/>
      </w:pPr>
      <w:rPr>
        <w:rFonts w:ascii="Arial" w:eastAsia="Arial" w:hAnsi="Arial" w:hint="default"/>
        <w:sz w:val="24"/>
        <w:szCs w:val="24"/>
      </w:rPr>
    </w:lvl>
    <w:lvl w:ilvl="1" w:tplc="FBE65724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  <w:lvl w:ilvl="2" w:tplc="85A227CE">
      <w:start w:val="1"/>
      <w:numFmt w:val="bullet"/>
      <w:lvlText w:val="•"/>
      <w:lvlJc w:val="left"/>
      <w:pPr>
        <w:ind w:left="3414" w:hanging="360"/>
      </w:pPr>
      <w:rPr>
        <w:rFonts w:hint="default"/>
      </w:rPr>
    </w:lvl>
    <w:lvl w:ilvl="3" w:tplc="50C066F2">
      <w:start w:val="1"/>
      <w:numFmt w:val="bullet"/>
      <w:lvlText w:val="•"/>
      <w:lvlJc w:val="left"/>
      <w:pPr>
        <w:ind w:left="4296" w:hanging="360"/>
      </w:pPr>
      <w:rPr>
        <w:rFonts w:hint="default"/>
      </w:rPr>
    </w:lvl>
    <w:lvl w:ilvl="4" w:tplc="D28E242E">
      <w:start w:val="1"/>
      <w:numFmt w:val="bullet"/>
      <w:lvlText w:val="•"/>
      <w:lvlJc w:val="left"/>
      <w:pPr>
        <w:ind w:left="5178" w:hanging="360"/>
      </w:pPr>
      <w:rPr>
        <w:rFonts w:hint="default"/>
      </w:rPr>
    </w:lvl>
    <w:lvl w:ilvl="5" w:tplc="46A828CE">
      <w:start w:val="1"/>
      <w:numFmt w:val="bullet"/>
      <w:lvlText w:val="•"/>
      <w:lvlJc w:val="left"/>
      <w:pPr>
        <w:ind w:left="6060" w:hanging="360"/>
      </w:pPr>
      <w:rPr>
        <w:rFonts w:hint="default"/>
      </w:rPr>
    </w:lvl>
    <w:lvl w:ilvl="6" w:tplc="F56003C2">
      <w:start w:val="1"/>
      <w:numFmt w:val="bullet"/>
      <w:lvlText w:val="•"/>
      <w:lvlJc w:val="left"/>
      <w:pPr>
        <w:ind w:left="6942" w:hanging="360"/>
      </w:pPr>
      <w:rPr>
        <w:rFonts w:hint="default"/>
      </w:rPr>
    </w:lvl>
    <w:lvl w:ilvl="7" w:tplc="A9B2C216">
      <w:start w:val="1"/>
      <w:numFmt w:val="bullet"/>
      <w:lvlText w:val="•"/>
      <w:lvlJc w:val="left"/>
      <w:pPr>
        <w:ind w:left="7824" w:hanging="360"/>
      </w:pPr>
      <w:rPr>
        <w:rFonts w:hint="default"/>
      </w:rPr>
    </w:lvl>
    <w:lvl w:ilvl="8" w:tplc="3CD05132">
      <w:start w:val="1"/>
      <w:numFmt w:val="bullet"/>
      <w:lvlText w:val="•"/>
      <w:lvlJc w:val="left"/>
      <w:pPr>
        <w:ind w:left="8706" w:hanging="360"/>
      </w:pPr>
      <w:rPr>
        <w:rFonts w:hint="default"/>
      </w:rPr>
    </w:lvl>
  </w:abstractNum>
  <w:abstractNum w:abstractNumId="11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C0038"/>
    <w:multiLevelType w:val="hybridMultilevel"/>
    <w:tmpl w:val="13563C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E9032D"/>
    <w:multiLevelType w:val="hybridMultilevel"/>
    <w:tmpl w:val="C6B6C8F6"/>
    <w:lvl w:ilvl="0" w:tplc="2430A0E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2E880F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E3AEB"/>
    <w:multiLevelType w:val="hybridMultilevel"/>
    <w:tmpl w:val="26F29C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024F46"/>
    <w:multiLevelType w:val="hybridMultilevel"/>
    <w:tmpl w:val="C8E45B46"/>
    <w:lvl w:ilvl="0" w:tplc="77903D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6C0D07D9"/>
    <w:multiLevelType w:val="hybridMultilevel"/>
    <w:tmpl w:val="6450DA02"/>
    <w:lvl w:ilvl="0" w:tplc="2A66F22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21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21"/>
  </w:num>
  <w:num w:numId="4">
    <w:abstractNumId w:val="23"/>
  </w:num>
  <w:num w:numId="5">
    <w:abstractNumId w:val="4"/>
  </w:num>
  <w:num w:numId="6">
    <w:abstractNumId w:val="2"/>
  </w:num>
  <w:num w:numId="7">
    <w:abstractNumId w:val="11"/>
  </w:num>
  <w:num w:numId="8">
    <w:abstractNumId w:val="19"/>
  </w:num>
  <w:num w:numId="9">
    <w:abstractNumId w:val="12"/>
  </w:num>
  <w:num w:numId="10">
    <w:abstractNumId w:val="3"/>
  </w:num>
  <w:num w:numId="11">
    <w:abstractNumId w:val="5"/>
  </w:num>
  <w:num w:numId="12">
    <w:abstractNumId w:val="7"/>
  </w:num>
  <w:num w:numId="13">
    <w:abstractNumId w:val="1"/>
  </w:num>
  <w:num w:numId="14">
    <w:abstractNumId w:val="9"/>
  </w:num>
  <w:num w:numId="15">
    <w:abstractNumId w:val="20"/>
  </w:num>
  <w:num w:numId="16">
    <w:abstractNumId w:val="18"/>
  </w:num>
  <w:num w:numId="17">
    <w:abstractNumId w:val="0"/>
  </w:num>
  <w:num w:numId="18">
    <w:abstractNumId w:val="8"/>
  </w:num>
  <w:num w:numId="19">
    <w:abstractNumId w:val="6"/>
  </w:num>
  <w:num w:numId="20">
    <w:abstractNumId w:val="17"/>
  </w:num>
  <w:num w:numId="21">
    <w:abstractNumId w:val="14"/>
  </w:num>
  <w:num w:numId="22">
    <w:abstractNumId w:val="16"/>
  </w:num>
  <w:num w:numId="23">
    <w:abstractNumId w:val="15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5B"/>
    <w:rsid w:val="000018BE"/>
    <w:rsid w:val="00005D48"/>
    <w:rsid w:val="000165E4"/>
    <w:rsid w:val="00020F17"/>
    <w:rsid w:val="000235D2"/>
    <w:rsid w:val="0003505F"/>
    <w:rsid w:val="00035B5C"/>
    <w:rsid w:val="000368A2"/>
    <w:rsid w:val="00053185"/>
    <w:rsid w:val="00061426"/>
    <w:rsid w:val="00084EF1"/>
    <w:rsid w:val="000857BB"/>
    <w:rsid w:val="00087A80"/>
    <w:rsid w:val="000903B9"/>
    <w:rsid w:val="00091CF4"/>
    <w:rsid w:val="00093D32"/>
    <w:rsid w:val="0009729A"/>
    <w:rsid w:val="000A43BC"/>
    <w:rsid w:val="000A525C"/>
    <w:rsid w:val="000B1952"/>
    <w:rsid w:val="000B34FC"/>
    <w:rsid w:val="000C386B"/>
    <w:rsid w:val="000C46CA"/>
    <w:rsid w:val="000D7C12"/>
    <w:rsid w:val="000E2A3E"/>
    <w:rsid w:val="000E2FAA"/>
    <w:rsid w:val="000E58F5"/>
    <w:rsid w:val="000E7C99"/>
    <w:rsid w:val="000E7D76"/>
    <w:rsid w:val="000F1CDA"/>
    <w:rsid w:val="00102957"/>
    <w:rsid w:val="00107412"/>
    <w:rsid w:val="00110747"/>
    <w:rsid w:val="001223A3"/>
    <w:rsid w:val="00126D06"/>
    <w:rsid w:val="00132EF8"/>
    <w:rsid w:val="001356AA"/>
    <w:rsid w:val="00135B9C"/>
    <w:rsid w:val="00137B6C"/>
    <w:rsid w:val="00140343"/>
    <w:rsid w:val="00162644"/>
    <w:rsid w:val="00165D41"/>
    <w:rsid w:val="001677D9"/>
    <w:rsid w:val="00172A6E"/>
    <w:rsid w:val="0017724E"/>
    <w:rsid w:val="00190AA2"/>
    <w:rsid w:val="00190D79"/>
    <w:rsid w:val="001A2FFA"/>
    <w:rsid w:val="001A68F4"/>
    <w:rsid w:val="001B0DE5"/>
    <w:rsid w:val="001C0117"/>
    <w:rsid w:val="001C30C5"/>
    <w:rsid w:val="001C5C39"/>
    <w:rsid w:val="001D19B4"/>
    <w:rsid w:val="001D6068"/>
    <w:rsid w:val="001E0E7C"/>
    <w:rsid w:val="001E198B"/>
    <w:rsid w:val="001E4519"/>
    <w:rsid w:val="001F09C0"/>
    <w:rsid w:val="001F3F69"/>
    <w:rsid w:val="0020194F"/>
    <w:rsid w:val="002121F4"/>
    <w:rsid w:val="002146CF"/>
    <w:rsid w:val="00232E17"/>
    <w:rsid w:val="00240680"/>
    <w:rsid w:val="00247F1B"/>
    <w:rsid w:val="00255B16"/>
    <w:rsid w:val="00261565"/>
    <w:rsid w:val="00264C93"/>
    <w:rsid w:val="00270453"/>
    <w:rsid w:val="00272823"/>
    <w:rsid w:val="00275976"/>
    <w:rsid w:val="00280997"/>
    <w:rsid w:val="00281A30"/>
    <w:rsid w:val="002A0DBB"/>
    <w:rsid w:val="002A7043"/>
    <w:rsid w:val="002C43D9"/>
    <w:rsid w:val="002C57A7"/>
    <w:rsid w:val="002D7B8A"/>
    <w:rsid w:val="002F5329"/>
    <w:rsid w:val="002F5492"/>
    <w:rsid w:val="002F61FC"/>
    <w:rsid w:val="002F7D35"/>
    <w:rsid w:val="003056D9"/>
    <w:rsid w:val="00305D45"/>
    <w:rsid w:val="003073BF"/>
    <w:rsid w:val="00331C9C"/>
    <w:rsid w:val="00332267"/>
    <w:rsid w:val="00336113"/>
    <w:rsid w:val="00346DEA"/>
    <w:rsid w:val="0035310A"/>
    <w:rsid w:val="00364051"/>
    <w:rsid w:val="003762F7"/>
    <w:rsid w:val="00383F4E"/>
    <w:rsid w:val="003A2F10"/>
    <w:rsid w:val="003A6832"/>
    <w:rsid w:val="003B380F"/>
    <w:rsid w:val="003B58CD"/>
    <w:rsid w:val="003B7ADD"/>
    <w:rsid w:val="003C79A5"/>
    <w:rsid w:val="003D022B"/>
    <w:rsid w:val="003D0EC1"/>
    <w:rsid w:val="003F117D"/>
    <w:rsid w:val="003F1C7A"/>
    <w:rsid w:val="003F2DD9"/>
    <w:rsid w:val="00402F6C"/>
    <w:rsid w:val="004075ED"/>
    <w:rsid w:val="00411149"/>
    <w:rsid w:val="00415A18"/>
    <w:rsid w:val="004219DF"/>
    <w:rsid w:val="00423A24"/>
    <w:rsid w:val="0043542C"/>
    <w:rsid w:val="00435728"/>
    <w:rsid w:val="0044450F"/>
    <w:rsid w:val="00453CC1"/>
    <w:rsid w:val="00472F7D"/>
    <w:rsid w:val="00485924"/>
    <w:rsid w:val="0049419A"/>
    <w:rsid w:val="004A3136"/>
    <w:rsid w:val="004B441C"/>
    <w:rsid w:val="004B694D"/>
    <w:rsid w:val="004C1E3C"/>
    <w:rsid w:val="004F30A2"/>
    <w:rsid w:val="00512E74"/>
    <w:rsid w:val="0052010F"/>
    <w:rsid w:val="0052028C"/>
    <w:rsid w:val="00521818"/>
    <w:rsid w:val="00521F03"/>
    <w:rsid w:val="0052796B"/>
    <w:rsid w:val="00527F6C"/>
    <w:rsid w:val="00536527"/>
    <w:rsid w:val="005418B5"/>
    <w:rsid w:val="00543544"/>
    <w:rsid w:val="0054414A"/>
    <w:rsid w:val="00545F15"/>
    <w:rsid w:val="00550DA3"/>
    <w:rsid w:val="0055202B"/>
    <w:rsid w:val="005541B8"/>
    <w:rsid w:val="005541F6"/>
    <w:rsid w:val="00555460"/>
    <w:rsid w:val="005622A3"/>
    <w:rsid w:val="00565245"/>
    <w:rsid w:val="0057252E"/>
    <w:rsid w:val="005726F3"/>
    <w:rsid w:val="0057562C"/>
    <w:rsid w:val="00580474"/>
    <w:rsid w:val="005841D2"/>
    <w:rsid w:val="005902C4"/>
    <w:rsid w:val="005A18A4"/>
    <w:rsid w:val="005A34D0"/>
    <w:rsid w:val="005A60BF"/>
    <w:rsid w:val="005A691D"/>
    <w:rsid w:val="005B018D"/>
    <w:rsid w:val="005B31D9"/>
    <w:rsid w:val="005C7077"/>
    <w:rsid w:val="005D0440"/>
    <w:rsid w:val="005E23BA"/>
    <w:rsid w:val="005E3386"/>
    <w:rsid w:val="005E4981"/>
    <w:rsid w:val="005F233D"/>
    <w:rsid w:val="00602B5B"/>
    <w:rsid w:val="00602CB4"/>
    <w:rsid w:val="00607046"/>
    <w:rsid w:val="006073F7"/>
    <w:rsid w:val="00610686"/>
    <w:rsid w:val="00641D60"/>
    <w:rsid w:val="00644197"/>
    <w:rsid w:val="006462D9"/>
    <w:rsid w:val="006515A9"/>
    <w:rsid w:val="00653B3C"/>
    <w:rsid w:val="00677811"/>
    <w:rsid w:val="00682641"/>
    <w:rsid w:val="00696316"/>
    <w:rsid w:val="00696B03"/>
    <w:rsid w:val="006A743B"/>
    <w:rsid w:val="006D3B31"/>
    <w:rsid w:val="006F0F52"/>
    <w:rsid w:val="007049D9"/>
    <w:rsid w:val="007125B5"/>
    <w:rsid w:val="00720042"/>
    <w:rsid w:val="0072545C"/>
    <w:rsid w:val="007342FB"/>
    <w:rsid w:val="0073562F"/>
    <w:rsid w:val="00736332"/>
    <w:rsid w:val="007424EB"/>
    <w:rsid w:val="00743390"/>
    <w:rsid w:val="0074463A"/>
    <w:rsid w:val="00744F5B"/>
    <w:rsid w:val="0074607F"/>
    <w:rsid w:val="007461E3"/>
    <w:rsid w:val="00750EF3"/>
    <w:rsid w:val="00760A54"/>
    <w:rsid w:val="00761D61"/>
    <w:rsid w:val="007713B3"/>
    <w:rsid w:val="00772F67"/>
    <w:rsid w:val="00776440"/>
    <w:rsid w:val="00790079"/>
    <w:rsid w:val="00792EBB"/>
    <w:rsid w:val="007957EC"/>
    <w:rsid w:val="00796223"/>
    <w:rsid w:val="00796760"/>
    <w:rsid w:val="007A4331"/>
    <w:rsid w:val="007B045B"/>
    <w:rsid w:val="007B59E4"/>
    <w:rsid w:val="007B5F94"/>
    <w:rsid w:val="007B777E"/>
    <w:rsid w:val="007C2716"/>
    <w:rsid w:val="007D0AC9"/>
    <w:rsid w:val="007F7888"/>
    <w:rsid w:val="008025F6"/>
    <w:rsid w:val="00810104"/>
    <w:rsid w:val="008225CC"/>
    <w:rsid w:val="008268AF"/>
    <w:rsid w:val="00830839"/>
    <w:rsid w:val="00834B2F"/>
    <w:rsid w:val="00840740"/>
    <w:rsid w:val="00856F18"/>
    <w:rsid w:val="00874231"/>
    <w:rsid w:val="00882AE4"/>
    <w:rsid w:val="008863D0"/>
    <w:rsid w:val="00886E98"/>
    <w:rsid w:val="00890604"/>
    <w:rsid w:val="00894E0A"/>
    <w:rsid w:val="008A0BD0"/>
    <w:rsid w:val="008B23F8"/>
    <w:rsid w:val="008B3FC2"/>
    <w:rsid w:val="008B4DE4"/>
    <w:rsid w:val="008B54B2"/>
    <w:rsid w:val="008C2F58"/>
    <w:rsid w:val="008C3F61"/>
    <w:rsid w:val="008D4738"/>
    <w:rsid w:val="008D565E"/>
    <w:rsid w:val="008E6145"/>
    <w:rsid w:val="008F0979"/>
    <w:rsid w:val="008F6E91"/>
    <w:rsid w:val="0090503B"/>
    <w:rsid w:val="00905E84"/>
    <w:rsid w:val="0091368D"/>
    <w:rsid w:val="0091537E"/>
    <w:rsid w:val="00915E13"/>
    <w:rsid w:val="00921BB0"/>
    <w:rsid w:val="00923212"/>
    <w:rsid w:val="009248DC"/>
    <w:rsid w:val="0096489D"/>
    <w:rsid w:val="00965DF3"/>
    <w:rsid w:val="009709B9"/>
    <w:rsid w:val="00973EFE"/>
    <w:rsid w:val="00985667"/>
    <w:rsid w:val="0099076C"/>
    <w:rsid w:val="009B0C30"/>
    <w:rsid w:val="009C3A82"/>
    <w:rsid w:val="009D3BC6"/>
    <w:rsid w:val="009D6B7A"/>
    <w:rsid w:val="009D76FC"/>
    <w:rsid w:val="009E6FFF"/>
    <w:rsid w:val="009F04B6"/>
    <w:rsid w:val="00A175DD"/>
    <w:rsid w:val="00A22D50"/>
    <w:rsid w:val="00A25982"/>
    <w:rsid w:val="00A26BA5"/>
    <w:rsid w:val="00A366BD"/>
    <w:rsid w:val="00A3674B"/>
    <w:rsid w:val="00A44BF9"/>
    <w:rsid w:val="00A46671"/>
    <w:rsid w:val="00A5152F"/>
    <w:rsid w:val="00A52D08"/>
    <w:rsid w:val="00A53BA2"/>
    <w:rsid w:val="00A63790"/>
    <w:rsid w:val="00A77790"/>
    <w:rsid w:val="00A82DCC"/>
    <w:rsid w:val="00A87B4E"/>
    <w:rsid w:val="00AA0314"/>
    <w:rsid w:val="00AC4CEB"/>
    <w:rsid w:val="00AD578A"/>
    <w:rsid w:val="00AD68CB"/>
    <w:rsid w:val="00AE2C02"/>
    <w:rsid w:val="00AF1E63"/>
    <w:rsid w:val="00AF5E47"/>
    <w:rsid w:val="00B17F2E"/>
    <w:rsid w:val="00B27E3D"/>
    <w:rsid w:val="00B330AE"/>
    <w:rsid w:val="00B335A0"/>
    <w:rsid w:val="00B378CA"/>
    <w:rsid w:val="00B41016"/>
    <w:rsid w:val="00B412FF"/>
    <w:rsid w:val="00B5012B"/>
    <w:rsid w:val="00B57732"/>
    <w:rsid w:val="00B62583"/>
    <w:rsid w:val="00B7540E"/>
    <w:rsid w:val="00B83DBA"/>
    <w:rsid w:val="00B9344F"/>
    <w:rsid w:val="00B9728F"/>
    <w:rsid w:val="00BA6BF7"/>
    <w:rsid w:val="00BC3385"/>
    <w:rsid w:val="00BD1BEE"/>
    <w:rsid w:val="00BD2A9F"/>
    <w:rsid w:val="00BF0967"/>
    <w:rsid w:val="00BF4CF8"/>
    <w:rsid w:val="00BF7AEF"/>
    <w:rsid w:val="00C046F0"/>
    <w:rsid w:val="00C0615D"/>
    <w:rsid w:val="00C13EA3"/>
    <w:rsid w:val="00C40563"/>
    <w:rsid w:val="00C60C08"/>
    <w:rsid w:val="00C61E89"/>
    <w:rsid w:val="00C62019"/>
    <w:rsid w:val="00C86C5C"/>
    <w:rsid w:val="00C94E65"/>
    <w:rsid w:val="00C96817"/>
    <w:rsid w:val="00CB6A06"/>
    <w:rsid w:val="00CB751B"/>
    <w:rsid w:val="00CC3E13"/>
    <w:rsid w:val="00CC43A1"/>
    <w:rsid w:val="00CD3CE5"/>
    <w:rsid w:val="00CE16A6"/>
    <w:rsid w:val="00CE57C2"/>
    <w:rsid w:val="00CF10F4"/>
    <w:rsid w:val="00D00967"/>
    <w:rsid w:val="00D06D28"/>
    <w:rsid w:val="00D1230C"/>
    <w:rsid w:val="00D1326F"/>
    <w:rsid w:val="00D276A0"/>
    <w:rsid w:val="00D340AB"/>
    <w:rsid w:val="00D542D4"/>
    <w:rsid w:val="00D64CED"/>
    <w:rsid w:val="00D77013"/>
    <w:rsid w:val="00D9438A"/>
    <w:rsid w:val="00DA1EEE"/>
    <w:rsid w:val="00DB4D59"/>
    <w:rsid w:val="00DC4461"/>
    <w:rsid w:val="00DC5CE8"/>
    <w:rsid w:val="00DC76EE"/>
    <w:rsid w:val="00DD1669"/>
    <w:rsid w:val="00DD1CCA"/>
    <w:rsid w:val="00DD6106"/>
    <w:rsid w:val="00DE598C"/>
    <w:rsid w:val="00DF5AB3"/>
    <w:rsid w:val="00DF610B"/>
    <w:rsid w:val="00E00BFD"/>
    <w:rsid w:val="00E215FA"/>
    <w:rsid w:val="00E26798"/>
    <w:rsid w:val="00E2693E"/>
    <w:rsid w:val="00E33D8E"/>
    <w:rsid w:val="00E405F4"/>
    <w:rsid w:val="00E407EB"/>
    <w:rsid w:val="00E45BA0"/>
    <w:rsid w:val="00E629FF"/>
    <w:rsid w:val="00E64301"/>
    <w:rsid w:val="00E670BF"/>
    <w:rsid w:val="00E74EC2"/>
    <w:rsid w:val="00E90EB0"/>
    <w:rsid w:val="00E962B3"/>
    <w:rsid w:val="00EA0586"/>
    <w:rsid w:val="00EB75EE"/>
    <w:rsid w:val="00EC2F1E"/>
    <w:rsid w:val="00EC4BFD"/>
    <w:rsid w:val="00EC571D"/>
    <w:rsid w:val="00EE2769"/>
    <w:rsid w:val="00EE56F1"/>
    <w:rsid w:val="00EE679F"/>
    <w:rsid w:val="00EE7334"/>
    <w:rsid w:val="00EF55F8"/>
    <w:rsid w:val="00F03E59"/>
    <w:rsid w:val="00F12AEE"/>
    <w:rsid w:val="00F17B07"/>
    <w:rsid w:val="00F22D4C"/>
    <w:rsid w:val="00F262A8"/>
    <w:rsid w:val="00F3704A"/>
    <w:rsid w:val="00F4133E"/>
    <w:rsid w:val="00F65DB6"/>
    <w:rsid w:val="00F67C4A"/>
    <w:rsid w:val="00F738E3"/>
    <w:rsid w:val="00F83881"/>
    <w:rsid w:val="00F8611F"/>
    <w:rsid w:val="00F94524"/>
    <w:rsid w:val="00F95589"/>
    <w:rsid w:val="00F957CA"/>
    <w:rsid w:val="00F967A7"/>
    <w:rsid w:val="00F96ACF"/>
    <w:rsid w:val="00FA2211"/>
    <w:rsid w:val="00FC7513"/>
    <w:rsid w:val="00FD5A6C"/>
    <w:rsid w:val="00FE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E88985"/>
  <w15:chartTrackingRefBased/>
  <w15:docId w15:val="{5DA218A8-0D69-43AE-9C26-B2582E3A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6798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27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7E3D"/>
  </w:style>
  <w:style w:type="character" w:styleId="FootnoteReference">
    <w:name w:val="footnote reference"/>
    <w:uiPriority w:val="99"/>
    <w:semiHidden/>
    <w:unhideWhenUsed/>
    <w:rsid w:val="00B27E3D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7D0A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A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AC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AC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0AC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A31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54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etchen.Opper@fda.hhs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la.Mizrachi@fda.hhs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D8E8DBF0AE840AFD01F5ACDAEF2F2" ma:contentTypeVersion="4" ma:contentTypeDescription="Create a new document." ma:contentTypeScope="" ma:versionID="ee9e8355897442f98ed9cb64c5585ed3">
  <xsd:schema xmlns:xsd="http://www.w3.org/2001/XMLSchema" xmlns:xs="http://www.w3.org/2001/XMLSchema" xmlns:p="http://schemas.microsoft.com/office/2006/metadata/properties" xmlns:ns2="b40880c9-7b75-4396-9a91-79e0ef0ef70a" xmlns:ns3="b6a906ec-e300-4fa3-8460-f32a40c858c2" targetNamespace="http://schemas.microsoft.com/office/2006/metadata/properties" ma:root="true" ma:fieldsID="671d4d51f80e60d092d093e318af7a27" ns2:_="" ns3:_="">
    <xsd:import namespace="b40880c9-7b75-4396-9a91-79e0ef0ef70a"/>
    <xsd:import namespace="b6a906ec-e300-4fa3-8460-f32a40c85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880c9-7b75-4396-9a91-79e0ef0ef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906ec-e300-4fa3-8460-f32a40c85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B52F9-0747-4342-9FEF-79E5F1413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880c9-7b75-4396-9a91-79e0ef0ef70a"/>
    <ds:schemaRef ds:uri="b6a906ec-e300-4fa3-8460-f32a40c85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7949F7-4FE8-4677-AD98-AB406CE76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7B2D8B-FDCF-4754-A5BA-5D2BB1CD8E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680472-25F2-4EFE-B31D-1454D13A7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1452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OMBMemoMERCPtP</vt:lpstr>
    </vt:vector>
  </TitlesOfParts>
  <Company>SSI</Company>
  <LinksUpToDate>false</LinksUpToDate>
  <CharactersWithSpaces>10246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OMBMemoMERCPtP</dc:title>
  <dc:subject>MERC OMB MEP</dc:subject>
  <dc:creator>StClair, Christopher</dc:creator>
  <cp:keywords>MERC OMB MEP</cp:keywords>
  <cp:lastModifiedBy>Mizrachi, Ila</cp:lastModifiedBy>
  <cp:revision>2</cp:revision>
  <cp:lastPrinted>2013-06-14T13:30:00Z</cp:lastPrinted>
  <dcterms:created xsi:type="dcterms:W3CDTF">2021-04-06T00:43:00Z</dcterms:created>
  <dcterms:modified xsi:type="dcterms:W3CDTF">2021-04-06T00:43:00Z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0x010100C5DD8E8DBF0AE840AFD01F5ACDAEF2F2</vt:lpwstr>
  </property>
</Properties>
</file>