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3EEF" w:rsidP="00E8493C" w:rsidRDefault="00E8493C" w14:paraId="50240A71" w14:textId="1E143AF9">
      <w:bookmarkStart w:name="_GoBack" w:id="0"/>
      <w:bookmarkEnd w:id="0"/>
      <w:r>
        <w:rPr>
          <w:noProof/>
        </w:rPr>
        <w:drawing>
          <wp:inline distT="0" distB="0" distL="0" distR="0" wp14:anchorId="66625F9E" wp14:editId="655F8F95">
            <wp:extent cx="5943600" cy="35820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3C" w:rsidP="00E8493C" w:rsidRDefault="00E8493C" w14:paraId="09271A5B" w14:textId="7CB6C0E5">
      <w:r>
        <w:rPr>
          <w:noProof/>
        </w:rPr>
        <w:drawing>
          <wp:inline distT="0" distB="0" distL="0" distR="0" wp14:anchorId="3DB362A1" wp14:editId="180E6EA0">
            <wp:extent cx="5943600" cy="468820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3C" w:rsidP="00E8493C" w:rsidRDefault="00E8493C" w14:paraId="0A130A0E" w14:textId="56BF0332"/>
    <w:p w:rsidRPr="00E8493C" w:rsidR="00E8493C" w:rsidP="00E8493C" w:rsidRDefault="006C0F05" w14:paraId="78EA760B" w14:textId="579A8FCA">
      <w:hyperlink w:history="1" r:id="rId6">
        <w:r w:rsidRPr="006628DE" w:rsidR="00E8493C">
          <w:rPr>
            <w:rStyle w:val="Hyperlink"/>
          </w:rPr>
          <w:t>https://ismp.org/resources/medication-safety-self-assessmentr-perioperative-settings</w:t>
        </w:r>
      </w:hyperlink>
      <w:r w:rsidR="00E8493C">
        <w:t xml:space="preserve"> </w:t>
      </w:r>
    </w:p>
    <w:sectPr w:rsidRPr="00E8493C" w:rsidR="00E8493C" w:rsidSect="00E849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EEF"/>
    <w:rsid w:val="00383EEF"/>
    <w:rsid w:val="006C0F05"/>
    <w:rsid w:val="00E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60A65"/>
  <w15:chartTrackingRefBased/>
  <w15:docId w15:val="{736C3BE2-1975-4B24-BF38-D80D7FD2F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49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493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mp.org/resources/medication-safety-self-assessmentr-perioperative-setting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Smetzer</dc:creator>
  <cp:keywords/>
  <dc:description/>
  <cp:lastModifiedBy>Winiecki, Scott</cp:lastModifiedBy>
  <cp:revision>2</cp:revision>
  <dcterms:created xsi:type="dcterms:W3CDTF">2020-11-24T15:28:00Z</dcterms:created>
  <dcterms:modified xsi:type="dcterms:W3CDTF">2020-11-24T15:28:00Z</dcterms:modified>
</cp:coreProperties>
</file>