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26A6" w:rsidP="001126A6" w:rsidRDefault="001126A6" w14:paraId="45179633" w14:textId="5EC89607">
      <w:pPr>
        <w:spacing w:after="0" w:line="240" w:lineRule="auto"/>
      </w:pPr>
      <w:r>
        <w:t>OMB Control No. 0910-0360</w:t>
      </w:r>
    </w:p>
    <w:p w:rsidR="001126A6" w:rsidP="00377AC0" w:rsidRDefault="001126A6" w14:paraId="50306162" w14:textId="0ED38704">
      <w:pPr>
        <w:spacing w:after="0" w:line="240" w:lineRule="auto"/>
      </w:pPr>
      <w:r>
        <w:t>Expiration Date: 10/31/2023</w:t>
      </w:r>
    </w:p>
    <w:p w:rsidR="001126A6" w:rsidP="001126A6" w:rsidRDefault="001126A6" w14:paraId="5EBDF9D8" w14:textId="3926BF11"/>
    <w:p w:rsidRPr="00377AC0" w:rsidR="001126A6" w:rsidP="00377AC0" w:rsidRDefault="001126A6" w14:paraId="1E7CC2B9" w14:textId="77777777"/>
    <w:p w:rsidR="001126A6" w:rsidP="0017667E" w:rsidRDefault="001126A6" w14:paraId="0DA4D6A6" w14:textId="77777777">
      <w:pPr>
        <w:jc w:val="center"/>
        <w:rPr>
          <w:b/>
          <w:bCs/>
        </w:rPr>
      </w:pPr>
    </w:p>
    <w:p w:rsidRPr="0017667E" w:rsidR="00DC43B0" w:rsidP="0017667E" w:rsidRDefault="0017667E" w14:paraId="2BE96BBB" w14:textId="5E76C65D">
      <w:pPr>
        <w:jc w:val="center"/>
        <w:rPr>
          <w:b/>
          <w:bCs/>
        </w:rPr>
      </w:pPr>
      <w:r w:rsidRPr="0017667E">
        <w:rPr>
          <w:b/>
          <w:bCs/>
        </w:rPr>
        <w:t>Email Message to Communicate Survey</w:t>
      </w:r>
    </w:p>
    <w:p w:rsidR="0017667E" w:rsidRDefault="0017667E" w14:paraId="297D080D" w14:textId="3CAA92FF"/>
    <w:p w:rsidR="0017667E" w:rsidP="0017667E" w:rsidRDefault="0017667E" w14:paraId="4C33EE14" w14:textId="2083AD71">
      <w:r>
        <w:t xml:space="preserve">Dear Colleague, </w:t>
      </w:r>
    </w:p>
    <w:p w:rsidRPr="00E01A92" w:rsidR="0017667E" w:rsidP="0017667E" w:rsidRDefault="0017667E" w14:paraId="087EA53C" w14:textId="3FD9B400">
      <w:r>
        <w:t>To mark the one-year anniversary of the launch of FDA’s</w:t>
      </w:r>
      <w:r w:rsidR="00A00B46">
        <w:t xml:space="preserve"> President’s Emergency Plan for AIDS Relief</w:t>
      </w:r>
      <w:r>
        <w:t xml:space="preserve"> </w:t>
      </w:r>
      <w:r w:rsidR="00A00B46">
        <w:t>(</w:t>
      </w:r>
      <w:r>
        <w:t>PEPFAR</w:t>
      </w:r>
      <w:r w:rsidR="00A00B46">
        <w:t>)</w:t>
      </w:r>
      <w:r>
        <w:t xml:space="preserve"> Database, our team welcomes you to take our 8-min survey linked below: </w:t>
      </w:r>
    </w:p>
    <w:p w:rsidR="0017667E" w:rsidP="0017667E" w:rsidRDefault="0017667E" w14:paraId="7D9594A2" w14:textId="009DAE1F">
      <w:pPr>
        <w:numPr>
          <w:ilvl w:val="0"/>
          <w:numId w:val="1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(Insert Customer Satisfaction Survey </w:t>
      </w:r>
      <w:r w:rsidR="00CD374A">
        <w:rPr>
          <w:color w:val="FF0000"/>
        </w:rPr>
        <w:t xml:space="preserve">link </w:t>
      </w:r>
      <w:r>
        <w:rPr>
          <w:color w:val="FF0000"/>
        </w:rPr>
        <w:t>fr</w:t>
      </w:r>
      <w:r w:rsidR="00CD374A">
        <w:rPr>
          <w:color w:val="FF0000"/>
        </w:rPr>
        <w:t>o</w:t>
      </w:r>
      <w:r>
        <w:rPr>
          <w:color w:val="FF0000"/>
        </w:rPr>
        <w:t xml:space="preserve">m Survey Monkey)  </w:t>
      </w:r>
    </w:p>
    <w:p w:rsidR="0017667E" w:rsidP="0017667E" w:rsidRDefault="0017667E" w14:paraId="6E7400A3" w14:textId="77777777">
      <w:pPr>
        <w:pStyle w:val="ListParagraph"/>
      </w:pPr>
    </w:p>
    <w:p w:rsidR="0017667E" w:rsidP="0017667E" w:rsidRDefault="0017667E" w14:paraId="73495BBB" w14:textId="77777777">
      <w:r>
        <w:t xml:space="preserve">Through this survey, we aim to gather your valuable input to help us identify what parts of the database you find most useful and any potential areas of improvement. </w:t>
      </w:r>
    </w:p>
    <w:p w:rsidR="0017667E" w:rsidP="0017667E" w:rsidRDefault="0017667E" w14:paraId="2131B6A3" w14:textId="09973F02">
      <w:r>
        <w:t xml:space="preserve">We appreciate your time and commitment to assist our efforts in improving the database for the PEPFAR Program. </w:t>
      </w:r>
    </w:p>
    <w:p w:rsidR="00E01A92" w:rsidP="00E01A92" w:rsidRDefault="00E01A92" w14:paraId="1C66ED79" w14:textId="77777777">
      <w:pPr>
        <w:spacing w:after="0" w:line="240" w:lineRule="auto"/>
        <w:rPr>
          <w:rFonts w:eastAsiaTheme="minorEastAsia"/>
          <w:noProof/>
        </w:rPr>
      </w:pPr>
      <w:bookmarkStart w:name="_MailAutoSig" w:id="0"/>
      <w:r>
        <w:rPr>
          <w:rFonts w:eastAsiaTheme="minorEastAsia"/>
          <w:noProof/>
        </w:rPr>
        <w:t>Kindest regards,</w:t>
      </w:r>
    </w:p>
    <w:p w:rsidR="00E01A92" w:rsidP="00E01A92" w:rsidRDefault="00E01A92" w14:paraId="33B0FF25" w14:textId="77777777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Will </w:t>
      </w:r>
    </w:p>
    <w:p w:rsidR="00E01A92" w:rsidP="00E01A92" w:rsidRDefault="00E01A92" w14:paraId="2838ED28" w14:textId="77777777">
      <w:pPr>
        <w:spacing w:after="0" w:line="240" w:lineRule="auto"/>
        <w:rPr>
          <w:rFonts w:eastAsiaTheme="minorEastAsia"/>
          <w:noProof/>
        </w:rPr>
      </w:pPr>
    </w:p>
    <w:p w:rsidR="00E01A92" w:rsidP="00E01A92" w:rsidRDefault="00E01A92" w14:paraId="2AEEF2A5" w14:textId="77777777">
      <w:pPr>
        <w:spacing w:after="0" w:line="240" w:lineRule="auto"/>
        <w:rPr>
          <w:rFonts w:cs="Calibri" w:eastAsiaTheme="minorEastAsia"/>
          <w:b/>
          <w:bCs/>
          <w:noProof/>
          <w:color w:val="1F497D"/>
          <w:sz w:val="18"/>
          <w:szCs w:val="18"/>
        </w:rPr>
      </w:pPr>
      <w:r>
        <w:rPr>
          <w:rFonts w:cs="Calibri" w:eastAsiaTheme="minorEastAsia"/>
          <w:b/>
          <w:bCs/>
          <w:noProof/>
          <w:color w:val="1F497D"/>
          <w:sz w:val="18"/>
          <w:szCs w:val="18"/>
        </w:rPr>
        <w:t xml:space="preserve">William Lewallen, FAC-P/PM  </w:t>
      </w:r>
      <w:r>
        <w:rPr>
          <w:rFonts w:cs="Calibri" w:eastAsiaTheme="minorEastAsia"/>
          <w:noProof/>
          <w:color w:val="1F497D"/>
          <w:sz w:val="18"/>
          <w:szCs w:val="18"/>
        </w:rPr>
        <w:t>(He,Him,His)</w:t>
      </w:r>
      <w:r>
        <w:rPr>
          <w:rFonts w:cs="Calibri" w:eastAsiaTheme="minorEastAsia"/>
          <w:b/>
          <w:bCs/>
          <w:noProof/>
          <w:color w:val="1F497D"/>
          <w:sz w:val="18"/>
          <w:szCs w:val="18"/>
        </w:rPr>
        <w:t xml:space="preserve">    </w:t>
      </w:r>
    </w:p>
    <w:p w:rsidR="00E01A92" w:rsidP="00E01A92" w:rsidRDefault="00E01A92" w14:paraId="2BDF78FD" w14:textId="77777777">
      <w:pPr>
        <w:spacing w:after="0" w:line="240" w:lineRule="auto"/>
        <w:rPr>
          <w:rFonts w:cs="Calibri" w:eastAsiaTheme="minorEastAsia"/>
          <w:i/>
          <w:iCs/>
          <w:noProof/>
          <w:color w:val="1F497D"/>
          <w:sz w:val="18"/>
          <w:szCs w:val="18"/>
        </w:rPr>
      </w:pPr>
      <w:r>
        <w:rPr>
          <w:rFonts w:cs="Calibri" w:eastAsiaTheme="minorEastAsia"/>
          <w:i/>
          <w:iCs/>
          <w:noProof/>
          <w:color w:val="1F497D"/>
          <w:sz w:val="18"/>
          <w:szCs w:val="18"/>
        </w:rPr>
        <w:t>International Program Analyst</w:t>
      </w:r>
    </w:p>
    <w:p w:rsidR="00E01A92" w:rsidP="00E01A92" w:rsidRDefault="00E01A92" w14:paraId="37313B9B" w14:textId="77777777">
      <w:pPr>
        <w:spacing w:after="0" w:line="240" w:lineRule="auto"/>
        <w:rPr>
          <w:rFonts w:cs="Calibri" w:eastAsiaTheme="minorEastAsia"/>
          <w:noProof/>
          <w:color w:val="555555"/>
          <w:sz w:val="8"/>
          <w:szCs w:val="8"/>
        </w:rPr>
      </w:pPr>
    </w:p>
    <w:p w:rsidR="00E01A92" w:rsidP="00E01A92" w:rsidRDefault="00E01A92" w14:paraId="76C87DE6" w14:textId="77777777">
      <w:pPr>
        <w:spacing w:after="0" w:line="240" w:lineRule="auto"/>
        <w:rPr>
          <w:rFonts w:cs="Calibri" w:eastAsiaTheme="minorEastAsia"/>
          <w:noProof/>
          <w:color w:val="555555"/>
          <w:sz w:val="18"/>
          <w:szCs w:val="18"/>
        </w:rPr>
      </w:pPr>
      <w:r>
        <w:rPr>
          <w:rFonts w:cs="Calibri" w:eastAsiaTheme="minorEastAsia"/>
          <w:noProof/>
          <w:color w:val="555555"/>
          <w:sz w:val="18"/>
          <w:szCs w:val="18"/>
        </w:rPr>
        <w:t xml:space="preserve">International Programs &amp; PFDD Staff | Strategic Initiatives </w:t>
      </w:r>
    </w:p>
    <w:p w:rsidR="00E01A92" w:rsidP="00E01A92" w:rsidRDefault="00E01A92" w14:paraId="0492E389" w14:textId="77777777">
      <w:pPr>
        <w:spacing w:after="0" w:line="240" w:lineRule="auto"/>
        <w:rPr>
          <w:rFonts w:cs="Calibri" w:eastAsiaTheme="minorEastAsia"/>
          <w:noProof/>
          <w:color w:val="555555"/>
          <w:sz w:val="18"/>
          <w:szCs w:val="18"/>
        </w:rPr>
      </w:pPr>
      <w:r>
        <w:rPr>
          <w:rFonts w:cs="Calibri" w:eastAsiaTheme="minorEastAsia"/>
          <w:noProof/>
          <w:color w:val="555555"/>
          <w:sz w:val="18"/>
          <w:szCs w:val="18"/>
        </w:rPr>
        <w:t>Office of the Center Director</w:t>
      </w:r>
    </w:p>
    <w:p w:rsidR="00E01A92" w:rsidP="00E01A92" w:rsidRDefault="00E01A92" w14:paraId="122F9F5E" w14:textId="77777777">
      <w:pPr>
        <w:spacing w:after="0" w:line="240" w:lineRule="auto"/>
        <w:rPr>
          <w:rFonts w:cs="Calibri" w:eastAsiaTheme="minorEastAsia"/>
          <w:noProof/>
          <w:color w:val="555555"/>
          <w:sz w:val="18"/>
          <w:szCs w:val="18"/>
        </w:rPr>
      </w:pPr>
      <w:r>
        <w:rPr>
          <w:rFonts w:cs="Calibri" w:eastAsiaTheme="minorEastAsia"/>
          <w:noProof/>
          <w:color w:val="555555"/>
          <w:sz w:val="18"/>
          <w:szCs w:val="18"/>
        </w:rPr>
        <w:t>Center for Drug Evaluation and Research</w:t>
      </w:r>
    </w:p>
    <w:p w:rsidR="00E01A92" w:rsidP="00E01A92" w:rsidRDefault="00E01A92" w14:paraId="48018D26" w14:textId="77777777">
      <w:pPr>
        <w:spacing w:after="0" w:line="240" w:lineRule="auto"/>
        <w:rPr>
          <w:rFonts w:cs="Calibri" w:eastAsiaTheme="minorEastAsia"/>
          <w:noProof/>
          <w:color w:val="555555"/>
          <w:sz w:val="18"/>
          <w:szCs w:val="18"/>
        </w:rPr>
      </w:pPr>
      <w:r>
        <w:rPr>
          <w:rFonts w:cs="Calibri" w:eastAsiaTheme="minorEastAsia"/>
          <w:noProof/>
          <w:color w:val="555555"/>
          <w:sz w:val="18"/>
          <w:szCs w:val="18"/>
        </w:rPr>
        <w:t>U.S. Food and Drug Administration</w:t>
      </w:r>
    </w:p>
    <w:p w:rsidR="00E01A92" w:rsidP="00E01A92" w:rsidRDefault="00E01A92" w14:paraId="7E90C6E3" w14:textId="77777777">
      <w:pPr>
        <w:spacing w:after="0" w:line="240" w:lineRule="auto"/>
        <w:rPr>
          <w:rFonts w:cs="Calibri" w:eastAsiaTheme="minorEastAsia"/>
          <w:noProof/>
          <w:color w:val="555555"/>
          <w:sz w:val="18"/>
          <w:szCs w:val="18"/>
        </w:rPr>
      </w:pPr>
      <w:r>
        <w:rPr>
          <w:rFonts w:cs="Calibri" w:eastAsiaTheme="minorEastAsia"/>
          <w:noProof/>
          <w:color w:val="555555"/>
          <w:sz w:val="18"/>
          <w:szCs w:val="18"/>
        </w:rPr>
        <w:t>T: 301-796-3810; C: 704-497-4785</w:t>
      </w:r>
    </w:p>
    <w:p w:rsidR="00E01A92" w:rsidP="00E01A92" w:rsidRDefault="00620117" w14:paraId="132AFBBD" w14:textId="77777777">
      <w:pPr>
        <w:spacing w:after="0" w:line="240" w:lineRule="auto"/>
        <w:rPr>
          <w:rFonts w:cs="Calibri" w:eastAsiaTheme="minorEastAsia"/>
          <w:noProof/>
          <w:color w:val="555555"/>
          <w:sz w:val="18"/>
          <w:szCs w:val="18"/>
        </w:rPr>
      </w:pPr>
      <w:hyperlink w:history="1" r:id="rId5">
        <w:r w:rsidR="00E01A92">
          <w:rPr>
            <w:rStyle w:val="Hyperlink"/>
            <w:rFonts w:cs="Calibri" w:eastAsiaTheme="minorEastAsia"/>
            <w:noProof/>
            <w:sz w:val="18"/>
            <w:szCs w:val="18"/>
          </w:rPr>
          <w:t>William.Lewallen@fda.hhs.gov</w:t>
        </w:r>
      </w:hyperlink>
      <w:r w:rsidR="00E01A92">
        <w:rPr>
          <w:rFonts w:cs="Calibri" w:eastAsiaTheme="minorEastAsia"/>
          <w:noProof/>
          <w:color w:val="555555"/>
          <w:sz w:val="18"/>
          <w:szCs w:val="18"/>
        </w:rPr>
        <w:t xml:space="preserve"> </w:t>
      </w:r>
    </w:p>
    <w:p w:rsidR="00E01A92" w:rsidP="00E01A92" w:rsidRDefault="00E01A92" w14:paraId="73082C24" w14:textId="77777777">
      <w:pPr>
        <w:spacing w:after="0" w:line="240" w:lineRule="auto"/>
        <w:rPr>
          <w:rFonts w:ascii="Arial" w:hAnsi="Arial" w:cs="Arial" w:eastAsiaTheme="minorEastAsia"/>
          <w:noProof/>
          <w:color w:val="555555"/>
          <w:sz w:val="18"/>
          <w:szCs w:val="18"/>
        </w:rPr>
      </w:pPr>
      <w:r>
        <w:rPr>
          <w:rFonts w:ascii="Arial" w:hAnsi="Arial" w:cs="Arial" w:eastAsiaTheme="minorEastAsia"/>
          <w:noProof/>
          <w:color w:val="555555"/>
          <w:sz w:val="18"/>
          <w:szCs w:val="18"/>
        </w:rPr>
        <w:t xml:space="preserve">                         </w:t>
      </w:r>
    </w:p>
    <w:p w:rsidR="00E01A92" w:rsidP="00E01A92" w:rsidRDefault="00E01A92" w14:paraId="1B9260E9" w14:textId="666E4C99">
      <w:pPr>
        <w:spacing w:after="0" w:line="240" w:lineRule="auto"/>
        <w:rPr>
          <w:rFonts w:eastAsia="Calibri"/>
          <w:noProof/>
        </w:rPr>
      </w:pPr>
      <w:r>
        <w:rPr>
          <w:rFonts w:ascii="Arial" w:hAnsi="Arial" w:cs="Arial" w:eastAsiaTheme="minorEastAsia"/>
          <w:noProof/>
          <w:color w:val="0000FF"/>
          <w:sz w:val="17"/>
          <w:szCs w:val="17"/>
        </w:rPr>
        <w:drawing>
          <wp:inline distT="0" distB="0" distL="0" distR="0" wp14:anchorId="46AAA86D" wp14:editId="29741C4C">
            <wp:extent cx="1470660" cy="327660"/>
            <wp:effectExtent l="0" t="0" r="0" b="0"/>
            <wp:docPr id="4" name="Picture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</w:rPr>
        <w:t xml:space="preserve">  </w:t>
      </w:r>
      <w:r>
        <w:rPr>
          <w:rFonts w:eastAsiaTheme="minorEastAsia"/>
          <w:noProof/>
        </w:rPr>
        <w:drawing>
          <wp:inline distT="0" distB="0" distL="0" distR="0" wp14:anchorId="1C0C3C03" wp14:editId="7A6E1E09">
            <wp:extent cx="716280" cy="3352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667E" w:rsidRDefault="0017667E" w14:paraId="76D603EB" w14:textId="77777777"/>
    <w:sectPr w:rsidR="00176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976EDF"/>
    <w:multiLevelType w:val="hybridMultilevel"/>
    <w:tmpl w:val="4A78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7E"/>
    <w:rsid w:val="001126A6"/>
    <w:rsid w:val="0017667E"/>
    <w:rsid w:val="00377AC0"/>
    <w:rsid w:val="00620117"/>
    <w:rsid w:val="00A00B46"/>
    <w:rsid w:val="00CD374A"/>
    <w:rsid w:val="00DC43B0"/>
    <w:rsid w:val="00E0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2B7E"/>
  <w15:chartTrackingRefBased/>
  <w15:docId w15:val="{B4D6861D-2A91-4DC9-886C-C62A72CB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67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76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da.gov/" TargetMode="External"/><Relationship Id="rId5" Type="http://schemas.openxmlformats.org/officeDocument/2006/relationships/hyperlink" Target="mailto:William.Lewallen@fda.hh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Lewallen, William</dc:creator>
  <cp:keywords/>
  <dc:description/>
  <cp:lastModifiedBy>Mizrachi, Ila</cp:lastModifiedBy>
  <cp:revision>2</cp:revision>
  <dcterms:created xsi:type="dcterms:W3CDTF">2021-10-18T19:36:00Z</dcterms:created>
  <dcterms:modified xsi:type="dcterms:W3CDTF">2021-10-18T19:36:00Z</dcterms:modified>
</cp:coreProperties>
</file>