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A64F1" w:rsidR="002A64F1" w:rsidP="002A64F1" w:rsidRDefault="00FE0A8B" w14:paraId="5CF5DE5A" w14:textId="21184B6F">
      <w:pPr>
        <w:widowControl w:val="0"/>
        <w:tabs>
          <w:tab w:val="center" w:pos="4680"/>
        </w:tabs>
        <w:jc w:val="center"/>
        <w:rPr>
          <w:rFonts w:ascii="Arial" w:hAnsi="Arial" w:cs="Arial"/>
          <w:sz w:val="22"/>
        </w:rPr>
      </w:pPr>
      <w:r w:rsidRPr="002A64F1">
        <w:rPr>
          <w:rFonts w:ascii="Arial" w:hAnsi="Arial" w:cs="Arial"/>
          <w:sz w:val="22"/>
          <w:szCs w:val="22"/>
        </w:rPr>
        <w:fldChar w:fldCharType="begin"/>
      </w:r>
      <w:r w:rsidRPr="002A64F1" w:rsidR="002A64F1">
        <w:rPr>
          <w:rFonts w:ascii="Arial" w:hAnsi="Arial" w:cs="Arial"/>
          <w:sz w:val="22"/>
          <w:szCs w:val="22"/>
        </w:rPr>
        <w:instrText xml:space="preserve"> SEQ CHAPTER \h \r 1</w:instrText>
      </w:r>
      <w:r w:rsidRPr="002A64F1">
        <w:rPr>
          <w:rFonts w:ascii="Arial" w:hAnsi="Arial" w:cs="Arial"/>
          <w:sz w:val="22"/>
          <w:szCs w:val="22"/>
        </w:rPr>
        <w:fldChar w:fldCharType="end"/>
      </w:r>
      <w:r w:rsidR="002A5F82">
        <w:rPr>
          <w:rFonts w:ascii="Arial" w:hAnsi="Arial" w:cs="Arial"/>
          <w:sz w:val="22"/>
          <w:szCs w:val="22"/>
        </w:rPr>
        <w:t>FINAL</w:t>
      </w:r>
      <w:r w:rsidRPr="002A64F1" w:rsidR="002A5F82">
        <w:rPr>
          <w:rFonts w:ascii="Arial" w:hAnsi="Arial" w:cs="Arial"/>
          <w:sz w:val="22"/>
          <w:szCs w:val="22"/>
        </w:rPr>
        <w:t xml:space="preserve"> </w:t>
      </w:r>
      <w:r w:rsidRPr="002A64F1" w:rsidR="002A64F1">
        <w:rPr>
          <w:rFonts w:ascii="Arial" w:hAnsi="Arial" w:cs="Arial"/>
          <w:sz w:val="22"/>
          <w:szCs w:val="22"/>
        </w:rPr>
        <w:t>SUPPO</w:t>
      </w:r>
      <w:r w:rsidRPr="002A64F1" w:rsidR="002A64F1">
        <w:rPr>
          <w:rFonts w:ascii="Arial" w:hAnsi="Arial" w:cs="Arial"/>
          <w:sz w:val="22"/>
        </w:rPr>
        <w:t>RTING STATEMENT</w:t>
      </w:r>
    </w:p>
    <w:p w:rsidRPr="002A64F1" w:rsidR="002A64F1" w:rsidP="002A64F1" w:rsidRDefault="002A64F1" w14:paraId="5F5FF7E3" w14:textId="28C69E23">
      <w:pPr>
        <w:widowControl w:val="0"/>
        <w:tabs>
          <w:tab w:val="center" w:pos="4680"/>
        </w:tabs>
        <w:jc w:val="center"/>
        <w:rPr>
          <w:rFonts w:ascii="Arial" w:hAnsi="Arial" w:cs="Arial"/>
          <w:sz w:val="22"/>
        </w:rPr>
      </w:pPr>
      <w:r w:rsidRPr="002A64F1">
        <w:rPr>
          <w:rFonts w:ascii="Arial" w:hAnsi="Arial" w:cs="Arial"/>
          <w:sz w:val="22"/>
        </w:rPr>
        <w:t>FOR</w:t>
      </w:r>
    </w:p>
    <w:p w:rsidR="00BA6AEC" w:rsidP="002A64F1" w:rsidRDefault="00BA6AEC" w14:paraId="77CC5437" w14:textId="66AD691F">
      <w:pPr>
        <w:widowControl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INFORMATION COLLECTIONS CONTAINED IN </w:t>
      </w:r>
    </w:p>
    <w:p w:rsidR="00BA6AEC" w:rsidP="002A64F1" w:rsidRDefault="006D2133" w14:paraId="74C7C5C7" w14:textId="77777777">
      <w:pPr>
        <w:widowControl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APPROVAL OF AMERICAN SOCIETY OF </w:t>
      </w:r>
    </w:p>
    <w:p w:rsidR="00310452" w:rsidP="002A64F1" w:rsidRDefault="006D2133" w14:paraId="2EFB509D" w14:textId="47975CF0">
      <w:pPr>
        <w:widowControl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MECHANICAL ENGINEERS CODE CASES</w:t>
      </w:r>
    </w:p>
    <w:p w:rsidR="00310452" w:rsidP="002A64F1" w:rsidRDefault="002A5F82" w14:paraId="7A507178" w14:textId="32DA2C01">
      <w:pPr>
        <w:widowControl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FINAL </w:t>
      </w:r>
      <w:r w:rsidR="00310452">
        <w:rPr>
          <w:rFonts w:ascii="Arial" w:hAnsi="Arial" w:cs="Arial"/>
          <w:sz w:val="22"/>
        </w:rPr>
        <w:t>RULE</w:t>
      </w:r>
    </w:p>
    <w:p w:rsidR="00BA6AEC" w:rsidP="002A64F1" w:rsidRDefault="00BA6AEC" w14:paraId="7B1E1202" w14:textId="77777777">
      <w:pPr>
        <w:widowControl w:val="0"/>
        <w:jc w:val="center"/>
        <w:rPr>
          <w:rFonts w:ascii="Arial" w:hAnsi="Arial" w:cs="Arial"/>
          <w:sz w:val="22"/>
        </w:rPr>
      </w:pPr>
    </w:p>
    <w:p w:rsidR="00BA6AEC" w:rsidP="002A64F1" w:rsidRDefault="00BA6AEC" w14:paraId="4BA5DC06" w14:textId="77777777">
      <w:pPr>
        <w:widowControl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 CFR PART 50</w:t>
      </w:r>
    </w:p>
    <w:p w:rsidRPr="002A64F1" w:rsidR="00310452" w:rsidP="002A64F1" w:rsidRDefault="00310452" w14:paraId="34F6B16A" w14:textId="77777777">
      <w:pPr>
        <w:widowControl w:val="0"/>
        <w:jc w:val="center"/>
        <w:rPr>
          <w:rFonts w:ascii="Arial" w:hAnsi="Arial" w:cs="Arial"/>
          <w:sz w:val="22"/>
        </w:rPr>
      </w:pPr>
    </w:p>
    <w:p w:rsidRPr="002A64F1" w:rsidR="002A64F1" w:rsidP="00B87051" w:rsidRDefault="002A64F1" w14:paraId="7701042C" w14:textId="584AB291">
      <w:pPr>
        <w:widowControl w:val="0"/>
        <w:tabs>
          <w:tab w:val="center" w:pos="4680"/>
        </w:tabs>
        <w:jc w:val="center"/>
        <w:rPr>
          <w:rFonts w:ascii="Arial" w:hAnsi="Arial" w:cs="Arial"/>
          <w:sz w:val="22"/>
        </w:rPr>
      </w:pPr>
      <w:r w:rsidRPr="002A64F1">
        <w:rPr>
          <w:rFonts w:ascii="Arial" w:hAnsi="Arial" w:cs="Arial"/>
          <w:sz w:val="22"/>
        </w:rPr>
        <w:t>(</w:t>
      </w:r>
      <w:r w:rsidR="0006251D">
        <w:rPr>
          <w:rFonts w:ascii="Arial" w:hAnsi="Arial" w:cs="Arial"/>
          <w:sz w:val="22"/>
        </w:rPr>
        <w:t>RIN-</w:t>
      </w:r>
      <w:r w:rsidRPr="002A64F1">
        <w:rPr>
          <w:rFonts w:ascii="Arial" w:hAnsi="Arial" w:cs="Arial"/>
          <w:sz w:val="22"/>
        </w:rPr>
        <w:t>3150-</w:t>
      </w:r>
      <w:r w:rsidR="00B87051">
        <w:rPr>
          <w:rFonts w:ascii="Arial" w:hAnsi="Arial" w:cs="Arial"/>
          <w:sz w:val="22"/>
        </w:rPr>
        <w:t>AJ</w:t>
      </w:r>
      <w:r w:rsidR="00BA6AEC">
        <w:rPr>
          <w:rFonts w:ascii="Arial" w:hAnsi="Arial" w:cs="Arial"/>
          <w:sz w:val="22"/>
        </w:rPr>
        <w:t>9</w:t>
      </w:r>
      <w:r w:rsidR="00AA2478">
        <w:rPr>
          <w:rFonts w:ascii="Arial" w:hAnsi="Arial" w:cs="Arial"/>
          <w:sz w:val="22"/>
        </w:rPr>
        <w:t>4</w:t>
      </w:r>
      <w:r w:rsidRPr="002A64F1">
        <w:rPr>
          <w:rFonts w:ascii="Arial" w:hAnsi="Arial" w:cs="Arial"/>
          <w:sz w:val="22"/>
        </w:rPr>
        <w:t>)</w:t>
      </w:r>
    </w:p>
    <w:p w:rsidRPr="002A64F1" w:rsidR="002A64F1" w:rsidP="002A64F1" w:rsidRDefault="002A64F1" w14:paraId="7D0A15ED" w14:textId="77777777">
      <w:pPr>
        <w:widowControl w:val="0"/>
        <w:rPr>
          <w:rFonts w:ascii="Arial" w:hAnsi="Arial" w:cs="Arial"/>
          <w:sz w:val="22"/>
        </w:rPr>
      </w:pPr>
    </w:p>
    <w:p w:rsidRPr="002A64F1" w:rsidR="002A64F1" w:rsidP="002A64F1" w:rsidRDefault="002A64F1" w14:paraId="06F80E60" w14:textId="77777777">
      <w:pPr>
        <w:widowControl w:val="0"/>
        <w:rPr>
          <w:rFonts w:ascii="Arial" w:hAnsi="Arial" w:cs="Arial"/>
          <w:sz w:val="22"/>
        </w:rPr>
      </w:pPr>
    </w:p>
    <w:p w:rsidRPr="002A64F1" w:rsidR="002A64F1" w:rsidP="002A64F1" w:rsidRDefault="002A64F1" w14:paraId="754C344A" w14:textId="77777777">
      <w:pPr>
        <w:widowControl w:val="0"/>
        <w:rPr>
          <w:rFonts w:ascii="Arial" w:hAnsi="Arial" w:cs="Arial"/>
          <w:sz w:val="22"/>
        </w:rPr>
      </w:pPr>
      <w:r w:rsidRPr="002A64F1">
        <w:rPr>
          <w:rFonts w:ascii="Arial" w:hAnsi="Arial" w:cs="Arial"/>
          <w:sz w:val="22"/>
          <w:u w:val="single"/>
        </w:rPr>
        <w:t>Description of the Information Collection</w:t>
      </w:r>
    </w:p>
    <w:p w:rsidR="002A64F1" w:rsidP="002A64F1" w:rsidRDefault="002A64F1" w14:paraId="077EFCAA" w14:textId="77777777">
      <w:pPr>
        <w:rPr>
          <w:rFonts w:ascii="Arial" w:hAnsi="Arial" w:cs="Arial"/>
          <w:sz w:val="22"/>
          <w:szCs w:val="22"/>
        </w:rPr>
      </w:pPr>
    </w:p>
    <w:p w:rsidRPr="00BA6AEC" w:rsidR="00BA6AEC" w:rsidP="00BA6AEC" w:rsidRDefault="006953E6" w14:paraId="2DAFA9F3" w14:textId="0A4C15DE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6251D">
        <w:rPr>
          <w:rFonts w:ascii="Arial" w:hAnsi="Arial" w:cs="Arial"/>
          <w:sz w:val="22"/>
          <w:szCs w:val="22"/>
        </w:rPr>
        <w:t>U.S. Nuclear Regulatory Commission (</w:t>
      </w:r>
      <w:r>
        <w:rPr>
          <w:rFonts w:ascii="Arial" w:hAnsi="Arial" w:cs="Arial"/>
          <w:sz w:val="22"/>
          <w:szCs w:val="22"/>
        </w:rPr>
        <w:t>NRC</w:t>
      </w:r>
      <w:r w:rsidR="0006251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regulations in </w:t>
      </w:r>
      <w:r w:rsidR="0006251D">
        <w:rPr>
          <w:rFonts w:ascii="Arial" w:hAnsi="Arial" w:cs="Arial"/>
          <w:sz w:val="22"/>
          <w:szCs w:val="22"/>
        </w:rPr>
        <w:t xml:space="preserve">Title 10 of the </w:t>
      </w:r>
      <w:r w:rsidRPr="00177AD2" w:rsidR="0006251D">
        <w:rPr>
          <w:rFonts w:ascii="Arial" w:hAnsi="Arial" w:cs="Arial"/>
          <w:i/>
          <w:sz w:val="22"/>
          <w:szCs w:val="22"/>
        </w:rPr>
        <w:t>Code of Federal Regulations</w:t>
      </w:r>
      <w:r w:rsidR="0006251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10</w:t>
      </w:r>
      <w:r w:rsidR="00060F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CFR</w:t>
      </w:r>
      <w:r w:rsidR="0006251D">
        <w:rPr>
          <w:rFonts w:ascii="Arial" w:hAnsi="Arial" w:cs="Arial"/>
          <w:sz w:val="22"/>
          <w:szCs w:val="22"/>
        </w:rPr>
        <w:t>)</w:t>
      </w:r>
      <w:r w:rsidR="00060F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50.55a</w:t>
      </w:r>
      <w:r w:rsidR="00060F69">
        <w:rPr>
          <w:rFonts w:ascii="Arial" w:hAnsi="Arial" w:cs="Arial"/>
          <w:sz w:val="22"/>
          <w:szCs w:val="22"/>
        </w:rPr>
        <w:t xml:space="preserve">, “Codes and standards,” </w:t>
      </w:r>
      <w:r>
        <w:rPr>
          <w:rFonts w:ascii="Arial" w:hAnsi="Arial" w:cs="Arial"/>
          <w:sz w:val="22"/>
          <w:szCs w:val="22"/>
        </w:rPr>
        <w:t xml:space="preserve">incorporate by reference </w:t>
      </w:r>
      <w:r w:rsidR="007F727A">
        <w:rPr>
          <w:rFonts w:ascii="Arial" w:hAnsi="Arial" w:cs="Arial"/>
          <w:sz w:val="22"/>
          <w:szCs w:val="22"/>
        </w:rPr>
        <w:t xml:space="preserve">the </w:t>
      </w:r>
      <w:r w:rsidRPr="00BA6AEC" w:rsidR="00BA6AEC">
        <w:rPr>
          <w:rFonts w:ascii="Arial" w:hAnsi="Arial" w:cs="Arial"/>
          <w:sz w:val="22"/>
          <w:szCs w:val="22"/>
        </w:rPr>
        <w:t xml:space="preserve">American Society of Mechanical Engineers (ASME) </w:t>
      </w:r>
      <w:r w:rsidR="00066C6C">
        <w:rPr>
          <w:rFonts w:ascii="Arial" w:hAnsi="Arial" w:cs="Arial"/>
          <w:sz w:val="22"/>
          <w:szCs w:val="22"/>
        </w:rPr>
        <w:t>c</w:t>
      </w:r>
      <w:r w:rsidRPr="00BA6AEC" w:rsidR="00BA6AEC">
        <w:rPr>
          <w:rFonts w:ascii="Arial" w:hAnsi="Arial" w:cs="Arial"/>
          <w:sz w:val="22"/>
          <w:szCs w:val="22"/>
        </w:rPr>
        <w:t xml:space="preserve">odes for nuclear power plants.  The NRC </w:t>
      </w:r>
      <w:r w:rsidR="00214167">
        <w:rPr>
          <w:rFonts w:ascii="Arial" w:hAnsi="Arial" w:cs="Arial"/>
          <w:sz w:val="22"/>
          <w:szCs w:val="22"/>
        </w:rPr>
        <w:t>is amending the</w:t>
      </w:r>
      <w:r w:rsidRPr="00BA6AEC" w:rsidR="00BA6AEC">
        <w:rPr>
          <w:rFonts w:ascii="Arial" w:hAnsi="Arial" w:cs="Arial"/>
          <w:sz w:val="22"/>
          <w:szCs w:val="22"/>
        </w:rPr>
        <w:t xml:space="preserve"> information collection requirements associated with those regulations, as discussed in this supporting statement.  The NRC expects </w:t>
      </w:r>
      <w:r w:rsidRPr="00BA6AEC" w:rsidR="00282B4C">
        <w:rPr>
          <w:rFonts w:ascii="Arial" w:hAnsi="Arial" w:cs="Arial"/>
          <w:sz w:val="22"/>
          <w:szCs w:val="22"/>
        </w:rPr>
        <w:t xml:space="preserve">the use of ASME Code Cases </w:t>
      </w:r>
      <w:r w:rsidR="00282B4C">
        <w:rPr>
          <w:rFonts w:ascii="Arial" w:hAnsi="Arial" w:cs="Arial"/>
          <w:sz w:val="22"/>
          <w:szCs w:val="22"/>
        </w:rPr>
        <w:t>to</w:t>
      </w:r>
      <w:r w:rsidRPr="00BA6AEC" w:rsidR="00BA6AEC">
        <w:rPr>
          <w:rFonts w:ascii="Arial" w:hAnsi="Arial" w:cs="Arial"/>
          <w:sz w:val="22"/>
          <w:szCs w:val="22"/>
        </w:rPr>
        <w:t xml:space="preserve"> </w:t>
      </w:r>
      <w:r w:rsidRPr="00BA6AEC" w:rsidR="00282B4C">
        <w:rPr>
          <w:rFonts w:ascii="Arial" w:hAnsi="Arial" w:cs="Arial"/>
          <w:sz w:val="22"/>
          <w:szCs w:val="22"/>
        </w:rPr>
        <w:t>reduc</w:t>
      </w:r>
      <w:r w:rsidR="00282B4C">
        <w:rPr>
          <w:rFonts w:ascii="Arial" w:hAnsi="Arial" w:cs="Arial"/>
          <w:sz w:val="22"/>
          <w:szCs w:val="22"/>
        </w:rPr>
        <w:t>e the</w:t>
      </w:r>
      <w:r w:rsidRPr="00BA6AEC" w:rsidR="00BA6AEC">
        <w:rPr>
          <w:rFonts w:ascii="Arial" w:hAnsi="Arial" w:cs="Arial"/>
          <w:sz w:val="22"/>
          <w:szCs w:val="22"/>
        </w:rPr>
        <w:t xml:space="preserve"> burden on respondents, as described below.  The use of ASME Code Cases reduces the need for licensees to submit </w:t>
      </w:r>
      <w:r w:rsidR="007D48F4">
        <w:rPr>
          <w:rFonts w:ascii="Arial" w:hAnsi="Arial" w:cs="Arial"/>
          <w:sz w:val="22"/>
          <w:szCs w:val="22"/>
        </w:rPr>
        <w:t>licensing actions</w:t>
      </w:r>
      <w:r w:rsidRPr="00BA6AEC" w:rsidR="00BA6AEC">
        <w:rPr>
          <w:rFonts w:ascii="Arial" w:hAnsi="Arial" w:cs="Arial"/>
          <w:sz w:val="22"/>
          <w:szCs w:val="22"/>
        </w:rPr>
        <w:t xml:space="preserve"> for the use of voluntary alternatives to the ASME </w:t>
      </w:r>
      <w:r w:rsidR="00066C6C">
        <w:rPr>
          <w:rFonts w:ascii="Arial" w:hAnsi="Arial" w:cs="Arial"/>
          <w:sz w:val="22"/>
          <w:szCs w:val="22"/>
        </w:rPr>
        <w:t>c</w:t>
      </w:r>
      <w:r w:rsidRPr="00BA6AEC" w:rsidR="00BA6AEC">
        <w:rPr>
          <w:rFonts w:ascii="Arial" w:hAnsi="Arial" w:cs="Arial"/>
          <w:sz w:val="22"/>
          <w:szCs w:val="22"/>
        </w:rPr>
        <w:t>ode requirements.</w:t>
      </w:r>
    </w:p>
    <w:p w:rsidRPr="00BA6AEC" w:rsidR="00BA6AEC" w:rsidP="00BA6AEC" w:rsidRDefault="00BA6AEC" w14:paraId="47179EDA" w14:textId="77777777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6953E6" w:rsidP="006953E6" w:rsidRDefault="00BA6AEC" w14:paraId="7035E749" w14:textId="728881D2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BA6AEC">
        <w:rPr>
          <w:rFonts w:ascii="Arial" w:hAnsi="Arial" w:cs="Arial"/>
          <w:sz w:val="22"/>
          <w:szCs w:val="22"/>
        </w:rPr>
        <w:t xml:space="preserve">The NRC’s regulations in 10 CFR 50.55a incorporate by reference </w:t>
      </w:r>
      <w:r w:rsidR="006953E6">
        <w:rPr>
          <w:rFonts w:ascii="Arial" w:hAnsi="Arial" w:cs="Arial"/>
          <w:sz w:val="22"/>
          <w:szCs w:val="22"/>
        </w:rPr>
        <w:t>Division</w:t>
      </w:r>
      <w:r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 xml:space="preserve">1 rules of Section III, </w:t>
      </w:r>
      <w:r w:rsidR="00060F69">
        <w:rPr>
          <w:rFonts w:ascii="Arial" w:hAnsi="Arial" w:cs="Arial"/>
          <w:sz w:val="22"/>
          <w:szCs w:val="22"/>
        </w:rPr>
        <w:t>“</w:t>
      </w:r>
      <w:r w:rsidR="006953E6">
        <w:rPr>
          <w:rFonts w:ascii="Arial" w:hAnsi="Arial" w:cs="Arial"/>
          <w:sz w:val="22"/>
          <w:szCs w:val="22"/>
        </w:rPr>
        <w:t>Rules for Construction of Nuclear Power Plant Components,</w:t>
      </w:r>
      <w:r w:rsidR="00060F69">
        <w:rPr>
          <w:rFonts w:ascii="Arial" w:hAnsi="Arial" w:cs="Arial"/>
          <w:sz w:val="22"/>
          <w:szCs w:val="22"/>
        </w:rPr>
        <w:t>”</w:t>
      </w:r>
      <w:r w:rsidR="006953E6">
        <w:rPr>
          <w:rFonts w:ascii="Arial" w:hAnsi="Arial" w:cs="Arial"/>
          <w:sz w:val="22"/>
          <w:szCs w:val="22"/>
        </w:rPr>
        <w:t xml:space="preserve"> and Section</w:t>
      </w:r>
      <w:r w:rsidR="00060F69"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 xml:space="preserve">XI, </w:t>
      </w:r>
      <w:r w:rsidR="00060F69">
        <w:rPr>
          <w:rFonts w:ascii="Arial" w:hAnsi="Arial" w:cs="Arial"/>
          <w:sz w:val="22"/>
          <w:szCs w:val="22"/>
        </w:rPr>
        <w:t>“</w:t>
      </w:r>
      <w:r w:rsidR="006953E6">
        <w:rPr>
          <w:rFonts w:ascii="Arial" w:hAnsi="Arial" w:cs="Arial"/>
          <w:sz w:val="22"/>
          <w:szCs w:val="22"/>
        </w:rPr>
        <w:t>Rules for Inservice Inspection of Nuclear Power Plant Components,</w:t>
      </w:r>
      <w:r w:rsidR="00060F69">
        <w:rPr>
          <w:rFonts w:ascii="Arial" w:hAnsi="Arial" w:cs="Arial"/>
          <w:sz w:val="22"/>
          <w:szCs w:val="22"/>
        </w:rPr>
        <w:t>”</w:t>
      </w:r>
      <w:r w:rsidR="006953E6">
        <w:rPr>
          <w:rFonts w:ascii="Arial" w:hAnsi="Arial" w:cs="Arial"/>
          <w:sz w:val="22"/>
          <w:szCs w:val="22"/>
        </w:rPr>
        <w:t xml:space="preserve"> of the ASME Boi</w:t>
      </w:r>
      <w:r w:rsidR="0006251D">
        <w:rPr>
          <w:rFonts w:ascii="Arial" w:hAnsi="Arial" w:cs="Arial"/>
          <w:sz w:val="22"/>
          <w:szCs w:val="22"/>
        </w:rPr>
        <w:t>ler and Pressure Vessel Code (B</w:t>
      </w:r>
      <w:r w:rsidR="006953E6">
        <w:rPr>
          <w:rFonts w:ascii="Arial" w:hAnsi="Arial" w:cs="Arial"/>
          <w:sz w:val="22"/>
          <w:szCs w:val="22"/>
        </w:rPr>
        <w:t xml:space="preserve">PV Code); and the rules of the ASME </w:t>
      </w:r>
      <w:r w:rsidR="00BF3CB8">
        <w:rPr>
          <w:rFonts w:ascii="Arial" w:hAnsi="Arial" w:cs="Arial"/>
          <w:sz w:val="22"/>
          <w:szCs w:val="22"/>
        </w:rPr>
        <w:t>C</w:t>
      </w:r>
      <w:r w:rsidR="006953E6">
        <w:rPr>
          <w:rFonts w:ascii="Arial" w:hAnsi="Arial" w:cs="Arial"/>
          <w:sz w:val="22"/>
          <w:szCs w:val="22"/>
        </w:rPr>
        <w:t>ode for Operation and Maintenance of Nuclear Power Plants (OM Code).  These rules</w:t>
      </w:r>
      <w:r w:rsidR="0006251D">
        <w:rPr>
          <w:rFonts w:ascii="Arial" w:hAnsi="Arial" w:cs="Arial"/>
          <w:sz w:val="22"/>
          <w:szCs w:val="22"/>
        </w:rPr>
        <w:t xml:space="preserve"> of the ASME B</w:t>
      </w:r>
      <w:r w:rsidR="006953E6">
        <w:rPr>
          <w:rFonts w:ascii="Arial" w:hAnsi="Arial" w:cs="Arial"/>
          <w:sz w:val="22"/>
          <w:szCs w:val="22"/>
        </w:rPr>
        <w:t xml:space="preserve">PV and OM Codes </w:t>
      </w:r>
      <w:r w:rsidR="008B215E">
        <w:rPr>
          <w:rFonts w:ascii="Arial" w:hAnsi="Arial" w:cs="Arial"/>
          <w:sz w:val="22"/>
          <w:szCs w:val="22"/>
        </w:rPr>
        <w:t>set forth</w:t>
      </w:r>
      <w:r w:rsidR="006953E6">
        <w:rPr>
          <w:rFonts w:ascii="Arial" w:hAnsi="Arial" w:cs="Arial"/>
          <w:sz w:val="22"/>
          <w:szCs w:val="22"/>
        </w:rPr>
        <w:t xml:space="preserve"> the requirements to which nuclear power plant components are constructed, tested, repaired, and </w:t>
      </w:r>
      <w:r w:rsidRPr="009966D7" w:rsidR="006953E6">
        <w:rPr>
          <w:rFonts w:ascii="Arial" w:hAnsi="Arial" w:cs="Arial"/>
          <w:sz w:val="22"/>
          <w:szCs w:val="22"/>
        </w:rPr>
        <w:t xml:space="preserve">inspected.  </w:t>
      </w:r>
      <w:r w:rsidRPr="009966D7" w:rsidR="004127EA">
        <w:rPr>
          <w:rFonts w:ascii="Arial" w:hAnsi="Arial" w:cs="Arial"/>
          <w:sz w:val="22"/>
          <w:szCs w:val="22"/>
        </w:rPr>
        <w:t>This rule contains requirements that would result in collections of information that represent a recordkeeping and reporting burden for licensees.</w:t>
      </w:r>
    </w:p>
    <w:p w:rsidRPr="00F90FF4" w:rsidR="00F90FF4" w:rsidP="00F90FF4" w:rsidRDefault="00F90FF4" w14:paraId="5EF6D068" w14:textId="77777777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F90FF4" w:rsidP="00F90FF4" w:rsidRDefault="00F90FF4" w14:paraId="3DA60D68" w14:textId="58ED8738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F90FF4">
        <w:rPr>
          <w:rFonts w:ascii="Arial" w:hAnsi="Arial" w:cs="Arial"/>
          <w:sz w:val="22"/>
          <w:szCs w:val="22"/>
        </w:rPr>
        <w:t xml:space="preserve">The NRC approves </w:t>
      </w:r>
      <w:r w:rsidR="00FF418B">
        <w:rPr>
          <w:rFonts w:ascii="Arial" w:hAnsi="Arial" w:cs="Arial"/>
          <w:sz w:val="22"/>
          <w:szCs w:val="22"/>
        </w:rPr>
        <w:t>and/</w:t>
      </w:r>
      <w:r w:rsidRPr="00F90FF4">
        <w:rPr>
          <w:rFonts w:ascii="Arial" w:hAnsi="Arial" w:cs="Arial"/>
          <w:sz w:val="22"/>
          <w:szCs w:val="22"/>
        </w:rPr>
        <w:t>or mandates the use of the ASME BPV and OM Code</w:t>
      </w:r>
      <w:r w:rsidR="007D48F4">
        <w:rPr>
          <w:rFonts w:ascii="Arial" w:hAnsi="Arial" w:cs="Arial"/>
          <w:sz w:val="22"/>
          <w:szCs w:val="22"/>
        </w:rPr>
        <w:t>s</w:t>
      </w:r>
      <w:r w:rsidRPr="00F90FF4">
        <w:rPr>
          <w:rFonts w:ascii="Arial" w:hAnsi="Arial" w:cs="Arial"/>
          <w:sz w:val="22"/>
          <w:szCs w:val="22"/>
        </w:rPr>
        <w:t xml:space="preserve"> in </w:t>
      </w:r>
      <w:r w:rsidR="00477554">
        <w:rPr>
          <w:rFonts w:ascii="Arial" w:hAnsi="Arial" w:cs="Arial"/>
          <w:sz w:val="22"/>
          <w:szCs w:val="22"/>
        </w:rPr>
        <w:t>10 CFR</w:t>
      </w:r>
      <w:r w:rsidR="00BA6AEC">
        <w:rPr>
          <w:rFonts w:ascii="Arial" w:hAnsi="Arial" w:cs="Arial"/>
          <w:sz w:val="22"/>
          <w:szCs w:val="22"/>
        </w:rPr>
        <w:t> </w:t>
      </w:r>
      <w:r w:rsidRPr="00F90FF4">
        <w:rPr>
          <w:rFonts w:ascii="Arial" w:hAnsi="Arial" w:cs="Arial"/>
          <w:sz w:val="22"/>
          <w:szCs w:val="22"/>
        </w:rPr>
        <w:t xml:space="preserve">50.55a through the process of </w:t>
      </w:r>
      <w:r>
        <w:rPr>
          <w:rFonts w:ascii="Arial" w:hAnsi="Arial" w:cs="Arial"/>
          <w:sz w:val="22"/>
          <w:szCs w:val="22"/>
        </w:rPr>
        <w:t>incorporation by reference</w:t>
      </w:r>
      <w:r w:rsidRPr="00F90FF4">
        <w:rPr>
          <w:rFonts w:ascii="Arial" w:hAnsi="Arial" w:cs="Arial"/>
          <w:sz w:val="22"/>
          <w:szCs w:val="22"/>
        </w:rPr>
        <w:t xml:space="preserve">.  </w:t>
      </w:r>
      <w:r w:rsidR="00060F69">
        <w:rPr>
          <w:rFonts w:ascii="Arial" w:hAnsi="Arial" w:cs="Arial"/>
          <w:sz w:val="22"/>
          <w:szCs w:val="22"/>
        </w:rPr>
        <w:t>This means that</w:t>
      </w:r>
      <w:r w:rsidRPr="00F90FF4">
        <w:rPr>
          <w:rFonts w:ascii="Arial" w:hAnsi="Arial" w:cs="Arial"/>
          <w:sz w:val="22"/>
          <w:szCs w:val="22"/>
        </w:rPr>
        <w:t xml:space="preserve"> each provision of the ASME Codes incorporated by reference into, and mandated by, </w:t>
      </w:r>
      <w:r w:rsidR="00477554">
        <w:rPr>
          <w:rFonts w:ascii="Arial" w:hAnsi="Arial" w:cs="Arial"/>
          <w:sz w:val="22"/>
          <w:szCs w:val="22"/>
        </w:rPr>
        <w:t>10</w:t>
      </w:r>
      <w:r w:rsidR="00060F69">
        <w:rPr>
          <w:rFonts w:ascii="Arial" w:hAnsi="Arial" w:cs="Arial"/>
          <w:sz w:val="22"/>
          <w:szCs w:val="22"/>
        </w:rPr>
        <w:t> </w:t>
      </w:r>
      <w:r w:rsidR="00477554">
        <w:rPr>
          <w:rFonts w:ascii="Arial" w:hAnsi="Arial" w:cs="Arial"/>
          <w:sz w:val="22"/>
          <w:szCs w:val="22"/>
        </w:rPr>
        <w:t>CFR</w:t>
      </w:r>
      <w:r w:rsidR="00BA6AEC">
        <w:rPr>
          <w:rFonts w:ascii="Arial" w:hAnsi="Arial" w:cs="Arial"/>
          <w:sz w:val="22"/>
          <w:szCs w:val="22"/>
        </w:rPr>
        <w:t> </w:t>
      </w:r>
      <w:r w:rsidRPr="00F90FF4">
        <w:rPr>
          <w:rFonts w:ascii="Arial" w:hAnsi="Arial" w:cs="Arial"/>
          <w:sz w:val="22"/>
          <w:szCs w:val="22"/>
        </w:rPr>
        <w:t>50.55a constitutes a legally</w:t>
      </w:r>
      <w:r w:rsidR="00060F69">
        <w:rPr>
          <w:rFonts w:ascii="Arial" w:hAnsi="Arial" w:cs="Arial"/>
          <w:sz w:val="22"/>
          <w:szCs w:val="22"/>
        </w:rPr>
        <w:t xml:space="preserve"> </w:t>
      </w:r>
      <w:r w:rsidRPr="00F90FF4">
        <w:rPr>
          <w:rFonts w:ascii="Arial" w:hAnsi="Arial" w:cs="Arial"/>
          <w:sz w:val="22"/>
          <w:szCs w:val="22"/>
        </w:rPr>
        <w:t>bin</w:t>
      </w:r>
      <w:r w:rsidR="00BA6AEC">
        <w:rPr>
          <w:rFonts w:ascii="Arial" w:hAnsi="Arial" w:cs="Arial"/>
          <w:sz w:val="22"/>
          <w:szCs w:val="22"/>
        </w:rPr>
        <w:t>ding NRC requirement imposed by regulation</w:t>
      </w:r>
      <w:r w:rsidRPr="00F90FF4">
        <w:rPr>
          <w:rFonts w:ascii="Arial" w:hAnsi="Arial" w:cs="Arial"/>
          <w:sz w:val="22"/>
          <w:szCs w:val="22"/>
        </w:rPr>
        <w:t>.</w:t>
      </w:r>
    </w:p>
    <w:p w:rsidRPr="00F90FF4" w:rsidR="000010FD" w:rsidP="000010FD" w:rsidRDefault="000010FD" w14:paraId="265D30A4" w14:textId="77777777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F90FF4" w:rsidP="00574DC2" w:rsidRDefault="00BA6AEC" w14:paraId="601FBF98" w14:textId="02A105A0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20"/>
        <w:rPr>
          <w:rFonts w:ascii="Arial" w:hAnsi="Arial" w:cs="Arial"/>
          <w:sz w:val="22"/>
          <w:szCs w:val="22"/>
        </w:rPr>
      </w:pPr>
      <w:r w:rsidRPr="00F90FF4">
        <w:rPr>
          <w:rFonts w:ascii="Arial" w:hAnsi="Arial" w:cs="Arial"/>
          <w:sz w:val="22"/>
          <w:szCs w:val="22"/>
        </w:rPr>
        <w:t xml:space="preserve">In response to BPV and OM Code user requests, </w:t>
      </w:r>
      <w:r w:rsidRPr="002D34B8">
        <w:rPr>
          <w:rFonts w:ascii="Arial" w:hAnsi="Arial" w:cs="Arial"/>
          <w:sz w:val="22"/>
          <w:szCs w:val="22"/>
        </w:rPr>
        <w:t>the ASME</w:t>
      </w:r>
      <w:r w:rsidRPr="00F90FF4">
        <w:rPr>
          <w:rFonts w:ascii="Arial" w:hAnsi="Arial" w:cs="Arial"/>
          <w:sz w:val="22"/>
          <w:szCs w:val="22"/>
        </w:rPr>
        <w:t xml:space="preserve"> develops Code Cases that provide </w:t>
      </w:r>
      <w:r>
        <w:rPr>
          <w:rFonts w:ascii="Arial" w:hAnsi="Arial" w:cs="Arial"/>
          <w:sz w:val="22"/>
          <w:szCs w:val="22"/>
        </w:rPr>
        <w:t xml:space="preserve">voluntary </w:t>
      </w:r>
      <w:r w:rsidRPr="00F90FF4">
        <w:rPr>
          <w:rFonts w:ascii="Arial" w:hAnsi="Arial" w:cs="Arial"/>
          <w:sz w:val="22"/>
          <w:szCs w:val="22"/>
        </w:rPr>
        <w:t xml:space="preserve">alternatives to </w:t>
      </w:r>
      <w:r>
        <w:rPr>
          <w:rFonts w:ascii="Arial" w:hAnsi="Arial" w:cs="Arial"/>
          <w:sz w:val="22"/>
          <w:szCs w:val="22"/>
        </w:rPr>
        <w:t xml:space="preserve">ASME </w:t>
      </w:r>
      <w:r w:rsidRPr="00F90FF4">
        <w:rPr>
          <w:rFonts w:ascii="Arial" w:hAnsi="Arial" w:cs="Arial"/>
          <w:sz w:val="22"/>
          <w:szCs w:val="22"/>
        </w:rPr>
        <w:t>BPV and OM Code</w:t>
      </w:r>
      <w:r w:rsidR="006953E6">
        <w:rPr>
          <w:rFonts w:ascii="Arial" w:hAnsi="Arial" w:cs="Arial"/>
          <w:sz w:val="22"/>
          <w:szCs w:val="22"/>
        </w:rPr>
        <w:t xml:space="preserve"> </w:t>
      </w:r>
      <w:r w:rsidRPr="00F90FF4">
        <w:rPr>
          <w:rFonts w:ascii="Arial" w:hAnsi="Arial" w:cs="Arial"/>
          <w:sz w:val="22"/>
          <w:szCs w:val="22"/>
        </w:rPr>
        <w:t xml:space="preserve">requirements under </w:t>
      </w:r>
      <w:r>
        <w:rPr>
          <w:rFonts w:ascii="Arial" w:hAnsi="Arial" w:cs="Arial"/>
          <w:sz w:val="22"/>
          <w:szCs w:val="22"/>
        </w:rPr>
        <w:t xml:space="preserve">certain </w:t>
      </w:r>
      <w:r w:rsidRPr="00F90FF4">
        <w:rPr>
          <w:rFonts w:ascii="Arial" w:hAnsi="Arial" w:cs="Arial"/>
          <w:sz w:val="22"/>
          <w:szCs w:val="22"/>
        </w:rPr>
        <w:t>circumstances.</w:t>
      </w:r>
      <w:r>
        <w:rPr>
          <w:rFonts w:ascii="Arial" w:hAnsi="Arial" w:cs="Arial"/>
          <w:sz w:val="22"/>
          <w:szCs w:val="22"/>
        </w:rPr>
        <w:t xml:space="preserve">  T</w:t>
      </w:r>
      <w:r w:rsidRPr="00F90FF4">
        <w:rPr>
          <w:rFonts w:ascii="Arial" w:hAnsi="Arial" w:cs="Arial"/>
          <w:sz w:val="22"/>
          <w:szCs w:val="22"/>
        </w:rPr>
        <w:t>he NRC</w:t>
      </w:r>
      <w:r w:rsidR="006953E6">
        <w:rPr>
          <w:rFonts w:ascii="Arial" w:hAnsi="Arial" w:cs="Arial"/>
          <w:sz w:val="22"/>
          <w:szCs w:val="22"/>
        </w:rPr>
        <w:t xml:space="preserve"> </w:t>
      </w:r>
      <w:r w:rsidRPr="00F90FF4">
        <w:rPr>
          <w:rFonts w:ascii="Arial" w:hAnsi="Arial" w:cs="Arial"/>
          <w:sz w:val="22"/>
          <w:szCs w:val="22"/>
        </w:rPr>
        <w:t xml:space="preserve">reviews ASME BPV and OM Code Cases, determines the acceptability of each Code Case, and publishes its findings in </w:t>
      </w:r>
      <w:r>
        <w:rPr>
          <w:rFonts w:ascii="Arial" w:hAnsi="Arial" w:cs="Arial"/>
          <w:sz w:val="22"/>
          <w:szCs w:val="22"/>
        </w:rPr>
        <w:t xml:space="preserve">NRC </w:t>
      </w:r>
      <w:r w:rsidR="00060F6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egulatory </w:t>
      </w:r>
      <w:r w:rsidR="00060F69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uides (RG</w:t>
      </w:r>
      <w:r w:rsidR="00272D4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F90FF4">
        <w:rPr>
          <w:rFonts w:ascii="Arial" w:hAnsi="Arial" w:cs="Arial"/>
          <w:sz w:val="22"/>
          <w:szCs w:val="22"/>
        </w:rPr>
        <w:t xml:space="preserve">.  The </w:t>
      </w:r>
      <w:r w:rsidR="00060F69">
        <w:rPr>
          <w:rFonts w:ascii="Arial" w:hAnsi="Arial" w:cs="Arial"/>
          <w:sz w:val="22"/>
          <w:szCs w:val="22"/>
        </w:rPr>
        <w:t xml:space="preserve">NRC revises </w:t>
      </w:r>
      <w:r w:rsidRPr="00F90FF4">
        <w:rPr>
          <w:rFonts w:ascii="Arial" w:hAnsi="Arial" w:cs="Arial"/>
          <w:sz w:val="22"/>
          <w:szCs w:val="22"/>
        </w:rPr>
        <w:t xml:space="preserve">RGs periodically as </w:t>
      </w:r>
      <w:r w:rsidRPr="002D34B8" w:rsidR="00060F69">
        <w:rPr>
          <w:rFonts w:ascii="Arial" w:hAnsi="Arial" w:cs="Arial"/>
          <w:sz w:val="22"/>
          <w:szCs w:val="22"/>
        </w:rPr>
        <w:t>the ASME</w:t>
      </w:r>
      <w:r w:rsidRPr="00F90FF4" w:rsidR="00060F69">
        <w:rPr>
          <w:rFonts w:ascii="Arial" w:hAnsi="Arial" w:cs="Arial"/>
          <w:sz w:val="22"/>
          <w:szCs w:val="22"/>
        </w:rPr>
        <w:t xml:space="preserve"> </w:t>
      </w:r>
      <w:r w:rsidR="00060F69">
        <w:rPr>
          <w:rFonts w:ascii="Arial" w:hAnsi="Arial" w:cs="Arial"/>
          <w:sz w:val="22"/>
          <w:szCs w:val="22"/>
        </w:rPr>
        <w:t xml:space="preserve">publishes </w:t>
      </w:r>
      <w:r w:rsidRPr="00F90FF4">
        <w:rPr>
          <w:rFonts w:ascii="Arial" w:hAnsi="Arial" w:cs="Arial"/>
          <w:sz w:val="22"/>
          <w:szCs w:val="22"/>
        </w:rPr>
        <w:t>new Code Cases.  Th</w:t>
      </w:r>
      <w:r>
        <w:rPr>
          <w:rFonts w:ascii="Arial" w:hAnsi="Arial" w:cs="Arial"/>
          <w:sz w:val="22"/>
          <w:szCs w:val="22"/>
        </w:rPr>
        <w:t>e</w:t>
      </w:r>
      <w:r w:rsidRPr="00F90FF4">
        <w:rPr>
          <w:rFonts w:ascii="Arial" w:hAnsi="Arial" w:cs="Arial"/>
          <w:sz w:val="22"/>
          <w:szCs w:val="22"/>
        </w:rPr>
        <w:t xml:space="preserve"> </w:t>
      </w:r>
      <w:r w:rsidR="00387257">
        <w:rPr>
          <w:rFonts w:ascii="Arial" w:hAnsi="Arial" w:cs="Arial"/>
          <w:sz w:val="22"/>
          <w:szCs w:val="22"/>
        </w:rPr>
        <w:t xml:space="preserve">final </w:t>
      </w:r>
      <w:r>
        <w:rPr>
          <w:rFonts w:ascii="Arial" w:hAnsi="Arial" w:cs="Arial"/>
          <w:sz w:val="22"/>
          <w:szCs w:val="22"/>
        </w:rPr>
        <w:t xml:space="preserve">rule associated with this supporting statement </w:t>
      </w:r>
      <w:r w:rsidRPr="00F90FF4">
        <w:rPr>
          <w:rFonts w:ascii="Arial" w:hAnsi="Arial" w:cs="Arial"/>
          <w:sz w:val="22"/>
          <w:szCs w:val="22"/>
        </w:rPr>
        <w:t xml:space="preserve">is the latest in a series of rulemakings that incorporate by reference new versions of </w:t>
      </w:r>
      <w:r>
        <w:rPr>
          <w:rFonts w:ascii="Arial" w:hAnsi="Arial" w:cs="Arial"/>
          <w:sz w:val="22"/>
          <w:szCs w:val="22"/>
        </w:rPr>
        <w:t xml:space="preserve">the </w:t>
      </w:r>
      <w:r w:rsidRPr="00F90FF4">
        <w:rPr>
          <w:rFonts w:ascii="Arial" w:hAnsi="Arial" w:cs="Arial"/>
          <w:sz w:val="22"/>
          <w:szCs w:val="22"/>
        </w:rPr>
        <w:t>RGs</w:t>
      </w:r>
      <w:r>
        <w:rPr>
          <w:rFonts w:ascii="Arial" w:hAnsi="Arial" w:cs="Arial"/>
          <w:sz w:val="22"/>
          <w:szCs w:val="22"/>
        </w:rPr>
        <w:t xml:space="preserve"> into 10</w:t>
      </w:r>
      <w:r w:rsidR="00060F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CFR 50.55a</w:t>
      </w:r>
      <w:r w:rsidR="007D48F4">
        <w:rPr>
          <w:rFonts w:ascii="Arial" w:hAnsi="Arial" w:cs="Arial"/>
          <w:sz w:val="22"/>
          <w:szCs w:val="22"/>
        </w:rPr>
        <w:t>,</w:t>
      </w:r>
      <w:r w:rsidR="000E000B">
        <w:rPr>
          <w:rFonts w:ascii="Arial" w:hAnsi="Arial" w:cs="Arial"/>
          <w:sz w:val="22"/>
          <w:szCs w:val="22"/>
        </w:rPr>
        <w:t xml:space="preserve"> so</w:t>
      </w:r>
      <w:r w:rsidR="00801373">
        <w:rPr>
          <w:rFonts w:ascii="Arial" w:hAnsi="Arial" w:cs="Arial"/>
          <w:sz w:val="22"/>
          <w:szCs w:val="22"/>
        </w:rPr>
        <w:t xml:space="preserve"> that</w:t>
      </w:r>
      <w:r w:rsidR="000E000B">
        <w:rPr>
          <w:rFonts w:ascii="Arial" w:hAnsi="Arial" w:cs="Arial"/>
          <w:sz w:val="22"/>
          <w:szCs w:val="22"/>
        </w:rPr>
        <w:t xml:space="preserve"> </w:t>
      </w:r>
      <w:r w:rsidR="00801373">
        <w:rPr>
          <w:rFonts w:ascii="Arial" w:hAnsi="Arial" w:cs="Arial"/>
          <w:sz w:val="22"/>
          <w:szCs w:val="22"/>
        </w:rPr>
        <w:t xml:space="preserve">licensees </w:t>
      </w:r>
      <w:r w:rsidR="000E000B">
        <w:rPr>
          <w:rFonts w:ascii="Arial" w:hAnsi="Arial" w:cs="Arial"/>
          <w:sz w:val="22"/>
          <w:szCs w:val="22"/>
        </w:rPr>
        <w:t>may use</w:t>
      </w:r>
      <w:r w:rsidR="00801373">
        <w:rPr>
          <w:rFonts w:ascii="Arial" w:hAnsi="Arial" w:cs="Arial"/>
          <w:sz w:val="22"/>
          <w:szCs w:val="22"/>
        </w:rPr>
        <w:t xml:space="preserve"> them</w:t>
      </w:r>
      <w:r w:rsidR="000E000B">
        <w:rPr>
          <w:rFonts w:ascii="Arial" w:hAnsi="Arial" w:cs="Arial"/>
          <w:sz w:val="22"/>
          <w:szCs w:val="22"/>
        </w:rPr>
        <w:t xml:space="preserve">.  The RGs the NRC proposes to incorporate by reference into the regulations are </w:t>
      </w:r>
      <w:r w:rsidR="006953E6">
        <w:rPr>
          <w:rFonts w:ascii="Arial" w:hAnsi="Arial" w:cs="Arial"/>
          <w:sz w:val="22"/>
          <w:szCs w:val="22"/>
        </w:rPr>
        <w:t>RG</w:t>
      </w:r>
      <w:r w:rsidR="00060F69"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>1.84, “</w:t>
      </w:r>
      <w:r w:rsidRPr="006953E6" w:rsidR="006953E6">
        <w:rPr>
          <w:rFonts w:ascii="Arial" w:hAnsi="Arial" w:cs="Arial"/>
          <w:sz w:val="22"/>
          <w:szCs w:val="22"/>
        </w:rPr>
        <w:t>Design, Fabrication, and Materials Code Case A</w:t>
      </w:r>
      <w:r w:rsidR="006953E6">
        <w:rPr>
          <w:rFonts w:ascii="Arial" w:hAnsi="Arial" w:cs="Arial"/>
          <w:sz w:val="22"/>
          <w:szCs w:val="22"/>
        </w:rPr>
        <w:t>cceptability, ASME Section</w:t>
      </w:r>
      <w:r w:rsidR="00801373"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>III,”</w:t>
      </w:r>
      <w:r w:rsidRPr="006953E6" w:rsidR="006953E6">
        <w:rPr>
          <w:rFonts w:ascii="Arial" w:hAnsi="Arial" w:cs="Arial"/>
          <w:sz w:val="22"/>
          <w:szCs w:val="22"/>
        </w:rPr>
        <w:t xml:space="preserve"> Revision</w:t>
      </w:r>
      <w:r w:rsidR="00801373">
        <w:rPr>
          <w:rFonts w:ascii="Arial" w:hAnsi="Arial" w:cs="Arial"/>
          <w:sz w:val="22"/>
          <w:szCs w:val="22"/>
        </w:rPr>
        <w:t> </w:t>
      </w:r>
      <w:r w:rsidRPr="006953E6" w:rsidR="006953E6">
        <w:rPr>
          <w:rFonts w:ascii="Arial" w:hAnsi="Arial" w:cs="Arial"/>
          <w:sz w:val="22"/>
          <w:szCs w:val="22"/>
        </w:rPr>
        <w:t>3</w:t>
      </w:r>
      <w:r w:rsidR="00AA2478">
        <w:rPr>
          <w:rFonts w:ascii="Arial" w:hAnsi="Arial" w:cs="Arial"/>
          <w:sz w:val="22"/>
          <w:szCs w:val="22"/>
        </w:rPr>
        <w:t>9</w:t>
      </w:r>
      <w:r w:rsidRPr="006953E6" w:rsidR="006953E6">
        <w:rPr>
          <w:rFonts w:ascii="Arial" w:hAnsi="Arial" w:cs="Arial"/>
          <w:sz w:val="22"/>
          <w:szCs w:val="22"/>
        </w:rPr>
        <w:t>; RG 1.147,</w:t>
      </w:r>
      <w:r w:rsidR="006E11E3">
        <w:rPr>
          <w:rFonts w:ascii="Arial" w:hAnsi="Arial" w:cs="Arial"/>
          <w:sz w:val="22"/>
          <w:szCs w:val="22"/>
        </w:rPr>
        <w:t xml:space="preserve"> </w:t>
      </w:r>
      <w:r w:rsidR="00CE6CFA">
        <w:rPr>
          <w:rFonts w:ascii="Arial" w:hAnsi="Arial" w:cs="Arial"/>
          <w:sz w:val="22"/>
          <w:szCs w:val="22"/>
        </w:rPr>
        <w:t>“</w:t>
      </w:r>
      <w:r w:rsidRPr="006953E6" w:rsidR="006953E6">
        <w:rPr>
          <w:rFonts w:ascii="Arial" w:hAnsi="Arial" w:cs="Arial"/>
          <w:sz w:val="22"/>
          <w:szCs w:val="22"/>
        </w:rPr>
        <w:t>Inservice Inspection Code Case Acceptabilit</w:t>
      </w:r>
      <w:r w:rsidR="006953E6">
        <w:rPr>
          <w:rFonts w:ascii="Arial" w:hAnsi="Arial" w:cs="Arial"/>
          <w:sz w:val="22"/>
          <w:szCs w:val="22"/>
        </w:rPr>
        <w:t>y, ASME Section</w:t>
      </w:r>
      <w:r w:rsidR="00801373"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>XI, Division</w:t>
      </w:r>
      <w:r w:rsidR="00801373">
        <w:rPr>
          <w:rFonts w:ascii="Arial" w:hAnsi="Arial" w:cs="Arial"/>
          <w:sz w:val="22"/>
          <w:szCs w:val="22"/>
        </w:rPr>
        <w:t> </w:t>
      </w:r>
      <w:r w:rsidR="006953E6">
        <w:rPr>
          <w:rFonts w:ascii="Arial" w:hAnsi="Arial" w:cs="Arial"/>
          <w:sz w:val="22"/>
          <w:szCs w:val="22"/>
        </w:rPr>
        <w:t>1,”</w:t>
      </w:r>
      <w:r w:rsidRPr="006953E6" w:rsidR="006953E6">
        <w:rPr>
          <w:rFonts w:ascii="Arial" w:hAnsi="Arial" w:cs="Arial"/>
          <w:sz w:val="22"/>
          <w:szCs w:val="22"/>
        </w:rPr>
        <w:t xml:space="preserve"> Revision</w:t>
      </w:r>
      <w:r w:rsidR="00801373">
        <w:rPr>
          <w:rFonts w:ascii="Arial" w:hAnsi="Arial" w:cs="Arial"/>
          <w:sz w:val="22"/>
          <w:szCs w:val="22"/>
        </w:rPr>
        <w:t> </w:t>
      </w:r>
      <w:r w:rsidR="00AA2478">
        <w:rPr>
          <w:rFonts w:ascii="Arial" w:hAnsi="Arial" w:cs="Arial"/>
          <w:sz w:val="22"/>
          <w:szCs w:val="22"/>
        </w:rPr>
        <w:t>20</w:t>
      </w:r>
      <w:r w:rsidRPr="006953E6" w:rsidR="006953E6">
        <w:rPr>
          <w:rFonts w:ascii="Arial" w:hAnsi="Arial" w:cs="Arial"/>
          <w:sz w:val="22"/>
          <w:szCs w:val="22"/>
        </w:rPr>
        <w:t>; and RG</w:t>
      </w:r>
      <w:r w:rsidR="00282B4C">
        <w:rPr>
          <w:rFonts w:ascii="Arial" w:hAnsi="Arial" w:cs="Arial"/>
          <w:sz w:val="22"/>
          <w:szCs w:val="22"/>
        </w:rPr>
        <w:t> </w:t>
      </w:r>
      <w:r w:rsidRPr="006953E6" w:rsidR="006953E6">
        <w:rPr>
          <w:rFonts w:ascii="Arial" w:hAnsi="Arial" w:cs="Arial"/>
          <w:sz w:val="22"/>
          <w:szCs w:val="22"/>
        </w:rPr>
        <w:t>1.192, “Operation and Maintenance Code Acceptability, ASME OM Code</w:t>
      </w:r>
      <w:r w:rsidR="00E02B6E">
        <w:rPr>
          <w:rFonts w:ascii="Arial" w:hAnsi="Arial" w:cs="Arial"/>
          <w:sz w:val="22"/>
          <w:szCs w:val="22"/>
        </w:rPr>
        <w:t>,”</w:t>
      </w:r>
      <w:r w:rsidRPr="006953E6" w:rsidR="006953E6">
        <w:rPr>
          <w:rFonts w:ascii="Arial" w:hAnsi="Arial" w:cs="Arial"/>
          <w:sz w:val="22"/>
          <w:szCs w:val="22"/>
        </w:rPr>
        <w:t xml:space="preserve"> Revision</w:t>
      </w:r>
      <w:r w:rsidR="00801373">
        <w:rPr>
          <w:rFonts w:ascii="Arial" w:hAnsi="Arial" w:cs="Arial"/>
          <w:sz w:val="22"/>
          <w:szCs w:val="22"/>
        </w:rPr>
        <w:t> </w:t>
      </w:r>
      <w:r w:rsidR="00AA2478">
        <w:rPr>
          <w:rFonts w:ascii="Arial" w:hAnsi="Arial" w:cs="Arial"/>
          <w:sz w:val="22"/>
          <w:szCs w:val="22"/>
        </w:rPr>
        <w:t>4</w:t>
      </w:r>
      <w:r w:rsidRPr="006953E6" w:rsidR="006953E6">
        <w:rPr>
          <w:rFonts w:ascii="Arial" w:hAnsi="Arial" w:cs="Arial"/>
          <w:sz w:val="22"/>
          <w:szCs w:val="22"/>
        </w:rPr>
        <w:t>.  These revisions supersede the incorporation by r</w:t>
      </w:r>
      <w:r w:rsidR="00B87051">
        <w:rPr>
          <w:rFonts w:ascii="Arial" w:hAnsi="Arial" w:cs="Arial"/>
          <w:sz w:val="22"/>
          <w:szCs w:val="22"/>
        </w:rPr>
        <w:t>eference of RG</w:t>
      </w:r>
      <w:r w:rsidR="00801373">
        <w:rPr>
          <w:rFonts w:ascii="Arial" w:hAnsi="Arial" w:cs="Arial"/>
          <w:sz w:val="22"/>
          <w:szCs w:val="22"/>
        </w:rPr>
        <w:t> </w:t>
      </w:r>
      <w:r w:rsidR="00B87051">
        <w:rPr>
          <w:rFonts w:ascii="Arial" w:hAnsi="Arial" w:cs="Arial"/>
          <w:sz w:val="22"/>
          <w:szCs w:val="22"/>
        </w:rPr>
        <w:t>1.84, Revision</w:t>
      </w:r>
      <w:r w:rsidR="00282B4C">
        <w:rPr>
          <w:rFonts w:ascii="Arial" w:hAnsi="Arial" w:cs="Arial"/>
          <w:sz w:val="22"/>
          <w:szCs w:val="22"/>
        </w:rPr>
        <w:t> </w:t>
      </w:r>
      <w:r w:rsidR="00B87051">
        <w:rPr>
          <w:rFonts w:ascii="Arial" w:hAnsi="Arial" w:cs="Arial"/>
          <w:sz w:val="22"/>
          <w:szCs w:val="22"/>
        </w:rPr>
        <w:t>3</w:t>
      </w:r>
      <w:r w:rsidR="00AA2478">
        <w:rPr>
          <w:rFonts w:ascii="Arial" w:hAnsi="Arial" w:cs="Arial"/>
          <w:sz w:val="22"/>
          <w:szCs w:val="22"/>
        </w:rPr>
        <w:t>8</w:t>
      </w:r>
      <w:r w:rsidRPr="006953E6" w:rsidR="006953E6">
        <w:rPr>
          <w:rFonts w:ascii="Arial" w:hAnsi="Arial" w:cs="Arial"/>
          <w:sz w:val="22"/>
          <w:szCs w:val="22"/>
        </w:rPr>
        <w:t>; RG</w:t>
      </w:r>
      <w:r w:rsidR="00282B4C">
        <w:rPr>
          <w:rFonts w:ascii="Arial" w:hAnsi="Arial" w:cs="Arial"/>
          <w:sz w:val="22"/>
          <w:szCs w:val="22"/>
        </w:rPr>
        <w:t> </w:t>
      </w:r>
      <w:r w:rsidRPr="006953E6" w:rsidR="006953E6">
        <w:rPr>
          <w:rFonts w:ascii="Arial" w:hAnsi="Arial" w:cs="Arial"/>
          <w:sz w:val="22"/>
          <w:szCs w:val="22"/>
        </w:rPr>
        <w:t>1.147, Revision</w:t>
      </w:r>
      <w:r w:rsidR="00801373">
        <w:rPr>
          <w:rFonts w:ascii="Arial" w:hAnsi="Arial" w:cs="Arial"/>
          <w:sz w:val="22"/>
          <w:szCs w:val="22"/>
        </w:rPr>
        <w:t> </w:t>
      </w:r>
      <w:r w:rsidR="00AA2478">
        <w:rPr>
          <w:rFonts w:ascii="Arial" w:hAnsi="Arial" w:cs="Arial"/>
          <w:sz w:val="22"/>
          <w:szCs w:val="22"/>
        </w:rPr>
        <w:t>19;</w:t>
      </w:r>
      <w:r w:rsidR="00F90FF4">
        <w:rPr>
          <w:rFonts w:ascii="Arial" w:hAnsi="Arial" w:cs="Arial"/>
          <w:sz w:val="22"/>
          <w:szCs w:val="22"/>
        </w:rPr>
        <w:t xml:space="preserve"> and RG 1.192, Revision </w:t>
      </w:r>
      <w:r w:rsidR="00AA2478">
        <w:rPr>
          <w:rFonts w:ascii="Arial" w:hAnsi="Arial" w:cs="Arial"/>
          <w:sz w:val="22"/>
          <w:szCs w:val="22"/>
        </w:rPr>
        <w:t>3</w:t>
      </w:r>
      <w:r w:rsidR="00282B4C">
        <w:rPr>
          <w:rFonts w:ascii="Arial" w:hAnsi="Arial" w:cs="Arial"/>
          <w:sz w:val="22"/>
          <w:szCs w:val="22"/>
        </w:rPr>
        <w:t xml:space="preserve"> (all issued October 2019)</w:t>
      </w:r>
      <w:r w:rsidR="00F90FF4">
        <w:rPr>
          <w:rFonts w:ascii="Arial" w:hAnsi="Arial" w:cs="Arial"/>
          <w:sz w:val="22"/>
          <w:szCs w:val="22"/>
        </w:rPr>
        <w:t>.</w:t>
      </w:r>
      <w:r w:rsidR="00E55038">
        <w:rPr>
          <w:rFonts w:ascii="Arial" w:hAnsi="Arial" w:cs="Arial"/>
          <w:sz w:val="22"/>
          <w:szCs w:val="22"/>
        </w:rPr>
        <w:t xml:space="preserve">  The NRC is also incorporating by reference </w:t>
      </w:r>
      <w:r w:rsidRPr="00E55038" w:rsidR="00E55038">
        <w:rPr>
          <w:rFonts w:ascii="Arial" w:hAnsi="Arial" w:cs="Arial"/>
          <w:sz w:val="22"/>
          <w:szCs w:val="22"/>
        </w:rPr>
        <w:t xml:space="preserve">NUREG-2228, “Weld Residual Stress Finite Element Analysis </w:t>
      </w:r>
      <w:r w:rsidRPr="00E55038" w:rsidR="00E55038">
        <w:rPr>
          <w:rFonts w:ascii="Arial" w:hAnsi="Arial" w:cs="Arial"/>
          <w:sz w:val="22"/>
          <w:szCs w:val="22"/>
        </w:rPr>
        <w:lastRenderedPageBreak/>
        <w:t>Validation:  Part II—Proposed Validation Procedure,” that is associated with a condition in one of the regulatory guides.</w:t>
      </w:r>
    </w:p>
    <w:p w:rsidR="006953E6" w:rsidP="006953E6" w:rsidRDefault="006953E6" w14:paraId="2DADC467" w14:textId="6A2D37D5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6953E6">
        <w:rPr>
          <w:rFonts w:ascii="Arial" w:hAnsi="Arial" w:cs="Arial"/>
          <w:sz w:val="22"/>
          <w:szCs w:val="22"/>
        </w:rPr>
        <w:t xml:space="preserve">The NRC </w:t>
      </w:r>
      <w:r w:rsidR="00972AC0">
        <w:rPr>
          <w:rFonts w:ascii="Arial" w:hAnsi="Arial" w:cs="Arial"/>
          <w:sz w:val="22"/>
          <w:szCs w:val="22"/>
        </w:rPr>
        <w:t xml:space="preserve">determined </w:t>
      </w:r>
      <w:r w:rsidRPr="006953E6">
        <w:rPr>
          <w:rFonts w:ascii="Arial" w:hAnsi="Arial" w:cs="Arial"/>
          <w:sz w:val="22"/>
          <w:szCs w:val="22"/>
        </w:rPr>
        <w:t>that this regulatory action would improve the effectiveness of future licensing actions.</w:t>
      </w:r>
      <w:r>
        <w:rPr>
          <w:rFonts w:ascii="Arial" w:hAnsi="Arial" w:cs="Arial"/>
          <w:sz w:val="22"/>
          <w:szCs w:val="22"/>
        </w:rPr>
        <w:t xml:space="preserve">  </w:t>
      </w:r>
      <w:r w:rsidRPr="00E70F4F">
        <w:rPr>
          <w:rFonts w:ascii="Arial" w:hAnsi="Arial" w:cs="Arial"/>
          <w:sz w:val="22"/>
          <w:szCs w:val="22"/>
        </w:rPr>
        <w:t>This</w:t>
      </w:r>
      <w:r w:rsidR="00972AC0">
        <w:rPr>
          <w:rFonts w:ascii="Arial" w:hAnsi="Arial" w:cs="Arial"/>
          <w:sz w:val="22"/>
          <w:szCs w:val="22"/>
        </w:rPr>
        <w:t xml:space="preserve"> </w:t>
      </w:r>
      <w:r w:rsidR="004C121A">
        <w:rPr>
          <w:rFonts w:ascii="Arial" w:hAnsi="Arial" w:cs="Arial"/>
          <w:sz w:val="22"/>
          <w:szCs w:val="22"/>
        </w:rPr>
        <w:t xml:space="preserve">final </w:t>
      </w:r>
      <w:r w:rsidRPr="00E70F4F">
        <w:rPr>
          <w:rFonts w:ascii="Arial" w:hAnsi="Arial" w:cs="Arial"/>
          <w:sz w:val="22"/>
          <w:szCs w:val="22"/>
        </w:rPr>
        <w:t>action allow</w:t>
      </w:r>
      <w:r w:rsidR="00387257">
        <w:rPr>
          <w:rFonts w:ascii="Arial" w:hAnsi="Arial" w:cs="Arial"/>
          <w:sz w:val="22"/>
          <w:szCs w:val="22"/>
        </w:rPr>
        <w:t>s</w:t>
      </w:r>
      <w:r w:rsidRPr="00E70F4F">
        <w:rPr>
          <w:rFonts w:ascii="Arial" w:hAnsi="Arial" w:cs="Arial"/>
          <w:sz w:val="22"/>
          <w:szCs w:val="22"/>
        </w:rPr>
        <w:t xml:space="preserve"> licensees to apply the </w:t>
      </w:r>
      <w:r w:rsidR="000010FD">
        <w:rPr>
          <w:rFonts w:ascii="Arial" w:hAnsi="Arial" w:cs="Arial"/>
          <w:sz w:val="22"/>
          <w:szCs w:val="22"/>
        </w:rPr>
        <w:t xml:space="preserve">ASME </w:t>
      </w:r>
      <w:r w:rsidRPr="00E70F4F">
        <w:rPr>
          <w:rFonts w:ascii="Arial" w:hAnsi="Arial" w:cs="Arial"/>
          <w:sz w:val="22"/>
          <w:szCs w:val="22"/>
        </w:rPr>
        <w:t xml:space="preserve">Code Cases listed in the RGs as </w:t>
      </w:r>
      <w:r w:rsidR="000010FD">
        <w:rPr>
          <w:rFonts w:ascii="Arial" w:hAnsi="Arial" w:cs="Arial"/>
          <w:sz w:val="22"/>
          <w:szCs w:val="22"/>
        </w:rPr>
        <w:t>voluntary</w:t>
      </w:r>
      <w:r w:rsidR="00B457A7">
        <w:rPr>
          <w:rFonts w:ascii="Arial" w:hAnsi="Arial" w:cs="Arial"/>
          <w:sz w:val="22"/>
          <w:szCs w:val="22"/>
        </w:rPr>
        <w:t xml:space="preserve"> </w:t>
      </w:r>
      <w:r w:rsidRPr="00E70F4F">
        <w:rPr>
          <w:rFonts w:ascii="Arial" w:hAnsi="Arial" w:cs="Arial"/>
          <w:sz w:val="22"/>
          <w:szCs w:val="22"/>
        </w:rPr>
        <w:t xml:space="preserve">alternatives to requirements in the ASME </w:t>
      </w:r>
      <w:r w:rsidR="0006251D">
        <w:rPr>
          <w:rFonts w:ascii="Arial" w:hAnsi="Arial" w:cs="Arial"/>
          <w:sz w:val="22"/>
          <w:szCs w:val="22"/>
        </w:rPr>
        <w:t>BPV Code</w:t>
      </w:r>
      <w:r w:rsidRPr="00E70F4F">
        <w:rPr>
          <w:rFonts w:ascii="Arial" w:hAnsi="Arial" w:cs="Arial"/>
          <w:sz w:val="22"/>
          <w:szCs w:val="22"/>
        </w:rPr>
        <w:t xml:space="preserve"> and ASME OM Code for the design, construction, </w:t>
      </w:r>
      <w:proofErr w:type="spellStart"/>
      <w:r w:rsidRPr="00E70F4F">
        <w:rPr>
          <w:rFonts w:ascii="Arial" w:hAnsi="Arial" w:cs="Arial"/>
          <w:sz w:val="22"/>
          <w:szCs w:val="22"/>
        </w:rPr>
        <w:t>inservice</w:t>
      </w:r>
      <w:proofErr w:type="spellEnd"/>
      <w:r w:rsidRPr="00E70F4F">
        <w:rPr>
          <w:rFonts w:ascii="Arial" w:hAnsi="Arial" w:cs="Arial"/>
          <w:sz w:val="22"/>
          <w:szCs w:val="22"/>
        </w:rPr>
        <w:t xml:space="preserve"> inspection, and </w:t>
      </w:r>
      <w:proofErr w:type="spellStart"/>
      <w:r w:rsidRPr="00E70F4F">
        <w:rPr>
          <w:rFonts w:ascii="Arial" w:hAnsi="Arial" w:cs="Arial"/>
          <w:sz w:val="22"/>
          <w:szCs w:val="22"/>
        </w:rPr>
        <w:t>inservice</w:t>
      </w:r>
      <w:proofErr w:type="spellEnd"/>
      <w:r w:rsidRPr="00E70F4F">
        <w:rPr>
          <w:rFonts w:ascii="Arial" w:hAnsi="Arial" w:cs="Arial"/>
          <w:sz w:val="22"/>
          <w:szCs w:val="22"/>
        </w:rPr>
        <w:t xml:space="preserve"> testing of nuclear power plant components without a request for the use of alternatives or an exemption.</w:t>
      </w:r>
      <w:r>
        <w:rPr>
          <w:rFonts w:ascii="Arial" w:hAnsi="Arial" w:cs="Arial"/>
          <w:sz w:val="22"/>
          <w:szCs w:val="22"/>
        </w:rPr>
        <w:t xml:space="preserve">  This</w:t>
      </w:r>
      <w:r w:rsidRPr="006953E6">
        <w:rPr>
          <w:rFonts w:ascii="Arial" w:hAnsi="Arial" w:cs="Arial"/>
          <w:sz w:val="22"/>
          <w:szCs w:val="22"/>
        </w:rPr>
        <w:t xml:space="preserve"> would help ensure that NRC actions are effective, efficient, realistic, and timely by eliminating the need for the NRC review of plant</w:t>
      </w:r>
      <w:r w:rsidR="007D48F4">
        <w:rPr>
          <w:rFonts w:ascii="Arial" w:hAnsi="Arial" w:cs="Arial"/>
          <w:sz w:val="22"/>
          <w:szCs w:val="22"/>
        </w:rPr>
        <w:t>-</w:t>
      </w:r>
      <w:r w:rsidRPr="006953E6">
        <w:rPr>
          <w:rFonts w:ascii="Arial" w:hAnsi="Arial" w:cs="Arial"/>
          <w:sz w:val="22"/>
          <w:szCs w:val="22"/>
        </w:rPr>
        <w:t xml:space="preserve">specific requests for alternatives in accordance </w:t>
      </w:r>
      <w:r w:rsidR="006E11E3">
        <w:rPr>
          <w:rFonts w:ascii="Arial" w:hAnsi="Arial" w:cs="Arial"/>
          <w:sz w:val="22"/>
          <w:szCs w:val="22"/>
        </w:rPr>
        <w:t xml:space="preserve">with </w:t>
      </w:r>
      <w:r w:rsidR="0006251D">
        <w:rPr>
          <w:rFonts w:ascii="Arial" w:hAnsi="Arial" w:cs="Arial"/>
          <w:sz w:val="22"/>
          <w:szCs w:val="22"/>
        </w:rPr>
        <w:t>10</w:t>
      </w:r>
      <w:r w:rsidR="000010FD">
        <w:rPr>
          <w:rFonts w:ascii="Arial" w:hAnsi="Arial" w:cs="Arial"/>
          <w:sz w:val="22"/>
          <w:szCs w:val="22"/>
        </w:rPr>
        <w:t> </w:t>
      </w:r>
      <w:r w:rsidR="0006251D">
        <w:rPr>
          <w:rFonts w:ascii="Arial" w:hAnsi="Arial" w:cs="Arial"/>
          <w:sz w:val="22"/>
          <w:szCs w:val="22"/>
        </w:rPr>
        <w:t>CFR</w:t>
      </w:r>
      <w:r w:rsidR="00801373">
        <w:rPr>
          <w:rFonts w:ascii="Arial" w:hAnsi="Arial" w:cs="Arial"/>
          <w:sz w:val="22"/>
          <w:szCs w:val="22"/>
        </w:rPr>
        <w:t> </w:t>
      </w:r>
      <w:r w:rsidRPr="006953E6">
        <w:rPr>
          <w:rFonts w:ascii="Arial" w:hAnsi="Arial" w:cs="Arial"/>
          <w:sz w:val="22"/>
          <w:szCs w:val="22"/>
        </w:rPr>
        <w:t>50.55a</w:t>
      </w:r>
      <w:r w:rsidR="006E11E3">
        <w:rPr>
          <w:rFonts w:ascii="Arial" w:hAnsi="Arial" w:cs="Arial"/>
          <w:sz w:val="22"/>
          <w:szCs w:val="22"/>
        </w:rPr>
        <w:t>(z)</w:t>
      </w:r>
      <w:r w:rsidRPr="006953E6">
        <w:rPr>
          <w:rFonts w:ascii="Arial" w:hAnsi="Arial" w:cs="Arial"/>
          <w:sz w:val="22"/>
          <w:szCs w:val="22"/>
        </w:rPr>
        <w:t>.</w:t>
      </w:r>
    </w:p>
    <w:p w:rsidR="00477554" w:rsidP="006953E6" w:rsidRDefault="00477554" w14:paraId="7E5475FC" w14:textId="77777777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477554" w:rsidP="006953E6" w:rsidRDefault="00477554" w14:paraId="093F4B32" w14:textId="76D6EDF7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A5F82">
        <w:rPr>
          <w:rFonts w:ascii="Arial" w:hAnsi="Arial" w:cs="Arial"/>
          <w:sz w:val="22"/>
          <w:szCs w:val="22"/>
        </w:rPr>
        <w:t xml:space="preserve">final </w:t>
      </w:r>
      <w:r w:rsidR="004A28CE">
        <w:rPr>
          <w:rFonts w:ascii="Arial" w:hAnsi="Arial" w:cs="Arial"/>
          <w:sz w:val="22"/>
          <w:szCs w:val="22"/>
        </w:rPr>
        <w:t>rul</w:t>
      </w:r>
      <w:r>
        <w:rPr>
          <w:rFonts w:ascii="Arial" w:hAnsi="Arial" w:cs="Arial"/>
          <w:sz w:val="22"/>
          <w:szCs w:val="22"/>
        </w:rPr>
        <w:t>e will result in a reduction in information collection burden due to a reduced number of alternative requests from industry to the NRC as described in this supporting statement.</w:t>
      </w:r>
    </w:p>
    <w:p w:rsidRPr="00D871AC" w:rsidR="00D871AC" w:rsidP="002A64F1" w:rsidRDefault="00D871AC" w14:paraId="5C348060" w14:textId="77777777">
      <w:pPr>
        <w:rPr>
          <w:rFonts w:ascii="Arial" w:hAnsi="Arial" w:cs="Arial"/>
          <w:sz w:val="22"/>
          <w:szCs w:val="22"/>
        </w:rPr>
      </w:pPr>
    </w:p>
    <w:p w:rsidR="002A64F1" w:rsidP="00574DC2" w:rsidRDefault="002A64F1" w14:paraId="652DBA17" w14:textId="77777777">
      <w:pPr>
        <w:widowControl w:val="0"/>
        <w:numPr>
          <w:ilvl w:val="0"/>
          <w:numId w:val="4"/>
        </w:numPr>
        <w:ind w:hanging="720"/>
        <w:rPr>
          <w:rFonts w:ascii="Arial" w:hAnsi="Arial"/>
          <w:sz w:val="22"/>
        </w:rPr>
      </w:pPr>
      <w:r w:rsidRPr="00D871AC">
        <w:rPr>
          <w:rFonts w:ascii="Arial" w:hAnsi="Arial" w:cs="Arial"/>
          <w:sz w:val="22"/>
          <w:szCs w:val="22"/>
        </w:rPr>
        <w:t>JUSTIFICATION</w:t>
      </w:r>
    </w:p>
    <w:p w:rsidR="002A64F1" w:rsidP="002A64F1" w:rsidRDefault="002A64F1" w14:paraId="2648EEAE" w14:textId="77777777">
      <w:pPr>
        <w:widowControl w:val="0"/>
        <w:ind w:left="360"/>
        <w:rPr>
          <w:rFonts w:ascii="Arial" w:hAnsi="Arial"/>
          <w:sz w:val="22"/>
        </w:rPr>
      </w:pPr>
    </w:p>
    <w:p w:rsidR="002A64F1" w:rsidP="00574DC2" w:rsidRDefault="002A64F1" w14:paraId="56F95962" w14:textId="101E1878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Need </w:t>
      </w:r>
      <w:r w:rsidR="00504AC9">
        <w:rPr>
          <w:rFonts w:ascii="Arial" w:hAnsi="Arial"/>
          <w:sz w:val="22"/>
          <w:u w:val="single"/>
        </w:rPr>
        <w:t>f</w:t>
      </w:r>
      <w:r>
        <w:rPr>
          <w:rFonts w:ascii="Arial" w:hAnsi="Arial"/>
          <w:sz w:val="22"/>
          <w:u w:val="single"/>
        </w:rPr>
        <w:t>or and Practical Utility of the Collection of Information</w:t>
      </w:r>
    </w:p>
    <w:p w:rsidR="00BB780C" w:rsidP="00627401" w:rsidRDefault="00BB780C" w14:paraId="36E6EC14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="00F90FF4" w:rsidP="00574DC2" w:rsidRDefault="00504AC9" w14:paraId="53FB8F2F" w14:textId="5CC01DB4">
      <w:pPr>
        <w:widowControl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regulation </w:t>
      </w:r>
      <w:r w:rsidR="003C1E20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10 CFR </w:t>
      </w:r>
      <w:r w:rsidR="006953E6">
        <w:rPr>
          <w:rFonts w:ascii="Arial" w:hAnsi="Arial" w:cs="Arial"/>
          <w:sz w:val="22"/>
          <w:szCs w:val="22"/>
        </w:rPr>
        <w:t>50.55a</w:t>
      </w:r>
      <w:r w:rsidR="006E11E3">
        <w:rPr>
          <w:rFonts w:ascii="Arial" w:hAnsi="Arial" w:cs="Arial"/>
          <w:sz w:val="22"/>
          <w:szCs w:val="22"/>
        </w:rPr>
        <w:t xml:space="preserve">(z) </w:t>
      </w:r>
      <w:r w:rsidR="006953E6">
        <w:rPr>
          <w:rFonts w:ascii="Arial" w:hAnsi="Arial" w:cs="Arial"/>
          <w:sz w:val="22"/>
          <w:szCs w:val="22"/>
        </w:rPr>
        <w:t>allows applicants to use alterna</w:t>
      </w:r>
      <w:r w:rsidR="0006251D">
        <w:rPr>
          <w:rFonts w:ascii="Arial" w:hAnsi="Arial" w:cs="Arial"/>
          <w:sz w:val="22"/>
          <w:szCs w:val="22"/>
        </w:rPr>
        <w:t>tives to the requirements of 10 </w:t>
      </w:r>
      <w:r w:rsidR="006953E6">
        <w:rPr>
          <w:rFonts w:ascii="Arial" w:hAnsi="Arial" w:cs="Arial"/>
          <w:sz w:val="22"/>
          <w:szCs w:val="22"/>
        </w:rPr>
        <w:t>CFR 50.55a(</w:t>
      </w:r>
      <w:r w:rsidR="00B457A7">
        <w:rPr>
          <w:rFonts w:ascii="Arial" w:hAnsi="Arial" w:cs="Arial"/>
          <w:sz w:val="22"/>
          <w:szCs w:val="22"/>
        </w:rPr>
        <w:t>b</w:t>
      </w:r>
      <w:r w:rsidR="006953E6">
        <w:rPr>
          <w:rFonts w:ascii="Arial" w:hAnsi="Arial" w:cs="Arial"/>
          <w:sz w:val="22"/>
          <w:szCs w:val="22"/>
        </w:rPr>
        <w:t>)</w:t>
      </w:r>
      <w:r w:rsidR="00B457A7">
        <w:rPr>
          <w:rFonts w:ascii="Arial" w:hAnsi="Arial" w:cs="Arial"/>
          <w:sz w:val="22"/>
          <w:szCs w:val="22"/>
        </w:rPr>
        <w:t xml:space="preserve"> through</w:t>
      </w:r>
      <w:r w:rsidR="006953E6">
        <w:rPr>
          <w:rFonts w:ascii="Arial" w:hAnsi="Arial" w:cs="Arial"/>
          <w:sz w:val="22"/>
          <w:szCs w:val="22"/>
        </w:rPr>
        <w:t xml:space="preserve"> (h)</w:t>
      </w:r>
      <w:r>
        <w:rPr>
          <w:rFonts w:ascii="Arial" w:hAnsi="Arial" w:cs="Arial"/>
          <w:sz w:val="22"/>
          <w:szCs w:val="22"/>
        </w:rPr>
        <w:t>,</w:t>
      </w:r>
      <w:r w:rsidR="006953E6">
        <w:rPr>
          <w:rFonts w:ascii="Arial" w:hAnsi="Arial" w:cs="Arial"/>
          <w:sz w:val="22"/>
          <w:szCs w:val="22"/>
        </w:rPr>
        <w:t xml:space="preserve"> when authorized by the NRC.</w:t>
      </w:r>
      <w:r w:rsidR="00F90FF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Licensees voluntarily submit a</w:t>
      </w:r>
      <w:r w:rsidR="00F90FF4">
        <w:rPr>
          <w:rFonts w:ascii="Arial" w:hAnsi="Arial" w:cs="Arial"/>
          <w:sz w:val="22"/>
          <w:szCs w:val="22"/>
        </w:rPr>
        <w:t xml:space="preserve">lternatives under </w:t>
      </w:r>
      <w:r w:rsidR="00AC027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 </w:t>
      </w:r>
      <w:r w:rsidR="00AC0278">
        <w:rPr>
          <w:rFonts w:ascii="Arial" w:hAnsi="Arial" w:cs="Arial"/>
          <w:sz w:val="22"/>
          <w:szCs w:val="22"/>
        </w:rPr>
        <w:t>CFR </w:t>
      </w:r>
      <w:r w:rsidR="00F90FF4">
        <w:rPr>
          <w:rFonts w:ascii="Arial" w:hAnsi="Arial" w:cs="Arial"/>
          <w:sz w:val="22"/>
          <w:szCs w:val="22"/>
        </w:rPr>
        <w:t>50.55a(</w:t>
      </w:r>
      <w:r w:rsidR="00E93D6A">
        <w:rPr>
          <w:rFonts w:ascii="Arial" w:hAnsi="Arial" w:cs="Arial"/>
          <w:sz w:val="22"/>
          <w:szCs w:val="22"/>
        </w:rPr>
        <w:t>z</w:t>
      </w:r>
      <w:r w:rsidR="00B457A7">
        <w:rPr>
          <w:rFonts w:ascii="Arial" w:hAnsi="Arial" w:cs="Arial"/>
          <w:sz w:val="22"/>
          <w:szCs w:val="22"/>
        </w:rPr>
        <w:t>)</w:t>
      </w:r>
      <w:r w:rsidR="00F90FF4">
        <w:rPr>
          <w:rFonts w:ascii="Arial" w:hAnsi="Arial" w:cs="Arial"/>
          <w:sz w:val="22"/>
          <w:szCs w:val="22"/>
        </w:rPr>
        <w:t xml:space="preserve"> and are estimated to </w:t>
      </w:r>
      <w:r>
        <w:rPr>
          <w:rFonts w:ascii="Arial" w:hAnsi="Arial" w:cs="Arial"/>
          <w:sz w:val="22"/>
          <w:szCs w:val="22"/>
        </w:rPr>
        <w:t xml:space="preserve">spend </w:t>
      </w:r>
      <w:r w:rsidR="00BE5DD8">
        <w:rPr>
          <w:rFonts w:ascii="Arial" w:hAnsi="Arial" w:cs="Arial"/>
          <w:sz w:val="22"/>
          <w:szCs w:val="22"/>
        </w:rPr>
        <w:t>230</w:t>
      </w:r>
      <w:r w:rsidR="00B457A7">
        <w:rPr>
          <w:rFonts w:ascii="Arial" w:hAnsi="Arial" w:cs="Arial"/>
          <w:sz w:val="22"/>
          <w:szCs w:val="22"/>
        </w:rPr>
        <w:t> </w:t>
      </w:r>
      <w:r w:rsidR="00F90FF4">
        <w:rPr>
          <w:rFonts w:ascii="Arial" w:hAnsi="Arial" w:cs="Arial"/>
          <w:sz w:val="22"/>
          <w:szCs w:val="22"/>
        </w:rPr>
        <w:t>hours to prepare and submit</w:t>
      </w:r>
      <w:r>
        <w:rPr>
          <w:rFonts w:ascii="Arial" w:hAnsi="Arial" w:cs="Arial"/>
          <w:sz w:val="22"/>
          <w:szCs w:val="22"/>
        </w:rPr>
        <w:t xml:space="preserve"> them</w:t>
      </w:r>
      <w:r w:rsidR="00F90FF4">
        <w:rPr>
          <w:rFonts w:ascii="Arial" w:hAnsi="Arial" w:cs="Arial"/>
          <w:sz w:val="22"/>
          <w:szCs w:val="22"/>
        </w:rPr>
        <w:t>.</w:t>
      </w:r>
      <w:r w:rsidR="008513F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Before 2014, 10 CFR </w:t>
      </w:r>
      <w:r w:rsidR="008513FC">
        <w:rPr>
          <w:rFonts w:ascii="Arial" w:hAnsi="Arial" w:cs="Arial"/>
          <w:sz w:val="22"/>
          <w:szCs w:val="22"/>
        </w:rPr>
        <w:t xml:space="preserve">50.55a(z) </w:t>
      </w:r>
      <w:r>
        <w:rPr>
          <w:rFonts w:ascii="Arial" w:hAnsi="Arial" w:cs="Arial"/>
          <w:sz w:val="22"/>
          <w:szCs w:val="22"/>
        </w:rPr>
        <w:t>was</w:t>
      </w:r>
      <w:r w:rsidR="008513FC">
        <w:rPr>
          <w:rFonts w:ascii="Arial" w:hAnsi="Arial" w:cs="Arial"/>
          <w:sz w:val="22"/>
          <w:szCs w:val="22"/>
        </w:rPr>
        <w:t xml:space="preserve"> located at </w:t>
      </w:r>
      <w:r w:rsidR="00915FA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 </w:t>
      </w:r>
      <w:r w:rsidR="00915FA2">
        <w:rPr>
          <w:rFonts w:ascii="Arial" w:hAnsi="Arial" w:cs="Arial"/>
          <w:sz w:val="22"/>
          <w:szCs w:val="22"/>
        </w:rPr>
        <w:t>CFR</w:t>
      </w:r>
      <w:r w:rsidR="00B457A7">
        <w:rPr>
          <w:rFonts w:ascii="Arial" w:hAnsi="Arial" w:cs="Arial"/>
          <w:sz w:val="22"/>
          <w:szCs w:val="22"/>
        </w:rPr>
        <w:t> </w:t>
      </w:r>
      <w:r w:rsidR="008513FC">
        <w:rPr>
          <w:rFonts w:ascii="Arial" w:hAnsi="Arial" w:cs="Arial"/>
          <w:sz w:val="22"/>
          <w:szCs w:val="22"/>
        </w:rPr>
        <w:t>50.55a(a)(3).</w:t>
      </w:r>
    </w:p>
    <w:p w:rsidR="00F90FF4" w:rsidP="00057A5A" w:rsidRDefault="00F90FF4" w14:paraId="74B0E8B2" w14:textId="77777777">
      <w:pPr>
        <w:widowControl w:val="0"/>
        <w:ind w:left="1080"/>
        <w:rPr>
          <w:rFonts w:ascii="Arial" w:hAnsi="Arial" w:cs="Arial"/>
          <w:sz w:val="22"/>
          <w:szCs w:val="22"/>
        </w:rPr>
      </w:pPr>
    </w:p>
    <w:p w:rsidR="00057A5A" w:rsidP="00574DC2" w:rsidRDefault="00F90FF4" w14:paraId="41DBE0B6" w14:textId="5C09B9C2">
      <w:pPr>
        <w:widowControl w:val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2A5F82">
        <w:rPr>
          <w:rFonts w:ascii="Arial" w:hAnsi="Arial"/>
          <w:sz w:val="22"/>
        </w:rPr>
        <w:t xml:space="preserve">final </w:t>
      </w:r>
      <w:r>
        <w:rPr>
          <w:rFonts w:ascii="Arial" w:hAnsi="Arial"/>
          <w:sz w:val="22"/>
        </w:rPr>
        <w:t>rule</w:t>
      </w:r>
      <w:r w:rsidR="00B457A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incorporate</w:t>
      </w:r>
      <w:r w:rsidR="003C01D4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 by reference </w:t>
      </w:r>
      <w:r w:rsidR="00B457A7">
        <w:rPr>
          <w:rFonts w:ascii="Arial" w:hAnsi="Arial"/>
          <w:sz w:val="22"/>
        </w:rPr>
        <w:t xml:space="preserve">revised NRC RGs stating the acceptability of </w:t>
      </w:r>
      <w:r w:rsidR="007D48F4">
        <w:rPr>
          <w:rFonts w:ascii="Arial" w:hAnsi="Arial"/>
          <w:sz w:val="22"/>
        </w:rPr>
        <w:t xml:space="preserve">certain </w:t>
      </w:r>
      <w:r w:rsidR="00B457A7">
        <w:rPr>
          <w:rFonts w:ascii="Arial" w:hAnsi="Arial"/>
          <w:sz w:val="22"/>
        </w:rPr>
        <w:t>ASME</w:t>
      </w:r>
      <w:r w:rsidRPr="006953E6" w:rsidR="00057A5A">
        <w:rPr>
          <w:rFonts w:ascii="Arial" w:hAnsi="Arial"/>
          <w:sz w:val="22"/>
        </w:rPr>
        <w:t xml:space="preserve"> Code Cases.  Code </w:t>
      </w:r>
      <w:r w:rsidR="00057A5A">
        <w:rPr>
          <w:rFonts w:ascii="Arial" w:hAnsi="Arial"/>
          <w:sz w:val="22"/>
        </w:rPr>
        <w:t xml:space="preserve">Cases developed by </w:t>
      </w:r>
      <w:r w:rsidRPr="002D34B8" w:rsidR="00057A5A">
        <w:rPr>
          <w:rFonts w:ascii="Arial" w:hAnsi="Arial"/>
          <w:sz w:val="22"/>
        </w:rPr>
        <w:t>the ASME</w:t>
      </w:r>
      <w:r w:rsidR="00057A5A">
        <w:rPr>
          <w:rFonts w:ascii="Arial" w:hAnsi="Arial"/>
          <w:sz w:val="22"/>
        </w:rPr>
        <w:t xml:space="preserve"> are </w:t>
      </w:r>
      <w:r w:rsidR="001739E9">
        <w:rPr>
          <w:rFonts w:ascii="Arial" w:hAnsi="Arial"/>
          <w:sz w:val="22"/>
        </w:rPr>
        <w:t xml:space="preserve">voluntary </w:t>
      </w:r>
      <w:r w:rsidR="00057A5A">
        <w:rPr>
          <w:rFonts w:ascii="Arial" w:hAnsi="Arial"/>
          <w:sz w:val="22"/>
        </w:rPr>
        <w:t>alternativ</w:t>
      </w:r>
      <w:r w:rsidR="00F51AB0">
        <w:rPr>
          <w:rFonts w:ascii="Arial" w:hAnsi="Arial"/>
          <w:sz w:val="22"/>
        </w:rPr>
        <w:t xml:space="preserve">es to requirements of the ASME </w:t>
      </w:r>
      <w:r w:rsidR="00057A5A">
        <w:rPr>
          <w:rFonts w:ascii="Arial" w:hAnsi="Arial"/>
          <w:sz w:val="22"/>
        </w:rPr>
        <w:t>BPV and OM Code and often reflect improvements in technology, new information</w:t>
      </w:r>
      <w:r w:rsidR="009038DF">
        <w:rPr>
          <w:rFonts w:ascii="Arial" w:hAnsi="Arial"/>
          <w:sz w:val="22"/>
        </w:rPr>
        <w:t>,</w:t>
      </w:r>
      <w:r w:rsidR="00057A5A">
        <w:rPr>
          <w:rFonts w:ascii="Arial" w:hAnsi="Arial"/>
          <w:sz w:val="22"/>
        </w:rPr>
        <w:t xml:space="preserve"> or improved procedures. </w:t>
      </w:r>
      <w:r w:rsidR="001739E9">
        <w:rPr>
          <w:rFonts w:ascii="Arial" w:hAnsi="Arial"/>
          <w:sz w:val="22"/>
        </w:rPr>
        <w:t xml:space="preserve"> </w:t>
      </w:r>
      <w:r w:rsidR="009038DF">
        <w:rPr>
          <w:rFonts w:ascii="Arial" w:hAnsi="Arial"/>
          <w:sz w:val="22"/>
        </w:rPr>
        <w:t xml:space="preserve">Before the use of these Code Cases, </w:t>
      </w:r>
      <w:r w:rsidR="001739E9">
        <w:rPr>
          <w:rFonts w:ascii="Arial" w:hAnsi="Arial"/>
          <w:sz w:val="22"/>
        </w:rPr>
        <w:t>d</w:t>
      </w:r>
      <w:r w:rsidR="00057A5A">
        <w:rPr>
          <w:rFonts w:ascii="Arial" w:hAnsi="Arial"/>
          <w:sz w:val="22"/>
        </w:rPr>
        <w:t>evelop</w:t>
      </w:r>
      <w:r w:rsidR="009038DF">
        <w:rPr>
          <w:rFonts w:ascii="Arial" w:hAnsi="Arial"/>
          <w:sz w:val="22"/>
        </w:rPr>
        <w:t xml:space="preserve">ing </w:t>
      </w:r>
      <w:r w:rsidR="00C74751">
        <w:rPr>
          <w:rFonts w:ascii="Arial" w:hAnsi="Arial"/>
          <w:sz w:val="22"/>
        </w:rPr>
        <w:t>alternative</w:t>
      </w:r>
      <w:r w:rsidR="003C0754">
        <w:rPr>
          <w:rFonts w:ascii="Arial" w:hAnsi="Arial"/>
          <w:sz w:val="22"/>
        </w:rPr>
        <w:t xml:space="preserve"> request </w:t>
      </w:r>
      <w:r w:rsidR="00057A5A">
        <w:rPr>
          <w:rFonts w:ascii="Arial" w:hAnsi="Arial"/>
          <w:sz w:val="22"/>
        </w:rPr>
        <w:t>application</w:t>
      </w:r>
      <w:r w:rsidR="005F6303">
        <w:rPr>
          <w:rFonts w:ascii="Arial" w:hAnsi="Arial"/>
          <w:sz w:val="22"/>
        </w:rPr>
        <w:t>s</w:t>
      </w:r>
      <w:r w:rsidR="001739E9">
        <w:rPr>
          <w:rFonts w:ascii="Arial" w:hAnsi="Arial"/>
          <w:sz w:val="22"/>
        </w:rPr>
        <w:t xml:space="preserve"> </w:t>
      </w:r>
      <w:r w:rsidR="00057A5A">
        <w:rPr>
          <w:rFonts w:ascii="Arial" w:hAnsi="Arial"/>
          <w:sz w:val="22"/>
        </w:rPr>
        <w:t xml:space="preserve">and </w:t>
      </w:r>
      <w:r w:rsidR="00B87310">
        <w:rPr>
          <w:rFonts w:ascii="Arial" w:hAnsi="Arial"/>
          <w:sz w:val="22"/>
        </w:rPr>
        <w:t xml:space="preserve">obtaining </w:t>
      </w:r>
      <w:r w:rsidR="00057A5A">
        <w:rPr>
          <w:rFonts w:ascii="Arial" w:hAnsi="Arial"/>
          <w:sz w:val="22"/>
        </w:rPr>
        <w:t xml:space="preserve">NRC </w:t>
      </w:r>
      <w:r w:rsidR="003C0754">
        <w:rPr>
          <w:rFonts w:ascii="Arial" w:hAnsi="Arial"/>
          <w:sz w:val="22"/>
        </w:rPr>
        <w:t xml:space="preserve">approval </w:t>
      </w:r>
      <w:r w:rsidR="009038DF">
        <w:rPr>
          <w:rFonts w:ascii="Arial" w:hAnsi="Arial"/>
          <w:sz w:val="22"/>
        </w:rPr>
        <w:t>were</w:t>
      </w:r>
      <w:r w:rsidR="00057A5A">
        <w:rPr>
          <w:rFonts w:ascii="Arial" w:hAnsi="Arial"/>
          <w:sz w:val="22"/>
        </w:rPr>
        <w:t xml:space="preserve"> </w:t>
      </w:r>
      <w:r w:rsidR="00A75E82">
        <w:rPr>
          <w:rFonts w:ascii="Arial" w:hAnsi="Arial"/>
          <w:sz w:val="22"/>
        </w:rPr>
        <w:t xml:space="preserve">burdensome </w:t>
      </w:r>
      <w:r w:rsidR="00282B4C">
        <w:rPr>
          <w:rFonts w:ascii="Arial" w:hAnsi="Arial"/>
          <w:sz w:val="22"/>
        </w:rPr>
        <w:t xml:space="preserve">processes </w:t>
      </w:r>
      <w:r w:rsidR="009038DF">
        <w:rPr>
          <w:rFonts w:ascii="Arial" w:hAnsi="Arial"/>
          <w:sz w:val="22"/>
        </w:rPr>
        <w:t xml:space="preserve">for </w:t>
      </w:r>
      <w:r w:rsidR="00A75E82">
        <w:rPr>
          <w:rFonts w:ascii="Arial" w:hAnsi="Arial"/>
          <w:sz w:val="22"/>
        </w:rPr>
        <w:t>the licensee.</w:t>
      </w:r>
    </w:p>
    <w:p w:rsidR="00F90FF4" w:rsidP="00057A5A" w:rsidRDefault="00F90FF4" w14:paraId="2B487D43" w14:textId="77777777">
      <w:pPr>
        <w:widowControl w:val="0"/>
        <w:ind w:left="1080"/>
        <w:rPr>
          <w:rFonts w:ascii="Arial" w:hAnsi="Arial"/>
          <w:sz w:val="22"/>
        </w:rPr>
      </w:pPr>
    </w:p>
    <w:p w:rsidR="00F90FF4" w:rsidP="00574DC2" w:rsidRDefault="00F90FF4" w14:paraId="16FA3056" w14:textId="6BEBFE79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The </w:t>
      </w:r>
      <w:r w:rsidR="001739E9">
        <w:rPr>
          <w:rFonts w:ascii="Arial" w:hAnsi="Arial"/>
          <w:sz w:val="22"/>
        </w:rPr>
        <w:t>approval of ASME Code Cases in the latest revisions</w:t>
      </w:r>
      <w:r w:rsidRPr="006953E6">
        <w:rPr>
          <w:rFonts w:ascii="Arial" w:hAnsi="Arial" w:cs="Arial"/>
          <w:sz w:val="22"/>
          <w:szCs w:val="22"/>
        </w:rPr>
        <w:t xml:space="preserve"> of three previously inco</w:t>
      </w:r>
      <w:r>
        <w:rPr>
          <w:rFonts w:ascii="Arial" w:hAnsi="Arial" w:cs="Arial"/>
          <w:sz w:val="22"/>
          <w:szCs w:val="22"/>
        </w:rPr>
        <w:t xml:space="preserve">rporated </w:t>
      </w:r>
      <w:r w:rsidR="001739E9">
        <w:rPr>
          <w:rFonts w:ascii="Arial" w:hAnsi="Arial" w:cs="Arial"/>
          <w:sz w:val="22"/>
          <w:szCs w:val="22"/>
        </w:rPr>
        <w:t>RGs would</w:t>
      </w:r>
      <w:r>
        <w:rPr>
          <w:rFonts w:ascii="Arial" w:hAnsi="Arial" w:cs="Arial"/>
          <w:sz w:val="22"/>
          <w:szCs w:val="22"/>
        </w:rPr>
        <w:t xml:space="preserve"> reduce the number of </w:t>
      </w:r>
      <w:r w:rsidR="00C74751">
        <w:rPr>
          <w:rFonts w:ascii="Arial" w:hAnsi="Arial" w:cs="Arial"/>
          <w:sz w:val="22"/>
          <w:szCs w:val="22"/>
        </w:rPr>
        <w:t>alternative requests</w:t>
      </w:r>
      <w:r w:rsidR="00F40E37">
        <w:rPr>
          <w:rFonts w:ascii="Arial" w:hAnsi="Arial" w:cs="Arial"/>
          <w:sz w:val="22"/>
          <w:szCs w:val="22"/>
        </w:rPr>
        <w:t xml:space="preserve"> submitted by licensees under 10</w:t>
      </w:r>
      <w:r w:rsidR="001739E9">
        <w:rPr>
          <w:rFonts w:ascii="Arial" w:hAnsi="Arial" w:cs="Arial"/>
          <w:sz w:val="22"/>
          <w:szCs w:val="22"/>
        </w:rPr>
        <w:t> </w:t>
      </w:r>
      <w:r w:rsidR="00F40E37">
        <w:rPr>
          <w:rFonts w:ascii="Arial" w:hAnsi="Arial" w:cs="Arial"/>
          <w:sz w:val="22"/>
          <w:szCs w:val="22"/>
        </w:rPr>
        <w:t>CFR</w:t>
      </w:r>
      <w:r w:rsidR="002D34B8">
        <w:rPr>
          <w:rFonts w:ascii="Arial" w:hAnsi="Arial" w:cs="Arial"/>
          <w:sz w:val="22"/>
          <w:szCs w:val="22"/>
        </w:rPr>
        <w:t> </w:t>
      </w:r>
      <w:r w:rsidR="00F40E37">
        <w:rPr>
          <w:rFonts w:ascii="Arial" w:hAnsi="Arial" w:cs="Arial"/>
          <w:sz w:val="22"/>
          <w:szCs w:val="22"/>
        </w:rPr>
        <w:t>50.55a</w:t>
      </w:r>
      <w:r w:rsidR="006E11E3">
        <w:rPr>
          <w:rFonts w:ascii="Arial" w:hAnsi="Arial" w:cs="Arial"/>
          <w:sz w:val="22"/>
          <w:szCs w:val="22"/>
        </w:rPr>
        <w:t>(z)</w:t>
      </w:r>
      <w:r w:rsidR="00F40E37">
        <w:rPr>
          <w:rFonts w:ascii="Arial" w:hAnsi="Arial" w:cs="Arial"/>
          <w:sz w:val="22"/>
          <w:szCs w:val="22"/>
        </w:rPr>
        <w:t>, because</w:t>
      </w:r>
      <w:r w:rsidR="009038DF">
        <w:rPr>
          <w:rFonts w:ascii="Arial" w:hAnsi="Arial" w:cs="Arial"/>
          <w:sz w:val="22"/>
          <w:szCs w:val="22"/>
        </w:rPr>
        <w:t xml:space="preserve"> the NRC permits the</w:t>
      </w:r>
      <w:r w:rsidR="00F40E37">
        <w:rPr>
          <w:rFonts w:ascii="Arial" w:hAnsi="Arial" w:cs="Arial"/>
          <w:sz w:val="22"/>
          <w:szCs w:val="22"/>
        </w:rPr>
        <w:t xml:space="preserve"> use of these </w:t>
      </w:r>
      <w:r w:rsidR="001739E9">
        <w:rPr>
          <w:rFonts w:ascii="Arial" w:hAnsi="Arial" w:cs="Arial"/>
          <w:sz w:val="22"/>
          <w:szCs w:val="22"/>
        </w:rPr>
        <w:t>C</w:t>
      </w:r>
      <w:r w:rsidR="00F40E37">
        <w:rPr>
          <w:rFonts w:ascii="Arial" w:hAnsi="Arial" w:cs="Arial"/>
          <w:sz w:val="22"/>
          <w:szCs w:val="22"/>
        </w:rPr>
        <w:t xml:space="preserve">ode </w:t>
      </w:r>
      <w:r w:rsidR="001739E9">
        <w:rPr>
          <w:rFonts w:ascii="Arial" w:hAnsi="Arial" w:cs="Arial"/>
          <w:sz w:val="22"/>
          <w:szCs w:val="22"/>
        </w:rPr>
        <w:t>C</w:t>
      </w:r>
      <w:r w:rsidR="00F40E37">
        <w:rPr>
          <w:rFonts w:ascii="Arial" w:hAnsi="Arial" w:cs="Arial"/>
          <w:sz w:val="22"/>
          <w:szCs w:val="22"/>
        </w:rPr>
        <w:t>ases without the need for submission of an alternative request.</w:t>
      </w:r>
    </w:p>
    <w:p w:rsidR="002A64F1" w:rsidP="00415B67" w:rsidRDefault="002A64F1" w14:paraId="171D012D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="002A64F1" w:rsidP="00574DC2" w:rsidRDefault="002A64F1" w14:paraId="4EC2DC16" w14:textId="77777777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Agency Use of Information</w:t>
      </w:r>
    </w:p>
    <w:p w:rsidR="002A64F1" w:rsidP="00415B67" w:rsidRDefault="002A64F1" w14:paraId="24820F6F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Pr="002C572B" w:rsidR="004A28CE" w:rsidP="00574DC2" w:rsidRDefault="004A28CE" w14:paraId="75C79847" w14:textId="578E5D5E">
      <w:pPr>
        <w:tabs>
          <w:tab w:val="left" w:pos="-1440"/>
          <w:tab w:val="left" w:pos="-360"/>
          <w:tab w:val="left" w:pos="0"/>
          <w:tab w:val="left" w:pos="720"/>
          <w:tab w:val="left" w:pos="12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Arial" w:hAnsi="Arial" w:cs="Arial"/>
          <w:sz w:val="22"/>
          <w:szCs w:val="22"/>
        </w:rPr>
      </w:pPr>
      <w:r w:rsidRPr="00EE05F7">
        <w:rPr>
          <w:rFonts w:ascii="Arial" w:hAnsi="Arial" w:cs="Arial"/>
          <w:sz w:val="22"/>
          <w:szCs w:val="22"/>
        </w:rPr>
        <w:t xml:space="preserve">The records are generally historical in nature and provide data on which future </w:t>
      </w:r>
      <w:r w:rsidRPr="00EE05F7">
        <w:rPr>
          <w:rFonts w:ascii="Arial" w:hAnsi="Arial"/>
          <w:sz w:val="22"/>
        </w:rPr>
        <w:t>activities</w:t>
      </w:r>
      <w:r w:rsidRPr="00EE05F7">
        <w:rPr>
          <w:rFonts w:ascii="Arial" w:hAnsi="Arial" w:cs="Arial"/>
          <w:sz w:val="22"/>
          <w:szCs w:val="22"/>
        </w:rPr>
        <w:t xml:space="preserve"> can be based.  The practical utility of the information collection for </w:t>
      </w:r>
      <w:r w:rsidR="00801373">
        <w:rPr>
          <w:rFonts w:ascii="Arial" w:hAnsi="Arial" w:cs="Arial"/>
          <w:sz w:val="22"/>
          <w:szCs w:val="22"/>
        </w:rPr>
        <w:t xml:space="preserve">the </w:t>
      </w:r>
      <w:r w:rsidRPr="00EE05F7">
        <w:rPr>
          <w:rFonts w:ascii="Arial" w:hAnsi="Arial" w:cs="Arial"/>
          <w:sz w:val="22"/>
          <w:szCs w:val="22"/>
        </w:rPr>
        <w:t>NRC is that appropriate records are available for auditing by NRC personnel to determine licensees</w:t>
      </w:r>
      <w:r w:rsidR="00801373">
        <w:rPr>
          <w:rFonts w:ascii="Arial" w:hAnsi="Arial" w:cs="Arial"/>
          <w:sz w:val="22"/>
          <w:szCs w:val="22"/>
        </w:rPr>
        <w:t>’</w:t>
      </w:r>
      <w:r w:rsidRPr="00EE05F7">
        <w:rPr>
          <w:rFonts w:ascii="Arial" w:hAnsi="Arial" w:cs="Arial"/>
          <w:sz w:val="22"/>
          <w:szCs w:val="22"/>
        </w:rPr>
        <w:t xml:space="preserve"> and applicants</w:t>
      </w:r>
      <w:r w:rsidR="00801373">
        <w:rPr>
          <w:rFonts w:ascii="Arial" w:hAnsi="Arial" w:cs="Arial"/>
          <w:sz w:val="22"/>
          <w:szCs w:val="22"/>
        </w:rPr>
        <w:t>’</w:t>
      </w:r>
      <w:r w:rsidRPr="00EE05F7">
        <w:rPr>
          <w:rFonts w:ascii="Arial" w:hAnsi="Arial" w:cs="Arial"/>
          <w:sz w:val="22"/>
          <w:szCs w:val="22"/>
        </w:rPr>
        <w:t xml:space="preserve"> use of the Code Cases listed in the </w:t>
      </w:r>
      <w:r w:rsidR="009038DF">
        <w:rPr>
          <w:rFonts w:ascii="Arial" w:hAnsi="Arial" w:cs="Arial"/>
          <w:sz w:val="22"/>
          <w:szCs w:val="22"/>
        </w:rPr>
        <w:t>RGs</w:t>
      </w:r>
      <w:r w:rsidRPr="00EE05F7">
        <w:rPr>
          <w:rFonts w:ascii="Arial" w:hAnsi="Arial" w:cs="Arial"/>
          <w:sz w:val="22"/>
          <w:szCs w:val="22"/>
        </w:rPr>
        <w:t xml:space="preserve"> as voluntary alternatives to engineering standards for the construction, </w:t>
      </w:r>
      <w:proofErr w:type="spellStart"/>
      <w:r w:rsidRPr="00EE05F7">
        <w:rPr>
          <w:rFonts w:ascii="Arial" w:hAnsi="Arial" w:cs="Arial"/>
          <w:sz w:val="22"/>
          <w:szCs w:val="22"/>
        </w:rPr>
        <w:t>inservice</w:t>
      </w:r>
      <w:proofErr w:type="spellEnd"/>
      <w:r w:rsidRPr="00EE05F7">
        <w:rPr>
          <w:rFonts w:ascii="Arial" w:hAnsi="Arial" w:cs="Arial"/>
          <w:sz w:val="22"/>
          <w:szCs w:val="22"/>
        </w:rPr>
        <w:t xml:space="preserve"> inspection, and </w:t>
      </w:r>
      <w:proofErr w:type="spellStart"/>
      <w:r w:rsidRPr="00EE05F7">
        <w:rPr>
          <w:rFonts w:ascii="Arial" w:hAnsi="Arial" w:cs="Arial"/>
          <w:sz w:val="22"/>
          <w:szCs w:val="22"/>
        </w:rPr>
        <w:t>inservice</w:t>
      </w:r>
      <w:proofErr w:type="spellEnd"/>
      <w:r w:rsidRPr="00EE05F7">
        <w:rPr>
          <w:rFonts w:ascii="Arial" w:hAnsi="Arial" w:cs="Arial"/>
          <w:sz w:val="22"/>
          <w:szCs w:val="22"/>
        </w:rPr>
        <w:t xml:space="preserve"> testing of nuclear power plant components.</w:t>
      </w:r>
    </w:p>
    <w:p w:rsidR="002A64F1" w:rsidP="00E2551A" w:rsidRDefault="002A64F1" w14:paraId="353C919D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="002A64F1" w:rsidP="00574DC2" w:rsidRDefault="002A64F1" w14:paraId="0CB6A4CA" w14:textId="77777777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Reduction of Burden Through Information Technology</w:t>
      </w:r>
      <w:r>
        <w:rPr>
          <w:rFonts w:ascii="Arial" w:hAnsi="Arial"/>
          <w:sz w:val="22"/>
        </w:rPr>
        <w:t xml:space="preserve">  </w:t>
      </w:r>
    </w:p>
    <w:p w:rsidR="002A64F1" w:rsidP="00EE05F7" w:rsidRDefault="002A64F1" w14:paraId="55DC8644" w14:textId="77777777">
      <w:pPr>
        <w:widowControl w:val="0"/>
        <w:ind w:left="1080"/>
        <w:rPr>
          <w:rFonts w:ascii="Arial" w:hAnsi="Arial"/>
          <w:sz w:val="22"/>
        </w:rPr>
      </w:pPr>
    </w:p>
    <w:p w:rsidR="00627AD5" w:rsidP="00574DC2" w:rsidRDefault="00D871AC" w14:paraId="5B98E3BE" w14:textId="0BA0D145">
      <w:pPr>
        <w:widowControl w:val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There are no legal obstacles to reducing the burden associated with this information collection. </w:t>
      </w:r>
      <w:r w:rsidR="0006251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The NRC encourages respondents to use information technology when it would be beneficial.</w:t>
      </w:r>
      <w:r w:rsidR="007E2929">
        <w:rPr>
          <w:rFonts w:ascii="Arial" w:hAnsi="Arial"/>
          <w:sz w:val="22"/>
        </w:rPr>
        <w:t xml:space="preserve">  </w:t>
      </w:r>
    </w:p>
    <w:p w:rsidR="00627AD5" w:rsidP="00375B97" w:rsidRDefault="00627AD5" w14:paraId="435FB08F" w14:textId="77777777">
      <w:pPr>
        <w:widowControl w:val="0"/>
        <w:ind w:left="1080"/>
        <w:rPr>
          <w:rFonts w:ascii="Arial" w:hAnsi="Arial"/>
          <w:sz w:val="22"/>
        </w:rPr>
      </w:pPr>
    </w:p>
    <w:p w:rsidRPr="00FD007F" w:rsidR="00915FA2" w:rsidP="00574DC2" w:rsidRDefault="00915FA2" w14:paraId="18A04A0E" w14:textId="0D13459A">
      <w:pPr>
        <w:widowControl w:val="0"/>
        <w:ind w:left="1440"/>
        <w:rPr>
          <w:rFonts w:ascii="Arial" w:hAnsi="Arial"/>
          <w:sz w:val="22"/>
        </w:rPr>
      </w:pPr>
      <w:r w:rsidRPr="00FD007F">
        <w:rPr>
          <w:rFonts w:ascii="Arial" w:hAnsi="Arial"/>
          <w:sz w:val="22"/>
        </w:rPr>
        <w:t xml:space="preserve">The NRC has issued </w:t>
      </w:r>
      <w:r w:rsidR="00282B4C">
        <w:rPr>
          <w:rFonts w:ascii="Arial" w:hAnsi="Arial"/>
          <w:sz w:val="22"/>
        </w:rPr>
        <w:t>“</w:t>
      </w:r>
      <w:hyperlink w:history="1" r:id="rId11">
        <w:r w:rsidRPr="00574DC2">
          <w:rPr>
            <w:rStyle w:val="Hyperlink"/>
            <w:rFonts w:ascii="Arial" w:hAnsi="Arial" w:cs="Arial"/>
            <w:sz w:val="22"/>
            <w:szCs w:val="22"/>
            <w:u w:val="none"/>
          </w:rPr>
          <w:t>Guidance for Electronic Submissions to the NRC</w:t>
        </w:r>
      </w:hyperlink>
      <w:r w:rsidRPr="00574DC2" w:rsidR="007D48F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,</w:t>
      </w:r>
      <w:r w:rsidR="00282B4C">
        <w:rPr>
          <w:rFonts w:ascii="Arial" w:hAnsi="Arial"/>
          <w:sz w:val="22"/>
        </w:rPr>
        <w:t>”</w:t>
      </w:r>
      <w:r w:rsidRPr="00FD007F">
        <w:rPr>
          <w:rFonts w:ascii="Arial" w:hAnsi="Arial"/>
          <w:sz w:val="22"/>
        </w:rPr>
        <w:t xml:space="preserve"> which provides direction</w:t>
      </w:r>
      <w:r w:rsidR="005043DB">
        <w:rPr>
          <w:rFonts w:ascii="Arial" w:hAnsi="Arial"/>
          <w:sz w:val="22"/>
        </w:rPr>
        <w:t>s</w:t>
      </w:r>
      <w:r w:rsidRPr="00FD007F">
        <w:rPr>
          <w:rFonts w:ascii="Arial" w:hAnsi="Arial"/>
          <w:sz w:val="22"/>
        </w:rPr>
        <w:t xml:space="preserve"> for the electronic transmission and submittal of documents to the NRC.</w:t>
      </w:r>
      <w:r w:rsidR="00E56D9E">
        <w:rPr>
          <w:rFonts w:ascii="Arial" w:hAnsi="Arial"/>
          <w:sz w:val="22"/>
        </w:rPr>
        <w:t xml:space="preserve"> </w:t>
      </w:r>
      <w:r w:rsidRPr="00FD007F">
        <w:rPr>
          <w:rFonts w:ascii="Arial" w:hAnsi="Arial"/>
          <w:sz w:val="22"/>
        </w:rPr>
        <w:t xml:space="preserve"> Electronic transmission and submittal of documents can be accomplished </w:t>
      </w:r>
      <w:r w:rsidR="0099296A">
        <w:rPr>
          <w:rFonts w:ascii="Arial" w:hAnsi="Arial"/>
          <w:sz w:val="22"/>
        </w:rPr>
        <w:t>through</w:t>
      </w:r>
      <w:r w:rsidRPr="00FD007F">
        <w:rPr>
          <w:rFonts w:ascii="Arial" w:hAnsi="Arial"/>
          <w:sz w:val="22"/>
        </w:rPr>
        <w:t xml:space="preserve"> the following avenues: </w:t>
      </w:r>
      <w:r w:rsidR="002533EC">
        <w:rPr>
          <w:rFonts w:ascii="Arial" w:hAnsi="Arial"/>
          <w:sz w:val="22"/>
        </w:rPr>
        <w:t xml:space="preserve"> </w:t>
      </w:r>
      <w:r w:rsidRPr="00FD007F">
        <w:rPr>
          <w:rFonts w:ascii="Arial" w:hAnsi="Arial"/>
          <w:sz w:val="22"/>
        </w:rPr>
        <w:t xml:space="preserve">the Electronic Information Exchange process, which is available from the </w:t>
      </w:r>
      <w:r w:rsidRPr="00057825">
        <w:rPr>
          <w:rFonts w:ascii="Arial" w:hAnsi="Arial"/>
          <w:sz w:val="22"/>
        </w:rPr>
        <w:t>NRC</w:t>
      </w:r>
      <w:r w:rsidRPr="00057825" w:rsidR="00801373">
        <w:rPr>
          <w:rFonts w:ascii="Arial" w:hAnsi="Arial"/>
          <w:sz w:val="22"/>
        </w:rPr>
        <w:t>’</w:t>
      </w:r>
      <w:r w:rsidRPr="00057825">
        <w:rPr>
          <w:rFonts w:ascii="Arial" w:hAnsi="Arial"/>
          <w:sz w:val="22"/>
        </w:rPr>
        <w:t xml:space="preserve">s </w:t>
      </w:r>
      <w:hyperlink w:history="1" r:id="rId12">
        <w:r w:rsidRPr="00057825">
          <w:rPr>
            <w:rStyle w:val="Hyperlink"/>
            <w:rFonts w:ascii="Arial" w:hAnsi="Arial"/>
            <w:sz w:val="22"/>
            <w:u w:val="none"/>
          </w:rPr>
          <w:t>“Electronic Submittals” Web page</w:t>
        </w:r>
      </w:hyperlink>
      <w:r w:rsidRPr="00FD007F">
        <w:rPr>
          <w:rFonts w:ascii="Arial" w:hAnsi="Arial"/>
          <w:sz w:val="22"/>
        </w:rPr>
        <w:t xml:space="preserve">, </w:t>
      </w:r>
      <w:r w:rsidR="00DF25CC">
        <w:rPr>
          <w:rFonts w:ascii="Arial" w:hAnsi="Arial"/>
          <w:sz w:val="22"/>
        </w:rPr>
        <w:t xml:space="preserve">or </w:t>
      </w:r>
      <w:r w:rsidRPr="00FD007F">
        <w:rPr>
          <w:rFonts w:ascii="Arial" w:hAnsi="Arial"/>
          <w:sz w:val="22"/>
        </w:rPr>
        <w:t xml:space="preserve">by </w:t>
      </w:r>
      <w:r w:rsidRPr="00FD007F" w:rsidR="003B2B7C">
        <w:rPr>
          <w:rFonts w:ascii="Arial" w:hAnsi="Arial"/>
          <w:sz w:val="22"/>
        </w:rPr>
        <w:t xml:space="preserve">optical storage media </w:t>
      </w:r>
      <w:r w:rsidRPr="00FD007F">
        <w:rPr>
          <w:rFonts w:ascii="Arial" w:hAnsi="Arial"/>
          <w:sz w:val="22"/>
        </w:rPr>
        <w:t>(e.g.</w:t>
      </w:r>
      <w:r w:rsidR="00DF25CC">
        <w:rPr>
          <w:rFonts w:ascii="Arial" w:hAnsi="Arial"/>
          <w:sz w:val="22"/>
        </w:rPr>
        <w:t>,</w:t>
      </w:r>
      <w:r w:rsidRPr="00FD007F">
        <w:rPr>
          <w:rFonts w:ascii="Arial" w:hAnsi="Arial"/>
          <w:sz w:val="22"/>
        </w:rPr>
        <w:t xml:space="preserve"> CD-ROM, DVD), facsimile</w:t>
      </w:r>
      <w:r w:rsidR="00801373">
        <w:rPr>
          <w:rFonts w:ascii="Arial" w:hAnsi="Arial"/>
          <w:sz w:val="22"/>
        </w:rPr>
        <w:t>,</w:t>
      </w:r>
      <w:r w:rsidRPr="00FD007F">
        <w:rPr>
          <w:rFonts w:ascii="Arial" w:hAnsi="Arial"/>
          <w:sz w:val="22"/>
        </w:rPr>
        <w:t xml:space="preserve"> or e</w:t>
      </w:r>
      <w:r w:rsidR="005043DB">
        <w:rPr>
          <w:rFonts w:ascii="Arial" w:hAnsi="Arial"/>
          <w:sz w:val="22"/>
        </w:rPr>
        <w:noBreakHyphen/>
      </w:r>
      <w:r w:rsidRPr="00FD007F">
        <w:rPr>
          <w:rFonts w:ascii="Arial" w:hAnsi="Arial"/>
          <w:sz w:val="22"/>
        </w:rPr>
        <w:t>mail.</w:t>
      </w:r>
      <w:r w:rsidR="007E1197">
        <w:rPr>
          <w:rFonts w:ascii="Arial" w:hAnsi="Arial"/>
          <w:sz w:val="22"/>
        </w:rPr>
        <w:t xml:space="preserve"> </w:t>
      </w:r>
      <w:r w:rsidRPr="00FD007F">
        <w:rPr>
          <w:rFonts w:ascii="Arial" w:hAnsi="Arial"/>
          <w:sz w:val="22"/>
        </w:rPr>
        <w:t xml:space="preserve"> </w:t>
      </w:r>
      <w:r w:rsidR="00484068">
        <w:rPr>
          <w:rFonts w:ascii="Arial" w:hAnsi="Arial"/>
          <w:sz w:val="22"/>
        </w:rPr>
        <w:t>The agency</w:t>
      </w:r>
      <w:r w:rsidRPr="00FD007F">
        <w:rPr>
          <w:rFonts w:ascii="Arial" w:hAnsi="Arial"/>
          <w:sz w:val="22"/>
        </w:rPr>
        <w:t xml:space="preserve"> estimate</w:t>
      </w:r>
      <w:r w:rsidR="00484068">
        <w:rPr>
          <w:rFonts w:ascii="Arial" w:hAnsi="Arial"/>
          <w:sz w:val="22"/>
        </w:rPr>
        <w:t>s</w:t>
      </w:r>
      <w:r w:rsidRPr="00FD007F">
        <w:rPr>
          <w:rFonts w:ascii="Arial" w:hAnsi="Arial"/>
          <w:sz w:val="22"/>
        </w:rPr>
        <w:t xml:space="preserve"> that </w:t>
      </w:r>
      <w:r w:rsidRPr="002D0BF8">
        <w:rPr>
          <w:rFonts w:ascii="Arial" w:hAnsi="Arial"/>
          <w:sz w:val="22"/>
        </w:rPr>
        <w:t>approximately 15</w:t>
      </w:r>
      <w:r w:rsidR="00801373">
        <w:rPr>
          <w:rFonts w:ascii="Arial" w:hAnsi="Arial"/>
          <w:sz w:val="22"/>
        </w:rPr>
        <w:t> percent</w:t>
      </w:r>
      <w:r w:rsidRPr="002D0BF8">
        <w:rPr>
          <w:rFonts w:ascii="Arial" w:hAnsi="Arial"/>
          <w:b/>
          <w:sz w:val="22"/>
        </w:rPr>
        <w:t xml:space="preserve"> </w:t>
      </w:r>
      <w:r w:rsidRPr="002D0BF8">
        <w:rPr>
          <w:rFonts w:ascii="Arial" w:hAnsi="Arial"/>
          <w:sz w:val="22"/>
        </w:rPr>
        <w:t>of the</w:t>
      </w:r>
      <w:r w:rsidRPr="00FD007F">
        <w:rPr>
          <w:rFonts w:ascii="Arial" w:hAnsi="Arial"/>
          <w:sz w:val="22"/>
        </w:rPr>
        <w:t xml:space="preserve"> responses are filed electronically.</w:t>
      </w:r>
    </w:p>
    <w:p w:rsidR="002A64F1" w:rsidP="002D0BF8" w:rsidRDefault="002A64F1" w14:paraId="5845C9D6" w14:textId="77777777">
      <w:pPr>
        <w:widowControl w:val="0"/>
        <w:ind w:left="1080"/>
        <w:rPr>
          <w:rFonts w:ascii="Arial" w:hAnsi="Arial"/>
          <w:sz w:val="22"/>
        </w:rPr>
      </w:pPr>
    </w:p>
    <w:p w:rsidR="002A64F1" w:rsidP="00574DC2" w:rsidRDefault="002A64F1" w14:paraId="085CECEA" w14:textId="088BFE9D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Effort </w:t>
      </w:r>
      <w:r w:rsidR="00A7317B">
        <w:rPr>
          <w:rFonts w:ascii="Arial" w:hAnsi="Arial"/>
          <w:sz w:val="22"/>
          <w:u w:val="single"/>
        </w:rPr>
        <w:t>t</w:t>
      </w:r>
      <w:r>
        <w:rPr>
          <w:rFonts w:ascii="Arial" w:hAnsi="Arial"/>
          <w:sz w:val="22"/>
          <w:u w:val="single"/>
        </w:rPr>
        <w:t>o Identify Duplication and Use Similar Information</w:t>
      </w:r>
    </w:p>
    <w:p w:rsidR="002A64F1" w:rsidP="00674F6E" w:rsidRDefault="002A64F1" w14:paraId="6FF97C23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="004A28CE" w:rsidP="00574DC2" w:rsidRDefault="004A28CE" w14:paraId="63BE3A3A" w14:textId="7918B7FE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 sources of similar information are available.  There is no duplication of </w:t>
      </w:r>
      <w:r w:rsidRPr="00B473DB">
        <w:rPr>
          <w:rFonts w:ascii="Arial" w:hAnsi="Arial"/>
          <w:sz w:val="22"/>
        </w:rPr>
        <w:t>requirements.  The NRC has in place an ongoing program to examine all information collections with the goal of eliminating all duplication and unnecessary information collections.</w:t>
      </w:r>
    </w:p>
    <w:p w:rsidR="002A64F1" w:rsidP="00674F6E" w:rsidRDefault="002A64F1" w14:paraId="4125FC93" w14:textId="77777777">
      <w:pPr>
        <w:widowControl w:val="0"/>
        <w:ind w:left="1080"/>
        <w:rPr>
          <w:rFonts w:ascii="Arial" w:hAnsi="Arial"/>
          <w:sz w:val="22"/>
          <w:u w:val="single"/>
        </w:rPr>
      </w:pPr>
    </w:p>
    <w:p w:rsidRPr="00584FF0" w:rsidR="002A64F1" w:rsidP="00574DC2" w:rsidRDefault="002A64F1" w14:paraId="69577242" w14:textId="7B978893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Effort </w:t>
      </w:r>
      <w:r w:rsidR="00A7317B">
        <w:rPr>
          <w:rFonts w:ascii="Arial" w:hAnsi="Arial"/>
          <w:sz w:val="22"/>
          <w:u w:val="single"/>
        </w:rPr>
        <w:t>t</w:t>
      </w:r>
      <w:r>
        <w:rPr>
          <w:rFonts w:ascii="Arial" w:hAnsi="Arial"/>
          <w:sz w:val="22"/>
          <w:u w:val="single"/>
        </w:rPr>
        <w:t>o Reduce Small Business Burden</w:t>
      </w:r>
    </w:p>
    <w:p w:rsidR="00295331" w:rsidP="00674F6E" w:rsidRDefault="00295331" w14:paraId="5AC74C87" w14:textId="77777777">
      <w:pPr>
        <w:widowControl w:val="0"/>
        <w:ind w:left="1080"/>
        <w:rPr>
          <w:rFonts w:ascii="Arial" w:hAnsi="Arial"/>
          <w:sz w:val="22"/>
        </w:rPr>
      </w:pPr>
    </w:p>
    <w:p w:rsidRPr="00295331" w:rsidR="00584FF0" w:rsidP="00574DC2" w:rsidRDefault="00801373" w14:paraId="2ACFCF3B" w14:textId="5DA1E895">
      <w:pPr>
        <w:widowControl w:val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This </w:t>
      </w:r>
      <w:r w:rsidR="00FA662A">
        <w:rPr>
          <w:rFonts w:ascii="Arial" w:hAnsi="Arial"/>
          <w:sz w:val="22"/>
        </w:rPr>
        <w:t>final</w:t>
      </w:r>
      <w:r>
        <w:rPr>
          <w:rFonts w:ascii="Arial" w:hAnsi="Arial"/>
          <w:sz w:val="22"/>
        </w:rPr>
        <w:t xml:space="preserve"> rule affects n</w:t>
      </w:r>
      <w:r w:rsidR="00295331">
        <w:rPr>
          <w:rFonts w:ascii="Arial" w:hAnsi="Arial"/>
          <w:sz w:val="22"/>
        </w:rPr>
        <w:t>o small businesses.</w:t>
      </w:r>
    </w:p>
    <w:p w:rsidR="00871148" w:rsidP="00674F6E" w:rsidRDefault="00871148" w14:paraId="014DCB67" w14:textId="77777777">
      <w:pPr>
        <w:widowControl w:val="0"/>
        <w:ind w:left="1080"/>
        <w:rPr>
          <w:rFonts w:ascii="Arial" w:hAnsi="Arial"/>
          <w:sz w:val="22"/>
        </w:rPr>
      </w:pPr>
    </w:p>
    <w:p w:rsidR="002A64F1" w:rsidP="00574DC2" w:rsidRDefault="002A64F1" w14:paraId="2080CE0A" w14:textId="6F30D9DF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Consequences to Federal Program or Policy Activities </w:t>
      </w:r>
      <w:r w:rsidR="00801373">
        <w:rPr>
          <w:rFonts w:ascii="Arial" w:hAnsi="Arial"/>
          <w:sz w:val="22"/>
          <w:u w:val="single"/>
        </w:rPr>
        <w:t>I</w:t>
      </w:r>
      <w:r>
        <w:rPr>
          <w:rFonts w:ascii="Arial" w:hAnsi="Arial"/>
          <w:sz w:val="22"/>
          <w:u w:val="single"/>
        </w:rPr>
        <w:t>f the Collection Is Not Conducted or Is Conducted Less Frequently</w:t>
      </w:r>
    </w:p>
    <w:p w:rsidR="000D175A" w:rsidP="00871148" w:rsidRDefault="000D175A" w14:paraId="086D2224" w14:textId="77777777">
      <w:pPr>
        <w:widowControl w:val="0"/>
        <w:ind w:left="1080"/>
        <w:rPr>
          <w:rFonts w:ascii="Arial" w:hAnsi="Arial"/>
          <w:sz w:val="22"/>
        </w:rPr>
      </w:pPr>
    </w:p>
    <w:p w:rsidR="00B33840" w:rsidP="05A097D9" w:rsidRDefault="00A75E82" w14:paraId="5DC36926" w14:textId="09FB9B1C">
      <w:pPr>
        <w:ind w:left="1440"/>
        <w:rPr>
          <w:rFonts w:ascii="Arial" w:hAnsi="Arial"/>
          <w:sz w:val="22"/>
          <w:szCs w:val="22"/>
        </w:rPr>
      </w:pPr>
      <w:r w:rsidRPr="05A097D9">
        <w:rPr>
          <w:rFonts w:ascii="Arial" w:hAnsi="Arial"/>
          <w:sz w:val="22"/>
          <w:szCs w:val="22"/>
        </w:rPr>
        <w:t xml:space="preserve">If the NRC did not periodically update and incorporate by reference the </w:t>
      </w:r>
      <w:r w:rsidRPr="05A097D9" w:rsidR="00915FA2">
        <w:rPr>
          <w:rFonts w:ascii="Arial" w:hAnsi="Arial"/>
          <w:sz w:val="22"/>
          <w:szCs w:val="22"/>
        </w:rPr>
        <w:t>RGs</w:t>
      </w:r>
      <w:r w:rsidRPr="05A097D9" w:rsidR="00B33840">
        <w:rPr>
          <w:rFonts w:ascii="Arial" w:hAnsi="Arial"/>
          <w:sz w:val="22"/>
          <w:szCs w:val="22"/>
        </w:rPr>
        <w:t xml:space="preserve"> listing acceptable, conditionally acceptable, or unaccept</w:t>
      </w:r>
      <w:r w:rsidRPr="05A097D9">
        <w:rPr>
          <w:rFonts w:ascii="Arial" w:hAnsi="Arial"/>
          <w:sz w:val="22"/>
          <w:szCs w:val="22"/>
        </w:rPr>
        <w:t xml:space="preserve">able new Code Cases, licensees would be obligated to </w:t>
      </w:r>
      <w:r w:rsidRPr="05A097D9" w:rsidR="00B33840">
        <w:rPr>
          <w:rFonts w:ascii="Arial" w:hAnsi="Arial"/>
          <w:sz w:val="22"/>
          <w:szCs w:val="22"/>
        </w:rPr>
        <w:t xml:space="preserve">use </w:t>
      </w:r>
      <w:r w:rsidRPr="05A097D9">
        <w:rPr>
          <w:rFonts w:ascii="Arial" w:hAnsi="Arial"/>
          <w:sz w:val="22"/>
          <w:szCs w:val="22"/>
        </w:rPr>
        <w:t xml:space="preserve">the </w:t>
      </w:r>
      <w:r w:rsidRPr="05A097D9" w:rsidR="00295331">
        <w:rPr>
          <w:rFonts w:ascii="Arial" w:hAnsi="Arial"/>
          <w:sz w:val="22"/>
          <w:szCs w:val="22"/>
        </w:rPr>
        <w:t>alternative</w:t>
      </w:r>
      <w:r w:rsidRPr="05A097D9" w:rsidR="00B33840">
        <w:rPr>
          <w:rFonts w:ascii="Arial" w:hAnsi="Arial"/>
          <w:sz w:val="22"/>
          <w:szCs w:val="22"/>
        </w:rPr>
        <w:t xml:space="preserve"> request process if they want</w:t>
      </w:r>
      <w:r w:rsidRPr="05A097D9">
        <w:rPr>
          <w:rFonts w:ascii="Arial" w:hAnsi="Arial"/>
          <w:sz w:val="22"/>
          <w:szCs w:val="22"/>
        </w:rPr>
        <w:t>ed</w:t>
      </w:r>
      <w:r w:rsidRPr="05A097D9" w:rsidR="00B33840">
        <w:rPr>
          <w:rFonts w:ascii="Arial" w:hAnsi="Arial"/>
          <w:sz w:val="22"/>
          <w:szCs w:val="22"/>
        </w:rPr>
        <w:t xml:space="preserve"> to use new ASME</w:t>
      </w:r>
      <w:r w:rsidRPr="05A097D9" w:rsidR="25BDA76C">
        <w:rPr>
          <w:rFonts w:ascii="Arial" w:hAnsi="Arial"/>
          <w:sz w:val="22"/>
          <w:szCs w:val="22"/>
        </w:rPr>
        <w:t>-</w:t>
      </w:r>
      <w:r w:rsidR="00801373">
        <w:rPr>
          <w:rFonts w:ascii="Arial" w:hAnsi="Arial"/>
          <w:sz w:val="22"/>
        </w:rPr>
        <w:noBreakHyphen/>
      </w:r>
      <w:r w:rsidRPr="05A097D9" w:rsidR="00B33840">
        <w:rPr>
          <w:rFonts w:ascii="Arial" w:hAnsi="Arial"/>
          <w:sz w:val="22"/>
          <w:szCs w:val="22"/>
        </w:rPr>
        <w:t>approved Code Cases</w:t>
      </w:r>
      <w:r w:rsidRPr="05A097D9" w:rsidR="00295331">
        <w:rPr>
          <w:rFonts w:ascii="Arial" w:hAnsi="Arial"/>
          <w:sz w:val="22"/>
          <w:szCs w:val="22"/>
        </w:rPr>
        <w:t xml:space="preserve">.  This process would be more burdensome </w:t>
      </w:r>
      <w:r w:rsidRPr="05A097D9" w:rsidR="00801373">
        <w:rPr>
          <w:rFonts w:ascii="Arial" w:hAnsi="Arial"/>
          <w:sz w:val="22"/>
          <w:szCs w:val="22"/>
        </w:rPr>
        <w:t xml:space="preserve">for </w:t>
      </w:r>
      <w:r w:rsidRPr="05A097D9" w:rsidR="00295331">
        <w:rPr>
          <w:rFonts w:ascii="Arial" w:hAnsi="Arial"/>
          <w:sz w:val="22"/>
          <w:szCs w:val="22"/>
        </w:rPr>
        <w:t>both the license</w:t>
      </w:r>
      <w:r w:rsidRPr="05A097D9">
        <w:rPr>
          <w:rFonts w:ascii="Arial" w:hAnsi="Arial"/>
          <w:sz w:val="22"/>
          <w:szCs w:val="22"/>
        </w:rPr>
        <w:t>e</w:t>
      </w:r>
      <w:r w:rsidRPr="05A097D9" w:rsidR="007D48F4">
        <w:rPr>
          <w:rFonts w:ascii="Arial" w:hAnsi="Arial"/>
          <w:sz w:val="22"/>
          <w:szCs w:val="22"/>
        </w:rPr>
        <w:t>s</w:t>
      </w:r>
      <w:r w:rsidRPr="05A097D9">
        <w:rPr>
          <w:rFonts w:ascii="Arial" w:hAnsi="Arial"/>
          <w:sz w:val="22"/>
          <w:szCs w:val="22"/>
        </w:rPr>
        <w:t xml:space="preserve"> and the NRC.</w:t>
      </w:r>
    </w:p>
    <w:p w:rsidR="00CE360F" w:rsidP="00871148" w:rsidRDefault="00CE360F" w14:paraId="2CA5C37D" w14:textId="77777777">
      <w:pPr>
        <w:widowControl w:val="0"/>
        <w:ind w:left="1080"/>
        <w:rPr>
          <w:rFonts w:ascii="Arial" w:hAnsi="Arial"/>
          <w:sz w:val="22"/>
        </w:rPr>
      </w:pPr>
    </w:p>
    <w:p w:rsidR="002A64F1" w:rsidP="00574DC2" w:rsidRDefault="002A64F1" w14:paraId="6E496B1F" w14:textId="5686AABB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Circumstances </w:t>
      </w:r>
      <w:r w:rsidR="00801373">
        <w:rPr>
          <w:rFonts w:ascii="Arial" w:hAnsi="Arial"/>
          <w:sz w:val="22"/>
          <w:u w:val="single"/>
        </w:rPr>
        <w:t xml:space="preserve">that </w:t>
      </w:r>
      <w:r>
        <w:rPr>
          <w:rFonts w:ascii="Arial" w:hAnsi="Arial"/>
          <w:sz w:val="22"/>
          <w:u w:val="single"/>
        </w:rPr>
        <w:t xml:space="preserve">Justify Variation from </w:t>
      </w:r>
      <w:r w:rsidR="00801373">
        <w:rPr>
          <w:rFonts w:ascii="Arial" w:hAnsi="Arial"/>
          <w:sz w:val="22"/>
          <w:u w:val="single"/>
        </w:rPr>
        <w:t xml:space="preserve">Office of Management and Budget </w:t>
      </w:r>
      <w:r>
        <w:rPr>
          <w:rFonts w:ascii="Arial" w:hAnsi="Arial"/>
          <w:sz w:val="22"/>
          <w:u w:val="single"/>
        </w:rPr>
        <w:t>Guidelines</w:t>
      </w:r>
    </w:p>
    <w:p w:rsidR="000D017F" w:rsidP="000D017F" w:rsidRDefault="000D017F" w14:paraId="119F86DD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Pr="00295331" w:rsidR="000D017F" w:rsidP="00574DC2" w:rsidRDefault="00295331" w14:paraId="300596D7" w14:textId="0750A6F2">
      <w:pPr>
        <w:widowControl w:val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There are no variations from </w:t>
      </w:r>
      <w:r w:rsidR="00801373">
        <w:rPr>
          <w:rFonts w:ascii="Arial" w:hAnsi="Arial"/>
          <w:sz w:val="22"/>
        </w:rPr>
        <w:t xml:space="preserve">Office of Management and Budget </w:t>
      </w:r>
      <w:r w:rsidR="00504AC9">
        <w:rPr>
          <w:rFonts w:ascii="Arial" w:hAnsi="Arial"/>
          <w:sz w:val="22"/>
        </w:rPr>
        <w:t xml:space="preserve">(OMB) </w:t>
      </w:r>
      <w:r>
        <w:rPr>
          <w:rFonts w:ascii="Arial" w:hAnsi="Arial"/>
          <w:sz w:val="22"/>
        </w:rPr>
        <w:t>guidelines.</w:t>
      </w:r>
    </w:p>
    <w:p w:rsidR="00871148" w:rsidP="008A04DB" w:rsidRDefault="00871148" w14:paraId="617885AD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Pr="002A64F1" w:rsidR="002A64F1" w:rsidP="00574DC2" w:rsidRDefault="002A64F1" w14:paraId="67AD3A4D" w14:textId="77777777">
      <w:pPr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Consultations Outside the NRC</w:t>
      </w:r>
    </w:p>
    <w:p w:rsidR="002A64F1" w:rsidP="008A04DB" w:rsidRDefault="002A64F1" w14:paraId="7BA290DC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Pr="002006D4" w:rsidR="008513FC" w:rsidP="00574DC2" w:rsidRDefault="00AB2F36" w14:paraId="269C2F8D" w14:textId="42257CF7">
      <w:pPr>
        <w:ind w:left="1440"/>
        <w:rPr>
          <w:rFonts w:ascii="Arial" w:hAnsi="Arial"/>
          <w:strike/>
          <w:sz w:val="22"/>
          <w:szCs w:val="22"/>
        </w:rPr>
      </w:pPr>
      <w:r w:rsidRPr="2745AAA1">
        <w:rPr>
          <w:rFonts w:ascii="Arial" w:hAnsi="Arial"/>
          <w:sz w:val="22"/>
          <w:szCs w:val="22"/>
        </w:rPr>
        <w:t xml:space="preserve">Opportunity for public comment on the information collection requirements </w:t>
      </w:r>
      <w:r w:rsidR="002A5F82">
        <w:rPr>
          <w:rFonts w:ascii="Arial" w:hAnsi="Arial"/>
          <w:sz w:val="22"/>
          <w:szCs w:val="22"/>
        </w:rPr>
        <w:t>was</w:t>
      </w:r>
      <w:r w:rsidRPr="2745AAA1">
        <w:rPr>
          <w:rFonts w:ascii="Arial" w:hAnsi="Arial"/>
          <w:sz w:val="22"/>
          <w:szCs w:val="22"/>
        </w:rPr>
        <w:t xml:space="preserve"> published in the </w:t>
      </w:r>
      <w:r w:rsidRPr="2745AAA1">
        <w:rPr>
          <w:rFonts w:ascii="Arial" w:hAnsi="Arial"/>
          <w:i/>
          <w:sz w:val="22"/>
          <w:szCs w:val="22"/>
        </w:rPr>
        <w:t>Federal Register</w:t>
      </w:r>
      <w:r w:rsidR="005D327E">
        <w:rPr>
          <w:rFonts w:ascii="Arial" w:hAnsi="Arial"/>
          <w:i/>
          <w:sz w:val="22"/>
          <w:szCs w:val="22"/>
        </w:rPr>
        <w:t xml:space="preserve"> </w:t>
      </w:r>
      <w:r w:rsidR="005D327E">
        <w:rPr>
          <w:rFonts w:ascii="Arial" w:hAnsi="Arial"/>
          <w:iCs/>
          <w:sz w:val="22"/>
          <w:szCs w:val="22"/>
        </w:rPr>
        <w:t>on Feb</w:t>
      </w:r>
      <w:r w:rsidR="006144AA">
        <w:rPr>
          <w:rFonts w:ascii="Arial" w:hAnsi="Arial"/>
          <w:iCs/>
          <w:sz w:val="22"/>
          <w:szCs w:val="22"/>
        </w:rPr>
        <w:t xml:space="preserve">ruary </w:t>
      </w:r>
      <w:r w:rsidR="00B2182D">
        <w:rPr>
          <w:rFonts w:ascii="Arial" w:hAnsi="Arial"/>
          <w:iCs/>
          <w:sz w:val="22"/>
          <w:szCs w:val="22"/>
        </w:rPr>
        <w:t>2, 2021 (</w:t>
      </w:r>
      <w:r w:rsidRPr="00457747" w:rsidR="00B2182D">
        <w:rPr>
          <w:rFonts w:ascii="Arial" w:hAnsi="Arial" w:cs="Arial"/>
        </w:rPr>
        <w:t>86 FR 7820</w:t>
      </w:r>
      <w:r w:rsidR="00B2182D">
        <w:rPr>
          <w:rFonts w:ascii="Arial" w:hAnsi="Arial" w:cs="Arial"/>
        </w:rPr>
        <w:t>)</w:t>
      </w:r>
      <w:r w:rsidR="00B1040F">
        <w:rPr>
          <w:rFonts w:ascii="Arial" w:hAnsi="Arial"/>
          <w:i/>
          <w:sz w:val="22"/>
          <w:szCs w:val="22"/>
        </w:rPr>
        <w:t>.</w:t>
      </w:r>
      <w:r w:rsidR="00A93DAC">
        <w:rPr>
          <w:rFonts w:ascii="Arial" w:hAnsi="Arial"/>
          <w:sz w:val="22"/>
          <w:szCs w:val="22"/>
        </w:rPr>
        <w:t xml:space="preserve">  </w:t>
      </w:r>
      <w:r w:rsidR="00300E19">
        <w:rPr>
          <w:rFonts w:ascii="Arial" w:hAnsi="Arial"/>
          <w:sz w:val="22"/>
          <w:szCs w:val="22"/>
        </w:rPr>
        <w:t xml:space="preserve">The NRC received 12 </w:t>
      </w:r>
      <w:r w:rsidR="000C0BB1">
        <w:rPr>
          <w:rFonts w:ascii="Arial" w:hAnsi="Arial"/>
          <w:sz w:val="22"/>
          <w:szCs w:val="22"/>
        </w:rPr>
        <w:t xml:space="preserve">public </w:t>
      </w:r>
      <w:r w:rsidR="00300E19">
        <w:rPr>
          <w:rFonts w:ascii="Arial" w:hAnsi="Arial"/>
          <w:sz w:val="22"/>
          <w:szCs w:val="22"/>
        </w:rPr>
        <w:t>comment submissions on the proposed rule and draft RGs</w:t>
      </w:r>
      <w:r w:rsidR="00A13C4F">
        <w:rPr>
          <w:rFonts w:ascii="Arial" w:hAnsi="Arial"/>
          <w:sz w:val="22"/>
          <w:szCs w:val="22"/>
        </w:rPr>
        <w:t xml:space="preserve">.  </w:t>
      </w:r>
      <w:r w:rsidR="00A7346B">
        <w:rPr>
          <w:rFonts w:ascii="Arial" w:hAnsi="Arial"/>
          <w:sz w:val="22"/>
          <w:szCs w:val="22"/>
        </w:rPr>
        <w:t xml:space="preserve">The NRC addressed </w:t>
      </w:r>
      <w:r w:rsidR="00A13C4F">
        <w:rPr>
          <w:rFonts w:ascii="Arial" w:hAnsi="Arial"/>
          <w:sz w:val="22"/>
          <w:szCs w:val="22"/>
        </w:rPr>
        <w:t xml:space="preserve">all </w:t>
      </w:r>
      <w:r w:rsidR="004B08AE">
        <w:rPr>
          <w:rFonts w:ascii="Arial" w:hAnsi="Arial"/>
          <w:sz w:val="22"/>
          <w:szCs w:val="22"/>
        </w:rPr>
        <w:t>public comments</w:t>
      </w:r>
      <w:r w:rsidR="00FF4251">
        <w:rPr>
          <w:rFonts w:ascii="Arial" w:hAnsi="Arial"/>
          <w:sz w:val="22"/>
          <w:szCs w:val="22"/>
        </w:rPr>
        <w:t xml:space="preserve"> </w:t>
      </w:r>
      <w:r w:rsidR="00A7346B">
        <w:rPr>
          <w:rFonts w:ascii="Arial" w:hAnsi="Arial"/>
          <w:sz w:val="22"/>
          <w:szCs w:val="22"/>
        </w:rPr>
        <w:t>in a separate docu</w:t>
      </w:r>
      <w:r w:rsidR="00B15569">
        <w:rPr>
          <w:rFonts w:ascii="Arial" w:hAnsi="Arial"/>
          <w:sz w:val="22"/>
          <w:szCs w:val="22"/>
        </w:rPr>
        <w:t>ment, “NRC Response to Public Comments</w:t>
      </w:r>
      <w:r w:rsidR="007D16F4">
        <w:rPr>
          <w:rFonts w:ascii="Arial" w:hAnsi="Arial"/>
          <w:sz w:val="22"/>
          <w:szCs w:val="22"/>
        </w:rPr>
        <w:t xml:space="preserve"> Final Rule: Approval of American Society of Mechanical Engineers’ Code Cases”</w:t>
      </w:r>
      <w:r w:rsidR="00AF4353">
        <w:rPr>
          <w:rFonts w:ascii="Arial" w:hAnsi="Arial"/>
          <w:sz w:val="22"/>
          <w:szCs w:val="22"/>
        </w:rPr>
        <w:t xml:space="preserve"> as listed in the Availability of Documents section in </w:t>
      </w:r>
      <w:r w:rsidR="00381239">
        <w:rPr>
          <w:rFonts w:ascii="Arial" w:hAnsi="Arial"/>
          <w:sz w:val="22"/>
          <w:szCs w:val="22"/>
        </w:rPr>
        <w:t xml:space="preserve">the </w:t>
      </w:r>
      <w:r w:rsidR="007840C5">
        <w:rPr>
          <w:rFonts w:ascii="Arial" w:hAnsi="Arial"/>
          <w:sz w:val="22"/>
          <w:szCs w:val="22"/>
        </w:rPr>
        <w:t xml:space="preserve">Federal Register </w:t>
      </w:r>
      <w:r w:rsidR="00381239">
        <w:rPr>
          <w:rFonts w:ascii="Arial" w:hAnsi="Arial"/>
          <w:sz w:val="22"/>
          <w:szCs w:val="22"/>
        </w:rPr>
        <w:t>n</w:t>
      </w:r>
      <w:r w:rsidR="007840C5">
        <w:rPr>
          <w:rFonts w:ascii="Arial" w:hAnsi="Arial"/>
          <w:sz w:val="22"/>
          <w:szCs w:val="22"/>
        </w:rPr>
        <w:t>otice.</w:t>
      </w:r>
    </w:p>
    <w:p w:rsidR="00B87051" w:rsidP="008513FC" w:rsidRDefault="00B87051" w14:paraId="50D8EFCA" w14:textId="77777777">
      <w:pPr>
        <w:ind w:left="1080"/>
        <w:rPr>
          <w:rFonts w:ascii="Arial" w:hAnsi="Arial"/>
          <w:sz w:val="22"/>
          <w:u w:val="single"/>
        </w:rPr>
      </w:pPr>
    </w:p>
    <w:p w:rsidRPr="000D017F" w:rsidR="002A64F1" w:rsidP="00574DC2" w:rsidRDefault="002A64F1" w14:paraId="2D7401BC" w14:textId="77777777">
      <w:pPr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Payment or Gift to Respondents</w:t>
      </w:r>
    </w:p>
    <w:p w:rsidR="000D017F" w:rsidP="00561EB5" w:rsidRDefault="000D017F" w14:paraId="56734B9B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="000D017F" w:rsidP="00574DC2" w:rsidRDefault="00295331" w14:paraId="20286FFF" w14:textId="30AFD5A3">
      <w:p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Not applicable.</w:t>
      </w:r>
    </w:p>
    <w:p w:rsidRPr="00295331" w:rsidR="005B1184" w:rsidP="00574DC2" w:rsidRDefault="005B1184" w14:paraId="64A39EE9" w14:textId="77777777">
      <w:pPr>
        <w:ind w:left="1440"/>
        <w:rPr>
          <w:rFonts w:ascii="Arial" w:hAnsi="Arial"/>
          <w:sz w:val="22"/>
        </w:rPr>
      </w:pPr>
    </w:p>
    <w:p w:rsidR="000D017F" w:rsidP="00561EB5" w:rsidRDefault="000D017F" w14:paraId="4A5D58B0" w14:textId="77777777">
      <w:pPr>
        <w:widowControl w:val="0"/>
        <w:ind w:left="360" w:firstLine="720"/>
        <w:rPr>
          <w:rFonts w:ascii="Arial" w:hAnsi="Arial"/>
          <w:sz w:val="22"/>
        </w:rPr>
      </w:pPr>
    </w:p>
    <w:p w:rsidRPr="002A64F1" w:rsidR="002A64F1" w:rsidP="00574DC2" w:rsidRDefault="002A64F1" w14:paraId="7A20239D" w14:textId="77777777">
      <w:pPr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lastRenderedPageBreak/>
        <w:t>Confidentiality of Information</w:t>
      </w:r>
    </w:p>
    <w:p w:rsidR="002A64F1" w:rsidP="0003585D" w:rsidRDefault="002A64F1" w14:paraId="3E032968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="00D871AC" w:rsidP="00574DC2" w:rsidRDefault="00D871AC" w14:paraId="1A585FDD" w14:textId="77777777">
      <w:pPr>
        <w:widowControl w:val="0"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Confidential and proprietary information is protected in accordance with NRC regulations at 10 CFR 9.17(a) and 10 CFR 2.390(b).</w:t>
      </w:r>
      <w:r w:rsidR="00295331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However, no information normally considered confidential or proprietary is requested.</w:t>
      </w:r>
    </w:p>
    <w:p w:rsidR="007C1FD9" w:rsidP="0003585D" w:rsidRDefault="007C1FD9" w14:paraId="4B625609" w14:textId="77777777">
      <w:pPr>
        <w:widowControl w:val="0"/>
        <w:ind w:left="360" w:firstLine="720"/>
        <w:rPr>
          <w:rFonts w:ascii="Arial" w:hAnsi="Arial"/>
          <w:sz w:val="22"/>
        </w:rPr>
      </w:pPr>
    </w:p>
    <w:p w:rsidRPr="007C1FD9" w:rsidR="002A64F1" w:rsidP="00574DC2" w:rsidRDefault="002A64F1" w14:paraId="168B6C51" w14:textId="77777777">
      <w:pPr>
        <w:pStyle w:val="ListParagraph"/>
        <w:keepNext/>
        <w:keepLines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 w:rsidRPr="007C1FD9">
        <w:rPr>
          <w:rFonts w:ascii="Arial" w:hAnsi="Arial"/>
          <w:sz w:val="22"/>
          <w:u w:val="single"/>
        </w:rPr>
        <w:t>Justification for Sensitive Questions</w:t>
      </w:r>
    </w:p>
    <w:p w:rsidR="000D017F" w:rsidP="00574DC2" w:rsidRDefault="000D017F" w14:paraId="7DC7191E" w14:textId="77777777">
      <w:pPr>
        <w:keepNext/>
        <w:keepLines/>
        <w:ind w:left="360" w:firstLine="720"/>
        <w:rPr>
          <w:rFonts w:ascii="Arial" w:hAnsi="Arial"/>
          <w:sz w:val="22"/>
          <w:u w:val="single"/>
        </w:rPr>
      </w:pPr>
    </w:p>
    <w:p w:rsidRPr="002A64F1" w:rsidR="000D017F" w:rsidP="00574DC2" w:rsidRDefault="00295331" w14:paraId="5A1B8EDB" w14:textId="77777777">
      <w:pPr>
        <w:keepNext/>
        <w:keepLines/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Not applicable.</w:t>
      </w:r>
    </w:p>
    <w:p w:rsidR="00295331" w:rsidP="0003585D" w:rsidRDefault="00295331" w14:paraId="6E44443E" w14:textId="77777777">
      <w:pPr>
        <w:widowControl w:val="0"/>
        <w:ind w:left="360" w:firstLine="720"/>
        <w:rPr>
          <w:rFonts w:ascii="Arial" w:hAnsi="Arial"/>
          <w:sz w:val="22"/>
        </w:rPr>
      </w:pPr>
    </w:p>
    <w:p w:rsidRPr="00AA27AB" w:rsidR="002A64F1" w:rsidP="00574DC2" w:rsidRDefault="002A64F1" w14:paraId="4BFAF2D0" w14:textId="77777777">
      <w:pPr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Estimated Burden and Burden Hour Cost</w:t>
      </w:r>
    </w:p>
    <w:p w:rsidR="00AA27AB" w:rsidP="0003585D" w:rsidRDefault="00AA27AB" w14:paraId="7541EBCD" w14:textId="77777777">
      <w:pPr>
        <w:widowControl w:val="0"/>
        <w:ind w:left="360" w:firstLine="720"/>
        <w:rPr>
          <w:rFonts w:ascii="Arial" w:hAnsi="Arial"/>
          <w:sz w:val="22"/>
          <w:u w:val="single"/>
        </w:rPr>
      </w:pPr>
    </w:p>
    <w:p w:rsidRPr="004F4364" w:rsidR="00295331" w:rsidP="05A097D9" w:rsidRDefault="004F4364" w14:paraId="7D001A4B" w14:textId="01AF2E09">
      <w:pPr>
        <w:ind w:left="1440"/>
        <w:rPr>
          <w:rFonts w:ascii="Arial" w:hAnsi="Arial"/>
          <w:sz w:val="22"/>
          <w:szCs w:val="22"/>
        </w:rPr>
      </w:pPr>
      <w:r w:rsidRPr="05A097D9">
        <w:rPr>
          <w:rFonts w:ascii="Arial" w:hAnsi="Arial"/>
          <w:sz w:val="22"/>
          <w:szCs w:val="22"/>
        </w:rPr>
        <w:t xml:space="preserve">This </w:t>
      </w:r>
      <w:r w:rsidR="008B725F">
        <w:rPr>
          <w:rFonts w:ascii="Arial" w:hAnsi="Arial"/>
          <w:sz w:val="22"/>
          <w:szCs w:val="22"/>
        </w:rPr>
        <w:t>final</w:t>
      </w:r>
      <w:r w:rsidRPr="05A097D9" w:rsidR="00AB2F36">
        <w:rPr>
          <w:rFonts w:ascii="Arial" w:hAnsi="Arial"/>
          <w:sz w:val="22"/>
          <w:szCs w:val="22"/>
        </w:rPr>
        <w:t xml:space="preserve"> </w:t>
      </w:r>
      <w:r w:rsidRPr="05A097D9" w:rsidR="008513FC">
        <w:rPr>
          <w:rFonts w:ascii="Arial" w:hAnsi="Arial"/>
          <w:sz w:val="22"/>
          <w:szCs w:val="22"/>
        </w:rPr>
        <w:t>rule</w:t>
      </w:r>
      <w:r w:rsidRPr="05A097D9">
        <w:rPr>
          <w:rFonts w:ascii="Arial" w:hAnsi="Arial"/>
          <w:sz w:val="22"/>
          <w:szCs w:val="22"/>
        </w:rPr>
        <w:t xml:space="preserve"> allow</w:t>
      </w:r>
      <w:r w:rsidR="00F86FEF">
        <w:rPr>
          <w:rFonts w:ascii="Arial" w:hAnsi="Arial"/>
          <w:sz w:val="22"/>
          <w:szCs w:val="22"/>
        </w:rPr>
        <w:t>s</w:t>
      </w:r>
      <w:r w:rsidRPr="05A097D9">
        <w:rPr>
          <w:rFonts w:ascii="Arial" w:hAnsi="Arial"/>
          <w:sz w:val="22"/>
          <w:szCs w:val="22"/>
        </w:rPr>
        <w:t xml:space="preserve"> licensees to apply the Code Cases listed in the RGs as </w:t>
      </w:r>
      <w:r w:rsidRPr="05A097D9" w:rsidR="00915FA2">
        <w:rPr>
          <w:rFonts w:ascii="Arial" w:hAnsi="Arial"/>
          <w:sz w:val="22"/>
          <w:szCs w:val="22"/>
        </w:rPr>
        <w:t xml:space="preserve">voluntary </w:t>
      </w:r>
      <w:r w:rsidRPr="05A097D9">
        <w:rPr>
          <w:rFonts w:ascii="Arial" w:hAnsi="Arial"/>
          <w:sz w:val="22"/>
          <w:szCs w:val="22"/>
        </w:rPr>
        <w:t>alternatives to requirements in the ASME BPV Code and ASME OM Code without a req</w:t>
      </w:r>
      <w:r w:rsidRPr="05A097D9" w:rsidR="00915FA2">
        <w:rPr>
          <w:rFonts w:ascii="Arial" w:hAnsi="Arial"/>
          <w:sz w:val="22"/>
          <w:szCs w:val="22"/>
        </w:rPr>
        <w:t>uest for the use of an alternative</w:t>
      </w:r>
      <w:r w:rsidRPr="05A097D9">
        <w:rPr>
          <w:rFonts w:ascii="Arial" w:hAnsi="Arial"/>
          <w:sz w:val="22"/>
          <w:szCs w:val="22"/>
        </w:rPr>
        <w:t xml:space="preserve"> or an exemption.  The NRC estimates that this action will result in a reduction in the number of </w:t>
      </w:r>
      <w:proofErr w:type="gramStart"/>
      <w:r w:rsidRPr="05A097D9">
        <w:rPr>
          <w:rFonts w:ascii="Arial" w:hAnsi="Arial"/>
          <w:sz w:val="22"/>
          <w:szCs w:val="22"/>
        </w:rPr>
        <w:t>plant</w:t>
      </w:r>
      <w:proofErr w:type="gramEnd"/>
      <w:r w:rsidR="00801373">
        <w:rPr>
          <w:rFonts w:ascii="Arial" w:hAnsi="Arial"/>
          <w:sz w:val="22"/>
        </w:rPr>
        <w:noBreakHyphen/>
      </w:r>
      <w:r w:rsidRPr="05A097D9">
        <w:rPr>
          <w:rFonts w:ascii="Arial" w:hAnsi="Arial"/>
          <w:sz w:val="22"/>
          <w:szCs w:val="22"/>
        </w:rPr>
        <w:t>specific requests for a</w:t>
      </w:r>
      <w:r w:rsidRPr="05A097D9" w:rsidR="0006251D">
        <w:rPr>
          <w:rFonts w:ascii="Arial" w:hAnsi="Arial"/>
          <w:sz w:val="22"/>
          <w:szCs w:val="22"/>
        </w:rPr>
        <w:t>lternatives in accordance with 10</w:t>
      </w:r>
      <w:r w:rsidRPr="05A097D9" w:rsidR="00801373">
        <w:rPr>
          <w:rFonts w:ascii="Arial" w:hAnsi="Arial"/>
          <w:sz w:val="22"/>
          <w:szCs w:val="22"/>
        </w:rPr>
        <w:t> </w:t>
      </w:r>
      <w:r w:rsidRPr="05A097D9" w:rsidR="0006251D">
        <w:rPr>
          <w:rFonts w:ascii="Arial" w:hAnsi="Arial"/>
          <w:sz w:val="22"/>
          <w:szCs w:val="22"/>
        </w:rPr>
        <w:t>CFR</w:t>
      </w:r>
      <w:r w:rsidRPr="05A097D9" w:rsidR="00801373">
        <w:rPr>
          <w:rFonts w:ascii="Arial" w:hAnsi="Arial"/>
          <w:sz w:val="22"/>
          <w:szCs w:val="22"/>
        </w:rPr>
        <w:t> </w:t>
      </w:r>
      <w:r w:rsidRPr="05A097D9">
        <w:rPr>
          <w:rFonts w:ascii="Arial" w:hAnsi="Arial"/>
          <w:sz w:val="22"/>
          <w:szCs w:val="22"/>
        </w:rPr>
        <w:t>50.55a(</w:t>
      </w:r>
      <w:r w:rsidRPr="05A097D9" w:rsidR="00426A8A">
        <w:rPr>
          <w:rFonts w:ascii="Arial" w:hAnsi="Arial"/>
          <w:sz w:val="22"/>
          <w:szCs w:val="22"/>
        </w:rPr>
        <w:t>z</w:t>
      </w:r>
      <w:r w:rsidRPr="05A097D9">
        <w:rPr>
          <w:rFonts w:ascii="Arial" w:hAnsi="Arial"/>
          <w:sz w:val="22"/>
          <w:szCs w:val="22"/>
        </w:rPr>
        <w:t>), because l</w:t>
      </w:r>
      <w:r w:rsidRPr="05A097D9" w:rsidR="000148CF">
        <w:rPr>
          <w:rFonts w:ascii="Arial" w:hAnsi="Arial"/>
          <w:sz w:val="22"/>
          <w:szCs w:val="22"/>
        </w:rPr>
        <w:t>icensees can use alternatives such as ASME</w:t>
      </w:r>
      <w:r w:rsidRPr="05A097D9" w:rsidR="007D48F4">
        <w:rPr>
          <w:rFonts w:ascii="Arial" w:hAnsi="Arial"/>
          <w:sz w:val="22"/>
          <w:szCs w:val="22"/>
        </w:rPr>
        <w:t>-</w:t>
      </w:r>
      <w:r w:rsidRPr="05A097D9" w:rsidR="000148CF">
        <w:rPr>
          <w:rFonts w:ascii="Arial" w:hAnsi="Arial"/>
          <w:sz w:val="22"/>
          <w:szCs w:val="22"/>
        </w:rPr>
        <w:t>approved new Code Cases incorporated</w:t>
      </w:r>
      <w:r w:rsidRPr="05A097D9" w:rsidR="00295331">
        <w:rPr>
          <w:rFonts w:ascii="Arial" w:hAnsi="Arial"/>
          <w:sz w:val="22"/>
          <w:szCs w:val="22"/>
        </w:rPr>
        <w:t xml:space="preserve"> by reference</w:t>
      </w:r>
      <w:r w:rsidRPr="05A097D9">
        <w:rPr>
          <w:rFonts w:ascii="Arial" w:hAnsi="Arial"/>
          <w:sz w:val="22"/>
          <w:szCs w:val="22"/>
        </w:rPr>
        <w:t xml:space="preserve"> in </w:t>
      </w:r>
      <w:r w:rsidRPr="05A097D9" w:rsidR="00915FA2">
        <w:rPr>
          <w:rFonts w:ascii="Arial" w:hAnsi="Arial"/>
          <w:sz w:val="22"/>
          <w:szCs w:val="22"/>
        </w:rPr>
        <w:t>10</w:t>
      </w:r>
      <w:r w:rsidRPr="05A097D9" w:rsidR="00801373">
        <w:rPr>
          <w:rFonts w:ascii="Arial" w:hAnsi="Arial"/>
          <w:sz w:val="22"/>
          <w:szCs w:val="22"/>
        </w:rPr>
        <w:t> </w:t>
      </w:r>
      <w:r w:rsidRPr="05A097D9" w:rsidR="00915FA2">
        <w:rPr>
          <w:rFonts w:ascii="Arial" w:hAnsi="Arial"/>
          <w:sz w:val="22"/>
          <w:szCs w:val="22"/>
        </w:rPr>
        <w:t>CFR</w:t>
      </w:r>
      <w:r w:rsidRPr="05A097D9" w:rsidR="00801373">
        <w:rPr>
          <w:rFonts w:ascii="Arial" w:hAnsi="Arial"/>
          <w:sz w:val="22"/>
          <w:szCs w:val="22"/>
        </w:rPr>
        <w:t> </w:t>
      </w:r>
      <w:r w:rsidRPr="05A097D9">
        <w:rPr>
          <w:rFonts w:ascii="Arial" w:hAnsi="Arial"/>
          <w:sz w:val="22"/>
          <w:szCs w:val="22"/>
        </w:rPr>
        <w:t>5</w:t>
      </w:r>
      <w:r w:rsidRPr="05A097D9" w:rsidR="000148CF">
        <w:rPr>
          <w:rFonts w:ascii="Arial" w:hAnsi="Arial"/>
          <w:sz w:val="22"/>
          <w:szCs w:val="22"/>
        </w:rPr>
        <w:t>0.55a without seeking</w:t>
      </w:r>
      <w:r w:rsidRPr="05A097D9" w:rsidR="00801373">
        <w:rPr>
          <w:rFonts w:ascii="Arial" w:hAnsi="Arial"/>
          <w:sz w:val="22"/>
          <w:szCs w:val="22"/>
        </w:rPr>
        <w:t xml:space="preserve"> the</w:t>
      </w:r>
      <w:r w:rsidRPr="05A097D9" w:rsidR="000148CF">
        <w:rPr>
          <w:rFonts w:ascii="Arial" w:hAnsi="Arial"/>
          <w:sz w:val="22"/>
          <w:szCs w:val="22"/>
        </w:rPr>
        <w:t xml:space="preserve"> NRC’s prior approval.</w:t>
      </w:r>
    </w:p>
    <w:p w:rsidR="00295331" w:rsidP="00574DC2" w:rsidRDefault="00295331" w14:paraId="07FDB526" w14:textId="77777777">
      <w:pPr>
        <w:ind w:left="1440"/>
        <w:rPr>
          <w:rFonts w:ascii="Arial" w:hAnsi="Arial"/>
          <w:sz w:val="22"/>
        </w:rPr>
      </w:pPr>
    </w:p>
    <w:p w:rsidR="006208D7" w:rsidP="00574DC2" w:rsidRDefault="00FE509F" w14:paraId="2B1B16B2" w14:textId="12241092">
      <w:pPr>
        <w:ind w:left="1440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A review of past Code Case alternative request submittals has determined that plant owners submit a Code Case alternative request that covers multiple units and multiple plant sites.  </w:t>
      </w:r>
      <w:r w:rsidRPr="00676B34" w:rsidR="00676B34">
        <w:rPr>
          <w:rFonts w:ascii="Arial" w:hAnsi="Arial" w:cs="Arial"/>
          <w:sz w:val="22"/>
          <w:szCs w:val="22"/>
        </w:rPr>
        <w:t xml:space="preserve">Based on annual </w:t>
      </w:r>
      <w:r w:rsidR="00BE032C">
        <w:rPr>
          <w:rFonts w:ascii="Arial" w:hAnsi="Arial" w:cs="Arial"/>
          <w:sz w:val="22"/>
          <w:szCs w:val="22"/>
        </w:rPr>
        <w:t>C</w:t>
      </w:r>
      <w:r w:rsidRPr="00676B34" w:rsidR="00676B34">
        <w:rPr>
          <w:rFonts w:ascii="Arial" w:hAnsi="Arial" w:cs="Arial"/>
          <w:sz w:val="22"/>
          <w:szCs w:val="22"/>
        </w:rPr>
        <w:t xml:space="preserve">ode </w:t>
      </w:r>
      <w:r w:rsidR="00BE032C">
        <w:rPr>
          <w:rFonts w:ascii="Arial" w:hAnsi="Arial" w:cs="Arial"/>
          <w:sz w:val="22"/>
          <w:szCs w:val="22"/>
        </w:rPr>
        <w:t>C</w:t>
      </w:r>
      <w:r w:rsidRPr="00676B34" w:rsidR="00676B34">
        <w:rPr>
          <w:rFonts w:ascii="Arial" w:hAnsi="Arial" w:cs="Arial"/>
          <w:sz w:val="22"/>
          <w:szCs w:val="22"/>
        </w:rPr>
        <w:t xml:space="preserve">ase relief request submissions before and after ASME final rules are published, the staff estimated that </w:t>
      </w:r>
      <w:r w:rsidRPr="007E52F3" w:rsidR="00676B34">
        <w:rPr>
          <w:rFonts w:ascii="Arial" w:hAnsi="Arial" w:cs="Arial"/>
          <w:sz w:val="22"/>
          <w:szCs w:val="22"/>
        </w:rPr>
        <w:t xml:space="preserve">if </w:t>
      </w:r>
      <w:r w:rsidR="00CD2319">
        <w:rPr>
          <w:rFonts w:ascii="Arial" w:hAnsi="Arial" w:cs="Arial"/>
          <w:sz w:val="22"/>
          <w:szCs w:val="22"/>
        </w:rPr>
        <w:t xml:space="preserve">the </w:t>
      </w:r>
      <w:r w:rsidR="00306F65">
        <w:rPr>
          <w:rFonts w:ascii="Arial" w:hAnsi="Arial" w:cs="Arial"/>
          <w:sz w:val="22"/>
          <w:szCs w:val="22"/>
        </w:rPr>
        <w:t>final</w:t>
      </w:r>
      <w:r w:rsidR="004538D7">
        <w:rPr>
          <w:rFonts w:ascii="Arial" w:hAnsi="Arial" w:cs="Arial"/>
          <w:sz w:val="22"/>
          <w:szCs w:val="22"/>
        </w:rPr>
        <w:t xml:space="preserve"> rule</w:t>
      </w:r>
      <w:r w:rsidRPr="00676B34" w:rsidR="00676B34">
        <w:rPr>
          <w:rFonts w:ascii="Arial" w:hAnsi="Arial" w:cs="Arial"/>
          <w:sz w:val="22"/>
          <w:szCs w:val="22"/>
        </w:rPr>
        <w:t xml:space="preserve"> is not adopted, operating sites would </w:t>
      </w:r>
      <w:r w:rsidRPr="008A6790" w:rsidR="00676B34">
        <w:rPr>
          <w:rFonts w:ascii="Arial" w:hAnsi="Arial" w:cs="Arial"/>
          <w:sz w:val="22"/>
          <w:szCs w:val="22"/>
        </w:rPr>
        <w:t xml:space="preserve">submit </w:t>
      </w:r>
      <w:r w:rsidRPr="008A6790" w:rsidR="00E6067C">
        <w:rPr>
          <w:rFonts w:ascii="Arial" w:hAnsi="Arial" w:cs="Arial"/>
          <w:sz w:val="22"/>
          <w:szCs w:val="22"/>
        </w:rPr>
        <w:t>2</w:t>
      </w:r>
      <w:r w:rsidRPr="008A6790" w:rsidR="008A6790">
        <w:rPr>
          <w:rFonts w:ascii="Arial" w:hAnsi="Arial" w:cs="Arial"/>
          <w:sz w:val="22"/>
          <w:szCs w:val="22"/>
        </w:rPr>
        <w:t>6</w:t>
      </w:r>
      <w:r w:rsidRPr="008A6790" w:rsidR="00676B34">
        <w:rPr>
          <w:rFonts w:ascii="Arial" w:hAnsi="Arial" w:cs="Arial"/>
          <w:sz w:val="22"/>
          <w:szCs w:val="22"/>
        </w:rPr>
        <w:t xml:space="preserve"> relief requests</w:t>
      </w:r>
      <w:r w:rsidRPr="00676B34" w:rsidR="00676B34">
        <w:rPr>
          <w:rFonts w:ascii="Arial" w:hAnsi="Arial" w:cs="Arial"/>
          <w:sz w:val="22"/>
          <w:szCs w:val="22"/>
        </w:rPr>
        <w:t xml:space="preserve"> annually for the Code Cases in this </w:t>
      </w:r>
      <w:r w:rsidR="00306F65">
        <w:rPr>
          <w:rFonts w:ascii="Arial" w:hAnsi="Arial" w:cs="Arial"/>
          <w:sz w:val="22"/>
          <w:szCs w:val="22"/>
        </w:rPr>
        <w:t>final</w:t>
      </w:r>
      <w:r w:rsidRPr="00676B34" w:rsidR="00676B34">
        <w:rPr>
          <w:rFonts w:ascii="Arial" w:hAnsi="Arial" w:cs="Arial"/>
          <w:sz w:val="22"/>
          <w:szCs w:val="22"/>
        </w:rPr>
        <w:t xml:space="preserve"> rule.</w:t>
      </w:r>
    </w:p>
    <w:p w:rsidR="006208D7" w:rsidP="00574DC2" w:rsidRDefault="006208D7" w14:paraId="494284BA" w14:textId="77777777">
      <w:pPr>
        <w:ind w:left="1440"/>
        <w:rPr>
          <w:rFonts w:ascii="Arial" w:hAnsi="Arial"/>
          <w:sz w:val="22"/>
        </w:rPr>
      </w:pPr>
    </w:p>
    <w:p w:rsidRPr="00F041DE" w:rsidR="004A28CE" w:rsidP="00574DC2" w:rsidRDefault="004A28CE" w14:paraId="2BA4B7BC" w14:textId="265692E9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 w:rsidRPr="6A0EDE59">
        <w:rPr>
          <w:rFonts w:ascii="Arial" w:hAnsi="Arial"/>
          <w:sz w:val="22"/>
          <w:szCs w:val="22"/>
        </w:rPr>
        <w:t>The incorporation by reference of recent Code Cases will allow these Code Cases to be implemented without incurring any burden for preparation of an alternative request under 10</w:t>
      </w:r>
      <w:r w:rsidRPr="6A0EDE59" w:rsidR="00801373">
        <w:rPr>
          <w:rFonts w:ascii="Arial" w:hAnsi="Arial"/>
          <w:sz w:val="22"/>
          <w:szCs w:val="22"/>
        </w:rPr>
        <w:t> </w:t>
      </w:r>
      <w:r w:rsidRPr="6A0EDE59">
        <w:rPr>
          <w:rFonts w:ascii="Arial" w:hAnsi="Arial"/>
          <w:sz w:val="22"/>
          <w:szCs w:val="22"/>
        </w:rPr>
        <w:t>CFR</w:t>
      </w:r>
      <w:r w:rsidRPr="6A0EDE59" w:rsidR="00801373">
        <w:rPr>
          <w:rFonts w:ascii="Arial" w:hAnsi="Arial"/>
          <w:sz w:val="22"/>
          <w:szCs w:val="22"/>
        </w:rPr>
        <w:t> </w:t>
      </w:r>
      <w:r w:rsidRPr="6A0EDE59">
        <w:rPr>
          <w:rFonts w:ascii="Arial" w:hAnsi="Arial"/>
          <w:sz w:val="22"/>
          <w:szCs w:val="22"/>
        </w:rPr>
        <w:t xml:space="preserve">50.55a(z).  Each request for alternatives is estimated to take </w:t>
      </w:r>
      <w:r w:rsidRPr="6A0EDE59" w:rsidR="00952101">
        <w:rPr>
          <w:rFonts w:ascii="Arial" w:hAnsi="Arial"/>
          <w:sz w:val="22"/>
          <w:szCs w:val="22"/>
        </w:rPr>
        <w:t>230</w:t>
      </w:r>
      <w:r w:rsidRPr="6A0EDE59">
        <w:rPr>
          <w:rFonts w:ascii="Arial" w:hAnsi="Arial"/>
          <w:sz w:val="22"/>
          <w:szCs w:val="22"/>
        </w:rPr>
        <w:t xml:space="preserve"> hours; therefore, the resulting reduction in licensee burden is </w:t>
      </w:r>
      <w:r w:rsidR="00A96845">
        <w:rPr>
          <w:rFonts w:ascii="Arial" w:hAnsi="Arial"/>
          <w:sz w:val="22"/>
          <w:szCs w:val="22"/>
        </w:rPr>
        <w:t>5,980</w:t>
      </w:r>
      <w:r w:rsidRPr="6A0EDE59" w:rsidR="00BE13BB">
        <w:rPr>
          <w:rFonts w:ascii="Arial" w:hAnsi="Arial"/>
          <w:sz w:val="22"/>
          <w:szCs w:val="22"/>
        </w:rPr>
        <w:t> </w:t>
      </w:r>
      <w:r w:rsidRPr="6A0EDE59">
        <w:rPr>
          <w:rFonts w:ascii="Arial" w:hAnsi="Arial"/>
          <w:sz w:val="22"/>
          <w:szCs w:val="22"/>
        </w:rPr>
        <w:t>hours (</w:t>
      </w:r>
      <w:r w:rsidRPr="00A96845">
        <w:rPr>
          <w:rFonts w:ascii="Arial" w:hAnsi="Arial"/>
          <w:sz w:val="22"/>
          <w:szCs w:val="22"/>
        </w:rPr>
        <w:t>2</w:t>
      </w:r>
      <w:r w:rsidRPr="00A96845" w:rsidR="007C17CB">
        <w:rPr>
          <w:rFonts w:ascii="Arial" w:hAnsi="Arial"/>
          <w:sz w:val="22"/>
          <w:szCs w:val="22"/>
        </w:rPr>
        <w:t>6</w:t>
      </w:r>
      <w:r w:rsidRPr="00A96845" w:rsidR="00BE13BB">
        <w:rPr>
          <w:rFonts w:ascii="Arial" w:hAnsi="Arial"/>
          <w:sz w:val="22"/>
          <w:szCs w:val="22"/>
        </w:rPr>
        <w:t> </w:t>
      </w:r>
      <w:r w:rsidRPr="00A96845">
        <w:rPr>
          <w:rFonts w:ascii="Arial" w:hAnsi="Arial"/>
          <w:sz w:val="22"/>
          <w:szCs w:val="22"/>
        </w:rPr>
        <w:t xml:space="preserve">requests x </w:t>
      </w:r>
      <w:r w:rsidRPr="00A96845" w:rsidR="00B90F9D">
        <w:rPr>
          <w:rFonts w:ascii="Arial" w:hAnsi="Arial"/>
          <w:sz w:val="22"/>
          <w:szCs w:val="22"/>
        </w:rPr>
        <w:t>230</w:t>
      </w:r>
      <w:r w:rsidRPr="00A96845">
        <w:rPr>
          <w:rFonts w:ascii="Arial" w:hAnsi="Arial"/>
          <w:sz w:val="22"/>
          <w:szCs w:val="22"/>
        </w:rPr>
        <w:t xml:space="preserve"> hours per request</w:t>
      </w:r>
      <w:r w:rsidRPr="6A0EDE59">
        <w:rPr>
          <w:rFonts w:ascii="Arial" w:hAnsi="Arial"/>
          <w:sz w:val="22"/>
          <w:szCs w:val="22"/>
        </w:rPr>
        <w:t xml:space="preserve">), a savings </w:t>
      </w:r>
      <w:r w:rsidRPr="6A0EDE59" w:rsidR="008A75F1">
        <w:rPr>
          <w:rFonts w:ascii="Arial" w:hAnsi="Arial"/>
          <w:sz w:val="22"/>
          <w:szCs w:val="22"/>
        </w:rPr>
        <w:t xml:space="preserve">to the licensee </w:t>
      </w:r>
      <w:r w:rsidRPr="6A0EDE59">
        <w:rPr>
          <w:rFonts w:ascii="Arial" w:hAnsi="Arial"/>
          <w:sz w:val="22"/>
          <w:szCs w:val="22"/>
        </w:rPr>
        <w:t>of $</w:t>
      </w:r>
      <w:r w:rsidRPr="6A0EDE59" w:rsidR="00EE75AA">
        <w:rPr>
          <w:rFonts w:ascii="Arial" w:hAnsi="Arial"/>
          <w:sz w:val="22"/>
          <w:szCs w:val="22"/>
        </w:rPr>
        <w:t>1,</w:t>
      </w:r>
      <w:r w:rsidR="00053952">
        <w:rPr>
          <w:rFonts w:ascii="Arial" w:hAnsi="Arial"/>
          <w:sz w:val="22"/>
          <w:szCs w:val="22"/>
        </w:rPr>
        <w:t>668,420</w:t>
      </w:r>
      <w:r w:rsidRPr="6A0EDE59" w:rsidDel="00EE75AA" w:rsidR="00EE75AA">
        <w:rPr>
          <w:rFonts w:ascii="Arial" w:hAnsi="Arial"/>
          <w:sz w:val="22"/>
          <w:szCs w:val="22"/>
        </w:rPr>
        <w:t xml:space="preserve"> </w:t>
      </w:r>
      <w:r w:rsidRPr="6A0EDE59">
        <w:rPr>
          <w:rFonts w:ascii="Arial" w:hAnsi="Arial"/>
          <w:sz w:val="22"/>
          <w:szCs w:val="22"/>
        </w:rPr>
        <w:t>(</w:t>
      </w:r>
      <w:r w:rsidR="00053952">
        <w:rPr>
          <w:rFonts w:ascii="Arial" w:hAnsi="Arial"/>
          <w:sz w:val="22"/>
          <w:szCs w:val="22"/>
        </w:rPr>
        <w:t>5,980</w:t>
      </w:r>
      <w:r w:rsidRPr="6A0EDE59">
        <w:rPr>
          <w:rFonts w:ascii="Arial" w:hAnsi="Arial"/>
          <w:sz w:val="22"/>
          <w:szCs w:val="22"/>
        </w:rPr>
        <w:t xml:space="preserve"> hours x $</w:t>
      </w:r>
      <w:r w:rsidRPr="6A0EDE59" w:rsidR="00441860">
        <w:rPr>
          <w:rFonts w:ascii="Arial" w:hAnsi="Arial"/>
          <w:sz w:val="22"/>
          <w:szCs w:val="22"/>
        </w:rPr>
        <w:t>279</w:t>
      </w:r>
      <w:r w:rsidRPr="6A0EDE59">
        <w:rPr>
          <w:rFonts w:ascii="Arial" w:hAnsi="Arial"/>
          <w:sz w:val="22"/>
          <w:szCs w:val="22"/>
        </w:rPr>
        <w:t>/h</w:t>
      </w:r>
      <w:r w:rsidRPr="6A0EDE59" w:rsidR="00BE13BB">
        <w:rPr>
          <w:rFonts w:ascii="Arial" w:hAnsi="Arial"/>
          <w:sz w:val="22"/>
          <w:szCs w:val="22"/>
        </w:rPr>
        <w:t>ou</w:t>
      </w:r>
      <w:r w:rsidRPr="6A0EDE59">
        <w:rPr>
          <w:rFonts w:ascii="Arial" w:hAnsi="Arial"/>
          <w:sz w:val="22"/>
          <w:szCs w:val="22"/>
        </w:rPr>
        <w:t>r)</w:t>
      </w:r>
      <w:r w:rsidRPr="6A0EDE59" w:rsidR="004C2486">
        <w:rPr>
          <w:rFonts w:ascii="Arial" w:hAnsi="Arial"/>
          <w:sz w:val="22"/>
          <w:szCs w:val="22"/>
        </w:rPr>
        <w:t xml:space="preserve">, </w:t>
      </w:r>
      <w:r w:rsidR="0025156B">
        <w:rPr>
          <w:rFonts w:ascii="Arial" w:hAnsi="Arial" w:cs="Arial"/>
          <w:sz w:val="22"/>
          <w:szCs w:val="22"/>
        </w:rPr>
        <w:t xml:space="preserve">and </w:t>
      </w:r>
      <w:r w:rsidRPr="00053952" w:rsidR="00BE032C">
        <w:rPr>
          <w:rFonts w:ascii="Arial" w:hAnsi="Arial" w:cs="Arial"/>
          <w:sz w:val="22"/>
          <w:szCs w:val="22"/>
        </w:rPr>
        <w:t>2</w:t>
      </w:r>
      <w:r w:rsidRPr="00053952" w:rsidR="00053952">
        <w:rPr>
          <w:rFonts w:ascii="Arial" w:hAnsi="Arial" w:cs="Arial"/>
          <w:sz w:val="22"/>
          <w:szCs w:val="22"/>
        </w:rPr>
        <w:t>6</w:t>
      </w:r>
      <w:r w:rsidRPr="00053952" w:rsidR="0025156B">
        <w:rPr>
          <w:rFonts w:ascii="Arial" w:hAnsi="Arial" w:cs="Arial"/>
          <w:sz w:val="22"/>
          <w:szCs w:val="22"/>
        </w:rPr>
        <w:t xml:space="preserve"> responses annually</w:t>
      </w:r>
      <w:r w:rsidRPr="6A0EDE59">
        <w:rPr>
          <w:rFonts w:ascii="Arial" w:hAnsi="Arial"/>
          <w:sz w:val="22"/>
          <w:szCs w:val="22"/>
        </w:rPr>
        <w:t>.</w:t>
      </w:r>
      <w:r w:rsidRPr="6A0EDE59" w:rsidR="00D65C7B">
        <w:rPr>
          <w:rFonts w:ascii="Arial" w:hAnsi="Arial"/>
          <w:sz w:val="22"/>
          <w:szCs w:val="22"/>
        </w:rPr>
        <w:t xml:space="preserve"> </w:t>
      </w:r>
      <w:r w:rsidRPr="00F041DE">
        <w:rPr>
          <w:rFonts w:ascii="Arial" w:hAnsi="Arial" w:cs="Arial"/>
          <w:sz w:val="22"/>
          <w:szCs w:val="22"/>
        </w:rPr>
        <w:t xml:space="preserve"> There is a decrease in annualized recordkeeping burden due to the reduction in alternative and relief requests.  The annualized recordkeeping burden is estimated to decrease by </w:t>
      </w:r>
      <w:r w:rsidRPr="00FD0450">
        <w:rPr>
          <w:rFonts w:ascii="Arial" w:hAnsi="Arial" w:cs="Arial"/>
          <w:sz w:val="22"/>
          <w:szCs w:val="22"/>
        </w:rPr>
        <w:t>2</w:t>
      </w:r>
      <w:r w:rsidRPr="00FD0450" w:rsidR="002B27B8">
        <w:rPr>
          <w:rFonts w:ascii="Arial" w:hAnsi="Arial" w:cs="Arial"/>
          <w:sz w:val="22"/>
          <w:szCs w:val="22"/>
        </w:rPr>
        <w:t>60</w:t>
      </w:r>
      <w:r w:rsidRPr="00FD0450" w:rsidR="00BE13BB">
        <w:rPr>
          <w:rFonts w:ascii="Arial" w:hAnsi="Arial" w:cs="Arial"/>
          <w:sz w:val="22"/>
          <w:szCs w:val="22"/>
        </w:rPr>
        <w:t> </w:t>
      </w:r>
      <w:r w:rsidRPr="00FD0450">
        <w:rPr>
          <w:rFonts w:ascii="Arial" w:hAnsi="Arial" w:cs="Arial"/>
          <w:sz w:val="22"/>
          <w:szCs w:val="22"/>
        </w:rPr>
        <w:t>hours ($</w:t>
      </w:r>
      <w:r w:rsidRPr="00FD0450" w:rsidR="002B27B8">
        <w:rPr>
          <w:rFonts w:ascii="Arial" w:hAnsi="Arial" w:cs="Arial"/>
          <w:color w:val="000000"/>
          <w:sz w:val="22"/>
          <w:szCs w:val="22"/>
        </w:rPr>
        <w:t>72,</w:t>
      </w:r>
      <w:r w:rsidRPr="00FD0450" w:rsidR="00FD0450">
        <w:rPr>
          <w:rFonts w:ascii="Arial" w:hAnsi="Arial" w:cs="Arial"/>
          <w:color w:val="000000"/>
          <w:sz w:val="22"/>
          <w:szCs w:val="22"/>
        </w:rPr>
        <w:t>540</w:t>
      </w:r>
      <w:r w:rsidRPr="00FD0450">
        <w:rPr>
          <w:rFonts w:ascii="Arial" w:hAnsi="Arial" w:cs="Arial"/>
          <w:sz w:val="22"/>
          <w:szCs w:val="22"/>
        </w:rPr>
        <w:t>).</w:t>
      </w:r>
      <w:r w:rsidRPr="00FD0450" w:rsidR="00023835">
        <w:rPr>
          <w:rFonts w:ascii="Arial" w:hAnsi="Arial" w:cs="Arial"/>
          <w:sz w:val="22"/>
          <w:szCs w:val="22"/>
        </w:rPr>
        <w:t xml:space="preserve">  </w:t>
      </w:r>
      <w:r w:rsidRPr="00FD0450">
        <w:rPr>
          <w:rFonts w:ascii="Arial" w:hAnsi="Arial" w:cs="Arial"/>
          <w:sz w:val="22"/>
          <w:szCs w:val="22"/>
        </w:rPr>
        <w:t>Table</w:t>
      </w:r>
      <w:r w:rsidRPr="00FD0450" w:rsidR="002F2DA3">
        <w:rPr>
          <w:rFonts w:ascii="Arial" w:hAnsi="Arial" w:cs="Arial"/>
          <w:sz w:val="22"/>
          <w:szCs w:val="22"/>
        </w:rPr>
        <w:t>s</w:t>
      </w:r>
      <w:r w:rsidRPr="00FD0450">
        <w:rPr>
          <w:rFonts w:ascii="Arial" w:hAnsi="Arial" w:cs="Arial"/>
          <w:sz w:val="22"/>
          <w:szCs w:val="22"/>
        </w:rPr>
        <w:t xml:space="preserve"> 1 and 2 on page </w:t>
      </w:r>
      <w:r w:rsidRPr="00FD0450" w:rsidR="006351EF">
        <w:rPr>
          <w:rFonts w:ascii="Arial" w:hAnsi="Arial" w:cs="Arial"/>
          <w:sz w:val="22"/>
          <w:szCs w:val="22"/>
        </w:rPr>
        <w:fldChar w:fldCharType="begin"/>
      </w:r>
      <w:r w:rsidRPr="00FD0450" w:rsidR="006351EF">
        <w:rPr>
          <w:rFonts w:ascii="Arial" w:hAnsi="Arial" w:cs="Arial"/>
          <w:sz w:val="22"/>
          <w:szCs w:val="22"/>
        </w:rPr>
        <w:instrText xml:space="preserve"> PAGEREF _Ref40262340 \h </w:instrText>
      </w:r>
      <w:r w:rsidRPr="00FD0450" w:rsidR="006351EF">
        <w:rPr>
          <w:rFonts w:ascii="Arial" w:hAnsi="Arial" w:cs="Arial"/>
          <w:sz w:val="22"/>
          <w:szCs w:val="22"/>
        </w:rPr>
      </w:r>
      <w:r w:rsidRPr="00FD0450" w:rsidR="006351EF">
        <w:rPr>
          <w:rFonts w:ascii="Arial" w:hAnsi="Arial" w:cs="Arial"/>
          <w:sz w:val="22"/>
          <w:szCs w:val="22"/>
        </w:rPr>
        <w:fldChar w:fldCharType="separate"/>
      </w:r>
      <w:r w:rsidRPr="00FD0450" w:rsidR="00363AF5">
        <w:rPr>
          <w:rFonts w:ascii="Arial" w:hAnsi="Arial" w:cs="Arial"/>
          <w:noProof/>
          <w:sz w:val="22"/>
          <w:szCs w:val="22"/>
        </w:rPr>
        <w:t>7</w:t>
      </w:r>
      <w:r w:rsidRPr="00FD0450" w:rsidR="006351EF">
        <w:rPr>
          <w:rFonts w:ascii="Arial" w:hAnsi="Arial" w:cs="Arial"/>
          <w:sz w:val="22"/>
          <w:szCs w:val="22"/>
        </w:rPr>
        <w:fldChar w:fldCharType="end"/>
      </w:r>
      <w:r w:rsidRPr="00F041DE">
        <w:rPr>
          <w:rFonts w:ascii="Arial" w:hAnsi="Arial" w:cs="Arial"/>
          <w:sz w:val="22"/>
          <w:szCs w:val="22"/>
        </w:rPr>
        <w:t xml:space="preserve"> of th</w:t>
      </w:r>
      <w:r w:rsidR="00504AC9">
        <w:rPr>
          <w:rFonts w:ascii="Arial" w:hAnsi="Arial" w:cs="Arial"/>
          <w:sz w:val="22"/>
          <w:szCs w:val="22"/>
        </w:rPr>
        <w:t>is</w:t>
      </w:r>
      <w:r w:rsidRPr="00F041DE">
        <w:rPr>
          <w:rFonts w:ascii="Arial" w:hAnsi="Arial" w:cs="Arial"/>
          <w:sz w:val="22"/>
          <w:szCs w:val="22"/>
        </w:rPr>
        <w:t xml:space="preserve"> supporting statement</w:t>
      </w:r>
      <w:r w:rsidR="00BE13BB">
        <w:rPr>
          <w:rFonts w:ascii="Arial" w:hAnsi="Arial" w:cs="Arial"/>
          <w:sz w:val="22"/>
          <w:szCs w:val="22"/>
        </w:rPr>
        <w:t xml:space="preserve"> show the burden estimates</w:t>
      </w:r>
      <w:r w:rsidRPr="00F041DE">
        <w:rPr>
          <w:rFonts w:ascii="Arial" w:hAnsi="Arial" w:cs="Arial"/>
          <w:sz w:val="22"/>
          <w:szCs w:val="22"/>
        </w:rPr>
        <w:t>.</w:t>
      </w:r>
    </w:p>
    <w:p w:rsidRPr="00722DD6" w:rsidR="004A28CE" w:rsidP="00574DC2" w:rsidRDefault="004A28CE" w14:paraId="69296749" w14:textId="77777777">
      <w:pPr>
        <w:ind w:left="1440"/>
        <w:rPr>
          <w:rFonts w:ascii="Arial" w:hAnsi="Arial" w:cs="Arial"/>
          <w:sz w:val="22"/>
          <w:szCs w:val="22"/>
          <w:highlight w:val="cyan"/>
        </w:rPr>
      </w:pPr>
    </w:p>
    <w:p w:rsidR="004A28CE" w:rsidP="00574DC2" w:rsidRDefault="004A28CE" w14:paraId="746C3A00" w14:textId="6384EBB8">
      <w:pPr>
        <w:pStyle w:val="Level1"/>
        <w:ind w:left="1440"/>
        <w:rPr>
          <w:rFonts w:ascii="Arial" w:hAnsi="Arial" w:cs="Arial"/>
          <w:sz w:val="22"/>
          <w:szCs w:val="22"/>
        </w:rPr>
      </w:pPr>
      <w:r w:rsidRPr="00016F5E">
        <w:rPr>
          <w:rFonts w:ascii="Arial" w:hAnsi="Arial" w:cs="Arial"/>
          <w:sz w:val="22"/>
          <w:szCs w:val="22"/>
        </w:rPr>
        <w:t>The $</w:t>
      </w:r>
      <w:r w:rsidRPr="00016F5E" w:rsidR="006E388B">
        <w:rPr>
          <w:rFonts w:ascii="Arial" w:hAnsi="Arial" w:cs="Arial"/>
          <w:sz w:val="22"/>
          <w:szCs w:val="22"/>
        </w:rPr>
        <w:t xml:space="preserve">279 </w:t>
      </w:r>
      <w:r w:rsidRPr="00016F5E">
        <w:rPr>
          <w:rFonts w:ascii="Arial" w:hAnsi="Arial" w:cs="Arial"/>
          <w:sz w:val="22"/>
          <w:szCs w:val="22"/>
        </w:rPr>
        <w:t>hourly rate</w:t>
      </w:r>
      <w:r w:rsidRPr="00DC6D96">
        <w:rPr>
          <w:rFonts w:ascii="Arial" w:hAnsi="Arial" w:cs="Arial"/>
          <w:sz w:val="22"/>
          <w:szCs w:val="22"/>
        </w:rPr>
        <w:t xml:space="preserve"> used in the burden estimates is based on the </w:t>
      </w:r>
      <w:r w:rsidR="002520AC">
        <w:rPr>
          <w:rFonts w:ascii="Arial" w:hAnsi="Arial" w:cs="Arial"/>
          <w:sz w:val="22"/>
          <w:szCs w:val="22"/>
        </w:rPr>
        <w:t>NRC</w:t>
      </w:r>
      <w:r w:rsidRPr="00DC6D96">
        <w:rPr>
          <w:rFonts w:ascii="Arial" w:hAnsi="Arial" w:cs="Arial"/>
          <w:sz w:val="22"/>
          <w:szCs w:val="22"/>
        </w:rPr>
        <w:t>’s fee for hourly rates as noted in 10</w:t>
      </w:r>
      <w:r w:rsidR="00BE13BB">
        <w:rPr>
          <w:rFonts w:ascii="Arial" w:hAnsi="Arial" w:cs="Arial"/>
          <w:sz w:val="22"/>
          <w:szCs w:val="22"/>
        </w:rPr>
        <w:t> </w:t>
      </w:r>
      <w:r w:rsidRPr="00DC6D96">
        <w:rPr>
          <w:rFonts w:ascii="Arial" w:hAnsi="Arial" w:cs="Arial"/>
          <w:sz w:val="22"/>
          <w:szCs w:val="22"/>
        </w:rPr>
        <w:t>CFR</w:t>
      </w:r>
      <w:r w:rsidR="00BE13BB">
        <w:rPr>
          <w:rFonts w:ascii="Arial" w:hAnsi="Arial" w:cs="Arial"/>
          <w:sz w:val="22"/>
          <w:szCs w:val="22"/>
        </w:rPr>
        <w:t> </w:t>
      </w:r>
      <w:r w:rsidRPr="00DC6D96">
        <w:rPr>
          <w:rFonts w:ascii="Arial" w:hAnsi="Arial" w:cs="Arial"/>
          <w:sz w:val="22"/>
          <w:szCs w:val="22"/>
        </w:rPr>
        <w:t>170.20</w:t>
      </w:r>
      <w:r w:rsidR="00BE13BB">
        <w:rPr>
          <w:rFonts w:ascii="Arial" w:hAnsi="Arial" w:cs="Arial"/>
          <w:sz w:val="22"/>
          <w:szCs w:val="22"/>
        </w:rPr>
        <w:t>,</w:t>
      </w:r>
      <w:r w:rsidRPr="00DC6D96">
        <w:rPr>
          <w:rFonts w:ascii="Arial" w:hAnsi="Arial" w:cs="Arial"/>
          <w:sz w:val="22"/>
          <w:szCs w:val="22"/>
        </w:rPr>
        <w:t xml:space="preserve"> “Average cost per professional staff</w:t>
      </w:r>
      <w:r w:rsidR="00BE13BB">
        <w:rPr>
          <w:rFonts w:ascii="Arial" w:hAnsi="Arial" w:cs="Arial"/>
          <w:sz w:val="22"/>
          <w:szCs w:val="22"/>
        </w:rPr>
        <w:noBreakHyphen/>
      </w:r>
      <w:r w:rsidRPr="00DC6D96">
        <w:rPr>
          <w:rFonts w:ascii="Arial" w:hAnsi="Arial" w:cs="Arial"/>
          <w:sz w:val="22"/>
          <w:szCs w:val="22"/>
        </w:rPr>
        <w:t>hour.”</w:t>
      </w:r>
      <w:r w:rsidR="00280B66">
        <w:rPr>
          <w:rFonts w:ascii="Arial" w:hAnsi="Arial" w:cs="Arial"/>
          <w:sz w:val="22"/>
          <w:szCs w:val="22"/>
        </w:rPr>
        <w:t xml:space="preserve"> </w:t>
      </w:r>
      <w:r w:rsidRPr="00DC6D96">
        <w:rPr>
          <w:rFonts w:ascii="Arial" w:hAnsi="Arial" w:cs="Arial"/>
          <w:sz w:val="22"/>
          <w:szCs w:val="22"/>
        </w:rPr>
        <w:t xml:space="preserve"> For more information </w:t>
      </w:r>
      <w:proofErr w:type="gramStart"/>
      <w:r w:rsidRPr="00DC6D96">
        <w:rPr>
          <w:rFonts w:ascii="Arial" w:hAnsi="Arial" w:cs="Arial"/>
          <w:sz w:val="22"/>
          <w:szCs w:val="22"/>
        </w:rPr>
        <w:t>on the basis of</w:t>
      </w:r>
      <w:proofErr w:type="gramEnd"/>
      <w:r w:rsidRPr="00DC6D96">
        <w:rPr>
          <w:rFonts w:ascii="Arial" w:hAnsi="Arial" w:cs="Arial"/>
          <w:sz w:val="22"/>
          <w:szCs w:val="22"/>
        </w:rPr>
        <w:t xml:space="preserve"> this rate, see the Revision of Fee Schedules; </w:t>
      </w:r>
      <w:r w:rsidRPr="0040177C">
        <w:rPr>
          <w:rFonts w:ascii="Arial" w:hAnsi="Arial" w:cs="Arial"/>
          <w:sz w:val="22"/>
          <w:szCs w:val="22"/>
        </w:rPr>
        <w:t xml:space="preserve">Fee Recovery for Fiscal Year </w:t>
      </w:r>
      <w:r w:rsidR="00EB7A11">
        <w:rPr>
          <w:rFonts w:ascii="Arial" w:hAnsi="Arial" w:cs="Arial"/>
          <w:sz w:val="22"/>
          <w:szCs w:val="22"/>
        </w:rPr>
        <w:t>2020</w:t>
      </w:r>
      <w:r w:rsidRPr="0040177C" w:rsidR="00EB7A11">
        <w:rPr>
          <w:rFonts w:ascii="Arial" w:hAnsi="Arial" w:cs="Arial"/>
          <w:sz w:val="22"/>
          <w:szCs w:val="22"/>
        </w:rPr>
        <w:t xml:space="preserve"> </w:t>
      </w:r>
      <w:r w:rsidRPr="0040177C">
        <w:rPr>
          <w:rFonts w:ascii="Arial" w:hAnsi="Arial" w:cs="Arial"/>
          <w:sz w:val="22"/>
          <w:szCs w:val="22"/>
        </w:rPr>
        <w:t>(</w:t>
      </w:r>
      <w:r w:rsidRPr="008C2B02" w:rsidR="008C2B02">
        <w:rPr>
          <w:rFonts w:ascii="Arial" w:hAnsi="Arial" w:cs="Arial"/>
          <w:sz w:val="22"/>
          <w:szCs w:val="22"/>
        </w:rPr>
        <w:t>85 FR 37250</w:t>
      </w:r>
      <w:r w:rsidR="00BE13BB">
        <w:rPr>
          <w:rFonts w:ascii="Arial" w:hAnsi="Arial" w:cs="Arial"/>
          <w:sz w:val="22"/>
          <w:szCs w:val="22"/>
        </w:rPr>
        <w:t>;</w:t>
      </w:r>
      <w:r w:rsidRPr="0040177C">
        <w:rPr>
          <w:rFonts w:ascii="Arial" w:hAnsi="Arial" w:cs="Arial"/>
          <w:sz w:val="22"/>
          <w:szCs w:val="22"/>
        </w:rPr>
        <w:t xml:space="preserve"> </w:t>
      </w:r>
      <w:r w:rsidR="00305A6D">
        <w:rPr>
          <w:rFonts w:ascii="Arial" w:hAnsi="Arial" w:cs="Arial"/>
          <w:sz w:val="22"/>
          <w:szCs w:val="22"/>
        </w:rPr>
        <w:t>June 19, 2020</w:t>
      </w:r>
      <w:r w:rsidRPr="0040177C">
        <w:rPr>
          <w:rFonts w:ascii="Arial" w:hAnsi="Arial" w:cs="Arial"/>
          <w:sz w:val="22"/>
          <w:szCs w:val="22"/>
        </w:rPr>
        <w:t>).</w:t>
      </w:r>
    </w:p>
    <w:p w:rsidR="002A64F1" w:rsidP="00907201" w:rsidRDefault="002A64F1" w14:paraId="22F410D5" w14:textId="77777777">
      <w:pPr>
        <w:ind w:left="1080"/>
        <w:rPr>
          <w:rFonts w:ascii="Arial" w:hAnsi="Arial"/>
          <w:sz w:val="22"/>
        </w:rPr>
      </w:pPr>
    </w:p>
    <w:p w:rsidR="002A64F1" w:rsidP="00574DC2" w:rsidRDefault="002A64F1" w14:paraId="08368ABB" w14:textId="77777777">
      <w:pPr>
        <w:pStyle w:val="Level1"/>
        <w:widowControl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Estimate of Other Additional Costs</w:t>
      </w:r>
    </w:p>
    <w:p w:rsidR="002A64F1" w:rsidP="00907201" w:rsidRDefault="002A64F1" w14:paraId="2F74E91F" w14:textId="77777777">
      <w:pPr>
        <w:ind w:left="1080"/>
        <w:rPr>
          <w:rFonts w:ascii="Arial" w:hAnsi="Arial"/>
          <w:sz w:val="22"/>
        </w:rPr>
      </w:pPr>
    </w:p>
    <w:p w:rsidR="00B87310" w:rsidP="005B1184" w:rsidRDefault="006208D7" w14:paraId="33202527" w14:textId="00D7E363">
      <w:pPr>
        <w:pStyle w:val="Level1"/>
        <w:widowControl/>
        <w:tabs>
          <w:tab w:val="center" w:pos="5400"/>
        </w:tabs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There are no additional costs.</w:t>
      </w:r>
      <w:r w:rsidR="001F3652">
        <w:rPr>
          <w:rFonts w:ascii="Arial" w:hAnsi="Arial"/>
          <w:sz w:val="22"/>
        </w:rPr>
        <w:t xml:space="preserve">  The additional costs for the Part 50 information collection remain unchanged at $273,472.</w:t>
      </w:r>
      <w:r w:rsidR="005B1184">
        <w:rPr>
          <w:rFonts w:ascii="Arial" w:hAnsi="Arial"/>
          <w:sz w:val="22"/>
        </w:rPr>
        <w:tab/>
      </w:r>
    </w:p>
    <w:p w:rsidR="005B1184" w:rsidP="005B1184" w:rsidRDefault="005B1184" w14:paraId="41D63B36" w14:textId="52AA60FB">
      <w:pPr>
        <w:pStyle w:val="Level1"/>
        <w:widowControl/>
        <w:tabs>
          <w:tab w:val="center" w:pos="5400"/>
        </w:tabs>
        <w:ind w:left="1440"/>
        <w:rPr>
          <w:rFonts w:ascii="Arial" w:hAnsi="Arial"/>
          <w:sz w:val="22"/>
        </w:rPr>
      </w:pPr>
    </w:p>
    <w:p w:rsidR="005B1184" w:rsidP="005B1184" w:rsidRDefault="005B1184" w14:paraId="6D575945" w14:textId="77777777">
      <w:pPr>
        <w:pStyle w:val="Level1"/>
        <w:widowControl/>
        <w:tabs>
          <w:tab w:val="center" w:pos="5400"/>
        </w:tabs>
        <w:ind w:left="1440"/>
        <w:rPr>
          <w:rFonts w:ascii="Arial" w:hAnsi="Arial"/>
          <w:sz w:val="22"/>
        </w:rPr>
      </w:pPr>
    </w:p>
    <w:p w:rsidR="002A64F1" w:rsidP="00907201" w:rsidRDefault="002A64F1" w14:paraId="733E094E" w14:textId="77777777">
      <w:pPr>
        <w:ind w:left="1080"/>
        <w:rPr>
          <w:rFonts w:ascii="Arial" w:hAnsi="Arial"/>
          <w:sz w:val="22"/>
        </w:rPr>
      </w:pPr>
    </w:p>
    <w:p w:rsidRPr="002A64F1" w:rsidR="002A64F1" w:rsidP="00574DC2" w:rsidRDefault="002A64F1" w14:paraId="2DF7E1C2" w14:textId="77777777">
      <w:pPr>
        <w:pStyle w:val="Level1"/>
        <w:widowControl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Estimated Annualized Cost to the Federal Government</w:t>
      </w:r>
    </w:p>
    <w:p w:rsidR="002A64F1" w:rsidP="00280B66" w:rsidRDefault="002A64F1" w14:paraId="199CA306" w14:textId="77777777">
      <w:pPr>
        <w:ind w:left="1080"/>
        <w:rPr>
          <w:rFonts w:ascii="Arial" w:hAnsi="Arial"/>
          <w:sz w:val="22"/>
          <w:u w:val="single"/>
        </w:rPr>
      </w:pPr>
    </w:p>
    <w:p w:rsidRPr="000E3F96" w:rsidR="004A28CE" w:rsidP="00574DC2" w:rsidRDefault="004A28CE" w14:paraId="0AE25CE7" w14:textId="05CC7C46">
      <w:pPr>
        <w:pStyle w:val="Level1"/>
        <w:widowControl/>
        <w:ind w:left="1440"/>
        <w:rPr>
          <w:rFonts w:ascii="Arial" w:hAnsi="Arial"/>
          <w:sz w:val="22"/>
        </w:rPr>
      </w:pPr>
      <w:r w:rsidRPr="000E3F96">
        <w:rPr>
          <w:rFonts w:ascii="Arial" w:hAnsi="Arial"/>
          <w:sz w:val="22"/>
        </w:rPr>
        <w:t xml:space="preserve">The staff has </w:t>
      </w:r>
      <w:r w:rsidR="007942C2">
        <w:rPr>
          <w:rFonts w:ascii="Arial" w:hAnsi="Arial"/>
          <w:sz w:val="22"/>
        </w:rPr>
        <w:t xml:space="preserve">developed </w:t>
      </w:r>
      <w:r w:rsidR="005043DB">
        <w:rPr>
          <w:rFonts w:ascii="Arial" w:hAnsi="Arial"/>
          <w:sz w:val="22"/>
        </w:rPr>
        <w:t>estimate</w:t>
      </w:r>
      <w:r w:rsidR="007942C2">
        <w:rPr>
          <w:rFonts w:ascii="Arial" w:hAnsi="Arial"/>
          <w:sz w:val="22"/>
        </w:rPr>
        <w:t>s of</w:t>
      </w:r>
      <w:r w:rsidR="005043DB">
        <w:rPr>
          <w:rFonts w:ascii="Arial" w:hAnsi="Arial"/>
          <w:sz w:val="22"/>
        </w:rPr>
        <w:t xml:space="preserve"> the</w:t>
      </w:r>
      <w:r w:rsidRPr="000E3F96">
        <w:rPr>
          <w:rFonts w:ascii="Arial" w:hAnsi="Arial"/>
          <w:sz w:val="22"/>
        </w:rPr>
        <w:t xml:space="preserve"> annualized costs to the Federal </w:t>
      </w:r>
      <w:r w:rsidR="00BE13BB">
        <w:rPr>
          <w:rFonts w:ascii="Arial" w:hAnsi="Arial"/>
          <w:sz w:val="22"/>
        </w:rPr>
        <w:t>G</w:t>
      </w:r>
      <w:r w:rsidRPr="000E3F96">
        <w:rPr>
          <w:rFonts w:ascii="Arial" w:hAnsi="Arial"/>
          <w:sz w:val="22"/>
        </w:rPr>
        <w:t xml:space="preserve">overnment </w:t>
      </w:r>
      <w:r w:rsidR="005043DB">
        <w:rPr>
          <w:rFonts w:ascii="Arial" w:hAnsi="Arial"/>
          <w:sz w:val="22"/>
        </w:rPr>
        <w:t>for</w:t>
      </w:r>
      <w:r w:rsidRPr="000E3F96">
        <w:rPr>
          <w:rFonts w:ascii="Arial" w:hAnsi="Arial"/>
          <w:sz w:val="22"/>
        </w:rPr>
        <w:t xml:space="preserve"> the conduct of this collection of information.  These estimates are based on staff experience and subject matter expertise and include the burden </w:t>
      </w:r>
      <w:r w:rsidR="00BE13BB">
        <w:rPr>
          <w:rFonts w:ascii="Arial" w:hAnsi="Arial"/>
          <w:sz w:val="22"/>
        </w:rPr>
        <w:t>of</w:t>
      </w:r>
      <w:r w:rsidRPr="000E3F96">
        <w:rPr>
          <w:rFonts w:ascii="Arial" w:hAnsi="Arial"/>
          <w:sz w:val="22"/>
        </w:rPr>
        <w:t xml:space="preserve"> review</w:t>
      </w:r>
      <w:r w:rsidR="00BE13BB">
        <w:rPr>
          <w:rFonts w:ascii="Arial" w:hAnsi="Arial"/>
          <w:sz w:val="22"/>
        </w:rPr>
        <w:t>ing</w:t>
      </w:r>
      <w:r w:rsidRPr="000E3F96">
        <w:rPr>
          <w:rFonts w:ascii="Arial" w:hAnsi="Arial"/>
          <w:sz w:val="22"/>
        </w:rPr>
        <w:t>, analyz</w:t>
      </w:r>
      <w:r w:rsidR="00BE13BB">
        <w:rPr>
          <w:rFonts w:ascii="Arial" w:hAnsi="Arial"/>
          <w:sz w:val="22"/>
        </w:rPr>
        <w:t>ing</w:t>
      </w:r>
      <w:r w:rsidRPr="000E3F96">
        <w:rPr>
          <w:rFonts w:ascii="Arial" w:hAnsi="Arial"/>
          <w:sz w:val="22"/>
        </w:rPr>
        <w:t>, and process</w:t>
      </w:r>
      <w:r w:rsidR="00BE13BB">
        <w:rPr>
          <w:rFonts w:ascii="Arial" w:hAnsi="Arial"/>
          <w:sz w:val="22"/>
        </w:rPr>
        <w:t>ing</w:t>
      </w:r>
      <w:r w:rsidRPr="000E3F96">
        <w:rPr>
          <w:rFonts w:ascii="Arial" w:hAnsi="Arial"/>
          <w:sz w:val="22"/>
        </w:rPr>
        <w:t xml:space="preserve"> the collected information and any relevant operational expenses.</w:t>
      </w:r>
    </w:p>
    <w:p w:rsidR="004A28CE" w:rsidP="004A28CE" w:rsidRDefault="004A28CE" w14:paraId="2912CBEE" w14:textId="77777777">
      <w:pPr>
        <w:pStyle w:val="Level1"/>
        <w:widowControl/>
        <w:ind w:left="1080"/>
        <w:rPr>
          <w:rFonts w:ascii="Arial" w:hAnsi="Arial"/>
          <w:sz w:val="22"/>
        </w:rPr>
      </w:pPr>
    </w:p>
    <w:p w:rsidRPr="000E3F96" w:rsidR="004A28CE" w:rsidP="00574DC2" w:rsidRDefault="004A28CE" w14:paraId="51264446" w14:textId="4DAE6A5F">
      <w:pPr>
        <w:pStyle w:val="Level1"/>
        <w:widowControl/>
        <w:ind w:left="1440"/>
        <w:rPr>
          <w:rFonts w:ascii="Arial" w:hAnsi="Arial"/>
          <w:sz w:val="22"/>
        </w:rPr>
      </w:pPr>
      <w:r w:rsidRPr="00324AF5">
        <w:rPr>
          <w:rFonts w:ascii="Arial" w:hAnsi="Arial"/>
          <w:sz w:val="22"/>
        </w:rPr>
        <w:t xml:space="preserve">As a result of the </w:t>
      </w:r>
      <w:r>
        <w:rPr>
          <w:rFonts w:ascii="Arial" w:hAnsi="Arial"/>
          <w:sz w:val="22"/>
        </w:rPr>
        <w:t>final</w:t>
      </w:r>
      <w:r w:rsidRPr="00324AF5">
        <w:rPr>
          <w:rFonts w:ascii="Arial" w:hAnsi="Arial"/>
          <w:sz w:val="22"/>
        </w:rPr>
        <w:t xml:space="preserve"> action, the NRC would review </w:t>
      </w:r>
      <w:r w:rsidRPr="007942C2">
        <w:rPr>
          <w:rFonts w:ascii="Arial" w:hAnsi="Arial"/>
          <w:sz w:val="22"/>
        </w:rPr>
        <w:t>2</w:t>
      </w:r>
      <w:r w:rsidRPr="007942C2" w:rsidR="007942C2">
        <w:rPr>
          <w:rFonts w:ascii="Arial" w:hAnsi="Arial"/>
          <w:sz w:val="22"/>
        </w:rPr>
        <w:t>6</w:t>
      </w:r>
      <w:r w:rsidRPr="007942C2">
        <w:rPr>
          <w:rFonts w:ascii="Arial" w:hAnsi="Arial"/>
          <w:sz w:val="22"/>
        </w:rPr>
        <w:t xml:space="preserve"> fewer</w:t>
      </w:r>
      <w:r w:rsidRPr="00324AF5">
        <w:rPr>
          <w:rFonts w:ascii="Arial" w:hAnsi="Arial"/>
          <w:sz w:val="22"/>
        </w:rPr>
        <w:t xml:space="preserve"> requests for alternatives annually.  The NRC estimates that reviewing these requests takes an average </w:t>
      </w:r>
      <w:r w:rsidRPr="007942C2">
        <w:rPr>
          <w:rFonts w:ascii="Arial" w:hAnsi="Arial"/>
          <w:sz w:val="22"/>
        </w:rPr>
        <w:t>of 1</w:t>
      </w:r>
      <w:r w:rsidRPr="007942C2" w:rsidR="001A1EAA">
        <w:rPr>
          <w:rFonts w:ascii="Arial" w:hAnsi="Arial"/>
          <w:sz w:val="22"/>
        </w:rPr>
        <w:t>15</w:t>
      </w:r>
      <w:r w:rsidRPr="007942C2">
        <w:rPr>
          <w:rFonts w:ascii="Arial" w:hAnsi="Arial"/>
          <w:sz w:val="22"/>
        </w:rPr>
        <w:t xml:space="preserve"> hours</w:t>
      </w:r>
      <w:r w:rsidRPr="005B242C">
        <w:rPr>
          <w:rFonts w:ascii="Arial" w:hAnsi="Arial"/>
          <w:sz w:val="22"/>
        </w:rPr>
        <w:t xml:space="preserve"> per request.  As a result, the NRC estimates that the incorporation by reference of new Code Cases will result in a savings of $</w:t>
      </w:r>
      <w:r w:rsidR="00334769">
        <w:rPr>
          <w:rFonts w:ascii="Arial" w:hAnsi="Arial"/>
          <w:sz w:val="22"/>
        </w:rPr>
        <w:t>834,210</w:t>
      </w:r>
      <w:r w:rsidRPr="009F140D" w:rsidDel="009F140D" w:rsidR="009F140D">
        <w:rPr>
          <w:rFonts w:ascii="Arial" w:hAnsi="Arial"/>
          <w:sz w:val="22"/>
        </w:rPr>
        <w:t xml:space="preserve"> </w:t>
      </w:r>
      <w:r w:rsidRPr="005B242C">
        <w:rPr>
          <w:rFonts w:ascii="Arial" w:hAnsi="Arial"/>
          <w:sz w:val="22"/>
        </w:rPr>
        <w:t>(1</w:t>
      </w:r>
      <w:r w:rsidRPr="005B242C" w:rsidR="001A1EAA">
        <w:rPr>
          <w:rFonts w:ascii="Arial" w:hAnsi="Arial"/>
          <w:sz w:val="22"/>
        </w:rPr>
        <w:t>15</w:t>
      </w:r>
      <w:r w:rsidR="00BE13BB">
        <w:rPr>
          <w:rFonts w:ascii="Arial" w:hAnsi="Arial"/>
          <w:sz w:val="22"/>
        </w:rPr>
        <w:t> </w:t>
      </w:r>
      <w:r w:rsidRPr="005B242C">
        <w:rPr>
          <w:rFonts w:ascii="Arial" w:hAnsi="Arial"/>
          <w:sz w:val="22"/>
        </w:rPr>
        <w:t>h</w:t>
      </w:r>
      <w:r w:rsidR="00BE13BB">
        <w:rPr>
          <w:rFonts w:ascii="Arial" w:hAnsi="Arial"/>
          <w:sz w:val="22"/>
        </w:rPr>
        <w:t>ou</w:t>
      </w:r>
      <w:r w:rsidRPr="005B242C">
        <w:rPr>
          <w:rFonts w:ascii="Arial" w:hAnsi="Arial"/>
          <w:sz w:val="22"/>
        </w:rPr>
        <w:t>rs/relief request x 2</w:t>
      </w:r>
      <w:r w:rsidR="007942C2">
        <w:rPr>
          <w:rFonts w:ascii="Arial" w:hAnsi="Arial"/>
          <w:sz w:val="22"/>
        </w:rPr>
        <w:t>6</w:t>
      </w:r>
      <w:r w:rsidRPr="005B242C">
        <w:rPr>
          <w:rFonts w:ascii="Arial" w:hAnsi="Arial"/>
          <w:sz w:val="22"/>
        </w:rPr>
        <w:t xml:space="preserve"> requests x $</w:t>
      </w:r>
      <w:r w:rsidR="004A31C2">
        <w:rPr>
          <w:rFonts w:ascii="Arial" w:hAnsi="Arial"/>
          <w:sz w:val="22"/>
        </w:rPr>
        <w:t>279</w:t>
      </w:r>
      <w:r w:rsidRPr="005B242C">
        <w:rPr>
          <w:rFonts w:ascii="Arial" w:hAnsi="Arial"/>
          <w:sz w:val="22"/>
        </w:rPr>
        <w:t>/h</w:t>
      </w:r>
      <w:r w:rsidR="00BE13BB">
        <w:rPr>
          <w:rFonts w:ascii="Arial" w:hAnsi="Arial"/>
          <w:sz w:val="22"/>
        </w:rPr>
        <w:t>ou</w:t>
      </w:r>
      <w:r w:rsidRPr="005B242C">
        <w:rPr>
          <w:rFonts w:ascii="Arial" w:hAnsi="Arial"/>
          <w:sz w:val="22"/>
        </w:rPr>
        <w:t>r).</w:t>
      </w:r>
      <w:r w:rsidRPr="005B242C">
        <w:rPr>
          <w:rFonts w:ascii="Arial" w:hAnsi="Arial" w:cs="Arial"/>
          <w:sz w:val="22"/>
          <w:szCs w:val="22"/>
        </w:rPr>
        <w:t xml:space="preserve"> </w:t>
      </w:r>
      <w:r w:rsidRPr="005B242C" w:rsidR="006A4344">
        <w:rPr>
          <w:rFonts w:ascii="Arial" w:hAnsi="Arial" w:cs="Arial"/>
          <w:sz w:val="22"/>
          <w:szCs w:val="22"/>
        </w:rPr>
        <w:t xml:space="preserve"> </w:t>
      </w:r>
      <w:r w:rsidRPr="0000192E">
        <w:rPr>
          <w:rFonts w:ascii="Arial" w:hAnsi="Arial" w:cs="Arial"/>
          <w:sz w:val="22"/>
          <w:szCs w:val="22"/>
        </w:rPr>
        <w:t>Table 3</w:t>
      </w:r>
      <w:r w:rsidRPr="005B242C">
        <w:rPr>
          <w:rFonts w:ascii="Arial" w:hAnsi="Arial" w:cs="Arial"/>
          <w:sz w:val="22"/>
          <w:szCs w:val="22"/>
        </w:rPr>
        <w:t xml:space="preserve"> </w:t>
      </w:r>
      <w:r w:rsidR="008E28E9">
        <w:rPr>
          <w:rFonts w:ascii="Arial" w:hAnsi="Arial" w:cs="Arial"/>
          <w:sz w:val="22"/>
          <w:szCs w:val="22"/>
        </w:rPr>
        <w:t xml:space="preserve">on </w:t>
      </w:r>
      <w:r w:rsidRPr="005B242C" w:rsidR="008E28E9">
        <w:rPr>
          <w:rFonts w:ascii="Arial" w:hAnsi="Arial" w:cs="Arial"/>
          <w:sz w:val="22"/>
          <w:szCs w:val="22"/>
        </w:rPr>
        <w:t>page</w:t>
      </w:r>
      <w:r w:rsidR="008E28E9">
        <w:rPr>
          <w:rFonts w:ascii="Arial" w:hAnsi="Arial" w:cs="Arial"/>
          <w:sz w:val="22"/>
          <w:szCs w:val="22"/>
        </w:rPr>
        <w:t> </w:t>
      </w:r>
      <w:r w:rsidR="008E28E9">
        <w:rPr>
          <w:rFonts w:ascii="Arial" w:hAnsi="Arial" w:cs="Arial"/>
          <w:sz w:val="22"/>
          <w:szCs w:val="22"/>
        </w:rPr>
        <w:fldChar w:fldCharType="begin"/>
      </w:r>
      <w:r w:rsidR="008E28E9">
        <w:rPr>
          <w:rFonts w:ascii="Arial" w:hAnsi="Arial" w:cs="Arial"/>
          <w:sz w:val="22"/>
          <w:szCs w:val="22"/>
        </w:rPr>
        <w:instrText xml:space="preserve"> PAGEREF _Ref40262475 \h </w:instrText>
      </w:r>
      <w:r w:rsidR="008E28E9">
        <w:rPr>
          <w:rFonts w:ascii="Arial" w:hAnsi="Arial" w:cs="Arial"/>
          <w:sz w:val="22"/>
          <w:szCs w:val="22"/>
        </w:rPr>
      </w:r>
      <w:r w:rsidR="008E28E9">
        <w:rPr>
          <w:rFonts w:ascii="Arial" w:hAnsi="Arial" w:cs="Arial"/>
          <w:sz w:val="22"/>
          <w:szCs w:val="22"/>
        </w:rPr>
        <w:fldChar w:fldCharType="separate"/>
      </w:r>
      <w:r w:rsidR="008E28E9">
        <w:rPr>
          <w:rFonts w:ascii="Arial" w:hAnsi="Arial" w:cs="Arial"/>
          <w:noProof/>
          <w:sz w:val="22"/>
          <w:szCs w:val="22"/>
        </w:rPr>
        <w:t>8</w:t>
      </w:r>
      <w:r w:rsidR="008E28E9">
        <w:rPr>
          <w:rFonts w:ascii="Arial" w:hAnsi="Arial" w:cs="Arial"/>
          <w:sz w:val="22"/>
          <w:szCs w:val="22"/>
        </w:rPr>
        <w:fldChar w:fldCharType="end"/>
      </w:r>
      <w:r w:rsidRPr="005B242C" w:rsidR="008E28E9">
        <w:rPr>
          <w:rFonts w:ascii="Arial" w:hAnsi="Arial" w:cs="Arial"/>
          <w:sz w:val="22"/>
          <w:szCs w:val="22"/>
        </w:rPr>
        <w:t xml:space="preserve"> of </w:t>
      </w:r>
      <w:r w:rsidRPr="005B242C">
        <w:rPr>
          <w:rFonts w:ascii="Arial" w:hAnsi="Arial" w:cs="Arial"/>
          <w:sz w:val="22"/>
          <w:szCs w:val="22"/>
        </w:rPr>
        <w:t>th</w:t>
      </w:r>
      <w:r w:rsidR="00504AC9">
        <w:rPr>
          <w:rFonts w:ascii="Arial" w:hAnsi="Arial" w:cs="Arial"/>
          <w:sz w:val="22"/>
          <w:szCs w:val="22"/>
        </w:rPr>
        <w:t>is</w:t>
      </w:r>
      <w:r w:rsidRPr="005B242C">
        <w:rPr>
          <w:rFonts w:ascii="Arial" w:hAnsi="Arial" w:cs="Arial"/>
          <w:sz w:val="22"/>
          <w:szCs w:val="22"/>
        </w:rPr>
        <w:t xml:space="preserve"> supporting statement</w:t>
      </w:r>
      <w:r w:rsidR="00BE13BB">
        <w:rPr>
          <w:rFonts w:ascii="Arial" w:hAnsi="Arial" w:cs="Arial"/>
          <w:sz w:val="22"/>
          <w:szCs w:val="22"/>
        </w:rPr>
        <w:t xml:space="preserve"> shows t</w:t>
      </w:r>
      <w:r w:rsidRPr="005B242C" w:rsidR="00BE13BB">
        <w:rPr>
          <w:rFonts w:ascii="Arial" w:hAnsi="Arial" w:cs="Arial"/>
          <w:sz w:val="22"/>
          <w:szCs w:val="22"/>
        </w:rPr>
        <w:t>he burden estimate</w:t>
      </w:r>
      <w:r w:rsidRPr="005B242C">
        <w:rPr>
          <w:rFonts w:ascii="Arial" w:hAnsi="Arial" w:cs="Arial"/>
          <w:sz w:val="22"/>
          <w:szCs w:val="22"/>
        </w:rPr>
        <w:t>.</w:t>
      </w:r>
    </w:p>
    <w:p w:rsidR="004A28CE" w:rsidP="00574DC2" w:rsidRDefault="004A28CE" w14:paraId="441610F7" w14:textId="77777777">
      <w:pPr>
        <w:pStyle w:val="Level1"/>
        <w:widowControl/>
        <w:ind w:left="1440"/>
        <w:rPr>
          <w:rFonts w:ascii="Arial" w:hAnsi="Arial"/>
          <w:sz w:val="22"/>
        </w:rPr>
      </w:pPr>
    </w:p>
    <w:p w:rsidRPr="00124FD8" w:rsidR="004A28CE" w:rsidP="00574DC2" w:rsidRDefault="004A28CE" w14:paraId="1D959DE9" w14:textId="3A627876">
      <w:pPr>
        <w:ind w:left="1440"/>
        <w:rPr>
          <w:rFonts w:ascii="Arial" w:hAnsi="Arial"/>
          <w:sz w:val="22"/>
          <w:szCs w:val="22"/>
        </w:rPr>
      </w:pPr>
      <w:r w:rsidRPr="1003284E">
        <w:rPr>
          <w:rFonts w:ascii="Arial" w:hAnsi="Arial"/>
          <w:sz w:val="22"/>
          <w:szCs w:val="22"/>
        </w:rPr>
        <w:t xml:space="preserve">The current annualized cost to the Federal </w:t>
      </w:r>
      <w:r w:rsidRPr="00124FD8" w:rsidR="00BE13BB">
        <w:rPr>
          <w:rFonts w:ascii="Arial" w:hAnsi="Arial"/>
          <w:sz w:val="22"/>
          <w:szCs w:val="22"/>
        </w:rPr>
        <w:t>G</w:t>
      </w:r>
      <w:r w:rsidRPr="00124FD8">
        <w:rPr>
          <w:rFonts w:ascii="Arial" w:hAnsi="Arial"/>
          <w:sz w:val="22"/>
          <w:szCs w:val="22"/>
        </w:rPr>
        <w:t xml:space="preserve">overnment for </w:t>
      </w:r>
      <w:r w:rsidRPr="00124FD8" w:rsidR="00BE13BB">
        <w:rPr>
          <w:rFonts w:ascii="Arial" w:hAnsi="Arial"/>
          <w:sz w:val="22"/>
          <w:szCs w:val="22"/>
        </w:rPr>
        <w:t>10 CFR </w:t>
      </w:r>
      <w:r w:rsidRPr="00124FD8">
        <w:rPr>
          <w:rFonts w:ascii="Arial" w:hAnsi="Arial"/>
          <w:sz w:val="22"/>
          <w:szCs w:val="22"/>
        </w:rPr>
        <w:t>Part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>
        <w:rPr>
          <w:rFonts w:ascii="Arial" w:hAnsi="Arial"/>
          <w:sz w:val="22"/>
          <w:szCs w:val="22"/>
        </w:rPr>
        <w:t>50</w:t>
      </w:r>
      <w:r w:rsidRPr="00124FD8" w:rsidR="00B35B82">
        <w:rPr>
          <w:rFonts w:ascii="Arial" w:hAnsi="Arial"/>
          <w:sz w:val="22"/>
          <w:szCs w:val="22"/>
        </w:rPr>
        <w:t>, “Domestic licensing of production and utilization facilities,”</w:t>
      </w:r>
      <w:r w:rsidRPr="00124FD8">
        <w:rPr>
          <w:rFonts w:ascii="Arial" w:hAnsi="Arial"/>
          <w:sz w:val="22"/>
          <w:szCs w:val="22"/>
        </w:rPr>
        <w:t xml:space="preserve"> is </w:t>
      </w:r>
      <w:r w:rsidRPr="00124FD8" w:rsidR="003511FA">
        <w:rPr>
          <w:rFonts w:ascii="Arial" w:hAnsi="Arial"/>
          <w:sz w:val="22"/>
          <w:szCs w:val="22"/>
        </w:rPr>
        <w:t>$</w:t>
      </w:r>
      <w:r w:rsidR="006930D5">
        <w:rPr>
          <w:rFonts w:ascii="Arial" w:hAnsi="Arial"/>
          <w:sz w:val="22"/>
          <w:szCs w:val="22"/>
        </w:rPr>
        <w:t>67,075,506</w:t>
      </w:r>
      <w:r w:rsidRPr="00124FD8" w:rsidR="003511FA">
        <w:rPr>
          <w:rFonts w:ascii="Arial" w:hAnsi="Arial"/>
          <w:sz w:val="22"/>
          <w:szCs w:val="22"/>
        </w:rPr>
        <w:t>.</w:t>
      </w:r>
      <w:r w:rsidRPr="00124FD8" w:rsidR="005B242C">
        <w:rPr>
          <w:rFonts w:ascii="Arial" w:hAnsi="Arial"/>
          <w:sz w:val="22"/>
          <w:szCs w:val="22"/>
        </w:rPr>
        <w:t xml:space="preserve"> </w:t>
      </w:r>
      <w:r w:rsidRPr="00124FD8">
        <w:rPr>
          <w:rFonts w:ascii="Arial" w:hAnsi="Arial"/>
          <w:sz w:val="22"/>
          <w:szCs w:val="22"/>
        </w:rPr>
        <w:t xml:space="preserve"> The total annualized cost to the </w:t>
      </w:r>
      <w:r w:rsidRPr="00124FD8" w:rsidR="00B35B82">
        <w:rPr>
          <w:rFonts w:ascii="Arial" w:hAnsi="Arial"/>
          <w:sz w:val="22"/>
          <w:szCs w:val="22"/>
        </w:rPr>
        <w:t>G</w:t>
      </w:r>
      <w:r w:rsidRPr="00124FD8">
        <w:rPr>
          <w:rFonts w:ascii="Arial" w:hAnsi="Arial"/>
          <w:sz w:val="22"/>
          <w:szCs w:val="22"/>
        </w:rPr>
        <w:t xml:space="preserve">overnment for </w:t>
      </w:r>
      <w:r w:rsidRPr="00124FD8" w:rsidR="00BE13BB">
        <w:rPr>
          <w:rFonts w:ascii="Arial" w:hAnsi="Arial"/>
          <w:sz w:val="22"/>
          <w:szCs w:val="22"/>
        </w:rPr>
        <w:t>10 CFR </w:t>
      </w:r>
      <w:r w:rsidRPr="00124FD8">
        <w:rPr>
          <w:rFonts w:ascii="Arial" w:hAnsi="Arial"/>
          <w:sz w:val="22"/>
          <w:szCs w:val="22"/>
        </w:rPr>
        <w:t>Part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>
        <w:rPr>
          <w:rFonts w:ascii="Arial" w:hAnsi="Arial"/>
          <w:sz w:val="22"/>
          <w:szCs w:val="22"/>
        </w:rPr>
        <w:t xml:space="preserve">50 will be </w:t>
      </w:r>
      <w:r w:rsidRPr="00124FD8" w:rsidR="00856D7A">
        <w:rPr>
          <w:rFonts w:ascii="Arial" w:hAnsi="Arial"/>
          <w:sz w:val="22"/>
          <w:szCs w:val="22"/>
        </w:rPr>
        <w:t>$</w:t>
      </w:r>
      <w:r w:rsidR="00FA2006">
        <w:rPr>
          <w:rFonts w:ascii="Arial" w:hAnsi="Arial"/>
          <w:sz w:val="22"/>
          <w:szCs w:val="22"/>
        </w:rPr>
        <w:t>66,</w:t>
      </w:r>
      <w:r w:rsidR="005F24AA">
        <w:rPr>
          <w:rFonts w:ascii="Arial" w:hAnsi="Arial"/>
          <w:sz w:val="22"/>
          <w:szCs w:val="22"/>
        </w:rPr>
        <w:t>241,296</w:t>
      </w:r>
      <w:r w:rsidR="00856D7A">
        <w:rPr>
          <w:rFonts w:ascii="Arial" w:hAnsi="Arial"/>
          <w:sz w:val="22"/>
          <w:szCs w:val="22"/>
        </w:rPr>
        <w:t xml:space="preserve"> (</w:t>
      </w:r>
      <w:r w:rsidRPr="00124FD8">
        <w:rPr>
          <w:rFonts w:ascii="Arial" w:hAnsi="Arial"/>
          <w:sz w:val="22"/>
          <w:szCs w:val="22"/>
        </w:rPr>
        <w:t>$</w:t>
      </w:r>
      <w:r w:rsidR="00FA2006">
        <w:rPr>
          <w:rFonts w:ascii="Arial" w:hAnsi="Arial"/>
          <w:sz w:val="22"/>
          <w:szCs w:val="22"/>
        </w:rPr>
        <w:t xml:space="preserve">67,075,506 </w:t>
      </w:r>
      <w:r w:rsidRPr="00124FD8">
        <w:rPr>
          <w:rFonts w:ascii="Arial" w:hAnsi="Arial"/>
          <w:sz w:val="22"/>
          <w:szCs w:val="22"/>
        </w:rPr>
        <w:t>-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>
        <w:rPr>
          <w:rFonts w:ascii="Arial" w:hAnsi="Arial"/>
          <w:sz w:val="22"/>
          <w:szCs w:val="22"/>
        </w:rPr>
        <w:t>$</w:t>
      </w:r>
      <w:r w:rsidR="00A27BF3">
        <w:rPr>
          <w:rFonts w:ascii="Arial" w:hAnsi="Arial"/>
          <w:sz w:val="22"/>
          <w:szCs w:val="22"/>
        </w:rPr>
        <w:t>834</w:t>
      </w:r>
      <w:r w:rsidRPr="00124FD8" w:rsidR="3B855EBA">
        <w:rPr>
          <w:rFonts w:ascii="Arial" w:hAnsi="Arial"/>
          <w:sz w:val="22"/>
          <w:szCs w:val="22"/>
        </w:rPr>
        <w:t>,</w:t>
      </w:r>
      <w:r w:rsidR="00A27BF3">
        <w:rPr>
          <w:rFonts w:ascii="Arial" w:hAnsi="Arial"/>
          <w:sz w:val="22"/>
          <w:szCs w:val="22"/>
        </w:rPr>
        <w:t>21</w:t>
      </w:r>
      <w:r w:rsidRPr="00124FD8" w:rsidR="3B855EBA">
        <w:rPr>
          <w:rFonts w:ascii="Arial" w:hAnsi="Arial"/>
          <w:sz w:val="22"/>
          <w:szCs w:val="22"/>
        </w:rPr>
        <w:t>0</w:t>
      </w:r>
      <w:r w:rsidRPr="00124FD8">
        <w:rPr>
          <w:rFonts w:ascii="Arial" w:hAnsi="Arial"/>
          <w:sz w:val="22"/>
          <w:szCs w:val="22"/>
        </w:rPr>
        <w:t xml:space="preserve"> = $</w:t>
      </w:r>
      <w:r w:rsidR="00FA2006">
        <w:rPr>
          <w:rFonts w:ascii="Arial" w:hAnsi="Arial"/>
          <w:sz w:val="22"/>
          <w:szCs w:val="22"/>
        </w:rPr>
        <w:t>66,</w:t>
      </w:r>
      <w:r w:rsidR="0004170D">
        <w:rPr>
          <w:rFonts w:ascii="Arial" w:hAnsi="Arial"/>
          <w:sz w:val="22"/>
          <w:szCs w:val="22"/>
        </w:rPr>
        <w:t>241,</w:t>
      </w:r>
      <w:r w:rsidR="005F24AA">
        <w:rPr>
          <w:rFonts w:ascii="Arial" w:hAnsi="Arial"/>
          <w:sz w:val="22"/>
          <w:szCs w:val="22"/>
        </w:rPr>
        <w:t>296</w:t>
      </w:r>
      <w:r w:rsidR="0023395C">
        <w:rPr>
          <w:rFonts w:ascii="Arial" w:hAnsi="Arial"/>
          <w:sz w:val="22"/>
          <w:szCs w:val="22"/>
        </w:rPr>
        <w:t>)</w:t>
      </w:r>
      <w:r w:rsidRPr="00124FD8">
        <w:rPr>
          <w:rFonts w:ascii="Arial" w:hAnsi="Arial"/>
          <w:sz w:val="22"/>
          <w:szCs w:val="22"/>
        </w:rPr>
        <w:t>.</w:t>
      </w:r>
    </w:p>
    <w:p w:rsidRPr="00124FD8" w:rsidR="002A64F1" w:rsidP="00356679" w:rsidRDefault="002A64F1" w14:paraId="542A8BA8" w14:textId="77777777">
      <w:pPr>
        <w:pStyle w:val="Level1"/>
        <w:widowControl/>
        <w:ind w:left="1080"/>
        <w:rPr>
          <w:rFonts w:ascii="Arial" w:hAnsi="Arial"/>
          <w:sz w:val="22"/>
        </w:rPr>
      </w:pPr>
    </w:p>
    <w:p w:rsidR="00F0085E" w:rsidP="002E2FF8" w:rsidRDefault="002A64F1" w14:paraId="4F3375D5" w14:textId="2A5B2CB1">
      <w:pPr>
        <w:widowControl w:val="0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r w:rsidRPr="00124FD8">
        <w:rPr>
          <w:rFonts w:ascii="Arial" w:hAnsi="Arial"/>
          <w:sz w:val="22"/>
          <w:u w:val="single"/>
        </w:rPr>
        <w:t>Reasons for Change in Burden or Cost</w:t>
      </w:r>
    </w:p>
    <w:p w:rsidRPr="002E2FF8" w:rsidR="00E917B2" w:rsidP="00E917B2" w:rsidRDefault="00E917B2" w14:paraId="06CE43CB" w14:textId="77777777">
      <w:pPr>
        <w:widowControl w:val="0"/>
        <w:ind w:left="1440"/>
        <w:rPr>
          <w:rFonts w:ascii="Arial" w:hAnsi="Arial"/>
          <w:sz w:val="22"/>
          <w:u w:val="single"/>
        </w:rPr>
      </w:pPr>
    </w:p>
    <w:p w:rsidR="004A28CE" w:rsidP="00574DC2" w:rsidRDefault="00A54008" w14:paraId="1C243DBA" w14:textId="23D4B9E6">
      <w:pPr>
        <w:pStyle w:val="Level1"/>
        <w:widowControl/>
        <w:ind w:left="1440"/>
        <w:rPr>
          <w:rFonts w:ascii="Arial" w:hAnsi="Arial" w:cs="Arial"/>
          <w:color w:val="000000"/>
          <w:sz w:val="22"/>
          <w:szCs w:val="22"/>
        </w:rPr>
      </w:pPr>
      <w:r w:rsidRPr="00124FD8">
        <w:rPr>
          <w:rFonts w:ascii="Arial" w:hAnsi="Arial"/>
          <w:sz w:val="22"/>
          <w:szCs w:val="22"/>
        </w:rPr>
        <w:t xml:space="preserve">The </w:t>
      </w:r>
      <w:r w:rsidR="00306F65">
        <w:rPr>
          <w:rFonts w:ascii="Arial" w:hAnsi="Arial"/>
          <w:sz w:val="22"/>
          <w:szCs w:val="22"/>
        </w:rPr>
        <w:t>final</w:t>
      </w:r>
      <w:r w:rsidRPr="00124FD8">
        <w:rPr>
          <w:rFonts w:ascii="Arial" w:hAnsi="Arial"/>
          <w:sz w:val="22"/>
          <w:szCs w:val="22"/>
        </w:rPr>
        <w:t xml:space="preserve"> rule would decrease the burden for </w:t>
      </w:r>
      <w:r w:rsidRPr="00124FD8" w:rsidR="00724952">
        <w:rPr>
          <w:rFonts w:ascii="Arial" w:hAnsi="Arial"/>
          <w:sz w:val="22"/>
          <w:szCs w:val="22"/>
        </w:rPr>
        <w:t>10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 w:rsidR="00724952">
        <w:rPr>
          <w:rFonts w:ascii="Arial" w:hAnsi="Arial"/>
          <w:sz w:val="22"/>
          <w:szCs w:val="22"/>
        </w:rPr>
        <w:t>CFR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>
        <w:rPr>
          <w:rFonts w:ascii="Arial" w:hAnsi="Arial"/>
          <w:sz w:val="22"/>
          <w:szCs w:val="22"/>
        </w:rPr>
        <w:t>Part</w:t>
      </w:r>
      <w:r w:rsidRPr="00124FD8" w:rsidR="00BE13BB">
        <w:rPr>
          <w:rFonts w:ascii="Arial" w:hAnsi="Arial"/>
          <w:sz w:val="22"/>
          <w:szCs w:val="22"/>
        </w:rPr>
        <w:t> </w:t>
      </w:r>
      <w:r w:rsidRPr="00124FD8">
        <w:rPr>
          <w:rFonts w:ascii="Arial" w:hAnsi="Arial"/>
          <w:sz w:val="22"/>
          <w:szCs w:val="22"/>
        </w:rPr>
        <w:t xml:space="preserve">50 from </w:t>
      </w:r>
      <w:r w:rsidRPr="00124FD8" w:rsidR="000922A4">
        <w:rPr>
          <w:rFonts w:ascii="Arial" w:hAnsi="Arial"/>
          <w:sz w:val="22"/>
          <w:szCs w:val="22"/>
        </w:rPr>
        <w:t>3,</w:t>
      </w:r>
      <w:r w:rsidR="000922A4">
        <w:rPr>
          <w:rFonts w:ascii="Arial" w:hAnsi="Arial"/>
          <w:sz w:val="22"/>
          <w:szCs w:val="22"/>
        </w:rPr>
        <w:t>648,166 hours</w:t>
      </w:r>
      <w:r w:rsidRPr="00124FD8" w:rsidR="004A28CE">
        <w:rPr>
          <w:rFonts w:ascii="Arial" w:hAnsi="Arial"/>
          <w:sz w:val="22"/>
          <w:szCs w:val="22"/>
        </w:rPr>
        <w:t xml:space="preserve"> 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124FD8" w:rsidR="394CB034">
        <w:rPr>
          <w:rFonts w:ascii="Arial" w:hAnsi="Arial" w:cs="Arial"/>
          <w:color w:val="000000" w:themeColor="text1"/>
          <w:sz w:val="22"/>
          <w:szCs w:val="22"/>
        </w:rPr>
        <w:t>4</w:t>
      </w:r>
      <w:r w:rsidR="00D2379C">
        <w:rPr>
          <w:rFonts w:ascii="Arial" w:hAnsi="Arial" w:cs="Arial"/>
          <w:color w:val="000000" w:themeColor="text1"/>
          <w:sz w:val="22"/>
          <w:szCs w:val="22"/>
        </w:rPr>
        <w:t xml:space="preserve">2,244 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 xml:space="preserve">responses to </w:t>
      </w:r>
      <w:r w:rsidRPr="00124FD8" w:rsidR="3E91C1E7">
        <w:rPr>
          <w:rFonts w:ascii="Arial" w:hAnsi="Arial" w:cs="Arial"/>
          <w:color w:val="000000" w:themeColor="text1"/>
          <w:sz w:val="22"/>
          <w:szCs w:val="22"/>
        </w:rPr>
        <w:t>3</w:t>
      </w:r>
      <w:r w:rsidR="00D60398">
        <w:rPr>
          <w:rFonts w:ascii="Arial" w:hAnsi="Arial" w:cs="Arial"/>
          <w:color w:val="000000" w:themeColor="text1"/>
          <w:sz w:val="22"/>
          <w:szCs w:val="22"/>
        </w:rPr>
        <w:t>,64</w:t>
      </w:r>
      <w:r w:rsidR="00BC37B7">
        <w:rPr>
          <w:rFonts w:ascii="Arial" w:hAnsi="Arial" w:cs="Arial"/>
          <w:color w:val="000000" w:themeColor="text1"/>
          <w:sz w:val="22"/>
          <w:szCs w:val="22"/>
        </w:rPr>
        <w:t>1</w:t>
      </w:r>
      <w:r w:rsidR="00D60398">
        <w:rPr>
          <w:rFonts w:ascii="Arial" w:hAnsi="Arial" w:cs="Arial"/>
          <w:color w:val="000000" w:themeColor="text1"/>
          <w:sz w:val="22"/>
          <w:szCs w:val="22"/>
        </w:rPr>
        <w:t>,</w:t>
      </w:r>
      <w:r w:rsidR="00CB5B28">
        <w:rPr>
          <w:rFonts w:ascii="Arial" w:hAnsi="Arial" w:cs="Arial"/>
          <w:color w:val="000000" w:themeColor="text1"/>
          <w:sz w:val="22"/>
          <w:szCs w:val="22"/>
        </w:rPr>
        <w:t>9</w:t>
      </w:r>
      <w:r w:rsidR="00E156E5">
        <w:rPr>
          <w:rFonts w:ascii="Arial" w:hAnsi="Arial" w:cs="Arial"/>
          <w:color w:val="000000" w:themeColor="text1"/>
          <w:sz w:val="22"/>
          <w:szCs w:val="22"/>
        </w:rPr>
        <w:t>2</w:t>
      </w:r>
      <w:r w:rsidR="00CB5B28">
        <w:rPr>
          <w:rFonts w:ascii="Arial" w:hAnsi="Arial" w:cs="Arial"/>
          <w:color w:val="000000" w:themeColor="text1"/>
          <w:sz w:val="22"/>
          <w:szCs w:val="22"/>
        </w:rPr>
        <w:t>6</w:t>
      </w:r>
      <w:r w:rsidR="00D603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 xml:space="preserve">hours and </w:t>
      </w:r>
      <w:r w:rsidR="00D2379C">
        <w:rPr>
          <w:rFonts w:ascii="Arial" w:hAnsi="Arial" w:cs="Arial"/>
          <w:color w:val="000000" w:themeColor="text1"/>
          <w:sz w:val="22"/>
          <w:szCs w:val="22"/>
        </w:rPr>
        <w:t>42,</w:t>
      </w:r>
      <w:r w:rsidR="002A0F75">
        <w:rPr>
          <w:rFonts w:ascii="Arial" w:hAnsi="Arial" w:cs="Arial"/>
          <w:color w:val="000000" w:themeColor="text1"/>
          <w:sz w:val="22"/>
          <w:szCs w:val="22"/>
        </w:rPr>
        <w:t>218</w:t>
      </w:r>
      <w:r w:rsidRPr="00124FD8" w:rsidR="00BE13B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 xml:space="preserve">responses, a reduction of </w:t>
      </w:r>
      <w:r w:rsidR="004F1814">
        <w:rPr>
          <w:rFonts w:ascii="Arial" w:hAnsi="Arial"/>
          <w:sz w:val="22"/>
          <w:szCs w:val="22"/>
        </w:rPr>
        <w:t>6,24</w:t>
      </w:r>
      <w:r w:rsidR="0069202A">
        <w:rPr>
          <w:rFonts w:ascii="Arial" w:hAnsi="Arial"/>
          <w:sz w:val="22"/>
          <w:szCs w:val="22"/>
        </w:rPr>
        <w:t>0</w:t>
      </w:r>
      <w:r w:rsidRPr="00124FD8" w:rsidR="00C10F25">
        <w:rPr>
          <w:rFonts w:ascii="Arial" w:hAnsi="Arial"/>
          <w:sz w:val="22"/>
          <w:szCs w:val="22"/>
        </w:rPr>
        <w:t xml:space="preserve"> 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 xml:space="preserve">hours and </w:t>
      </w:r>
      <w:r w:rsidRPr="00124FD8" w:rsidR="004A28CE">
        <w:rPr>
          <w:rFonts w:ascii="Arial" w:hAnsi="Arial" w:cs="Arial"/>
          <w:sz w:val="22"/>
          <w:szCs w:val="22"/>
        </w:rPr>
        <w:t>2</w:t>
      </w:r>
      <w:r w:rsidR="000922A4">
        <w:rPr>
          <w:rFonts w:ascii="Arial" w:hAnsi="Arial" w:cs="Arial"/>
          <w:sz w:val="22"/>
          <w:szCs w:val="22"/>
        </w:rPr>
        <w:t>6</w:t>
      </w:r>
      <w:r w:rsidRPr="00124FD8" w:rsidR="00A303A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24FD8" w:rsidR="004A28CE">
        <w:rPr>
          <w:rFonts w:ascii="Arial" w:hAnsi="Arial" w:cs="Arial"/>
          <w:color w:val="000000" w:themeColor="text1"/>
          <w:sz w:val="22"/>
          <w:szCs w:val="22"/>
        </w:rPr>
        <w:t>responses</w:t>
      </w:r>
      <w:r w:rsidRPr="51BE7FBA" w:rsidR="004A28C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54008" w:rsidP="00574DC2" w:rsidRDefault="00A54008" w14:paraId="043C3CEE" w14:textId="424CECC6">
      <w:pPr>
        <w:widowControl w:val="0"/>
        <w:ind w:left="1440"/>
        <w:rPr>
          <w:rFonts w:ascii="Arial" w:hAnsi="Arial"/>
          <w:sz w:val="22"/>
        </w:rPr>
      </w:pPr>
    </w:p>
    <w:p w:rsidR="00115A17" w:rsidP="00574DC2" w:rsidRDefault="004A28CE" w14:paraId="2364ACE5" w14:textId="74C7DC6C">
      <w:pPr>
        <w:widowControl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The </w:t>
      </w:r>
      <w:r w:rsidR="005A5F3F">
        <w:rPr>
          <w:rFonts w:ascii="Arial" w:hAnsi="Arial"/>
          <w:sz w:val="22"/>
        </w:rPr>
        <w:t xml:space="preserve">final </w:t>
      </w:r>
      <w:r>
        <w:rPr>
          <w:rFonts w:ascii="Arial" w:hAnsi="Arial"/>
          <w:sz w:val="22"/>
        </w:rPr>
        <w:t xml:space="preserve">rule reduces burden by incorporating by reference recent ASME Code Cases.  </w:t>
      </w:r>
      <w:r w:rsidR="00BE13BB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>his incorporation by reference</w:t>
      </w:r>
      <w:r w:rsidR="00BE13BB">
        <w:rPr>
          <w:rFonts w:ascii="Arial" w:hAnsi="Arial"/>
          <w:sz w:val="22"/>
        </w:rPr>
        <w:t xml:space="preserve"> will reduce the</w:t>
      </w:r>
      <w:r>
        <w:rPr>
          <w:rFonts w:ascii="Arial" w:hAnsi="Arial"/>
          <w:sz w:val="22"/>
        </w:rPr>
        <w:t xml:space="preserve"> burden on licensees to submit requests for alternatives under 10</w:t>
      </w:r>
      <w:r w:rsidR="00BE13BB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CFR</w:t>
      </w:r>
      <w:r w:rsidR="00BE13BB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 xml:space="preserve">50.55a(z).  Licensees </w:t>
      </w:r>
      <w:r w:rsidR="00E70E38">
        <w:rPr>
          <w:rFonts w:ascii="Arial" w:hAnsi="Arial"/>
          <w:sz w:val="22"/>
        </w:rPr>
        <w:t>would</w:t>
      </w:r>
      <w:r>
        <w:rPr>
          <w:rFonts w:ascii="Arial" w:hAnsi="Arial"/>
          <w:sz w:val="22"/>
        </w:rPr>
        <w:t xml:space="preserve"> no longer need to submit alternative requests to use these Code </w:t>
      </w:r>
      <w:proofErr w:type="gramStart"/>
      <w:r>
        <w:rPr>
          <w:rFonts w:ascii="Arial" w:hAnsi="Arial"/>
          <w:sz w:val="22"/>
        </w:rPr>
        <w:t>Cases, once</w:t>
      </w:r>
      <w:proofErr w:type="gramEnd"/>
      <w:r>
        <w:rPr>
          <w:rFonts w:ascii="Arial" w:hAnsi="Arial"/>
          <w:sz w:val="22"/>
        </w:rPr>
        <w:t xml:space="preserve"> they are included in </w:t>
      </w:r>
      <w:r w:rsidR="00BE13BB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 xml:space="preserve">NRC’s </w:t>
      </w:r>
      <w:r w:rsidR="00BE13BB">
        <w:rPr>
          <w:rFonts w:ascii="Arial" w:hAnsi="Arial"/>
          <w:sz w:val="22"/>
        </w:rPr>
        <w:t>RGs</w:t>
      </w:r>
      <w:r>
        <w:rPr>
          <w:rFonts w:ascii="Arial" w:hAnsi="Arial"/>
          <w:sz w:val="22"/>
        </w:rPr>
        <w:t>.</w:t>
      </w:r>
      <w:r w:rsidRPr="000D2DAB">
        <w:rPr>
          <w:rFonts w:ascii="Arial" w:hAnsi="Arial" w:cs="Arial"/>
          <w:sz w:val="22"/>
          <w:szCs w:val="22"/>
        </w:rPr>
        <w:t xml:space="preserve"> </w:t>
      </w:r>
    </w:p>
    <w:p w:rsidR="00885647" w:rsidP="00574DC2" w:rsidRDefault="00885647" w14:paraId="6BAD0342" w14:textId="6762F7CE">
      <w:pPr>
        <w:widowControl w:val="0"/>
        <w:ind w:left="1440"/>
        <w:rPr>
          <w:rFonts w:ascii="Arial" w:hAnsi="Arial" w:cs="Arial"/>
          <w:sz w:val="22"/>
          <w:szCs w:val="22"/>
        </w:rPr>
      </w:pPr>
    </w:p>
    <w:p w:rsidRPr="00030E9A" w:rsidR="002A64F1" w:rsidP="00574DC2" w:rsidRDefault="002A64F1" w14:paraId="42E1D8A9" w14:textId="709EA22A">
      <w:pPr>
        <w:pStyle w:val="Level1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 w:cs="Arial"/>
          <w:sz w:val="22"/>
          <w:szCs w:val="22"/>
        </w:rPr>
      </w:pPr>
      <w:r w:rsidRPr="006208D7">
        <w:rPr>
          <w:rFonts w:ascii="Arial" w:hAnsi="Arial"/>
          <w:sz w:val="22"/>
          <w:szCs w:val="22"/>
          <w:u w:val="single"/>
        </w:rPr>
        <w:t>Publication for Statistical Use</w:t>
      </w:r>
    </w:p>
    <w:p w:rsidR="006208D7" w:rsidP="006208D7" w:rsidRDefault="006208D7" w14:paraId="6D41AE73" w14:textId="77777777">
      <w:pPr>
        <w:pStyle w:val="Level1"/>
        <w:ind w:left="1080"/>
        <w:rPr>
          <w:rFonts w:ascii="Arial" w:hAnsi="Arial"/>
          <w:sz w:val="22"/>
          <w:szCs w:val="22"/>
        </w:rPr>
      </w:pPr>
    </w:p>
    <w:p w:rsidRPr="006208D7" w:rsidR="006208D7" w:rsidP="00574DC2" w:rsidRDefault="006208D7" w14:paraId="0BCE5091" w14:textId="77777777">
      <w:pPr>
        <w:pStyle w:val="Level1"/>
        <w:ind w:left="1440"/>
        <w:rPr>
          <w:rFonts w:ascii="Arial" w:hAnsi="Arial"/>
          <w:sz w:val="22"/>
        </w:rPr>
      </w:pPr>
      <w:r w:rsidRPr="006208D7">
        <w:rPr>
          <w:rFonts w:ascii="Arial" w:hAnsi="Arial"/>
          <w:sz w:val="22"/>
          <w:szCs w:val="22"/>
        </w:rPr>
        <w:t>Not</w:t>
      </w:r>
      <w:r w:rsidRPr="006208D7">
        <w:rPr>
          <w:rFonts w:ascii="Arial" w:hAnsi="Arial"/>
          <w:sz w:val="22"/>
        </w:rPr>
        <w:t xml:space="preserve"> applicable.</w:t>
      </w:r>
    </w:p>
    <w:p w:rsidR="002A64F1" w:rsidP="005C74B2" w:rsidRDefault="002A64F1" w14:paraId="04F5759D" w14:textId="77777777">
      <w:pPr>
        <w:pStyle w:val="Level1"/>
        <w:ind w:left="1080"/>
        <w:rPr>
          <w:rFonts w:ascii="Arial" w:hAnsi="Arial"/>
          <w:sz w:val="22"/>
        </w:rPr>
      </w:pPr>
    </w:p>
    <w:p w:rsidRPr="00547E71" w:rsidR="002A64F1" w:rsidP="00574DC2" w:rsidRDefault="002A64F1" w14:paraId="57ADBE95" w14:textId="77777777">
      <w:pPr>
        <w:pStyle w:val="Level1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Reason for Not Displaying the Expiration Date</w:t>
      </w:r>
    </w:p>
    <w:p w:rsidR="00547E71" w:rsidP="005C74B2" w:rsidRDefault="00547E71" w14:paraId="3F753CF6" w14:textId="77777777">
      <w:pPr>
        <w:pStyle w:val="Level1"/>
        <w:ind w:left="1080"/>
        <w:rPr>
          <w:rFonts w:ascii="Arial" w:hAnsi="Arial"/>
          <w:sz w:val="22"/>
          <w:u w:val="single"/>
        </w:rPr>
      </w:pPr>
    </w:p>
    <w:p w:rsidRPr="00AE65E1" w:rsidR="00724952" w:rsidP="00574DC2" w:rsidRDefault="00724952" w14:paraId="0FB07340" w14:textId="2208CBC1">
      <w:pPr>
        <w:pStyle w:val="ListParagraph"/>
        <w:autoSpaceDE w:val="0"/>
        <w:autoSpaceDN w:val="0"/>
        <w:ind w:left="1440"/>
        <w:rPr>
          <w:rFonts w:ascii="Arial" w:hAnsi="Arial"/>
          <w:sz w:val="22"/>
          <w:u w:val="single"/>
        </w:rPr>
      </w:pPr>
      <w:r w:rsidRPr="00FD007F">
        <w:rPr>
          <w:rFonts w:ascii="Arial" w:hAnsi="Arial" w:cs="Arial"/>
          <w:sz w:val="22"/>
          <w:szCs w:val="22"/>
        </w:rPr>
        <w:t>The recordkeeping and reporting requirements for this information collection are associated with regulations and are not submitted on instruments such as forms or surveys.</w:t>
      </w:r>
      <w:r w:rsidR="00A93C1E">
        <w:rPr>
          <w:rFonts w:ascii="Arial" w:hAnsi="Arial" w:cs="Arial"/>
          <w:sz w:val="22"/>
          <w:szCs w:val="22"/>
        </w:rPr>
        <w:t xml:space="preserve"> </w:t>
      </w:r>
      <w:r w:rsidRPr="00FD007F">
        <w:rPr>
          <w:rFonts w:ascii="Arial" w:hAnsi="Arial" w:cs="Arial"/>
          <w:sz w:val="22"/>
          <w:szCs w:val="22"/>
        </w:rPr>
        <w:t xml:space="preserve"> For this reason, there are no data instruments on which to display an OMB expiration date. </w:t>
      </w:r>
      <w:r w:rsidR="00A93C1E">
        <w:rPr>
          <w:rFonts w:ascii="Arial" w:hAnsi="Arial" w:cs="Arial"/>
          <w:sz w:val="22"/>
          <w:szCs w:val="22"/>
        </w:rPr>
        <w:t xml:space="preserve"> </w:t>
      </w:r>
      <w:r w:rsidRPr="00FD007F">
        <w:rPr>
          <w:rFonts w:ascii="Arial" w:hAnsi="Arial" w:cs="Arial"/>
          <w:sz w:val="22"/>
          <w:szCs w:val="22"/>
        </w:rPr>
        <w:t>Further, amending the regulatory text</w:t>
      </w:r>
      <w:r w:rsidRPr="00AE65E1">
        <w:rPr>
          <w:rFonts w:ascii="Arial" w:hAnsi="Arial"/>
          <w:sz w:val="22"/>
        </w:rPr>
        <w:t xml:space="preserve"> of </w:t>
      </w:r>
      <w:r w:rsidRPr="00FD007F">
        <w:rPr>
          <w:rFonts w:ascii="Arial" w:hAnsi="Arial" w:cs="Arial"/>
          <w:sz w:val="22"/>
          <w:szCs w:val="22"/>
        </w:rPr>
        <w:t>the CFR to display information that, in an annual publication, could become obsolete would be unduly burdensome and too difficult to keep current.</w:t>
      </w:r>
    </w:p>
    <w:p w:rsidR="002A64F1" w:rsidP="005C74B2" w:rsidRDefault="002A64F1" w14:paraId="7F421578" w14:textId="77777777">
      <w:pPr>
        <w:pStyle w:val="Level1"/>
        <w:ind w:left="1080"/>
        <w:rPr>
          <w:rFonts w:ascii="Arial" w:hAnsi="Arial"/>
          <w:sz w:val="22"/>
        </w:rPr>
      </w:pPr>
    </w:p>
    <w:p w:rsidRPr="006208D7" w:rsidR="002A64F1" w:rsidP="00574DC2" w:rsidRDefault="002A64F1" w14:paraId="253E97C7" w14:textId="77777777">
      <w:pPr>
        <w:pStyle w:val="Level1"/>
        <w:numPr>
          <w:ilvl w:val="0"/>
          <w:numId w:val="3"/>
        </w:numPr>
        <w:tabs>
          <w:tab w:val="clear" w:pos="1080"/>
        </w:tabs>
        <w:ind w:left="1440" w:hanging="720"/>
        <w:rPr>
          <w:rFonts w:ascii="Arial" w:hAnsi="Arial"/>
          <w:sz w:val="22"/>
          <w:u w:val="single"/>
        </w:rPr>
      </w:pPr>
      <w:bookmarkStart w:name="_Ref40261869" w:id="0"/>
      <w:r w:rsidRPr="006208D7">
        <w:rPr>
          <w:rFonts w:ascii="Arial" w:hAnsi="Arial"/>
          <w:sz w:val="22"/>
          <w:u w:val="single"/>
        </w:rPr>
        <w:t>Exceptions to the Certification Statement</w:t>
      </w:r>
      <w:bookmarkEnd w:id="0"/>
    </w:p>
    <w:p w:rsidR="00547E71" w:rsidP="00547E71" w:rsidRDefault="00547E71" w14:paraId="6D517872" w14:textId="77777777">
      <w:pPr>
        <w:pStyle w:val="Level1"/>
        <w:ind w:left="1080"/>
        <w:rPr>
          <w:rFonts w:ascii="Arial" w:hAnsi="Arial"/>
          <w:sz w:val="22"/>
          <w:u w:val="single"/>
        </w:rPr>
      </w:pPr>
    </w:p>
    <w:p w:rsidR="00547E71" w:rsidP="00574DC2" w:rsidRDefault="006208D7" w14:paraId="69868E5E" w14:textId="04410F5F">
      <w:pPr>
        <w:pStyle w:val="Level1"/>
        <w:ind w:left="1440"/>
        <w:rPr>
          <w:rFonts w:ascii="Arial" w:hAnsi="Arial"/>
          <w:sz w:val="22"/>
        </w:rPr>
      </w:pPr>
      <w:r w:rsidRPr="006208D7">
        <w:rPr>
          <w:rFonts w:ascii="Arial" w:hAnsi="Arial"/>
          <w:sz w:val="22"/>
        </w:rPr>
        <w:t>Not applicable.</w:t>
      </w:r>
    </w:p>
    <w:p w:rsidRPr="006208D7" w:rsidR="001A2855" w:rsidP="00574DC2" w:rsidRDefault="001A2855" w14:paraId="4EF75A98" w14:textId="77777777">
      <w:pPr>
        <w:pStyle w:val="Level1"/>
        <w:ind w:left="1440"/>
        <w:rPr>
          <w:rFonts w:ascii="Arial" w:hAnsi="Arial"/>
          <w:sz w:val="22"/>
        </w:rPr>
      </w:pPr>
    </w:p>
    <w:p w:rsidR="002A64F1" w:rsidP="005C74B2" w:rsidRDefault="002A64F1" w14:paraId="6A10AE26" w14:textId="04478AD6">
      <w:pPr>
        <w:pStyle w:val="Level1"/>
        <w:ind w:left="1080"/>
        <w:rPr>
          <w:rFonts w:ascii="Arial" w:hAnsi="Arial"/>
          <w:sz w:val="22"/>
        </w:rPr>
      </w:pPr>
    </w:p>
    <w:p w:rsidR="002A64F1" w:rsidP="00574DC2" w:rsidRDefault="002A64F1" w14:paraId="1CF5C744" w14:textId="77777777">
      <w:pPr>
        <w:widowControl w:val="0"/>
        <w:numPr>
          <w:ilvl w:val="0"/>
          <w:numId w:val="4"/>
        </w:numPr>
        <w:ind w:hanging="720"/>
        <w:rPr>
          <w:rFonts w:ascii="Arial" w:hAnsi="Arial"/>
          <w:sz w:val="22"/>
        </w:rPr>
      </w:pPr>
      <w:bookmarkStart w:name="_Ref40261838" w:id="1"/>
      <w:r>
        <w:rPr>
          <w:rFonts w:ascii="Arial" w:hAnsi="Arial"/>
          <w:sz w:val="22"/>
        </w:rPr>
        <w:lastRenderedPageBreak/>
        <w:t>COLLECTIONS OF INFORMATION EMPLOYING STATISTICAL METHODS</w:t>
      </w:r>
      <w:bookmarkEnd w:id="1"/>
    </w:p>
    <w:p w:rsidR="002A64F1" w:rsidP="005C74B2" w:rsidRDefault="002A64F1" w14:paraId="1BEA3EEB" w14:textId="77777777">
      <w:pPr>
        <w:pStyle w:val="Level1"/>
        <w:ind w:left="1080"/>
        <w:rPr>
          <w:rFonts w:ascii="Arial" w:hAnsi="Arial"/>
          <w:sz w:val="22"/>
          <w:u w:val="single"/>
        </w:rPr>
      </w:pPr>
    </w:p>
    <w:p w:rsidRPr="006208D7" w:rsidR="006208D7" w:rsidP="00574DC2" w:rsidRDefault="006208D7" w14:paraId="047C6E3A" w14:textId="77777777">
      <w:pPr>
        <w:pStyle w:val="Level1"/>
        <w:ind w:left="720"/>
        <w:rPr>
          <w:rFonts w:ascii="Arial" w:hAnsi="Arial"/>
          <w:sz w:val="22"/>
        </w:rPr>
      </w:pPr>
      <w:r w:rsidRPr="006208D7">
        <w:rPr>
          <w:rFonts w:ascii="Arial" w:hAnsi="Arial"/>
          <w:sz w:val="22"/>
        </w:rPr>
        <w:t>Not applicable.</w:t>
      </w:r>
    </w:p>
    <w:p w:rsidR="004A28CE" w:rsidP="002A64F1" w:rsidRDefault="004A28CE" w14:paraId="737C207C" w14:textId="77777777">
      <w:pPr>
        <w:widowControl w:val="0"/>
        <w:ind w:left="720"/>
        <w:rPr>
          <w:rFonts w:ascii="Arial" w:hAnsi="Arial"/>
          <w:sz w:val="22"/>
        </w:rPr>
        <w:sectPr w:rsidR="004A28CE" w:rsidSect="00EF2662">
          <w:footerReference w:type="default" r:id="rId13"/>
          <w:pgSz w:w="12240" w:h="15840" w:code="1"/>
          <w:pgMar w:top="1440" w:right="1440" w:bottom="900" w:left="1440" w:header="1440" w:footer="864" w:gutter="0"/>
          <w:cols w:space="720"/>
          <w:docGrid w:linePitch="326"/>
        </w:sectPr>
      </w:pPr>
    </w:p>
    <w:p w:rsidR="004A28CE" w:rsidP="00574DC2" w:rsidRDefault="004A28CE" w14:paraId="6E16C9A2" w14:textId="6E3F3714">
      <w:pPr>
        <w:pStyle w:val="Heading1"/>
        <w:spacing w:before="0"/>
        <w:jc w:val="center"/>
        <w:rPr>
          <w:rFonts w:ascii="Arial" w:hAnsi="Arial" w:cs="Arial"/>
          <w:sz w:val="22"/>
          <w:szCs w:val="22"/>
        </w:rPr>
      </w:pPr>
      <w:bookmarkStart w:name="_Ref40262340" w:id="2"/>
      <w:r w:rsidRPr="00362094">
        <w:rPr>
          <w:rFonts w:ascii="Arial" w:hAnsi="Arial" w:eastAsia="Times New Roman" w:cs="Arial"/>
          <w:color w:val="auto"/>
          <w:sz w:val="22"/>
          <w:szCs w:val="22"/>
          <w:u w:val="single"/>
        </w:rPr>
        <w:lastRenderedPageBreak/>
        <w:t xml:space="preserve">TABLE </w:t>
      </w:r>
      <w:proofErr w:type="gramStart"/>
      <w:r w:rsidRPr="00362094">
        <w:rPr>
          <w:rFonts w:ascii="Arial" w:hAnsi="Arial" w:eastAsia="Times New Roman" w:cs="Arial"/>
          <w:color w:val="auto"/>
          <w:sz w:val="22"/>
          <w:szCs w:val="22"/>
          <w:u w:val="single"/>
        </w:rPr>
        <w:t>1</w:t>
      </w:r>
      <w:r w:rsidRPr="00D64A90" w:rsidR="00D64A90">
        <w:rPr>
          <w:rFonts w:ascii="Arial" w:hAnsi="Arial" w:cs="Arial"/>
          <w:sz w:val="22"/>
          <w:szCs w:val="22"/>
        </w:rPr>
        <w:t xml:space="preserve">  </w:t>
      </w:r>
      <w:r w:rsidRPr="00362094">
        <w:rPr>
          <w:rFonts w:ascii="Arial" w:hAnsi="Arial" w:eastAsia="Times New Roman" w:cs="Arial"/>
          <w:color w:val="auto"/>
          <w:sz w:val="22"/>
          <w:szCs w:val="22"/>
        </w:rPr>
        <w:t>ANNUALIZED</w:t>
      </w:r>
      <w:proofErr w:type="gramEnd"/>
      <w:r w:rsidRPr="00362094">
        <w:rPr>
          <w:rFonts w:ascii="Arial" w:hAnsi="Arial" w:eastAsia="Times New Roman" w:cs="Arial"/>
          <w:color w:val="auto"/>
          <w:sz w:val="22"/>
          <w:szCs w:val="22"/>
        </w:rPr>
        <w:t xml:space="preserve"> RECURRING REPORTING BURDEN</w:t>
      </w:r>
      <w:bookmarkEnd w:id="2"/>
    </w:p>
    <w:p w:rsidRPr="00D64A90" w:rsidR="00D64A90" w:rsidP="00D64A90" w:rsidRDefault="00D64A90" w14:paraId="68F25340" w14:textId="77777777">
      <w:pPr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14220" w:type="dxa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42"/>
        <w:gridCol w:w="1513"/>
        <w:gridCol w:w="1524"/>
        <w:gridCol w:w="1349"/>
        <w:gridCol w:w="1609"/>
        <w:gridCol w:w="1309"/>
        <w:gridCol w:w="1774"/>
      </w:tblGrid>
      <w:tr w:rsidRPr="00EA58F0" w:rsidR="004A28CE" w:rsidTr="00E53225" w14:paraId="3FACC479" w14:textId="77777777">
        <w:trPr>
          <w:trHeight w:val="817"/>
        </w:trPr>
        <w:tc>
          <w:tcPr>
            <w:tcW w:w="5142" w:type="dxa"/>
            <w:shd w:val="clear" w:color="auto" w:fill="auto"/>
            <w:vAlign w:val="center"/>
            <w:hideMark/>
          </w:tcPr>
          <w:p w:rsidRPr="00EA58F0" w:rsidR="004A28CE" w:rsidP="00E53225" w:rsidRDefault="004A28CE" w14:paraId="7B422F81" w14:textId="77777777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Information Collection Section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Pr="00EA58F0" w:rsidR="004A28CE" w:rsidP="00E53225" w:rsidRDefault="004A28CE" w14:paraId="3525582F" w14:textId="77777777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Number of Respondents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Pr="00EA58F0" w:rsidR="004A28CE" w:rsidP="00E53225" w:rsidRDefault="004A28CE" w14:paraId="74B4C156" w14:textId="2591F04E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 xml:space="preserve">Number of Responses per </w:t>
            </w:r>
            <w:r w:rsidR="00A109AD">
              <w:rPr>
                <w:rFonts w:ascii="Arial" w:hAnsi="Arial" w:cs="Arial"/>
                <w:sz w:val="22"/>
                <w:szCs w:val="22"/>
              </w:rPr>
              <w:t>R</w:t>
            </w:r>
            <w:r w:rsidRPr="00EA58F0">
              <w:rPr>
                <w:rFonts w:ascii="Arial" w:hAnsi="Arial" w:cs="Arial"/>
                <w:sz w:val="22"/>
                <w:szCs w:val="22"/>
              </w:rPr>
              <w:t>espondent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Pr="00EA58F0" w:rsidR="004A28CE" w:rsidP="00E53225" w:rsidRDefault="004A28CE" w14:paraId="5569FE45" w14:textId="77777777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Number of Responses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Pr="00EA58F0" w:rsidR="004A28CE" w:rsidP="00E53225" w:rsidRDefault="004A28CE" w14:paraId="5E4C8AFC" w14:textId="77777777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Burden Hours per Response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Pr="00EA58F0" w:rsidR="004A28CE" w:rsidP="00E53225" w:rsidRDefault="004A28CE" w14:paraId="397CD14B" w14:textId="1136FFAD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Total Reporting Burden (</w:t>
            </w:r>
            <w:proofErr w:type="spellStart"/>
            <w:r w:rsidR="00504AC9">
              <w:rPr>
                <w:rFonts w:ascii="Arial" w:hAnsi="Arial" w:cs="Arial"/>
                <w:sz w:val="22"/>
                <w:szCs w:val="22"/>
              </w:rPr>
              <w:t>hr</w:t>
            </w:r>
            <w:proofErr w:type="spellEnd"/>
            <w:r w:rsidRPr="00EA58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A28CE" w:rsidP="00E53225" w:rsidRDefault="004A28CE" w14:paraId="1C390B5C" w14:textId="77777777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Cost @ $</w:t>
            </w:r>
            <w:r w:rsidR="00C138EC">
              <w:rPr>
                <w:rFonts w:ascii="Arial" w:hAnsi="Arial" w:cs="Arial"/>
                <w:sz w:val="22"/>
                <w:szCs w:val="22"/>
              </w:rPr>
              <w:t>279</w:t>
            </w:r>
            <w:r w:rsidRPr="00EA58F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EA58F0">
              <w:rPr>
                <w:rFonts w:ascii="Arial" w:hAnsi="Arial" w:cs="Arial"/>
                <w:sz w:val="22"/>
                <w:szCs w:val="22"/>
              </w:rPr>
              <w:t>h</w:t>
            </w:r>
            <w:r w:rsidR="00504AC9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</w:p>
          <w:p w:rsidR="00D12AE8" w:rsidP="00D12AE8" w:rsidRDefault="00D12AE8" w14:paraId="5D33175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12AE8" w:rsidR="00D12AE8" w:rsidP="00D12AE8" w:rsidRDefault="00D12AE8" w14:paraId="04760BBB" w14:textId="53757C6C"/>
        </w:tc>
      </w:tr>
      <w:tr w:rsidRPr="00EA58F0" w:rsidR="004A28CE" w:rsidTr="00E53225" w14:paraId="70F57EBC" w14:textId="77777777">
        <w:trPr>
          <w:trHeight w:val="493"/>
        </w:trPr>
        <w:tc>
          <w:tcPr>
            <w:tcW w:w="5142" w:type="dxa"/>
            <w:shd w:val="clear" w:color="auto" w:fill="auto"/>
            <w:vAlign w:val="center"/>
          </w:tcPr>
          <w:p w:rsidRPr="00EA58F0" w:rsidR="004A28CE" w:rsidP="00E53225" w:rsidRDefault="00A303AB" w14:paraId="61FA30FE" w14:textId="293BCDE0">
            <w:pPr>
              <w:pStyle w:val="Level1"/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10 CFR </w:t>
            </w:r>
            <w:r w:rsidRPr="00EA58F0" w:rsidR="004A28C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50.55a(z)</w:t>
            </w:r>
          </w:p>
          <w:p w:rsidRPr="00EA58F0" w:rsidR="004A28CE" w:rsidP="00E53225" w:rsidRDefault="004A28CE" w14:paraId="563674B6" w14:textId="7C51109E">
            <w:pPr>
              <w:pStyle w:val="Level1"/>
              <w:keepNext/>
              <w:keepLines/>
              <w:rPr>
                <w:rFonts w:ascii="Arial" w:hAnsi="Arial" w:cs="Arial"/>
                <w:bCs/>
                <w:sz w:val="22"/>
                <w:szCs w:val="22"/>
              </w:rPr>
            </w:pPr>
            <w:r w:rsidRPr="00EA58F0">
              <w:rPr>
                <w:rFonts w:ascii="Arial" w:hAnsi="Arial" w:cs="Arial"/>
                <w:bCs/>
                <w:sz w:val="22"/>
                <w:szCs w:val="22"/>
              </w:rPr>
              <w:t xml:space="preserve">Averted </w:t>
            </w:r>
            <w:r w:rsidR="00504AC9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EA58F0">
              <w:rPr>
                <w:rFonts w:ascii="Arial" w:hAnsi="Arial" w:cs="Arial"/>
                <w:bCs/>
                <w:sz w:val="22"/>
                <w:szCs w:val="22"/>
              </w:rPr>
              <w:t xml:space="preserve">lternative </w:t>
            </w:r>
            <w:r w:rsidR="00504AC9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EA58F0">
              <w:rPr>
                <w:rFonts w:ascii="Arial" w:hAnsi="Arial" w:cs="Arial"/>
                <w:bCs/>
                <w:sz w:val="22"/>
                <w:szCs w:val="22"/>
              </w:rPr>
              <w:t>equests submitted by power reactor plants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Pr="001C1012" w:rsidR="004A28CE" w:rsidP="00E53225" w:rsidRDefault="004A28CE" w14:paraId="02284E4D" w14:textId="6BF40724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1C1012">
              <w:rPr>
                <w:rFonts w:ascii="Arial" w:hAnsi="Arial" w:cs="Arial"/>
                <w:sz w:val="22"/>
                <w:szCs w:val="22"/>
              </w:rPr>
              <w:t>2</w:t>
            </w:r>
            <w:r w:rsidRPr="001C1012" w:rsidR="00932BC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Pr="001C1012" w:rsidR="004A28CE" w:rsidP="00E53225" w:rsidRDefault="004A28CE" w14:paraId="5F508DD4" w14:textId="77777777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1C1012">
              <w:rPr>
                <w:rFonts w:ascii="Arial" w:hAnsi="Arial" w:cs="Arial"/>
                <w:sz w:val="22"/>
                <w:szCs w:val="22"/>
              </w:rPr>
              <w:t>-1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Pr="001C1012" w:rsidR="004A28CE" w:rsidP="00E53225" w:rsidRDefault="004A28CE" w14:paraId="305DDE27" w14:textId="4E38A68B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1C1012">
              <w:rPr>
                <w:rFonts w:ascii="Arial" w:hAnsi="Arial" w:cs="Arial"/>
                <w:sz w:val="22"/>
                <w:szCs w:val="22"/>
              </w:rPr>
              <w:t>-2</w:t>
            </w:r>
            <w:r w:rsidRPr="001C1012" w:rsidR="00932BC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Pr="001C1012" w:rsidR="004A28CE" w:rsidP="00E53225" w:rsidRDefault="00AB4452" w14:paraId="1C204A5F" w14:textId="03D449B2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1C1012"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Pr="001C1012" w:rsidR="004A28CE" w:rsidP="00E53225" w:rsidRDefault="004A28CE" w14:paraId="1DD1EDF0" w14:textId="3AE1570C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1C1012">
              <w:rPr>
                <w:rFonts w:ascii="Arial" w:hAnsi="Arial" w:cs="Arial"/>
                <w:sz w:val="22"/>
                <w:szCs w:val="22"/>
              </w:rPr>
              <w:t>-</w:t>
            </w:r>
            <w:r w:rsidRPr="001C1012" w:rsidR="001C1012">
              <w:rPr>
                <w:rFonts w:ascii="Arial" w:hAnsi="Arial" w:cs="Arial"/>
                <w:sz w:val="22"/>
                <w:szCs w:val="22"/>
              </w:rPr>
              <w:t>5,980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Pr="00EA58F0" w:rsidR="004A28CE" w:rsidP="00E53225" w:rsidRDefault="004A28CE" w14:paraId="19A1D859" w14:textId="15264EEB">
            <w:pPr>
              <w:pStyle w:val="Level1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-$</w:t>
            </w:r>
            <w:r w:rsidRPr="00B71FEB" w:rsidR="00B71FEB">
              <w:rPr>
                <w:rFonts w:ascii="Arial" w:hAnsi="Arial" w:cs="Arial"/>
                <w:sz w:val="22"/>
                <w:szCs w:val="22"/>
              </w:rPr>
              <w:t>1,</w:t>
            </w:r>
            <w:r w:rsidR="001C1012">
              <w:rPr>
                <w:rFonts w:ascii="Arial" w:hAnsi="Arial" w:cs="Arial"/>
                <w:sz w:val="22"/>
                <w:szCs w:val="22"/>
              </w:rPr>
              <w:t>668,420</w:t>
            </w:r>
          </w:p>
        </w:tc>
      </w:tr>
    </w:tbl>
    <w:p w:rsidRPr="00EA58F0" w:rsidR="004A28CE" w:rsidP="004A28CE" w:rsidRDefault="004A28CE" w14:paraId="150BD92D" w14:textId="77777777">
      <w:pPr>
        <w:pStyle w:val="Level1"/>
        <w:keepNext/>
        <w:keepLines/>
        <w:rPr>
          <w:rFonts w:ascii="Arial" w:hAnsi="Arial" w:cs="Arial"/>
          <w:sz w:val="22"/>
          <w:szCs w:val="22"/>
        </w:rPr>
      </w:pPr>
    </w:p>
    <w:p w:rsidRPr="00EA58F0" w:rsidR="004A28CE" w:rsidP="006351EF" w:rsidRDefault="004A28CE" w14:paraId="07E17D76" w14:textId="4CF776DB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 w:rsidRPr="00EA58F0">
        <w:rPr>
          <w:rFonts w:ascii="Arial" w:hAnsi="Arial" w:cs="Arial"/>
          <w:color w:val="auto"/>
          <w:sz w:val="22"/>
          <w:szCs w:val="22"/>
          <w:u w:val="single"/>
        </w:rPr>
        <w:t xml:space="preserve">TABLE </w:t>
      </w:r>
      <w:proofErr w:type="gramStart"/>
      <w:r w:rsidRPr="00EA58F0">
        <w:rPr>
          <w:rFonts w:ascii="Arial" w:hAnsi="Arial" w:cs="Arial"/>
          <w:color w:val="auto"/>
          <w:sz w:val="22"/>
          <w:szCs w:val="22"/>
          <w:u w:val="single"/>
        </w:rPr>
        <w:t>2</w:t>
      </w:r>
      <w:r w:rsidRPr="00EA58F0" w:rsidR="00D64A90">
        <w:rPr>
          <w:rFonts w:ascii="Arial" w:hAnsi="Arial" w:cs="Arial"/>
          <w:color w:val="auto"/>
          <w:sz w:val="22"/>
          <w:szCs w:val="22"/>
        </w:rPr>
        <w:t xml:space="preserve">  </w:t>
      </w:r>
      <w:r w:rsidRPr="00EA58F0">
        <w:rPr>
          <w:rFonts w:ascii="Arial" w:hAnsi="Arial" w:cs="Arial"/>
          <w:color w:val="auto"/>
          <w:sz w:val="22"/>
          <w:szCs w:val="22"/>
        </w:rPr>
        <w:t>ANNUALIZED</w:t>
      </w:r>
      <w:proofErr w:type="gramEnd"/>
      <w:r w:rsidRPr="00EA58F0">
        <w:rPr>
          <w:rFonts w:ascii="Arial" w:hAnsi="Arial" w:cs="Arial"/>
          <w:color w:val="auto"/>
          <w:sz w:val="22"/>
          <w:szCs w:val="22"/>
        </w:rPr>
        <w:t xml:space="preserve"> RECURRING RECORDKEEPING BURDEN</w:t>
      </w:r>
    </w:p>
    <w:p w:rsidRPr="00EA58F0" w:rsidR="00D64A90" w:rsidP="00D64A90" w:rsidRDefault="00D64A90" w14:paraId="59E02E24" w14:textId="77777777">
      <w:pPr>
        <w:pStyle w:val="Level1"/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1422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05"/>
        <w:gridCol w:w="1708"/>
        <w:gridCol w:w="1598"/>
        <w:gridCol w:w="1443"/>
        <w:gridCol w:w="1375"/>
        <w:gridCol w:w="1696"/>
        <w:gridCol w:w="1795"/>
      </w:tblGrid>
      <w:tr w:rsidRPr="00EA58F0" w:rsidR="004A28CE" w:rsidTr="00E53225" w14:paraId="2915A849" w14:textId="77777777">
        <w:trPr>
          <w:trHeight w:val="840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7096D5AD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Information Collection Section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659040CE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Number of Recordkeepers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6A13094F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Number of Records per Recordkeeper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7758F9CE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Number of Records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2B74596F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Burden Hours per Record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2997CC12" w14:textId="4C979A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Total Recordkeeping Burden (</w:t>
            </w:r>
            <w:proofErr w:type="spellStart"/>
            <w:r w:rsidR="00504AC9">
              <w:rPr>
                <w:rFonts w:ascii="Arial" w:hAnsi="Arial" w:cs="Arial"/>
                <w:color w:val="000000"/>
                <w:sz w:val="22"/>
                <w:szCs w:val="22"/>
              </w:rPr>
              <w:t>hr</w:t>
            </w:r>
            <w:proofErr w:type="spellEnd"/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3F7C92B9" w14:textId="562A5C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Cost @ $</w:t>
            </w:r>
            <w:r w:rsidR="00C138EC">
              <w:rPr>
                <w:rFonts w:ascii="Arial" w:hAnsi="Arial" w:cs="Arial"/>
                <w:color w:val="000000"/>
                <w:sz w:val="22"/>
                <w:szCs w:val="22"/>
              </w:rPr>
              <w:t>279</w:t>
            </w: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hr</w:t>
            </w:r>
            <w:proofErr w:type="spellEnd"/>
          </w:p>
        </w:tc>
      </w:tr>
      <w:tr w:rsidRPr="00601E59" w:rsidR="004A28CE" w:rsidTr="00E53225" w14:paraId="50D9CA37" w14:textId="77777777">
        <w:trPr>
          <w:trHeight w:val="840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A58F0" w:rsidR="004A28CE" w:rsidP="00E53225" w:rsidRDefault="004A28CE" w14:paraId="3EE5D3A2" w14:textId="7777777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EA58F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10 CFR 50.55a(z)</w:t>
            </w:r>
          </w:p>
          <w:p w:rsidRPr="00EA58F0" w:rsidR="004A28CE" w:rsidP="00E53225" w:rsidRDefault="004A28CE" w14:paraId="11F4C2E6" w14:textId="3166C3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Records for Code </w:t>
            </w:r>
            <w:r w:rsidRPr="00EA58F0" w:rsidR="00504A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alternative r</w:t>
            </w:r>
            <w:r w:rsidRPr="00EA58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equest preparation and submission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A5331" w:rsidR="004A28CE" w:rsidP="00E53225" w:rsidRDefault="004A28CE" w14:paraId="75E5AB3F" w14:textId="52FC2D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533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DA5331" w:rsidR="007460A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A5331" w:rsidR="004A28CE" w:rsidP="00E53225" w:rsidRDefault="004A28CE" w14:paraId="06E78AD9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5331">
              <w:rPr>
                <w:rFonts w:ascii="Arial" w:hAnsi="Arial" w:cs="Arial"/>
                <w:color w:val="000000"/>
                <w:sz w:val="22"/>
                <w:szCs w:val="22"/>
              </w:rPr>
              <w:t>-1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A5331" w:rsidR="004A28CE" w:rsidP="00E53225" w:rsidRDefault="004A28CE" w14:paraId="7BC65D27" w14:textId="3AA584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5331">
              <w:rPr>
                <w:rFonts w:ascii="Arial" w:hAnsi="Arial" w:cs="Arial"/>
                <w:color w:val="000000"/>
                <w:sz w:val="22"/>
                <w:szCs w:val="22"/>
              </w:rPr>
              <w:t>-2</w:t>
            </w:r>
            <w:r w:rsidRPr="00DA5331" w:rsidR="007460A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A5331" w:rsidR="004A28CE" w:rsidP="00E53225" w:rsidRDefault="004A28CE" w14:paraId="03F09576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533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A5331" w:rsidR="004A28CE" w:rsidP="00E53225" w:rsidRDefault="004A28CE" w14:paraId="3FA27FBF" w14:textId="5149DC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5331">
              <w:rPr>
                <w:rFonts w:ascii="Arial" w:hAnsi="Arial" w:cs="Arial"/>
                <w:color w:val="000000"/>
                <w:sz w:val="22"/>
                <w:szCs w:val="22"/>
              </w:rPr>
              <w:t>-2</w:t>
            </w:r>
            <w:r w:rsidRPr="00DA5331" w:rsidR="00216E9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DA533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A58F0" w:rsidR="004A28CE" w:rsidP="00E53225" w:rsidRDefault="004A28CE" w14:paraId="580B9ED9" w14:textId="1645F2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8F0">
              <w:rPr>
                <w:rFonts w:ascii="Arial" w:hAnsi="Arial" w:cs="Arial"/>
                <w:color w:val="000000"/>
                <w:sz w:val="22"/>
                <w:szCs w:val="22"/>
              </w:rPr>
              <w:t>-$</w:t>
            </w:r>
            <w:r w:rsidRPr="00A53722" w:rsidR="00A53722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72F1A">
              <w:rPr>
                <w:rFonts w:ascii="Arial" w:hAnsi="Arial" w:cs="Arial"/>
                <w:color w:val="000000"/>
                <w:sz w:val="22"/>
                <w:szCs w:val="22"/>
              </w:rPr>
              <w:t>2,540</w:t>
            </w:r>
          </w:p>
        </w:tc>
      </w:tr>
    </w:tbl>
    <w:p w:rsidRPr="00601E59" w:rsidR="00CE45BC" w:rsidP="004A28CE" w:rsidRDefault="00CE45BC" w14:paraId="2480454B" w14:textId="77777777">
      <w:pPr>
        <w:pStyle w:val="Level1"/>
        <w:ind w:left="3600" w:hanging="360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10"/>
        <w:gridCol w:w="1530"/>
      </w:tblGrid>
      <w:tr w:rsidR="00CE45BC" w:rsidTr="00CE45BC" w14:paraId="61751686" w14:textId="77777777">
        <w:tc>
          <w:tcPr>
            <w:tcW w:w="3510" w:type="dxa"/>
          </w:tcPr>
          <w:p w:rsidRPr="00EA58F0" w:rsidR="00CE45BC" w:rsidP="00CE45BC" w:rsidRDefault="00CE45BC" w14:paraId="7F93FBAB" w14:textId="0A1F1613">
            <w:pPr>
              <w:pStyle w:val="Level1"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Total Industry Burden Hours</w:t>
            </w:r>
          </w:p>
        </w:tc>
        <w:tc>
          <w:tcPr>
            <w:tcW w:w="1530" w:type="dxa"/>
          </w:tcPr>
          <w:p w:rsidRPr="00EA58F0" w:rsidR="00CE45BC" w:rsidP="00CE45BC" w:rsidRDefault="00CE45BC" w14:paraId="6B2ABBD7" w14:textId="7E73AD1D">
            <w:pPr>
              <w:pStyle w:val="Leve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-</w:t>
            </w:r>
            <w:r w:rsidRPr="00EA58F0" w:rsidR="00C100CA">
              <w:rPr>
                <w:rFonts w:ascii="Arial" w:hAnsi="Arial" w:cs="Arial"/>
                <w:sz w:val="22"/>
                <w:szCs w:val="22"/>
              </w:rPr>
              <w:t>6</w:t>
            </w:r>
            <w:r w:rsidRPr="00EA58F0">
              <w:rPr>
                <w:rFonts w:ascii="Arial" w:hAnsi="Arial" w:cs="Arial"/>
                <w:sz w:val="22"/>
                <w:szCs w:val="22"/>
              </w:rPr>
              <w:t>,</w:t>
            </w:r>
            <w:r w:rsidR="00C40F9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</w:tr>
      <w:tr w:rsidR="00CE45BC" w:rsidTr="00CE45BC" w14:paraId="69C9F49D" w14:textId="77777777">
        <w:tc>
          <w:tcPr>
            <w:tcW w:w="3510" w:type="dxa"/>
          </w:tcPr>
          <w:p w:rsidRPr="00EA58F0" w:rsidR="00CE45BC" w:rsidP="00CE45BC" w:rsidRDefault="00CE45BC" w14:paraId="63EDF06A" w14:textId="720CC209">
            <w:pPr>
              <w:pStyle w:val="Level1"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Total Industry Burden Hour Cost</w:t>
            </w:r>
          </w:p>
        </w:tc>
        <w:tc>
          <w:tcPr>
            <w:tcW w:w="1530" w:type="dxa"/>
          </w:tcPr>
          <w:p w:rsidRPr="00EA58F0" w:rsidR="00CE45BC" w:rsidP="00CE45BC" w:rsidRDefault="00CE45BC" w14:paraId="3A2CF544" w14:textId="4C9DED2F">
            <w:pPr>
              <w:pStyle w:val="Leve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58F0">
              <w:rPr>
                <w:rFonts w:ascii="Arial" w:hAnsi="Arial" w:cs="Arial"/>
                <w:sz w:val="22"/>
                <w:szCs w:val="22"/>
              </w:rPr>
              <w:t>-$</w:t>
            </w:r>
            <w:r w:rsidRPr="00666A39" w:rsidR="00666A39">
              <w:rPr>
                <w:rFonts w:ascii="Arial" w:hAnsi="Arial" w:cs="Arial"/>
                <w:sz w:val="22"/>
                <w:szCs w:val="22"/>
              </w:rPr>
              <w:t>1,</w:t>
            </w:r>
            <w:r w:rsidR="00091904">
              <w:rPr>
                <w:rFonts w:ascii="Arial" w:hAnsi="Arial" w:cs="Arial"/>
                <w:sz w:val="22"/>
                <w:szCs w:val="22"/>
              </w:rPr>
              <w:t>740,960</w:t>
            </w:r>
          </w:p>
        </w:tc>
      </w:tr>
      <w:tr w:rsidR="00CE45BC" w:rsidTr="00CE45BC" w14:paraId="567D2F44" w14:textId="77777777">
        <w:tc>
          <w:tcPr>
            <w:tcW w:w="3510" w:type="dxa"/>
          </w:tcPr>
          <w:p w:rsidR="00CE45BC" w:rsidP="00CE45BC" w:rsidRDefault="00CE45BC" w14:paraId="03BA0CBF" w14:textId="40D0C0E8">
            <w:pPr>
              <w:pStyle w:val="Level1"/>
              <w:rPr>
                <w:rFonts w:ascii="Arial" w:hAnsi="Arial" w:cs="Arial"/>
                <w:sz w:val="22"/>
                <w:szCs w:val="22"/>
              </w:rPr>
            </w:pPr>
            <w:r w:rsidRPr="00601E59">
              <w:rPr>
                <w:rFonts w:ascii="Arial" w:hAnsi="Arial" w:cs="Arial"/>
                <w:sz w:val="22"/>
                <w:szCs w:val="22"/>
              </w:rPr>
              <w:t>Annual Potential Respondents</w:t>
            </w:r>
          </w:p>
        </w:tc>
        <w:tc>
          <w:tcPr>
            <w:tcW w:w="1530" w:type="dxa"/>
          </w:tcPr>
          <w:p w:rsidR="00CE45BC" w:rsidP="00CE45BC" w:rsidRDefault="00CE45BC" w14:paraId="1387A978" w14:textId="6E054F27">
            <w:pPr>
              <w:pStyle w:val="Level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F3BB1">
              <w:rPr>
                <w:rFonts w:ascii="Arial" w:hAnsi="Arial" w:cs="Arial"/>
                <w:sz w:val="22"/>
                <w:szCs w:val="22"/>
              </w:rPr>
              <w:t>2</w:t>
            </w:r>
            <w:r w:rsidR="00CB5911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E45BC" w:rsidTr="00CE45BC" w14:paraId="4E58698E" w14:textId="77777777">
        <w:tc>
          <w:tcPr>
            <w:tcW w:w="3510" w:type="dxa"/>
          </w:tcPr>
          <w:p w:rsidR="00CE45BC" w:rsidP="00CE45BC" w:rsidRDefault="00CE45BC" w14:paraId="1B8B3945" w14:textId="27F9D9C1">
            <w:pPr>
              <w:pStyle w:val="Level1"/>
              <w:rPr>
                <w:rFonts w:ascii="Arial" w:hAnsi="Arial" w:cs="Arial"/>
                <w:sz w:val="22"/>
                <w:szCs w:val="22"/>
              </w:rPr>
            </w:pPr>
            <w:r w:rsidRPr="00601E59">
              <w:rPr>
                <w:rFonts w:ascii="Arial" w:hAnsi="Arial" w:cs="Arial"/>
                <w:sz w:val="22"/>
                <w:szCs w:val="22"/>
              </w:rPr>
              <w:t xml:space="preserve">Responses                             </w:t>
            </w:r>
          </w:p>
        </w:tc>
        <w:tc>
          <w:tcPr>
            <w:tcW w:w="1530" w:type="dxa"/>
          </w:tcPr>
          <w:p w:rsidR="00CE45BC" w:rsidP="00CE45BC" w:rsidRDefault="00CE45BC" w14:paraId="4720BF51" w14:textId="7A90181E">
            <w:pPr>
              <w:pStyle w:val="Level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F3BB1">
              <w:rPr>
                <w:rFonts w:ascii="Arial" w:hAnsi="Arial" w:cs="Arial"/>
                <w:sz w:val="22"/>
                <w:szCs w:val="22"/>
              </w:rPr>
              <w:t>2</w:t>
            </w:r>
            <w:r w:rsidR="00CB5911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Pr="00190F22" w:rsidR="004A28CE" w:rsidP="00126ED5" w:rsidRDefault="004A28CE" w14:paraId="523E8879" w14:textId="77777777">
      <w:pPr>
        <w:jc w:val="center"/>
        <w:rPr>
          <w:rFonts w:ascii="Arial" w:hAnsi="Arial" w:cs="Arial"/>
          <w:sz w:val="22"/>
          <w:szCs w:val="22"/>
          <w:u w:val="single"/>
        </w:rPr>
      </w:pPr>
      <w:r w:rsidRPr="00190F22">
        <w:rPr>
          <w:rFonts w:ascii="Arial" w:hAnsi="Arial" w:cs="Arial"/>
          <w:sz w:val="22"/>
          <w:szCs w:val="22"/>
          <w:u w:val="single"/>
        </w:rPr>
        <w:br w:type="page"/>
      </w:r>
    </w:p>
    <w:p w:rsidRPr="00F3121F" w:rsidR="004A28CE" w:rsidP="004A28CE" w:rsidRDefault="004A28CE" w14:paraId="44065FD3" w14:textId="77777777">
      <w:pPr>
        <w:pStyle w:val="Level1"/>
        <w:ind w:left="3600" w:hanging="3600"/>
        <w:jc w:val="center"/>
        <w:rPr>
          <w:rFonts w:ascii="Arial" w:hAnsi="Arial" w:cs="Arial"/>
          <w:sz w:val="22"/>
          <w:szCs w:val="22"/>
          <w:u w:val="single"/>
        </w:rPr>
      </w:pPr>
    </w:p>
    <w:p w:rsidRPr="006351EF" w:rsidR="004A28CE" w:rsidP="00574DC2" w:rsidRDefault="004A28CE" w14:paraId="132697D8" w14:textId="34833740">
      <w:pPr>
        <w:pStyle w:val="Heading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bookmarkStart w:name="_Ref40262475" w:id="3"/>
      <w:r w:rsidRPr="006351EF">
        <w:rPr>
          <w:rFonts w:ascii="Arial" w:hAnsi="Arial" w:cs="Arial"/>
          <w:color w:val="auto"/>
          <w:sz w:val="22"/>
          <w:szCs w:val="22"/>
          <w:u w:val="single"/>
        </w:rPr>
        <w:t xml:space="preserve">TABLE </w:t>
      </w:r>
      <w:proofErr w:type="gramStart"/>
      <w:r w:rsidRPr="006351EF">
        <w:rPr>
          <w:rFonts w:ascii="Arial" w:hAnsi="Arial" w:cs="Arial"/>
          <w:color w:val="auto"/>
          <w:sz w:val="22"/>
          <w:szCs w:val="22"/>
          <w:u w:val="single"/>
        </w:rPr>
        <w:t>3</w:t>
      </w:r>
      <w:r w:rsidRPr="006351EF" w:rsidR="00126ED5">
        <w:rPr>
          <w:rFonts w:ascii="Arial" w:hAnsi="Arial" w:cs="Arial"/>
          <w:color w:val="auto"/>
          <w:sz w:val="22"/>
          <w:szCs w:val="22"/>
        </w:rPr>
        <w:t xml:space="preserve">  </w:t>
      </w:r>
      <w:r w:rsidRPr="006351EF">
        <w:rPr>
          <w:rFonts w:ascii="Arial" w:hAnsi="Arial" w:cs="Arial"/>
          <w:color w:val="auto"/>
          <w:sz w:val="22"/>
          <w:szCs w:val="22"/>
        </w:rPr>
        <w:t>ANNUALIZED</w:t>
      </w:r>
      <w:proofErr w:type="gramEnd"/>
      <w:r w:rsidRPr="006351EF">
        <w:rPr>
          <w:rFonts w:ascii="Arial" w:hAnsi="Arial" w:cs="Arial"/>
          <w:color w:val="auto"/>
          <w:sz w:val="22"/>
          <w:szCs w:val="22"/>
        </w:rPr>
        <w:t xml:space="preserve"> RECURRING NRC REVIEW BURDEN</w:t>
      </w:r>
      <w:bookmarkEnd w:id="3"/>
    </w:p>
    <w:p w:rsidRPr="00E930A2" w:rsidR="00126ED5" w:rsidP="00126ED5" w:rsidRDefault="00126ED5" w14:paraId="3C625149" w14:textId="77777777">
      <w:pPr>
        <w:pStyle w:val="Level1"/>
        <w:ind w:left="3600" w:hanging="3600"/>
        <w:jc w:val="center"/>
        <w:rPr>
          <w:rFonts w:ascii="Arial" w:hAnsi="Arial" w:cs="Arial"/>
          <w:sz w:val="22"/>
          <w:szCs w:val="22"/>
        </w:rPr>
      </w:pPr>
    </w:p>
    <w:tbl>
      <w:tblPr>
        <w:tblW w:w="13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19"/>
        <w:gridCol w:w="1395"/>
        <w:gridCol w:w="1437"/>
        <w:gridCol w:w="1516"/>
        <w:gridCol w:w="1268"/>
        <w:gridCol w:w="1347"/>
        <w:gridCol w:w="1348"/>
      </w:tblGrid>
      <w:tr w:rsidRPr="00E930A2" w:rsidR="004A28CE" w:rsidTr="00E53225" w14:paraId="39C4BA05" w14:textId="77777777">
        <w:trPr>
          <w:trHeight w:val="840"/>
        </w:trPr>
        <w:tc>
          <w:tcPr>
            <w:tcW w:w="4819" w:type="dxa"/>
            <w:shd w:val="clear" w:color="auto" w:fill="auto"/>
            <w:vAlign w:val="center"/>
            <w:hideMark/>
          </w:tcPr>
          <w:p w:rsidRPr="00E930A2" w:rsidR="004A28CE" w:rsidP="00E53225" w:rsidRDefault="004A28CE" w14:paraId="4A9BF3D6" w14:textId="77777777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>Information Collection Section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:rsidRPr="00E930A2" w:rsidR="004A28CE" w:rsidP="00E53225" w:rsidRDefault="004A28CE" w14:paraId="5BE645B0" w14:textId="77777777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>Number of Respondents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Pr="00E930A2" w:rsidR="004A28CE" w:rsidP="00E53225" w:rsidRDefault="004A28CE" w14:paraId="2C0C4ED3" w14:textId="6ABCA21F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 xml:space="preserve">Number of Responses per </w:t>
            </w:r>
            <w:r w:rsidR="00A109AD">
              <w:rPr>
                <w:rFonts w:ascii="Arial" w:hAnsi="Arial" w:cs="Arial"/>
                <w:color w:val="000000"/>
                <w:sz w:val="20"/>
              </w:rPr>
              <w:t>R</w:t>
            </w:r>
            <w:r w:rsidRPr="00E930A2">
              <w:rPr>
                <w:rFonts w:ascii="Arial" w:hAnsi="Arial" w:cs="Arial"/>
                <w:color w:val="000000"/>
                <w:sz w:val="20"/>
              </w:rPr>
              <w:t>espondent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Pr="00E930A2" w:rsidR="004A28CE" w:rsidP="00E53225" w:rsidRDefault="004A28CE" w14:paraId="6F38BEFB" w14:textId="77777777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>Number of Responses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Pr="00E930A2" w:rsidR="004A28CE" w:rsidP="00E53225" w:rsidRDefault="004A28CE" w14:paraId="6F038437" w14:textId="77777777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>Burden Hours per Response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Pr="00E930A2" w:rsidR="004A28CE" w:rsidP="00E53225" w:rsidRDefault="004A28CE" w14:paraId="74F41482" w14:textId="28EB687F">
            <w:pPr>
              <w:rPr>
                <w:rFonts w:ascii="Arial" w:hAnsi="Arial" w:cs="Arial"/>
                <w:color w:val="000000"/>
                <w:sz w:val="20"/>
              </w:rPr>
            </w:pPr>
            <w:r w:rsidRPr="00E930A2">
              <w:rPr>
                <w:rFonts w:ascii="Arial" w:hAnsi="Arial" w:cs="Arial"/>
                <w:color w:val="000000"/>
                <w:sz w:val="20"/>
              </w:rPr>
              <w:t>Total Annual Reporting Burden (</w:t>
            </w:r>
            <w:proofErr w:type="spellStart"/>
            <w:r w:rsidR="00504AC9">
              <w:rPr>
                <w:rFonts w:ascii="Arial" w:hAnsi="Arial" w:cs="Arial"/>
                <w:color w:val="000000"/>
                <w:sz w:val="20"/>
              </w:rPr>
              <w:t>hr</w:t>
            </w:r>
            <w:proofErr w:type="spellEnd"/>
            <w:r w:rsidRPr="00E930A2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Pr="00EA58F0" w:rsidR="004A28CE" w:rsidP="00E53225" w:rsidRDefault="004A28CE" w14:paraId="52C3BA09" w14:textId="6B6C81AC">
            <w:pPr>
              <w:rPr>
                <w:rFonts w:ascii="Arial" w:hAnsi="Arial" w:cs="Arial"/>
                <w:color w:val="000000"/>
                <w:sz w:val="20"/>
              </w:rPr>
            </w:pPr>
            <w:r w:rsidRPr="00EA58F0">
              <w:rPr>
                <w:rFonts w:ascii="Arial" w:hAnsi="Arial" w:cs="Arial"/>
                <w:color w:val="000000"/>
                <w:sz w:val="20"/>
              </w:rPr>
              <w:t>Cost @ $</w:t>
            </w:r>
            <w:r w:rsidR="00666A39">
              <w:rPr>
                <w:rFonts w:ascii="Arial" w:hAnsi="Arial" w:cs="Arial"/>
                <w:color w:val="000000"/>
                <w:sz w:val="20"/>
              </w:rPr>
              <w:t>279</w:t>
            </w:r>
            <w:r w:rsidRPr="00EA58F0">
              <w:rPr>
                <w:rFonts w:ascii="Arial" w:hAnsi="Arial" w:cs="Arial"/>
                <w:color w:val="000000"/>
                <w:sz w:val="20"/>
              </w:rPr>
              <w:t>/</w:t>
            </w:r>
            <w:proofErr w:type="spellStart"/>
            <w:r w:rsidRPr="00EA58F0">
              <w:rPr>
                <w:rFonts w:ascii="Arial" w:hAnsi="Arial" w:cs="Arial"/>
                <w:color w:val="000000"/>
                <w:sz w:val="20"/>
              </w:rPr>
              <w:t>hr</w:t>
            </w:r>
            <w:proofErr w:type="spellEnd"/>
          </w:p>
        </w:tc>
      </w:tr>
      <w:tr w:rsidRPr="00AF0E75" w:rsidR="004A28CE" w:rsidTr="00E53225" w14:paraId="0CF59D79" w14:textId="77777777">
        <w:trPr>
          <w:trHeight w:val="682"/>
        </w:trPr>
        <w:tc>
          <w:tcPr>
            <w:tcW w:w="4819" w:type="dxa"/>
            <w:shd w:val="clear" w:color="auto" w:fill="auto"/>
            <w:vAlign w:val="center"/>
          </w:tcPr>
          <w:p w:rsidRPr="00AF0E75" w:rsidR="004A28CE" w:rsidP="00E53225" w:rsidRDefault="004A28CE" w14:paraId="4B2127FC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AF0E75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>10 CFR 50.55a(z)</w:t>
            </w:r>
          </w:p>
          <w:p w:rsidRPr="00AF0E75" w:rsidR="004A28CE" w:rsidP="00E53225" w:rsidRDefault="004A28CE" w14:paraId="5207C40A" w14:textId="393C6CC4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AF0E75">
              <w:rPr>
                <w:rFonts w:ascii="Arial" w:hAnsi="Arial" w:cs="Arial"/>
                <w:bCs/>
                <w:color w:val="000000"/>
                <w:sz w:val="20"/>
              </w:rPr>
              <w:t xml:space="preserve">Averted reviews of </w:t>
            </w:r>
            <w:r w:rsidR="00E03A2E">
              <w:rPr>
                <w:rFonts w:ascii="Arial" w:hAnsi="Arial" w:cs="Arial"/>
                <w:bCs/>
                <w:color w:val="000000"/>
                <w:sz w:val="20"/>
              </w:rPr>
              <w:t>c</w:t>
            </w:r>
            <w:r w:rsidRPr="00AF0E75">
              <w:rPr>
                <w:rFonts w:ascii="Arial" w:hAnsi="Arial" w:cs="Arial"/>
                <w:bCs/>
                <w:color w:val="000000"/>
                <w:sz w:val="20"/>
              </w:rPr>
              <w:t xml:space="preserve">ode </w:t>
            </w:r>
            <w:r w:rsidR="00504AC9">
              <w:rPr>
                <w:rFonts w:ascii="Arial" w:hAnsi="Arial" w:cs="Arial"/>
                <w:bCs/>
                <w:color w:val="000000"/>
                <w:sz w:val="20"/>
              </w:rPr>
              <w:t>a</w:t>
            </w:r>
            <w:r w:rsidRPr="00AF0E75">
              <w:rPr>
                <w:rFonts w:ascii="Arial" w:hAnsi="Arial" w:cs="Arial"/>
                <w:bCs/>
                <w:color w:val="000000"/>
                <w:sz w:val="20"/>
              </w:rPr>
              <w:t xml:space="preserve">lternative </w:t>
            </w:r>
            <w:r w:rsidR="00504AC9">
              <w:rPr>
                <w:rFonts w:ascii="Arial" w:hAnsi="Arial" w:cs="Arial"/>
                <w:bCs/>
                <w:color w:val="000000"/>
                <w:sz w:val="20"/>
              </w:rPr>
              <w:t>r</w:t>
            </w:r>
            <w:r w:rsidRPr="00AF0E75">
              <w:rPr>
                <w:rFonts w:ascii="Arial" w:hAnsi="Arial" w:cs="Arial"/>
                <w:bCs/>
                <w:color w:val="000000"/>
                <w:sz w:val="20"/>
              </w:rPr>
              <w:t>equests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Pr="00216E95" w:rsidR="004A28CE" w:rsidP="00E53225" w:rsidRDefault="004A28CE" w14:paraId="0EF89724" w14:textId="1FDCD24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16E95">
              <w:rPr>
                <w:rFonts w:ascii="Arial" w:hAnsi="Arial" w:cs="Arial"/>
                <w:color w:val="000000"/>
                <w:sz w:val="20"/>
              </w:rPr>
              <w:t>2</w:t>
            </w:r>
            <w:r w:rsidRPr="00216E95" w:rsidR="001828A8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Pr="00216E95" w:rsidR="004A28CE" w:rsidP="00E53225" w:rsidRDefault="004A28CE" w14:paraId="71CAFBF1" w14:textId="0965CBA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16E95">
              <w:rPr>
                <w:rFonts w:ascii="Arial" w:hAnsi="Arial" w:cs="Arial"/>
                <w:color w:val="000000"/>
                <w:sz w:val="20"/>
              </w:rPr>
              <w:t>-</w:t>
            </w:r>
            <w:r w:rsidRPr="00216E95" w:rsidR="001828A8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Pr="00216E95" w:rsidR="004A28CE" w:rsidP="00E53225" w:rsidRDefault="004A28CE" w14:paraId="133051C7" w14:textId="0C3A28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16E95">
              <w:rPr>
                <w:rFonts w:ascii="Arial" w:hAnsi="Arial" w:cs="Arial"/>
                <w:color w:val="000000"/>
                <w:sz w:val="20"/>
              </w:rPr>
              <w:t>-2</w:t>
            </w:r>
            <w:r w:rsidRPr="00216E95" w:rsidR="001828A8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Pr="007C4511" w:rsidR="004A28CE" w:rsidP="00E53225" w:rsidRDefault="004A28CE" w14:paraId="3FBDF145" w14:textId="47BBD28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C4511">
              <w:rPr>
                <w:rFonts w:ascii="Arial" w:hAnsi="Arial" w:cs="Arial"/>
                <w:color w:val="000000"/>
                <w:sz w:val="20"/>
              </w:rPr>
              <w:t>1</w:t>
            </w:r>
            <w:r w:rsidRPr="007C4511" w:rsidR="00EC7616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Pr="007C4511" w:rsidR="004A28CE" w:rsidP="00E53225" w:rsidRDefault="004A28CE" w14:paraId="74DDC3D2" w14:textId="75871D4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C4511">
              <w:rPr>
                <w:rFonts w:ascii="Arial" w:hAnsi="Arial" w:cs="Arial"/>
                <w:color w:val="000000"/>
                <w:sz w:val="20"/>
              </w:rPr>
              <w:t>-</w:t>
            </w:r>
            <w:r w:rsidR="005F6853">
              <w:rPr>
                <w:rFonts w:ascii="Arial" w:hAnsi="Arial" w:cs="Arial"/>
                <w:color w:val="000000"/>
                <w:sz w:val="20"/>
              </w:rPr>
              <w:t>2,990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Pr="004A28CE" w:rsidR="004A28CE" w:rsidP="00E53225" w:rsidRDefault="004A28CE" w14:paraId="7AAE54BC" w14:textId="6F038C37">
            <w:pPr>
              <w:jc w:val="center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766ECE">
              <w:rPr>
                <w:rFonts w:ascii="Arial" w:hAnsi="Arial"/>
                <w:sz w:val="22"/>
              </w:rPr>
              <w:t>-</w:t>
            </w:r>
            <w:r w:rsidR="005F6853">
              <w:rPr>
                <w:rFonts w:ascii="Arial" w:hAnsi="Arial"/>
                <w:sz w:val="22"/>
              </w:rPr>
              <w:t>834,210</w:t>
            </w:r>
          </w:p>
        </w:tc>
      </w:tr>
    </w:tbl>
    <w:p w:rsidRPr="00AF0E75" w:rsidR="004A28CE" w:rsidP="004A28CE" w:rsidRDefault="004A28CE" w14:paraId="45A6D118" w14:textId="77777777">
      <w:pPr>
        <w:pStyle w:val="Level1"/>
        <w:ind w:left="3600" w:hanging="3600"/>
        <w:jc w:val="center"/>
        <w:rPr>
          <w:rFonts w:ascii="Arial" w:hAnsi="Arial" w:cs="Arial"/>
          <w:sz w:val="22"/>
          <w:szCs w:val="22"/>
        </w:rPr>
      </w:pPr>
    </w:p>
    <w:p w:rsidRPr="00766ECE" w:rsidR="004A28CE" w:rsidP="00574DC2" w:rsidRDefault="00E03A2E" w14:paraId="2BB07105" w14:textId="32F541AA">
      <w:pPr>
        <w:pStyle w:val="Level1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766ECE" w:rsidR="004A28CE">
        <w:rPr>
          <w:rFonts w:ascii="Arial" w:hAnsi="Arial" w:cs="Arial"/>
          <w:sz w:val="22"/>
          <w:szCs w:val="22"/>
        </w:rPr>
        <w:t>Total NRC Burden Hours</w:t>
      </w:r>
      <w:r w:rsidRPr="00766ECE" w:rsidR="004A28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6103">
        <w:rPr>
          <w:rFonts w:ascii="Arial" w:hAnsi="Arial" w:cs="Arial"/>
          <w:sz w:val="22"/>
          <w:szCs w:val="22"/>
        </w:rPr>
        <w:t xml:space="preserve">    </w:t>
      </w:r>
      <w:r w:rsidRPr="00766ECE" w:rsidR="004A28CE">
        <w:rPr>
          <w:rFonts w:ascii="Arial" w:hAnsi="Arial" w:cs="Arial"/>
          <w:sz w:val="22"/>
          <w:szCs w:val="22"/>
        </w:rPr>
        <w:t>-</w:t>
      </w:r>
      <w:r w:rsidR="00216E95">
        <w:rPr>
          <w:rFonts w:ascii="Arial" w:hAnsi="Arial" w:cs="Arial"/>
          <w:sz w:val="22"/>
          <w:szCs w:val="22"/>
        </w:rPr>
        <w:t>2,990</w:t>
      </w:r>
    </w:p>
    <w:p w:rsidRPr="004A28CE" w:rsidR="004A28CE" w:rsidP="004A28CE" w:rsidRDefault="004A28CE" w14:paraId="2AEC847D" w14:textId="0A0E9A6C">
      <w:pPr>
        <w:pStyle w:val="Level1"/>
        <w:ind w:left="3600" w:hanging="3600"/>
        <w:jc w:val="center"/>
        <w:rPr>
          <w:rFonts w:ascii="Arial" w:hAnsi="Arial" w:cs="Arial"/>
          <w:sz w:val="22"/>
          <w:szCs w:val="22"/>
          <w:highlight w:val="yellow"/>
        </w:rPr>
      </w:pPr>
      <w:r w:rsidRPr="00766ECE">
        <w:rPr>
          <w:rFonts w:ascii="Arial" w:hAnsi="Arial" w:cs="Arial"/>
          <w:sz w:val="22"/>
          <w:szCs w:val="22"/>
        </w:rPr>
        <w:t>Total NRC Burden Hour Cost</w:t>
      </w:r>
      <w:r w:rsidRPr="00766ECE">
        <w:rPr>
          <w:rFonts w:ascii="Arial" w:hAnsi="Arial" w:cs="Arial"/>
          <w:sz w:val="22"/>
          <w:szCs w:val="22"/>
        </w:rPr>
        <w:tab/>
        <w:t>-$</w:t>
      </w:r>
      <w:r w:rsidRPr="006E60BC" w:rsidR="006E60BC">
        <w:rPr>
          <w:rFonts w:ascii="Arial" w:hAnsi="Arial" w:cs="Arial"/>
          <w:sz w:val="22"/>
          <w:szCs w:val="22"/>
        </w:rPr>
        <w:t>8</w:t>
      </w:r>
      <w:r w:rsidR="00216E95">
        <w:rPr>
          <w:rFonts w:ascii="Arial" w:hAnsi="Arial" w:cs="Arial"/>
          <w:sz w:val="22"/>
          <w:szCs w:val="22"/>
        </w:rPr>
        <w:t>34,210</w:t>
      </w:r>
      <w:r w:rsidRPr="00766ECE" w:rsidR="00766ECE">
        <w:rPr>
          <w:rFonts w:ascii="Arial" w:hAnsi="Arial" w:cs="Arial"/>
          <w:sz w:val="22"/>
          <w:szCs w:val="22"/>
        </w:rPr>
        <w:t>‬</w:t>
      </w:r>
    </w:p>
    <w:p w:rsidRPr="00594502" w:rsidR="006208D7" w:rsidP="002A64F1" w:rsidRDefault="006208D7" w14:paraId="349D6B08" w14:textId="4839FBC2">
      <w:pPr>
        <w:widowControl w:val="0"/>
        <w:ind w:left="720"/>
        <w:rPr>
          <w:rFonts w:ascii="Arial" w:hAnsi="Arial"/>
          <w:sz w:val="22"/>
        </w:rPr>
      </w:pPr>
    </w:p>
    <w:sectPr w:rsidRPr="00594502" w:rsidR="006208D7" w:rsidSect="00574DC2">
      <w:pgSz w:w="15840" w:h="12240" w:orient="landscape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0F015" w14:textId="77777777" w:rsidR="00E66609" w:rsidRDefault="00E66609">
      <w:r>
        <w:separator/>
      </w:r>
    </w:p>
  </w:endnote>
  <w:endnote w:type="continuationSeparator" w:id="0">
    <w:p w14:paraId="6A960EEF" w14:textId="77777777" w:rsidR="00E66609" w:rsidRDefault="00E66609">
      <w:r>
        <w:continuationSeparator/>
      </w:r>
    </w:p>
  </w:endnote>
  <w:endnote w:type="continuationNotice" w:id="1">
    <w:p w14:paraId="22A0E41E" w14:textId="77777777" w:rsidR="00E66609" w:rsidRDefault="00E66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60015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781B5E84" w14:textId="77777777" w:rsidR="00EF2662" w:rsidRDefault="00EF2662">
        <w:pPr>
          <w:pStyle w:val="Footer"/>
          <w:jc w:val="center"/>
        </w:pPr>
      </w:p>
      <w:p w14:paraId="603100BD" w14:textId="1186B6B1" w:rsidR="00873DB2" w:rsidRPr="00873DB2" w:rsidRDefault="00873DB2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873DB2">
          <w:rPr>
            <w:rFonts w:ascii="Arial" w:hAnsi="Arial" w:cs="Arial"/>
            <w:sz w:val="22"/>
            <w:szCs w:val="22"/>
          </w:rPr>
          <w:fldChar w:fldCharType="begin"/>
        </w:r>
        <w:r w:rsidRPr="00873DB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873DB2">
          <w:rPr>
            <w:rFonts w:ascii="Arial" w:hAnsi="Arial" w:cs="Arial"/>
            <w:sz w:val="22"/>
            <w:szCs w:val="22"/>
          </w:rPr>
          <w:fldChar w:fldCharType="separate"/>
        </w:r>
        <w:r w:rsidR="0090582F">
          <w:rPr>
            <w:rFonts w:ascii="Arial" w:hAnsi="Arial" w:cs="Arial"/>
            <w:noProof/>
            <w:sz w:val="22"/>
            <w:szCs w:val="22"/>
          </w:rPr>
          <w:t>5</w:t>
        </w:r>
        <w:r w:rsidRPr="00873DB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CEB65" w14:textId="77777777" w:rsidR="00E66609" w:rsidRDefault="00E66609">
      <w:r>
        <w:separator/>
      </w:r>
    </w:p>
  </w:footnote>
  <w:footnote w:type="continuationSeparator" w:id="0">
    <w:p w14:paraId="67C276D7" w14:textId="77777777" w:rsidR="00E66609" w:rsidRDefault="00E66609">
      <w:r>
        <w:continuationSeparator/>
      </w:r>
    </w:p>
  </w:footnote>
  <w:footnote w:type="continuationNotice" w:id="1">
    <w:p w14:paraId="42947287" w14:textId="77777777" w:rsidR="00E66609" w:rsidRDefault="00E666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94F14"/>
    <w:multiLevelType w:val="hybridMultilevel"/>
    <w:tmpl w:val="311A0E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C411F0"/>
    <w:multiLevelType w:val="hybridMultilevel"/>
    <w:tmpl w:val="9C166D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D55EFB"/>
    <w:multiLevelType w:val="hybridMultilevel"/>
    <w:tmpl w:val="277660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8E72C2"/>
    <w:multiLevelType w:val="hybridMultilevel"/>
    <w:tmpl w:val="5B20442C"/>
    <w:lvl w:ilvl="0" w:tplc="D71620D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4683519"/>
    <w:multiLevelType w:val="hybridMultilevel"/>
    <w:tmpl w:val="818E82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9263624"/>
    <w:multiLevelType w:val="hybridMultilevel"/>
    <w:tmpl w:val="752EDB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F1"/>
    <w:rsid w:val="000010FD"/>
    <w:rsid w:val="0000192E"/>
    <w:rsid w:val="00001FDA"/>
    <w:rsid w:val="00006933"/>
    <w:rsid w:val="000148CF"/>
    <w:rsid w:val="00016F5E"/>
    <w:rsid w:val="00023835"/>
    <w:rsid w:val="00024BD9"/>
    <w:rsid w:val="00030E9A"/>
    <w:rsid w:val="0003585D"/>
    <w:rsid w:val="0004170D"/>
    <w:rsid w:val="00053952"/>
    <w:rsid w:val="00056716"/>
    <w:rsid w:val="00057825"/>
    <w:rsid w:val="00057A5A"/>
    <w:rsid w:val="00060F69"/>
    <w:rsid w:val="0006251D"/>
    <w:rsid w:val="00066C6C"/>
    <w:rsid w:val="0007091E"/>
    <w:rsid w:val="00076B28"/>
    <w:rsid w:val="00091051"/>
    <w:rsid w:val="00091904"/>
    <w:rsid w:val="000922A4"/>
    <w:rsid w:val="00092EE7"/>
    <w:rsid w:val="00093A4B"/>
    <w:rsid w:val="00094A31"/>
    <w:rsid w:val="000A731F"/>
    <w:rsid w:val="000B115C"/>
    <w:rsid w:val="000B26C3"/>
    <w:rsid w:val="000B726C"/>
    <w:rsid w:val="000C0ADC"/>
    <w:rsid w:val="000C0BB1"/>
    <w:rsid w:val="000C64F4"/>
    <w:rsid w:val="000D017F"/>
    <w:rsid w:val="000D149F"/>
    <w:rsid w:val="000D175A"/>
    <w:rsid w:val="000D4F05"/>
    <w:rsid w:val="000E000B"/>
    <w:rsid w:val="000E0D5E"/>
    <w:rsid w:val="000E3CD2"/>
    <w:rsid w:val="000F0450"/>
    <w:rsid w:val="000F2A84"/>
    <w:rsid w:val="00111C0A"/>
    <w:rsid w:val="00115A17"/>
    <w:rsid w:val="00124FD8"/>
    <w:rsid w:val="00126ED5"/>
    <w:rsid w:val="001314C9"/>
    <w:rsid w:val="00134E93"/>
    <w:rsid w:val="00141165"/>
    <w:rsid w:val="00142FC1"/>
    <w:rsid w:val="00145B55"/>
    <w:rsid w:val="001504EF"/>
    <w:rsid w:val="00171C8F"/>
    <w:rsid w:val="001739E9"/>
    <w:rsid w:val="00174F5A"/>
    <w:rsid w:val="0017509E"/>
    <w:rsid w:val="00177AD2"/>
    <w:rsid w:val="001828A8"/>
    <w:rsid w:val="00184823"/>
    <w:rsid w:val="00190DBF"/>
    <w:rsid w:val="00195A1C"/>
    <w:rsid w:val="00196099"/>
    <w:rsid w:val="00197D38"/>
    <w:rsid w:val="001A1EAA"/>
    <w:rsid w:val="001A2730"/>
    <w:rsid w:val="001A2855"/>
    <w:rsid w:val="001A4DCF"/>
    <w:rsid w:val="001A5718"/>
    <w:rsid w:val="001B1285"/>
    <w:rsid w:val="001B2FE4"/>
    <w:rsid w:val="001B4EB7"/>
    <w:rsid w:val="001C1012"/>
    <w:rsid w:val="001C2011"/>
    <w:rsid w:val="001D0296"/>
    <w:rsid w:val="001D0E7B"/>
    <w:rsid w:val="001E1B9C"/>
    <w:rsid w:val="001F0F2E"/>
    <w:rsid w:val="001F3652"/>
    <w:rsid w:val="002006D4"/>
    <w:rsid w:val="00202601"/>
    <w:rsid w:val="00210464"/>
    <w:rsid w:val="00214167"/>
    <w:rsid w:val="0021562E"/>
    <w:rsid w:val="00216086"/>
    <w:rsid w:val="00216E95"/>
    <w:rsid w:val="002211DD"/>
    <w:rsid w:val="00221C94"/>
    <w:rsid w:val="0023395C"/>
    <w:rsid w:val="002339B3"/>
    <w:rsid w:val="002362E0"/>
    <w:rsid w:val="00247452"/>
    <w:rsid w:val="0025011E"/>
    <w:rsid w:val="0025156B"/>
    <w:rsid w:val="002520AC"/>
    <w:rsid w:val="002533EC"/>
    <w:rsid w:val="0027051D"/>
    <w:rsid w:val="00272D4C"/>
    <w:rsid w:val="0027361D"/>
    <w:rsid w:val="00280B66"/>
    <w:rsid w:val="00282B4C"/>
    <w:rsid w:val="00282F14"/>
    <w:rsid w:val="00295331"/>
    <w:rsid w:val="002A0F75"/>
    <w:rsid w:val="002A5F82"/>
    <w:rsid w:val="002A64F1"/>
    <w:rsid w:val="002A7678"/>
    <w:rsid w:val="002B1B12"/>
    <w:rsid w:val="002B27B8"/>
    <w:rsid w:val="002B663C"/>
    <w:rsid w:val="002C3AC1"/>
    <w:rsid w:val="002D0BF8"/>
    <w:rsid w:val="002D1887"/>
    <w:rsid w:val="002D34B8"/>
    <w:rsid w:val="002E2FF8"/>
    <w:rsid w:val="002F2DA3"/>
    <w:rsid w:val="002F39AD"/>
    <w:rsid w:val="00300E19"/>
    <w:rsid w:val="00305A6D"/>
    <w:rsid w:val="00306F65"/>
    <w:rsid w:val="00310452"/>
    <w:rsid w:val="003261C2"/>
    <w:rsid w:val="0032725B"/>
    <w:rsid w:val="003335F5"/>
    <w:rsid w:val="00333B5F"/>
    <w:rsid w:val="00334769"/>
    <w:rsid w:val="0033767B"/>
    <w:rsid w:val="00341DDE"/>
    <w:rsid w:val="00344801"/>
    <w:rsid w:val="003511FA"/>
    <w:rsid w:val="00356679"/>
    <w:rsid w:val="00362094"/>
    <w:rsid w:val="00363AF5"/>
    <w:rsid w:val="003663D3"/>
    <w:rsid w:val="003722E0"/>
    <w:rsid w:val="00375B97"/>
    <w:rsid w:val="00375BD3"/>
    <w:rsid w:val="003768AF"/>
    <w:rsid w:val="00381239"/>
    <w:rsid w:val="00387257"/>
    <w:rsid w:val="003873AB"/>
    <w:rsid w:val="00391274"/>
    <w:rsid w:val="00391CC1"/>
    <w:rsid w:val="003B02A7"/>
    <w:rsid w:val="003B2B7C"/>
    <w:rsid w:val="003B415A"/>
    <w:rsid w:val="003B600C"/>
    <w:rsid w:val="003C01D4"/>
    <w:rsid w:val="003C0754"/>
    <w:rsid w:val="003C1E20"/>
    <w:rsid w:val="003E1406"/>
    <w:rsid w:val="003F2B90"/>
    <w:rsid w:val="003F2BB2"/>
    <w:rsid w:val="003F3BB1"/>
    <w:rsid w:val="0040177C"/>
    <w:rsid w:val="00411CBD"/>
    <w:rsid w:val="004127EA"/>
    <w:rsid w:val="00414CF0"/>
    <w:rsid w:val="00415B67"/>
    <w:rsid w:val="004210F6"/>
    <w:rsid w:val="0042445D"/>
    <w:rsid w:val="00425948"/>
    <w:rsid w:val="004261C1"/>
    <w:rsid w:val="00426A8A"/>
    <w:rsid w:val="004305A6"/>
    <w:rsid w:val="004361A2"/>
    <w:rsid w:val="00436ACB"/>
    <w:rsid w:val="004404F9"/>
    <w:rsid w:val="00441860"/>
    <w:rsid w:val="00447DCC"/>
    <w:rsid w:val="004538D7"/>
    <w:rsid w:val="004559DE"/>
    <w:rsid w:val="004575E8"/>
    <w:rsid w:val="00471ED5"/>
    <w:rsid w:val="00472177"/>
    <w:rsid w:val="00472F1A"/>
    <w:rsid w:val="00475C53"/>
    <w:rsid w:val="00477554"/>
    <w:rsid w:val="00484068"/>
    <w:rsid w:val="004A28CE"/>
    <w:rsid w:val="004A31C2"/>
    <w:rsid w:val="004A47C1"/>
    <w:rsid w:val="004A61D4"/>
    <w:rsid w:val="004A6B43"/>
    <w:rsid w:val="004B08AE"/>
    <w:rsid w:val="004B1035"/>
    <w:rsid w:val="004B2A8C"/>
    <w:rsid w:val="004C0EF1"/>
    <w:rsid w:val="004C121A"/>
    <w:rsid w:val="004C2486"/>
    <w:rsid w:val="004D6D53"/>
    <w:rsid w:val="004D7520"/>
    <w:rsid w:val="004E309C"/>
    <w:rsid w:val="004F1814"/>
    <w:rsid w:val="004F3E39"/>
    <w:rsid w:val="004F4364"/>
    <w:rsid w:val="004F6D54"/>
    <w:rsid w:val="00501047"/>
    <w:rsid w:val="00501A65"/>
    <w:rsid w:val="005022BA"/>
    <w:rsid w:val="0050269A"/>
    <w:rsid w:val="005043DB"/>
    <w:rsid w:val="00504AC9"/>
    <w:rsid w:val="0050567D"/>
    <w:rsid w:val="00513C0B"/>
    <w:rsid w:val="005209EC"/>
    <w:rsid w:val="00522755"/>
    <w:rsid w:val="005241DB"/>
    <w:rsid w:val="0053311C"/>
    <w:rsid w:val="00541B57"/>
    <w:rsid w:val="00547D10"/>
    <w:rsid w:val="00547E71"/>
    <w:rsid w:val="0055113B"/>
    <w:rsid w:val="00561EB5"/>
    <w:rsid w:val="00574DC2"/>
    <w:rsid w:val="00576BBC"/>
    <w:rsid w:val="00584FF0"/>
    <w:rsid w:val="00585934"/>
    <w:rsid w:val="0059256B"/>
    <w:rsid w:val="00592629"/>
    <w:rsid w:val="00592B77"/>
    <w:rsid w:val="00594502"/>
    <w:rsid w:val="00596C0A"/>
    <w:rsid w:val="005A2A36"/>
    <w:rsid w:val="005A5F3F"/>
    <w:rsid w:val="005A70D3"/>
    <w:rsid w:val="005B1184"/>
    <w:rsid w:val="005B242C"/>
    <w:rsid w:val="005B4230"/>
    <w:rsid w:val="005C238E"/>
    <w:rsid w:val="005C6229"/>
    <w:rsid w:val="005C74B2"/>
    <w:rsid w:val="005D327E"/>
    <w:rsid w:val="005D6DA3"/>
    <w:rsid w:val="005E3321"/>
    <w:rsid w:val="005E67A0"/>
    <w:rsid w:val="005F24AA"/>
    <w:rsid w:val="005F4EAE"/>
    <w:rsid w:val="005F53EF"/>
    <w:rsid w:val="005F6303"/>
    <w:rsid w:val="005F6853"/>
    <w:rsid w:val="006000ED"/>
    <w:rsid w:val="00600491"/>
    <w:rsid w:val="00604AC7"/>
    <w:rsid w:val="006144AA"/>
    <w:rsid w:val="006145FE"/>
    <w:rsid w:val="0062047D"/>
    <w:rsid w:val="006208D7"/>
    <w:rsid w:val="00627401"/>
    <w:rsid w:val="00627AD5"/>
    <w:rsid w:val="00634D4F"/>
    <w:rsid w:val="006351EF"/>
    <w:rsid w:val="00640BE4"/>
    <w:rsid w:val="00644E27"/>
    <w:rsid w:val="0064713B"/>
    <w:rsid w:val="00650B1B"/>
    <w:rsid w:val="00657D8B"/>
    <w:rsid w:val="00666A39"/>
    <w:rsid w:val="00672559"/>
    <w:rsid w:val="00674F6E"/>
    <w:rsid w:val="00676B34"/>
    <w:rsid w:val="006910E6"/>
    <w:rsid w:val="0069202A"/>
    <w:rsid w:val="006930D5"/>
    <w:rsid w:val="006953E6"/>
    <w:rsid w:val="006A0567"/>
    <w:rsid w:val="006A4344"/>
    <w:rsid w:val="006B5DC2"/>
    <w:rsid w:val="006B7CB7"/>
    <w:rsid w:val="006C13E0"/>
    <w:rsid w:val="006C4016"/>
    <w:rsid w:val="006C5C44"/>
    <w:rsid w:val="006D2133"/>
    <w:rsid w:val="006E11E3"/>
    <w:rsid w:val="006E2495"/>
    <w:rsid w:val="006E388B"/>
    <w:rsid w:val="006E60BC"/>
    <w:rsid w:val="006F05BD"/>
    <w:rsid w:val="00702231"/>
    <w:rsid w:val="00722DD6"/>
    <w:rsid w:val="00724952"/>
    <w:rsid w:val="00725F8A"/>
    <w:rsid w:val="007319E6"/>
    <w:rsid w:val="00732D7A"/>
    <w:rsid w:val="007407AB"/>
    <w:rsid w:val="007460A9"/>
    <w:rsid w:val="0074730C"/>
    <w:rsid w:val="007668BF"/>
    <w:rsid w:val="00766ECE"/>
    <w:rsid w:val="00767998"/>
    <w:rsid w:val="00775D64"/>
    <w:rsid w:val="00782F62"/>
    <w:rsid w:val="007840C5"/>
    <w:rsid w:val="00793483"/>
    <w:rsid w:val="007942C2"/>
    <w:rsid w:val="00794D72"/>
    <w:rsid w:val="007A0A1C"/>
    <w:rsid w:val="007A0A57"/>
    <w:rsid w:val="007A5EF8"/>
    <w:rsid w:val="007B59D6"/>
    <w:rsid w:val="007B77A7"/>
    <w:rsid w:val="007C17CB"/>
    <w:rsid w:val="007C1FD9"/>
    <w:rsid w:val="007C4511"/>
    <w:rsid w:val="007C6F48"/>
    <w:rsid w:val="007D00BB"/>
    <w:rsid w:val="007D16F4"/>
    <w:rsid w:val="007D3349"/>
    <w:rsid w:val="007D48F4"/>
    <w:rsid w:val="007D592F"/>
    <w:rsid w:val="007E1197"/>
    <w:rsid w:val="007E2929"/>
    <w:rsid w:val="007E52F3"/>
    <w:rsid w:val="007F4B17"/>
    <w:rsid w:val="007F727A"/>
    <w:rsid w:val="00801373"/>
    <w:rsid w:val="00807A58"/>
    <w:rsid w:val="00812D61"/>
    <w:rsid w:val="008211A3"/>
    <w:rsid w:val="008407FC"/>
    <w:rsid w:val="00845E8B"/>
    <w:rsid w:val="00846AD1"/>
    <w:rsid w:val="008513FC"/>
    <w:rsid w:val="00856D7A"/>
    <w:rsid w:val="0086560B"/>
    <w:rsid w:val="00871148"/>
    <w:rsid w:val="00871C0E"/>
    <w:rsid w:val="00873DB2"/>
    <w:rsid w:val="008767DD"/>
    <w:rsid w:val="008828A3"/>
    <w:rsid w:val="00885647"/>
    <w:rsid w:val="0089501A"/>
    <w:rsid w:val="0089686A"/>
    <w:rsid w:val="008A04DB"/>
    <w:rsid w:val="008A54DF"/>
    <w:rsid w:val="008A592A"/>
    <w:rsid w:val="008A6790"/>
    <w:rsid w:val="008A75B2"/>
    <w:rsid w:val="008A75F1"/>
    <w:rsid w:val="008B215E"/>
    <w:rsid w:val="008B725F"/>
    <w:rsid w:val="008B7CFA"/>
    <w:rsid w:val="008C2B02"/>
    <w:rsid w:val="008C4C84"/>
    <w:rsid w:val="008C744F"/>
    <w:rsid w:val="008D00DD"/>
    <w:rsid w:val="008E0150"/>
    <w:rsid w:val="008E28E9"/>
    <w:rsid w:val="008E3B04"/>
    <w:rsid w:val="008F3629"/>
    <w:rsid w:val="008F4B22"/>
    <w:rsid w:val="008F503B"/>
    <w:rsid w:val="009012B2"/>
    <w:rsid w:val="009038DF"/>
    <w:rsid w:val="0090582F"/>
    <w:rsid w:val="00907201"/>
    <w:rsid w:val="00911957"/>
    <w:rsid w:val="009136F7"/>
    <w:rsid w:val="00915A93"/>
    <w:rsid w:val="00915FA2"/>
    <w:rsid w:val="00922998"/>
    <w:rsid w:val="00925496"/>
    <w:rsid w:val="009315B5"/>
    <w:rsid w:val="00932BC4"/>
    <w:rsid w:val="00934A49"/>
    <w:rsid w:val="00937547"/>
    <w:rsid w:val="0094670F"/>
    <w:rsid w:val="00952101"/>
    <w:rsid w:val="00955C29"/>
    <w:rsid w:val="00972AC0"/>
    <w:rsid w:val="00974D6B"/>
    <w:rsid w:val="00975BFC"/>
    <w:rsid w:val="00976BCB"/>
    <w:rsid w:val="009835F7"/>
    <w:rsid w:val="00991C35"/>
    <w:rsid w:val="0099296A"/>
    <w:rsid w:val="009966D7"/>
    <w:rsid w:val="009A2362"/>
    <w:rsid w:val="009C05C4"/>
    <w:rsid w:val="009D1C31"/>
    <w:rsid w:val="009E6101"/>
    <w:rsid w:val="009F140D"/>
    <w:rsid w:val="009F1FE0"/>
    <w:rsid w:val="009F267F"/>
    <w:rsid w:val="00A02DCE"/>
    <w:rsid w:val="00A02E0C"/>
    <w:rsid w:val="00A109AD"/>
    <w:rsid w:val="00A120ED"/>
    <w:rsid w:val="00A13C4F"/>
    <w:rsid w:val="00A220DF"/>
    <w:rsid w:val="00A27BF3"/>
    <w:rsid w:val="00A303AB"/>
    <w:rsid w:val="00A30AB8"/>
    <w:rsid w:val="00A325C5"/>
    <w:rsid w:val="00A3440E"/>
    <w:rsid w:val="00A4693B"/>
    <w:rsid w:val="00A47640"/>
    <w:rsid w:val="00A53722"/>
    <w:rsid w:val="00A54008"/>
    <w:rsid w:val="00A64831"/>
    <w:rsid w:val="00A7317B"/>
    <w:rsid w:val="00A7346B"/>
    <w:rsid w:val="00A75E82"/>
    <w:rsid w:val="00A76B38"/>
    <w:rsid w:val="00A819B5"/>
    <w:rsid w:val="00A85BF0"/>
    <w:rsid w:val="00A90CF4"/>
    <w:rsid w:val="00A92689"/>
    <w:rsid w:val="00A93C1E"/>
    <w:rsid w:val="00A93DAC"/>
    <w:rsid w:val="00A96845"/>
    <w:rsid w:val="00AA2478"/>
    <w:rsid w:val="00AA27AB"/>
    <w:rsid w:val="00AA2DAF"/>
    <w:rsid w:val="00AB2F36"/>
    <w:rsid w:val="00AB4452"/>
    <w:rsid w:val="00AB4B73"/>
    <w:rsid w:val="00AB7531"/>
    <w:rsid w:val="00AC0278"/>
    <w:rsid w:val="00AD1B02"/>
    <w:rsid w:val="00AD2E3C"/>
    <w:rsid w:val="00AD3232"/>
    <w:rsid w:val="00AD4AEB"/>
    <w:rsid w:val="00AE65E1"/>
    <w:rsid w:val="00AF4353"/>
    <w:rsid w:val="00AF6E36"/>
    <w:rsid w:val="00B02BAE"/>
    <w:rsid w:val="00B03010"/>
    <w:rsid w:val="00B05A5E"/>
    <w:rsid w:val="00B1040F"/>
    <w:rsid w:val="00B115E2"/>
    <w:rsid w:val="00B15569"/>
    <w:rsid w:val="00B2182D"/>
    <w:rsid w:val="00B24128"/>
    <w:rsid w:val="00B27C90"/>
    <w:rsid w:val="00B33840"/>
    <w:rsid w:val="00B35B82"/>
    <w:rsid w:val="00B378F4"/>
    <w:rsid w:val="00B457A7"/>
    <w:rsid w:val="00B52F65"/>
    <w:rsid w:val="00B55313"/>
    <w:rsid w:val="00B56C01"/>
    <w:rsid w:val="00B62720"/>
    <w:rsid w:val="00B70C4C"/>
    <w:rsid w:val="00B71FEB"/>
    <w:rsid w:val="00B73C9A"/>
    <w:rsid w:val="00B77367"/>
    <w:rsid w:val="00B80AE8"/>
    <w:rsid w:val="00B83858"/>
    <w:rsid w:val="00B84A88"/>
    <w:rsid w:val="00B863CF"/>
    <w:rsid w:val="00B87051"/>
    <w:rsid w:val="00B87310"/>
    <w:rsid w:val="00B87D85"/>
    <w:rsid w:val="00B90F9D"/>
    <w:rsid w:val="00B92A2C"/>
    <w:rsid w:val="00B93C79"/>
    <w:rsid w:val="00B96EBC"/>
    <w:rsid w:val="00B9796F"/>
    <w:rsid w:val="00BA1B6D"/>
    <w:rsid w:val="00BA6AEC"/>
    <w:rsid w:val="00BB6CA1"/>
    <w:rsid w:val="00BB7241"/>
    <w:rsid w:val="00BB780C"/>
    <w:rsid w:val="00BB7FB9"/>
    <w:rsid w:val="00BC37B7"/>
    <w:rsid w:val="00BE032C"/>
    <w:rsid w:val="00BE13BB"/>
    <w:rsid w:val="00BE1EEB"/>
    <w:rsid w:val="00BE40E2"/>
    <w:rsid w:val="00BE5DD8"/>
    <w:rsid w:val="00BF00CF"/>
    <w:rsid w:val="00BF117F"/>
    <w:rsid w:val="00BF3CB8"/>
    <w:rsid w:val="00C02B0B"/>
    <w:rsid w:val="00C03615"/>
    <w:rsid w:val="00C05F45"/>
    <w:rsid w:val="00C06A70"/>
    <w:rsid w:val="00C06F36"/>
    <w:rsid w:val="00C100CA"/>
    <w:rsid w:val="00C10F25"/>
    <w:rsid w:val="00C138EC"/>
    <w:rsid w:val="00C14B24"/>
    <w:rsid w:val="00C16E37"/>
    <w:rsid w:val="00C40F98"/>
    <w:rsid w:val="00C46F81"/>
    <w:rsid w:val="00C47544"/>
    <w:rsid w:val="00C5536E"/>
    <w:rsid w:val="00C56210"/>
    <w:rsid w:val="00C63D57"/>
    <w:rsid w:val="00C700BA"/>
    <w:rsid w:val="00C74751"/>
    <w:rsid w:val="00C77094"/>
    <w:rsid w:val="00C83732"/>
    <w:rsid w:val="00C841EB"/>
    <w:rsid w:val="00C84C94"/>
    <w:rsid w:val="00CB0AB5"/>
    <w:rsid w:val="00CB2FB8"/>
    <w:rsid w:val="00CB443D"/>
    <w:rsid w:val="00CB54FC"/>
    <w:rsid w:val="00CB5911"/>
    <w:rsid w:val="00CB5981"/>
    <w:rsid w:val="00CB5B28"/>
    <w:rsid w:val="00CB6E40"/>
    <w:rsid w:val="00CB7117"/>
    <w:rsid w:val="00CB72B6"/>
    <w:rsid w:val="00CB78AE"/>
    <w:rsid w:val="00CC37F8"/>
    <w:rsid w:val="00CD2319"/>
    <w:rsid w:val="00CE360F"/>
    <w:rsid w:val="00CE45BC"/>
    <w:rsid w:val="00CE6AFB"/>
    <w:rsid w:val="00CE6CFA"/>
    <w:rsid w:val="00CE74E1"/>
    <w:rsid w:val="00CF0D46"/>
    <w:rsid w:val="00D03A5B"/>
    <w:rsid w:val="00D1159A"/>
    <w:rsid w:val="00D12AE8"/>
    <w:rsid w:val="00D2379C"/>
    <w:rsid w:val="00D321C1"/>
    <w:rsid w:val="00D32458"/>
    <w:rsid w:val="00D32670"/>
    <w:rsid w:val="00D331E6"/>
    <w:rsid w:val="00D5128F"/>
    <w:rsid w:val="00D60398"/>
    <w:rsid w:val="00D64A90"/>
    <w:rsid w:val="00D65C7B"/>
    <w:rsid w:val="00D72BED"/>
    <w:rsid w:val="00D763EB"/>
    <w:rsid w:val="00D81C77"/>
    <w:rsid w:val="00D871AC"/>
    <w:rsid w:val="00D93442"/>
    <w:rsid w:val="00D94CB5"/>
    <w:rsid w:val="00DA5331"/>
    <w:rsid w:val="00DB4EFD"/>
    <w:rsid w:val="00DB7277"/>
    <w:rsid w:val="00DC6D96"/>
    <w:rsid w:val="00DD2B17"/>
    <w:rsid w:val="00DD4885"/>
    <w:rsid w:val="00DE0808"/>
    <w:rsid w:val="00DE3D8C"/>
    <w:rsid w:val="00DF1009"/>
    <w:rsid w:val="00DF25CC"/>
    <w:rsid w:val="00DF6660"/>
    <w:rsid w:val="00E02131"/>
    <w:rsid w:val="00E02B6E"/>
    <w:rsid w:val="00E03A2E"/>
    <w:rsid w:val="00E11D3B"/>
    <w:rsid w:val="00E156E5"/>
    <w:rsid w:val="00E20E9D"/>
    <w:rsid w:val="00E230B2"/>
    <w:rsid w:val="00E24732"/>
    <w:rsid w:val="00E2551A"/>
    <w:rsid w:val="00E364FA"/>
    <w:rsid w:val="00E412BE"/>
    <w:rsid w:val="00E45FC9"/>
    <w:rsid w:val="00E47467"/>
    <w:rsid w:val="00E5022C"/>
    <w:rsid w:val="00E529D1"/>
    <w:rsid w:val="00E53225"/>
    <w:rsid w:val="00E537BD"/>
    <w:rsid w:val="00E55038"/>
    <w:rsid w:val="00E55FCA"/>
    <w:rsid w:val="00E56D9E"/>
    <w:rsid w:val="00E6067C"/>
    <w:rsid w:val="00E66609"/>
    <w:rsid w:val="00E70E38"/>
    <w:rsid w:val="00E70F4F"/>
    <w:rsid w:val="00E72FE1"/>
    <w:rsid w:val="00E73DD0"/>
    <w:rsid w:val="00E84648"/>
    <w:rsid w:val="00E86CEB"/>
    <w:rsid w:val="00E9029E"/>
    <w:rsid w:val="00E917B2"/>
    <w:rsid w:val="00E92E12"/>
    <w:rsid w:val="00E93D6A"/>
    <w:rsid w:val="00E957DD"/>
    <w:rsid w:val="00E97F94"/>
    <w:rsid w:val="00EA3953"/>
    <w:rsid w:val="00EA58F0"/>
    <w:rsid w:val="00EB1EF1"/>
    <w:rsid w:val="00EB7A11"/>
    <w:rsid w:val="00EC231C"/>
    <w:rsid w:val="00EC530F"/>
    <w:rsid w:val="00EC7616"/>
    <w:rsid w:val="00ED2DDB"/>
    <w:rsid w:val="00EE05F7"/>
    <w:rsid w:val="00EE09B2"/>
    <w:rsid w:val="00EE4177"/>
    <w:rsid w:val="00EE430B"/>
    <w:rsid w:val="00EE75AA"/>
    <w:rsid w:val="00EE7D63"/>
    <w:rsid w:val="00EF2662"/>
    <w:rsid w:val="00EF7127"/>
    <w:rsid w:val="00F0085E"/>
    <w:rsid w:val="00F041DE"/>
    <w:rsid w:val="00F04762"/>
    <w:rsid w:val="00F06F36"/>
    <w:rsid w:val="00F16983"/>
    <w:rsid w:val="00F309E5"/>
    <w:rsid w:val="00F40E37"/>
    <w:rsid w:val="00F43A62"/>
    <w:rsid w:val="00F478AD"/>
    <w:rsid w:val="00F51AB0"/>
    <w:rsid w:val="00F51CF4"/>
    <w:rsid w:val="00F53B58"/>
    <w:rsid w:val="00F5568D"/>
    <w:rsid w:val="00F73017"/>
    <w:rsid w:val="00F76777"/>
    <w:rsid w:val="00F86FEF"/>
    <w:rsid w:val="00F90FF4"/>
    <w:rsid w:val="00F911A4"/>
    <w:rsid w:val="00FA2006"/>
    <w:rsid w:val="00FA2453"/>
    <w:rsid w:val="00FA528C"/>
    <w:rsid w:val="00FA662A"/>
    <w:rsid w:val="00FB0F40"/>
    <w:rsid w:val="00FB3495"/>
    <w:rsid w:val="00FC4BA5"/>
    <w:rsid w:val="00FC627D"/>
    <w:rsid w:val="00FD0450"/>
    <w:rsid w:val="00FD08C1"/>
    <w:rsid w:val="00FD5540"/>
    <w:rsid w:val="00FD57C7"/>
    <w:rsid w:val="00FE0A8B"/>
    <w:rsid w:val="00FE10C3"/>
    <w:rsid w:val="00FE509F"/>
    <w:rsid w:val="00FF418B"/>
    <w:rsid w:val="00FF4251"/>
    <w:rsid w:val="00FF45E6"/>
    <w:rsid w:val="00FF6103"/>
    <w:rsid w:val="0334ABCF"/>
    <w:rsid w:val="0458FBA2"/>
    <w:rsid w:val="05A097D9"/>
    <w:rsid w:val="0678A2B9"/>
    <w:rsid w:val="0FC63711"/>
    <w:rsid w:val="1003284E"/>
    <w:rsid w:val="15B55887"/>
    <w:rsid w:val="1C8644C1"/>
    <w:rsid w:val="1E27CFB4"/>
    <w:rsid w:val="1FF0E5B2"/>
    <w:rsid w:val="204C3C1C"/>
    <w:rsid w:val="20EA5786"/>
    <w:rsid w:val="21F1FACA"/>
    <w:rsid w:val="25BDA76C"/>
    <w:rsid w:val="2745AAA1"/>
    <w:rsid w:val="27C34CE2"/>
    <w:rsid w:val="301EC9B3"/>
    <w:rsid w:val="3726C4E7"/>
    <w:rsid w:val="394CB034"/>
    <w:rsid w:val="3A3A51A6"/>
    <w:rsid w:val="3B855EBA"/>
    <w:rsid w:val="3E696189"/>
    <w:rsid w:val="3E91C1E7"/>
    <w:rsid w:val="3F6F7834"/>
    <w:rsid w:val="402A8D9C"/>
    <w:rsid w:val="4191930B"/>
    <w:rsid w:val="4355F3EF"/>
    <w:rsid w:val="43747BC5"/>
    <w:rsid w:val="43D55BBB"/>
    <w:rsid w:val="4614B278"/>
    <w:rsid w:val="4730BA2A"/>
    <w:rsid w:val="494ABFA3"/>
    <w:rsid w:val="4C10A98A"/>
    <w:rsid w:val="4CE9E2B0"/>
    <w:rsid w:val="51BE7FBA"/>
    <w:rsid w:val="526F35CC"/>
    <w:rsid w:val="5C8D823E"/>
    <w:rsid w:val="5CBFE91C"/>
    <w:rsid w:val="5E403D2A"/>
    <w:rsid w:val="5FBF8A25"/>
    <w:rsid w:val="6173278A"/>
    <w:rsid w:val="6464A877"/>
    <w:rsid w:val="64E72D78"/>
    <w:rsid w:val="67BEEA48"/>
    <w:rsid w:val="6A0EDE59"/>
    <w:rsid w:val="6AF2AC02"/>
    <w:rsid w:val="713147A6"/>
    <w:rsid w:val="77122FEC"/>
    <w:rsid w:val="77AF5C41"/>
    <w:rsid w:val="78D3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E68F2"/>
  <w15:docId w15:val="{CBB573DE-E85A-4DB1-A8E9-106598D9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F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351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2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2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A64F1"/>
    <w:pPr>
      <w:widowControl w:val="0"/>
    </w:pPr>
  </w:style>
  <w:style w:type="paragraph" w:styleId="Footer">
    <w:name w:val="footer"/>
    <w:basedOn w:val="Normal"/>
    <w:link w:val="FooterChar"/>
    <w:uiPriority w:val="99"/>
    <w:rsid w:val="003B41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415A"/>
  </w:style>
  <w:style w:type="paragraph" w:styleId="FootnoteText">
    <w:name w:val="footnote text"/>
    <w:basedOn w:val="Normal"/>
    <w:link w:val="FootnoteTextChar"/>
    <w:rsid w:val="008513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513FC"/>
  </w:style>
  <w:style w:type="character" w:styleId="FootnoteReference">
    <w:name w:val="footnote reference"/>
    <w:basedOn w:val="DefaultParagraphFont"/>
    <w:rsid w:val="008513FC"/>
    <w:rPr>
      <w:vertAlign w:val="superscript"/>
    </w:rPr>
  </w:style>
  <w:style w:type="paragraph" w:styleId="BalloonText">
    <w:name w:val="Balloon Text"/>
    <w:basedOn w:val="Normal"/>
    <w:link w:val="BalloonTextChar"/>
    <w:rsid w:val="008F3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6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F4E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4E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4EAE"/>
  </w:style>
  <w:style w:type="paragraph" w:styleId="CommentSubject">
    <w:name w:val="annotation subject"/>
    <w:basedOn w:val="CommentText"/>
    <w:next w:val="CommentText"/>
    <w:link w:val="CommentSubjectChar"/>
    <w:rsid w:val="005F4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4EAE"/>
    <w:rPr>
      <w:b/>
      <w:bCs/>
    </w:rPr>
  </w:style>
  <w:style w:type="paragraph" w:styleId="ListParagraph">
    <w:name w:val="List Paragraph"/>
    <w:basedOn w:val="Normal"/>
    <w:uiPriority w:val="34"/>
    <w:qFormat/>
    <w:rsid w:val="007C1FD9"/>
    <w:pPr>
      <w:ind w:left="720"/>
      <w:contextualSpacing/>
    </w:pPr>
  </w:style>
  <w:style w:type="paragraph" w:styleId="Header">
    <w:name w:val="header"/>
    <w:basedOn w:val="Normal"/>
    <w:link w:val="HeaderChar"/>
    <w:rsid w:val="00502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22B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73DB2"/>
    <w:rPr>
      <w:sz w:val="24"/>
    </w:rPr>
  </w:style>
  <w:style w:type="paragraph" w:styleId="Revision">
    <w:name w:val="Revision"/>
    <w:hidden/>
    <w:uiPriority w:val="99"/>
    <w:semiHidden/>
    <w:rsid w:val="00AB7531"/>
    <w:rPr>
      <w:sz w:val="24"/>
    </w:rPr>
  </w:style>
  <w:style w:type="character" w:styleId="Hyperlink">
    <w:name w:val="Hyperlink"/>
    <w:basedOn w:val="DefaultParagraphFont"/>
    <w:unhideWhenUsed/>
    <w:rsid w:val="00915F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B0AB5"/>
    <w:rPr>
      <w:color w:val="800080" w:themeColor="followedHyperlink"/>
      <w:u w:val="single"/>
    </w:rPr>
  </w:style>
  <w:style w:type="table" w:styleId="TableGrid">
    <w:name w:val="Table Grid"/>
    <w:basedOn w:val="TableNormal"/>
    <w:rsid w:val="00CE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3620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62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640BE4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351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unhideWhenUsed/>
    <w:rsid w:val="000578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06F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c.gov/site-help/electronic-sub-ref-mat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c.gov/site-help/electronic-sub-ref-mat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090a6f-cef6-4d70-bbdc-82964df9d6b3">
      <UserInfo>
        <DisplayName>Miles, Brenda</DisplayName>
        <AccountId>47</AccountId>
        <AccountType/>
      </UserInfo>
      <UserInfo>
        <DisplayName>Cullison, David</DisplayName>
        <AccountId>31</AccountId>
        <AccountType/>
      </UserInfo>
      <UserInfo>
        <DisplayName>Berrios, Ilka</DisplayName>
        <AccountId>67</AccountId>
        <AccountType/>
      </UserInfo>
      <UserInfo>
        <DisplayName>Doyle, Dan</DisplayName>
        <AccountId>26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D01262080A745996848F4CA4D4FF4" ma:contentTypeVersion="4" ma:contentTypeDescription="Create a new document." ma:contentTypeScope="" ma:versionID="ab0cc0d53aa05aaaa433712bdbad4485">
  <xsd:schema xmlns:xsd="http://www.w3.org/2001/XMLSchema" xmlns:xs="http://www.w3.org/2001/XMLSchema" xmlns:p="http://schemas.microsoft.com/office/2006/metadata/properties" xmlns:ns2="2f3075f5-5409-4558-9867-4c97f4ee3791" xmlns:ns3="83090a6f-cef6-4d70-bbdc-82964df9d6b3" targetNamespace="http://schemas.microsoft.com/office/2006/metadata/properties" ma:root="true" ma:fieldsID="ccbb23e6572ee22948939ed09867757b" ns2:_="" ns3:_="">
    <xsd:import namespace="2f3075f5-5409-4558-9867-4c97f4ee3791"/>
    <xsd:import namespace="83090a6f-cef6-4d70-bbdc-82964df9d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075f5-5409-4558-9867-4c97f4ee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90a6f-cef6-4d70-bbdc-82964df9d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5700C-6287-4ADD-8B75-77B7F043F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DCAAE-0707-4821-BF54-C719BBB0597C}">
  <ds:schemaRefs>
    <ds:schemaRef ds:uri="http://schemas.microsoft.com/office/2006/metadata/properties"/>
    <ds:schemaRef ds:uri="http://schemas.microsoft.com/office/infopath/2007/PartnerControls"/>
    <ds:schemaRef ds:uri="83090a6f-cef6-4d70-bbdc-82964df9d6b3"/>
  </ds:schemaRefs>
</ds:datastoreItem>
</file>

<file path=customXml/itemProps3.xml><?xml version="1.0" encoding="utf-8"?>
<ds:datastoreItem xmlns:ds="http://schemas.openxmlformats.org/officeDocument/2006/customXml" ds:itemID="{38DE10D0-1BD7-448D-98A9-5C0E814E5C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11673-D47C-41F4-AF9C-7B436C782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075f5-5409-4558-9867-4c97f4ee3791"/>
    <ds:schemaRef ds:uri="83090a6f-cef6-4d70-bbdc-82964df9d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SUPPORTING STATEMENT</vt:lpstr>
    </vt:vector>
  </TitlesOfParts>
  <Company>USNRC</Company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SUPPORTING STATEMENT</dc:title>
  <dc:subject/>
  <dc:creator>keb1</dc:creator>
  <cp:keywords/>
  <cp:lastModifiedBy>Miles, Brenda</cp:lastModifiedBy>
  <cp:revision>2</cp:revision>
  <cp:lastPrinted>2015-08-20T19:44:00Z</cp:lastPrinted>
  <dcterms:created xsi:type="dcterms:W3CDTF">2021-12-21T22:59:00Z</dcterms:created>
  <dcterms:modified xsi:type="dcterms:W3CDTF">2021-12-21T22:59:00Z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0x0101001D7D01262080A745996848F4CA4D4FF4</vt:lpwstr>
  </property>
</Properties>
</file>