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08F3B173" w14:textId="19C632EF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</w:t>
      </w:r>
      <w:r w:rsidRPr="00DE3D18">
        <w:rPr>
          <w:sz w:val="28"/>
          <w:szCs w:val="28"/>
        </w:rPr>
        <w:t>the “</w:t>
      </w:r>
      <w:r w:rsidRPr="00DE3D18" w:rsidR="00DE3D18">
        <w:rPr>
          <w:sz w:val="28"/>
          <w:szCs w:val="28"/>
        </w:rPr>
        <w:t>Generic Clearance for TSCA Section 4 Test Rules, Test Orders, Enforceable Consent Agreements (ECAs), Voluntary Data Submissions, and Exemptions from Testing Requirement</w:t>
      </w:r>
      <w:r w:rsidRPr="00DE3D18">
        <w:rPr>
          <w:sz w:val="28"/>
          <w:szCs w:val="28"/>
        </w:rPr>
        <w:t xml:space="preserve">” (OMB Control Number: </w:t>
      </w:r>
      <w:r w:rsidRPr="00DE3D18" w:rsidR="00DE3D18">
        <w:rPr>
          <w:sz w:val="28"/>
          <w:szCs w:val="28"/>
        </w:rPr>
        <w:t>2070-0033</w:t>
      </w:r>
      <w:r>
        <w:rPr>
          <w:sz w:val="28"/>
        </w:rPr>
        <w:t>)</w:t>
      </w:r>
    </w:p>
    <w:p w:rsidR="005964F0" w:rsidP="00434E33" w:rsidRDefault="005964F0" w14:paraId="07EB3703" w14:textId="77777777">
      <w:pPr>
        <w:rPr>
          <w:b/>
        </w:rPr>
      </w:pPr>
    </w:p>
    <w:p w:rsidR="005964F0" w:rsidP="00434E33" w:rsidRDefault="00A22375" w14:paraId="65AA2456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567769F0" wp14:anchorId="39A3A8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D4C5F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7809A7" w:rsidRDefault="00163F7F" w14:paraId="4B40E490" w14:textId="35005BB1">
      <w:r>
        <w:t>Test Results,</w:t>
      </w:r>
      <w:r w:rsidR="00E81577">
        <w:t xml:space="preserve"> Test Rules</w:t>
      </w:r>
    </w:p>
    <w:p w:rsidR="005964F0" w:rsidRDefault="005964F0" w14:paraId="2D43C2F0" w14:textId="77777777">
      <w:pPr>
        <w:rPr>
          <w:b/>
        </w:rPr>
      </w:pPr>
    </w:p>
    <w:p w:rsidR="001B0AAA" w:rsidRDefault="002923D0" w14:paraId="1B9A2DBB" w14:textId="441F888B">
      <w:r>
        <w:rPr>
          <w:b/>
        </w:rPr>
        <w:t>DESCRIPTION OF INFORMATION COLLECTION</w:t>
      </w:r>
      <w:r w:rsidRPr="009239AA" w:rsidR="00F15956">
        <w:rPr>
          <w:b/>
        </w:rPr>
        <w:t>:</w:t>
      </w:r>
      <w:r w:rsidRPr="009239AA" w:rsidR="00C14CC4">
        <w:rPr>
          <w:b/>
        </w:rPr>
        <w:t xml:space="preserve">  </w:t>
      </w:r>
    </w:p>
    <w:p w:rsidR="00163F7F" w:rsidP="00163F7F" w:rsidRDefault="00DE3D18" w14:paraId="37B84ED3" w14:textId="77777777">
      <w:r>
        <w:t xml:space="preserve">For </w:t>
      </w:r>
      <w:r w:rsidR="00717549">
        <w:t>more information about this Information Collection, including description</w:t>
      </w:r>
      <w:r>
        <w:t xml:space="preserve"> of respondents, need for this collection, and more details of respondent activities, please refer to the Supporting Statement for this generic Information Collection Request (ICR). </w:t>
      </w:r>
      <w:r w:rsidR="00163F7F">
        <w:t xml:space="preserve">At the conclusion of each test, respondents are required to provide a final report, which must also undergo both corporate and laboratory review. Recordkeeping is also required for all final report transmittals. </w:t>
      </w:r>
    </w:p>
    <w:p w:rsidR="00E81577" w:rsidP="00BB2ACD" w:rsidRDefault="00E81577" w14:paraId="4026CEF3" w14:textId="34B4D4DC">
      <w:pPr>
        <w:rPr>
          <w:b/>
        </w:rPr>
      </w:pPr>
    </w:p>
    <w:p w:rsidR="00E81577" w:rsidP="00E81577" w:rsidRDefault="00DE3D18" w14:paraId="635A5C3D" w14:textId="77777777">
      <w:pPr>
        <w:rPr>
          <w:b/>
        </w:rPr>
      </w:pPr>
      <w:r>
        <w:rPr>
          <w:b/>
        </w:rPr>
        <w:t xml:space="preserve">TOTAL ANNUAL </w:t>
      </w:r>
      <w:r w:rsidR="005E714A">
        <w:rPr>
          <w:b/>
        </w:rPr>
        <w:t>BURDEN</w:t>
      </w:r>
      <w:r w:rsidR="00E005DC">
        <w:rPr>
          <w:b/>
        </w:rPr>
        <w:t>:</w:t>
      </w:r>
    </w:p>
    <w:p w:rsidR="00163F7F" w:rsidP="00163F7F" w:rsidRDefault="00163F7F" w14:paraId="7CC1C327" w14:textId="77777777">
      <w:pPr>
        <w:pStyle w:val="Caption"/>
        <w:keepNext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19"/>
        <w:gridCol w:w="988"/>
        <w:gridCol w:w="1151"/>
        <w:gridCol w:w="1239"/>
        <w:gridCol w:w="818"/>
        <w:gridCol w:w="988"/>
        <w:gridCol w:w="988"/>
        <w:gridCol w:w="904"/>
        <w:gridCol w:w="955"/>
      </w:tblGrid>
      <w:tr w:rsidRPr="00BB0614" w:rsidR="00163F7F" w:rsidTr="008A7135" w14:paraId="02E659A4" w14:textId="77777777">
        <w:trPr>
          <w:trHeight w:val="288"/>
        </w:trPr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BB0614" w:rsidR="00163F7F" w:rsidP="008A7135" w:rsidRDefault="00163F7F" w14:paraId="3068BCDC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BB0614" w:rsidR="00163F7F" w:rsidP="008A7135" w:rsidRDefault="00163F7F" w14:paraId="3D2209FB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Adjusted Unit Burden (hours)</w:t>
            </w:r>
          </w:p>
        </w:tc>
        <w:tc>
          <w:tcPr>
            <w:tcW w:w="5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BB0614" w:rsidR="00163F7F" w:rsidP="008A7135" w:rsidRDefault="00163F7F" w14:paraId="5DE5B5A7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Number of Respondents (Sponsors) </w:t>
            </w:r>
            <w:r w:rsidRPr="00BB061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BB0614" w:rsidR="00163F7F" w:rsidP="008A7135" w:rsidRDefault="00163F7F" w14:paraId="5076AED8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Number of Responses (Chemicals Tested within an Action)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BB0614" w:rsidR="00163F7F" w:rsidP="008A7135" w:rsidRDefault="00163F7F" w14:paraId="741E72E0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Overlap Factor</w:t>
            </w:r>
          </w:p>
        </w:tc>
        <w:tc>
          <w:tcPr>
            <w:tcW w:w="536" w:type="pct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000000" w:fill="BFBFBF"/>
            <w:vAlign w:val="center"/>
            <w:hideMark/>
          </w:tcPr>
          <w:p w:rsidRPr="00BB0614" w:rsidR="00163F7F" w:rsidP="008A7135" w:rsidRDefault="00163F7F" w14:paraId="4F29F67B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 Burden (hours)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BB0614" w:rsidR="00163F7F" w:rsidP="008A7135" w:rsidRDefault="00163F7F" w14:paraId="17E1B74F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 Labor Cost</w:t>
            </w:r>
          </w:p>
        </w:tc>
        <w:tc>
          <w:tcPr>
            <w:tcW w:w="4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BB0614" w:rsidR="00163F7F" w:rsidP="008A7135" w:rsidRDefault="00163F7F" w14:paraId="49421762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 Non-Labor Cost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BB0614" w:rsidR="00163F7F" w:rsidP="008A7135" w:rsidRDefault="00163F7F" w14:paraId="0787E199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 Cost</w:t>
            </w:r>
          </w:p>
        </w:tc>
      </w:tr>
      <w:tr w:rsidRPr="00BB0614" w:rsidR="00163F7F" w:rsidTr="008A7135" w14:paraId="4546F805" w14:textId="77777777">
        <w:trPr>
          <w:trHeight w:val="288"/>
        </w:trPr>
        <w:tc>
          <w:tcPr>
            <w:tcW w:w="7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5A099EC0" w14:textId="7777777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color w:val="000000"/>
                <w:sz w:val="18"/>
                <w:szCs w:val="18"/>
              </w:rPr>
              <w:t>Study Final Report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3E1C121B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color w:val="000000"/>
                <w:sz w:val="18"/>
                <w:szCs w:val="18"/>
              </w:rPr>
              <w:t>93.320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55EF64EF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5BFFF778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05C59DD9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color w:val="000000"/>
                <w:sz w:val="18"/>
                <w:szCs w:val="18"/>
              </w:rPr>
              <w:t>2.80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E8E8E8"/>
            <w:vAlign w:val="center"/>
            <w:hideMark/>
          </w:tcPr>
          <w:p w:rsidRPr="00BB0614" w:rsidR="00163F7F" w:rsidP="008A7135" w:rsidRDefault="00163F7F" w14:paraId="09454CDA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color w:val="000000"/>
                <w:sz w:val="18"/>
                <w:szCs w:val="18"/>
              </w:rPr>
              <w:t>914.54</w:t>
            </w:r>
          </w:p>
        </w:tc>
        <w:tc>
          <w:tcPr>
            <w:tcW w:w="5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42A1F174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$69,797.36 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59B8DA10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BB0614" w:rsidR="00163F7F" w:rsidP="008A7135" w:rsidRDefault="00163F7F" w14:paraId="2392795F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$69,797.36 </w:t>
            </w:r>
          </w:p>
        </w:tc>
      </w:tr>
      <w:tr w:rsidRPr="00BB0614" w:rsidR="00163F7F" w:rsidTr="008A7135" w14:paraId="10A3F013" w14:textId="77777777">
        <w:trPr>
          <w:trHeight w:val="288"/>
        </w:trPr>
        <w:tc>
          <w:tcPr>
            <w:tcW w:w="7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4EA5AEBC" w14:textId="7777777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color w:val="000000"/>
                <w:sz w:val="18"/>
                <w:szCs w:val="18"/>
              </w:rPr>
              <w:t>Study Corporate Review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452D30BF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color w:val="000000"/>
                <w:sz w:val="18"/>
                <w:szCs w:val="18"/>
              </w:rPr>
              <w:t>13.998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71B3F00B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1F0CBBFA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4694218A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color w:val="000000"/>
                <w:sz w:val="18"/>
                <w:szCs w:val="18"/>
              </w:rPr>
              <w:t>2.80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E8E8E8"/>
            <w:vAlign w:val="center"/>
            <w:hideMark/>
          </w:tcPr>
          <w:p w:rsidRPr="00BB0614" w:rsidR="00163F7F" w:rsidP="008A7135" w:rsidRDefault="00163F7F" w14:paraId="3BD77C0E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color w:val="000000"/>
                <w:sz w:val="18"/>
                <w:szCs w:val="18"/>
              </w:rPr>
              <w:t>137.18</w:t>
            </w:r>
          </w:p>
        </w:tc>
        <w:tc>
          <w:tcPr>
            <w:tcW w:w="5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54BF0585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$10,986.78 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3F439064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BB0614" w:rsidR="00163F7F" w:rsidP="008A7135" w:rsidRDefault="00163F7F" w14:paraId="1E071456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$10,986.78 </w:t>
            </w:r>
          </w:p>
        </w:tc>
      </w:tr>
      <w:tr w:rsidRPr="00BB0614" w:rsidR="00163F7F" w:rsidTr="008A7135" w14:paraId="61EB4079" w14:textId="77777777">
        <w:trPr>
          <w:trHeight w:val="288"/>
        </w:trPr>
        <w:tc>
          <w:tcPr>
            <w:tcW w:w="713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7C3DD1A8" w14:textId="7777777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color w:val="000000"/>
                <w:sz w:val="18"/>
                <w:szCs w:val="18"/>
              </w:rPr>
              <w:t>Laboratory Review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6AA1022E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color w:val="000000"/>
                <w:sz w:val="18"/>
                <w:szCs w:val="18"/>
              </w:rPr>
              <w:t>13.998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3DDD8B22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772F6AD2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7121E176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color w:val="000000"/>
                <w:sz w:val="18"/>
                <w:szCs w:val="18"/>
              </w:rPr>
              <w:t>2.80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shd w:val="clear" w:color="000000" w:fill="E8E8E8"/>
            <w:vAlign w:val="center"/>
            <w:hideMark/>
          </w:tcPr>
          <w:p w:rsidRPr="00BB0614" w:rsidR="00163F7F" w:rsidP="008A7135" w:rsidRDefault="00163F7F" w14:paraId="3BD370B7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color w:val="000000"/>
                <w:sz w:val="18"/>
                <w:szCs w:val="18"/>
              </w:rPr>
              <w:t>137.18</w:t>
            </w:r>
          </w:p>
        </w:tc>
        <w:tc>
          <w:tcPr>
            <w:tcW w:w="5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3997F845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$10,469.63 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161C361A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BB0614" w:rsidR="00163F7F" w:rsidP="008A7135" w:rsidRDefault="00163F7F" w14:paraId="53543E6A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$10,986.78 </w:t>
            </w:r>
          </w:p>
        </w:tc>
      </w:tr>
      <w:tr w:rsidRPr="00BB0614" w:rsidR="00163F7F" w:rsidTr="008A7135" w14:paraId="05F04B44" w14:textId="77777777">
        <w:trPr>
          <w:trHeight w:val="288"/>
        </w:trPr>
        <w:tc>
          <w:tcPr>
            <w:tcW w:w="7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1915453D" w14:textId="77777777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Total, Reporting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600E027C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121.316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14823A46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63024022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686334BC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2.80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E8E8E8"/>
            <w:vAlign w:val="center"/>
            <w:hideMark/>
          </w:tcPr>
          <w:p w:rsidRPr="00BB0614" w:rsidR="00163F7F" w:rsidP="008A7135" w:rsidRDefault="00163F7F" w14:paraId="40EB0F13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1,188.90</w:t>
            </w:r>
          </w:p>
        </w:tc>
        <w:tc>
          <w:tcPr>
            <w:tcW w:w="5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14AE32A2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$91,253.77 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79D92573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BB0614" w:rsidR="00163F7F" w:rsidP="008A7135" w:rsidRDefault="00163F7F" w14:paraId="1A7E9A40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$91,253.77 </w:t>
            </w:r>
          </w:p>
        </w:tc>
      </w:tr>
      <w:tr w:rsidRPr="00BB0614" w:rsidR="00163F7F" w:rsidTr="008A7135" w14:paraId="48804B21" w14:textId="77777777">
        <w:trPr>
          <w:trHeight w:val="288"/>
        </w:trPr>
        <w:tc>
          <w:tcPr>
            <w:tcW w:w="7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6E842427" w14:textId="77777777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Total, Recordkeeping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5E6BCBB3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1.167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687282A4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0C0ACE02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158DE2F1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2.80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E8E8E8"/>
            <w:vAlign w:val="center"/>
            <w:hideMark/>
          </w:tcPr>
          <w:p w:rsidRPr="00BB0614" w:rsidR="00163F7F" w:rsidP="008A7135" w:rsidRDefault="00163F7F" w14:paraId="7F480493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11.44</w:t>
            </w:r>
          </w:p>
        </w:tc>
        <w:tc>
          <w:tcPr>
            <w:tcW w:w="5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08E4711E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$394.35 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3ED44D29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BB0614" w:rsidR="00163F7F" w:rsidP="008A7135" w:rsidRDefault="00163F7F" w14:paraId="71A0FFC0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$394.35 </w:t>
            </w:r>
          </w:p>
        </w:tc>
      </w:tr>
      <w:tr w:rsidRPr="00BB0614" w:rsidR="00163F7F" w:rsidTr="008A7135" w14:paraId="5A1BC8D6" w14:textId="77777777">
        <w:trPr>
          <w:trHeight w:val="288"/>
        </w:trPr>
        <w:tc>
          <w:tcPr>
            <w:tcW w:w="7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7CCF1DDB" w14:textId="77777777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Total, Test Results, Test Rules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30B957D7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122.483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516BA18E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2921A53F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0ACD2181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2.80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E8E8E8"/>
            <w:vAlign w:val="center"/>
            <w:hideMark/>
          </w:tcPr>
          <w:p w:rsidRPr="00BB0614" w:rsidR="00163F7F" w:rsidP="008A7135" w:rsidRDefault="00163F7F" w14:paraId="7A8B0D81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1,200.33</w:t>
            </w:r>
          </w:p>
        </w:tc>
        <w:tc>
          <w:tcPr>
            <w:tcW w:w="5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4391FE2E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$91,648.12 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B0614" w:rsidR="00163F7F" w:rsidP="008A7135" w:rsidRDefault="00163F7F" w14:paraId="52D10F57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BB0614" w:rsidR="00163F7F" w:rsidP="008A7135" w:rsidRDefault="00163F7F" w14:paraId="39465446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$91,648.12 </w:t>
            </w:r>
          </w:p>
        </w:tc>
      </w:tr>
      <w:tr w:rsidRPr="00BB0614" w:rsidR="00163F7F" w:rsidTr="008A7135" w14:paraId="26905A25" w14:textId="77777777">
        <w:trPr>
          <w:trHeight w:val="288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B0614" w:rsidR="00163F7F" w:rsidP="008A7135" w:rsidRDefault="00163F7F" w14:paraId="76F4978D" w14:textId="77777777">
            <w:pPr>
              <w:keepNext/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  <w:t>Footnotes:</w:t>
            </w:r>
          </w:p>
          <w:p w:rsidRPr="00BB0614" w:rsidR="00163F7F" w:rsidP="008A7135" w:rsidRDefault="00163F7F" w14:paraId="2066E5F3" w14:textId="7777777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B0614">
              <w:rPr>
                <w:rFonts w:ascii="Arial Narrow" w:hAnsi="Arial Narrow" w:cs="Calibri"/>
                <w:color w:val="000000"/>
                <w:sz w:val="18"/>
                <w:szCs w:val="18"/>
                <w:vertAlign w:val="superscript"/>
              </w:rPr>
              <w:t>1</w:t>
            </w:r>
            <w:r w:rsidRPr="00BB0614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Assumes one sponsor per chemical.</w:t>
            </w:r>
          </w:p>
        </w:tc>
      </w:tr>
    </w:tbl>
    <w:p w:rsidRPr="00F2049B" w:rsidR="00163F7F" w:rsidP="00163F7F" w:rsidRDefault="00163F7F" w14:paraId="0ADF0022" w14:textId="77777777"/>
    <w:p w:rsidR="00BB2ACD" w:rsidP="00DE3D18" w:rsidRDefault="00BB2ACD" w14:paraId="35AAEC34" w14:textId="77777777">
      <w:pPr>
        <w:rPr>
          <w:b/>
          <w:bCs/>
        </w:rPr>
      </w:pPr>
    </w:p>
    <w:p w:rsidRPr="0016032B" w:rsidR="00DE3D18" w:rsidP="00DE3D18" w:rsidRDefault="00717549" w14:paraId="47ECEF22" w14:textId="7B0CB0A3">
      <w:r>
        <w:rPr>
          <w:b/>
          <w:bCs/>
        </w:rPr>
        <w:t>TOTAL</w:t>
      </w:r>
      <w:r w:rsidR="0016032B">
        <w:rPr>
          <w:b/>
          <w:bCs/>
        </w:rPr>
        <w:t xml:space="preserve"> 3-YEAR BURDEN: </w:t>
      </w:r>
      <w:r w:rsidR="00163F7F">
        <w:t xml:space="preserve">3600.99 </w:t>
      </w:r>
      <w:bookmarkStart w:name="_GoBack" w:id="0"/>
      <w:bookmarkEnd w:id="0"/>
      <w:r w:rsidR="0016032B">
        <w:t>hours.</w:t>
      </w:r>
    </w:p>
    <w:sectPr w:rsidRPr="0016032B" w:rsidR="00DE3D18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B9472" w14:textId="77777777" w:rsidR="008966E2" w:rsidRDefault="008966E2">
      <w:r>
        <w:separator/>
      </w:r>
    </w:p>
  </w:endnote>
  <w:endnote w:type="continuationSeparator" w:id="0">
    <w:p w14:paraId="17A95828" w14:textId="77777777" w:rsidR="008966E2" w:rsidRDefault="0089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89B20" w14:textId="77777777" w:rsidR="007D0CFE" w:rsidRDefault="007D0CF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05D0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67DD8" w14:textId="77777777" w:rsidR="008966E2" w:rsidRDefault="008966E2">
      <w:r>
        <w:separator/>
      </w:r>
    </w:p>
  </w:footnote>
  <w:footnote w:type="continuationSeparator" w:id="0">
    <w:p w14:paraId="51F39335" w14:textId="77777777" w:rsidR="008966E2" w:rsidRDefault="00896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2212E"/>
    <w:multiLevelType w:val="hybridMultilevel"/>
    <w:tmpl w:val="445E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15FE"/>
    <w:rsid w:val="00023A57"/>
    <w:rsid w:val="000475F1"/>
    <w:rsid w:val="00047A64"/>
    <w:rsid w:val="00067329"/>
    <w:rsid w:val="000A23C7"/>
    <w:rsid w:val="000B2838"/>
    <w:rsid w:val="000C06EF"/>
    <w:rsid w:val="000D44CA"/>
    <w:rsid w:val="000E200B"/>
    <w:rsid w:val="000F68BE"/>
    <w:rsid w:val="000F7A47"/>
    <w:rsid w:val="0016032B"/>
    <w:rsid w:val="00163F7F"/>
    <w:rsid w:val="001927A4"/>
    <w:rsid w:val="00194AC6"/>
    <w:rsid w:val="001A23B0"/>
    <w:rsid w:val="001A25CC"/>
    <w:rsid w:val="001B0AAA"/>
    <w:rsid w:val="001C39F7"/>
    <w:rsid w:val="002100BE"/>
    <w:rsid w:val="00214BBD"/>
    <w:rsid w:val="00237B48"/>
    <w:rsid w:val="00240F00"/>
    <w:rsid w:val="0024521E"/>
    <w:rsid w:val="00263C3D"/>
    <w:rsid w:val="00274D0B"/>
    <w:rsid w:val="002923D0"/>
    <w:rsid w:val="002A0D44"/>
    <w:rsid w:val="002B3C95"/>
    <w:rsid w:val="002D0B92"/>
    <w:rsid w:val="003048B5"/>
    <w:rsid w:val="003B63F1"/>
    <w:rsid w:val="003D5BBE"/>
    <w:rsid w:val="003E3C61"/>
    <w:rsid w:val="003F1C5B"/>
    <w:rsid w:val="00405D01"/>
    <w:rsid w:val="00415B10"/>
    <w:rsid w:val="00431CA9"/>
    <w:rsid w:val="00434E33"/>
    <w:rsid w:val="00441434"/>
    <w:rsid w:val="0045264C"/>
    <w:rsid w:val="004551E2"/>
    <w:rsid w:val="004876EC"/>
    <w:rsid w:val="004D6E14"/>
    <w:rsid w:val="004F325F"/>
    <w:rsid w:val="005009B0"/>
    <w:rsid w:val="00532239"/>
    <w:rsid w:val="00574175"/>
    <w:rsid w:val="005964F0"/>
    <w:rsid w:val="005A1006"/>
    <w:rsid w:val="005D467F"/>
    <w:rsid w:val="005E714A"/>
    <w:rsid w:val="006140A0"/>
    <w:rsid w:val="00621951"/>
    <w:rsid w:val="00636621"/>
    <w:rsid w:val="00642B49"/>
    <w:rsid w:val="00681DF4"/>
    <w:rsid w:val="006832D9"/>
    <w:rsid w:val="0069403B"/>
    <w:rsid w:val="006D5DF6"/>
    <w:rsid w:val="006E1611"/>
    <w:rsid w:val="006E1C79"/>
    <w:rsid w:val="006F3DDE"/>
    <w:rsid w:val="00704678"/>
    <w:rsid w:val="00717549"/>
    <w:rsid w:val="007425E7"/>
    <w:rsid w:val="007809A7"/>
    <w:rsid w:val="007A2216"/>
    <w:rsid w:val="007D0CFE"/>
    <w:rsid w:val="007D7A01"/>
    <w:rsid w:val="00802607"/>
    <w:rsid w:val="008101A5"/>
    <w:rsid w:val="00822664"/>
    <w:rsid w:val="00843796"/>
    <w:rsid w:val="00871373"/>
    <w:rsid w:val="00895229"/>
    <w:rsid w:val="008966E2"/>
    <w:rsid w:val="008B7F89"/>
    <w:rsid w:val="008D65DC"/>
    <w:rsid w:val="008F0203"/>
    <w:rsid w:val="008F50D4"/>
    <w:rsid w:val="009239AA"/>
    <w:rsid w:val="00935ADA"/>
    <w:rsid w:val="00946B6C"/>
    <w:rsid w:val="00955A71"/>
    <w:rsid w:val="00957FCE"/>
    <w:rsid w:val="0096108F"/>
    <w:rsid w:val="00997323"/>
    <w:rsid w:val="009C13B9"/>
    <w:rsid w:val="009C37AD"/>
    <w:rsid w:val="009C4295"/>
    <w:rsid w:val="009D01A2"/>
    <w:rsid w:val="009F5923"/>
    <w:rsid w:val="00A22375"/>
    <w:rsid w:val="00A374A3"/>
    <w:rsid w:val="00A403BB"/>
    <w:rsid w:val="00A674DF"/>
    <w:rsid w:val="00A70B40"/>
    <w:rsid w:val="00A83AA6"/>
    <w:rsid w:val="00AB7BA5"/>
    <w:rsid w:val="00AE1809"/>
    <w:rsid w:val="00B80D76"/>
    <w:rsid w:val="00BA2105"/>
    <w:rsid w:val="00BA7E06"/>
    <w:rsid w:val="00BB2ACD"/>
    <w:rsid w:val="00BB43B5"/>
    <w:rsid w:val="00BB6219"/>
    <w:rsid w:val="00BB65BF"/>
    <w:rsid w:val="00BD290F"/>
    <w:rsid w:val="00BF33DC"/>
    <w:rsid w:val="00BF42B7"/>
    <w:rsid w:val="00BF787C"/>
    <w:rsid w:val="00C14CC4"/>
    <w:rsid w:val="00C152B1"/>
    <w:rsid w:val="00C33C52"/>
    <w:rsid w:val="00C40D8B"/>
    <w:rsid w:val="00C53458"/>
    <w:rsid w:val="00C8407A"/>
    <w:rsid w:val="00C8441F"/>
    <w:rsid w:val="00C8488C"/>
    <w:rsid w:val="00C86E91"/>
    <w:rsid w:val="00CA2650"/>
    <w:rsid w:val="00CB1078"/>
    <w:rsid w:val="00CC6FAF"/>
    <w:rsid w:val="00CE3118"/>
    <w:rsid w:val="00D056D3"/>
    <w:rsid w:val="00D24698"/>
    <w:rsid w:val="00D6383F"/>
    <w:rsid w:val="00DA1618"/>
    <w:rsid w:val="00DB59D0"/>
    <w:rsid w:val="00DC33D3"/>
    <w:rsid w:val="00DE3D18"/>
    <w:rsid w:val="00E005DC"/>
    <w:rsid w:val="00E00D00"/>
    <w:rsid w:val="00E26329"/>
    <w:rsid w:val="00E40B50"/>
    <w:rsid w:val="00E50293"/>
    <w:rsid w:val="00E65FFC"/>
    <w:rsid w:val="00E80951"/>
    <w:rsid w:val="00E81577"/>
    <w:rsid w:val="00E86CC6"/>
    <w:rsid w:val="00EB56B3"/>
    <w:rsid w:val="00ED6492"/>
    <w:rsid w:val="00EF203B"/>
    <w:rsid w:val="00EF2095"/>
    <w:rsid w:val="00F06866"/>
    <w:rsid w:val="00F15956"/>
    <w:rsid w:val="00F24CFC"/>
    <w:rsid w:val="00F3170F"/>
    <w:rsid w:val="00F32259"/>
    <w:rsid w:val="00F804AC"/>
    <w:rsid w:val="00F976B0"/>
    <w:rsid w:val="00FA13D4"/>
    <w:rsid w:val="00FA4297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B16637C"/>
  <w15:docId w15:val="{7A421538-2022-47CE-A1B4-87E562AE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D467F"/>
    <w:rPr>
      <w:b/>
      <w:bCs/>
    </w:rPr>
  </w:style>
  <w:style w:type="character" w:customStyle="1" w:styleId="Heading2Char">
    <w:name w:val="Heading 2 Char"/>
    <w:basedOn w:val="DefaultParagraphFont"/>
    <w:link w:val="Heading2"/>
    <w:rsid w:val="00E81577"/>
    <w:rPr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81577"/>
    <w:rPr>
      <w:rFonts w:ascii="Arial" w:eastAsiaTheme="minorHAnsi" w:hAnsi="Arial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1577"/>
    <w:rPr>
      <w:rFonts w:ascii="Arial" w:eastAsiaTheme="minorHAnsi" w:hAnsi="Arial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E8157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E81577"/>
    <w:pPr>
      <w:spacing w:after="200"/>
    </w:pPr>
    <w:rPr>
      <w:rFonts w:ascii="Arial" w:eastAsiaTheme="minorHAnsi" w:hAnsi="Arial" w:cs="Arial"/>
      <w:b/>
      <w:bCs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55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06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80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72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EPA</cp:lastModifiedBy>
  <cp:revision>3</cp:revision>
  <cp:lastPrinted>2011-09-30T16:31:00Z</cp:lastPrinted>
  <dcterms:created xsi:type="dcterms:W3CDTF">2020-09-03T12:35:00Z</dcterms:created>
  <dcterms:modified xsi:type="dcterms:W3CDTF">2020-09-03T12:36:00Z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