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57191" w:rsidR="00D57191" w:rsidRDefault="00D57191" w14:paraId="3DF00E16" w14:textId="77777777">
      <w:pPr>
        <w:rPr>
          <w:rFonts w:ascii="Times New Roman" w:hAnsi="Times New Roman" w:cs="Times New Roman"/>
          <w:b/>
          <w:bCs/>
          <w:sz w:val="24"/>
          <w:szCs w:val="24"/>
        </w:rPr>
      </w:pPr>
    </w:p>
    <w:p w:rsidRPr="00D57191" w:rsidR="00D57191" w:rsidRDefault="00D57191" w14:paraId="39E1DBCD" w14:textId="4B6F785B">
      <w:pPr>
        <w:rPr>
          <w:rFonts w:ascii="Times New Roman" w:hAnsi="Times New Roman" w:cs="Times New Roman"/>
          <w:sz w:val="24"/>
          <w:szCs w:val="24"/>
        </w:rPr>
      </w:pPr>
      <w:r w:rsidRPr="00D57191">
        <w:rPr>
          <w:rFonts w:ascii="Times New Roman" w:hAnsi="Times New Roman" w:cs="Times New Roman"/>
          <w:b/>
          <w:bCs/>
          <w:sz w:val="24"/>
          <w:szCs w:val="24"/>
        </w:rPr>
        <w:t>TO:</w:t>
      </w:r>
      <w:r w:rsidRPr="00D57191">
        <w:rPr>
          <w:rFonts w:ascii="Times New Roman" w:hAnsi="Times New Roman" w:cs="Times New Roman"/>
          <w:sz w:val="24"/>
          <w:szCs w:val="24"/>
        </w:rPr>
        <w:t xml:space="preserve"> </w:t>
      </w:r>
      <w:r w:rsidRPr="00D57191">
        <w:rPr>
          <w:rFonts w:ascii="Times New Roman" w:hAnsi="Times New Roman" w:cs="Times New Roman"/>
          <w:sz w:val="24"/>
          <w:szCs w:val="24"/>
        </w:rPr>
        <w:tab/>
      </w:r>
      <w:r w:rsidRPr="00D57191">
        <w:rPr>
          <w:rFonts w:ascii="Times New Roman" w:hAnsi="Times New Roman" w:cs="Times New Roman"/>
          <w:sz w:val="24"/>
          <w:szCs w:val="24"/>
        </w:rPr>
        <w:tab/>
      </w:r>
      <w:r w:rsidRPr="00D57191">
        <w:rPr>
          <w:rFonts w:ascii="Times New Roman" w:hAnsi="Times New Roman" w:cs="Times New Roman"/>
          <w:sz w:val="24"/>
          <w:szCs w:val="24"/>
        </w:rPr>
        <w:tab/>
        <w:t xml:space="preserve">Alex Goodenough, Office of Information and Regulatory Affairs </w:t>
      </w:r>
    </w:p>
    <w:p w:rsidRPr="00D57191" w:rsidR="00D57191" w:rsidP="00D57191" w:rsidRDefault="00D57191" w14:paraId="455194FA" w14:textId="17965D7B">
      <w:pPr>
        <w:pStyle w:val="NoSpacing"/>
        <w:rPr>
          <w:rFonts w:ascii="Times New Roman" w:hAnsi="Times New Roman" w:cs="Times New Roman"/>
          <w:sz w:val="24"/>
          <w:szCs w:val="24"/>
        </w:rPr>
      </w:pPr>
      <w:r w:rsidRPr="00D57191">
        <w:rPr>
          <w:rFonts w:ascii="Times New Roman" w:hAnsi="Times New Roman" w:cs="Times New Roman"/>
          <w:b/>
          <w:bCs/>
          <w:sz w:val="24"/>
          <w:szCs w:val="24"/>
        </w:rPr>
        <w:t>FROM:</w:t>
      </w:r>
      <w:r w:rsidRPr="00D57191">
        <w:rPr>
          <w:rFonts w:ascii="Times New Roman" w:hAnsi="Times New Roman" w:cs="Times New Roman"/>
          <w:sz w:val="24"/>
          <w:szCs w:val="24"/>
        </w:rPr>
        <w:t xml:space="preserve"> </w:t>
      </w:r>
      <w:r w:rsidRPr="00D57191">
        <w:rPr>
          <w:rFonts w:ascii="Times New Roman" w:hAnsi="Times New Roman" w:cs="Times New Roman"/>
          <w:sz w:val="24"/>
          <w:szCs w:val="24"/>
        </w:rPr>
        <w:tab/>
      </w:r>
      <w:r>
        <w:rPr>
          <w:rFonts w:ascii="Times New Roman" w:hAnsi="Times New Roman" w:cs="Times New Roman"/>
          <w:sz w:val="24"/>
          <w:szCs w:val="24"/>
        </w:rPr>
        <w:tab/>
      </w:r>
      <w:r w:rsidRPr="00D57191">
        <w:rPr>
          <w:rFonts w:ascii="Times New Roman" w:hAnsi="Times New Roman" w:cs="Times New Roman"/>
          <w:sz w:val="24"/>
          <w:szCs w:val="24"/>
        </w:rPr>
        <w:t xml:space="preserve">Ryan Law, Deputy Assistant Secretary </w:t>
      </w:r>
    </w:p>
    <w:p w:rsidR="00D57191" w:rsidP="00D57191" w:rsidRDefault="00D57191" w14:paraId="773E1F6B" w14:textId="02A05B7A">
      <w:pPr>
        <w:pStyle w:val="NoSpacing"/>
        <w:ind w:left="1440" w:firstLine="720"/>
        <w:rPr>
          <w:rFonts w:ascii="Times New Roman" w:hAnsi="Times New Roman" w:cs="Times New Roman"/>
          <w:sz w:val="24"/>
          <w:szCs w:val="24"/>
        </w:rPr>
      </w:pPr>
      <w:r w:rsidRPr="00D57191">
        <w:rPr>
          <w:rFonts w:ascii="Times New Roman" w:hAnsi="Times New Roman" w:cs="Times New Roman"/>
          <w:sz w:val="24"/>
          <w:szCs w:val="24"/>
        </w:rPr>
        <w:t xml:space="preserve">Office of Privacy, Transparency, and Records </w:t>
      </w:r>
    </w:p>
    <w:p w:rsidRPr="00D57191" w:rsidR="00D57191" w:rsidP="00D57191" w:rsidRDefault="00D57191" w14:paraId="5CE1F703" w14:textId="77777777">
      <w:pPr>
        <w:pStyle w:val="NoSpacing"/>
        <w:ind w:left="1440" w:firstLine="720"/>
        <w:rPr>
          <w:rFonts w:ascii="Times New Roman" w:hAnsi="Times New Roman" w:cs="Times New Roman"/>
          <w:sz w:val="24"/>
          <w:szCs w:val="24"/>
        </w:rPr>
      </w:pPr>
    </w:p>
    <w:p w:rsidRPr="00D57191" w:rsidR="00D57191" w:rsidRDefault="00D57191" w14:paraId="6EA430DD" w14:textId="6BF22F88">
      <w:pPr>
        <w:rPr>
          <w:rFonts w:ascii="Times New Roman" w:hAnsi="Times New Roman" w:cs="Times New Roman"/>
          <w:sz w:val="24"/>
          <w:szCs w:val="24"/>
        </w:rPr>
      </w:pPr>
      <w:r w:rsidRPr="00D57191">
        <w:rPr>
          <w:rFonts w:ascii="Times New Roman" w:hAnsi="Times New Roman" w:cs="Times New Roman"/>
          <w:b/>
          <w:bCs/>
          <w:sz w:val="24"/>
          <w:szCs w:val="24"/>
        </w:rPr>
        <w:t>SUBJECT:</w:t>
      </w:r>
      <w:r w:rsidRPr="00D57191">
        <w:rPr>
          <w:rFonts w:ascii="Times New Roman" w:hAnsi="Times New Roman" w:cs="Times New Roman"/>
          <w:sz w:val="24"/>
          <w:szCs w:val="24"/>
        </w:rPr>
        <w:t xml:space="preserve"> </w:t>
      </w:r>
      <w:r w:rsidRPr="00D57191">
        <w:rPr>
          <w:rFonts w:ascii="Times New Roman" w:hAnsi="Times New Roman" w:cs="Times New Roman"/>
          <w:sz w:val="24"/>
          <w:szCs w:val="24"/>
        </w:rPr>
        <w:tab/>
      </w:r>
      <w:r w:rsidRPr="00D57191">
        <w:rPr>
          <w:rFonts w:ascii="Times New Roman" w:hAnsi="Times New Roman" w:cs="Times New Roman"/>
          <w:sz w:val="24"/>
          <w:szCs w:val="24"/>
        </w:rPr>
        <w:tab/>
        <w:t xml:space="preserve">Justification for Emergency Processing: </w:t>
      </w:r>
      <w:r w:rsidR="006D2B58">
        <w:rPr>
          <w:rFonts w:ascii="Times New Roman" w:hAnsi="Times New Roman" w:cs="Times New Roman"/>
          <w:sz w:val="24"/>
          <w:szCs w:val="24"/>
        </w:rPr>
        <w:t>Baseline Report</w:t>
      </w:r>
      <w:r w:rsidRPr="00D57191">
        <w:rPr>
          <w:rFonts w:ascii="Times New Roman" w:hAnsi="Times New Roman" w:cs="Times New Roman"/>
          <w:sz w:val="24"/>
          <w:szCs w:val="24"/>
        </w:rPr>
        <w:t xml:space="preserve"> </w:t>
      </w:r>
    </w:p>
    <w:p w:rsidRPr="00D57191" w:rsidR="00D57191" w:rsidRDefault="00D57191" w14:paraId="5D907534" w14:textId="2987E43E">
      <w:pPr>
        <w:rPr>
          <w:rFonts w:ascii="Times New Roman" w:hAnsi="Times New Roman" w:cs="Times New Roman"/>
          <w:sz w:val="24"/>
          <w:szCs w:val="24"/>
        </w:rPr>
      </w:pPr>
      <w:r w:rsidRPr="00D57191">
        <w:rPr>
          <w:rFonts w:ascii="Times New Roman" w:hAnsi="Times New Roman" w:cs="Times New Roman"/>
          <w:sz w:val="24"/>
          <w:szCs w:val="24"/>
        </w:rPr>
        <w:t xml:space="preserve">Pursuant to the Office of Management and Budget (OMB) procedures established at 5 C.F.R. §1320.13, the Department of the Treasury (Treasury) requests emergency processing </w:t>
      </w:r>
      <w:r w:rsidR="000D2DA6">
        <w:rPr>
          <w:rFonts w:ascii="Times New Roman" w:hAnsi="Times New Roman" w:cs="Times New Roman"/>
          <w:sz w:val="24"/>
          <w:szCs w:val="24"/>
        </w:rPr>
        <w:t xml:space="preserve">of a new Information Collection Request </w:t>
      </w:r>
      <w:r w:rsidRPr="00D57191">
        <w:rPr>
          <w:rFonts w:ascii="Times New Roman" w:hAnsi="Times New Roman" w:cs="Times New Roman"/>
          <w:sz w:val="24"/>
          <w:szCs w:val="24"/>
        </w:rPr>
        <w:t xml:space="preserve">for </w:t>
      </w:r>
      <w:r w:rsidR="000D2DA6">
        <w:rPr>
          <w:rFonts w:ascii="Times New Roman" w:hAnsi="Times New Roman" w:cs="Times New Roman"/>
          <w:sz w:val="24"/>
          <w:szCs w:val="24"/>
        </w:rPr>
        <w:t xml:space="preserve">the </w:t>
      </w:r>
      <w:r w:rsidRPr="00D57191">
        <w:rPr>
          <w:rFonts w:ascii="Times New Roman" w:hAnsi="Times New Roman" w:cs="Times New Roman"/>
          <w:sz w:val="24"/>
          <w:szCs w:val="24"/>
        </w:rPr>
        <w:t xml:space="preserve">Emergency Capital Investment Program (“ECIP” or the “Program”) </w:t>
      </w:r>
      <w:r w:rsidR="00B55EB5">
        <w:rPr>
          <w:rFonts w:ascii="Times New Roman" w:hAnsi="Times New Roman" w:cs="Times New Roman"/>
          <w:sz w:val="24"/>
          <w:szCs w:val="24"/>
        </w:rPr>
        <w:t>Initial Supplementa</w:t>
      </w:r>
      <w:r w:rsidR="00846A05">
        <w:rPr>
          <w:rFonts w:ascii="Times New Roman" w:hAnsi="Times New Roman" w:cs="Times New Roman"/>
          <w:sz w:val="24"/>
          <w:szCs w:val="24"/>
        </w:rPr>
        <w:t>l</w:t>
      </w:r>
      <w:r w:rsidR="00B55EB5">
        <w:rPr>
          <w:rFonts w:ascii="Times New Roman" w:hAnsi="Times New Roman" w:cs="Times New Roman"/>
          <w:sz w:val="24"/>
          <w:szCs w:val="24"/>
        </w:rPr>
        <w:t xml:space="preserve"> Report (ISR)</w:t>
      </w:r>
      <w:r w:rsidRPr="00D57191">
        <w:rPr>
          <w:rFonts w:ascii="Times New Roman" w:hAnsi="Times New Roman" w:cs="Times New Roman"/>
          <w:sz w:val="24"/>
          <w:szCs w:val="24"/>
        </w:rPr>
        <w:t xml:space="preserve">. </w:t>
      </w:r>
    </w:p>
    <w:p w:rsidRPr="00D57191" w:rsidR="00D57191" w:rsidRDefault="00D57191" w14:paraId="37E517A5" w14:textId="77777777">
      <w:pPr>
        <w:rPr>
          <w:rFonts w:ascii="Times New Roman" w:hAnsi="Times New Roman" w:cs="Times New Roman"/>
          <w:sz w:val="24"/>
          <w:szCs w:val="24"/>
        </w:rPr>
      </w:pPr>
      <w:r w:rsidRPr="00D57191">
        <w:rPr>
          <w:rFonts w:ascii="Times New Roman" w:hAnsi="Times New Roman" w:cs="Times New Roman"/>
          <w:sz w:val="24"/>
          <w:szCs w:val="24"/>
        </w:rPr>
        <w:t xml:space="preserve">The Consolidated Appropriations Act, 2021, signed into law on December 27, 2020, added Section 104A of the Community Development Banking and Financial Institutions Act of 1994 (the “Act”). Section 104A authorizes the Secretary of the Treasury to establish the Program to support the efforts of low- and moderate-income community financial institutions to, among other things, provide loans, grants, and forbearance for small businesses, minority-owned businesses, and consumers, especially in low-income and underserved communities, including persistent poverty counties, that may be disproportionately impacted by the economic effects of the COVID-19 pandemic by providing direct and indirect capital investments in low-and moderate-income community financial institutions. </w:t>
      </w:r>
    </w:p>
    <w:p w:rsidRPr="00AD6021" w:rsidR="006D2B58" w:rsidP="006D2B58" w:rsidRDefault="006D2B58" w14:paraId="396D05A9" w14:textId="6E8A1D24">
      <w:pPr>
        <w:widowControl w:val="0"/>
        <w:autoSpaceDE w:val="0"/>
        <w:autoSpaceDN w:val="0"/>
        <w:adjustRightInd w:val="0"/>
        <w:rPr>
          <w:sz w:val="24"/>
          <w:szCs w:val="24"/>
        </w:rPr>
      </w:pPr>
      <w:r w:rsidRPr="00A034ED">
        <w:rPr>
          <w:rFonts w:ascii="Times New Roman" w:hAnsi="Times New Roman" w:cs="Times New Roman" w:eastAsiaTheme="minorEastAsia"/>
          <w:sz w:val="24"/>
          <w:szCs w:val="24"/>
        </w:rPr>
        <w:t xml:space="preserve">As required by the </w:t>
      </w:r>
      <w:r>
        <w:rPr>
          <w:rFonts w:ascii="Times New Roman" w:hAnsi="Times New Roman" w:cs="Times New Roman" w:eastAsiaTheme="minorEastAsia"/>
          <w:sz w:val="24"/>
          <w:szCs w:val="24"/>
        </w:rPr>
        <w:t>Act</w:t>
      </w:r>
      <w:r w:rsidRPr="00A034ED">
        <w:rPr>
          <w:rFonts w:ascii="Times New Roman" w:hAnsi="Times New Roman" w:cs="Times New Roman" w:eastAsiaTheme="minorEastAsia"/>
          <w:sz w:val="24"/>
          <w:szCs w:val="24"/>
        </w:rPr>
        <w:t xml:space="preserve">, the interest and dividend rates payable on ECIP instruments are determined based on the increase </w:t>
      </w:r>
      <w:r>
        <w:rPr>
          <w:rFonts w:ascii="Times New Roman" w:hAnsi="Times New Roman" w:cs="Times New Roman" w:eastAsiaTheme="minorEastAsia"/>
          <w:sz w:val="24"/>
          <w:szCs w:val="24"/>
        </w:rPr>
        <w:t>in</w:t>
      </w:r>
      <w:r w:rsidRPr="00A034ED">
        <w:rPr>
          <w:rFonts w:ascii="Times New Roman" w:hAnsi="Times New Roman" w:cs="Times New Roman" w:eastAsiaTheme="minorEastAsia"/>
          <w:sz w:val="24"/>
          <w:szCs w:val="24"/>
        </w:rPr>
        <w:t xml:space="preserve"> </w:t>
      </w:r>
      <w:r w:rsidRPr="00173069">
        <w:rPr>
          <w:rFonts w:ascii="Times New Roman" w:hAnsi="Times New Roman" w:cs="Times New Roman" w:eastAsiaTheme="minorEastAsia"/>
          <w:sz w:val="24"/>
          <w:szCs w:val="24"/>
        </w:rPr>
        <w:t>the amount of lending by an institution within minority, rural, and urban low-income and underserved communities and to low- and moderate-income borrowers</w:t>
      </w:r>
      <w:r>
        <w:rPr>
          <w:rFonts w:ascii="Times New Roman" w:hAnsi="Times New Roman" w:cs="Times New Roman" w:eastAsiaTheme="minorEastAsia"/>
          <w:sz w:val="24"/>
          <w:szCs w:val="24"/>
        </w:rPr>
        <w:t xml:space="preserve"> d</w:t>
      </w:r>
      <w:r w:rsidRPr="00173069">
        <w:rPr>
          <w:rFonts w:ascii="Times New Roman" w:hAnsi="Times New Roman" w:cs="Times New Roman" w:eastAsiaTheme="minorEastAsia"/>
          <w:sz w:val="24"/>
          <w:szCs w:val="24"/>
        </w:rPr>
        <w:t xml:space="preserve">uring the preceding annual period </w:t>
      </w:r>
      <w:r>
        <w:rPr>
          <w:rFonts w:ascii="Times New Roman" w:hAnsi="Times New Roman" w:cs="Times New Roman" w:eastAsiaTheme="minorEastAsia"/>
          <w:sz w:val="24"/>
          <w:szCs w:val="24"/>
        </w:rPr>
        <w:t xml:space="preserve">compared to </w:t>
      </w:r>
      <w:r w:rsidRPr="00A034ED">
        <w:rPr>
          <w:rFonts w:ascii="Times New Roman" w:hAnsi="Times New Roman" w:cs="Times New Roman" w:eastAsiaTheme="minorEastAsia"/>
          <w:sz w:val="24"/>
          <w:szCs w:val="24"/>
        </w:rPr>
        <w:t>a baseline set from the annual period ending on September 30, 2020.</w:t>
      </w:r>
      <w:r>
        <w:rPr>
          <w:rFonts w:ascii="Times New Roman" w:hAnsi="Times New Roman" w:cs="Times New Roman" w:eastAsiaTheme="minorEastAsia"/>
          <w:sz w:val="24"/>
          <w:szCs w:val="24"/>
        </w:rPr>
        <w:t xml:space="preserve"> T</w:t>
      </w:r>
      <w:r w:rsidRPr="00A034ED">
        <w:rPr>
          <w:rFonts w:ascii="Times New Roman" w:hAnsi="Times New Roman" w:cs="Times New Roman" w:eastAsiaTheme="minorEastAsia"/>
          <w:sz w:val="24"/>
          <w:szCs w:val="24"/>
        </w:rPr>
        <w:t xml:space="preserve">o </w:t>
      </w:r>
      <w:r>
        <w:rPr>
          <w:rFonts w:ascii="Times New Roman" w:hAnsi="Times New Roman" w:cs="Times New Roman" w:eastAsiaTheme="minorEastAsia"/>
          <w:sz w:val="24"/>
          <w:szCs w:val="24"/>
        </w:rPr>
        <w:t>establish</w:t>
      </w:r>
      <w:r w:rsidRPr="00A034ED">
        <w:rPr>
          <w:rFonts w:ascii="Times New Roman" w:hAnsi="Times New Roman" w:cs="Times New Roman" w:eastAsiaTheme="minorEastAsia"/>
          <w:sz w:val="24"/>
          <w:szCs w:val="24"/>
        </w:rPr>
        <w:t xml:space="preserve"> this baseline level of qualified lending</w:t>
      </w:r>
      <w:r>
        <w:rPr>
          <w:rFonts w:ascii="Times New Roman" w:hAnsi="Times New Roman" w:cs="Times New Roman" w:eastAsiaTheme="minorEastAsia"/>
          <w:sz w:val="24"/>
          <w:szCs w:val="24"/>
        </w:rPr>
        <w:t xml:space="preserve">, </w:t>
      </w:r>
      <w:r w:rsidRPr="00A034ED">
        <w:rPr>
          <w:rFonts w:ascii="Times New Roman" w:hAnsi="Times New Roman" w:cs="Times New Roman" w:eastAsiaTheme="minorEastAsia"/>
          <w:sz w:val="24"/>
          <w:szCs w:val="24"/>
        </w:rPr>
        <w:t xml:space="preserve">Treasury will be collecting </w:t>
      </w:r>
      <w:r w:rsidR="00846A05">
        <w:rPr>
          <w:rFonts w:ascii="Times New Roman" w:hAnsi="Times New Roman" w:cs="Times New Roman" w:eastAsiaTheme="minorEastAsia"/>
          <w:sz w:val="24"/>
          <w:szCs w:val="24"/>
        </w:rPr>
        <w:t>information</w:t>
      </w:r>
      <w:r w:rsidR="00B55EB5">
        <w:rPr>
          <w:rFonts w:ascii="Times New Roman" w:hAnsi="Times New Roman" w:cs="Times New Roman" w:eastAsiaTheme="minorEastAsia"/>
          <w:sz w:val="24"/>
          <w:szCs w:val="24"/>
        </w:rPr>
        <w:t xml:space="preserve"> from participants through the ISR</w:t>
      </w:r>
      <w:r w:rsidRPr="00A034ED">
        <w:rPr>
          <w:rFonts w:ascii="Times New Roman" w:hAnsi="Times New Roman" w:cs="Times New Roman" w:eastAsiaTheme="minorEastAsia"/>
          <w:sz w:val="24"/>
          <w:szCs w:val="24"/>
        </w:rPr>
        <w:t>.</w:t>
      </w:r>
      <w:r>
        <w:rPr>
          <w:rFonts w:ascii="Times New Roman" w:hAnsi="Times New Roman" w:cs="Times New Roman" w:eastAsiaTheme="minorEastAsia"/>
          <w:sz w:val="24"/>
          <w:szCs w:val="24"/>
        </w:rPr>
        <w:t xml:space="preserve"> </w:t>
      </w:r>
      <w:r w:rsidR="00846A05">
        <w:rPr>
          <w:rFonts w:ascii="Times New Roman" w:hAnsi="Times New Roman" w:cs="Times New Roman" w:eastAsiaTheme="minorEastAsia"/>
          <w:sz w:val="24"/>
          <w:szCs w:val="24"/>
        </w:rPr>
        <w:t xml:space="preserve">Participants will be required to submit the ISR 10 business days prior to closing their investments and receiving funds. </w:t>
      </w:r>
    </w:p>
    <w:p w:rsidR="00A965FC" w:rsidRDefault="00D57191" w14:paraId="3F5A07FD" w14:textId="5B369E9C">
      <w:pPr>
        <w:rPr>
          <w:rFonts w:ascii="Times New Roman" w:hAnsi="Times New Roman" w:cs="Times New Roman"/>
          <w:color w:val="000000" w:themeColor="text1"/>
          <w:sz w:val="24"/>
          <w:szCs w:val="24"/>
        </w:rPr>
      </w:pPr>
      <w:r w:rsidRPr="00136ACB">
        <w:rPr>
          <w:rFonts w:ascii="Times New Roman" w:hAnsi="Times New Roman" w:cs="Times New Roman"/>
          <w:sz w:val="24"/>
          <w:szCs w:val="24"/>
        </w:rPr>
        <w:t xml:space="preserve">Applications </w:t>
      </w:r>
      <w:r w:rsidR="00F023D4">
        <w:rPr>
          <w:rFonts w:ascii="Times New Roman" w:hAnsi="Times New Roman" w:cs="Times New Roman"/>
          <w:sz w:val="24"/>
          <w:szCs w:val="24"/>
        </w:rPr>
        <w:t xml:space="preserve">and other forms </w:t>
      </w:r>
      <w:r w:rsidRPr="00136ACB">
        <w:rPr>
          <w:rFonts w:ascii="Times New Roman" w:hAnsi="Times New Roman" w:cs="Times New Roman"/>
          <w:sz w:val="24"/>
          <w:szCs w:val="24"/>
        </w:rPr>
        <w:t xml:space="preserve">for the ECIP program were previously approved under </w:t>
      </w:r>
      <w:r w:rsidR="000D2DA6">
        <w:rPr>
          <w:rFonts w:ascii="Times New Roman" w:hAnsi="Times New Roman" w:cs="Times New Roman"/>
          <w:sz w:val="24"/>
          <w:szCs w:val="24"/>
        </w:rPr>
        <w:t xml:space="preserve">OMB Control Number </w:t>
      </w:r>
      <w:r w:rsidRPr="00136ACB">
        <w:rPr>
          <w:rFonts w:ascii="Times New Roman" w:hAnsi="Times New Roman" w:cs="Times New Roman"/>
          <w:sz w:val="24"/>
          <w:szCs w:val="24"/>
        </w:rPr>
        <w:t xml:space="preserve">1505-0267. </w:t>
      </w:r>
      <w:r w:rsidRPr="00136ACB">
        <w:rPr>
          <w:rFonts w:ascii="Times New Roman" w:hAnsi="Times New Roman" w:cs="Times New Roman"/>
          <w:color w:val="000000" w:themeColor="text1"/>
          <w:sz w:val="24"/>
          <w:szCs w:val="24"/>
        </w:rPr>
        <w:t xml:space="preserve">Following </w:t>
      </w:r>
      <w:r w:rsidRPr="00136ACB" w:rsidR="00AB44D7">
        <w:rPr>
          <w:rFonts w:ascii="Times New Roman" w:hAnsi="Times New Roman" w:cs="Times New Roman"/>
          <w:color w:val="000000" w:themeColor="text1"/>
          <w:sz w:val="24"/>
          <w:szCs w:val="24"/>
        </w:rPr>
        <w:t xml:space="preserve">the </w:t>
      </w:r>
      <w:r w:rsidRPr="00136ACB">
        <w:rPr>
          <w:rFonts w:ascii="Times New Roman" w:hAnsi="Times New Roman" w:cs="Times New Roman"/>
          <w:color w:val="000000" w:themeColor="text1"/>
          <w:sz w:val="24"/>
          <w:szCs w:val="24"/>
        </w:rPr>
        <w:t xml:space="preserve">review of the applications, Treasury </w:t>
      </w:r>
      <w:r w:rsidRPr="00136ACB" w:rsidR="00AB44D7">
        <w:rPr>
          <w:rFonts w:ascii="Times New Roman" w:hAnsi="Times New Roman" w:cs="Times New Roman"/>
          <w:color w:val="000000" w:themeColor="text1"/>
          <w:sz w:val="24"/>
          <w:szCs w:val="24"/>
        </w:rPr>
        <w:t xml:space="preserve">made awards and is </w:t>
      </w:r>
      <w:r w:rsidRPr="00136ACB">
        <w:rPr>
          <w:rFonts w:ascii="Times New Roman" w:hAnsi="Times New Roman" w:cs="Times New Roman"/>
          <w:color w:val="000000" w:themeColor="text1"/>
          <w:sz w:val="24"/>
          <w:szCs w:val="24"/>
        </w:rPr>
        <w:t xml:space="preserve">now ready to </w:t>
      </w:r>
      <w:r w:rsidRPr="00136ACB" w:rsidR="00AB44D7">
        <w:rPr>
          <w:rFonts w:ascii="Times New Roman" w:hAnsi="Times New Roman" w:cs="Times New Roman"/>
          <w:color w:val="000000" w:themeColor="text1"/>
          <w:sz w:val="24"/>
          <w:szCs w:val="24"/>
        </w:rPr>
        <w:t>begin scheduling closings.</w:t>
      </w:r>
      <w:r w:rsidRPr="00136ACB">
        <w:rPr>
          <w:rFonts w:ascii="Times New Roman" w:hAnsi="Times New Roman" w:cs="Times New Roman"/>
          <w:color w:val="000000" w:themeColor="text1"/>
          <w:sz w:val="24"/>
          <w:szCs w:val="24"/>
        </w:rPr>
        <w:t xml:space="preserve"> Due to the need to </w:t>
      </w:r>
      <w:r w:rsidRPr="00136ACB" w:rsidR="00AB44D7">
        <w:rPr>
          <w:rFonts w:ascii="Times New Roman" w:hAnsi="Times New Roman" w:cs="Times New Roman"/>
          <w:color w:val="000000" w:themeColor="text1"/>
          <w:sz w:val="24"/>
          <w:szCs w:val="24"/>
        </w:rPr>
        <w:t>begin closing</w:t>
      </w:r>
      <w:r w:rsidR="00846A05">
        <w:rPr>
          <w:rFonts w:ascii="Times New Roman" w:hAnsi="Times New Roman" w:cs="Times New Roman"/>
          <w:color w:val="000000" w:themeColor="text1"/>
          <w:sz w:val="24"/>
          <w:szCs w:val="24"/>
        </w:rPr>
        <w:t xml:space="preserve"> these investments</w:t>
      </w:r>
      <w:r w:rsidRPr="00136ACB" w:rsidR="00AB44D7">
        <w:rPr>
          <w:rFonts w:ascii="Times New Roman" w:hAnsi="Times New Roman" w:cs="Times New Roman"/>
          <w:color w:val="000000" w:themeColor="text1"/>
          <w:sz w:val="24"/>
          <w:szCs w:val="24"/>
        </w:rPr>
        <w:t xml:space="preserve"> </w:t>
      </w:r>
      <w:r w:rsidRPr="00136ACB">
        <w:rPr>
          <w:rFonts w:ascii="Times New Roman" w:hAnsi="Times New Roman" w:cs="Times New Roman"/>
          <w:color w:val="000000" w:themeColor="text1"/>
          <w:sz w:val="24"/>
          <w:szCs w:val="24"/>
        </w:rPr>
        <w:t xml:space="preserve">as soon as possible, Treasury requests emergency processing and approval by </w:t>
      </w:r>
      <w:r w:rsidR="00C85BE8">
        <w:rPr>
          <w:rFonts w:ascii="Times New Roman" w:hAnsi="Times New Roman" w:cs="Times New Roman"/>
          <w:color w:val="000000" w:themeColor="text1"/>
          <w:sz w:val="24"/>
          <w:szCs w:val="24"/>
        </w:rPr>
        <w:t xml:space="preserve">Wednesday, March </w:t>
      </w:r>
      <w:r w:rsidR="000D2DA6">
        <w:rPr>
          <w:rFonts w:ascii="Times New Roman" w:hAnsi="Times New Roman" w:cs="Times New Roman"/>
          <w:color w:val="000000" w:themeColor="text1"/>
          <w:sz w:val="24"/>
          <w:szCs w:val="24"/>
        </w:rPr>
        <w:t>30</w:t>
      </w:r>
      <w:r w:rsidR="00F023D4">
        <w:rPr>
          <w:rFonts w:ascii="Times New Roman" w:hAnsi="Times New Roman" w:cs="Times New Roman"/>
          <w:color w:val="000000" w:themeColor="text1"/>
          <w:sz w:val="24"/>
          <w:szCs w:val="24"/>
        </w:rPr>
        <w:t xml:space="preserve">, </w:t>
      </w:r>
      <w:proofErr w:type="gramStart"/>
      <w:r w:rsidR="00F023D4">
        <w:rPr>
          <w:rFonts w:ascii="Times New Roman" w:hAnsi="Times New Roman" w:cs="Times New Roman"/>
          <w:color w:val="000000" w:themeColor="text1"/>
          <w:sz w:val="24"/>
          <w:szCs w:val="24"/>
        </w:rPr>
        <w:t>2022</w:t>
      </w:r>
      <w:proofErr w:type="gramEnd"/>
      <w:r w:rsidRPr="00916892">
        <w:rPr>
          <w:rFonts w:ascii="Times New Roman" w:hAnsi="Times New Roman" w:cs="Times New Roman"/>
          <w:color w:val="000000" w:themeColor="text1"/>
          <w:sz w:val="24"/>
          <w:szCs w:val="24"/>
        </w:rPr>
        <w:t xml:space="preserve"> for </w:t>
      </w:r>
      <w:r w:rsidRPr="00916892" w:rsidR="00AB44D7">
        <w:rPr>
          <w:rFonts w:ascii="Times New Roman" w:hAnsi="Times New Roman" w:cs="Times New Roman"/>
          <w:color w:val="000000" w:themeColor="text1"/>
          <w:sz w:val="24"/>
          <w:szCs w:val="24"/>
        </w:rPr>
        <w:t xml:space="preserve">the </w:t>
      </w:r>
      <w:r w:rsidR="00B55EB5">
        <w:rPr>
          <w:rFonts w:ascii="Times New Roman" w:hAnsi="Times New Roman" w:cs="Times New Roman"/>
          <w:color w:val="000000" w:themeColor="text1"/>
          <w:sz w:val="24"/>
          <w:szCs w:val="24"/>
        </w:rPr>
        <w:t>ISR.</w:t>
      </w:r>
      <w:r w:rsidRPr="00136ACB" w:rsidR="002349C3">
        <w:rPr>
          <w:rFonts w:ascii="Times New Roman" w:hAnsi="Times New Roman" w:cs="Times New Roman"/>
          <w:color w:val="000000" w:themeColor="text1"/>
          <w:sz w:val="24"/>
          <w:szCs w:val="24"/>
        </w:rPr>
        <w:t xml:space="preserve"> </w:t>
      </w:r>
    </w:p>
    <w:p w:rsidR="00642938" w:rsidRDefault="00B55EB5" w14:paraId="68009464" w14:textId="5646ADD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Treasury </w:t>
      </w:r>
      <w:r w:rsidR="00A965FC">
        <w:rPr>
          <w:rFonts w:ascii="Times New Roman" w:hAnsi="Times New Roman" w:cs="Times New Roman"/>
          <w:color w:val="000000" w:themeColor="text1"/>
          <w:sz w:val="24"/>
          <w:szCs w:val="24"/>
        </w:rPr>
        <w:t xml:space="preserve">has </w:t>
      </w:r>
      <w:r>
        <w:rPr>
          <w:rFonts w:ascii="Times New Roman" w:hAnsi="Times New Roman" w:cs="Times New Roman"/>
          <w:color w:val="000000" w:themeColor="text1"/>
          <w:sz w:val="24"/>
          <w:szCs w:val="24"/>
        </w:rPr>
        <w:t>schedule</w:t>
      </w:r>
      <w:r w:rsidR="00A965FC">
        <w:rPr>
          <w:rFonts w:ascii="Times New Roman" w:hAnsi="Times New Roman" w:cs="Times New Roman"/>
          <w:color w:val="000000" w:themeColor="text1"/>
          <w:sz w:val="24"/>
          <w:szCs w:val="24"/>
        </w:rPr>
        <w:t>d</w:t>
      </w:r>
      <w:r>
        <w:rPr>
          <w:rFonts w:ascii="Times New Roman" w:hAnsi="Times New Roman" w:cs="Times New Roman"/>
          <w:color w:val="000000" w:themeColor="text1"/>
          <w:sz w:val="24"/>
          <w:szCs w:val="24"/>
        </w:rPr>
        <w:t xml:space="preserve"> the first closings on Tuesday, April 2</w:t>
      </w:r>
      <w:r w:rsidR="00A336C6">
        <w:rPr>
          <w:rFonts w:ascii="Times New Roman" w:hAnsi="Times New Roman" w:cs="Times New Roman"/>
          <w:color w:val="000000" w:themeColor="text1"/>
          <w:sz w:val="24"/>
          <w:szCs w:val="24"/>
        </w:rPr>
        <w:t>6</w:t>
      </w:r>
      <w:r>
        <w:rPr>
          <w:rFonts w:ascii="Times New Roman" w:hAnsi="Times New Roman" w:cs="Times New Roman"/>
          <w:color w:val="000000" w:themeColor="text1"/>
          <w:sz w:val="24"/>
          <w:szCs w:val="24"/>
        </w:rPr>
        <w:t>, 2022.</w:t>
      </w:r>
      <w:r w:rsidR="00A336C6">
        <w:rPr>
          <w:rFonts w:ascii="Times New Roman" w:hAnsi="Times New Roman" w:cs="Times New Roman"/>
          <w:color w:val="000000" w:themeColor="text1"/>
          <w:sz w:val="24"/>
          <w:szCs w:val="24"/>
        </w:rPr>
        <w:t xml:space="preserve">  </w:t>
      </w:r>
      <w:r w:rsidR="00E22EBC">
        <w:rPr>
          <w:rFonts w:ascii="Times New Roman" w:hAnsi="Times New Roman" w:cs="Times New Roman"/>
          <w:color w:val="000000" w:themeColor="text1"/>
          <w:sz w:val="24"/>
          <w:szCs w:val="24"/>
        </w:rPr>
        <w:t xml:space="preserve">As noted, since participants will be required to submit the ISR 10 business days prior to closing, the institutions scheduled to close on April 26, </w:t>
      </w:r>
      <w:proofErr w:type="gramStart"/>
      <w:r w:rsidR="00E22EBC">
        <w:rPr>
          <w:rFonts w:ascii="Times New Roman" w:hAnsi="Times New Roman" w:cs="Times New Roman"/>
          <w:color w:val="000000" w:themeColor="text1"/>
          <w:sz w:val="24"/>
          <w:szCs w:val="24"/>
        </w:rPr>
        <w:t>2022</w:t>
      </w:r>
      <w:proofErr w:type="gramEnd"/>
      <w:r w:rsidR="00E22EBC">
        <w:rPr>
          <w:rFonts w:ascii="Times New Roman" w:hAnsi="Times New Roman" w:cs="Times New Roman"/>
          <w:color w:val="000000" w:themeColor="text1"/>
          <w:sz w:val="24"/>
          <w:szCs w:val="24"/>
        </w:rPr>
        <w:t xml:space="preserve"> will be required to submit their ISR by </w:t>
      </w:r>
      <w:r w:rsidR="00A336C6">
        <w:rPr>
          <w:rFonts w:ascii="Times New Roman" w:hAnsi="Times New Roman" w:cs="Times New Roman"/>
          <w:color w:val="000000" w:themeColor="text1"/>
          <w:sz w:val="24"/>
          <w:szCs w:val="24"/>
        </w:rPr>
        <w:t>Tuesday, April 12</w:t>
      </w:r>
      <w:r w:rsidR="00E22EBC">
        <w:rPr>
          <w:rFonts w:ascii="Times New Roman" w:hAnsi="Times New Roman" w:cs="Times New Roman"/>
          <w:color w:val="000000" w:themeColor="text1"/>
          <w:sz w:val="24"/>
          <w:szCs w:val="24"/>
        </w:rPr>
        <w:t>, 2022</w:t>
      </w:r>
      <w:r w:rsidR="00A336C6">
        <w:rPr>
          <w:rFonts w:ascii="Times New Roman" w:hAnsi="Times New Roman" w:cs="Times New Roman"/>
          <w:color w:val="000000" w:themeColor="text1"/>
          <w:sz w:val="24"/>
          <w:szCs w:val="24"/>
        </w:rPr>
        <w:t>.  Participants need</w:t>
      </w:r>
      <w:r w:rsidR="00E22EBC">
        <w:rPr>
          <w:rFonts w:ascii="Times New Roman" w:hAnsi="Times New Roman" w:cs="Times New Roman"/>
          <w:color w:val="000000" w:themeColor="text1"/>
          <w:sz w:val="24"/>
          <w:szCs w:val="24"/>
        </w:rPr>
        <w:t xml:space="preserve"> </w:t>
      </w:r>
      <w:r w:rsidR="00A336C6">
        <w:rPr>
          <w:rFonts w:ascii="Times New Roman" w:hAnsi="Times New Roman" w:cs="Times New Roman"/>
          <w:color w:val="000000" w:themeColor="text1"/>
          <w:sz w:val="24"/>
          <w:szCs w:val="24"/>
        </w:rPr>
        <w:t xml:space="preserve">time to </w:t>
      </w:r>
      <w:r w:rsidR="00101A29">
        <w:rPr>
          <w:rFonts w:ascii="Times New Roman" w:hAnsi="Times New Roman" w:cs="Times New Roman"/>
          <w:color w:val="000000" w:themeColor="text1"/>
          <w:sz w:val="24"/>
          <w:szCs w:val="24"/>
        </w:rPr>
        <w:t xml:space="preserve">evaluate </w:t>
      </w:r>
      <w:r w:rsidR="00A336C6">
        <w:rPr>
          <w:rFonts w:ascii="Times New Roman" w:hAnsi="Times New Roman" w:cs="Times New Roman"/>
          <w:color w:val="000000" w:themeColor="text1"/>
          <w:sz w:val="24"/>
          <w:szCs w:val="24"/>
        </w:rPr>
        <w:t xml:space="preserve">the </w:t>
      </w:r>
      <w:r w:rsidR="00E22EBC">
        <w:rPr>
          <w:rFonts w:ascii="Times New Roman" w:hAnsi="Times New Roman" w:cs="Times New Roman"/>
          <w:color w:val="000000" w:themeColor="text1"/>
          <w:sz w:val="24"/>
          <w:szCs w:val="24"/>
        </w:rPr>
        <w:t xml:space="preserve">data collection </w:t>
      </w:r>
      <w:r w:rsidR="00A336C6">
        <w:rPr>
          <w:rFonts w:ascii="Times New Roman" w:hAnsi="Times New Roman" w:cs="Times New Roman"/>
          <w:color w:val="000000" w:themeColor="text1"/>
          <w:sz w:val="24"/>
          <w:szCs w:val="24"/>
        </w:rPr>
        <w:t>require</w:t>
      </w:r>
      <w:r w:rsidR="00E22EBC">
        <w:rPr>
          <w:rFonts w:ascii="Times New Roman" w:hAnsi="Times New Roman" w:cs="Times New Roman"/>
          <w:color w:val="000000" w:themeColor="text1"/>
          <w:sz w:val="24"/>
          <w:szCs w:val="24"/>
        </w:rPr>
        <w:t xml:space="preserve">d under the final ISR, collect this data from their systems and them complete and submit the report. The draft ISR and instructions were published to Treasury’s website on February 15, 2022. Under 44 USC § 3506(c)(2)(A), the routine PRA process requires a 60-day public comment period. </w:t>
      </w:r>
      <w:r w:rsidR="00502236">
        <w:rPr>
          <w:rFonts w:ascii="Times New Roman" w:hAnsi="Times New Roman" w:cs="Times New Roman"/>
          <w:color w:val="000000" w:themeColor="text1"/>
          <w:sz w:val="24"/>
          <w:szCs w:val="24"/>
        </w:rPr>
        <w:t>The 60-day comment period</w:t>
      </w:r>
      <w:r w:rsidR="00E22EBC">
        <w:rPr>
          <w:rFonts w:ascii="Times New Roman" w:hAnsi="Times New Roman" w:cs="Times New Roman"/>
          <w:color w:val="000000" w:themeColor="text1"/>
          <w:sz w:val="24"/>
          <w:szCs w:val="24"/>
        </w:rPr>
        <w:t xml:space="preserve"> would elapse on April 16, 2022, which is past the date on which the ECIP recipients scheduled to close on April 26, 2022 would be required to submit the ISR. Treasury </w:t>
      </w:r>
      <w:r w:rsidR="00E22EBC">
        <w:rPr>
          <w:rFonts w:ascii="Times New Roman" w:hAnsi="Times New Roman" w:cs="Times New Roman"/>
          <w:color w:val="000000" w:themeColor="text1"/>
          <w:sz w:val="24"/>
          <w:szCs w:val="24"/>
        </w:rPr>
        <w:lastRenderedPageBreak/>
        <w:t>would then need to review the comments</w:t>
      </w:r>
      <w:r w:rsidR="00502236">
        <w:rPr>
          <w:rFonts w:ascii="Times New Roman" w:hAnsi="Times New Roman" w:cs="Times New Roman"/>
          <w:color w:val="000000" w:themeColor="text1"/>
          <w:sz w:val="24"/>
          <w:szCs w:val="24"/>
        </w:rPr>
        <w:t xml:space="preserve">, incorporate the revisions, finalize the report and then seek OMB approval, which would add many additional weeks to the schedule at minimum, further delaying Treasury’s ability to invest this capital in the approved institutions. </w:t>
      </w:r>
      <w:r w:rsidR="00642938">
        <w:rPr>
          <w:rFonts w:ascii="Times New Roman" w:hAnsi="Times New Roman" w:cs="Times New Roman"/>
          <w:color w:val="000000" w:themeColor="text1"/>
          <w:sz w:val="24"/>
          <w:szCs w:val="24"/>
        </w:rPr>
        <w:t xml:space="preserve">  As a </w:t>
      </w:r>
      <w:r w:rsidR="00502236">
        <w:rPr>
          <w:rFonts w:ascii="Times New Roman" w:hAnsi="Times New Roman" w:cs="Times New Roman"/>
          <w:color w:val="000000" w:themeColor="text1"/>
          <w:sz w:val="24"/>
          <w:szCs w:val="24"/>
        </w:rPr>
        <w:t>COVID</w:t>
      </w:r>
      <w:r w:rsidR="00642938">
        <w:rPr>
          <w:rFonts w:ascii="Times New Roman" w:hAnsi="Times New Roman" w:cs="Times New Roman"/>
          <w:color w:val="000000" w:themeColor="text1"/>
          <w:sz w:val="24"/>
          <w:szCs w:val="24"/>
        </w:rPr>
        <w:t>-19 response program, it is essential that Treasury complete investments as soon as possible</w:t>
      </w:r>
      <w:r w:rsidR="00502236">
        <w:rPr>
          <w:rFonts w:ascii="Times New Roman" w:hAnsi="Times New Roman" w:cs="Times New Roman"/>
          <w:color w:val="000000" w:themeColor="text1"/>
          <w:sz w:val="24"/>
          <w:szCs w:val="24"/>
        </w:rPr>
        <w:t xml:space="preserve"> to allow approved institutions to deploy the capital in communities disproportionately affected by the COVID-19 pandemic as statutorily intended</w:t>
      </w:r>
      <w:r w:rsidR="00642938">
        <w:rPr>
          <w:rFonts w:ascii="Times New Roman" w:hAnsi="Times New Roman" w:cs="Times New Roman"/>
          <w:color w:val="000000" w:themeColor="text1"/>
          <w:sz w:val="24"/>
          <w:szCs w:val="24"/>
        </w:rPr>
        <w:t>.</w:t>
      </w:r>
      <w:r w:rsidR="00214283">
        <w:rPr>
          <w:rFonts w:ascii="Times New Roman" w:hAnsi="Times New Roman" w:cs="Times New Roman"/>
          <w:color w:val="000000" w:themeColor="text1"/>
          <w:sz w:val="24"/>
          <w:szCs w:val="24"/>
        </w:rPr>
        <w:t xml:space="preserve">  </w:t>
      </w:r>
      <w:r w:rsidR="00642938">
        <w:rPr>
          <w:rFonts w:ascii="Times New Roman" w:hAnsi="Times New Roman" w:cs="Times New Roman"/>
          <w:color w:val="000000" w:themeColor="text1"/>
          <w:sz w:val="24"/>
          <w:szCs w:val="24"/>
        </w:rPr>
        <w:t>Public harm will result from any delay in making the ECIP capital available to qualified institutions and the communities that they serve because these institutions will otherwise have less capital available to invest</w:t>
      </w:r>
      <w:r w:rsidR="00502236">
        <w:rPr>
          <w:rFonts w:ascii="Times New Roman" w:hAnsi="Times New Roman" w:cs="Times New Roman"/>
          <w:color w:val="000000" w:themeColor="text1"/>
          <w:sz w:val="24"/>
          <w:szCs w:val="24"/>
        </w:rPr>
        <w:t>, further prolonging the economic recovery from the COVID-19 pandemic in communities that have been disproportionately affected</w:t>
      </w:r>
      <w:r w:rsidR="00642938">
        <w:rPr>
          <w:rFonts w:ascii="Times New Roman" w:hAnsi="Times New Roman" w:cs="Times New Roman"/>
          <w:color w:val="000000" w:themeColor="text1"/>
          <w:sz w:val="24"/>
          <w:szCs w:val="24"/>
        </w:rPr>
        <w:t xml:space="preserve">. </w:t>
      </w:r>
      <w:r w:rsidR="002D50AB">
        <w:rPr>
          <w:rFonts w:ascii="Times New Roman" w:hAnsi="Times New Roman" w:cs="Times New Roman"/>
          <w:color w:val="000000" w:themeColor="text1"/>
          <w:sz w:val="24"/>
          <w:szCs w:val="24"/>
        </w:rPr>
        <w:t>In addition, the period covered by this ISR is the annual period ending on September 30, 2020, as directed by the Act.</w:t>
      </w:r>
      <w:r w:rsidR="00642938">
        <w:rPr>
          <w:rFonts w:ascii="Times New Roman" w:hAnsi="Times New Roman" w:cs="Times New Roman"/>
          <w:color w:val="000000" w:themeColor="text1"/>
          <w:sz w:val="24"/>
          <w:szCs w:val="24"/>
        </w:rPr>
        <w:t xml:space="preserve"> </w:t>
      </w:r>
      <w:r w:rsidR="002D50AB">
        <w:rPr>
          <w:rFonts w:ascii="Times New Roman" w:hAnsi="Times New Roman" w:cs="Times New Roman"/>
          <w:color w:val="000000" w:themeColor="text1"/>
          <w:sz w:val="24"/>
          <w:szCs w:val="24"/>
        </w:rPr>
        <w:t xml:space="preserve">The use of normal PRA clearance procedures would increase the length of time between the period being reported on and when the information is collected, increasing the risk that institutions will report stale, missing, or inaccurate data and disrupting the purposes of the information collection. </w:t>
      </w:r>
    </w:p>
    <w:p w:rsidRPr="00FD5A59" w:rsidR="00F023D4" w:rsidRDefault="00D57191" w14:paraId="66703F9F" w14:textId="7088A630">
      <w:pPr>
        <w:rPr>
          <w:rFonts w:ascii="Times New Roman" w:hAnsi="Times New Roman" w:cs="Times New Roman"/>
          <w:color w:val="000000" w:themeColor="text1"/>
          <w:sz w:val="24"/>
          <w:szCs w:val="24"/>
        </w:rPr>
      </w:pPr>
      <w:r w:rsidRPr="00136ACB">
        <w:rPr>
          <w:rFonts w:ascii="Times New Roman" w:hAnsi="Times New Roman" w:cs="Times New Roman"/>
          <w:color w:val="000000" w:themeColor="text1"/>
          <w:sz w:val="24"/>
          <w:szCs w:val="24"/>
        </w:rPr>
        <w:t xml:space="preserve">Treasury requests a waiver from the requirement to publish </w:t>
      </w:r>
      <w:r w:rsidR="00846A05">
        <w:rPr>
          <w:rFonts w:ascii="Times New Roman" w:hAnsi="Times New Roman" w:cs="Times New Roman"/>
          <w:color w:val="000000" w:themeColor="text1"/>
          <w:sz w:val="24"/>
          <w:szCs w:val="24"/>
        </w:rPr>
        <w:t xml:space="preserve">a </w:t>
      </w:r>
      <w:r w:rsidRPr="00136ACB">
        <w:rPr>
          <w:rFonts w:ascii="Times New Roman" w:hAnsi="Times New Roman" w:cs="Times New Roman"/>
          <w:color w:val="000000" w:themeColor="text1"/>
          <w:sz w:val="24"/>
          <w:szCs w:val="24"/>
        </w:rPr>
        <w:t>notice in the Federal Register seeking public comments</w:t>
      </w:r>
      <w:r w:rsidR="00A965FC">
        <w:rPr>
          <w:rFonts w:ascii="Times New Roman" w:hAnsi="Times New Roman" w:cs="Times New Roman"/>
          <w:color w:val="000000" w:themeColor="text1"/>
          <w:sz w:val="24"/>
          <w:szCs w:val="24"/>
        </w:rPr>
        <w:t xml:space="preserve"> and routine clearance under the Paperwork Reduction Act</w:t>
      </w:r>
      <w:r w:rsidR="00F023D4">
        <w:rPr>
          <w:rFonts w:ascii="Times New Roman" w:hAnsi="Times New Roman" w:cs="Times New Roman"/>
          <w:color w:val="000000" w:themeColor="text1"/>
          <w:sz w:val="24"/>
          <w:szCs w:val="24"/>
        </w:rPr>
        <w:t>.  Although Treasury seeks this waiver, the agency posted draft versions of the forms and instructions for a two-week period ending Monday, February 28</w:t>
      </w:r>
      <w:r w:rsidR="00B55EB5">
        <w:rPr>
          <w:rFonts w:ascii="Times New Roman" w:hAnsi="Times New Roman" w:cs="Times New Roman"/>
          <w:color w:val="000000" w:themeColor="text1"/>
          <w:sz w:val="24"/>
          <w:szCs w:val="24"/>
        </w:rPr>
        <w:t>, 2022</w:t>
      </w:r>
      <w:r w:rsidR="00F023D4">
        <w:rPr>
          <w:rFonts w:ascii="Times New Roman" w:hAnsi="Times New Roman" w:cs="Times New Roman"/>
          <w:color w:val="000000" w:themeColor="text1"/>
          <w:sz w:val="24"/>
          <w:szCs w:val="24"/>
        </w:rPr>
        <w:t>. Treasury has reviewed these comments and considered modifications to the proposed forms and instructions. Many comments involve requests for clarification of ISR instructions or other technical assistance related to the ISR or legal agreements.  In some cases, Treasury will provide</w:t>
      </w:r>
      <w:r w:rsidR="00B55EB5">
        <w:rPr>
          <w:rFonts w:ascii="Times New Roman" w:hAnsi="Times New Roman" w:cs="Times New Roman"/>
          <w:color w:val="000000" w:themeColor="text1"/>
          <w:sz w:val="24"/>
          <w:szCs w:val="24"/>
        </w:rPr>
        <w:t xml:space="preserve"> clarifications within the instructions </w:t>
      </w:r>
      <w:proofErr w:type="gramStart"/>
      <w:r w:rsidR="00B55EB5">
        <w:rPr>
          <w:rFonts w:ascii="Times New Roman" w:hAnsi="Times New Roman" w:cs="Times New Roman"/>
          <w:color w:val="000000" w:themeColor="text1"/>
          <w:sz w:val="24"/>
          <w:szCs w:val="24"/>
        </w:rPr>
        <w:t>document</w:t>
      </w:r>
      <w:proofErr w:type="gramEnd"/>
      <w:r w:rsidR="00D7066C">
        <w:rPr>
          <w:rFonts w:ascii="Times New Roman" w:hAnsi="Times New Roman" w:cs="Times New Roman"/>
          <w:color w:val="000000" w:themeColor="text1"/>
          <w:sz w:val="24"/>
          <w:szCs w:val="24"/>
        </w:rPr>
        <w:t xml:space="preserve"> but </w:t>
      </w:r>
      <w:r w:rsidR="00B55EB5">
        <w:rPr>
          <w:rFonts w:ascii="Times New Roman" w:hAnsi="Times New Roman" w:cs="Times New Roman"/>
          <w:color w:val="000000" w:themeColor="text1"/>
          <w:sz w:val="24"/>
          <w:szCs w:val="24"/>
        </w:rPr>
        <w:t>it will also incorporate other strategies such as issu</w:t>
      </w:r>
      <w:r w:rsidR="000A5776">
        <w:rPr>
          <w:rFonts w:ascii="Times New Roman" w:hAnsi="Times New Roman" w:cs="Times New Roman"/>
          <w:color w:val="000000" w:themeColor="text1"/>
          <w:sz w:val="24"/>
          <w:szCs w:val="24"/>
        </w:rPr>
        <w:t>ing</w:t>
      </w:r>
      <w:r w:rsidR="00B55EB5">
        <w:rPr>
          <w:rFonts w:ascii="Times New Roman" w:hAnsi="Times New Roman" w:cs="Times New Roman"/>
          <w:color w:val="000000" w:themeColor="text1"/>
          <w:sz w:val="24"/>
          <w:szCs w:val="24"/>
        </w:rPr>
        <w:t xml:space="preserve"> FAQs or one-on-one technical assistance. Treasury received no comments that included </w:t>
      </w:r>
      <w:r w:rsidR="005F3363">
        <w:rPr>
          <w:rFonts w:ascii="Times New Roman" w:hAnsi="Times New Roman" w:cs="Times New Roman"/>
          <w:color w:val="000000" w:themeColor="text1"/>
          <w:sz w:val="24"/>
          <w:szCs w:val="24"/>
        </w:rPr>
        <w:t>specific</w:t>
      </w:r>
      <w:r w:rsidR="00B55EB5">
        <w:rPr>
          <w:rFonts w:ascii="Times New Roman" w:hAnsi="Times New Roman" w:cs="Times New Roman"/>
          <w:color w:val="000000" w:themeColor="text1"/>
          <w:sz w:val="24"/>
          <w:szCs w:val="24"/>
        </w:rPr>
        <w:t xml:space="preserve"> estimate</w:t>
      </w:r>
      <w:r w:rsidR="005F3363">
        <w:rPr>
          <w:rFonts w:ascii="Times New Roman" w:hAnsi="Times New Roman" w:cs="Times New Roman"/>
          <w:color w:val="000000" w:themeColor="text1"/>
          <w:sz w:val="24"/>
          <w:szCs w:val="24"/>
        </w:rPr>
        <w:t>s</w:t>
      </w:r>
      <w:r w:rsidR="00B55EB5">
        <w:rPr>
          <w:rFonts w:ascii="Times New Roman" w:hAnsi="Times New Roman" w:cs="Times New Roman"/>
          <w:color w:val="000000" w:themeColor="text1"/>
          <w:sz w:val="24"/>
          <w:szCs w:val="24"/>
        </w:rPr>
        <w:t xml:space="preserve"> of time or expense to complete the forms.</w:t>
      </w:r>
    </w:p>
    <w:sectPr w:rsidRPr="00FD5A59" w:rsidR="00F023D4">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87A288" w14:textId="77777777" w:rsidR="00902C5F" w:rsidRDefault="00902C5F" w:rsidP="0030703D">
      <w:pPr>
        <w:spacing w:after="0" w:line="240" w:lineRule="auto"/>
      </w:pPr>
      <w:r>
        <w:separator/>
      </w:r>
    </w:p>
  </w:endnote>
  <w:endnote w:type="continuationSeparator" w:id="0">
    <w:p w14:paraId="11C93AA3" w14:textId="77777777" w:rsidR="00902C5F" w:rsidRDefault="00902C5F" w:rsidP="0030703D">
      <w:pPr>
        <w:spacing w:after="0" w:line="240" w:lineRule="auto"/>
      </w:pPr>
      <w:r>
        <w:continuationSeparator/>
      </w:r>
    </w:p>
  </w:endnote>
  <w:endnote w:type="continuationNotice" w:id="1">
    <w:p w14:paraId="4A847BD2" w14:textId="77777777" w:rsidR="00902C5F" w:rsidRDefault="00902C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18270" w14:textId="77777777" w:rsidR="008758B1" w:rsidRDefault="008758B1" w:rsidP="000D2D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BC2F14" w14:textId="77777777" w:rsidR="00902C5F" w:rsidRDefault="00902C5F" w:rsidP="0030703D">
      <w:pPr>
        <w:spacing w:after="0" w:line="240" w:lineRule="auto"/>
      </w:pPr>
      <w:r>
        <w:separator/>
      </w:r>
    </w:p>
  </w:footnote>
  <w:footnote w:type="continuationSeparator" w:id="0">
    <w:p w14:paraId="0859160D" w14:textId="77777777" w:rsidR="00902C5F" w:rsidRDefault="00902C5F" w:rsidP="0030703D">
      <w:pPr>
        <w:spacing w:after="0" w:line="240" w:lineRule="auto"/>
      </w:pPr>
      <w:r>
        <w:continuationSeparator/>
      </w:r>
    </w:p>
  </w:footnote>
  <w:footnote w:type="continuationNotice" w:id="1">
    <w:p w14:paraId="59C7E3DC" w14:textId="77777777" w:rsidR="00902C5F" w:rsidRDefault="00902C5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532AA" w14:textId="77777777" w:rsidR="008758B1" w:rsidRDefault="008758B1" w:rsidP="000D2DA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191"/>
    <w:rsid w:val="000206DA"/>
    <w:rsid w:val="00024A21"/>
    <w:rsid w:val="00041025"/>
    <w:rsid w:val="000A5776"/>
    <w:rsid w:val="000A609C"/>
    <w:rsid w:val="000D2DA6"/>
    <w:rsid w:val="00101A29"/>
    <w:rsid w:val="00136ACB"/>
    <w:rsid w:val="001664A4"/>
    <w:rsid w:val="001E2A56"/>
    <w:rsid w:val="00214283"/>
    <w:rsid w:val="002349C3"/>
    <w:rsid w:val="002629A0"/>
    <w:rsid w:val="002D50AB"/>
    <w:rsid w:val="0030703D"/>
    <w:rsid w:val="00462E57"/>
    <w:rsid w:val="00486BC9"/>
    <w:rsid w:val="00502236"/>
    <w:rsid w:val="00597045"/>
    <w:rsid w:val="005F3363"/>
    <w:rsid w:val="006124D4"/>
    <w:rsid w:val="00642938"/>
    <w:rsid w:val="006D2B58"/>
    <w:rsid w:val="006F3823"/>
    <w:rsid w:val="00761CF4"/>
    <w:rsid w:val="00782ED7"/>
    <w:rsid w:val="00786CD1"/>
    <w:rsid w:val="00813CC2"/>
    <w:rsid w:val="00846A05"/>
    <w:rsid w:val="008758B1"/>
    <w:rsid w:val="008B7C4C"/>
    <w:rsid w:val="00902C5F"/>
    <w:rsid w:val="00916892"/>
    <w:rsid w:val="009306F1"/>
    <w:rsid w:val="00940931"/>
    <w:rsid w:val="00A01CCE"/>
    <w:rsid w:val="00A336C6"/>
    <w:rsid w:val="00A965FC"/>
    <w:rsid w:val="00AB44D7"/>
    <w:rsid w:val="00AF448C"/>
    <w:rsid w:val="00B34E31"/>
    <w:rsid w:val="00B55EB5"/>
    <w:rsid w:val="00C85BE8"/>
    <w:rsid w:val="00CF1473"/>
    <w:rsid w:val="00D57191"/>
    <w:rsid w:val="00D7066C"/>
    <w:rsid w:val="00DB4950"/>
    <w:rsid w:val="00E14C4A"/>
    <w:rsid w:val="00E22EBC"/>
    <w:rsid w:val="00E92F49"/>
    <w:rsid w:val="00EC26B0"/>
    <w:rsid w:val="00ED2822"/>
    <w:rsid w:val="00F023D4"/>
    <w:rsid w:val="00F30810"/>
    <w:rsid w:val="00FD5A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47BCD5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57191"/>
    <w:pPr>
      <w:spacing w:after="0" w:line="240" w:lineRule="auto"/>
    </w:pPr>
  </w:style>
  <w:style w:type="character" w:styleId="CommentReference">
    <w:name w:val="annotation reference"/>
    <w:basedOn w:val="DefaultParagraphFont"/>
    <w:uiPriority w:val="99"/>
    <w:semiHidden/>
    <w:unhideWhenUsed/>
    <w:rsid w:val="00ED2822"/>
    <w:rPr>
      <w:sz w:val="16"/>
      <w:szCs w:val="16"/>
    </w:rPr>
  </w:style>
  <w:style w:type="paragraph" w:styleId="CommentText">
    <w:name w:val="annotation text"/>
    <w:basedOn w:val="Normal"/>
    <w:link w:val="CommentTextChar"/>
    <w:unhideWhenUsed/>
    <w:rsid w:val="00ED2822"/>
    <w:pPr>
      <w:spacing w:line="240" w:lineRule="auto"/>
    </w:pPr>
    <w:rPr>
      <w:sz w:val="20"/>
      <w:szCs w:val="20"/>
    </w:rPr>
  </w:style>
  <w:style w:type="character" w:customStyle="1" w:styleId="CommentTextChar">
    <w:name w:val="Comment Text Char"/>
    <w:basedOn w:val="DefaultParagraphFont"/>
    <w:link w:val="CommentText"/>
    <w:rsid w:val="00ED2822"/>
    <w:rPr>
      <w:sz w:val="20"/>
      <w:szCs w:val="20"/>
    </w:rPr>
  </w:style>
  <w:style w:type="paragraph" w:styleId="CommentSubject">
    <w:name w:val="annotation subject"/>
    <w:basedOn w:val="CommentText"/>
    <w:next w:val="CommentText"/>
    <w:link w:val="CommentSubjectChar"/>
    <w:uiPriority w:val="99"/>
    <w:semiHidden/>
    <w:unhideWhenUsed/>
    <w:rsid w:val="00ED2822"/>
    <w:rPr>
      <w:b/>
      <w:bCs/>
    </w:rPr>
  </w:style>
  <w:style w:type="character" w:customStyle="1" w:styleId="CommentSubjectChar">
    <w:name w:val="Comment Subject Char"/>
    <w:basedOn w:val="CommentTextChar"/>
    <w:link w:val="CommentSubject"/>
    <w:uiPriority w:val="99"/>
    <w:semiHidden/>
    <w:rsid w:val="00ED2822"/>
    <w:rPr>
      <w:b/>
      <w:bCs/>
      <w:sz w:val="20"/>
      <w:szCs w:val="20"/>
    </w:rPr>
  </w:style>
  <w:style w:type="paragraph" w:styleId="BalloonText">
    <w:name w:val="Balloon Text"/>
    <w:basedOn w:val="Normal"/>
    <w:link w:val="BalloonTextChar"/>
    <w:uiPriority w:val="99"/>
    <w:semiHidden/>
    <w:unhideWhenUsed/>
    <w:rsid w:val="00ED28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2822"/>
    <w:rPr>
      <w:rFonts w:ascii="Segoe UI" w:hAnsi="Segoe UI" w:cs="Segoe UI"/>
      <w:sz w:val="18"/>
      <w:szCs w:val="18"/>
    </w:rPr>
  </w:style>
  <w:style w:type="character" w:styleId="Hyperlink">
    <w:name w:val="Hyperlink"/>
    <w:basedOn w:val="DefaultParagraphFont"/>
    <w:uiPriority w:val="99"/>
    <w:unhideWhenUsed/>
    <w:rsid w:val="00ED2822"/>
    <w:rPr>
      <w:color w:val="0563C1" w:themeColor="hyperlink"/>
      <w:u w:val="single"/>
    </w:rPr>
  </w:style>
  <w:style w:type="character" w:customStyle="1" w:styleId="ssparalabel">
    <w:name w:val="ss_paralabel"/>
    <w:basedOn w:val="DefaultParagraphFont"/>
    <w:rsid w:val="00ED2822"/>
  </w:style>
  <w:style w:type="character" w:customStyle="1" w:styleId="ssbf">
    <w:name w:val="ss_bf"/>
    <w:basedOn w:val="DefaultParagraphFont"/>
    <w:rsid w:val="00ED2822"/>
  </w:style>
  <w:style w:type="character" w:customStyle="1" w:styleId="ssparacontent">
    <w:name w:val="ss_paracontent"/>
    <w:basedOn w:val="DefaultParagraphFont"/>
    <w:rsid w:val="00ED2822"/>
  </w:style>
  <w:style w:type="paragraph" w:styleId="Header">
    <w:name w:val="header"/>
    <w:basedOn w:val="Normal"/>
    <w:link w:val="HeaderChar"/>
    <w:uiPriority w:val="99"/>
    <w:unhideWhenUsed/>
    <w:rsid w:val="003070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703D"/>
  </w:style>
  <w:style w:type="paragraph" w:styleId="Footer">
    <w:name w:val="footer"/>
    <w:basedOn w:val="Normal"/>
    <w:link w:val="FooterChar"/>
    <w:uiPriority w:val="99"/>
    <w:unhideWhenUsed/>
    <w:rsid w:val="003070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703D"/>
  </w:style>
  <w:style w:type="character" w:styleId="FollowedHyperlink">
    <w:name w:val="FollowedHyperlink"/>
    <w:basedOn w:val="DefaultParagraphFont"/>
    <w:uiPriority w:val="99"/>
    <w:semiHidden/>
    <w:unhideWhenUsed/>
    <w:rsid w:val="00486BC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7FD8D1772C294FB2D9B63D31A5CA22" ma:contentTypeVersion="2" ma:contentTypeDescription="Create a new document." ma:contentTypeScope="" ma:versionID="8b5c0b0a41ee919be6af5b5793ac7540">
  <xsd:schema xmlns:xsd="http://www.w3.org/2001/XMLSchema" xmlns:xs="http://www.w3.org/2001/XMLSchema" xmlns:p="http://schemas.microsoft.com/office/2006/metadata/properties" xmlns:ns2="52222ef0-b167-44f5-92f7-438fda0857cd" xmlns:ns3="661bca9a-d918-42a9-8344-574a9d3e982e" xmlns:ns4="http://schemas.microsoft.com/sharepoint/v4" targetNamespace="http://schemas.microsoft.com/office/2006/metadata/properties" ma:root="true" ma:fieldsID="2d2e98a57e5162f8618ec89dac6e1304" ns2:_="" ns3:_="" ns4:_="">
    <xsd:import namespace="52222ef0-b167-44f5-92f7-438fda0857cd"/>
    <xsd:import namespace="661bca9a-d918-42a9-8344-574a9d3e982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222ef0-b167-44f5-92f7-438fda0857cd" elementFormDefault="qualified">
    <xsd:import namespace="http://schemas.microsoft.com/office/2006/documentManagement/types"/>
    <xsd:import namespace="http://schemas.microsoft.com/office/infopath/2007/PartnerControls"/>
    <xsd:element name="_dlc_DocId" ma:index="7" nillable="true" ma:displayName="Document ID Value" ma:description="The value of the document ID assigned to this item." ma:internalName="_dlc_DocId" ma:readOnly="true">
      <xsd:simpleType>
        <xsd:restriction base="dms:Text"/>
      </xsd:simpleType>
    </xsd:element>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61bca9a-d918-42a9-8344-574a9d3e982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 xmlns="52222ef0-b167-44f5-92f7-438fda0857cd">DODOMFIN-1306720476-8889</_dlc_DocId>
    <_dlc_DocIdUrl xmlns="52222ef0-b167-44f5-92f7-438fda0857cd">
      <Url>https://my.treas.gov/Collab/domfin/FI/OCED/_layouts/15/DocIdRedir.aspx?ID=DODOMFIN-1306720476-8889</Url>
      <Description>DODOMFIN-1306720476-8889</Description>
    </_dlc_DocIdUrl>
  </documentManagement>
</p:propertie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 xmlns="52222ef0-b167-44f5-92f7-438fda0857cd">DODOMFIN-1306720476-9169</_dlc_DocId>
    <_dlc_DocIdUrl xmlns="52222ef0-b167-44f5-92f7-438fda0857cd">
      <Url>https://my.treas.gov/Collab/domfin/FI/OCED/_layouts/15/DocIdRedir.aspx?ID=DODOMFIN-1306720476-9169</Url>
      <Description>DODOMFIN-1306720476-9169</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7.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8.xml><?xml version="1.0" encoding="utf-8"?>
<ct:contentTypeSchema xmlns:ct="http://schemas.microsoft.com/office/2006/metadata/contentType" xmlns:ma="http://schemas.microsoft.com/office/2006/metadata/properties/metaAttributes" ct:_="" ma:_="" ma:contentTypeName="Document" ma:contentTypeID="0x010100E37FD8D1772C294FB2D9B63D31A5CA22" ma:contentTypeVersion="2" ma:contentTypeDescription="Create a new document." ma:contentTypeScope="" ma:versionID="8b5c0b0a41ee919be6af5b5793ac7540">
  <xsd:schema xmlns:xsd="http://www.w3.org/2001/XMLSchema" xmlns:xs="http://www.w3.org/2001/XMLSchema" xmlns:p="http://schemas.microsoft.com/office/2006/metadata/properties" xmlns:ns2="52222ef0-b167-44f5-92f7-438fda0857cd" xmlns:ns3="661bca9a-d918-42a9-8344-574a9d3e982e" xmlns:ns4="http://schemas.microsoft.com/sharepoint/v4" targetNamespace="http://schemas.microsoft.com/office/2006/metadata/properties" ma:root="true" ma:fieldsID="2d2e98a57e5162f8618ec89dac6e1304" ns2:_="" ns3:_="" ns4:_="">
    <xsd:import namespace="52222ef0-b167-44f5-92f7-438fda0857cd"/>
    <xsd:import namespace="661bca9a-d918-42a9-8344-574a9d3e982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222ef0-b167-44f5-92f7-438fda0857cd" elementFormDefault="qualified">
    <xsd:import namespace="http://schemas.microsoft.com/office/2006/documentManagement/types"/>
    <xsd:import namespace="http://schemas.microsoft.com/office/infopath/2007/PartnerControls"/>
    <xsd:element name="_dlc_DocId" ma:index="7" nillable="true" ma:displayName="Document ID Value" ma:description="The value of the document ID assigned to this item." ma:internalName="_dlc_DocId" ma:readOnly="true">
      <xsd:simpleType>
        <xsd:restriction base="dms:Text"/>
      </xsd:simpleType>
    </xsd:element>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61bca9a-d918-42a9-8344-574a9d3e982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C71DF9-7C24-456C-BC7E-07F96EEA5A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222ef0-b167-44f5-92f7-438fda0857cd"/>
    <ds:schemaRef ds:uri="661bca9a-d918-42a9-8344-574a9d3e982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2978FA-9A5F-4D46-912D-BB6CB62B3FAF}">
  <ds:schemaRefs>
    <ds:schemaRef ds:uri="http://schemas.microsoft.com/office/2006/metadata/properties"/>
    <ds:schemaRef ds:uri="http://schemas.microsoft.com/office/infopath/2007/PartnerControls"/>
    <ds:schemaRef ds:uri="http://schemas.microsoft.com/sharepoint/v4"/>
    <ds:schemaRef ds:uri="52222ef0-b167-44f5-92f7-438fda0857cd"/>
  </ds:schemaRefs>
</ds:datastoreItem>
</file>

<file path=customXml/itemProps3.xml><?xml version="1.0" encoding="utf-8"?>
<ds:datastoreItem xmlns:ds="http://schemas.openxmlformats.org/officeDocument/2006/customXml" ds:itemID="{5EA7D855-3EBE-40EC-9747-644D8B69E867}">
  <ds:schemaRefs>
    <ds:schemaRef ds:uri="http://schemas.microsoft.com/office/2006/metadata/properties"/>
    <ds:schemaRef ds:uri="http://schemas.microsoft.com/office/infopath/2007/PartnerControls"/>
    <ds:schemaRef ds:uri="http://schemas.microsoft.com/sharepoint/v4"/>
    <ds:schemaRef ds:uri="52222ef0-b167-44f5-92f7-438fda0857cd"/>
  </ds:schemaRefs>
</ds:datastoreItem>
</file>

<file path=customXml/itemProps4.xml><?xml version="1.0" encoding="utf-8"?>
<ds:datastoreItem xmlns:ds="http://schemas.openxmlformats.org/officeDocument/2006/customXml" ds:itemID="{F6DE26B0-79FB-4725-A9CD-2F04E1AA7E26}">
  <ds:schemaRefs>
    <ds:schemaRef ds:uri="http://schemas.microsoft.com/sharepoint/v3/contenttype/forms"/>
  </ds:schemaRefs>
</ds:datastoreItem>
</file>

<file path=customXml/itemProps5.xml><?xml version="1.0" encoding="utf-8"?>
<ds:datastoreItem xmlns:ds="http://schemas.openxmlformats.org/officeDocument/2006/customXml" ds:itemID="{65772D43-4CCD-47B6-86B4-3B1BD4434CE3}">
  <ds:schemaRefs>
    <ds:schemaRef ds:uri="http://schemas.microsoft.com/sharepoint/v3/contenttype/forms"/>
  </ds:schemaRefs>
</ds:datastoreItem>
</file>

<file path=customXml/itemProps6.xml><?xml version="1.0" encoding="utf-8"?>
<ds:datastoreItem xmlns:ds="http://schemas.openxmlformats.org/officeDocument/2006/customXml" ds:itemID="{0E7F0887-26E9-4029-AC96-F3DDD10D8CB3}">
  <ds:schemaRefs>
    <ds:schemaRef ds:uri="http://schemas.microsoft.com/sharepoint/events"/>
  </ds:schemaRefs>
</ds:datastoreItem>
</file>

<file path=customXml/itemProps7.xml><?xml version="1.0" encoding="utf-8"?>
<ds:datastoreItem xmlns:ds="http://schemas.openxmlformats.org/officeDocument/2006/customXml" ds:itemID="{F458EC8A-11E6-4FA1-8EDE-95C15F179397}">
  <ds:schemaRefs>
    <ds:schemaRef ds:uri="http://schemas.microsoft.com/sharepoint/events"/>
  </ds:schemaRefs>
</ds:datastoreItem>
</file>

<file path=customXml/itemProps8.xml><?xml version="1.0" encoding="utf-8"?>
<ds:datastoreItem xmlns:ds="http://schemas.openxmlformats.org/officeDocument/2006/customXml" ds:itemID="{831CF113-782F-4BF6-85D7-1E923A9BD4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222ef0-b167-44f5-92f7-438fda0857cd"/>
    <ds:schemaRef ds:uri="661bca9a-d918-42a9-8344-574a9d3e982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797</Words>
  <Characters>4548</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2022-03-30T22:23:00Z</dcterms:created>
  <dcterms:modified xsi:type="dcterms:W3CDTF">2022-03-30T22:23:00Z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0x010100E37FD8D1772C294FB2D9B63D31A5CA22</vt:lpwstr>
  </property>
  <property fmtid="{D5CDD505-2E9C-101B-9397-08002B2CF9AE}" pid="3" name="_dlc_DocIdItemGuid">
    <vt:lpwstr>b2595a1e-c377-48e4-a14c-a942b8c03adc</vt:lpwstr>
  </property>
</Properties>
</file>