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D1E" w:rsidP="00701BF4" w:rsidRDefault="00595D1E" w14:paraId="12019AF5" w14:textId="77777777">
      <w:pPr>
        <w:rPr>
          <w:b/>
        </w:rPr>
      </w:pPr>
    </w:p>
    <w:p w:rsidRPr="002B193F" w:rsidR="00595D1E" w:rsidP="002B193F" w:rsidRDefault="00C0501F" w14:paraId="5D211C86" w14:textId="77777777">
      <w:pPr>
        <w:spacing w:after="0"/>
        <w:jc w:val="center"/>
        <w:rPr>
          <w:sz w:val="36"/>
          <w:szCs w:val="36"/>
        </w:rPr>
      </w:pPr>
      <w:r w:rsidRPr="002B193F">
        <w:rPr>
          <w:sz w:val="36"/>
          <w:szCs w:val="36"/>
        </w:rPr>
        <w:t xml:space="preserve">Mini </w:t>
      </w:r>
      <w:r w:rsidRPr="002B193F" w:rsidR="00595D1E">
        <w:rPr>
          <w:sz w:val="36"/>
          <w:szCs w:val="36"/>
        </w:rPr>
        <w:t>Supporting Statement A</w:t>
      </w:r>
    </w:p>
    <w:p w:rsidRPr="002B193F" w:rsidR="00595D1E" w:rsidRDefault="00595D1E" w14:paraId="5A502E26" w14:textId="77777777">
      <w:pPr>
        <w:jc w:val="center"/>
      </w:pPr>
    </w:p>
    <w:p w:rsidRPr="002B193F" w:rsidR="00FF1D87" w:rsidP="002B193F" w:rsidRDefault="00FF1D87" w14:paraId="5107501B" w14:textId="77777777">
      <w:pPr>
        <w:jc w:val="center"/>
      </w:pPr>
    </w:p>
    <w:p w:rsidRPr="00A424DC" w:rsidR="00BE14D8" w:rsidP="00BE14D8" w:rsidRDefault="0026162C" w14:paraId="7B60C221" w14:textId="0324B58B">
      <w:pPr>
        <w:jc w:val="center"/>
        <w:rPr>
          <w:sz w:val="36"/>
          <w:szCs w:val="36"/>
        </w:rPr>
      </w:pPr>
      <w:r w:rsidRPr="00A424DC">
        <w:rPr>
          <w:sz w:val="36"/>
          <w:szCs w:val="36"/>
        </w:rPr>
        <w:t>NCI Cancer Research Data Commons (CRDC)</w:t>
      </w:r>
      <w:r w:rsidRPr="00A424DC">
        <w:rPr>
          <w:sz w:val="36"/>
          <w:szCs w:val="36"/>
        </w:rPr>
        <w:br/>
        <w:t>Data Submission Forms</w:t>
      </w:r>
    </w:p>
    <w:p w:rsidRPr="002B193F" w:rsidR="00003BE1" w:rsidP="002B193F" w:rsidRDefault="00003BE1" w14:paraId="262EBD53" w14:textId="77777777">
      <w:pPr>
        <w:jc w:val="center"/>
        <w:rPr>
          <w:sz w:val="32"/>
          <w:szCs w:val="32"/>
        </w:rPr>
      </w:pPr>
    </w:p>
    <w:p w:rsidRPr="00B103A1" w:rsidR="00A424DC" w:rsidP="00A424DC" w:rsidRDefault="0057530B" w14:paraId="4EE2ECF2" w14:textId="1544E445">
      <w:pPr>
        <w:jc w:val="center"/>
        <w:rPr>
          <w:rFonts w:cstheme="minorHAnsi"/>
          <w:sz w:val="28"/>
          <w:szCs w:val="28"/>
        </w:rPr>
      </w:pPr>
      <w:r>
        <w:rPr>
          <w:rFonts w:cstheme="minorHAnsi"/>
          <w:sz w:val="28"/>
          <w:szCs w:val="28"/>
        </w:rPr>
        <w:t>Sub-study</w:t>
      </w:r>
      <w:r w:rsidRPr="00B103A1" w:rsidR="00A424DC">
        <w:rPr>
          <w:rFonts w:cstheme="minorHAnsi"/>
          <w:sz w:val="28"/>
          <w:szCs w:val="28"/>
        </w:rPr>
        <w:t xml:space="preserve"> under,</w:t>
      </w:r>
    </w:p>
    <w:p w:rsidRPr="00B103A1" w:rsidR="00A424DC" w:rsidP="00A424DC" w:rsidRDefault="00A424DC" w14:paraId="72A8E4D7" w14:textId="77777777">
      <w:pPr>
        <w:jc w:val="center"/>
        <w:rPr>
          <w:rFonts w:cstheme="minorHAnsi"/>
          <w:bCs/>
          <w:sz w:val="28"/>
          <w:szCs w:val="28"/>
        </w:rPr>
      </w:pPr>
      <w:r w:rsidRPr="00B103A1">
        <w:rPr>
          <w:rFonts w:cstheme="minorHAnsi"/>
          <w:bCs/>
          <w:sz w:val="28"/>
          <w:szCs w:val="28"/>
        </w:rPr>
        <w:t xml:space="preserve">“Generic Clearance for National Cancer Institute (NCI) </w:t>
      </w:r>
    </w:p>
    <w:p w:rsidRPr="00B103A1" w:rsidR="00A424DC" w:rsidP="00A424DC" w:rsidRDefault="00A424DC" w14:paraId="545FFFA5" w14:textId="77777777">
      <w:pPr>
        <w:jc w:val="center"/>
        <w:rPr>
          <w:rFonts w:cstheme="minorHAnsi"/>
          <w:bCs/>
          <w:sz w:val="28"/>
          <w:szCs w:val="28"/>
        </w:rPr>
      </w:pPr>
      <w:r w:rsidRPr="00B103A1">
        <w:rPr>
          <w:rFonts w:cstheme="minorHAnsi"/>
          <w:bCs/>
          <w:sz w:val="28"/>
          <w:szCs w:val="28"/>
        </w:rPr>
        <w:t>Resources, Software and Data Sharing Forms”</w:t>
      </w:r>
    </w:p>
    <w:p w:rsidRPr="00BF55CA" w:rsidR="00A424DC" w:rsidP="00A424DC" w:rsidRDefault="00A424DC" w14:paraId="01DF3A62" w14:textId="77777777">
      <w:pPr>
        <w:jc w:val="center"/>
        <w:rPr>
          <w:sz w:val="28"/>
          <w:szCs w:val="28"/>
        </w:rPr>
      </w:pPr>
    </w:p>
    <w:p w:rsidRPr="00BF55CA" w:rsidR="00A424DC" w:rsidP="00A424DC" w:rsidRDefault="00A424DC" w14:paraId="6BCF621E" w14:textId="77777777">
      <w:pPr>
        <w:jc w:val="center"/>
        <w:rPr>
          <w:sz w:val="28"/>
          <w:szCs w:val="28"/>
        </w:rPr>
      </w:pPr>
      <w:r w:rsidRPr="00BF55CA">
        <w:rPr>
          <w:sz w:val="28"/>
          <w:szCs w:val="28"/>
        </w:rPr>
        <w:t xml:space="preserve">OMB# 0925-0775, </w:t>
      </w:r>
    </w:p>
    <w:p w:rsidRPr="00BF55CA" w:rsidR="00A424DC" w:rsidP="00A424DC" w:rsidRDefault="00A424DC" w14:paraId="0DF412AA" w14:textId="77777777">
      <w:pPr>
        <w:jc w:val="center"/>
        <w:rPr>
          <w:sz w:val="28"/>
          <w:szCs w:val="28"/>
        </w:rPr>
      </w:pPr>
      <w:r w:rsidRPr="00BF55CA">
        <w:rPr>
          <w:sz w:val="28"/>
          <w:szCs w:val="28"/>
        </w:rPr>
        <w:t>Expiration Date:  06/30/2025</w:t>
      </w:r>
    </w:p>
    <w:p w:rsidR="00A424DC" w:rsidP="00A424DC" w:rsidRDefault="00A424DC" w14:paraId="677CAE3D" w14:textId="77777777">
      <w:pPr>
        <w:jc w:val="center"/>
        <w:rPr>
          <w:sz w:val="32"/>
          <w:szCs w:val="32"/>
        </w:rPr>
      </w:pPr>
    </w:p>
    <w:p w:rsidRPr="00BF55CA" w:rsidR="00A424DC" w:rsidP="00A424DC" w:rsidRDefault="00A424DC" w14:paraId="353559FD" w14:textId="044863DB">
      <w:pPr>
        <w:jc w:val="center"/>
        <w:rPr>
          <w:rFonts w:ascii="Times New Roman" w:hAnsi="Times New Roman" w:cs="Times New Roman"/>
          <w:sz w:val="28"/>
          <w:szCs w:val="28"/>
        </w:rPr>
      </w:pPr>
      <w:r>
        <w:rPr>
          <w:sz w:val="28"/>
          <w:szCs w:val="28"/>
        </w:rPr>
        <w:t xml:space="preserve">Date: </w:t>
      </w:r>
      <w:r w:rsidR="008A2D63">
        <w:rPr>
          <w:sz w:val="28"/>
          <w:szCs w:val="28"/>
        </w:rPr>
        <w:t>August 2, 2022</w:t>
      </w:r>
    </w:p>
    <w:p w:rsidRPr="00DD3BCF" w:rsidR="00595D1E" w:rsidP="00A424DC" w:rsidRDefault="00595D1E" w14:paraId="5C3C5F2B" w14:textId="77777777"/>
    <w:p w:rsidRPr="00DD3BCF" w:rsidR="00FF1D87" w:rsidRDefault="00FF1D87" w14:paraId="131BD91A" w14:textId="77777777">
      <w:pPr>
        <w:jc w:val="center"/>
      </w:pPr>
    </w:p>
    <w:p w:rsidRPr="00DD3BCF" w:rsidR="00FF1D87" w:rsidP="002B193F" w:rsidRDefault="000D58D6" w14:paraId="2E64842D" w14:textId="64E08238">
      <w:pPr>
        <w:spacing w:after="0"/>
        <w:jc w:val="center"/>
        <w:rPr>
          <w:b/>
        </w:rPr>
      </w:pPr>
      <w:r>
        <w:rPr>
          <w:sz w:val="32"/>
          <w:szCs w:val="32"/>
        </w:rPr>
        <w:t>Erika Kim</w:t>
      </w:r>
    </w:p>
    <w:p w:rsidRPr="0057530B" w:rsidR="00EB0398" w:rsidP="00A424DC" w:rsidRDefault="00EB0398" w14:paraId="1AE0DDBB" w14:textId="0E9E8000">
      <w:pPr>
        <w:spacing w:after="0"/>
        <w:jc w:val="center"/>
        <w:rPr>
          <w:bCs/>
        </w:rPr>
      </w:pPr>
      <w:r w:rsidRPr="0057530B">
        <w:rPr>
          <w:bCs/>
        </w:rPr>
        <w:t>Biomedical Informatics Program Director</w:t>
      </w:r>
      <w:r w:rsidRPr="0057530B" w:rsidDel="005F6A69">
        <w:rPr>
          <w:bCs/>
        </w:rPr>
        <w:t xml:space="preserve"> </w:t>
      </w:r>
    </w:p>
    <w:p w:rsidRPr="0057530B" w:rsidR="00A424DC" w:rsidP="00A424DC" w:rsidRDefault="005F6A69" w14:paraId="5DCC77F7" w14:textId="71A14B9A">
      <w:pPr>
        <w:spacing w:after="0"/>
        <w:jc w:val="center"/>
        <w:rPr>
          <w:bCs/>
        </w:rPr>
      </w:pPr>
      <w:r w:rsidRPr="0057530B">
        <w:rPr>
          <w:bCs/>
        </w:rPr>
        <w:t>Center for Biomedical Informatics and Information Technology</w:t>
      </w:r>
    </w:p>
    <w:p w:rsidRPr="0057530B" w:rsidR="00A424DC" w:rsidP="00A424DC" w:rsidRDefault="00A424DC" w14:paraId="08231BB8" w14:textId="77777777">
      <w:pPr>
        <w:spacing w:after="0"/>
        <w:jc w:val="center"/>
        <w:rPr>
          <w:bCs/>
        </w:rPr>
      </w:pPr>
      <w:r w:rsidRPr="0057530B">
        <w:rPr>
          <w:bCs/>
        </w:rPr>
        <w:t>National Cancer Institute</w:t>
      </w:r>
    </w:p>
    <w:p w:rsidRPr="0057530B" w:rsidR="00A424DC" w:rsidP="00A424DC" w:rsidRDefault="00A424DC" w14:paraId="45EB2547" w14:textId="1BC38DBB">
      <w:pPr>
        <w:spacing w:after="0"/>
        <w:jc w:val="center"/>
        <w:rPr>
          <w:bCs/>
        </w:rPr>
      </w:pPr>
      <w:r w:rsidRPr="0057530B">
        <w:rPr>
          <w:bCs/>
        </w:rPr>
        <w:t>9609 Medical Center Drive, MSC 9746 Rm 6W236, Rockville, MD 20892</w:t>
      </w:r>
    </w:p>
    <w:p w:rsidRPr="0057530B" w:rsidR="00A424DC" w:rsidP="00A424DC" w:rsidRDefault="005F6A69" w14:paraId="690200EA" w14:textId="53DE3759">
      <w:pPr>
        <w:spacing w:after="0"/>
        <w:jc w:val="center"/>
        <w:rPr>
          <w:bCs/>
        </w:rPr>
      </w:pPr>
      <w:r w:rsidRPr="0057530B">
        <w:rPr>
          <w:bCs/>
        </w:rPr>
        <w:t>(240) 376-5026</w:t>
      </w:r>
    </w:p>
    <w:p w:rsidRPr="00DD3BCF" w:rsidR="00595D1E" w:rsidP="00A424DC" w:rsidRDefault="005F6A69" w14:paraId="612F81FF" w14:textId="78F25CD2">
      <w:pPr>
        <w:spacing w:after="0"/>
        <w:jc w:val="center"/>
        <w:rPr>
          <w:b/>
        </w:rPr>
      </w:pPr>
      <w:r w:rsidRPr="0057530B">
        <w:rPr>
          <w:bCs/>
        </w:rPr>
        <w:t>Erika.kim@nih.gov</w:t>
      </w:r>
      <w:r w:rsidRPr="00DD3BCF" w:rsidR="00595D1E">
        <w:rPr>
          <w:b/>
        </w:rPr>
        <w:br w:type="page"/>
      </w:r>
    </w:p>
    <w:p w:rsidRPr="00DD3BCF" w:rsidR="000F6E1A" w:rsidP="008716F6" w:rsidRDefault="000F6E1A" w14:paraId="769AF0B2" w14:textId="599F38C3">
      <w:pPr>
        <w:spacing w:after="20"/>
        <w:jc w:val="center"/>
        <w:rPr>
          <w:b/>
        </w:rPr>
      </w:pPr>
      <w:r w:rsidRPr="00DD3BCF">
        <w:rPr>
          <w:b/>
        </w:rPr>
        <w:lastRenderedPageBreak/>
        <w:t>List of Attachments</w:t>
      </w:r>
    </w:p>
    <w:p w:rsidRPr="00DD3BCF" w:rsidR="003F0D8B" w:rsidP="008716F6" w:rsidRDefault="003F0D8B" w14:paraId="4C517D43" w14:textId="6D3F46CF">
      <w:pPr>
        <w:spacing w:after="20"/>
        <w:jc w:val="center"/>
        <w:rPr>
          <w:b/>
        </w:rPr>
      </w:pPr>
    </w:p>
    <w:p w:rsidRPr="000D58D6" w:rsidR="003F0D8B" w:rsidP="003F0D8B" w:rsidRDefault="003F0D8B" w14:paraId="4DAF7359" w14:textId="627B4ECE">
      <w:pPr>
        <w:spacing w:after="20"/>
      </w:pPr>
      <w:bookmarkStart w:name="_Hlk92791966" w:id="0"/>
      <w:r>
        <w:t>Attachment 1</w:t>
      </w:r>
      <w:r w:rsidR="000D58D6">
        <w:t xml:space="preserve">: </w:t>
      </w:r>
      <w:r w:rsidR="000A4266">
        <w:t xml:space="preserve">Data Submission Form - </w:t>
      </w:r>
      <w:r w:rsidR="000D58D6">
        <w:t xml:space="preserve">Proteomics Data Commons Data (PDC) </w:t>
      </w:r>
    </w:p>
    <w:p w:rsidR="001923CE" w:rsidP="001923CE" w:rsidRDefault="001923CE" w14:paraId="2DEC83EE" w14:textId="77777777">
      <w:pPr>
        <w:spacing w:after="20"/>
      </w:pPr>
    </w:p>
    <w:p w:rsidR="001923CE" w:rsidP="001923CE" w:rsidRDefault="001923CE" w14:paraId="658DFC47" w14:textId="124CB5DF">
      <w:pPr>
        <w:spacing w:after="20"/>
      </w:pPr>
      <w:r w:rsidRPr="000D58D6">
        <w:t xml:space="preserve">Attachment </w:t>
      </w:r>
      <w:r>
        <w:t>2</w:t>
      </w:r>
      <w:r w:rsidRPr="000D58D6">
        <w:t xml:space="preserve">:  </w:t>
      </w:r>
      <w:r w:rsidRPr="00942EE0" w:rsidR="00942EE0">
        <w:t xml:space="preserve">Data Submission Upload Template - Proteomic Data </w:t>
      </w:r>
      <w:r w:rsidR="00942EE0">
        <w:t>(</w:t>
      </w:r>
      <w:r w:rsidRPr="00942EE0" w:rsidR="00942EE0">
        <w:t>PDC</w:t>
      </w:r>
      <w:r w:rsidR="00942EE0">
        <w:t>)</w:t>
      </w:r>
    </w:p>
    <w:p w:rsidR="001923CE" w:rsidP="001923CE" w:rsidRDefault="001923CE" w14:paraId="00259E28" w14:textId="77777777">
      <w:pPr>
        <w:spacing w:after="20"/>
      </w:pPr>
    </w:p>
    <w:p w:rsidR="001923CE" w:rsidP="001923CE" w:rsidRDefault="001923CE" w14:paraId="439E3537" w14:textId="59D91553">
      <w:pPr>
        <w:spacing w:after="20"/>
      </w:pPr>
      <w:r w:rsidRPr="000D58D6">
        <w:t xml:space="preserve">Attachment </w:t>
      </w:r>
      <w:r>
        <w:t>3</w:t>
      </w:r>
      <w:r w:rsidRPr="000D58D6">
        <w:t xml:space="preserve">: </w:t>
      </w:r>
      <w:r w:rsidRPr="00942EE0" w:rsidR="00942EE0">
        <w:t>Data Submission Form - Cancer Data Service (CDS)</w:t>
      </w:r>
    </w:p>
    <w:p w:rsidRPr="000D58D6" w:rsidR="001923CE" w:rsidP="001923CE" w:rsidRDefault="001923CE" w14:paraId="0C68742B" w14:textId="77777777">
      <w:pPr>
        <w:spacing w:after="20"/>
      </w:pPr>
    </w:p>
    <w:p w:rsidRPr="000D58D6" w:rsidR="008041A0" w:rsidP="008041A0" w:rsidRDefault="008041A0" w14:paraId="438F3DEF" w14:textId="15D00F97">
      <w:pPr>
        <w:spacing w:after="20"/>
      </w:pPr>
      <w:r>
        <w:t xml:space="preserve">Attachment </w:t>
      </w:r>
      <w:r w:rsidR="001923CE">
        <w:t>4</w:t>
      </w:r>
      <w:r>
        <w:t xml:space="preserve">:  </w:t>
      </w:r>
      <w:r w:rsidRPr="0075744B" w:rsidR="0075744B">
        <w:t xml:space="preserve">Data Submission Request </w:t>
      </w:r>
      <w:r w:rsidR="0075744B">
        <w:t xml:space="preserve">- </w:t>
      </w:r>
      <w:r w:rsidRPr="0075744B" w:rsidR="0075744B">
        <w:t>ICDC</w:t>
      </w:r>
    </w:p>
    <w:bookmarkEnd w:id="0"/>
    <w:p w:rsidR="002728FB" w:rsidP="003F0D8B" w:rsidRDefault="002728FB" w14:paraId="38E079CB" w14:textId="44167DE5">
      <w:pPr>
        <w:spacing w:after="20"/>
      </w:pPr>
    </w:p>
    <w:p w:rsidR="002728FB" w:rsidP="002728FB" w:rsidRDefault="002728FB" w14:paraId="4D83F416" w14:textId="3163B768">
      <w:pPr>
        <w:spacing w:after="20"/>
      </w:pPr>
      <w:r>
        <w:t xml:space="preserve">Attachment </w:t>
      </w:r>
      <w:r w:rsidR="001923CE">
        <w:t>5</w:t>
      </w:r>
      <w:r>
        <w:t>:  Instructions – Cancer Data Service (CDS)</w:t>
      </w:r>
    </w:p>
    <w:p w:rsidR="00D70195" w:rsidP="002728FB" w:rsidRDefault="00D70195" w14:paraId="2AE76BB8" w14:textId="77777777">
      <w:pPr>
        <w:spacing w:after="20"/>
      </w:pPr>
    </w:p>
    <w:p w:rsidRPr="000D58D6" w:rsidR="00D70195" w:rsidP="002728FB" w:rsidRDefault="00D70195" w14:paraId="597FD75D" w14:textId="59083508">
      <w:pPr>
        <w:spacing w:after="20"/>
      </w:pPr>
      <w:r>
        <w:t>Attachment 6:  Instructions – Data Submit PDC</w:t>
      </w:r>
    </w:p>
    <w:p w:rsidRPr="0026162C" w:rsidR="000D58D6" w:rsidP="00820294" w:rsidRDefault="000D58D6" w14:paraId="2FF968A3" w14:textId="77777777">
      <w:pPr>
        <w:spacing w:after="20"/>
        <w:rPr>
          <w:highlight w:val="yellow"/>
        </w:rPr>
      </w:pPr>
    </w:p>
    <w:p w:rsidRPr="000D58D6" w:rsidR="00DD3BCF" w:rsidP="00820294" w:rsidRDefault="00820294" w14:paraId="3DFCA5FE" w14:textId="545D0F1A">
      <w:pPr>
        <w:spacing w:after="20"/>
      </w:pPr>
      <w:r w:rsidRPr="000D58D6">
        <w:t xml:space="preserve">Attachment </w:t>
      </w:r>
      <w:r w:rsidR="00D70195">
        <w:t>7</w:t>
      </w:r>
      <w:r w:rsidRPr="000D58D6">
        <w:t xml:space="preserve">:  </w:t>
      </w:r>
      <w:r w:rsidR="00F4118B">
        <w:t xml:space="preserve">Online Portal </w:t>
      </w:r>
      <w:r w:rsidR="00C64496">
        <w:t xml:space="preserve">- </w:t>
      </w:r>
      <w:r w:rsidRPr="000D58D6" w:rsidR="000D58D6">
        <w:t>Proteomic Data Commons</w:t>
      </w:r>
      <w:r w:rsidR="00C64496">
        <w:t xml:space="preserve"> (PDC)</w:t>
      </w:r>
    </w:p>
    <w:p w:rsidR="00F4118B" w:rsidP="48CAFBDA" w:rsidRDefault="00DD3BCF" w14:paraId="5AA9E14F" w14:textId="1223243C">
      <w:pPr>
        <w:spacing w:after="20"/>
      </w:pPr>
      <w:r>
        <w:br/>
      </w:r>
      <w:r w:rsidR="00F4118B">
        <w:t xml:space="preserve">Attachment </w:t>
      </w:r>
      <w:r w:rsidR="00D70195">
        <w:t>8</w:t>
      </w:r>
      <w:r w:rsidR="00F4118B">
        <w:t xml:space="preserve">:  Online Portal - Integrated Canine Data Commons </w:t>
      </w:r>
    </w:p>
    <w:p w:rsidR="00F4118B" w:rsidP="48CAFBDA" w:rsidRDefault="00F4118B" w14:paraId="17089530" w14:textId="77777777">
      <w:pPr>
        <w:spacing w:after="20"/>
      </w:pPr>
    </w:p>
    <w:p w:rsidRPr="000D58D6" w:rsidR="000D58D6" w:rsidP="00820294" w:rsidRDefault="00DD3BCF" w14:paraId="39CC2C45" w14:textId="343C0DAF">
      <w:pPr>
        <w:spacing w:after="20"/>
      </w:pPr>
      <w:r>
        <w:t xml:space="preserve">Attachment </w:t>
      </w:r>
      <w:r w:rsidR="00D70195">
        <w:t>9</w:t>
      </w:r>
      <w:r>
        <w:t xml:space="preserve">:  </w:t>
      </w:r>
      <w:r w:rsidR="00835FCC">
        <w:t xml:space="preserve">Email - </w:t>
      </w:r>
      <w:r w:rsidR="000D58D6">
        <w:t>Cancer Data Service</w:t>
      </w:r>
    </w:p>
    <w:p w:rsidR="000D58D6" w:rsidP="003F0D8B" w:rsidRDefault="000D58D6" w14:paraId="1190250E" w14:textId="75788A76">
      <w:pPr>
        <w:spacing w:after="20"/>
      </w:pPr>
    </w:p>
    <w:p w:rsidR="000D58D6" w:rsidP="003F0D8B" w:rsidRDefault="000D58D6" w14:paraId="2C64DA36" w14:textId="2C1D312E">
      <w:pPr>
        <w:spacing w:after="20"/>
      </w:pPr>
      <w:r>
        <w:t xml:space="preserve">Attachment </w:t>
      </w:r>
      <w:r w:rsidR="00D70195">
        <w:t>10</w:t>
      </w:r>
      <w:r>
        <w:t xml:space="preserve">: </w:t>
      </w:r>
      <w:r w:rsidR="00835FCC">
        <w:t xml:space="preserve">Privacy Impact Assessment - </w:t>
      </w:r>
      <w:r>
        <w:t>Proteomic Data Commons</w:t>
      </w:r>
      <w:r w:rsidR="00835FCC">
        <w:t xml:space="preserve"> (PDC)</w:t>
      </w:r>
    </w:p>
    <w:p w:rsidR="000D58D6" w:rsidP="003F0D8B" w:rsidRDefault="000D58D6" w14:paraId="6AEFDA67" w14:textId="77777777">
      <w:pPr>
        <w:spacing w:after="20"/>
      </w:pPr>
    </w:p>
    <w:p w:rsidR="000D58D6" w:rsidP="003F0D8B" w:rsidRDefault="000D58D6" w14:paraId="48C593B7" w14:textId="1A19C5C2">
      <w:pPr>
        <w:spacing w:after="20"/>
      </w:pPr>
      <w:r>
        <w:t xml:space="preserve">Attachment </w:t>
      </w:r>
      <w:r w:rsidR="00835FCC">
        <w:t>1</w:t>
      </w:r>
      <w:r w:rsidR="00D70195">
        <w:t>1</w:t>
      </w:r>
      <w:r>
        <w:t xml:space="preserve">: </w:t>
      </w:r>
      <w:r w:rsidR="00835FCC">
        <w:t xml:space="preserve">Privacy Impact Assessment - </w:t>
      </w:r>
      <w:r>
        <w:t>Cancer Data Service</w:t>
      </w:r>
      <w:r w:rsidR="00D92FFA">
        <w:t xml:space="preserve"> (CDS)</w:t>
      </w:r>
    </w:p>
    <w:p w:rsidR="002A3B68" w:rsidP="003F0D8B" w:rsidRDefault="002A3B68" w14:paraId="6BF0379D" w14:textId="799277E5">
      <w:pPr>
        <w:spacing w:after="20"/>
      </w:pPr>
    </w:p>
    <w:p w:rsidR="002A3B68" w:rsidP="003F0D8B" w:rsidRDefault="002A3B68" w14:paraId="030E81C2" w14:textId="2CAA5BEB">
      <w:pPr>
        <w:spacing w:after="20"/>
      </w:pPr>
      <w:r>
        <w:t>Attachment 1</w:t>
      </w:r>
      <w:r w:rsidR="00D70195">
        <w:t>2</w:t>
      </w:r>
      <w:r>
        <w:t>:  Privacy Act Memo</w:t>
      </w:r>
    </w:p>
    <w:p w:rsidR="000D58D6" w:rsidP="003F0D8B" w:rsidRDefault="000D58D6" w14:paraId="75B267AB" w14:textId="583FF1B2">
      <w:pPr>
        <w:spacing w:after="20"/>
      </w:pPr>
    </w:p>
    <w:p w:rsidRPr="00DD3BCF" w:rsidR="000D58D6" w:rsidP="003F0D8B" w:rsidRDefault="000D58D6" w14:paraId="28282D21" w14:textId="77777777">
      <w:pPr>
        <w:spacing w:after="20"/>
      </w:pPr>
    </w:p>
    <w:p w:rsidR="009319B2" w:rsidRDefault="00820294" w14:paraId="5BA94932" w14:textId="41691237">
      <w:r>
        <w:br w:type="page"/>
      </w:r>
    </w:p>
    <w:p w:rsidRPr="00113647" w:rsidR="00DB27F3" w:rsidP="008716F6" w:rsidRDefault="00AF01AD" w14:paraId="6CA5DD09" w14:textId="692DD6EE">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321D8793" w14:textId="77777777">
      <w:pPr>
        <w:spacing w:after="20"/>
      </w:pPr>
    </w:p>
    <w:p w:rsidR="008716F6" w:rsidP="003840D6" w:rsidRDefault="008716F6" w14:paraId="31E6DC0F" w14:textId="3ABA5161">
      <w:pPr>
        <w:spacing w:after="20"/>
        <w:rPr>
          <w:b/>
        </w:rPr>
      </w:pPr>
      <w:r w:rsidRPr="00113647">
        <w:rPr>
          <w:b/>
        </w:rPr>
        <w:t xml:space="preserve">A.1 </w:t>
      </w:r>
      <w:r w:rsidR="00344B30">
        <w:rPr>
          <w:b/>
        </w:rPr>
        <w:t>Circumstance</w:t>
      </w:r>
      <w:r w:rsidRPr="00113647">
        <w:rPr>
          <w:b/>
        </w:rPr>
        <w:t xml:space="preserve"> Making the Collection of Information Necessary</w:t>
      </w:r>
    </w:p>
    <w:p w:rsidRPr="00161DED" w:rsidR="00161DED" w:rsidP="00161DED" w:rsidRDefault="00161DED" w14:paraId="7FC44C28" w14:textId="4F758F6D">
      <w:pPr>
        <w:rPr>
          <w:rFonts w:ascii="Calibri" w:hAnsi="Calibri" w:eastAsia="Calibri" w:cs="Calibri"/>
        </w:rPr>
      </w:pPr>
      <w:r w:rsidRPr="00967D17">
        <w:rPr>
          <w:rFonts w:ascii="Calibri" w:hAnsi="Calibri" w:eastAsia="Calibri" w:cs="Calibri"/>
        </w:rPr>
        <w:t>The Health Omnibus Programs Extension of 1988 (Public Law 100-607, Nov. 4, 1988, 102 Stat. 3048) and its amendments require the National Cancer Institute (NCI) to establish an information and education program to collect, identify, analyze, and disseminate on a timely basis, through publications and other appropriate means, information on cancer research, diagnosis, prevention, and treatment (Sections 410 and 412 of the Public Health Service Act (42 USC § 285 and 285a-1)). To disseminate information and data, the National Institutes of Health (NIH) created the NIH Data Sharing Policy and Implementation Guidance (Final NIH Policy for Data Management and Sharing)</w:t>
      </w:r>
      <w:r w:rsidR="005A3C56">
        <w:rPr>
          <w:rFonts w:ascii="Calibri" w:hAnsi="Calibri" w:eastAsia="Calibri" w:cs="Calibri"/>
        </w:rPr>
        <w:t>,</w:t>
      </w:r>
      <w:r w:rsidRPr="00967D17">
        <w:rPr>
          <w:rFonts w:ascii="Calibri" w:hAnsi="Calibri" w:eastAsia="Calibri" w:cs="Calibri"/>
        </w:rPr>
        <w:t xml:space="preserve"> which will require investigators to submit a data sharing plan beginning January 25, 2023 (</w:t>
      </w:r>
      <w:hyperlink w:history="1" r:id="rId7">
        <w:r w:rsidRPr="00967D17">
          <w:rPr>
            <w:rStyle w:val="Hyperlink"/>
            <w:rFonts w:eastAsia="Calibri"/>
          </w:rPr>
          <w:t>https://grants.nih.gov/grants/policy/data_sharing/data_sharing_guidance.htm</w:t>
        </w:r>
      </w:hyperlink>
      <w:r w:rsidRPr="00967D17">
        <w:rPr>
          <w:rFonts w:ascii="Calibri" w:hAnsi="Calibri" w:eastAsia="Calibri" w:cs="Calibri"/>
        </w:rPr>
        <w:t xml:space="preserve">).  All data, particularly those generated through public funds, should be considered for data sharing. Furthermore, when the data are shared, they should be made as widely and freely available as possible while safeguarding </w:t>
      </w:r>
      <w:r w:rsidR="00234C54">
        <w:rPr>
          <w:rFonts w:ascii="Calibri" w:hAnsi="Calibri" w:eastAsia="Calibri" w:cs="Calibri"/>
        </w:rPr>
        <w:t>participants’ privacy</w:t>
      </w:r>
      <w:r w:rsidRPr="00967D17">
        <w:rPr>
          <w:rFonts w:ascii="Calibri" w:hAnsi="Calibri" w:eastAsia="Calibri" w:cs="Calibri"/>
        </w:rPr>
        <w:t xml:space="preserve"> and protecting confidential and proprietary data.  </w:t>
      </w:r>
    </w:p>
    <w:p w:rsidR="00003BE1" w:rsidP="003840D6" w:rsidRDefault="0026162C" w14:paraId="0EF69D05" w14:textId="0F68AFB7">
      <w:pPr>
        <w:spacing w:after="20"/>
      </w:pPr>
      <w:r>
        <w:t xml:space="preserve">NCI’s Cancer Research Data Commons (CRDC) is a data science infrastructure </w:t>
      </w:r>
      <w:r w:rsidR="00B857C8">
        <w:t>to empower researchers with the data, tools, and computational capacity to perform cross-domain analysis of large cancer data sets.</w:t>
      </w:r>
      <w:r>
        <w:t xml:space="preserve"> </w:t>
      </w:r>
      <w:r w:rsidR="00B857C8">
        <w:t>As of 2022, t</w:t>
      </w:r>
      <w:r>
        <w:t xml:space="preserve">he CRDC encompasses and connects multiple cloud-based data repositories to serve as a central location to support public data sharing for NCI-funded programs. </w:t>
      </w:r>
      <w:r w:rsidR="00B857C8">
        <w:t xml:space="preserve">Though the data submission and access process may vary based on the type of data, its sharing restrictions, and where the repository is in its development, these components require the ability to ask questions that help intake, </w:t>
      </w:r>
      <w:r w:rsidR="002572A9">
        <w:t xml:space="preserve">correctly </w:t>
      </w:r>
      <w:r w:rsidR="00B857C8">
        <w:t>index</w:t>
      </w:r>
      <w:r w:rsidR="00234C54">
        <w:t>,</w:t>
      </w:r>
      <w:r w:rsidR="00B857C8">
        <w:t xml:space="preserve"> and make available a variety of cancer data sets to the community.</w:t>
      </w:r>
    </w:p>
    <w:p w:rsidR="0026162C" w:rsidP="003840D6" w:rsidRDefault="0026162C" w14:paraId="5EAA9C65" w14:textId="77777777">
      <w:pPr>
        <w:spacing w:after="20"/>
      </w:pPr>
    </w:p>
    <w:p w:rsidRPr="007133E6" w:rsidR="003840D6" w:rsidP="003840D6" w:rsidRDefault="008716F6" w14:paraId="3F55D33E" w14:textId="0FB8D99F">
      <w:pPr>
        <w:spacing w:after="20"/>
        <w:rPr>
          <w:b/>
        </w:rPr>
      </w:pPr>
      <w:r w:rsidRPr="007133E6">
        <w:rPr>
          <w:b/>
        </w:rPr>
        <w:t>A.2 Purpose and Use of the Information Collection</w:t>
      </w:r>
    </w:p>
    <w:p w:rsidR="00B41F87" w:rsidP="003840D6" w:rsidRDefault="00B857C8" w14:paraId="39F2255B" w14:textId="030F7D92">
      <w:pPr>
        <w:spacing w:after="20"/>
        <w:rPr>
          <w:bCs/>
        </w:rPr>
      </w:pPr>
      <w:r w:rsidRPr="007133E6">
        <w:rPr>
          <w:bCs/>
        </w:rPr>
        <w:t>The following forms represent the current repositories accepting new data submissions through their online portals</w:t>
      </w:r>
      <w:r w:rsidR="00172319">
        <w:rPr>
          <w:bCs/>
        </w:rPr>
        <w:t xml:space="preserve">. </w:t>
      </w:r>
      <w:r w:rsidR="003F3159">
        <w:rPr>
          <w:bCs/>
        </w:rPr>
        <w:t xml:space="preserve">The information collected serves an operational purpose of indexing the data in the system and helping to prioritize which </w:t>
      </w:r>
      <w:r w:rsidR="00172319">
        <w:rPr>
          <w:bCs/>
        </w:rPr>
        <w:t>data sets should be made available through the repositories.</w:t>
      </w:r>
      <w:r w:rsidR="003F3159">
        <w:rPr>
          <w:bCs/>
        </w:rPr>
        <w:t xml:space="preserve"> Though the CRDC’s goal is to make large data sets available, the time, resources, and cost to clean, quality-check, standardize, upload, and maintain these data can be high. To help prioritize data that have the maximum scientific benefit to the community, the CRDC repositories leverage scientific governance committees to review and consult on the data submission</w:t>
      </w:r>
      <w:r w:rsidR="00B41F87">
        <w:rPr>
          <w:bCs/>
        </w:rPr>
        <w:t xml:space="preserve"> request</w:t>
      </w:r>
      <w:r w:rsidR="003F3159">
        <w:rPr>
          <w:bCs/>
        </w:rPr>
        <w:t xml:space="preserve"> forms. </w:t>
      </w:r>
    </w:p>
    <w:p w:rsidR="00B41F87" w:rsidP="003840D6" w:rsidRDefault="00B41F87" w14:paraId="345CFC82" w14:textId="6E4FCE42">
      <w:pPr>
        <w:spacing w:after="20"/>
        <w:rPr>
          <w:bCs/>
        </w:rPr>
      </w:pPr>
    </w:p>
    <w:p w:rsidRPr="00172319" w:rsidR="00B41F87" w:rsidP="00B41F87" w:rsidRDefault="00B41F87" w14:paraId="0D5AFDBE" w14:textId="1EB90150">
      <w:pPr>
        <w:spacing w:after="20"/>
        <w:rPr>
          <w:bCs/>
        </w:rPr>
      </w:pPr>
      <w:r w:rsidRPr="00172319">
        <w:rPr>
          <w:bCs/>
        </w:rPr>
        <w:t>The information in th</w:t>
      </w:r>
      <w:r>
        <w:rPr>
          <w:bCs/>
        </w:rPr>
        <w:t>ese</w:t>
      </w:r>
      <w:r w:rsidRPr="00172319">
        <w:rPr>
          <w:bCs/>
        </w:rPr>
        <w:t xml:space="preserve"> form</w:t>
      </w:r>
      <w:r>
        <w:rPr>
          <w:bCs/>
        </w:rPr>
        <w:t>s</w:t>
      </w:r>
      <w:r w:rsidRPr="00172319">
        <w:rPr>
          <w:bCs/>
        </w:rPr>
        <w:t xml:space="preserve"> </w:t>
      </w:r>
      <w:r>
        <w:rPr>
          <w:bCs/>
        </w:rPr>
        <w:t>is</w:t>
      </w:r>
      <w:r w:rsidRPr="00172319">
        <w:rPr>
          <w:bCs/>
        </w:rPr>
        <w:t xml:space="preserve"> used to help the </w:t>
      </w:r>
      <w:r>
        <w:rPr>
          <w:bCs/>
        </w:rPr>
        <w:t>review</w:t>
      </w:r>
      <w:r w:rsidRPr="00172319">
        <w:rPr>
          <w:bCs/>
        </w:rPr>
        <w:t xml:space="preserve"> team</w:t>
      </w:r>
      <w:r>
        <w:rPr>
          <w:bCs/>
        </w:rPr>
        <w:t>s</w:t>
      </w:r>
      <w:r w:rsidRPr="00172319">
        <w:rPr>
          <w:bCs/>
        </w:rPr>
        <w:t xml:space="preserve"> assess the operational cost of uploading, maintaining, and making that data set available</w:t>
      </w:r>
      <w:r w:rsidR="005A3C56">
        <w:rPr>
          <w:bCs/>
        </w:rPr>
        <w:t>,</w:t>
      </w:r>
      <w:r w:rsidRPr="00172319">
        <w:rPr>
          <w:bCs/>
        </w:rPr>
        <w:t xml:space="preserve"> taking </w:t>
      </w:r>
      <w:r>
        <w:rPr>
          <w:bCs/>
        </w:rPr>
        <w:t>into</w:t>
      </w:r>
      <w:r w:rsidRPr="00172319">
        <w:rPr>
          <w:bCs/>
        </w:rPr>
        <w:t xml:space="preserve"> consideration:</w:t>
      </w:r>
    </w:p>
    <w:p w:rsidRPr="00172319" w:rsidR="00B41F87" w:rsidP="00B41F87" w:rsidRDefault="00B41F87" w14:paraId="76C525E8" w14:textId="7F388271">
      <w:pPr>
        <w:pStyle w:val="ListParagraph"/>
        <w:numPr>
          <w:ilvl w:val="1"/>
          <w:numId w:val="8"/>
        </w:numPr>
        <w:spacing w:after="20"/>
        <w:rPr>
          <w:bCs/>
        </w:rPr>
      </w:pPr>
      <w:r w:rsidRPr="00172319">
        <w:rPr>
          <w:bCs/>
        </w:rPr>
        <w:t>The scientific benefit of making this data set available to the larger community</w:t>
      </w:r>
      <w:r>
        <w:rPr>
          <w:bCs/>
        </w:rPr>
        <w:t>, and</w:t>
      </w:r>
    </w:p>
    <w:p w:rsidRPr="00172319" w:rsidR="00B41F87" w:rsidP="00B41F87" w:rsidRDefault="00B41F87" w14:paraId="044C24DA" w14:textId="0450ED7C">
      <w:pPr>
        <w:pStyle w:val="ListParagraph"/>
        <w:numPr>
          <w:ilvl w:val="1"/>
          <w:numId w:val="8"/>
        </w:numPr>
        <w:spacing w:after="20"/>
        <w:rPr>
          <w:bCs/>
        </w:rPr>
      </w:pPr>
      <w:r w:rsidRPr="00172319">
        <w:rPr>
          <w:bCs/>
        </w:rPr>
        <w:t>The guidelines govern access and secondary use of that data set</w:t>
      </w:r>
      <w:r>
        <w:rPr>
          <w:bCs/>
        </w:rPr>
        <w:t>.</w:t>
      </w:r>
    </w:p>
    <w:p w:rsidR="00B41F87" w:rsidP="003840D6" w:rsidRDefault="00B41F87" w14:paraId="420DDD92" w14:textId="77777777">
      <w:pPr>
        <w:spacing w:after="20"/>
        <w:rPr>
          <w:bCs/>
        </w:rPr>
      </w:pPr>
    </w:p>
    <w:p w:rsidR="00344B30" w:rsidRDefault="00344B30" w14:paraId="1D83842C" w14:textId="77777777">
      <w:pPr>
        <w:rPr>
          <w:bCs/>
        </w:rPr>
      </w:pPr>
      <w:r>
        <w:rPr>
          <w:bCs/>
        </w:rPr>
        <w:br w:type="page"/>
      </w:r>
    </w:p>
    <w:p w:rsidRPr="007133E6" w:rsidR="00B857C8" w:rsidP="003840D6" w:rsidRDefault="003F3159" w14:paraId="418159C4" w14:textId="18D0CE35">
      <w:pPr>
        <w:spacing w:after="20"/>
        <w:rPr>
          <w:bCs/>
        </w:rPr>
      </w:pPr>
      <w:r>
        <w:rPr>
          <w:bCs/>
        </w:rPr>
        <w:lastRenderedPageBreak/>
        <w:t>The specific uses and processes for each of the current data commons intaking data sets are outlined below:</w:t>
      </w:r>
    </w:p>
    <w:p w:rsidRPr="003F3159" w:rsidR="00B857C8" w:rsidP="00B41F87" w:rsidRDefault="00B857C8" w14:paraId="0F9DFE7D" w14:textId="18C5E0FE">
      <w:pPr>
        <w:pStyle w:val="ListParagraph"/>
        <w:numPr>
          <w:ilvl w:val="0"/>
          <w:numId w:val="8"/>
        </w:numPr>
        <w:spacing w:after="20"/>
        <w:rPr>
          <w:b/>
        </w:rPr>
      </w:pPr>
      <w:r w:rsidRPr="003F3159">
        <w:rPr>
          <w:b/>
        </w:rPr>
        <w:t>Attachment</w:t>
      </w:r>
      <w:r w:rsidR="000F757F">
        <w:rPr>
          <w:b/>
        </w:rPr>
        <w:t>s</w:t>
      </w:r>
      <w:r w:rsidRPr="003F3159">
        <w:rPr>
          <w:b/>
        </w:rPr>
        <w:t xml:space="preserve"> 1</w:t>
      </w:r>
      <w:r w:rsidR="000F757F">
        <w:rPr>
          <w:b/>
        </w:rPr>
        <w:t xml:space="preserve"> and 2</w:t>
      </w:r>
      <w:r w:rsidRPr="003F3159">
        <w:rPr>
          <w:b/>
        </w:rPr>
        <w:t>: Proteomics Data Commons</w:t>
      </w:r>
      <w:r w:rsidRPr="003F3159" w:rsidR="007133E6">
        <w:rPr>
          <w:b/>
        </w:rPr>
        <w:t xml:space="preserve"> Data </w:t>
      </w:r>
      <w:r w:rsidRPr="003F3159" w:rsidR="006226C3">
        <w:rPr>
          <w:b/>
        </w:rPr>
        <w:t xml:space="preserve">(PDC) </w:t>
      </w:r>
      <w:r w:rsidRPr="003F3159" w:rsidR="007133E6">
        <w:rPr>
          <w:b/>
        </w:rPr>
        <w:t>Submission Form</w:t>
      </w:r>
      <w:r w:rsidR="000F757F">
        <w:rPr>
          <w:b/>
        </w:rPr>
        <w:t xml:space="preserve"> and Data Upload Template</w:t>
      </w:r>
    </w:p>
    <w:p w:rsidR="000D2A9B" w:rsidP="000D2A9B" w:rsidRDefault="00172319" w14:paraId="146DBA34" w14:textId="1659D5B8">
      <w:pPr>
        <w:spacing w:after="0"/>
        <w:ind w:left="720"/>
      </w:pPr>
      <w:r>
        <w:rPr>
          <w:bCs/>
        </w:rPr>
        <w:t>Researchers interested in making proteomic data available to the larger community can apply to submit their data set to the PDC</w:t>
      </w:r>
      <w:r w:rsidR="00B94BDF">
        <w:rPr>
          <w:bCs/>
        </w:rPr>
        <w:t xml:space="preserve"> (Attachment 1)</w:t>
      </w:r>
      <w:r>
        <w:rPr>
          <w:bCs/>
        </w:rPr>
        <w:t xml:space="preserve">. </w:t>
      </w:r>
      <w:r w:rsidRPr="007133E6" w:rsidR="00B857C8">
        <w:rPr>
          <w:bCs/>
        </w:rPr>
        <w:t xml:space="preserve"> </w:t>
      </w:r>
      <w:r w:rsidR="006226C3">
        <w:rPr>
          <w:bCs/>
        </w:rPr>
        <w:t>PDC’s</w:t>
      </w:r>
      <w:r w:rsidRPr="007133E6" w:rsidR="00B857C8">
        <w:rPr>
          <w:bCs/>
        </w:rPr>
        <w:t xml:space="preserve"> data submission form </w:t>
      </w:r>
      <w:r w:rsidR="005A3C56">
        <w:rPr>
          <w:bCs/>
        </w:rPr>
        <w:t>assesses</w:t>
      </w:r>
      <w:r w:rsidR="007133E6">
        <w:rPr>
          <w:bCs/>
        </w:rPr>
        <w:t xml:space="preserve"> whether this study should be stored and maintained through this data commons</w:t>
      </w:r>
      <w:r w:rsidR="00B41F87">
        <w:rPr>
          <w:bCs/>
        </w:rPr>
        <w:t>.</w:t>
      </w:r>
      <w:r w:rsidR="001923CE">
        <w:rPr>
          <w:bCs/>
        </w:rPr>
        <w:t xml:space="preserve"> </w:t>
      </w:r>
      <w:r w:rsidR="00B41F87">
        <w:rPr>
          <w:bCs/>
        </w:rPr>
        <w:t xml:space="preserve"> </w:t>
      </w:r>
      <w:r>
        <w:t xml:space="preserve">Once submitted, </w:t>
      </w:r>
      <w:r w:rsidRPr="005A3C56" w:rsidR="005A3C56">
        <w:t>the PDC governance committee reviews these forms</w:t>
      </w:r>
      <w:r>
        <w:t xml:space="preserve"> to determine </w:t>
      </w:r>
      <w:r w:rsidR="003F3159">
        <w:t>if</w:t>
      </w:r>
      <w:r>
        <w:t xml:space="preserve"> the data set would be available through the PDC. </w:t>
      </w:r>
      <w:r w:rsidRPr="000D2A9B" w:rsidR="000D2A9B">
        <w:t>If accepted</w:t>
      </w:r>
      <w:r w:rsidR="00234C54">
        <w:t>,</w:t>
      </w:r>
      <w:r w:rsidRPr="000D2A9B" w:rsidR="000D2A9B">
        <w:t xml:space="preserve"> the information in the form will also be used to create a private and secured workspace for the investigator to upload the raw data and metadata files</w:t>
      </w:r>
      <w:r w:rsidR="000D2A9B">
        <w:t xml:space="preserve">. Researchers will be asked to use </w:t>
      </w:r>
      <w:r w:rsidR="00A3085C">
        <w:t>(A</w:t>
      </w:r>
      <w:r w:rsidR="000D2A9B">
        <w:t>ttachment 2</w:t>
      </w:r>
      <w:r w:rsidR="00A3085C">
        <w:t>)</w:t>
      </w:r>
      <w:r w:rsidR="00234C54">
        <w:t>,</w:t>
      </w:r>
      <w:r w:rsidR="000D2A9B">
        <w:t xml:space="preserve"> which gives </w:t>
      </w:r>
      <w:r w:rsidRPr="000D2A9B" w:rsidR="000D2A9B">
        <w:t>templated fields for researchers to add the raw data and metadata so that it can be uploaded directly and accurately to the</w:t>
      </w:r>
      <w:r w:rsidR="000D2A9B">
        <w:t xml:space="preserve"> repository. Unlike attachment 1, attachment 2 is a tool to assist researchers in correctly updating the data according to the standards of the repository.</w:t>
      </w:r>
    </w:p>
    <w:p w:rsidRPr="00172319" w:rsidR="001923CE" w:rsidP="001923CE" w:rsidRDefault="001923CE" w14:paraId="61D094CD" w14:textId="77777777">
      <w:pPr>
        <w:spacing w:after="0"/>
        <w:ind w:left="720"/>
      </w:pPr>
    </w:p>
    <w:p w:rsidRPr="00172319" w:rsidR="00B857C8" w:rsidP="001923CE" w:rsidRDefault="00B857C8" w14:paraId="68B8CB50" w14:textId="4DE8F21D">
      <w:pPr>
        <w:pStyle w:val="ListParagraph"/>
        <w:numPr>
          <w:ilvl w:val="0"/>
          <w:numId w:val="8"/>
        </w:numPr>
        <w:spacing w:after="0"/>
        <w:rPr>
          <w:b/>
        </w:rPr>
      </w:pPr>
      <w:r w:rsidRPr="00172319">
        <w:rPr>
          <w:b/>
        </w:rPr>
        <w:t xml:space="preserve">Attachment </w:t>
      </w:r>
      <w:r w:rsidR="000F757F">
        <w:rPr>
          <w:b/>
        </w:rPr>
        <w:t>3</w:t>
      </w:r>
      <w:r w:rsidRPr="00172319">
        <w:rPr>
          <w:b/>
        </w:rPr>
        <w:t>: Cancer Data Service</w:t>
      </w:r>
      <w:r w:rsidRPr="00172319" w:rsidR="006226C3">
        <w:rPr>
          <w:b/>
        </w:rPr>
        <w:t xml:space="preserve"> (CDS) Data Submission Form</w:t>
      </w:r>
    </w:p>
    <w:p w:rsidR="001923CE" w:rsidP="001923CE" w:rsidRDefault="006226C3" w14:paraId="5BDA960D" w14:textId="00940414">
      <w:pPr>
        <w:spacing w:after="0"/>
        <w:ind w:left="720"/>
      </w:pPr>
      <w:r>
        <w:t>Researchers with data (that cannot be submitted to other NIH repositories) can apply to submit their data set to the CDS to satisfy data sharing requirements mandated by journals or funding agencies.</w:t>
      </w:r>
      <w:r w:rsidR="00B41F87">
        <w:t xml:space="preserve"> </w:t>
      </w:r>
      <w:r w:rsidR="001923CE">
        <w:t xml:space="preserve"> </w:t>
      </w:r>
      <w:r w:rsidRPr="00172319">
        <w:rPr>
          <w:bCs/>
        </w:rPr>
        <w:t>The form serves as a first touchpoint to gather basic information so that a member of the CDS infrastructure team can schedule a consultation call to discuss</w:t>
      </w:r>
      <w:r w:rsidRPr="00172319" w:rsidR="00172319">
        <w:rPr>
          <w:bCs/>
        </w:rPr>
        <w:t xml:space="preserve"> further data storage needs. The information may also be used to identify other repositories better suited to managing the data set.</w:t>
      </w:r>
      <w:r w:rsidR="00B41F87">
        <w:t xml:space="preserve"> </w:t>
      </w:r>
    </w:p>
    <w:p w:rsidRPr="00172319" w:rsidR="001923CE" w:rsidP="001923CE" w:rsidRDefault="001923CE" w14:paraId="59133519" w14:textId="77777777">
      <w:pPr>
        <w:spacing w:after="0"/>
        <w:ind w:left="720"/>
        <w:rPr>
          <w:bCs/>
        </w:rPr>
      </w:pPr>
    </w:p>
    <w:p w:rsidRPr="001923CE" w:rsidR="00B857C8" w:rsidP="001923CE" w:rsidRDefault="00B857C8" w14:paraId="3CCF0382" w14:textId="34F70249">
      <w:pPr>
        <w:pStyle w:val="ListParagraph"/>
        <w:numPr>
          <w:ilvl w:val="0"/>
          <w:numId w:val="8"/>
        </w:numPr>
        <w:spacing w:after="0"/>
        <w:rPr>
          <w:b/>
          <w:bCs/>
        </w:rPr>
      </w:pPr>
      <w:r w:rsidRPr="001923CE">
        <w:rPr>
          <w:b/>
          <w:bCs/>
        </w:rPr>
        <w:t xml:space="preserve">Attachment </w:t>
      </w:r>
      <w:r w:rsidR="000F757F">
        <w:rPr>
          <w:b/>
          <w:bCs/>
        </w:rPr>
        <w:t>4</w:t>
      </w:r>
      <w:r w:rsidRPr="001923CE">
        <w:rPr>
          <w:b/>
          <w:bCs/>
        </w:rPr>
        <w:t>: Integrated Canine Data Commons</w:t>
      </w:r>
      <w:r w:rsidRPr="001923CE" w:rsidR="00172319">
        <w:rPr>
          <w:b/>
          <w:bCs/>
        </w:rPr>
        <w:t xml:space="preserve"> (ICDC) Data Submission Form</w:t>
      </w:r>
    </w:p>
    <w:p w:rsidRPr="00172319" w:rsidR="00172319" w:rsidP="001923CE" w:rsidRDefault="00172319" w14:paraId="64DBA7C1" w14:textId="2FB15435">
      <w:pPr>
        <w:spacing w:after="0"/>
        <w:ind w:left="720"/>
      </w:pPr>
      <w:r>
        <w:t xml:space="preserve">Researchers wanting to share naturally occurring canine cancer data (clinical, genomics, etc.) can apply to upload their data to the ICDC. </w:t>
      </w:r>
      <w:r w:rsidR="00B41F87">
        <w:t xml:space="preserve"> </w:t>
      </w:r>
      <w:r>
        <w:t xml:space="preserve">Once submitted, </w:t>
      </w:r>
      <w:r w:rsidRPr="005A3C56" w:rsidR="005A3C56">
        <w:t>the ICDC governance committee reviews these forms</w:t>
      </w:r>
      <w:r w:rsidR="003F3159">
        <w:t xml:space="preserve"> to determine</w:t>
      </w:r>
      <w:r>
        <w:t xml:space="preserve"> </w:t>
      </w:r>
      <w:r w:rsidR="003F3159">
        <w:t xml:space="preserve">if the data set should be made available through the ICDC. If accepted, the ICDC infrastructure team will reach out to coordinate the </w:t>
      </w:r>
      <w:r w:rsidRPr="005A3C56" w:rsidR="005A3C56">
        <w:t>data transfer, standardization, and upload</w:t>
      </w:r>
      <w:r w:rsidR="003F3159">
        <w:t>.</w:t>
      </w:r>
    </w:p>
    <w:p w:rsidRPr="00113647" w:rsidR="00003BE1" w:rsidP="003840D6" w:rsidRDefault="00003BE1" w14:paraId="175E37DB" w14:textId="77777777">
      <w:pPr>
        <w:spacing w:after="20"/>
      </w:pPr>
    </w:p>
    <w:p w:rsidR="008716F6" w:rsidP="003840D6" w:rsidRDefault="008716F6" w14:paraId="149188BB" w14:textId="77777777">
      <w:pPr>
        <w:spacing w:after="20"/>
        <w:rPr>
          <w:b/>
        </w:rPr>
      </w:pPr>
      <w:r w:rsidRPr="74EF96DA">
        <w:rPr>
          <w:b/>
          <w:bCs/>
        </w:rPr>
        <w:t>A.3 Use of Information Technology to Reduce Burden</w:t>
      </w:r>
    </w:p>
    <w:p w:rsidRPr="0097341B" w:rsidR="003840D6" w:rsidP="003840D6" w:rsidRDefault="001923CE" w14:paraId="313E47D0" w14:textId="03A6D161">
      <w:pPr>
        <w:spacing w:after="20"/>
        <w:rPr>
          <w:rStyle w:val="eop"/>
        </w:rPr>
      </w:pPr>
      <w:r>
        <w:t>If the data request form is approved, there are online instructions to upload the data (</w:t>
      </w:r>
      <w:r w:rsidRPr="00396F34">
        <w:rPr>
          <w:b/>
          <w:bCs/>
        </w:rPr>
        <w:t xml:space="preserve">Attachments </w:t>
      </w:r>
      <w:r w:rsidR="000F757F">
        <w:rPr>
          <w:b/>
          <w:bCs/>
        </w:rPr>
        <w:t>5</w:t>
      </w:r>
      <w:r w:rsidRPr="00396F34">
        <w:rPr>
          <w:b/>
          <w:bCs/>
        </w:rPr>
        <w:t xml:space="preserve"> and </w:t>
      </w:r>
      <w:r w:rsidR="000F757F">
        <w:rPr>
          <w:b/>
          <w:bCs/>
        </w:rPr>
        <w:t>6</w:t>
      </w:r>
      <w:r>
        <w:t xml:space="preserve">).  </w:t>
      </w:r>
      <w:r w:rsidR="003F3159">
        <w:t>All data submission form</w:t>
      </w:r>
      <w:r>
        <w:t>s</w:t>
      </w:r>
      <w:r w:rsidR="003F3159">
        <w:t xml:space="preserve"> are</w:t>
      </w:r>
      <w:r>
        <w:t xml:space="preserve"> </w:t>
      </w:r>
      <w:r w:rsidR="003F3159">
        <w:t xml:space="preserve">available on the corresponding repositories’ online portal (see </w:t>
      </w:r>
      <w:r w:rsidRPr="00396F34">
        <w:rPr>
          <w:b/>
          <w:bCs/>
        </w:rPr>
        <w:t>A</w:t>
      </w:r>
      <w:r w:rsidRPr="00396F34" w:rsidR="003F3159">
        <w:rPr>
          <w:b/>
          <w:bCs/>
        </w:rPr>
        <w:t>ttachments</w:t>
      </w:r>
      <w:r w:rsidRPr="00396F34" w:rsidR="00853779">
        <w:rPr>
          <w:b/>
          <w:bCs/>
        </w:rPr>
        <w:t xml:space="preserve"> </w:t>
      </w:r>
      <w:r w:rsidRPr="00396F34">
        <w:rPr>
          <w:b/>
          <w:bCs/>
        </w:rPr>
        <w:t>7</w:t>
      </w:r>
      <w:r w:rsidRPr="00396F34" w:rsidR="003F3159">
        <w:rPr>
          <w:b/>
          <w:bCs/>
        </w:rPr>
        <w:t>,</w:t>
      </w:r>
      <w:r w:rsidR="00396F34">
        <w:rPr>
          <w:b/>
          <w:bCs/>
        </w:rPr>
        <w:t xml:space="preserve"> 8</w:t>
      </w:r>
      <w:r w:rsidR="000F757F">
        <w:rPr>
          <w:b/>
          <w:bCs/>
        </w:rPr>
        <w:t>, and 9</w:t>
      </w:r>
      <w:r w:rsidR="00396F34">
        <w:rPr>
          <w:b/>
          <w:bCs/>
        </w:rPr>
        <w:t xml:space="preserve"> </w:t>
      </w:r>
      <w:r w:rsidR="003F3159">
        <w:t xml:space="preserve">for examples of the webpages/email outreach referencing these forms). The form is a downloadable word document that can be completed and emailed to the repository’s help desk team. </w:t>
      </w:r>
      <w:r w:rsidR="00396F34">
        <w:t>This</w:t>
      </w:r>
      <w:r w:rsidR="003F3159">
        <w:t xml:space="preserve"> downloadable </w:t>
      </w:r>
      <w:r w:rsidR="00396F34">
        <w:t>form</w:t>
      </w:r>
      <w:r w:rsidR="003F3159">
        <w:t xml:space="preserve"> allows investigators to circulate </w:t>
      </w:r>
      <w:r w:rsidR="00396F34">
        <w:t>it</w:t>
      </w:r>
      <w:r w:rsidR="003F3159">
        <w:t xml:space="preserve"> internally for any review or approvals before sharing </w:t>
      </w:r>
      <w:r w:rsidR="00396F34">
        <w:t xml:space="preserve">it </w:t>
      </w:r>
      <w:r w:rsidR="0057530B">
        <w:t xml:space="preserve">with </w:t>
      </w:r>
      <w:r w:rsidR="003F3159">
        <w:t xml:space="preserve">the repository. </w:t>
      </w:r>
      <w:r w:rsidR="000D58D6">
        <w:rPr>
          <w:rStyle w:val="normaltextrun"/>
          <w:rFonts w:ascii="Calibri" w:hAnsi="Calibri" w:cs="Calibri"/>
          <w:color w:val="000000"/>
          <w:shd w:val="clear" w:color="auto" w:fill="FFFFFF"/>
        </w:rPr>
        <w:t>Th</w:t>
      </w:r>
      <w:r w:rsidR="0097341B">
        <w:rPr>
          <w:rStyle w:val="normaltextrun"/>
          <w:rFonts w:ascii="Calibri" w:hAnsi="Calibri" w:cs="Calibri"/>
          <w:color w:val="000000"/>
          <w:shd w:val="clear" w:color="auto" w:fill="FFFFFF"/>
        </w:rPr>
        <w:t>rough this process,</w:t>
      </w:r>
      <w:r w:rsidR="000D58D6">
        <w:rPr>
          <w:rStyle w:val="normaltextrun"/>
          <w:rFonts w:ascii="Calibri" w:hAnsi="Calibri" w:cs="Calibri"/>
          <w:color w:val="000000"/>
          <w:shd w:val="clear" w:color="auto" w:fill="FFFFFF"/>
        </w:rPr>
        <w:t xml:space="preserve"> investigators submit the required information directly to CRDC, thereby minimizing </w:t>
      </w:r>
      <w:r w:rsidR="00396F34">
        <w:rPr>
          <w:rStyle w:val="normaltextrun"/>
          <w:rFonts w:ascii="Calibri" w:hAnsi="Calibri" w:cs="Calibri"/>
          <w:color w:val="000000"/>
          <w:shd w:val="clear" w:color="auto" w:fill="FFFFFF"/>
        </w:rPr>
        <w:t xml:space="preserve">the </w:t>
      </w:r>
      <w:r w:rsidR="000D58D6">
        <w:rPr>
          <w:rStyle w:val="normaltextrun"/>
          <w:rFonts w:ascii="Calibri" w:hAnsi="Calibri" w:cs="Calibri"/>
          <w:color w:val="000000"/>
          <w:shd w:val="clear" w:color="auto" w:fill="FFFFFF"/>
        </w:rPr>
        <w:t xml:space="preserve">burden </w:t>
      </w:r>
      <w:r w:rsidR="005A3C56">
        <w:rPr>
          <w:rStyle w:val="normaltextrun"/>
          <w:rFonts w:ascii="Calibri" w:hAnsi="Calibri" w:cs="Calibri"/>
          <w:color w:val="000000"/>
          <w:shd w:val="clear" w:color="auto" w:fill="FFFFFF"/>
        </w:rPr>
        <w:t>for investigators, institutions, and</w:t>
      </w:r>
      <w:r w:rsidR="000D58D6">
        <w:rPr>
          <w:rStyle w:val="normaltextrun"/>
          <w:rFonts w:ascii="Calibri" w:hAnsi="Calibri" w:cs="Calibri"/>
          <w:color w:val="000000"/>
          <w:shd w:val="clear" w:color="auto" w:fill="FFFFFF"/>
        </w:rPr>
        <w:t xml:space="preserve"> NCI staff. The online system uses time-saving features, such as the use of pull-down and scrolling menus to fill data fields, “find as you type” (or “</w:t>
      </w:r>
      <w:r w:rsidR="00396F34">
        <w:rPr>
          <w:rStyle w:val="normaltextrun"/>
          <w:rFonts w:ascii="Calibri" w:hAnsi="Calibri" w:cs="Calibri"/>
          <w:color w:val="000000"/>
          <w:shd w:val="clear" w:color="auto" w:fill="FFFFFF"/>
        </w:rPr>
        <w:t>type-ahead</w:t>
      </w:r>
      <w:r w:rsidR="000D58D6">
        <w:rPr>
          <w:rStyle w:val="normaltextrun"/>
          <w:rFonts w:ascii="Calibri" w:hAnsi="Calibri" w:cs="Calibri"/>
          <w:color w:val="000000"/>
          <w:shd w:val="clear" w:color="auto" w:fill="FFFFFF"/>
        </w:rPr>
        <w:t>”) functionality, and text fields that allow investigators and requesters to cut and paste information from other sources.</w:t>
      </w:r>
      <w:r w:rsidR="000D58D6">
        <w:rPr>
          <w:rStyle w:val="eop"/>
          <w:rFonts w:ascii="Calibri" w:hAnsi="Calibri" w:cs="Calibri"/>
          <w:color w:val="000000"/>
          <w:shd w:val="clear" w:color="auto" w:fill="FFFFFF"/>
        </w:rPr>
        <w:t> </w:t>
      </w:r>
    </w:p>
    <w:p w:rsidRPr="003840D6" w:rsidR="000D58D6" w:rsidP="003840D6" w:rsidRDefault="000D58D6" w14:paraId="79194EC7" w14:textId="77777777">
      <w:pPr>
        <w:spacing w:after="20"/>
      </w:pPr>
    </w:p>
    <w:p w:rsidR="00701BF4" w:rsidP="00701BF4" w:rsidRDefault="002115FD" w14:paraId="7EFBF766" w14:textId="2919D708">
      <w:pPr>
        <w:spacing w:after="20"/>
      </w:pPr>
      <w:r w:rsidRPr="002115FD">
        <w:t>The NCI Privacy Act Coordinator was consulted</w:t>
      </w:r>
      <w:r w:rsidR="005A3C56">
        <w:t xml:space="preserve"> and </w:t>
      </w:r>
      <w:r w:rsidRPr="002115FD">
        <w:t>determined that a Privacy Impact Assessment (PIA) is required</w:t>
      </w:r>
      <w:r w:rsidR="002F287F">
        <w:t xml:space="preserve"> </w:t>
      </w:r>
      <w:r w:rsidR="008A776F">
        <w:t xml:space="preserve">for PDC and </w:t>
      </w:r>
      <w:r w:rsidR="00517443">
        <w:t xml:space="preserve">CDS </w:t>
      </w:r>
      <w:r w:rsidRPr="002115FD">
        <w:rPr>
          <w:b/>
        </w:rPr>
        <w:t>(Attachment</w:t>
      </w:r>
      <w:r w:rsidR="009E698E">
        <w:rPr>
          <w:b/>
        </w:rPr>
        <w:t>s</w:t>
      </w:r>
      <w:r w:rsidRPr="002115FD">
        <w:rPr>
          <w:b/>
        </w:rPr>
        <w:t xml:space="preserve"> </w:t>
      </w:r>
      <w:r w:rsidR="000F757F">
        <w:rPr>
          <w:b/>
        </w:rPr>
        <w:t>10</w:t>
      </w:r>
      <w:r w:rsidR="009E698E">
        <w:rPr>
          <w:b/>
        </w:rPr>
        <w:t xml:space="preserve"> and 1</w:t>
      </w:r>
      <w:r w:rsidR="000F757F">
        <w:rPr>
          <w:b/>
        </w:rPr>
        <w:t>1</w:t>
      </w:r>
      <w:r w:rsidRPr="002115FD">
        <w:rPr>
          <w:b/>
        </w:rPr>
        <w:t>)</w:t>
      </w:r>
      <w:r w:rsidRPr="002115FD">
        <w:t xml:space="preserve">.  </w:t>
      </w:r>
      <w:r w:rsidRPr="008A776F" w:rsidR="008A776F">
        <w:t>ICDC only host</w:t>
      </w:r>
      <w:r w:rsidR="00517443">
        <w:t>s</w:t>
      </w:r>
      <w:r w:rsidRPr="008A776F" w:rsidR="008A776F">
        <w:t xml:space="preserve"> canine data</w:t>
      </w:r>
      <w:r w:rsidR="00517443">
        <w:t>.</w:t>
      </w:r>
    </w:p>
    <w:p w:rsidRPr="00701BF4" w:rsidR="00701BF4" w:rsidP="00701BF4" w:rsidRDefault="00701BF4" w14:paraId="27831F3F" w14:textId="77777777">
      <w:pPr>
        <w:spacing w:after="20"/>
      </w:pPr>
    </w:p>
    <w:p w:rsidR="00234C54" w:rsidRDefault="00234C54" w14:paraId="29FC2411" w14:textId="77777777">
      <w:pPr>
        <w:rPr>
          <w:b/>
        </w:rPr>
      </w:pPr>
      <w:r>
        <w:rPr>
          <w:b/>
        </w:rPr>
        <w:br w:type="page"/>
      </w:r>
    </w:p>
    <w:p w:rsidR="008716F6" w:rsidP="003840D6" w:rsidRDefault="008716F6" w14:paraId="5C23EB0A" w14:textId="6C0C2BE0">
      <w:pPr>
        <w:spacing w:after="20"/>
        <w:rPr>
          <w:b/>
        </w:rPr>
      </w:pPr>
      <w:r w:rsidRPr="00113647">
        <w:rPr>
          <w:b/>
        </w:rPr>
        <w:lastRenderedPageBreak/>
        <w:t>A.4 Efforts to Identify Duplication</w:t>
      </w:r>
    </w:p>
    <w:p w:rsidRPr="00701BF4" w:rsidR="00B80594" w:rsidP="003840D6" w:rsidRDefault="00853779" w14:paraId="347E81D4" w14:textId="68CBD7A2">
      <w:pPr>
        <w:spacing w:after="20"/>
      </w:pPr>
      <w:r>
        <w:t>The CRDC has created a data submission working group to streamline and unify the data submission processes for the research community. The working group has reviewed these forms to find opportunities to avoid duplication and potentially create a standard data submission form template.</w:t>
      </w:r>
    </w:p>
    <w:p w:rsidR="008A776F" w:rsidP="003840D6" w:rsidRDefault="008A776F" w14:paraId="50759C49" w14:textId="77777777">
      <w:pPr>
        <w:spacing w:after="20"/>
        <w:rPr>
          <w:b/>
        </w:rPr>
      </w:pPr>
    </w:p>
    <w:p w:rsidRPr="00113647" w:rsidR="008716F6" w:rsidP="003840D6" w:rsidRDefault="008716F6" w14:paraId="2075AE3E" w14:textId="215B8E7A">
      <w:pPr>
        <w:spacing w:after="20"/>
        <w:rPr>
          <w:b/>
        </w:rPr>
      </w:pPr>
      <w:r w:rsidRPr="00113647">
        <w:rPr>
          <w:b/>
        </w:rPr>
        <w:t>A.5 Impact on Small Businesses or Other Small Entities</w:t>
      </w:r>
    </w:p>
    <w:p w:rsidR="008B2E1C" w:rsidP="003840D6" w:rsidRDefault="008B2E1C" w14:paraId="137C69EB" w14:textId="17C96F62">
      <w:pPr>
        <w:spacing w:after="20"/>
      </w:pPr>
      <w:r w:rsidRPr="00225BB0">
        <w:rPr>
          <w:rFonts w:cstheme="minorHAnsi"/>
        </w:rPr>
        <w:t>No small businesses or other small entities will be impacted.</w:t>
      </w:r>
    </w:p>
    <w:p w:rsidR="003840D6" w:rsidP="003840D6" w:rsidRDefault="003840D6" w14:paraId="1E4E2D79" w14:textId="77777777">
      <w:pPr>
        <w:spacing w:after="20"/>
      </w:pPr>
    </w:p>
    <w:p w:rsidR="008716F6" w:rsidP="74EF96DA" w:rsidRDefault="008716F6" w14:paraId="6DF24D06" w14:textId="77777777">
      <w:pPr>
        <w:spacing w:after="20"/>
        <w:rPr>
          <w:b/>
          <w:bCs/>
        </w:rPr>
      </w:pPr>
      <w:r w:rsidRPr="74EF96DA">
        <w:rPr>
          <w:b/>
          <w:bCs/>
        </w:rPr>
        <w:t>A.6 Consequences of Collecting the Information Less Frequently</w:t>
      </w:r>
    </w:p>
    <w:p w:rsidR="00853779" w:rsidP="003840D6" w:rsidRDefault="74EF96DA" w14:paraId="7C3625CD" w14:textId="7757A8A7">
      <w:pPr>
        <w:spacing w:after="20"/>
      </w:pPr>
      <w:r>
        <w:t xml:space="preserve">Data submission forms are collected as research data is generated. Constraining or limiting these data </w:t>
      </w:r>
      <w:r w:rsidR="0057530B">
        <w:t xml:space="preserve">submission </w:t>
      </w:r>
      <w:r>
        <w:t xml:space="preserve">forms can slow down and limit the amount of data accessible via these repositories, </w:t>
      </w:r>
      <w:r w:rsidR="005A3C56">
        <w:t>significantly</w:t>
      </w:r>
      <w:r>
        <w:t xml:space="preserve"> impacting the CRDC’s goals to provide access to critical data sets to the community. Additionally, limiting the submission can negatively impact the data submitter</w:t>
      </w:r>
      <w:r w:rsidR="005A3C56">
        <w:t>,</w:t>
      </w:r>
      <w:r>
        <w:t xml:space="preserve"> who may be required by a journal, funding agency, or their institution to deposit their data into a public repository by the deadline indicated in their data management and sharing plan. </w:t>
      </w:r>
      <w:r w:rsidRPr="005A3C56" w:rsidR="005A3C56">
        <w:t>If researchers miss this deadline, they may lose the ability to publish the data or no longer comply</w:t>
      </w:r>
      <w:r>
        <w:t xml:space="preserve"> with the terms of their grant award.</w:t>
      </w:r>
    </w:p>
    <w:p w:rsidRPr="00113647" w:rsidR="004B3C21" w:rsidP="003840D6" w:rsidRDefault="004B3C21" w14:paraId="1F2E5256" w14:textId="77777777">
      <w:pPr>
        <w:spacing w:after="20"/>
      </w:pPr>
    </w:p>
    <w:p w:rsidRPr="00113647" w:rsidR="008716F6" w:rsidP="003840D6" w:rsidRDefault="008716F6" w14:paraId="4F19704D" w14:textId="77777777">
      <w:pPr>
        <w:spacing w:after="20"/>
        <w:rPr>
          <w:b/>
        </w:rPr>
      </w:pPr>
      <w:r w:rsidRPr="00113647">
        <w:rPr>
          <w:b/>
        </w:rPr>
        <w:t>A.7 Special Circumstances Relating to the Guidelines of 5 CFR 1320.5</w:t>
      </w:r>
    </w:p>
    <w:p w:rsidRPr="00225BB0" w:rsidR="0008010B" w:rsidP="0008010B" w:rsidRDefault="0008010B" w14:paraId="67108AC0" w14:textId="77777777">
      <w:pPr>
        <w:autoSpaceDE w:val="0"/>
        <w:autoSpaceDN w:val="0"/>
        <w:adjustRightInd w:val="0"/>
        <w:spacing w:after="0"/>
        <w:rPr>
          <w:rFonts w:cstheme="minorHAnsi"/>
        </w:rPr>
      </w:pPr>
      <w:r w:rsidRPr="00225BB0">
        <w:rPr>
          <w:rFonts w:cstheme="minorHAnsi"/>
        </w:rPr>
        <w:t>There are no special circumstances for this information collection request relating to guidelines of 5 CFR 1320.5.</w:t>
      </w:r>
    </w:p>
    <w:p w:rsidRPr="00113647" w:rsidR="008716F6" w:rsidP="003840D6" w:rsidRDefault="008716F6" w14:paraId="3AE5095F" w14:textId="77777777">
      <w:pPr>
        <w:spacing w:after="20"/>
      </w:pPr>
    </w:p>
    <w:p w:rsidRPr="00113647" w:rsidR="008716F6" w:rsidP="003840D6" w:rsidRDefault="008716F6" w14:paraId="7FA549AA" w14:textId="77777777">
      <w:pPr>
        <w:spacing w:after="20"/>
        <w:rPr>
          <w:b/>
        </w:rPr>
      </w:pPr>
      <w:r w:rsidRPr="00113647">
        <w:rPr>
          <w:b/>
        </w:rPr>
        <w:t>A.8 Comments in Response to the Federal Register Notice and Efforts to Consult Outside Agency</w:t>
      </w:r>
    </w:p>
    <w:p w:rsidRPr="00113647" w:rsidR="008716F6" w:rsidP="003840D6" w:rsidRDefault="008716F6" w14:paraId="0307FBE4" w14:textId="77777777">
      <w:pPr>
        <w:spacing w:after="20"/>
      </w:pPr>
      <w:r w:rsidRPr="00113647">
        <w:t>N/A</w:t>
      </w:r>
    </w:p>
    <w:p w:rsidRPr="00113647" w:rsidR="008716F6" w:rsidP="003840D6" w:rsidRDefault="008716F6" w14:paraId="64571A7D" w14:textId="77777777">
      <w:pPr>
        <w:spacing w:after="20"/>
      </w:pPr>
    </w:p>
    <w:p w:rsidR="008716F6" w:rsidP="003840D6" w:rsidRDefault="008716F6" w14:paraId="7CA0243F" w14:textId="77777777">
      <w:pPr>
        <w:spacing w:after="20"/>
        <w:rPr>
          <w:b/>
        </w:rPr>
      </w:pPr>
      <w:r w:rsidRPr="00113647">
        <w:rPr>
          <w:b/>
        </w:rPr>
        <w:t xml:space="preserve">A.9 </w:t>
      </w:r>
      <w:r w:rsidRPr="00113647" w:rsidR="00477A8E">
        <w:rPr>
          <w:b/>
        </w:rPr>
        <w:t>Explanation of Any Payment of Gift to Respondents</w:t>
      </w:r>
    </w:p>
    <w:p w:rsidRPr="00113647" w:rsidR="002A3B68" w:rsidP="003840D6" w:rsidRDefault="00853779" w14:paraId="45A52215" w14:textId="6B1956B1">
      <w:pPr>
        <w:spacing w:after="20"/>
      </w:pPr>
      <w:r>
        <w:t>No payment or gift will be made to respondents.</w:t>
      </w:r>
    </w:p>
    <w:p w:rsidR="003840D6" w:rsidP="002A3B68" w:rsidRDefault="003840D6" w14:paraId="7C189B39" w14:textId="7F15F8DA">
      <w:pPr>
        <w:spacing w:after="20"/>
        <w:rPr>
          <w:b/>
        </w:rPr>
      </w:pPr>
    </w:p>
    <w:p w:rsidRPr="00113647" w:rsidR="00477A8E" w:rsidP="003840D6" w:rsidRDefault="00477A8E" w14:paraId="438EBC00" w14:textId="4439E525">
      <w:pPr>
        <w:spacing w:after="20"/>
        <w:rPr>
          <w:b/>
        </w:rPr>
      </w:pPr>
      <w:r w:rsidRPr="74EF96DA">
        <w:rPr>
          <w:b/>
          <w:bCs/>
        </w:rPr>
        <w:t>A.10 Assurance of Confidentiality Provided to Respondents</w:t>
      </w:r>
    </w:p>
    <w:p w:rsidRPr="00E4719C" w:rsidR="002A3B68" w:rsidP="002A3B68" w:rsidRDefault="002A3B68" w14:paraId="60BC7E18" w14:textId="78EE1922">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 xml:space="preserve">Researchers who seek access to </w:t>
      </w:r>
      <w:r>
        <w:rPr>
          <w:rFonts w:asciiTheme="minorHAnsi" w:hAnsiTheme="minorHAnsi" w:cstheme="minorHAnsi"/>
          <w:sz w:val="22"/>
          <w:szCs w:val="22"/>
        </w:rPr>
        <w:t>individual-level</w:t>
      </w:r>
      <w:r w:rsidRPr="00E4719C">
        <w:rPr>
          <w:rFonts w:asciiTheme="minorHAnsi" w:hAnsiTheme="minorHAnsi" w:cstheme="minorHAnsi"/>
          <w:sz w:val="22"/>
          <w:szCs w:val="22"/>
        </w:rPr>
        <w:t xml:space="preserve"> data are typically required to enter into a data-sharing agreement. Data-sharing agreements, which come by many terms, including "license agreements" and "data distribution agreements," generally include requirements to protect participants' privacy and data confidentiality. They may prohibit the recipient from transferring the data to other users or require that the data be used for research purposes only, among other provisions, and they may stipulate penalties for violations. </w:t>
      </w:r>
    </w:p>
    <w:p w:rsidRPr="0058362B" w:rsidR="002A3B68" w:rsidP="002A3B68" w:rsidRDefault="002A3B68" w14:paraId="3A3E5A5A" w14:textId="77777777">
      <w:pPr>
        <w:spacing w:after="0"/>
        <w:rPr>
          <w:rFonts w:cstheme="minorHAnsi"/>
        </w:rPr>
      </w:pPr>
    </w:p>
    <w:p w:rsidR="002A3B68" w:rsidP="002A3B68" w:rsidRDefault="002A3B68" w14:paraId="051CFD4D" w14:textId="77777777">
      <w:pPr>
        <w:spacing w:after="0"/>
        <w:rPr>
          <w:rFonts w:cstheme="minorHAnsi"/>
        </w:rPr>
      </w:pPr>
      <w:r w:rsidRPr="0058362B">
        <w:rPr>
          <w:rFonts w:cstheme="minorHAnsi"/>
        </w:rPr>
        <w:t xml:space="preserve">For </w:t>
      </w:r>
      <w:r>
        <w:rPr>
          <w:rFonts w:cstheme="minorHAnsi"/>
        </w:rPr>
        <w:t>access to and submission of data, researchers</w:t>
      </w:r>
      <w:r w:rsidRPr="0058362B">
        <w:rPr>
          <w:rFonts w:cstheme="minorHAnsi"/>
        </w:rPr>
        <w:t xml:space="preserve"> are both</w:t>
      </w:r>
      <w:r>
        <w:rPr>
          <w:rFonts w:cstheme="minorHAnsi"/>
        </w:rPr>
        <w:t xml:space="preserve"> NIH</w:t>
      </w:r>
      <w:r w:rsidRPr="0058362B">
        <w:rPr>
          <w:rFonts w:cstheme="minorHAnsi"/>
        </w:rPr>
        <w:t xml:space="preserve">-funded </w:t>
      </w:r>
      <w:r>
        <w:rPr>
          <w:rFonts w:cstheme="minorHAnsi"/>
        </w:rPr>
        <w:t>and</w:t>
      </w:r>
      <w:r w:rsidRPr="0058362B">
        <w:rPr>
          <w:rFonts w:cstheme="minorHAnsi"/>
        </w:rPr>
        <w:t xml:space="preserve"> non-</w:t>
      </w:r>
      <w:r>
        <w:rPr>
          <w:rFonts w:cstheme="minorHAnsi"/>
        </w:rPr>
        <w:t>NIH</w:t>
      </w:r>
      <w:r w:rsidRPr="0058362B">
        <w:rPr>
          <w:rFonts w:cstheme="minorHAnsi"/>
        </w:rPr>
        <w:t>-funded investigators</w:t>
      </w:r>
      <w:r>
        <w:rPr>
          <w:rFonts w:cstheme="minorHAnsi"/>
        </w:rPr>
        <w:t>.  M</w:t>
      </w:r>
      <w:r w:rsidRPr="0058362B">
        <w:rPr>
          <w:rFonts w:cstheme="minorHAnsi"/>
        </w:rPr>
        <w:t>aking the</w:t>
      </w:r>
      <w:r>
        <w:rPr>
          <w:rFonts w:cstheme="minorHAnsi"/>
        </w:rPr>
        <w:t>se researcher’s</w:t>
      </w:r>
      <w:r w:rsidRPr="0058362B">
        <w:rPr>
          <w:rFonts w:cstheme="minorHAnsi"/>
        </w:rPr>
        <w:t xml:space="preserve"> names available is an important ethical underpinning of the NIH GDS Policy as it allows NIH to be transparent in informing research participants, the scientific community, and the public on how data are being shared, with whom, and for what research purpose in addition to foster</w:t>
      </w:r>
      <w:r>
        <w:rPr>
          <w:rFonts w:cstheme="minorHAnsi"/>
        </w:rPr>
        <w:t>ing</w:t>
      </w:r>
      <w:r w:rsidRPr="0058362B">
        <w:rPr>
          <w:rFonts w:cstheme="minorHAnsi"/>
        </w:rPr>
        <w:t xml:space="preserve"> future research collaborations. </w:t>
      </w:r>
    </w:p>
    <w:p w:rsidRPr="0058362B" w:rsidR="002A3B68" w:rsidP="002A3B68" w:rsidRDefault="002A3B68" w14:paraId="442E14D7" w14:textId="77777777">
      <w:pPr>
        <w:spacing w:after="0"/>
        <w:rPr>
          <w:rFonts w:cstheme="minorHAnsi"/>
        </w:rPr>
      </w:pPr>
    </w:p>
    <w:p w:rsidRPr="0058362B" w:rsidR="002A3B68" w:rsidP="002A3B68" w:rsidRDefault="002A3B68" w14:paraId="36E259D7" w14:textId="54D02BF0">
      <w:pPr>
        <w:spacing w:after="0"/>
        <w:rPr>
          <w:rFonts w:cstheme="minorHAnsi"/>
        </w:rPr>
      </w:pPr>
      <w:r w:rsidRPr="0058362B">
        <w:rPr>
          <w:rFonts w:cstheme="minorHAnsi"/>
        </w:rPr>
        <w:t xml:space="preserve">The names and institutional affiliations of the </w:t>
      </w:r>
      <w:r>
        <w:rPr>
          <w:rFonts w:cstheme="minorHAnsi"/>
        </w:rPr>
        <w:t>researchers</w:t>
      </w:r>
      <w:r w:rsidRPr="0058362B">
        <w:rPr>
          <w:rFonts w:cstheme="minorHAnsi"/>
        </w:rPr>
        <w:t xml:space="preserve"> (both data submitters and data requesters) may be posted publicly on a website</w:t>
      </w:r>
      <w:r w:rsidR="005A3C56">
        <w:rPr>
          <w:rFonts w:cstheme="minorHAnsi"/>
        </w:rPr>
        <w:t>. Thus</w:t>
      </w:r>
      <w:r w:rsidRPr="0058362B">
        <w:rPr>
          <w:rFonts w:cstheme="minorHAnsi"/>
        </w:rPr>
        <w:t xml:space="preserve"> there is no assurance of confidentiality afforded to the res</w:t>
      </w:r>
      <w:r>
        <w:rPr>
          <w:rFonts w:cstheme="minorHAnsi"/>
        </w:rPr>
        <w:t>earchers</w:t>
      </w:r>
      <w:r w:rsidRPr="0058362B">
        <w:rPr>
          <w:rFonts w:cstheme="minorHAnsi"/>
        </w:rPr>
        <w:t xml:space="preserve">.  However, it is </w:t>
      </w:r>
      <w:r w:rsidR="00234C54">
        <w:rPr>
          <w:rFonts w:cstheme="minorHAnsi"/>
        </w:rPr>
        <w:t>essential</w:t>
      </w:r>
      <w:r w:rsidRPr="0058362B">
        <w:rPr>
          <w:rFonts w:cstheme="minorHAnsi"/>
        </w:rPr>
        <w:t xml:space="preserve"> to emphasize that no personal information is requested from </w:t>
      </w:r>
      <w:r>
        <w:rPr>
          <w:rFonts w:cstheme="minorHAnsi"/>
        </w:rPr>
        <w:t>researcher</w:t>
      </w:r>
      <w:r w:rsidRPr="0058362B">
        <w:rPr>
          <w:rFonts w:cstheme="minorHAnsi"/>
        </w:rPr>
        <w:t xml:space="preserve">s submitting or accessing data beyond their name and institutional affiliation. Data submitters are largely NIH-funded investigators whose </w:t>
      </w:r>
      <w:r w:rsidRPr="0058362B">
        <w:rPr>
          <w:rFonts w:cstheme="minorHAnsi"/>
        </w:rPr>
        <w:lastRenderedPageBreak/>
        <w:t>names and institutional affiliations are already a matter of public record.  All information will be kept secure to the extent allowable by law</w:t>
      </w:r>
      <w:r>
        <w:rPr>
          <w:rFonts w:cstheme="minorHAnsi"/>
        </w:rPr>
        <w:t>.</w:t>
      </w:r>
    </w:p>
    <w:p w:rsidR="002A3B68" w:rsidP="002A3B68" w:rsidRDefault="002A3B68" w14:paraId="249D6FDD" w14:textId="77777777">
      <w:pPr>
        <w:spacing w:after="0"/>
        <w:rPr>
          <w:rFonts w:cstheme="minorHAnsi"/>
        </w:rPr>
      </w:pPr>
    </w:p>
    <w:p w:rsidR="002A3B68" w:rsidP="002A3B68" w:rsidRDefault="002A3B68" w14:paraId="46D93432" w14:textId="663D0361">
      <w:pPr>
        <w:pStyle w:val="P1-StandPara"/>
        <w:tabs>
          <w:tab w:val="left" w:pos="720"/>
          <w:tab w:val="right" w:leader="dot" w:pos="9504"/>
        </w:tabs>
        <w:spacing w:line="276" w:lineRule="auto"/>
        <w:ind w:firstLine="0"/>
        <w:rPr>
          <w:rFonts w:asciiTheme="minorHAnsi" w:hAnsiTheme="minorHAnsi" w:cstheme="minorHAnsi"/>
        </w:rPr>
      </w:pPr>
      <w:r w:rsidRPr="007E374B">
        <w:rPr>
          <w:rFonts w:asciiTheme="minorHAnsi" w:hAnsiTheme="minorHAnsi" w:cstheme="minorHAnsi"/>
        </w:rPr>
        <w:t>The Privacy Act is applicable as determined by the NIH Privacy Officer in the Privacy Act Memo (</w:t>
      </w:r>
      <w:r w:rsidRPr="009B30A9">
        <w:rPr>
          <w:rFonts w:asciiTheme="minorHAnsi" w:hAnsiTheme="minorHAnsi" w:cstheme="minorHAnsi"/>
          <w:b/>
          <w:bCs/>
        </w:rPr>
        <w:t xml:space="preserve">Attachment </w:t>
      </w:r>
      <w:r>
        <w:rPr>
          <w:rFonts w:asciiTheme="minorHAnsi" w:hAnsiTheme="minorHAnsi" w:cstheme="minorHAnsi"/>
          <w:b/>
          <w:bCs/>
        </w:rPr>
        <w:t>1</w:t>
      </w:r>
      <w:r w:rsidR="0057530B">
        <w:rPr>
          <w:rFonts w:asciiTheme="minorHAnsi" w:hAnsiTheme="minorHAnsi" w:cstheme="minorHAnsi"/>
          <w:b/>
          <w:bCs/>
        </w:rPr>
        <w:t>2</w:t>
      </w:r>
      <w:r w:rsidRPr="007E374B">
        <w:rPr>
          <w:rFonts w:asciiTheme="minorHAnsi" w:hAnsiTheme="minorHAnsi" w:cstheme="minorHAnsi"/>
        </w:rPr>
        <w:t>). This data collection is covered by the following Privacy Act System of Records</w:t>
      </w:r>
      <w:r>
        <w:rPr>
          <w:rFonts w:asciiTheme="minorHAnsi" w:hAnsiTheme="minorHAnsi" w:cstheme="minorHAnsi"/>
        </w:rPr>
        <w:t>:</w:t>
      </w:r>
    </w:p>
    <w:p w:rsidRPr="007E374B" w:rsidR="002A3B68" w:rsidP="002A3B68" w:rsidRDefault="002A3B68" w14:paraId="15B443E0" w14:textId="77777777">
      <w:pPr>
        <w:pStyle w:val="P1-StandPara"/>
        <w:tabs>
          <w:tab w:val="left" w:pos="720"/>
          <w:tab w:val="right" w:leader="dot" w:pos="9504"/>
        </w:tabs>
        <w:spacing w:line="276" w:lineRule="auto"/>
        <w:ind w:firstLine="0"/>
        <w:rPr>
          <w:rFonts w:asciiTheme="minorHAnsi" w:hAnsiTheme="minorHAnsi" w:cstheme="minorHAnsi"/>
        </w:rPr>
      </w:pPr>
    </w:p>
    <w:p w:rsidRPr="007E374B" w:rsidR="002A3B68" w:rsidP="002A3B68" w:rsidRDefault="002A3B68" w14:paraId="3F9C9675" w14:textId="77777777">
      <w:pPr>
        <w:pStyle w:val="P1-StandPara"/>
        <w:numPr>
          <w:ilvl w:val="0"/>
          <w:numId w:val="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09-25-0200, “Clinical, Basic and Population-based Research Studies of the National Institutes of</w:t>
      </w:r>
      <w:r>
        <w:rPr>
          <w:rFonts w:asciiTheme="minorHAnsi" w:hAnsiTheme="minorHAnsi" w:cstheme="minorHAnsi"/>
        </w:rPr>
        <w:t xml:space="preserve"> </w:t>
      </w:r>
      <w:r w:rsidRPr="007E374B">
        <w:rPr>
          <w:rFonts w:asciiTheme="minorHAnsi" w:hAnsiTheme="minorHAnsi" w:cstheme="minorHAnsi"/>
        </w:rPr>
        <w:t>Health (NIH), HHS/NIH/OD.”</w:t>
      </w:r>
    </w:p>
    <w:p w:rsidRPr="007E374B" w:rsidR="002A3B68" w:rsidP="002A3B68" w:rsidRDefault="002A3B68" w14:paraId="7544D52D" w14:textId="0CBFE34F">
      <w:pPr>
        <w:pStyle w:val="P1-StandPara"/>
        <w:numPr>
          <w:ilvl w:val="0"/>
          <w:numId w:val="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09-25-0036, “Extramural Awards and Chartered Advisory Committees (IMPAC 2)</w:t>
      </w:r>
      <w:r w:rsidR="005A3C56">
        <w:rPr>
          <w:rFonts w:asciiTheme="minorHAnsi" w:hAnsiTheme="minorHAnsi" w:cstheme="minorHAnsi"/>
        </w:rPr>
        <w:t>.</w:t>
      </w:r>
      <w:r w:rsidRPr="007E374B">
        <w:rPr>
          <w:rFonts w:asciiTheme="minorHAnsi" w:hAnsiTheme="minorHAnsi" w:cstheme="minorHAnsi"/>
        </w:rPr>
        <w:t>”</w:t>
      </w:r>
    </w:p>
    <w:p w:rsidR="002A3B68" w:rsidP="002A3B68" w:rsidRDefault="002A3B68" w14:paraId="6CB314E8" w14:textId="388014A8">
      <w:pPr>
        <w:pStyle w:val="P1-StandPara"/>
        <w:numPr>
          <w:ilvl w:val="0"/>
          <w:numId w:val="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09-90-1401, “Records About Restricted Dataset Requesters</w:t>
      </w:r>
      <w:r w:rsidR="005A3C56">
        <w:rPr>
          <w:rFonts w:asciiTheme="minorHAnsi" w:hAnsiTheme="minorHAnsi" w:cstheme="minorHAnsi"/>
        </w:rPr>
        <w:t>.</w:t>
      </w:r>
      <w:r w:rsidRPr="007E374B">
        <w:rPr>
          <w:rFonts w:asciiTheme="minorHAnsi" w:hAnsiTheme="minorHAnsi" w:cstheme="minorHAnsi"/>
        </w:rPr>
        <w:t>”</w:t>
      </w:r>
    </w:p>
    <w:p w:rsidR="002A3B68" w:rsidP="002A3B68" w:rsidRDefault="002A3B68" w14:paraId="2D360856" w14:textId="77777777">
      <w:pPr>
        <w:spacing w:after="0"/>
      </w:pPr>
    </w:p>
    <w:p w:rsidR="002A3B68" w:rsidP="002A3B68" w:rsidRDefault="002A3B68" w14:paraId="2DC459F9" w14:textId="48ADE1E8">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There is no assurance of confidentiality provided to the applicants</w:t>
      </w:r>
      <w:r w:rsidR="005A3C56">
        <w:rPr>
          <w:rFonts w:asciiTheme="minorHAnsi" w:hAnsiTheme="minorHAnsi" w:cstheme="minorHAnsi"/>
          <w:szCs w:val="22"/>
        </w:rPr>
        <w:t>. However</w:t>
      </w:r>
      <w:r>
        <w:rPr>
          <w:rFonts w:asciiTheme="minorHAnsi" w:hAnsiTheme="minorHAnsi" w:cstheme="minorHAnsi"/>
          <w:szCs w:val="22"/>
        </w:rPr>
        <w:t>,</w:t>
      </w:r>
      <w:r w:rsidRPr="00225BB0">
        <w:rPr>
          <w:rFonts w:asciiTheme="minorHAnsi" w:hAnsiTheme="minorHAnsi" w:cstheme="minorHAnsi"/>
          <w:szCs w:val="22"/>
        </w:rPr>
        <w:t xml:space="preserve"> their information will be kept private to the extent provided by law.</w:t>
      </w:r>
    </w:p>
    <w:p w:rsidRPr="002A3B68" w:rsidR="002A3B68" w:rsidP="00416298" w:rsidRDefault="002A3B68" w14:paraId="75DDE651" w14:textId="77777777">
      <w:pPr>
        <w:pStyle w:val="P1-StandPara"/>
        <w:spacing w:line="276" w:lineRule="auto"/>
        <w:ind w:firstLine="0"/>
        <w:rPr>
          <w:rFonts w:cstheme="minorHAnsi"/>
        </w:rPr>
      </w:pPr>
    </w:p>
    <w:p w:rsidRPr="00113647" w:rsidR="001D2741" w:rsidP="74EF96DA" w:rsidRDefault="001D2741" w14:paraId="7AC40A64" w14:textId="3B97D2A5">
      <w:pPr>
        <w:spacing w:after="20"/>
        <w:rPr>
          <w:b/>
          <w:bCs/>
        </w:rPr>
      </w:pPr>
      <w:r w:rsidRPr="74EF96DA">
        <w:rPr>
          <w:b/>
          <w:bCs/>
        </w:rPr>
        <w:t>A.11 Justification for Sensitive Questions</w:t>
      </w:r>
    </w:p>
    <w:p w:rsidRPr="003840D6" w:rsidR="003840D6" w:rsidP="003840D6" w:rsidRDefault="00853779" w14:paraId="0C4B0D2B" w14:textId="62314BF0">
      <w:pPr>
        <w:spacing w:after="20"/>
      </w:pPr>
      <w:r>
        <w:t xml:space="preserve">No sensitive </w:t>
      </w:r>
      <w:r w:rsidR="00D97221">
        <w:t xml:space="preserve">questions are asked in </w:t>
      </w:r>
      <w:r>
        <w:t>these forms.</w:t>
      </w:r>
    </w:p>
    <w:p w:rsidR="00063927" w:rsidP="003840D6" w:rsidRDefault="00063927" w14:paraId="34D2A840" w14:textId="0E4D5AB1">
      <w:pPr>
        <w:spacing w:after="20"/>
      </w:pPr>
    </w:p>
    <w:p w:rsidR="00D5287E" w:rsidP="003840D6" w:rsidRDefault="00E85DA0" w14:paraId="6F7D5AF0" w14:textId="1AD0100F">
      <w:pPr>
        <w:pStyle w:val="P1-StandPara"/>
        <w:spacing w:line="276" w:lineRule="auto"/>
        <w:ind w:firstLine="0"/>
        <w:rPr>
          <w:rFonts w:eastAsia="SimSun" w:asciiTheme="minorHAnsi" w:hAnsiTheme="minorHAnsi" w:cstheme="minorBidi"/>
          <w:b/>
          <w:szCs w:val="22"/>
        </w:rPr>
      </w:pPr>
      <w:r w:rsidRPr="00E85DA0">
        <w:rPr>
          <w:rFonts w:eastAsia="SimSun" w:asciiTheme="minorHAnsi" w:hAnsiTheme="minorHAnsi" w:cstheme="minorBidi"/>
          <w:b/>
          <w:szCs w:val="22"/>
        </w:rPr>
        <w:t>A.12</w:t>
      </w:r>
      <w:r w:rsidR="00416298">
        <w:rPr>
          <w:rFonts w:eastAsia="SimSun" w:asciiTheme="minorHAnsi" w:hAnsiTheme="minorHAnsi" w:cstheme="minorBidi"/>
          <w:b/>
          <w:szCs w:val="22"/>
        </w:rPr>
        <w:t>.1</w:t>
      </w:r>
      <w:r w:rsidRPr="00E85DA0">
        <w:rPr>
          <w:rFonts w:eastAsia="SimSun" w:asciiTheme="minorHAnsi" w:hAnsiTheme="minorHAnsi" w:cstheme="minorBidi"/>
          <w:b/>
          <w:szCs w:val="22"/>
        </w:rPr>
        <w:tab/>
      </w:r>
      <w:r w:rsidRPr="003840D6" w:rsidR="003840D6">
        <w:rPr>
          <w:rFonts w:eastAsia="SimSun" w:asciiTheme="minorHAnsi" w:hAnsiTheme="minorHAnsi" w:cstheme="minorBidi"/>
          <w:b/>
          <w:szCs w:val="22"/>
        </w:rPr>
        <w:t>Estimate</w:t>
      </w:r>
      <w:r w:rsidR="00416298">
        <w:rPr>
          <w:rFonts w:eastAsia="SimSun" w:asciiTheme="minorHAnsi" w:hAnsiTheme="minorHAnsi" w:cstheme="minorBidi"/>
          <w:b/>
          <w:szCs w:val="22"/>
        </w:rPr>
        <w:t>s</w:t>
      </w:r>
      <w:r w:rsidRPr="003840D6" w:rsidR="003840D6">
        <w:rPr>
          <w:rFonts w:eastAsia="SimSun" w:asciiTheme="minorHAnsi" w:hAnsiTheme="minorHAnsi" w:cstheme="minorBidi"/>
          <w:b/>
          <w:szCs w:val="22"/>
        </w:rPr>
        <w:t xml:space="preserve"> </w:t>
      </w:r>
      <w:r w:rsidR="00416298">
        <w:rPr>
          <w:rFonts w:eastAsia="SimSun" w:asciiTheme="minorHAnsi" w:hAnsiTheme="minorHAnsi" w:cstheme="minorBidi"/>
          <w:b/>
          <w:szCs w:val="22"/>
        </w:rPr>
        <w:t xml:space="preserve">of Hour Burden Including </w:t>
      </w:r>
      <w:r w:rsidRPr="003840D6" w:rsidR="003840D6">
        <w:rPr>
          <w:rFonts w:eastAsia="SimSun" w:asciiTheme="minorHAnsi" w:hAnsiTheme="minorHAnsi" w:cstheme="minorBidi"/>
          <w:b/>
          <w:szCs w:val="22"/>
        </w:rPr>
        <w:t xml:space="preserve">Annualized </w:t>
      </w:r>
      <w:r w:rsidR="00416298">
        <w:rPr>
          <w:rFonts w:eastAsia="SimSun" w:asciiTheme="minorHAnsi" w:hAnsiTheme="minorHAnsi" w:cstheme="minorBidi"/>
          <w:b/>
          <w:szCs w:val="22"/>
        </w:rPr>
        <w:t>Hourly Costs</w:t>
      </w:r>
    </w:p>
    <w:p w:rsidRPr="00701BF4" w:rsidR="00344B30" w:rsidP="00701BF4" w:rsidRDefault="00D5287E" w14:paraId="12D916ED" w14:textId="4521C07C">
      <w:pPr>
        <w:pStyle w:val="P1-StandPara"/>
        <w:spacing w:line="276" w:lineRule="auto"/>
        <w:ind w:firstLine="0"/>
        <w:rPr>
          <w:rFonts w:eastAsia="SimSun" w:asciiTheme="minorHAnsi" w:hAnsiTheme="minorHAnsi" w:cstheme="minorBidi"/>
          <w:bCs/>
          <w:szCs w:val="22"/>
        </w:rPr>
      </w:pPr>
      <w:r>
        <w:rPr>
          <w:rFonts w:eastAsia="SimSun" w:asciiTheme="minorHAnsi" w:hAnsiTheme="minorHAnsi" w:cstheme="minorBidi"/>
          <w:bCs/>
          <w:szCs w:val="22"/>
        </w:rPr>
        <w:t xml:space="preserve">The PDC and ICDC forms are anticipated to take 30 minutes, and the CDS form will take 60 minutes to complete.  The total annual burden hours </w:t>
      </w:r>
      <w:r w:rsidR="005A3C56">
        <w:rPr>
          <w:rFonts w:eastAsia="SimSun" w:asciiTheme="minorHAnsi" w:hAnsiTheme="minorHAnsi" w:cstheme="minorBidi"/>
          <w:bCs/>
          <w:szCs w:val="22"/>
        </w:rPr>
        <w:t>are</w:t>
      </w:r>
      <w:r>
        <w:rPr>
          <w:rFonts w:eastAsia="SimSun" w:asciiTheme="minorHAnsi" w:hAnsiTheme="minorHAnsi" w:cstheme="minorBidi"/>
          <w:bCs/>
          <w:szCs w:val="22"/>
        </w:rPr>
        <w:t xml:space="preserve"> </w:t>
      </w:r>
      <w:r w:rsidR="005A3C56">
        <w:rPr>
          <w:rFonts w:eastAsia="SimSun" w:asciiTheme="minorHAnsi" w:hAnsiTheme="minorHAnsi" w:cstheme="minorBidi"/>
          <w:bCs/>
          <w:szCs w:val="22"/>
        </w:rPr>
        <w:t>expected</w:t>
      </w:r>
      <w:r>
        <w:rPr>
          <w:rFonts w:eastAsia="SimSun" w:asciiTheme="minorHAnsi" w:hAnsiTheme="minorHAnsi" w:cstheme="minorBidi"/>
          <w:bCs/>
          <w:szCs w:val="22"/>
        </w:rPr>
        <w:t xml:space="preserve"> to be </w:t>
      </w:r>
      <w:r w:rsidR="004C7A53">
        <w:rPr>
          <w:rFonts w:eastAsia="SimSun" w:asciiTheme="minorHAnsi" w:hAnsiTheme="minorHAnsi" w:cstheme="minorBidi"/>
          <w:bCs/>
          <w:szCs w:val="22"/>
        </w:rPr>
        <w:t>180</w:t>
      </w:r>
      <w:r w:rsidR="005A3C56">
        <w:rPr>
          <w:rFonts w:eastAsia="SimSun" w:asciiTheme="minorHAnsi" w:hAnsiTheme="minorHAnsi" w:cstheme="minorBidi"/>
          <w:bCs/>
          <w:szCs w:val="22"/>
        </w:rPr>
        <w:t>, with</w:t>
      </w:r>
      <w:r w:rsidR="0008728D">
        <w:rPr>
          <w:rFonts w:eastAsia="SimSun" w:asciiTheme="minorHAnsi" w:hAnsiTheme="minorHAnsi" w:cstheme="minorBidi"/>
          <w:bCs/>
          <w:szCs w:val="22"/>
        </w:rPr>
        <w:t xml:space="preserve"> an estimated cost to the respondents of $9,888.</w:t>
      </w:r>
    </w:p>
    <w:p w:rsidRPr="003840D6" w:rsidR="00AE3015" w:rsidP="003840D6" w:rsidRDefault="00AE3015" w14:paraId="5B21607A" w14:textId="5972594F">
      <w:pPr>
        <w:spacing w:after="0"/>
        <w:jc w:val="center"/>
        <w:rPr>
          <w:b/>
          <w:bCs/>
        </w:rPr>
      </w:pPr>
      <w:r>
        <w:br/>
      </w:r>
      <w:r w:rsidRPr="003840D6">
        <w:rPr>
          <w:b/>
          <w:bCs/>
        </w:rPr>
        <w:t>A.12-1 Estimated Annualized Burden Hours</w:t>
      </w:r>
    </w:p>
    <w:p w:rsidRPr="00AE3015" w:rsidR="00403366" w:rsidP="003840D6" w:rsidRDefault="00403366" w14:paraId="6D002180" w14:textId="77777777">
      <w:pPr>
        <w:spacing w:after="0"/>
        <w:jc w:val="center"/>
      </w:pPr>
    </w:p>
    <w:tbl>
      <w:tblPr>
        <w:tblW w:w="9892" w:type="dxa"/>
        <w:jc w:val="center"/>
        <w:tblLayout w:type="fixed"/>
        <w:tblCellMar>
          <w:left w:w="100" w:type="dxa"/>
          <w:right w:w="100" w:type="dxa"/>
        </w:tblCellMar>
        <w:tblLook w:val="0000" w:firstRow="0" w:lastRow="0" w:firstColumn="0" w:lastColumn="0" w:noHBand="0" w:noVBand="0"/>
      </w:tblPr>
      <w:tblGrid>
        <w:gridCol w:w="2520"/>
        <w:gridCol w:w="1342"/>
        <w:gridCol w:w="1440"/>
        <w:gridCol w:w="1530"/>
        <w:gridCol w:w="1530"/>
        <w:gridCol w:w="1530"/>
      </w:tblGrid>
      <w:tr w:rsidRPr="00132699" w:rsidR="00AE3015" w:rsidTr="002572A9" w14:paraId="31A34191" w14:textId="77777777">
        <w:trPr>
          <w:cantSplit/>
          <w:trHeight w:val="372"/>
          <w:jc w:val="center"/>
        </w:trPr>
        <w:tc>
          <w:tcPr>
            <w:tcW w:w="2520" w:type="dxa"/>
            <w:tcBorders>
              <w:top w:val="single" w:color="auto" w:sz="6" w:space="0"/>
              <w:left w:val="single" w:color="auto" w:sz="6" w:space="0"/>
            </w:tcBorders>
            <w:vAlign w:val="center"/>
          </w:tcPr>
          <w:p w:rsidRPr="000467DC" w:rsidR="00AE3015" w:rsidP="003840D6" w:rsidRDefault="00AE3015" w14:paraId="66C4A214" w14:textId="77777777">
            <w:pPr>
              <w:spacing w:after="0" w:line="240" w:lineRule="auto"/>
              <w:jc w:val="center"/>
              <w:rPr>
                <w:b/>
                <w:bCs/>
              </w:rPr>
            </w:pPr>
            <w:r w:rsidRPr="000467DC">
              <w:rPr>
                <w:b/>
                <w:bCs/>
              </w:rPr>
              <w:t>Form Name</w:t>
            </w:r>
          </w:p>
        </w:tc>
        <w:tc>
          <w:tcPr>
            <w:tcW w:w="1342" w:type="dxa"/>
            <w:tcBorders>
              <w:top w:val="single" w:color="auto" w:sz="6" w:space="0"/>
              <w:left w:val="single" w:color="auto" w:sz="6" w:space="0"/>
            </w:tcBorders>
            <w:vAlign w:val="center"/>
          </w:tcPr>
          <w:p w:rsidRPr="000467DC" w:rsidR="00AE3015" w:rsidP="003840D6" w:rsidRDefault="00AE3015" w14:paraId="208AD7D2" w14:textId="77777777">
            <w:pPr>
              <w:spacing w:after="0" w:line="240" w:lineRule="auto"/>
              <w:jc w:val="center"/>
              <w:rPr>
                <w:b/>
                <w:bCs/>
              </w:rPr>
            </w:pPr>
            <w:r w:rsidRPr="000467DC">
              <w:rPr>
                <w:b/>
                <w:bCs/>
              </w:rPr>
              <w:t>Type of Respondent</w:t>
            </w:r>
          </w:p>
        </w:tc>
        <w:tc>
          <w:tcPr>
            <w:tcW w:w="1440" w:type="dxa"/>
            <w:tcBorders>
              <w:top w:val="single" w:color="auto" w:sz="6" w:space="0"/>
              <w:left w:val="single" w:color="auto" w:sz="6" w:space="0"/>
            </w:tcBorders>
            <w:vAlign w:val="center"/>
          </w:tcPr>
          <w:p w:rsidRPr="000467DC" w:rsidR="00AE3015" w:rsidP="003840D6" w:rsidRDefault="00AE3015" w14:paraId="0986651D" w14:textId="77777777">
            <w:pPr>
              <w:spacing w:after="0" w:line="240" w:lineRule="auto"/>
              <w:jc w:val="center"/>
              <w:rPr>
                <w:b/>
                <w:bCs/>
              </w:rPr>
            </w:pPr>
            <w:r w:rsidRPr="000467DC">
              <w:rPr>
                <w:b/>
                <w:bCs/>
              </w:rPr>
              <w:t>Number of Respondents</w:t>
            </w:r>
          </w:p>
        </w:tc>
        <w:tc>
          <w:tcPr>
            <w:tcW w:w="1530" w:type="dxa"/>
            <w:tcBorders>
              <w:top w:val="single" w:color="auto" w:sz="6" w:space="0"/>
              <w:left w:val="single" w:color="auto" w:sz="6" w:space="0"/>
            </w:tcBorders>
            <w:vAlign w:val="center"/>
          </w:tcPr>
          <w:p w:rsidRPr="000467DC" w:rsidR="00AE3015" w:rsidP="003840D6" w:rsidRDefault="00AE3015" w14:paraId="03E1CA81" w14:textId="77777777">
            <w:pPr>
              <w:spacing w:after="0" w:line="240" w:lineRule="auto"/>
              <w:jc w:val="center"/>
              <w:rPr>
                <w:b/>
                <w:bCs/>
              </w:rPr>
            </w:pPr>
            <w:r w:rsidRPr="000467DC">
              <w:rPr>
                <w:b/>
                <w:bCs/>
              </w:rPr>
              <w:t>Number of Responses per Respondent</w:t>
            </w:r>
          </w:p>
        </w:tc>
        <w:tc>
          <w:tcPr>
            <w:tcW w:w="1530" w:type="dxa"/>
            <w:tcBorders>
              <w:top w:val="single" w:color="auto" w:sz="6" w:space="0"/>
              <w:left w:val="single" w:color="auto" w:sz="6" w:space="0"/>
            </w:tcBorders>
            <w:vAlign w:val="center"/>
          </w:tcPr>
          <w:p w:rsidRPr="000467DC" w:rsidR="00AE3015" w:rsidP="003840D6" w:rsidRDefault="00AE3015" w14:paraId="0822567D" w14:textId="77777777">
            <w:pPr>
              <w:spacing w:after="0" w:line="240" w:lineRule="auto"/>
              <w:jc w:val="center"/>
              <w:rPr>
                <w:b/>
                <w:bCs/>
              </w:rPr>
            </w:pPr>
            <w:r w:rsidRPr="000467DC">
              <w:rPr>
                <w:b/>
                <w:bCs/>
              </w:rPr>
              <w:t>Average Time Per Response</w:t>
            </w:r>
          </w:p>
          <w:p w:rsidRPr="000467DC" w:rsidR="00AE3015" w:rsidP="003840D6" w:rsidRDefault="00AE3015" w14:paraId="285C9F8D" w14:textId="77777777">
            <w:pPr>
              <w:spacing w:after="0" w:line="240" w:lineRule="auto"/>
              <w:jc w:val="center"/>
              <w:rPr>
                <w:b/>
                <w:bCs/>
              </w:rPr>
            </w:pPr>
            <w:r w:rsidRPr="000467DC">
              <w:rPr>
                <w:b/>
                <w:bCs/>
              </w:rPr>
              <w:t>(in hours)</w:t>
            </w:r>
          </w:p>
        </w:tc>
        <w:tc>
          <w:tcPr>
            <w:tcW w:w="1530" w:type="dxa"/>
            <w:tcBorders>
              <w:top w:val="single" w:color="auto" w:sz="6" w:space="0"/>
              <w:left w:val="single" w:color="auto" w:sz="6" w:space="0"/>
              <w:right w:val="single" w:color="auto" w:sz="6" w:space="0"/>
            </w:tcBorders>
            <w:vAlign w:val="center"/>
          </w:tcPr>
          <w:p w:rsidRPr="000467DC" w:rsidR="00AE3015" w:rsidP="003840D6" w:rsidRDefault="00AE3015" w14:paraId="0461A929" w14:textId="77777777">
            <w:pPr>
              <w:spacing w:after="0" w:line="240" w:lineRule="auto"/>
              <w:jc w:val="center"/>
              <w:rPr>
                <w:b/>
                <w:bCs/>
              </w:rPr>
            </w:pPr>
            <w:r w:rsidRPr="000467DC">
              <w:rPr>
                <w:b/>
                <w:bCs/>
              </w:rPr>
              <w:t>Total Annual Burden Hours</w:t>
            </w:r>
          </w:p>
        </w:tc>
      </w:tr>
      <w:tr w:rsidRPr="00132699" w:rsidR="00AE3015" w:rsidTr="002572A9" w14:paraId="1E325AE5" w14:textId="77777777">
        <w:trPr>
          <w:cantSplit/>
          <w:trHeight w:val="372"/>
          <w:jc w:val="center"/>
        </w:trPr>
        <w:tc>
          <w:tcPr>
            <w:tcW w:w="2520" w:type="dxa"/>
            <w:tcBorders>
              <w:top w:val="single" w:color="auto" w:sz="6" w:space="0"/>
              <w:left w:val="single" w:color="auto" w:sz="6" w:space="0"/>
            </w:tcBorders>
          </w:tcPr>
          <w:p w:rsidRPr="004C7A53" w:rsidR="00AE3015" w:rsidP="0075744B" w:rsidRDefault="0097341B" w14:paraId="5F172FF1" w14:textId="224A5DAC">
            <w:pPr>
              <w:spacing w:after="0"/>
            </w:pPr>
            <w:r w:rsidRPr="004C7A53">
              <w:t xml:space="preserve">PDC – </w:t>
            </w:r>
            <w:r w:rsidRPr="004C7A53" w:rsidR="00D03DC6">
              <w:t>Data Submission</w:t>
            </w:r>
            <w:r w:rsidRPr="004C7A53" w:rsidR="0075744B">
              <w:t xml:space="preserve"> – Attachment 1</w:t>
            </w:r>
          </w:p>
        </w:tc>
        <w:tc>
          <w:tcPr>
            <w:tcW w:w="1342" w:type="dxa"/>
            <w:tcBorders>
              <w:top w:val="single" w:color="auto" w:sz="6" w:space="0"/>
              <w:left w:val="single" w:color="auto" w:sz="6" w:space="0"/>
            </w:tcBorders>
          </w:tcPr>
          <w:p w:rsidRPr="004C7A53" w:rsidR="00AE3015" w:rsidP="003840D6" w:rsidRDefault="00D03DC6" w14:paraId="17970958" w14:textId="79C469FC">
            <w:pPr>
              <w:spacing w:after="0"/>
            </w:pPr>
            <w:r w:rsidRPr="004C7A53">
              <w:t>Individuals</w:t>
            </w:r>
          </w:p>
        </w:tc>
        <w:tc>
          <w:tcPr>
            <w:tcW w:w="1440" w:type="dxa"/>
            <w:tcBorders>
              <w:top w:val="single" w:color="auto" w:sz="6" w:space="0"/>
              <w:left w:val="single" w:color="auto" w:sz="6" w:space="0"/>
            </w:tcBorders>
          </w:tcPr>
          <w:p w:rsidRPr="004C7A53" w:rsidR="00AE3015" w:rsidP="003840D6" w:rsidRDefault="0097341B" w14:paraId="184E31D0" w14:textId="03A334CF">
            <w:pPr>
              <w:spacing w:after="0"/>
              <w:jc w:val="center"/>
            </w:pPr>
            <w:r w:rsidRPr="004C7A53">
              <w:t>60</w:t>
            </w:r>
          </w:p>
        </w:tc>
        <w:tc>
          <w:tcPr>
            <w:tcW w:w="1530" w:type="dxa"/>
            <w:tcBorders>
              <w:top w:val="single" w:color="auto" w:sz="6" w:space="0"/>
              <w:left w:val="single" w:color="auto" w:sz="6" w:space="0"/>
            </w:tcBorders>
          </w:tcPr>
          <w:p w:rsidRPr="006C6010" w:rsidR="00EF72AE" w:rsidP="00344B30" w:rsidRDefault="00321FAE" w14:paraId="0AD9BEEC" w14:textId="3AE22BE4">
            <w:pPr>
              <w:spacing w:after="0"/>
              <w:jc w:val="center"/>
            </w:pPr>
            <w:r w:rsidRPr="006C6010">
              <w:t xml:space="preserve"> </w:t>
            </w:r>
            <w:r w:rsidRPr="006C6010" w:rsidR="00D3798C">
              <w:t>1</w:t>
            </w:r>
          </w:p>
        </w:tc>
        <w:tc>
          <w:tcPr>
            <w:tcW w:w="1530" w:type="dxa"/>
            <w:tcBorders>
              <w:top w:val="single" w:color="auto" w:sz="6" w:space="0"/>
              <w:left w:val="single" w:color="auto" w:sz="6" w:space="0"/>
            </w:tcBorders>
          </w:tcPr>
          <w:p w:rsidRPr="004C7A53" w:rsidR="00AE3015" w:rsidP="003840D6" w:rsidRDefault="0097341B" w14:paraId="5E7E2CB7" w14:textId="5F14E3FD">
            <w:pPr>
              <w:spacing w:after="0"/>
              <w:jc w:val="center"/>
            </w:pPr>
            <w:r w:rsidRPr="004C7A53">
              <w:t>3</w:t>
            </w:r>
            <w:r w:rsidRPr="004C7A53" w:rsidR="00D03DC6">
              <w:t>0/60</w:t>
            </w:r>
            <w:r w:rsidRPr="004C7A53" w:rsidR="00321FAE">
              <w:t xml:space="preserve"> </w:t>
            </w:r>
          </w:p>
        </w:tc>
        <w:tc>
          <w:tcPr>
            <w:tcW w:w="1530" w:type="dxa"/>
            <w:tcBorders>
              <w:top w:val="single" w:color="auto" w:sz="6" w:space="0"/>
              <w:left w:val="single" w:color="auto" w:sz="6" w:space="0"/>
              <w:right w:val="single" w:color="auto" w:sz="6" w:space="0"/>
            </w:tcBorders>
          </w:tcPr>
          <w:p w:rsidRPr="004C7A53" w:rsidR="00AE3015" w:rsidP="003840D6" w:rsidRDefault="00321FAE" w14:paraId="29863F2D" w14:textId="11BA9CC7">
            <w:pPr>
              <w:spacing w:after="0"/>
              <w:jc w:val="center"/>
            </w:pPr>
            <w:r w:rsidRPr="004C7A53">
              <w:t xml:space="preserve"> </w:t>
            </w:r>
            <w:r w:rsidR="00D3798C">
              <w:t>30</w:t>
            </w:r>
          </w:p>
        </w:tc>
      </w:tr>
      <w:tr w:rsidRPr="00132699" w:rsidR="00D03DC6" w:rsidTr="002572A9" w14:paraId="7DD8CEC3" w14:textId="77777777">
        <w:trPr>
          <w:cantSplit/>
          <w:trHeight w:val="372"/>
          <w:jc w:val="center"/>
        </w:trPr>
        <w:tc>
          <w:tcPr>
            <w:tcW w:w="2520" w:type="dxa"/>
            <w:tcBorders>
              <w:top w:val="single" w:color="auto" w:sz="6" w:space="0"/>
              <w:left w:val="single" w:color="auto" w:sz="6" w:space="0"/>
            </w:tcBorders>
          </w:tcPr>
          <w:p w:rsidRPr="004C7A53" w:rsidR="00D03DC6" w:rsidP="0075744B" w:rsidRDefault="0097341B" w14:paraId="15185B47" w14:textId="6ECFCD55">
            <w:pPr>
              <w:spacing w:after="0"/>
            </w:pPr>
            <w:r w:rsidRPr="004C7A53">
              <w:t>CDS – Data Submission</w:t>
            </w:r>
            <w:r w:rsidRPr="004C7A53" w:rsidR="0075744B">
              <w:t xml:space="preserve"> – Attachment 3</w:t>
            </w:r>
          </w:p>
        </w:tc>
        <w:tc>
          <w:tcPr>
            <w:tcW w:w="1342" w:type="dxa"/>
            <w:tcBorders>
              <w:top w:val="single" w:color="auto" w:sz="6" w:space="0"/>
              <w:left w:val="single" w:color="auto" w:sz="6" w:space="0"/>
            </w:tcBorders>
          </w:tcPr>
          <w:p w:rsidRPr="004C7A53" w:rsidR="00D03DC6" w:rsidP="003840D6" w:rsidRDefault="00D03DC6" w14:paraId="62726990" w14:textId="24FFD0CA">
            <w:pPr>
              <w:spacing w:after="0"/>
            </w:pPr>
            <w:r w:rsidRPr="004C7A53">
              <w:t>Individuals</w:t>
            </w:r>
          </w:p>
        </w:tc>
        <w:tc>
          <w:tcPr>
            <w:tcW w:w="1440" w:type="dxa"/>
            <w:tcBorders>
              <w:top w:val="single" w:color="auto" w:sz="6" w:space="0"/>
              <w:left w:val="single" w:color="auto" w:sz="6" w:space="0"/>
            </w:tcBorders>
          </w:tcPr>
          <w:p w:rsidRPr="004C7A53" w:rsidR="00D03DC6" w:rsidP="74EF96DA" w:rsidRDefault="74EF96DA" w14:paraId="5A48B10C" w14:textId="0755B5C5">
            <w:pPr>
              <w:spacing w:after="0"/>
              <w:jc w:val="center"/>
            </w:pPr>
            <w:r w:rsidRPr="004C7A53">
              <w:t>60</w:t>
            </w:r>
          </w:p>
        </w:tc>
        <w:tc>
          <w:tcPr>
            <w:tcW w:w="1530" w:type="dxa"/>
            <w:tcBorders>
              <w:top w:val="single" w:color="auto" w:sz="6" w:space="0"/>
              <w:left w:val="single" w:color="auto" w:sz="6" w:space="0"/>
            </w:tcBorders>
          </w:tcPr>
          <w:p w:rsidRPr="006C6010" w:rsidR="00D03DC6" w:rsidP="003840D6" w:rsidRDefault="0097341B" w14:paraId="31BCFD3D" w14:textId="52A4D0FC">
            <w:pPr>
              <w:spacing w:after="0"/>
              <w:jc w:val="center"/>
            </w:pPr>
            <w:r w:rsidRPr="006C6010">
              <w:t>1</w:t>
            </w:r>
          </w:p>
        </w:tc>
        <w:tc>
          <w:tcPr>
            <w:tcW w:w="1530" w:type="dxa"/>
            <w:tcBorders>
              <w:top w:val="single" w:color="auto" w:sz="6" w:space="0"/>
              <w:left w:val="single" w:color="auto" w:sz="6" w:space="0"/>
            </w:tcBorders>
          </w:tcPr>
          <w:p w:rsidRPr="004C7A53" w:rsidR="00D03DC6" w:rsidP="003840D6" w:rsidRDefault="0097341B" w14:paraId="3A4BEBDF" w14:textId="656BF350">
            <w:pPr>
              <w:spacing w:after="0"/>
              <w:jc w:val="center"/>
            </w:pPr>
            <w:r w:rsidRPr="004C7A53">
              <w:t>60</w:t>
            </w:r>
            <w:r w:rsidRPr="004C7A53" w:rsidR="00D03DC6">
              <w:t>/60</w:t>
            </w:r>
          </w:p>
        </w:tc>
        <w:tc>
          <w:tcPr>
            <w:tcW w:w="1530" w:type="dxa"/>
            <w:tcBorders>
              <w:top w:val="single" w:color="auto" w:sz="6" w:space="0"/>
              <w:left w:val="single" w:color="auto" w:sz="6" w:space="0"/>
              <w:right w:val="single" w:color="auto" w:sz="6" w:space="0"/>
            </w:tcBorders>
          </w:tcPr>
          <w:p w:rsidRPr="004C7A53" w:rsidR="00D03DC6" w:rsidP="74EF96DA" w:rsidRDefault="74EF96DA" w14:paraId="0DA49445" w14:textId="65D6EF70">
            <w:pPr>
              <w:spacing w:after="0"/>
              <w:jc w:val="center"/>
            </w:pPr>
            <w:r w:rsidRPr="004C7A53">
              <w:t>60</w:t>
            </w:r>
          </w:p>
        </w:tc>
      </w:tr>
      <w:tr w:rsidRPr="00132699" w:rsidR="0097341B" w:rsidTr="002572A9" w14:paraId="470B4ECD" w14:textId="77777777">
        <w:trPr>
          <w:cantSplit/>
          <w:trHeight w:val="372"/>
          <w:jc w:val="center"/>
        </w:trPr>
        <w:tc>
          <w:tcPr>
            <w:tcW w:w="2520" w:type="dxa"/>
            <w:tcBorders>
              <w:top w:val="single" w:color="auto" w:sz="6" w:space="0"/>
              <w:left w:val="single" w:color="auto" w:sz="6" w:space="0"/>
            </w:tcBorders>
          </w:tcPr>
          <w:p w:rsidRPr="004C7A53" w:rsidR="0097341B" w:rsidP="0075744B" w:rsidRDefault="0097341B" w14:paraId="6CED4550" w14:textId="0268C638">
            <w:pPr>
              <w:spacing w:after="0"/>
            </w:pPr>
            <w:r w:rsidRPr="004C7A53">
              <w:t>ICDC – Data Submission</w:t>
            </w:r>
            <w:r w:rsidRPr="004C7A53" w:rsidR="0075744B">
              <w:t xml:space="preserve"> – Attachment 4</w:t>
            </w:r>
          </w:p>
        </w:tc>
        <w:tc>
          <w:tcPr>
            <w:tcW w:w="1342" w:type="dxa"/>
            <w:tcBorders>
              <w:top w:val="single" w:color="auto" w:sz="6" w:space="0"/>
              <w:left w:val="single" w:color="auto" w:sz="6" w:space="0"/>
            </w:tcBorders>
          </w:tcPr>
          <w:p w:rsidRPr="004C7A53" w:rsidR="0097341B" w:rsidP="003840D6" w:rsidRDefault="0097341B" w14:paraId="65890379" w14:textId="495DFF09">
            <w:pPr>
              <w:spacing w:after="0"/>
            </w:pPr>
            <w:r w:rsidRPr="004C7A53">
              <w:t>Individuals</w:t>
            </w:r>
          </w:p>
        </w:tc>
        <w:tc>
          <w:tcPr>
            <w:tcW w:w="1440" w:type="dxa"/>
            <w:tcBorders>
              <w:top w:val="single" w:color="auto" w:sz="6" w:space="0"/>
              <w:left w:val="single" w:color="auto" w:sz="6" w:space="0"/>
            </w:tcBorders>
          </w:tcPr>
          <w:p w:rsidRPr="004C7A53" w:rsidR="0097341B" w:rsidP="003840D6" w:rsidRDefault="0097341B" w14:paraId="54572B12" w14:textId="0B250F7F">
            <w:pPr>
              <w:spacing w:after="0"/>
              <w:jc w:val="center"/>
            </w:pPr>
            <w:r w:rsidRPr="004C7A53">
              <w:t>60</w:t>
            </w:r>
          </w:p>
        </w:tc>
        <w:tc>
          <w:tcPr>
            <w:tcW w:w="1530" w:type="dxa"/>
            <w:tcBorders>
              <w:top w:val="single" w:color="auto" w:sz="6" w:space="0"/>
              <w:left w:val="single" w:color="auto" w:sz="6" w:space="0"/>
            </w:tcBorders>
          </w:tcPr>
          <w:p w:rsidRPr="006C6010" w:rsidR="0097341B" w:rsidP="003840D6" w:rsidRDefault="00D3798C" w14:paraId="2F1C43E2" w14:textId="3F1D34B1">
            <w:pPr>
              <w:spacing w:after="0"/>
              <w:jc w:val="center"/>
            </w:pPr>
            <w:r w:rsidRPr="006C6010">
              <w:t>1</w:t>
            </w:r>
          </w:p>
        </w:tc>
        <w:tc>
          <w:tcPr>
            <w:tcW w:w="1530" w:type="dxa"/>
            <w:tcBorders>
              <w:top w:val="single" w:color="auto" w:sz="6" w:space="0"/>
              <w:left w:val="single" w:color="auto" w:sz="6" w:space="0"/>
            </w:tcBorders>
          </w:tcPr>
          <w:p w:rsidRPr="004C7A53" w:rsidR="0097341B" w:rsidP="003840D6" w:rsidRDefault="0097341B" w14:paraId="6A64EF9E" w14:textId="2B2AE997">
            <w:pPr>
              <w:spacing w:after="0"/>
              <w:jc w:val="center"/>
            </w:pPr>
            <w:r w:rsidRPr="004C7A53">
              <w:t>30/60</w:t>
            </w:r>
          </w:p>
        </w:tc>
        <w:tc>
          <w:tcPr>
            <w:tcW w:w="1530" w:type="dxa"/>
            <w:tcBorders>
              <w:top w:val="single" w:color="auto" w:sz="6" w:space="0"/>
              <w:left w:val="single" w:color="auto" w:sz="6" w:space="0"/>
              <w:right w:val="single" w:color="auto" w:sz="6" w:space="0"/>
            </w:tcBorders>
          </w:tcPr>
          <w:p w:rsidRPr="004C7A53" w:rsidR="0097341B" w:rsidP="003840D6" w:rsidRDefault="00D3798C" w14:paraId="3D497B48" w14:textId="5E7B3F31">
            <w:pPr>
              <w:spacing w:after="0"/>
              <w:jc w:val="center"/>
            </w:pPr>
            <w:r>
              <w:t>3</w:t>
            </w:r>
            <w:r w:rsidRPr="004C7A53">
              <w:t>0</w:t>
            </w:r>
          </w:p>
        </w:tc>
      </w:tr>
      <w:tr w:rsidRPr="00132699" w:rsidR="00AE3015" w:rsidTr="002572A9" w14:paraId="32140D23" w14:textId="77777777">
        <w:trPr>
          <w:cantSplit/>
          <w:trHeight w:val="372"/>
          <w:jc w:val="center"/>
        </w:trPr>
        <w:tc>
          <w:tcPr>
            <w:tcW w:w="2520" w:type="dxa"/>
            <w:tcBorders>
              <w:top w:val="single" w:color="auto" w:sz="6" w:space="0"/>
              <w:left w:val="single" w:color="auto" w:sz="6" w:space="0"/>
              <w:bottom w:val="single" w:color="auto" w:sz="4" w:space="0"/>
            </w:tcBorders>
          </w:tcPr>
          <w:p w:rsidRPr="000467DC" w:rsidR="00AE3015" w:rsidP="003840D6" w:rsidRDefault="00AE3015" w14:paraId="5710A73C" w14:textId="77777777">
            <w:pPr>
              <w:spacing w:after="0"/>
              <w:rPr>
                <w:b/>
                <w:bCs/>
              </w:rPr>
            </w:pPr>
            <w:r w:rsidRPr="000467DC">
              <w:rPr>
                <w:b/>
                <w:bCs/>
              </w:rPr>
              <w:t>Totals</w:t>
            </w:r>
          </w:p>
        </w:tc>
        <w:tc>
          <w:tcPr>
            <w:tcW w:w="1342" w:type="dxa"/>
            <w:tcBorders>
              <w:top w:val="single" w:color="auto" w:sz="6" w:space="0"/>
              <w:left w:val="single" w:color="auto" w:sz="6" w:space="0"/>
              <w:bottom w:val="single" w:color="auto" w:sz="4" w:space="0"/>
            </w:tcBorders>
          </w:tcPr>
          <w:p w:rsidRPr="000467DC" w:rsidR="00AE3015" w:rsidP="003840D6" w:rsidRDefault="00AE3015" w14:paraId="34EC924C" w14:textId="77777777">
            <w:pPr>
              <w:spacing w:after="0"/>
              <w:rPr>
                <w:b/>
                <w:bCs/>
              </w:rPr>
            </w:pPr>
          </w:p>
        </w:tc>
        <w:tc>
          <w:tcPr>
            <w:tcW w:w="1440" w:type="dxa"/>
            <w:tcBorders>
              <w:top w:val="single" w:color="auto" w:sz="6" w:space="0"/>
              <w:left w:val="single" w:color="auto" w:sz="6" w:space="0"/>
              <w:bottom w:val="single" w:color="auto" w:sz="4" w:space="0"/>
            </w:tcBorders>
          </w:tcPr>
          <w:p w:rsidRPr="000467DC" w:rsidR="00AE3015" w:rsidP="003840D6" w:rsidRDefault="00AE3015" w14:paraId="72B53DDB" w14:textId="0944B5AD">
            <w:pPr>
              <w:spacing w:after="0"/>
              <w:jc w:val="center"/>
              <w:rPr>
                <w:b/>
                <w:bCs/>
              </w:rPr>
            </w:pPr>
          </w:p>
        </w:tc>
        <w:tc>
          <w:tcPr>
            <w:tcW w:w="1530" w:type="dxa"/>
            <w:tcBorders>
              <w:top w:val="single" w:color="auto" w:sz="6" w:space="0"/>
              <w:left w:val="single" w:color="auto" w:sz="6" w:space="0"/>
              <w:bottom w:val="single" w:color="auto" w:sz="4" w:space="0"/>
            </w:tcBorders>
          </w:tcPr>
          <w:p w:rsidRPr="0097341B" w:rsidR="00AE3015" w:rsidP="74EF96DA" w:rsidRDefault="00D3798C" w14:paraId="2E12E901" w14:textId="22A0545C">
            <w:pPr>
              <w:spacing w:after="0"/>
              <w:jc w:val="center"/>
              <w:rPr>
                <w:b/>
                <w:bCs/>
              </w:rPr>
            </w:pPr>
            <w:r>
              <w:rPr>
                <w:b/>
                <w:bCs/>
              </w:rPr>
              <w:t>18</w:t>
            </w:r>
            <w:r w:rsidR="004C7A53">
              <w:rPr>
                <w:b/>
                <w:bCs/>
              </w:rPr>
              <w:t>0</w:t>
            </w:r>
          </w:p>
        </w:tc>
        <w:tc>
          <w:tcPr>
            <w:tcW w:w="1530" w:type="dxa"/>
            <w:tcBorders>
              <w:top w:val="single" w:color="auto" w:sz="6" w:space="0"/>
              <w:left w:val="single" w:color="auto" w:sz="6" w:space="0"/>
              <w:bottom w:val="single" w:color="auto" w:sz="4" w:space="0"/>
            </w:tcBorders>
          </w:tcPr>
          <w:p w:rsidRPr="000467DC" w:rsidR="00AE3015" w:rsidP="003840D6" w:rsidRDefault="00AE3015" w14:paraId="26819B50" w14:textId="77777777">
            <w:pPr>
              <w:spacing w:after="0"/>
              <w:jc w:val="center"/>
              <w:rPr>
                <w:b/>
                <w:bCs/>
              </w:rPr>
            </w:pPr>
          </w:p>
        </w:tc>
        <w:tc>
          <w:tcPr>
            <w:tcW w:w="1530" w:type="dxa"/>
            <w:tcBorders>
              <w:top w:val="single" w:color="auto" w:sz="6" w:space="0"/>
              <w:left w:val="single" w:color="auto" w:sz="6" w:space="0"/>
              <w:bottom w:val="single" w:color="auto" w:sz="4" w:space="0"/>
              <w:right w:val="single" w:color="auto" w:sz="6" w:space="0"/>
            </w:tcBorders>
          </w:tcPr>
          <w:p w:rsidRPr="000467DC" w:rsidR="00AE3015" w:rsidP="74EF96DA" w:rsidRDefault="5E34933B" w14:paraId="55301EA2" w14:textId="1C69E5BD">
            <w:pPr>
              <w:spacing w:after="0"/>
              <w:jc w:val="center"/>
              <w:rPr>
                <w:b/>
                <w:bCs/>
                <w:highlight w:val="yellow"/>
              </w:rPr>
            </w:pPr>
            <w:r w:rsidRPr="74EF96DA">
              <w:rPr>
                <w:b/>
                <w:bCs/>
              </w:rPr>
              <w:t xml:space="preserve"> </w:t>
            </w:r>
            <w:r w:rsidR="004C7A53">
              <w:rPr>
                <w:b/>
                <w:bCs/>
              </w:rPr>
              <w:t>1</w:t>
            </w:r>
            <w:r w:rsidR="00D3798C">
              <w:rPr>
                <w:b/>
                <w:bCs/>
              </w:rPr>
              <w:t>2</w:t>
            </w:r>
            <w:r w:rsidR="004C7A53">
              <w:rPr>
                <w:b/>
                <w:bCs/>
              </w:rPr>
              <w:t>0</w:t>
            </w:r>
          </w:p>
        </w:tc>
      </w:tr>
    </w:tbl>
    <w:p w:rsidR="00701BF4" w:rsidRDefault="00701BF4" w14:paraId="4B1530D2" w14:textId="682B7AE9">
      <w:pPr>
        <w:rPr>
          <w:b/>
        </w:rPr>
      </w:pPr>
    </w:p>
    <w:p w:rsidRPr="00701BF4" w:rsidR="00701BF4" w:rsidP="00701BF4" w:rsidRDefault="003840D6" w14:paraId="46854B58" w14:textId="5E467F80">
      <w:pPr>
        <w:spacing w:after="0"/>
        <w:rPr>
          <w:b/>
        </w:rPr>
      </w:pPr>
      <w:r w:rsidRPr="003840D6">
        <w:rPr>
          <w:b/>
        </w:rPr>
        <w:t>A.12-2</w:t>
      </w:r>
      <w:r w:rsidRPr="003840D6">
        <w:rPr>
          <w:b/>
        </w:rPr>
        <w:tab/>
        <w:t>ANNUALIZED COST TO RESPONDENT</w:t>
      </w:r>
      <w:r w:rsidR="00701BF4">
        <w:rPr>
          <w:b/>
        </w:rPr>
        <w:t>S</w:t>
      </w:r>
    </w:p>
    <w:p w:rsidR="00344B30" w:rsidP="0008728D" w:rsidRDefault="00344B30" w14:paraId="2BFC4683" w14:textId="2EDF9606">
      <w:pPr>
        <w:spacing w:after="0"/>
        <w:jc w:val="center"/>
      </w:pPr>
    </w:p>
    <w:p w:rsidRPr="00AE3015" w:rsidR="00403366" w:rsidP="0008728D" w:rsidRDefault="00AE3015" w14:paraId="3BF9C418" w14:textId="55054718">
      <w:pPr>
        <w:spacing w:after="0"/>
        <w:jc w:val="center"/>
      </w:pPr>
      <w:r w:rsidRPr="003840D6">
        <w:rPr>
          <w:b/>
          <w:bCs/>
        </w:rPr>
        <w:t>A.12-2 Annualized Cost to the Respondents</w:t>
      </w:r>
    </w:p>
    <w:tbl>
      <w:tblPr>
        <w:tblW w:w="10024" w:type="dxa"/>
        <w:jc w:val="center"/>
        <w:tblLayout w:type="fixed"/>
        <w:tblCellMar>
          <w:left w:w="100" w:type="dxa"/>
          <w:right w:w="100" w:type="dxa"/>
        </w:tblCellMar>
        <w:tblLook w:val="0000" w:firstRow="0" w:lastRow="0" w:firstColumn="0" w:lastColumn="0" w:noHBand="0" w:noVBand="0"/>
      </w:tblPr>
      <w:tblGrid>
        <w:gridCol w:w="2773"/>
        <w:gridCol w:w="2823"/>
        <w:gridCol w:w="1998"/>
        <w:gridCol w:w="2430"/>
      </w:tblGrid>
      <w:tr w:rsidRPr="00132699" w:rsidR="00AE3015" w:rsidTr="00701BF4" w14:paraId="46DE2D52" w14:textId="77777777">
        <w:trPr>
          <w:cantSplit/>
          <w:trHeight w:val="372"/>
          <w:jc w:val="center"/>
        </w:trPr>
        <w:tc>
          <w:tcPr>
            <w:tcW w:w="2773" w:type="dxa"/>
            <w:tcBorders>
              <w:top w:val="single" w:color="auto" w:sz="6" w:space="0"/>
              <w:left w:val="single" w:color="auto" w:sz="6" w:space="0"/>
            </w:tcBorders>
            <w:vAlign w:val="center"/>
          </w:tcPr>
          <w:p w:rsidRPr="003840D6" w:rsidR="00AE3015" w:rsidP="003840D6" w:rsidRDefault="00AE3015" w14:paraId="12E17EC1" w14:textId="77777777">
            <w:pPr>
              <w:spacing w:after="0" w:line="240" w:lineRule="auto"/>
              <w:jc w:val="center"/>
              <w:rPr>
                <w:b/>
                <w:bCs/>
              </w:rPr>
            </w:pPr>
            <w:r w:rsidRPr="003840D6">
              <w:rPr>
                <w:b/>
                <w:bCs/>
              </w:rPr>
              <w:t>Type of Respondents</w:t>
            </w:r>
          </w:p>
        </w:tc>
        <w:tc>
          <w:tcPr>
            <w:tcW w:w="2823" w:type="dxa"/>
            <w:tcBorders>
              <w:top w:val="single" w:color="auto" w:sz="6" w:space="0"/>
              <w:left w:val="single" w:color="auto" w:sz="6" w:space="0"/>
            </w:tcBorders>
            <w:vAlign w:val="center"/>
          </w:tcPr>
          <w:p w:rsidRPr="003840D6" w:rsidR="00AE3015" w:rsidP="003840D6" w:rsidRDefault="00AE3015" w14:paraId="7602429E" w14:textId="4F890627">
            <w:pPr>
              <w:spacing w:after="0" w:line="240" w:lineRule="auto"/>
              <w:jc w:val="center"/>
              <w:rPr>
                <w:b/>
                <w:bCs/>
              </w:rPr>
            </w:pPr>
            <w:r w:rsidRPr="003840D6">
              <w:rPr>
                <w:b/>
                <w:bCs/>
              </w:rPr>
              <w:t>Total Annual Burden Hours</w:t>
            </w:r>
          </w:p>
        </w:tc>
        <w:tc>
          <w:tcPr>
            <w:tcW w:w="1998" w:type="dxa"/>
            <w:tcBorders>
              <w:top w:val="single" w:color="auto" w:sz="6" w:space="0"/>
              <w:left w:val="single" w:color="auto" w:sz="6" w:space="0"/>
            </w:tcBorders>
            <w:vAlign w:val="center"/>
          </w:tcPr>
          <w:p w:rsidRPr="003840D6" w:rsidR="00AE3015" w:rsidP="003840D6" w:rsidRDefault="00AE3015" w14:paraId="4FC2B0BE" w14:textId="77777777">
            <w:pPr>
              <w:spacing w:after="0" w:line="240" w:lineRule="auto"/>
              <w:jc w:val="center"/>
              <w:rPr>
                <w:b/>
                <w:bCs/>
              </w:rPr>
            </w:pPr>
            <w:r w:rsidRPr="003840D6">
              <w:rPr>
                <w:b/>
                <w:bCs/>
              </w:rPr>
              <w:t>Hourly Wage Rate*</w:t>
            </w:r>
          </w:p>
        </w:tc>
        <w:tc>
          <w:tcPr>
            <w:tcW w:w="2430" w:type="dxa"/>
            <w:tcBorders>
              <w:top w:val="single" w:color="auto" w:sz="6" w:space="0"/>
              <w:left w:val="single" w:color="auto" w:sz="6" w:space="0"/>
              <w:right w:val="single" w:color="auto" w:sz="6" w:space="0"/>
            </w:tcBorders>
            <w:vAlign w:val="center"/>
          </w:tcPr>
          <w:p w:rsidRPr="003840D6" w:rsidR="00AE3015" w:rsidP="003840D6" w:rsidRDefault="00AE3015" w14:paraId="7B0340E9" w14:textId="77777777">
            <w:pPr>
              <w:spacing w:after="0" w:line="240" w:lineRule="auto"/>
              <w:jc w:val="center"/>
              <w:rPr>
                <w:b/>
                <w:bCs/>
              </w:rPr>
            </w:pPr>
            <w:r w:rsidRPr="003840D6">
              <w:rPr>
                <w:b/>
                <w:bCs/>
              </w:rPr>
              <w:t>Respondent Cost</w:t>
            </w:r>
          </w:p>
        </w:tc>
      </w:tr>
      <w:tr w:rsidRPr="00132699" w:rsidR="00AE3015" w:rsidTr="00701BF4" w14:paraId="2E307BAF" w14:textId="77777777">
        <w:trPr>
          <w:cantSplit/>
          <w:trHeight w:val="282"/>
          <w:jc w:val="center"/>
        </w:trPr>
        <w:tc>
          <w:tcPr>
            <w:tcW w:w="2773" w:type="dxa"/>
            <w:tcBorders>
              <w:top w:val="single" w:color="auto" w:sz="6" w:space="0"/>
              <w:left w:val="single" w:color="auto" w:sz="6" w:space="0"/>
            </w:tcBorders>
          </w:tcPr>
          <w:p w:rsidRPr="00AE3015" w:rsidR="00AE3015" w:rsidP="003840D6" w:rsidRDefault="00D03DC6" w14:paraId="547D743C" w14:textId="3C0F069C">
            <w:pPr>
              <w:spacing w:after="0"/>
            </w:pPr>
            <w:r>
              <w:t>Individuals</w:t>
            </w:r>
          </w:p>
        </w:tc>
        <w:tc>
          <w:tcPr>
            <w:tcW w:w="2823" w:type="dxa"/>
            <w:tcBorders>
              <w:top w:val="single" w:color="auto" w:sz="6" w:space="0"/>
              <w:left w:val="single" w:color="auto" w:sz="6" w:space="0"/>
            </w:tcBorders>
          </w:tcPr>
          <w:p w:rsidRPr="00AE3015" w:rsidR="00AE3015" w:rsidP="003840D6" w:rsidRDefault="00D3798C" w14:paraId="6BE10CA4" w14:textId="6897456F">
            <w:pPr>
              <w:spacing w:after="0"/>
              <w:jc w:val="center"/>
            </w:pPr>
            <w:r>
              <w:t>120</w:t>
            </w:r>
          </w:p>
        </w:tc>
        <w:tc>
          <w:tcPr>
            <w:tcW w:w="1998" w:type="dxa"/>
            <w:tcBorders>
              <w:top w:val="single" w:color="auto" w:sz="6" w:space="0"/>
              <w:left w:val="single" w:color="auto" w:sz="6" w:space="0"/>
            </w:tcBorders>
          </w:tcPr>
          <w:p w:rsidRPr="00AE3015" w:rsidR="00AE3015" w:rsidP="003840D6" w:rsidRDefault="00321FAE" w14:paraId="33AEF088" w14:textId="78C47C74">
            <w:pPr>
              <w:spacing w:after="0"/>
              <w:jc w:val="center"/>
            </w:pPr>
            <w:r>
              <w:t xml:space="preserve"> </w:t>
            </w:r>
            <w:r w:rsidR="00D03DC6">
              <w:t>4</w:t>
            </w:r>
            <w:r w:rsidR="00561613">
              <w:t>9</w:t>
            </w:r>
            <w:r w:rsidR="00D03DC6">
              <w:t>.4</w:t>
            </w:r>
            <w:r w:rsidR="00561613">
              <w:t>4</w:t>
            </w:r>
          </w:p>
        </w:tc>
        <w:tc>
          <w:tcPr>
            <w:tcW w:w="2430" w:type="dxa"/>
            <w:tcBorders>
              <w:top w:val="single" w:color="auto" w:sz="6" w:space="0"/>
              <w:left w:val="single" w:color="auto" w:sz="6" w:space="0"/>
              <w:right w:val="single" w:color="auto" w:sz="6" w:space="0"/>
            </w:tcBorders>
          </w:tcPr>
          <w:p w:rsidRPr="00AE3015" w:rsidR="00AE3015" w:rsidP="003840D6" w:rsidRDefault="5E34933B" w14:paraId="594E5C1C" w14:textId="55461A3F">
            <w:pPr>
              <w:spacing w:after="0"/>
              <w:jc w:val="center"/>
            </w:pPr>
            <w:r>
              <w:t xml:space="preserve"> </w:t>
            </w:r>
            <w:r w:rsidR="00D03DC6">
              <w:t>$</w:t>
            </w:r>
            <w:r w:rsidR="00701BF4">
              <w:t xml:space="preserve"> </w:t>
            </w:r>
            <w:r w:rsidR="00D3798C">
              <w:t>5,932</w:t>
            </w:r>
            <w:r w:rsidR="00701BF4">
              <w:t>.</w:t>
            </w:r>
            <w:r w:rsidR="00D3798C">
              <w:t>8</w:t>
            </w:r>
            <w:r w:rsidR="00701BF4">
              <w:t>0</w:t>
            </w:r>
          </w:p>
        </w:tc>
      </w:tr>
      <w:tr w:rsidRPr="00132699" w:rsidR="00AE3015" w:rsidTr="00701BF4" w14:paraId="6D0BC747" w14:textId="77777777">
        <w:trPr>
          <w:cantSplit/>
          <w:trHeight w:val="273"/>
          <w:jc w:val="center"/>
        </w:trPr>
        <w:tc>
          <w:tcPr>
            <w:tcW w:w="2773" w:type="dxa"/>
            <w:tcBorders>
              <w:top w:val="single" w:color="auto" w:sz="6" w:space="0"/>
              <w:left w:val="single" w:color="auto" w:sz="6" w:space="0"/>
              <w:bottom w:val="single" w:color="auto" w:sz="4" w:space="0"/>
            </w:tcBorders>
          </w:tcPr>
          <w:p w:rsidRPr="00820294" w:rsidR="00AE3015" w:rsidP="003840D6" w:rsidRDefault="00AE3015" w14:paraId="28630555" w14:textId="25D3213A">
            <w:pPr>
              <w:spacing w:after="0"/>
              <w:rPr>
                <w:b/>
                <w:bCs/>
              </w:rPr>
            </w:pPr>
            <w:r w:rsidRPr="00820294">
              <w:rPr>
                <w:b/>
                <w:bCs/>
              </w:rPr>
              <w:t>Total</w:t>
            </w:r>
          </w:p>
        </w:tc>
        <w:tc>
          <w:tcPr>
            <w:tcW w:w="2823" w:type="dxa"/>
            <w:tcBorders>
              <w:top w:val="single" w:color="auto" w:sz="6" w:space="0"/>
              <w:left w:val="single" w:color="auto" w:sz="6" w:space="0"/>
              <w:bottom w:val="single" w:color="auto" w:sz="4" w:space="0"/>
            </w:tcBorders>
          </w:tcPr>
          <w:p w:rsidRPr="00820294" w:rsidR="00AE3015" w:rsidP="003840D6" w:rsidRDefault="00AE3015" w14:paraId="79D057E8" w14:textId="2FAE64D9">
            <w:pPr>
              <w:spacing w:after="0"/>
              <w:jc w:val="center"/>
              <w:rPr>
                <w:b/>
                <w:bCs/>
              </w:rPr>
            </w:pPr>
          </w:p>
        </w:tc>
        <w:tc>
          <w:tcPr>
            <w:tcW w:w="1998" w:type="dxa"/>
            <w:tcBorders>
              <w:top w:val="single" w:color="auto" w:sz="6" w:space="0"/>
              <w:left w:val="single" w:color="auto" w:sz="6" w:space="0"/>
              <w:bottom w:val="single" w:color="auto" w:sz="4" w:space="0"/>
            </w:tcBorders>
          </w:tcPr>
          <w:p w:rsidRPr="00820294" w:rsidR="00AE3015" w:rsidP="003840D6" w:rsidRDefault="00AE3015" w14:paraId="48C94ACE" w14:textId="77777777">
            <w:pPr>
              <w:spacing w:after="0"/>
              <w:rPr>
                <w:b/>
                <w:bCs/>
              </w:rPr>
            </w:pPr>
          </w:p>
        </w:tc>
        <w:tc>
          <w:tcPr>
            <w:tcW w:w="2430" w:type="dxa"/>
            <w:tcBorders>
              <w:top w:val="single" w:color="auto" w:sz="6" w:space="0"/>
              <w:left w:val="single" w:color="auto" w:sz="6" w:space="0"/>
              <w:bottom w:val="single" w:color="auto" w:sz="4" w:space="0"/>
              <w:right w:val="single" w:color="auto" w:sz="6" w:space="0"/>
            </w:tcBorders>
          </w:tcPr>
          <w:p w:rsidRPr="00D3798C" w:rsidR="00AE3015" w:rsidP="003840D6" w:rsidRDefault="00D3798C" w14:paraId="6D478D7C" w14:textId="3FE6FD27">
            <w:pPr>
              <w:spacing w:after="0"/>
              <w:jc w:val="center"/>
              <w:rPr>
                <w:b/>
                <w:bCs/>
              </w:rPr>
            </w:pPr>
            <w:r w:rsidRPr="008A2D63">
              <w:rPr>
                <w:b/>
                <w:bCs/>
              </w:rPr>
              <w:t>$ 5,932.80</w:t>
            </w:r>
          </w:p>
        </w:tc>
      </w:tr>
    </w:tbl>
    <w:p w:rsidRPr="008A776F" w:rsidR="008A2D63" w:rsidP="008A776F" w:rsidRDefault="00403366" w14:paraId="7C226094" w14:textId="607D8ABD">
      <w:pPr>
        <w:ind w:right="-90"/>
        <w:rPr>
          <w:b/>
          <w:bCs/>
          <w:sz w:val="18"/>
          <w:szCs w:val="18"/>
        </w:rPr>
      </w:pPr>
      <w:r w:rsidRPr="00701BF4">
        <w:rPr>
          <w:bCs/>
          <w:sz w:val="18"/>
          <w:szCs w:val="18"/>
          <w:lang w:eastAsia="zh-CN"/>
        </w:rPr>
        <w:t>*Source of the Hourly Wage Rate is provided by the</w:t>
      </w:r>
      <w:r w:rsidRPr="00701BF4" w:rsidR="00561613">
        <w:rPr>
          <w:bCs/>
          <w:sz w:val="18"/>
          <w:szCs w:val="18"/>
          <w:lang w:eastAsia="zh-CN"/>
        </w:rPr>
        <w:t xml:space="preserve"> May 2021 National Occupational Employment and Wage Estimates,</w:t>
      </w:r>
      <w:r w:rsidRPr="00701BF4">
        <w:rPr>
          <w:bCs/>
          <w:sz w:val="18"/>
          <w:szCs w:val="18"/>
          <w:lang w:eastAsia="zh-CN"/>
        </w:rPr>
        <w:t xml:space="preserve"> Bureau of Labor Statistics, Occupation title “Medical Scientists” 19-1040</w:t>
      </w:r>
      <w:r w:rsidRPr="00701BF4" w:rsidR="002572A9">
        <w:rPr>
          <w:bCs/>
          <w:sz w:val="18"/>
          <w:szCs w:val="18"/>
          <w:lang w:eastAsia="zh-CN"/>
        </w:rPr>
        <w:t xml:space="preserve"> </w:t>
      </w:r>
      <w:hyperlink w:history="1" r:id="rId8">
        <w:r w:rsidRPr="00701BF4" w:rsidR="002572A9">
          <w:rPr>
            <w:rStyle w:val="Hyperlink"/>
            <w:sz w:val="18"/>
            <w:szCs w:val="18"/>
          </w:rPr>
          <w:t>https://www.bls.gov/oes/current/oes_nat.htm</w:t>
        </w:r>
      </w:hyperlink>
    </w:p>
    <w:p w:rsidRPr="00113647" w:rsidR="008716F6" w:rsidP="00416298" w:rsidRDefault="00713CF8" w14:paraId="1C9A010C" w14:textId="671718E1">
      <w:pPr>
        <w:spacing w:after="0"/>
        <w:rPr>
          <w:b/>
        </w:rPr>
      </w:pPr>
      <w:r w:rsidRPr="74EF96DA">
        <w:rPr>
          <w:b/>
          <w:bCs/>
        </w:rPr>
        <w:lastRenderedPageBreak/>
        <w:t>A.13 Estimate of Other Total Annual Cost Burden to Respondents or Record Keepers</w:t>
      </w:r>
      <w:r>
        <w:tab/>
      </w:r>
    </w:p>
    <w:p w:rsidR="0008728D" w:rsidP="00416298" w:rsidRDefault="0008728D" w14:paraId="006A2D29" w14:textId="57BBB06F">
      <w:pPr>
        <w:spacing w:after="0"/>
      </w:pPr>
      <w:r>
        <w:t>There are no annual costs to the respondents or record keepers.</w:t>
      </w:r>
    </w:p>
    <w:p w:rsidRPr="00113647" w:rsidR="00713CF8" w:rsidP="00416298" w:rsidRDefault="00713CF8" w14:paraId="349E36F2" w14:textId="77777777">
      <w:pPr>
        <w:spacing w:after="0"/>
      </w:pPr>
    </w:p>
    <w:p w:rsidRPr="00113647" w:rsidR="00713CF8" w:rsidP="00416298" w:rsidRDefault="00713CF8" w14:paraId="34AEAD4B" w14:textId="77777777">
      <w:pPr>
        <w:spacing w:after="0"/>
        <w:rPr>
          <w:b/>
        </w:rPr>
      </w:pPr>
      <w:r w:rsidRPr="00113647">
        <w:rPr>
          <w:b/>
        </w:rPr>
        <w:t>A.14 Annualized Cost to the Federal Government</w:t>
      </w:r>
    </w:p>
    <w:p w:rsidR="00713CF8" w:rsidP="00416298" w:rsidRDefault="002C4725" w14:paraId="6C45DBA8" w14:textId="2315FD0A">
      <w:pPr>
        <w:spacing w:after="0"/>
      </w:pPr>
      <w:r w:rsidRPr="002C4725">
        <w:t xml:space="preserve">Provide estimates of </w:t>
      </w:r>
      <w:r w:rsidR="00DE2E3B">
        <w:t xml:space="preserve">the </w:t>
      </w:r>
      <w:r w:rsidRPr="002C4725">
        <w:t xml:space="preserve">annualized cost to the Federal government.  </w:t>
      </w:r>
      <w:r w:rsidR="00740F9D">
        <w:t>This includes</w:t>
      </w:r>
      <w:r>
        <w:t xml:space="preserve"> FTE and contract</w:t>
      </w:r>
      <w:r w:rsidR="000467DC">
        <w:t>or</w:t>
      </w:r>
      <w:r>
        <w:t xml:space="preserve"> </w:t>
      </w:r>
      <w:r w:rsidR="00DE2E3B">
        <w:t>costs</w:t>
      </w:r>
      <w:r>
        <w:t xml:space="preserve">. </w:t>
      </w:r>
    </w:p>
    <w:p w:rsidR="002572A9" w:rsidP="002572A9" w:rsidRDefault="002572A9" w14:paraId="0E629CC7" w14:textId="77777777"/>
    <w:p w:rsidRPr="00394CAF" w:rsidR="00394CAF" w:rsidP="003840D6" w:rsidRDefault="00394CAF" w14:paraId="0671587F" w14:textId="7D9089C6">
      <w:pPr>
        <w:spacing w:after="20"/>
        <w:jc w:val="center"/>
        <w:rPr>
          <w:b/>
        </w:rPr>
      </w:pPr>
      <w:r>
        <w:rPr>
          <w:b/>
        </w:rPr>
        <w:t>A.14-1</w:t>
      </w:r>
      <w:r w:rsidRPr="001E6930">
        <w:rPr>
          <w:b/>
        </w:rPr>
        <w:t xml:space="preserve"> Annualized Cost to the </w:t>
      </w:r>
      <w:r>
        <w:rPr>
          <w:b/>
        </w:rPr>
        <w:t>Federal Government</w:t>
      </w:r>
    </w:p>
    <w:tbl>
      <w:tblPr>
        <w:tblW w:w="96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640"/>
        <w:gridCol w:w="1132"/>
        <w:gridCol w:w="1620"/>
        <w:gridCol w:w="1260"/>
        <w:gridCol w:w="1665"/>
        <w:gridCol w:w="1305"/>
      </w:tblGrid>
      <w:tr w:rsidRPr="00BB7115" w:rsidR="00BB7115" w:rsidTr="00701BF4" w14:paraId="5098E45C" w14:textId="77777777">
        <w:trPr>
          <w:trHeight w:val="547"/>
        </w:trPr>
        <w:tc>
          <w:tcPr>
            <w:tcW w:w="2640" w:type="dxa"/>
            <w:shd w:val="clear" w:color="auto" w:fill="auto"/>
            <w:noWrap/>
            <w:tcMar>
              <w:top w:w="0" w:type="dxa"/>
              <w:left w:w="108" w:type="dxa"/>
              <w:bottom w:w="0" w:type="dxa"/>
              <w:right w:w="108" w:type="dxa"/>
            </w:tcMar>
            <w:vAlign w:val="center"/>
            <w:hideMark/>
          </w:tcPr>
          <w:p w:rsidRPr="00820294" w:rsidR="00BB7115" w:rsidP="003840D6" w:rsidRDefault="00BB7115" w14:paraId="1C25F74A" w14:textId="76C12B29">
            <w:pPr>
              <w:spacing w:after="0"/>
              <w:jc w:val="center"/>
              <w:rPr>
                <w:b/>
                <w:bCs/>
              </w:rPr>
            </w:pPr>
            <w:r w:rsidRPr="00820294">
              <w:rPr>
                <w:b/>
                <w:bCs/>
              </w:rPr>
              <w:t>Staff</w:t>
            </w:r>
          </w:p>
        </w:tc>
        <w:tc>
          <w:tcPr>
            <w:tcW w:w="1132" w:type="dxa"/>
            <w:shd w:val="clear" w:color="auto" w:fill="auto"/>
            <w:vAlign w:val="center"/>
          </w:tcPr>
          <w:p w:rsidRPr="00820294" w:rsidR="00BB7115" w:rsidP="003840D6" w:rsidRDefault="00BB7115" w14:paraId="64CB0D41" w14:textId="77777777">
            <w:pPr>
              <w:spacing w:after="0"/>
              <w:jc w:val="center"/>
              <w:rPr>
                <w:b/>
                <w:bCs/>
              </w:rPr>
            </w:pPr>
            <w:r w:rsidRPr="00820294">
              <w:rPr>
                <w:b/>
                <w:bCs/>
              </w:rPr>
              <w:t>Grade/Step</w:t>
            </w:r>
          </w:p>
        </w:tc>
        <w:tc>
          <w:tcPr>
            <w:tcW w:w="1620" w:type="dxa"/>
            <w:shd w:val="clear" w:color="auto" w:fill="auto"/>
            <w:tcMar>
              <w:top w:w="0" w:type="dxa"/>
              <w:left w:w="108" w:type="dxa"/>
              <w:bottom w:w="0" w:type="dxa"/>
              <w:right w:w="108" w:type="dxa"/>
            </w:tcMar>
            <w:vAlign w:val="center"/>
            <w:hideMark/>
          </w:tcPr>
          <w:p w:rsidRPr="00820294" w:rsidR="00BB7115" w:rsidP="003840D6" w:rsidRDefault="00BB7115" w14:paraId="5CC8752A" w14:textId="2C368C27">
            <w:pPr>
              <w:spacing w:after="0"/>
              <w:jc w:val="center"/>
              <w:rPr>
                <w:b/>
                <w:bCs/>
              </w:rPr>
            </w:pPr>
            <w:r w:rsidRPr="00820294">
              <w:rPr>
                <w:b/>
                <w:bCs/>
              </w:rPr>
              <w:t>Salary</w:t>
            </w:r>
            <w:r w:rsidRPr="00820294" w:rsidR="008B33D3">
              <w:rPr>
                <w:b/>
                <w:bCs/>
              </w:rPr>
              <w:t>**</w:t>
            </w:r>
          </w:p>
        </w:tc>
        <w:tc>
          <w:tcPr>
            <w:tcW w:w="1260" w:type="dxa"/>
            <w:shd w:val="clear" w:color="auto" w:fill="auto"/>
            <w:tcMar>
              <w:top w:w="0" w:type="dxa"/>
              <w:left w:w="108" w:type="dxa"/>
              <w:bottom w:w="0" w:type="dxa"/>
              <w:right w:w="108" w:type="dxa"/>
            </w:tcMar>
            <w:vAlign w:val="center"/>
            <w:hideMark/>
          </w:tcPr>
          <w:p w:rsidRPr="00820294" w:rsidR="00BB7115" w:rsidP="003840D6" w:rsidRDefault="00BB7115" w14:paraId="1143C472" w14:textId="77777777">
            <w:pPr>
              <w:spacing w:after="0"/>
              <w:jc w:val="center"/>
              <w:rPr>
                <w:b/>
                <w:bCs/>
              </w:rPr>
            </w:pPr>
            <w:r w:rsidRPr="00820294">
              <w:rPr>
                <w:b/>
                <w:bCs/>
              </w:rPr>
              <w:t>% of Effort</w:t>
            </w:r>
          </w:p>
        </w:tc>
        <w:tc>
          <w:tcPr>
            <w:tcW w:w="1665" w:type="dxa"/>
            <w:shd w:val="clear" w:color="auto" w:fill="auto"/>
            <w:vAlign w:val="center"/>
          </w:tcPr>
          <w:p w:rsidRPr="00820294" w:rsidR="00BB7115" w:rsidP="003840D6" w:rsidRDefault="00BB7115" w14:paraId="6FD40A60" w14:textId="77777777">
            <w:pPr>
              <w:spacing w:after="0"/>
              <w:jc w:val="center"/>
              <w:rPr>
                <w:b/>
                <w:bCs/>
              </w:rPr>
            </w:pPr>
            <w:r w:rsidRPr="00820294">
              <w:rPr>
                <w:b/>
                <w:bCs/>
              </w:rPr>
              <w:t>Fringe (if applicable)</w:t>
            </w:r>
          </w:p>
        </w:tc>
        <w:tc>
          <w:tcPr>
            <w:tcW w:w="1305" w:type="dxa"/>
            <w:shd w:val="clear" w:color="auto" w:fill="auto"/>
            <w:vAlign w:val="center"/>
          </w:tcPr>
          <w:p w:rsidRPr="00820294" w:rsidR="00BB7115" w:rsidP="003840D6" w:rsidRDefault="00AF01AD" w14:paraId="349EF139" w14:textId="77777777">
            <w:pPr>
              <w:spacing w:after="0"/>
              <w:jc w:val="center"/>
              <w:rPr>
                <w:b/>
                <w:bCs/>
              </w:rPr>
            </w:pPr>
            <w:r w:rsidRPr="00820294">
              <w:rPr>
                <w:b/>
                <w:bCs/>
              </w:rPr>
              <w:t xml:space="preserve">Total </w:t>
            </w:r>
            <w:r w:rsidRPr="00820294" w:rsidR="005E2D23">
              <w:rPr>
                <w:b/>
                <w:bCs/>
              </w:rPr>
              <w:t>C</w:t>
            </w:r>
            <w:r w:rsidRPr="00820294" w:rsidR="00BB7115">
              <w:rPr>
                <w:b/>
                <w:bCs/>
              </w:rPr>
              <w:t>ost to Gov’t</w:t>
            </w:r>
          </w:p>
        </w:tc>
      </w:tr>
      <w:tr w:rsidRPr="00BB7115" w:rsidR="00BB7115" w:rsidTr="00701BF4" w14:paraId="40450F2A" w14:textId="77777777">
        <w:trPr>
          <w:trHeight w:val="300"/>
        </w:trPr>
        <w:tc>
          <w:tcPr>
            <w:tcW w:w="2640" w:type="dxa"/>
            <w:noWrap/>
            <w:tcMar>
              <w:top w:w="0" w:type="dxa"/>
              <w:left w:w="108" w:type="dxa"/>
              <w:bottom w:w="0" w:type="dxa"/>
              <w:right w:w="108" w:type="dxa"/>
            </w:tcMar>
            <w:vAlign w:val="bottom"/>
          </w:tcPr>
          <w:p w:rsidRPr="00820294" w:rsidR="00BB7115" w:rsidP="003840D6" w:rsidRDefault="00BB7115" w14:paraId="147D704C" w14:textId="77777777">
            <w:pPr>
              <w:spacing w:after="0"/>
              <w:rPr>
                <w:b/>
                <w:bCs/>
              </w:rPr>
            </w:pPr>
            <w:r w:rsidRPr="00820294">
              <w:rPr>
                <w:b/>
                <w:bCs/>
              </w:rPr>
              <w:t>Federal Oversight</w:t>
            </w:r>
          </w:p>
        </w:tc>
        <w:tc>
          <w:tcPr>
            <w:tcW w:w="1132" w:type="dxa"/>
          </w:tcPr>
          <w:p w:rsidRPr="00AE3015" w:rsidR="00BB7115" w:rsidP="003840D6" w:rsidRDefault="00BB7115" w14:paraId="2B49C30A" w14:textId="77777777">
            <w:pPr>
              <w:spacing w:after="0"/>
              <w:jc w:val="right"/>
            </w:pPr>
          </w:p>
        </w:tc>
        <w:tc>
          <w:tcPr>
            <w:tcW w:w="1620" w:type="dxa"/>
            <w:noWrap/>
            <w:tcMar>
              <w:top w:w="0" w:type="dxa"/>
              <w:left w:w="108" w:type="dxa"/>
              <w:bottom w:w="0" w:type="dxa"/>
              <w:right w:w="108" w:type="dxa"/>
            </w:tcMar>
            <w:vAlign w:val="bottom"/>
          </w:tcPr>
          <w:p w:rsidRPr="00AE3015" w:rsidR="00BB7115" w:rsidP="003840D6" w:rsidRDefault="00BB7115" w14:paraId="47CC2FA6" w14:textId="77777777">
            <w:pPr>
              <w:spacing w:after="0"/>
            </w:pPr>
          </w:p>
        </w:tc>
        <w:tc>
          <w:tcPr>
            <w:tcW w:w="1260" w:type="dxa"/>
            <w:noWrap/>
            <w:tcMar>
              <w:top w:w="0" w:type="dxa"/>
              <w:left w:w="108" w:type="dxa"/>
              <w:bottom w:w="0" w:type="dxa"/>
              <w:right w:w="108" w:type="dxa"/>
            </w:tcMar>
            <w:vAlign w:val="bottom"/>
          </w:tcPr>
          <w:p w:rsidRPr="00AE3015" w:rsidR="00BB7115" w:rsidP="003840D6" w:rsidRDefault="00BB7115" w14:paraId="7F4CC50C" w14:textId="77777777">
            <w:pPr>
              <w:spacing w:after="0"/>
            </w:pPr>
          </w:p>
        </w:tc>
        <w:tc>
          <w:tcPr>
            <w:tcW w:w="1665" w:type="dxa"/>
            <w:shd w:val="clear" w:color="auto" w:fill="BFBFBF" w:themeFill="background1" w:themeFillShade="BF"/>
          </w:tcPr>
          <w:p w:rsidRPr="00AE3015" w:rsidR="00BB7115" w:rsidP="003840D6" w:rsidRDefault="00BB7115" w14:paraId="3F306415" w14:textId="77777777">
            <w:pPr>
              <w:spacing w:after="0"/>
            </w:pPr>
          </w:p>
        </w:tc>
        <w:tc>
          <w:tcPr>
            <w:tcW w:w="1305" w:type="dxa"/>
          </w:tcPr>
          <w:p w:rsidRPr="00AE3015" w:rsidR="00BB7115" w:rsidP="003840D6" w:rsidRDefault="00BB7115" w14:paraId="3E7C43E2" w14:textId="50115140">
            <w:pPr>
              <w:spacing w:after="0"/>
            </w:pPr>
          </w:p>
        </w:tc>
      </w:tr>
      <w:tr w:rsidRPr="00BB7115" w:rsidR="00AE617B" w:rsidTr="00701BF4" w14:paraId="65321D25" w14:textId="77777777">
        <w:trPr>
          <w:trHeight w:val="330"/>
        </w:trPr>
        <w:tc>
          <w:tcPr>
            <w:tcW w:w="2640" w:type="dxa"/>
            <w:noWrap/>
            <w:tcMar>
              <w:top w:w="0" w:type="dxa"/>
              <w:left w:w="108" w:type="dxa"/>
              <w:bottom w:w="0" w:type="dxa"/>
              <w:right w:w="108" w:type="dxa"/>
            </w:tcMar>
            <w:vAlign w:val="bottom"/>
          </w:tcPr>
          <w:p w:rsidRPr="00AE3015" w:rsidR="00AE617B" w:rsidP="00AE617B" w:rsidRDefault="7065544E" w14:paraId="3463A4D6" w14:textId="03DC21A0">
            <w:pPr>
              <w:tabs>
                <w:tab w:val="left" w:pos="244"/>
              </w:tabs>
              <w:spacing w:after="0"/>
              <w:ind w:left="244"/>
            </w:pPr>
            <w:r>
              <w:t>PDC Data Submission</w:t>
            </w:r>
          </w:p>
        </w:tc>
        <w:tc>
          <w:tcPr>
            <w:tcW w:w="1132" w:type="dxa"/>
          </w:tcPr>
          <w:p w:rsidRPr="00AE3015" w:rsidR="00AE617B" w:rsidP="00AE617B" w:rsidRDefault="00AE617B" w14:paraId="6DB772C4" w14:textId="0A111876">
            <w:pPr>
              <w:spacing w:after="0"/>
              <w:jc w:val="center"/>
            </w:pPr>
            <w:r>
              <w:t xml:space="preserve">GS 14/6 </w:t>
            </w:r>
          </w:p>
        </w:tc>
        <w:tc>
          <w:tcPr>
            <w:tcW w:w="1620" w:type="dxa"/>
            <w:noWrap/>
            <w:tcMar>
              <w:top w:w="0" w:type="dxa"/>
              <w:left w:w="108" w:type="dxa"/>
              <w:bottom w:w="0" w:type="dxa"/>
              <w:right w:w="108" w:type="dxa"/>
            </w:tcMar>
            <w:vAlign w:val="bottom"/>
          </w:tcPr>
          <w:p w:rsidRPr="00AE3015" w:rsidR="00AE617B" w:rsidP="00AE617B" w:rsidRDefault="00AE617B" w14:paraId="31BABEEB" w14:textId="79848752">
            <w:pPr>
              <w:spacing w:after="0"/>
              <w:jc w:val="center"/>
            </w:pPr>
            <w:r>
              <w:t>$147,272</w:t>
            </w:r>
          </w:p>
        </w:tc>
        <w:tc>
          <w:tcPr>
            <w:tcW w:w="1260" w:type="dxa"/>
            <w:noWrap/>
            <w:tcMar>
              <w:top w:w="0" w:type="dxa"/>
              <w:left w:w="108" w:type="dxa"/>
              <w:bottom w:w="0" w:type="dxa"/>
              <w:right w:w="108" w:type="dxa"/>
            </w:tcMar>
            <w:vAlign w:val="bottom"/>
          </w:tcPr>
          <w:p w:rsidRPr="00AE3015" w:rsidR="00AE617B" w:rsidP="00AE617B" w:rsidRDefault="74EF96DA" w14:paraId="643AFEA2" w14:textId="28762BA3">
            <w:pPr>
              <w:spacing w:after="0"/>
              <w:jc w:val="center"/>
            </w:pPr>
            <w:r>
              <w:t>2%</w:t>
            </w:r>
          </w:p>
        </w:tc>
        <w:tc>
          <w:tcPr>
            <w:tcW w:w="1665" w:type="dxa"/>
            <w:shd w:val="clear" w:color="auto" w:fill="BFBFBF" w:themeFill="background1" w:themeFillShade="BF"/>
          </w:tcPr>
          <w:p w:rsidRPr="00AE3015" w:rsidR="00AE617B" w:rsidP="00AE617B" w:rsidRDefault="00AE617B" w14:paraId="46476EB5" w14:textId="77777777">
            <w:pPr>
              <w:spacing w:after="0"/>
            </w:pPr>
          </w:p>
        </w:tc>
        <w:tc>
          <w:tcPr>
            <w:tcW w:w="1305" w:type="dxa"/>
          </w:tcPr>
          <w:p w:rsidRPr="00AE3015" w:rsidR="00AE617B" w:rsidP="00701BF4" w:rsidRDefault="74EF96DA" w14:paraId="3D6EF823" w14:textId="1519A687">
            <w:pPr>
              <w:spacing w:after="0"/>
              <w:jc w:val="center"/>
            </w:pPr>
            <w:r>
              <w:t>$2,945.44</w:t>
            </w:r>
          </w:p>
        </w:tc>
      </w:tr>
      <w:tr w:rsidRPr="00BB7115" w:rsidR="00AE617B" w:rsidTr="00701BF4" w14:paraId="43CBAAA9" w14:textId="77777777">
        <w:trPr>
          <w:trHeight w:val="300"/>
        </w:trPr>
        <w:tc>
          <w:tcPr>
            <w:tcW w:w="2640" w:type="dxa"/>
            <w:noWrap/>
            <w:tcMar>
              <w:top w:w="0" w:type="dxa"/>
              <w:left w:w="108" w:type="dxa"/>
              <w:bottom w:w="0" w:type="dxa"/>
              <w:right w:w="108" w:type="dxa"/>
            </w:tcMar>
            <w:vAlign w:val="bottom"/>
          </w:tcPr>
          <w:p w:rsidRPr="00AE3015" w:rsidR="00AE617B" w:rsidP="00AE617B" w:rsidRDefault="00AE617B" w14:paraId="037AFA4F" w14:textId="04A4D3F1">
            <w:pPr>
              <w:tabs>
                <w:tab w:val="left" w:pos="244"/>
              </w:tabs>
              <w:spacing w:after="0"/>
              <w:ind w:left="244"/>
            </w:pPr>
            <w:r>
              <w:t>CDS Data Submission</w:t>
            </w:r>
          </w:p>
        </w:tc>
        <w:tc>
          <w:tcPr>
            <w:tcW w:w="1132" w:type="dxa"/>
          </w:tcPr>
          <w:p w:rsidRPr="00AE617B" w:rsidR="00AE617B" w:rsidP="00AE617B" w:rsidRDefault="00AE617B" w14:paraId="1FE16698" w14:textId="48C8FD4A">
            <w:pPr>
              <w:spacing w:after="0"/>
              <w:jc w:val="center"/>
              <w:rPr>
                <w:rFonts w:cstheme="minorHAnsi"/>
              </w:rPr>
            </w:pPr>
            <w:r w:rsidRPr="00AE617B">
              <w:rPr>
                <w:rFonts w:cstheme="minorHAnsi"/>
              </w:rPr>
              <w:t>GS 14/1</w:t>
            </w:r>
          </w:p>
        </w:tc>
        <w:tc>
          <w:tcPr>
            <w:tcW w:w="1620" w:type="dxa"/>
            <w:noWrap/>
            <w:tcMar>
              <w:top w:w="0" w:type="dxa"/>
              <w:left w:w="108" w:type="dxa"/>
              <w:bottom w:w="0" w:type="dxa"/>
              <w:right w:w="108" w:type="dxa"/>
            </w:tcMar>
            <w:vAlign w:val="bottom"/>
          </w:tcPr>
          <w:p w:rsidRPr="00AE3015" w:rsidR="00AE617B" w:rsidP="00AE617B" w:rsidRDefault="00AE617B" w14:paraId="25298A0C" w14:textId="61310A1F">
            <w:pPr>
              <w:spacing w:after="0"/>
              <w:jc w:val="center"/>
            </w:pPr>
            <w:r>
              <w:t>$126,233</w:t>
            </w:r>
          </w:p>
        </w:tc>
        <w:tc>
          <w:tcPr>
            <w:tcW w:w="1260" w:type="dxa"/>
            <w:noWrap/>
            <w:tcMar>
              <w:top w:w="0" w:type="dxa"/>
              <w:left w:w="108" w:type="dxa"/>
              <w:bottom w:w="0" w:type="dxa"/>
              <w:right w:w="108" w:type="dxa"/>
            </w:tcMar>
            <w:vAlign w:val="bottom"/>
          </w:tcPr>
          <w:p w:rsidRPr="00AE3015" w:rsidR="00AE617B" w:rsidP="00AE617B" w:rsidRDefault="74EF96DA" w14:paraId="45A1A402" w14:textId="42782592">
            <w:pPr>
              <w:spacing w:after="0"/>
              <w:jc w:val="center"/>
            </w:pPr>
            <w:r>
              <w:t>3%</w:t>
            </w:r>
          </w:p>
        </w:tc>
        <w:tc>
          <w:tcPr>
            <w:tcW w:w="1665" w:type="dxa"/>
            <w:shd w:val="clear" w:color="auto" w:fill="BFBFBF" w:themeFill="background1" w:themeFillShade="BF"/>
          </w:tcPr>
          <w:p w:rsidRPr="00AE3015" w:rsidR="00AE617B" w:rsidP="00AE617B" w:rsidRDefault="00AE617B" w14:paraId="651DBCA9" w14:textId="77777777">
            <w:pPr>
              <w:spacing w:after="0"/>
            </w:pPr>
          </w:p>
        </w:tc>
        <w:tc>
          <w:tcPr>
            <w:tcW w:w="1305" w:type="dxa"/>
          </w:tcPr>
          <w:p w:rsidRPr="00AE3015" w:rsidR="00AE617B" w:rsidP="00701BF4" w:rsidRDefault="74EF96DA" w14:paraId="40DB9ABA" w14:textId="7ADD2086">
            <w:pPr>
              <w:spacing w:after="0"/>
              <w:jc w:val="center"/>
            </w:pPr>
            <w:r>
              <w:t>$3,786.99</w:t>
            </w:r>
          </w:p>
        </w:tc>
      </w:tr>
      <w:tr w:rsidRPr="00BB7115" w:rsidR="00AE617B" w:rsidTr="00701BF4" w14:paraId="4A9429F1" w14:textId="77777777">
        <w:trPr>
          <w:trHeight w:val="300"/>
        </w:trPr>
        <w:tc>
          <w:tcPr>
            <w:tcW w:w="2640" w:type="dxa"/>
            <w:noWrap/>
            <w:tcMar>
              <w:top w:w="0" w:type="dxa"/>
              <w:left w:w="108" w:type="dxa"/>
              <w:bottom w:w="0" w:type="dxa"/>
              <w:right w:w="108" w:type="dxa"/>
            </w:tcMar>
            <w:vAlign w:val="bottom"/>
          </w:tcPr>
          <w:p w:rsidRPr="00AE3015" w:rsidR="00AE617B" w:rsidP="00AE617B" w:rsidRDefault="00AE617B" w14:paraId="610EBA28" w14:textId="1BF515FE">
            <w:pPr>
              <w:tabs>
                <w:tab w:val="left" w:pos="244"/>
              </w:tabs>
              <w:spacing w:after="0"/>
              <w:ind w:left="244"/>
            </w:pPr>
            <w:r>
              <w:t>ICDC Data Submission</w:t>
            </w:r>
          </w:p>
        </w:tc>
        <w:tc>
          <w:tcPr>
            <w:tcW w:w="1132" w:type="dxa"/>
          </w:tcPr>
          <w:p w:rsidR="7065544E" w:rsidP="74EF96DA" w:rsidRDefault="7065544E" w14:paraId="30E8FD99" w14:textId="3F25EF3A">
            <w:pPr>
              <w:spacing w:after="0"/>
              <w:jc w:val="center"/>
            </w:pPr>
            <w:r>
              <w:t xml:space="preserve">GS 14/6 </w:t>
            </w:r>
          </w:p>
        </w:tc>
        <w:tc>
          <w:tcPr>
            <w:tcW w:w="1620" w:type="dxa"/>
            <w:noWrap/>
            <w:tcMar>
              <w:top w:w="0" w:type="dxa"/>
              <w:left w:w="108" w:type="dxa"/>
              <w:bottom w:w="0" w:type="dxa"/>
              <w:right w:w="108" w:type="dxa"/>
            </w:tcMar>
          </w:tcPr>
          <w:p w:rsidR="7065544E" w:rsidP="74EF96DA" w:rsidRDefault="7065544E" w14:paraId="6AEBED7F" w14:textId="79848752">
            <w:pPr>
              <w:spacing w:after="0"/>
              <w:jc w:val="center"/>
            </w:pPr>
            <w:r>
              <w:t>$147,272</w:t>
            </w:r>
          </w:p>
        </w:tc>
        <w:tc>
          <w:tcPr>
            <w:tcW w:w="1260" w:type="dxa"/>
            <w:noWrap/>
            <w:tcMar>
              <w:top w:w="0" w:type="dxa"/>
              <w:left w:w="108" w:type="dxa"/>
              <w:bottom w:w="0" w:type="dxa"/>
              <w:right w:w="108" w:type="dxa"/>
            </w:tcMar>
          </w:tcPr>
          <w:p w:rsidR="74EF96DA" w:rsidP="74EF96DA" w:rsidRDefault="74EF96DA" w14:paraId="18925A8A" w14:textId="24BD93B4">
            <w:pPr>
              <w:spacing w:after="0"/>
              <w:jc w:val="center"/>
            </w:pPr>
            <w:r>
              <w:t>2%</w:t>
            </w:r>
          </w:p>
        </w:tc>
        <w:tc>
          <w:tcPr>
            <w:tcW w:w="1665" w:type="dxa"/>
            <w:shd w:val="clear" w:color="auto" w:fill="BFBFBF" w:themeFill="background1" w:themeFillShade="BF"/>
          </w:tcPr>
          <w:p w:rsidRPr="00AE3015" w:rsidR="00AE617B" w:rsidP="74EF96DA" w:rsidRDefault="00AE617B" w14:paraId="2BA40D27" w14:textId="77777777">
            <w:pPr>
              <w:spacing w:after="0"/>
              <w:jc w:val="center"/>
            </w:pPr>
          </w:p>
        </w:tc>
        <w:tc>
          <w:tcPr>
            <w:tcW w:w="1305" w:type="dxa"/>
          </w:tcPr>
          <w:p w:rsidRPr="00AE3015" w:rsidR="00AE617B" w:rsidP="00701BF4" w:rsidRDefault="74EF96DA" w14:paraId="4F9963BD" w14:textId="1EF060B3">
            <w:pPr>
              <w:spacing w:after="0"/>
              <w:jc w:val="center"/>
            </w:pPr>
            <w:r>
              <w:t>$2,945.44</w:t>
            </w:r>
          </w:p>
        </w:tc>
      </w:tr>
      <w:tr w:rsidRPr="00BB7115" w:rsidR="00AE617B" w:rsidTr="00701BF4" w14:paraId="40ABB5F3" w14:textId="77777777">
        <w:trPr>
          <w:trHeight w:val="300"/>
        </w:trPr>
        <w:tc>
          <w:tcPr>
            <w:tcW w:w="2640" w:type="dxa"/>
            <w:noWrap/>
            <w:tcMar>
              <w:top w:w="0" w:type="dxa"/>
              <w:left w:w="108" w:type="dxa"/>
              <w:bottom w:w="0" w:type="dxa"/>
              <w:right w:w="108" w:type="dxa"/>
            </w:tcMar>
            <w:vAlign w:val="bottom"/>
          </w:tcPr>
          <w:p w:rsidRPr="00820294" w:rsidR="00AE617B" w:rsidP="00AE617B" w:rsidRDefault="00AE617B" w14:paraId="01A15768" w14:textId="77777777">
            <w:pPr>
              <w:spacing w:after="0"/>
              <w:rPr>
                <w:b/>
                <w:bCs/>
              </w:rPr>
            </w:pPr>
            <w:r w:rsidRPr="00820294">
              <w:rPr>
                <w:b/>
                <w:bCs/>
              </w:rPr>
              <w:t>Contractor Cost</w:t>
            </w:r>
          </w:p>
        </w:tc>
        <w:tc>
          <w:tcPr>
            <w:tcW w:w="1132" w:type="dxa"/>
            <w:shd w:val="clear" w:color="auto" w:fill="BFBFBF" w:themeFill="background1" w:themeFillShade="BF"/>
          </w:tcPr>
          <w:p w:rsidRPr="00AE3015" w:rsidR="00AE617B" w:rsidP="00AE617B" w:rsidRDefault="00AE617B" w14:paraId="25A2E070" w14:textId="77777777">
            <w:pPr>
              <w:spacing w:after="0"/>
            </w:pPr>
          </w:p>
        </w:tc>
        <w:tc>
          <w:tcPr>
            <w:tcW w:w="1620" w:type="dxa"/>
            <w:shd w:val="clear" w:color="auto" w:fill="BFBFBF" w:themeFill="background1" w:themeFillShade="BF"/>
            <w:noWrap/>
            <w:tcMar>
              <w:top w:w="0" w:type="dxa"/>
              <w:left w:w="108" w:type="dxa"/>
              <w:bottom w:w="0" w:type="dxa"/>
              <w:right w:w="108" w:type="dxa"/>
            </w:tcMar>
          </w:tcPr>
          <w:p w:rsidRPr="00AE3015" w:rsidR="00AE617B" w:rsidP="00AE617B" w:rsidRDefault="00AE617B" w14:paraId="7488F03E" w14:textId="77777777">
            <w:pPr>
              <w:spacing w:after="0"/>
            </w:pPr>
          </w:p>
        </w:tc>
        <w:tc>
          <w:tcPr>
            <w:tcW w:w="1260" w:type="dxa"/>
            <w:shd w:val="clear" w:color="auto" w:fill="BFBFBF" w:themeFill="background1" w:themeFillShade="BF"/>
            <w:noWrap/>
            <w:tcMar>
              <w:top w:w="0" w:type="dxa"/>
              <w:left w:w="108" w:type="dxa"/>
              <w:bottom w:w="0" w:type="dxa"/>
              <w:right w:w="108" w:type="dxa"/>
            </w:tcMar>
            <w:vAlign w:val="bottom"/>
          </w:tcPr>
          <w:p w:rsidRPr="00AE3015" w:rsidR="00AE617B" w:rsidP="00AE617B" w:rsidRDefault="00AE617B" w14:paraId="447571C6" w14:textId="77777777">
            <w:pPr>
              <w:spacing w:after="0"/>
            </w:pPr>
          </w:p>
        </w:tc>
        <w:tc>
          <w:tcPr>
            <w:tcW w:w="1665" w:type="dxa"/>
            <w:shd w:val="clear" w:color="auto" w:fill="BFBFBF" w:themeFill="background1" w:themeFillShade="BF"/>
            <w:vAlign w:val="bottom"/>
          </w:tcPr>
          <w:p w:rsidRPr="00AE3015" w:rsidR="00AE617B" w:rsidP="00AE617B" w:rsidRDefault="00AE617B" w14:paraId="689A82BB" w14:textId="77777777">
            <w:pPr>
              <w:spacing w:after="0"/>
            </w:pPr>
          </w:p>
        </w:tc>
        <w:tc>
          <w:tcPr>
            <w:tcW w:w="1305" w:type="dxa"/>
          </w:tcPr>
          <w:p w:rsidRPr="00AE3015" w:rsidR="00AE617B" w:rsidP="00701BF4" w:rsidRDefault="38469201" w14:paraId="0A963CEB" w14:textId="1319F059">
            <w:pPr>
              <w:spacing w:after="0"/>
              <w:jc w:val="center"/>
            </w:pPr>
            <w:r>
              <w:t>$0.00</w:t>
            </w:r>
          </w:p>
        </w:tc>
      </w:tr>
      <w:tr w:rsidRPr="00BB7115" w:rsidR="00AE617B" w:rsidTr="00701BF4" w14:paraId="7E53C2C3" w14:textId="77777777">
        <w:trPr>
          <w:trHeight w:val="300"/>
        </w:trPr>
        <w:tc>
          <w:tcPr>
            <w:tcW w:w="2640" w:type="dxa"/>
            <w:noWrap/>
            <w:tcMar>
              <w:top w:w="0" w:type="dxa"/>
              <w:left w:w="108" w:type="dxa"/>
              <w:bottom w:w="0" w:type="dxa"/>
              <w:right w:w="108" w:type="dxa"/>
            </w:tcMar>
            <w:vAlign w:val="bottom"/>
          </w:tcPr>
          <w:p w:rsidRPr="00820294" w:rsidR="00AE617B" w:rsidP="00AE617B" w:rsidRDefault="00AE617B" w14:paraId="33B26587" w14:textId="77777777">
            <w:pPr>
              <w:spacing w:after="0"/>
              <w:rPr>
                <w:b/>
                <w:bCs/>
              </w:rPr>
            </w:pPr>
            <w:r w:rsidRPr="00820294">
              <w:rPr>
                <w:b/>
                <w:bCs/>
              </w:rPr>
              <w:t>Travel</w:t>
            </w:r>
          </w:p>
        </w:tc>
        <w:tc>
          <w:tcPr>
            <w:tcW w:w="1132" w:type="dxa"/>
            <w:shd w:val="clear" w:color="auto" w:fill="BFBFBF" w:themeFill="background1" w:themeFillShade="BF"/>
          </w:tcPr>
          <w:p w:rsidRPr="00AE3015" w:rsidR="00AE617B" w:rsidP="00AE617B" w:rsidRDefault="00AE617B" w14:paraId="5DEDB64C" w14:textId="77777777">
            <w:pPr>
              <w:spacing w:after="0"/>
            </w:pPr>
          </w:p>
        </w:tc>
        <w:tc>
          <w:tcPr>
            <w:tcW w:w="1620" w:type="dxa"/>
            <w:shd w:val="clear" w:color="auto" w:fill="BFBFBF" w:themeFill="background1" w:themeFillShade="BF"/>
            <w:noWrap/>
            <w:tcMar>
              <w:top w:w="0" w:type="dxa"/>
              <w:left w:w="108" w:type="dxa"/>
              <w:bottom w:w="0" w:type="dxa"/>
              <w:right w:w="108" w:type="dxa"/>
            </w:tcMar>
            <w:vAlign w:val="bottom"/>
          </w:tcPr>
          <w:p w:rsidRPr="00AE3015" w:rsidR="00AE617B" w:rsidP="00AE617B" w:rsidRDefault="00AE617B" w14:paraId="03775BAD" w14:textId="77777777">
            <w:pPr>
              <w:spacing w:after="0"/>
            </w:pPr>
          </w:p>
        </w:tc>
        <w:tc>
          <w:tcPr>
            <w:tcW w:w="1260" w:type="dxa"/>
            <w:shd w:val="clear" w:color="auto" w:fill="BFBFBF" w:themeFill="background1" w:themeFillShade="BF"/>
            <w:noWrap/>
            <w:tcMar>
              <w:top w:w="0" w:type="dxa"/>
              <w:left w:w="108" w:type="dxa"/>
              <w:bottom w:w="0" w:type="dxa"/>
              <w:right w:w="108" w:type="dxa"/>
            </w:tcMar>
            <w:vAlign w:val="bottom"/>
          </w:tcPr>
          <w:p w:rsidRPr="00AE3015" w:rsidR="00AE617B" w:rsidP="00AE617B" w:rsidRDefault="00AE617B" w14:paraId="1504BC10" w14:textId="77777777">
            <w:pPr>
              <w:spacing w:after="0"/>
            </w:pPr>
          </w:p>
        </w:tc>
        <w:tc>
          <w:tcPr>
            <w:tcW w:w="1665" w:type="dxa"/>
            <w:shd w:val="clear" w:color="auto" w:fill="BFBFBF" w:themeFill="background1" w:themeFillShade="BF"/>
          </w:tcPr>
          <w:p w:rsidRPr="00AE3015" w:rsidR="00AE617B" w:rsidP="00AE617B" w:rsidRDefault="00AE617B" w14:paraId="71AF7ED6" w14:textId="77777777">
            <w:pPr>
              <w:spacing w:after="0"/>
            </w:pPr>
          </w:p>
        </w:tc>
        <w:tc>
          <w:tcPr>
            <w:tcW w:w="1305" w:type="dxa"/>
          </w:tcPr>
          <w:p w:rsidRPr="00AE3015" w:rsidR="00AE617B" w:rsidP="00701BF4" w:rsidRDefault="00684649" w14:paraId="74A1CD74" w14:textId="38AD6B22">
            <w:pPr>
              <w:spacing w:after="0"/>
              <w:jc w:val="center"/>
            </w:pPr>
            <w:r>
              <w:t>$0.00</w:t>
            </w:r>
          </w:p>
        </w:tc>
      </w:tr>
      <w:tr w:rsidRPr="00BB7115" w:rsidR="00AE617B" w:rsidTr="00701BF4" w14:paraId="263F059A" w14:textId="77777777">
        <w:trPr>
          <w:trHeight w:val="300"/>
        </w:trPr>
        <w:tc>
          <w:tcPr>
            <w:tcW w:w="2640" w:type="dxa"/>
            <w:noWrap/>
            <w:tcMar>
              <w:top w:w="0" w:type="dxa"/>
              <w:left w:w="108" w:type="dxa"/>
              <w:bottom w:w="0" w:type="dxa"/>
              <w:right w:w="108" w:type="dxa"/>
            </w:tcMar>
            <w:vAlign w:val="bottom"/>
          </w:tcPr>
          <w:p w:rsidRPr="00820294" w:rsidR="00AE617B" w:rsidP="00AE617B" w:rsidRDefault="00AE617B" w14:paraId="6E63BB22" w14:textId="77777777">
            <w:pPr>
              <w:spacing w:after="0"/>
              <w:rPr>
                <w:b/>
                <w:bCs/>
              </w:rPr>
            </w:pPr>
            <w:r w:rsidRPr="00820294">
              <w:rPr>
                <w:b/>
                <w:bCs/>
              </w:rPr>
              <w:t>Other Cost</w:t>
            </w:r>
          </w:p>
        </w:tc>
        <w:tc>
          <w:tcPr>
            <w:tcW w:w="1132" w:type="dxa"/>
            <w:tcBorders>
              <w:bottom w:val="single" w:color="auto" w:sz="6" w:space="0"/>
            </w:tcBorders>
            <w:shd w:val="clear" w:color="auto" w:fill="BFBFBF" w:themeFill="background1" w:themeFillShade="BF"/>
          </w:tcPr>
          <w:p w:rsidRPr="00AE3015" w:rsidR="00AE617B" w:rsidP="00AE617B" w:rsidRDefault="00AE617B" w14:paraId="030EF0C8" w14:textId="77777777">
            <w:pPr>
              <w:spacing w:after="0"/>
            </w:pPr>
          </w:p>
        </w:tc>
        <w:tc>
          <w:tcPr>
            <w:tcW w:w="1620" w:type="dxa"/>
            <w:tcBorders>
              <w:bottom w:val="single" w:color="auto" w:sz="6" w:space="0"/>
            </w:tcBorders>
            <w:shd w:val="clear" w:color="auto" w:fill="BFBFBF" w:themeFill="background1" w:themeFillShade="BF"/>
            <w:noWrap/>
            <w:tcMar>
              <w:top w:w="0" w:type="dxa"/>
              <w:left w:w="108" w:type="dxa"/>
              <w:bottom w:w="0" w:type="dxa"/>
              <w:right w:w="108" w:type="dxa"/>
            </w:tcMar>
            <w:vAlign w:val="bottom"/>
          </w:tcPr>
          <w:p w:rsidRPr="00AE3015" w:rsidR="00AE617B" w:rsidP="00AE617B" w:rsidRDefault="00AE617B" w14:paraId="6F37CBA5" w14:textId="77777777">
            <w:pPr>
              <w:spacing w:after="0"/>
            </w:pPr>
          </w:p>
        </w:tc>
        <w:tc>
          <w:tcPr>
            <w:tcW w:w="1260" w:type="dxa"/>
            <w:tcBorders>
              <w:bottom w:val="single" w:color="auto" w:sz="6" w:space="0"/>
            </w:tcBorders>
            <w:shd w:val="clear" w:color="auto" w:fill="BFBFBF" w:themeFill="background1" w:themeFillShade="BF"/>
            <w:noWrap/>
            <w:tcMar>
              <w:top w:w="0" w:type="dxa"/>
              <w:left w:w="108" w:type="dxa"/>
              <w:bottom w:w="0" w:type="dxa"/>
              <w:right w:w="108" w:type="dxa"/>
            </w:tcMar>
            <w:vAlign w:val="bottom"/>
          </w:tcPr>
          <w:p w:rsidRPr="00AE3015" w:rsidR="00AE617B" w:rsidP="00AE617B" w:rsidRDefault="00AE617B" w14:paraId="4A8C727A" w14:textId="77777777">
            <w:pPr>
              <w:spacing w:after="0"/>
            </w:pPr>
          </w:p>
        </w:tc>
        <w:tc>
          <w:tcPr>
            <w:tcW w:w="1665" w:type="dxa"/>
            <w:tcBorders>
              <w:bottom w:val="single" w:color="auto" w:sz="6" w:space="0"/>
            </w:tcBorders>
            <w:shd w:val="clear" w:color="auto" w:fill="BFBFBF" w:themeFill="background1" w:themeFillShade="BF"/>
          </w:tcPr>
          <w:p w:rsidRPr="00AE3015" w:rsidR="00AE617B" w:rsidP="00AE617B" w:rsidRDefault="00AE617B" w14:paraId="091094B4" w14:textId="77777777">
            <w:pPr>
              <w:spacing w:after="0"/>
            </w:pPr>
          </w:p>
        </w:tc>
        <w:tc>
          <w:tcPr>
            <w:tcW w:w="1305" w:type="dxa"/>
          </w:tcPr>
          <w:p w:rsidRPr="00AE3015" w:rsidR="00AE617B" w:rsidP="00701BF4" w:rsidRDefault="00684649" w14:paraId="5C2583D2" w14:textId="5AF640F7">
            <w:pPr>
              <w:spacing w:after="0"/>
              <w:jc w:val="center"/>
            </w:pPr>
            <w:r>
              <w:t>$0.00</w:t>
            </w:r>
          </w:p>
        </w:tc>
      </w:tr>
      <w:tr w:rsidRPr="00BB7115" w:rsidR="00AE617B" w:rsidTr="00701BF4" w14:paraId="79E3FD37" w14:textId="77777777">
        <w:trPr>
          <w:trHeight w:val="300"/>
        </w:trPr>
        <w:tc>
          <w:tcPr>
            <w:tcW w:w="2640" w:type="dxa"/>
            <w:noWrap/>
            <w:tcMar>
              <w:top w:w="0" w:type="dxa"/>
              <w:left w:w="108" w:type="dxa"/>
              <w:bottom w:w="0" w:type="dxa"/>
              <w:right w:w="108" w:type="dxa"/>
            </w:tcMar>
            <w:vAlign w:val="bottom"/>
            <w:hideMark/>
          </w:tcPr>
          <w:p w:rsidRPr="00820294" w:rsidR="00AE617B" w:rsidP="00AE617B" w:rsidRDefault="00AE617B" w14:paraId="45AD555A" w14:textId="696999E8">
            <w:pPr>
              <w:spacing w:after="0"/>
              <w:rPr>
                <w:b/>
                <w:bCs/>
              </w:rPr>
            </w:pPr>
            <w:r w:rsidRPr="00820294">
              <w:rPr>
                <w:b/>
                <w:bCs/>
              </w:rPr>
              <w:t>Total</w:t>
            </w:r>
          </w:p>
        </w:tc>
        <w:tc>
          <w:tcPr>
            <w:tcW w:w="1132" w:type="dxa"/>
          </w:tcPr>
          <w:p w:rsidRPr="00820294" w:rsidR="00AE617B" w:rsidP="00AE617B" w:rsidRDefault="00AE617B" w14:paraId="25B04672" w14:textId="77777777">
            <w:pPr>
              <w:spacing w:after="0"/>
              <w:rPr>
                <w:b/>
                <w:bCs/>
              </w:rPr>
            </w:pPr>
          </w:p>
        </w:tc>
        <w:tc>
          <w:tcPr>
            <w:tcW w:w="1620" w:type="dxa"/>
            <w:noWrap/>
            <w:tcMar>
              <w:top w:w="0" w:type="dxa"/>
              <w:left w:w="108" w:type="dxa"/>
              <w:bottom w:w="0" w:type="dxa"/>
              <w:right w:w="108" w:type="dxa"/>
            </w:tcMar>
            <w:vAlign w:val="bottom"/>
            <w:hideMark/>
          </w:tcPr>
          <w:p w:rsidRPr="00820294" w:rsidR="00AE617B" w:rsidP="00AE617B" w:rsidRDefault="00AE617B" w14:paraId="768B5AB4" w14:textId="77777777">
            <w:pPr>
              <w:spacing w:after="0"/>
              <w:rPr>
                <w:b/>
                <w:bCs/>
              </w:rPr>
            </w:pPr>
          </w:p>
        </w:tc>
        <w:tc>
          <w:tcPr>
            <w:tcW w:w="1260" w:type="dxa"/>
            <w:noWrap/>
            <w:tcMar>
              <w:top w:w="0" w:type="dxa"/>
              <w:left w:w="108" w:type="dxa"/>
              <w:bottom w:w="0" w:type="dxa"/>
              <w:right w:w="108" w:type="dxa"/>
            </w:tcMar>
            <w:vAlign w:val="bottom"/>
            <w:hideMark/>
          </w:tcPr>
          <w:p w:rsidRPr="00820294" w:rsidR="00AE617B" w:rsidP="00AE617B" w:rsidRDefault="00AE617B" w14:paraId="5B239CAE" w14:textId="77777777">
            <w:pPr>
              <w:spacing w:after="0"/>
              <w:rPr>
                <w:b/>
                <w:bCs/>
              </w:rPr>
            </w:pPr>
          </w:p>
        </w:tc>
        <w:tc>
          <w:tcPr>
            <w:tcW w:w="1665" w:type="dxa"/>
          </w:tcPr>
          <w:p w:rsidRPr="00820294" w:rsidR="00AE617B" w:rsidP="74EF96DA" w:rsidRDefault="00AE617B" w14:paraId="003EB1A1" w14:textId="77777777">
            <w:pPr>
              <w:spacing w:after="0"/>
            </w:pPr>
          </w:p>
        </w:tc>
        <w:tc>
          <w:tcPr>
            <w:tcW w:w="1305" w:type="dxa"/>
          </w:tcPr>
          <w:p w:rsidRPr="00820294" w:rsidR="00AE617B" w:rsidP="00701BF4" w:rsidRDefault="74EF96DA" w14:paraId="00312EFB" w14:textId="6B236995">
            <w:pPr>
              <w:spacing w:after="0"/>
              <w:jc w:val="center"/>
              <w:rPr>
                <w:b/>
                <w:bCs/>
              </w:rPr>
            </w:pPr>
            <w:r w:rsidRPr="74EF96DA">
              <w:rPr>
                <w:b/>
                <w:bCs/>
              </w:rPr>
              <w:t>$9,677.87</w:t>
            </w:r>
          </w:p>
        </w:tc>
      </w:tr>
    </w:tbl>
    <w:p w:rsidRPr="00701BF4" w:rsidR="00BB7115" w:rsidP="74EF96DA" w:rsidRDefault="00403366" w14:paraId="1307F025" w14:textId="32F4BCE6">
      <w:pPr>
        <w:spacing w:after="20"/>
        <w:rPr>
          <w:rFonts w:ascii="Calibri" w:hAnsi="Calibri"/>
          <w:sz w:val="18"/>
          <w:szCs w:val="18"/>
        </w:rPr>
      </w:pPr>
      <w:r w:rsidRPr="00701BF4">
        <w:rPr>
          <w:sz w:val="18"/>
          <w:szCs w:val="18"/>
          <w:lang w:eastAsia="zh-CN"/>
        </w:rPr>
        <w:t>**The salary in the table above is cited from</w:t>
      </w:r>
      <w:r w:rsidRPr="00701BF4">
        <w:rPr>
          <w:sz w:val="18"/>
          <w:szCs w:val="18"/>
        </w:rPr>
        <w:t xml:space="preserve"> </w:t>
      </w:r>
      <w:hyperlink r:id="rId9">
        <w:r w:rsidRPr="00701BF4" w:rsidR="000467DC">
          <w:rPr>
            <w:rStyle w:val="Hyperlink"/>
            <w:sz w:val="18"/>
            <w:szCs w:val="18"/>
          </w:rPr>
          <w:t>https://www.opm.gov/policy-data-oversight/pay-leave/salaries-wages/salary-tables/pdf/2022/DCB.pdf</w:t>
        </w:r>
      </w:hyperlink>
    </w:p>
    <w:p w:rsidR="00523B37" w:rsidP="003840D6" w:rsidRDefault="00523B37" w14:paraId="1FAD5A3C" w14:textId="77777777">
      <w:pPr>
        <w:spacing w:after="20"/>
        <w:rPr>
          <w:b/>
        </w:rPr>
      </w:pPr>
    </w:p>
    <w:p w:rsidRPr="00113647" w:rsidR="00713CF8" w:rsidP="003840D6" w:rsidRDefault="00713CF8" w14:paraId="32946DA5" w14:textId="3252705C">
      <w:pPr>
        <w:spacing w:after="20"/>
        <w:rPr>
          <w:b/>
        </w:rPr>
      </w:pPr>
      <w:r w:rsidRPr="00113647">
        <w:rPr>
          <w:b/>
        </w:rPr>
        <w:t>A.15 Explanation for Program Changes or Adjustments</w:t>
      </w:r>
    </w:p>
    <w:p w:rsidRPr="00321FAE" w:rsidR="00FD7A51" w:rsidP="003840D6" w:rsidRDefault="008D145C" w14:paraId="4F214EA2" w14:textId="2DAE6853">
      <w:pPr>
        <w:spacing w:after="20"/>
      </w:pPr>
      <w:r>
        <w:t>N/A</w:t>
      </w:r>
      <w:r w:rsidR="00D368B1">
        <w:t>.</w:t>
      </w:r>
      <w:r w:rsidR="005858BF">
        <w:t xml:space="preserve">  </w:t>
      </w:r>
    </w:p>
    <w:p w:rsidR="00321FAE" w:rsidP="003840D6" w:rsidRDefault="00321FAE" w14:paraId="087146EA" w14:textId="77777777">
      <w:pPr>
        <w:spacing w:after="20"/>
        <w:rPr>
          <w:b/>
        </w:rPr>
      </w:pPr>
    </w:p>
    <w:p w:rsidRPr="00113647" w:rsidR="00713CF8" w:rsidP="003840D6" w:rsidRDefault="00713CF8" w14:paraId="015AAAC0" w14:textId="28596480">
      <w:pPr>
        <w:spacing w:after="20"/>
        <w:rPr>
          <w:b/>
        </w:rPr>
      </w:pPr>
      <w:r w:rsidRPr="74EF96DA">
        <w:rPr>
          <w:b/>
          <w:bCs/>
        </w:rPr>
        <w:t>A.16 Plans for Tabulation and Publication and Project Time Schedule</w:t>
      </w:r>
    </w:p>
    <w:p w:rsidR="74EF96DA" w:rsidP="74EF96DA" w:rsidRDefault="74EF96DA" w14:paraId="2B4948F4" w14:textId="4CD92731">
      <w:pPr>
        <w:spacing w:after="20"/>
        <w:rPr>
          <w:rFonts w:ascii="Calibri" w:hAnsi="Calibri" w:eastAsia="Calibri" w:cs="Calibri"/>
          <w:color w:val="000000" w:themeColor="text1"/>
        </w:rPr>
      </w:pPr>
      <w:r w:rsidRPr="74EF96DA">
        <w:rPr>
          <w:rFonts w:ascii="Calibri" w:hAnsi="Calibri" w:eastAsia="Calibri" w:cs="Calibri"/>
          <w:color w:val="000000" w:themeColor="text1"/>
        </w:rPr>
        <w:t>Results collected from these Data Submission Request Forms will not be published on the portals.</w:t>
      </w:r>
      <w:r w:rsidR="002157E7">
        <w:rPr>
          <w:rFonts w:ascii="Calibri" w:hAnsi="Calibri" w:eastAsia="Calibri" w:cs="Calibri"/>
          <w:color w:val="000000" w:themeColor="text1"/>
        </w:rPr>
        <w:t xml:space="preserve"> </w:t>
      </w:r>
      <w:r w:rsidR="002157E7">
        <w:t>This information may be shared with a repository that will follow its own operational timelines for uploading study data and publishing the study information on its portal.</w:t>
      </w:r>
    </w:p>
    <w:p w:rsidRPr="00113647" w:rsidR="000467DC" w:rsidP="003840D6" w:rsidRDefault="000467DC" w14:paraId="48C77085" w14:textId="77777777">
      <w:pPr>
        <w:spacing w:after="20"/>
      </w:pPr>
    </w:p>
    <w:p w:rsidRPr="00113647" w:rsidR="00713CF8" w:rsidP="003840D6" w:rsidRDefault="00713CF8" w14:paraId="610ABA80" w14:textId="77777777">
      <w:pPr>
        <w:spacing w:after="20"/>
        <w:rPr>
          <w:b/>
        </w:rPr>
      </w:pPr>
      <w:r w:rsidRPr="00113647">
        <w:rPr>
          <w:b/>
        </w:rPr>
        <w:t>A.17 Reason(s) Display of OMB Expiration Date is Inappropriate</w:t>
      </w:r>
    </w:p>
    <w:p w:rsidRPr="006C741C" w:rsidR="00C019D9" w:rsidP="00C019D9" w:rsidRDefault="00C019D9" w14:paraId="7B98983C" w14:textId="77777777">
      <w:pPr>
        <w:spacing w:after="0"/>
        <w:rPr>
          <w:rFonts w:cstheme="minorHAnsi"/>
        </w:rPr>
      </w:pPr>
      <w:r w:rsidRPr="00225BB0">
        <w:rPr>
          <w:rFonts w:cstheme="minorHAnsi"/>
        </w:rPr>
        <w:t xml:space="preserve">There is no request for exemption from displaying the expiration date </w:t>
      </w:r>
      <w:r>
        <w:rPr>
          <w:rFonts w:cstheme="minorHAnsi"/>
        </w:rPr>
        <w:t>of</w:t>
      </w:r>
      <w:r w:rsidRPr="00225BB0">
        <w:rPr>
          <w:rFonts w:cstheme="minorHAnsi"/>
        </w:rPr>
        <w:t xml:space="preserve"> OMB approval.</w:t>
      </w:r>
    </w:p>
    <w:p w:rsidRPr="00113647" w:rsidR="00C019D9" w:rsidP="00C019D9" w:rsidRDefault="00C019D9" w14:paraId="28152FC8" w14:textId="77777777">
      <w:pPr>
        <w:spacing w:after="20"/>
      </w:pPr>
    </w:p>
    <w:p w:rsidRPr="00113647" w:rsidR="00C019D9" w:rsidP="00C019D9" w:rsidRDefault="00C019D9" w14:paraId="4FD6DA68" w14:textId="77777777">
      <w:pPr>
        <w:spacing w:after="20"/>
        <w:rPr>
          <w:b/>
        </w:rPr>
      </w:pPr>
      <w:r w:rsidRPr="00113647">
        <w:rPr>
          <w:b/>
        </w:rPr>
        <w:t>A.18 Exceptions to Certification for Paperwork Reduction Act Submissions</w:t>
      </w:r>
    </w:p>
    <w:p w:rsidRPr="00701BF4" w:rsidR="003237CA" w:rsidP="00701BF4" w:rsidRDefault="00C019D9" w14:paraId="5CE9EDB2" w14:textId="12AFA349">
      <w:pPr>
        <w:spacing w:after="0"/>
        <w:rPr>
          <w:color w:val="000000"/>
        </w:rPr>
      </w:pPr>
      <w:r w:rsidRPr="00225BB0">
        <w:rPr>
          <w:rFonts w:cstheme="minorHAnsi"/>
          <w:color w:val="000000"/>
        </w:rPr>
        <w:t>There are no exceptions to the Certificatio</w:t>
      </w:r>
      <w:r w:rsidRPr="00A85FAC">
        <w:rPr>
          <w:color w:val="000000"/>
        </w:rPr>
        <w:t>n for Paperwork Reduction Act Submissions.</w:t>
      </w:r>
    </w:p>
    <w:sectPr w:rsidRPr="00701BF4" w:rsidR="003237CA" w:rsidSect="00701BF4">
      <w:headerReference w:type="even" r:id="rId10"/>
      <w:headerReference w:type="default" r:id="rId11"/>
      <w:footerReference w:type="even" r:id="rId12"/>
      <w:footerReference w:type="default" r:id="rId13"/>
      <w:headerReference w:type="first" r:id="rId14"/>
      <w:footerReference w:type="first" r:id="rId15"/>
      <w:pgSz w:w="12240" w:h="15840"/>
      <w:pgMar w:top="630" w:right="990" w:bottom="1170" w:left="99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AB08" w14:textId="77777777" w:rsidR="00E61366" w:rsidRDefault="00E61366" w:rsidP="005676C6">
      <w:pPr>
        <w:spacing w:after="0" w:line="240" w:lineRule="auto"/>
      </w:pPr>
      <w:r>
        <w:separator/>
      </w:r>
    </w:p>
  </w:endnote>
  <w:endnote w:type="continuationSeparator" w:id="0">
    <w:p w14:paraId="69D86705" w14:textId="77777777" w:rsidR="00E61366" w:rsidRDefault="00E61366"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2BD5" w14:textId="77777777" w:rsidR="009319B2" w:rsidRDefault="0093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335" w14:textId="77777777" w:rsidR="00E61366" w:rsidRDefault="00E61366" w:rsidP="005676C6">
      <w:pPr>
        <w:spacing w:after="0" w:line="240" w:lineRule="auto"/>
      </w:pPr>
      <w:r>
        <w:separator/>
      </w:r>
    </w:p>
  </w:footnote>
  <w:footnote w:type="continuationSeparator" w:id="0">
    <w:p w14:paraId="52F4EE34" w14:textId="77777777" w:rsidR="00E61366" w:rsidRDefault="00E61366"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9E83" w14:textId="77777777" w:rsidR="009319B2" w:rsidRDefault="0093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AE63" w14:textId="47110C00" w:rsidR="009319B2" w:rsidRDefault="00931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5CBC" w14:textId="77777777" w:rsidR="009319B2" w:rsidRDefault="0093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69A0"/>
    <w:multiLevelType w:val="hybridMultilevel"/>
    <w:tmpl w:val="E646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B380A35"/>
    <w:multiLevelType w:val="hybridMultilevel"/>
    <w:tmpl w:val="A1D0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2466"/>
    <w:multiLevelType w:val="hybridMultilevel"/>
    <w:tmpl w:val="355431DE"/>
    <w:lvl w:ilvl="0" w:tplc="71507E44">
      <w:start w:val="1"/>
      <w:numFmt w:val="bullet"/>
      <w:lvlText w:val=""/>
      <w:lvlJc w:val="left"/>
      <w:pPr>
        <w:ind w:left="720" w:hanging="360"/>
      </w:pPr>
      <w:rPr>
        <w:rFonts w:ascii="Symbol" w:hAnsi="Symbol" w:hint="default"/>
      </w:rPr>
    </w:lvl>
    <w:lvl w:ilvl="1" w:tplc="9034991A">
      <w:start w:val="1"/>
      <w:numFmt w:val="bullet"/>
      <w:lvlText w:val="o"/>
      <w:lvlJc w:val="left"/>
      <w:pPr>
        <w:ind w:left="1440" w:hanging="360"/>
      </w:pPr>
      <w:rPr>
        <w:rFonts w:ascii="Courier New" w:hAnsi="Courier New" w:hint="default"/>
      </w:rPr>
    </w:lvl>
    <w:lvl w:ilvl="2" w:tplc="128858E2">
      <w:start w:val="1"/>
      <w:numFmt w:val="bullet"/>
      <w:lvlText w:val=""/>
      <w:lvlJc w:val="left"/>
      <w:pPr>
        <w:ind w:left="2160" w:hanging="360"/>
      </w:pPr>
      <w:rPr>
        <w:rFonts w:ascii="Wingdings" w:hAnsi="Wingdings" w:hint="default"/>
      </w:rPr>
    </w:lvl>
    <w:lvl w:ilvl="3" w:tplc="4A4217DA">
      <w:start w:val="1"/>
      <w:numFmt w:val="bullet"/>
      <w:lvlText w:val=""/>
      <w:lvlJc w:val="left"/>
      <w:pPr>
        <w:ind w:left="2880" w:hanging="360"/>
      </w:pPr>
      <w:rPr>
        <w:rFonts w:ascii="Symbol" w:hAnsi="Symbol" w:hint="default"/>
      </w:rPr>
    </w:lvl>
    <w:lvl w:ilvl="4" w:tplc="8B7C7D66">
      <w:start w:val="1"/>
      <w:numFmt w:val="bullet"/>
      <w:lvlText w:val="o"/>
      <w:lvlJc w:val="left"/>
      <w:pPr>
        <w:ind w:left="3600" w:hanging="360"/>
      </w:pPr>
      <w:rPr>
        <w:rFonts w:ascii="Courier New" w:hAnsi="Courier New" w:hint="default"/>
      </w:rPr>
    </w:lvl>
    <w:lvl w:ilvl="5" w:tplc="401A89F8">
      <w:start w:val="1"/>
      <w:numFmt w:val="bullet"/>
      <w:lvlText w:val=""/>
      <w:lvlJc w:val="left"/>
      <w:pPr>
        <w:ind w:left="4320" w:hanging="360"/>
      </w:pPr>
      <w:rPr>
        <w:rFonts w:ascii="Wingdings" w:hAnsi="Wingdings" w:hint="default"/>
      </w:rPr>
    </w:lvl>
    <w:lvl w:ilvl="6" w:tplc="7E82C33C">
      <w:start w:val="1"/>
      <w:numFmt w:val="bullet"/>
      <w:lvlText w:val=""/>
      <w:lvlJc w:val="left"/>
      <w:pPr>
        <w:ind w:left="5040" w:hanging="360"/>
      </w:pPr>
      <w:rPr>
        <w:rFonts w:ascii="Symbol" w:hAnsi="Symbol" w:hint="default"/>
      </w:rPr>
    </w:lvl>
    <w:lvl w:ilvl="7" w:tplc="671874C2">
      <w:start w:val="1"/>
      <w:numFmt w:val="bullet"/>
      <w:lvlText w:val="o"/>
      <w:lvlJc w:val="left"/>
      <w:pPr>
        <w:ind w:left="5760" w:hanging="360"/>
      </w:pPr>
      <w:rPr>
        <w:rFonts w:ascii="Courier New" w:hAnsi="Courier New" w:hint="default"/>
      </w:rPr>
    </w:lvl>
    <w:lvl w:ilvl="8" w:tplc="DB24745C">
      <w:start w:val="1"/>
      <w:numFmt w:val="bullet"/>
      <w:lvlText w:val=""/>
      <w:lvlJc w:val="left"/>
      <w:pPr>
        <w:ind w:left="6480" w:hanging="360"/>
      </w:pPr>
      <w:rPr>
        <w:rFonts w:ascii="Wingdings" w:hAnsi="Wingdings" w:hint="default"/>
      </w:rPr>
    </w:lvl>
  </w:abstractNum>
  <w:abstractNum w:abstractNumId="5"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47ADE"/>
    <w:multiLevelType w:val="hybridMultilevel"/>
    <w:tmpl w:val="E7B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8"/>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2B09"/>
    <w:rsid w:val="00003BE1"/>
    <w:rsid w:val="000467DC"/>
    <w:rsid w:val="00057A71"/>
    <w:rsid w:val="00057C98"/>
    <w:rsid w:val="00063927"/>
    <w:rsid w:val="00063DC1"/>
    <w:rsid w:val="0008010B"/>
    <w:rsid w:val="0008728D"/>
    <w:rsid w:val="000A4266"/>
    <w:rsid w:val="000A796F"/>
    <w:rsid w:val="000B4C09"/>
    <w:rsid w:val="000D2A9B"/>
    <w:rsid w:val="000D35DA"/>
    <w:rsid w:val="000D58D6"/>
    <w:rsid w:val="000E3EB5"/>
    <w:rsid w:val="000F6E1A"/>
    <w:rsid w:val="000F757F"/>
    <w:rsid w:val="001048B6"/>
    <w:rsid w:val="00113647"/>
    <w:rsid w:val="00113D5F"/>
    <w:rsid w:val="001154CF"/>
    <w:rsid w:val="001243F6"/>
    <w:rsid w:val="00142963"/>
    <w:rsid w:val="001435DE"/>
    <w:rsid w:val="0016069E"/>
    <w:rsid w:val="00161DED"/>
    <w:rsid w:val="00172319"/>
    <w:rsid w:val="00185105"/>
    <w:rsid w:val="001923CE"/>
    <w:rsid w:val="001C1DC2"/>
    <w:rsid w:val="001C6976"/>
    <w:rsid w:val="001D2741"/>
    <w:rsid w:val="001E3759"/>
    <w:rsid w:val="001E68FC"/>
    <w:rsid w:val="001E6930"/>
    <w:rsid w:val="002065DB"/>
    <w:rsid w:val="002115FD"/>
    <w:rsid w:val="0021543C"/>
    <w:rsid w:val="002157E7"/>
    <w:rsid w:val="00227846"/>
    <w:rsid w:val="00234C54"/>
    <w:rsid w:val="00236DA8"/>
    <w:rsid w:val="00237838"/>
    <w:rsid w:val="002572A9"/>
    <w:rsid w:val="0026162C"/>
    <w:rsid w:val="002727A9"/>
    <w:rsid w:val="002728FB"/>
    <w:rsid w:val="00273125"/>
    <w:rsid w:val="00273E4C"/>
    <w:rsid w:val="0029112F"/>
    <w:rsid w:val="002A3B68"/>
    <w:rsid w:val="002B193F"/>
    <w:rsid w:val="002B253F"/>
    <w:rsid w:val="002C1D97"/>
    <w:rsid w:val="002C4725"/>
    <w:rsid w:val="002D5C92"/>
    <w:rsid w:val="002F287F"/>
    <w:rsid w:val="002F3354"/>
    <w:rsid w:val="002F4D31"/>
    <w:rsid w:val="00321FAE"/>
    <w:rsid w:val="003237CA"/>
    <w:rsid w:val="00330E82"/>
    <w:rsid w:val="00344B30"/>
    <w:rsid w:val="00382B75"/>
    <w:rsid w:val="003840D6"/>
    <w:rsid w:val="00394CAF"/>
    <w:rsid w:val="00395820"/>
    <w:rsid w:val="00396F34"/>
    <w:rsid w:val="003A14DC"/>
    <w:rsid w:val="003A2977"/>
    <w:rsid w:val="003A2B2E"/>
    <w:rsid w:val="003D32E2"/>
    <w:rsid w:val="003D43B1"/>
    <w:rsid w:val="003F0D8B"/>
    <w:rsid w:val="003F2E96"/>
    <w:rsid w:val="003F3159"/>
    <w:rsid w:val="0040282E"/>
    <w:rsid w:val="00403366"/>
    <w:rsid w:val="00413459"/>
    <w:rsid w:val="00416298"/>
    <w:rsid w:val="00420CB8"/>
    <w:rsid w:val="004409C0"/>
    <w:rsid w:val="00446BA0"/>
    <w:rsid w:val="0046633D"/>
    <w:rsid w:val="004705EF"/>
    <w:rsid w:val="00477A8E"/>
    <w:rsid w:val="004B3C21"/>
    <w:rsid w:val="004C7A53"/>
    <w:rsid w:val="004D2AD6"/>
    <w:rsid w:val="004E1E73"/>
    <w:rsid w:val="004F231B"/>
    <w:rsid w:val="004F30DA"/>
    <w:rsid w:val="00506DA7"/>
    <w:rsid w:val="00517443"/>
    <w:rsid w:val="00523B37"/>
    <w:rsid w:val="0052527A"/>
    <w:rsid w:val="00534B5A"/>
    <w:rsid w:val="00551B2D"/>
    <w:rsid w:val="00561613"/>
    <w:rsid w:val="005676C6"/>
    <w:rsid w:val="00573BAB"/>
    <w:rsid w:val="0057530B"/>
    <w:rsid w:val="005765A7"/>
    <w:rsid w:val="005814F7"/>
    <w:rsid w:val="005858BF"/>
    <w:rsid w:val="005868BD"/>
    <w:rsid w:val="00586D7F"/>
    <w:rsid w:val="00595D1E"/>
    <w:rsid w:val="005A3C56"/>
    <w:rsid w:val="005B5E5B"/>
    <w:rsid w:val="005E2D23"/>
    <w:rsid w:val="005F6A69"/>
    <w:rsid w:val="006226C3"/>
    <w:rsid w:val="00622737"/>
    <w:rsid w:val="00626A3E"/>
    <w:rsid w:val="00633313"/>
    <w:rsid w:val="00655BE6"/>
    <w:rsid w:val="00684649"/>
    <w:rsid w:val="006854FC"/>
    <w:rsid w:val="00687733"/>
    <w:rsid w:val="0069025C"/>
    <w:rsid w:val="00693A83"/>
    <w:rsid w:val="00695204"/>
    <w:rsid w:val="006B2ACE"/>
    <w:rsid w:val="006C6010"/>
    <w:rsid w:val="006D7DF4"/>
    <w:rsid w:val="006F3226"/>
    <w:rsid w:val="00701BF4"/>
    <w:rsid w:val="007133E6"/>
    <w:rsid w:val="00713CF8"/>
    <w:rsid w:val="00723C65"/>
    <w:rsid w:val="00740F9D"/>
    <w:rsid w:val="007479B1"/>
    <w:rsid w:val="0075744B"/>
    <w:rsid w:val="00762CFB"/>
    <w:rsid w:val="00784E55"/>
    <w:rsid w:val="0079784E"/>
    <w:rsid w:val="00797B58"/>
    <w:rsid w:val="007B3C94"/>
    <w:rsid w:val="007B6FBB"/>
    <w:rsid w:val="007C0007"/>
    <w:rsid w:val="007C6C90"/>
    <w:rsid w:val="007D19AD"/>
    <w:rsid w:val="007D64C3"/>
    <w:rsid w:val="007D66AD"/>
    <w:rsid w:val="007D6825"/>
    <w:rsid w:val="007E1E04"/>
    <w:rsid w:val="007F5A32"/>
    <w:rsid w:val="008041A0"/>
    <w:rsid w:val="00813E46"/>
    <w:rsid w:val="00816C32"/>
    <w:rsid w:val="00820294"/>
    <w:rsid w:val="00835FCC"/>
    <w:rsid w:val="008529CC"/>
    <w:rsid w:val="00853779"/>
    <w:rsid w:val="008716F6"/>
    <w:rsid w:val="0087173D"/>
    <w:rsid w:val="00875AC8"/>
    <w:rsid w:val="00897D34"/>
    <w:rsid w:val="008A2D63"/>
    <w:rsid w:val="008A776F"/>
    <w:rsid w:val="008B2E1C"/>
    <w:rsid w:val="008B33D3"/>
    <w:rsid w:val="008D12B2"/>
    <w:rsid w:val="008D145C"/>
    <w:rsid w:val="008D6113"/>
    <w:rsid w:val="009031BA"/>
    <w:rsid w:val="00907E64"/>
    <w:rsid w:val="009319B2"/>
    <w:rsid w:val="00942DB8"/>
    <w:rsid w:val="00942EE0"/>
    <w:rsid w:val="00944653"/>
    <w:rsid w:val="00944ABD"/>
    <w:rsid w:val="00953B2E"/>
    <w:rsid w:val="00965972"/>
    <w:rsid w:val="0097341B"/>
    <w:rsid w:val="00974140"/>
    <w:rsid w:val="0098201C"/>
    <w:rsid w:val="00990709"/>
    <w:rsid w:val="009A655F"/>
    <w:rsid w:val="009C0491"/>
    <w:rsid w:val="009C7B55"/>
    <w:rsid w:val="009D3A6D"/>
    <w:rsid w:val="009E387E"/>
    <w:rsid w:val="009E698E"/>
    <w:rsid w:val="009F4546"/>
    <w:rsid w:val="00A0371E"/>
    <w:rsid w:val="00A0559F"/>
    <w:rsid w:val="00A24DA1"/>
    <w:rsid w:val="00A3085C"/>
    <w:rsid w:val="00A424DC"/>
    <w:rsid w:val="00A61F11"/>
    <w:rsid w:val="00A622DA"/>
    <w:rsid w:val="00A74631"/>
    <w:rsid w:val="00AA355D"/>
    <w:rsid w:val="00AB60E0"/>
    <w:rsid w:val="00AC113B"/>
    <w:rsid w:val="00AD7BAB"/>
    <w:rsid w:val="00AE3015"/>
    <w:rsid w:val="00AE617B"/>
    <w:rsid w:val="00AF01AD"/>
    <w:rsid w:val="00AF3101"/>
    <w:rsid w:val="00B20A96"/>
    <w:rsid w:val="00B20D87"/>
    <w:rsid w:val="00B27DDD"/>
    <w:rsid w:val="00B32C31"/>
    <w:rsid w:val="00B34EF2"/>
    <w:rsid w:val="00B41F87"/>
    <w:rsid w:val="00B4611B"/>
    <w:rsid w:val="00B575BB"/>
    <w:rsid w:val="00B67295"/>
    <w:rsid w:val="00B732AC"/>
    <w:rsid w:val="00B80594"/>
    <w:rsid w:val="00B857C8"/>
    <w:rsid w:val="00B9298F"/>
    <w:rsid w:val="00B93F27"/>
    <w:rsid w:val="00B94BDF"/>
    <w:rsid w:val="00B94E22"/>
    <w:rsid w:val="00B97CC8"/>
    <w:rsid w:val="00BB14C2"/>
    <w:rsid w:val="00BB41D9"/>
    <w:rsid w:val="00BB7115"/>
    <w:rsid w:val="00BE135A"/>
    <w:rsid w:val="00BE14D8"/>
    <w:rsid w:val="00BE197D"/>
    <w:rsid w:val="00C019D9"/>
    <w:rsid w:val="00C0501F"/>
    <w:rsid w:val="00C10297"/>
    <w:rsid w:val="00C31BD4"/>
    <w:rsid w:val="00C465FF"/>
    <w:rsid w:val="00C55464"/>
    <w:rsid w:val="00C64496"/>
    <w:rsid w:val="00CA1CBB"/>
    <w:rsid w:val="00CB4C39"/>
    <w:rsid w:val="00CC1E7A"/>
    <w:rsid w:val="00CC32B1"/>
    <w:rsid w:val="00CD536F"/>
    <w:rsid w:val="00CF1726"/>
    <w:rsid w:val="00D01272"/>
    <w:rsid w:val="00D03DC6"/>
    <w:rsid w:val="00D368B1"/>
    <w:rsid w:val="00D3798C"/>
    <w:rsid w:val="00D45A58"/>
    <w:rsid w:val="00D5287E"/>
    <w:rsid w:val="00D605CF"/>
    <w:rsid w:val="00D6099F"/>
    <w:rsid w:val="00D62559"/>
    <w:rsid w:val="00D70195"/>
    <w:rsid w:val="00D72137"/>
    <w:rsid w:val="00D92FFA"/>
    <w:rsid w:val="00D97221"/>
    <w:rsid w:val="00DB0AA2"/>
    <w:rsid w:val="00DB27F3"/>
    <w:rsid w:val="00DD0BCF"/>
    <w:rsid w:val="00DD3BCF"/>
    <w:rsid w:val="00DE2E3B"/>
    <w:rsid w:val="00DF0717"/>
    <w:rsid w:val="00DF6124"/>
    <w:rsid w:val="00E13104"/>
    <w:rsid w:val="00E25115"/>
    <w:rsid w:val="00E33992"/>
    <w:rsid w:val="00E46078"/>
    <w:rsid w:val="00E61366"/>
    <w:rsid w:val="00E712FF"/>
    <w:rsid w:val="00E73C75"/>
    <w:rsid w:val="00E85DA0"/>
    <w:rsid w:val="00EB0398"/>
    <w:rsid w:val="00EB437A"/>
    <w:rsid w:val="00EB77CC"/>
    <w:rsid w:val="00EC499E"/>
    <w:rsid w:val="00ED1560"/>
    <w:rsid w:val="00ED4628"/>
    <w:rsid w:val="00EF72AE"/>
    <w:rsid w:val="00F16369"/>
    <w:rsid w:val="00F33DA3"/>
    <w:rsid w:val="00F4118B"/>
    <w:rsid w:val="00F4290D"/>
    <w:rsid w:val="00F45BD9"/>
    <w:rsid w:val="00F51B6D"/>
    <w:rsid w:val="00FB481F"/>
    <w:rsid w:val="00FC3BAD"/>
    <w:rsid w:val="00FD4864"/>
    <w:rsid w:val="00FD7A51"/>
    <w:rsid w:val="00FF1D87"/>
    <w:rsid w:val="01C1EB5B"/>
    <w:rsid w:val="063D8205"/>
    <w:rsid w:val="1186CAF5"/>
    <w:rsid w:val="11940034"/>
    <w:rsid w:val="12603E25"/>
    <w:rsid w:val="17994EEE"/>
    <w:rsid w:val="17E30B3A"/>
    <w:rsid w:val="18C0D488"/>
    <w:rsid w:val="19933417"/>
    <w:rsid w:val="19F21CB1"/>
    <w:rsid w:val="2145DE8F"/>
    <w:rsid w:val="2F563F2E"/>
    <w:rsid w:val="31EAFC86"/>
    <w:rsid w:val="33FB1F38"/>
    <w:rsid w:val="370718BA"/>
    <w:rsid w:val="38469201"/>
    <w:rsid w:val="38B9E669"/>
    <w:rsid w:val="39F0B196"/>
    <w:rsid w:val="3B05B1BE"/>
    <w:rsid w:val="3E09AB84"/>
    <w:rsid w:val="4003358F"/>
    <w:rsid w:val="4168405F"/>
    <w:rsid w:val="47BFD063"/>
    <w:rsid w:val="48CAFBDA"/>
    <w:rsid w:val="4B3B3924"/>
    <w:rsid w:val="4BF5E32A"/>
    <w:rsid w:val="4C729145"/>
    <w:rsid w:val="4D858D9C"/>
    <w:rsid w:val="4D9EB5F9"/>
    <w:rsid w:val="4EDD95FE"/>
    <w:rsid w:val="5A70C387"/>
    <w:rsid w:val="5A82FA7D"/>
    <w:rsid w:val="5D16F90B"/>
    <w:rsid w:val="5E34933B"/>
    <w:rsid w:val="5E4BAC5A"/>
    <w:rsid w:val="5F1FD047"/>
    <w:rsid w:val="60C6DCAE"/>
    <w:rsid w:val="6305F520"/>
    <w:rsid w:val="64A1C581"/>
    <w:rsid w:val="661BF406"/>
    <w:rsid w:val="68E9B62A"/>
    <w:rsid w:val="6E7F6D58"/>
    <w:rsid w:val="7065544E"/>
    <w:rsid w:val="70F16378"/>
    <w:rsid w:val="71BE3157"/>
    <w:rsid w:val="740FDBDD"/>
    <w:rsid w:val="74EF96DA"/>
    <w:rsid w:val="7990B83E"/>
    <w:rsid w:val="7AE3D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DF5E7"/>
  <w15:docId w15:val="{6D626830-BF2A-43DE-9730-7679F681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character" w:customStyle="1" w:styleId="normaltextrun">
    <w:name w:val="normaltextrun"/>
    <w:basedOn w:val="DefaultParagraphFont"/>
    <w:rsid w:val="000D58D6"/>
  </w:style>
  <w:style w:type="character" w:customStyle="1" w:styleId="eop">
    <w:name w:val="eop"/>
    <w:basedOn w:val="DefaultParagraphFont"/>
    <w:rsid w:val="000D58D6"/>
  </w:style>
  <w:style w:type="paragraph" w:styleId="NormalWeb">
    <w:name w:val="Normal (Web)"/>
    <w:basedOn w:val="Normal"/>
    <w:uiPriority w:val="99"/>
    <w:semiHidden/>
    <w:unhideWhenUsed/>
    <w:rsid w:val="002A3B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rants.nih.gov/grants/policy/data_sharing/data_sharing_guidance.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Abdelmouti, Tawanda (NIH/OD) [E]</cp:lastModifiedBy>
  <cp:revision>2</cp:revision>
  <cp:lastPrinted>2016-04-13T13:52:00Z</cp:lastPrinted>
  <dcterms:created xsi:type="dcterms:W3CDTF">2022-08-09T20:09:00Z</dcterms:created>
  <dcterms:modified xsi:type="dcterms:W3CDTF">2022-08-09T20:09:00Z</dcterms:modified>
</cp:coreProperties>
</file>