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888" w:rsidP="00330DDE" w14:paraId="1CB42B3D" w14:textId="77777777">
      <w:pPr>
        <w:jc w:val="center"/>
      </w:pPr>
    </w:p>
    <w:p w:rsidR="00AA65A9" w:rsidP="00330DDE" w14:paraId="46EB8F5D" w14:textId="77777777">
      <w:pPr>
        <w:jc w:val="center"/>
      </w:pPr>
      <w:r w:rsidRPr="00AA65A9">
        <w:t>United</w:t>
      </w:r>
      <w:r>
        <w:t xml:space="preserve"> States Food and Drug Administration</w:t>
      </w:r>
    </w:p>
    <w:p w:rsidR="00AA65A9" w:rsidP="00330DDE" w14:paraId="55E7B235" w14:textId="77777777">
      <w:pPr>
        <w:jc w:val="center"/>
      </w:pPr>
      <w:r>
        <w:t>Generic Clearance: Collections for Quick Turnaround Testing of Communication Effectiveness</w:t>
      </w:r>
      <w:r w:rsidR="00BD7692">
        <w:t xml:space="preserve"> (CFSAN)</w:t>
      </w:r>
      <w:r>
        <w:br/>
        <w:t>OMB Control Number 0910-0876</w:t>
      </w:r>
    </w:p>
    <w:p w:rsidR="00421B44" w:rsidRPr="00AA65A9" w:rsidP="00330DDE" w14:paraId="34AC89C6" w14:textId="77777777">
      <w:pPr>
        <w:jc w:val="center"/>
      </w:pPr>
      <w:r>
        <w:t>Gen IC Request for Approval</w:t>
      </w:r>
    </w:p>
    <w:p w:rsidR="004634A4" w:rsidP="004634A4" w14:paraId="5A2E47B2" w14:textId="77777777">
      <w:pPr>
        <w:rPr>
          <w:sz w:val="20"/>
          <w:szCs w:val="20"/>
        </w:rPr>
      </w:pPr>
    </w:p>
    <w:p w:rsidR="001417E8" w:rsidRPr="00A2085B" w:rsidP="00E83059" w14:paraId="3C815E8B" w14:textId="77777777">
      <w:pPr>
        <w:rPr>
          <w:sz w:val="20"/>
          <w:szCs w:val="20"/>
        </w:rPr>
      </w:pPr>
      <w:r w:rsidRPr="00A2085B">
        <w:rPr>
          <w:sz w:val="20"/>
          <w:szCs w:val="20"/>
        </w:rPr>
        <w:t>The Food and Drug Administration (FDA) sometimes needs to communicate with U.S. consumers and other stakeholders about issues of immediate and important public health significance such as foodborne illness outbreak</w:t>
      </w:r>
      <w:r w:rsidR="005E1FB4">
        <w:rPr>
          <w:sz w:val="20"/>
          <w:szCs w:val="20"/>
        </w:rPr>
        <w:t>s</w:t>
      </w:r>
      <w:r w:rsidRPr="00A2085B">
        <w:rPr>
          <w:sz w:val="20"/>
          <w:szCs w:val="20"/>
        </w:rPr>
        <w:t>, food recall</w:t>
      </w:r>
      <w:r w:rsidR="00C44FB7">
        <w:rPr>
          <w:sz w:val="20"/>
          <w:szCs w:val="20"/>
        </w:rPr>
        <w:t>s</w:t>
      </w:r>
      <w:r w:rsidRPr="00A2085B">
        <w:rPr>
          <w:sz w:val="20"/>
          <w:szCs w:val="20"/>
        </w:rPr>
        <w:t>, or other situation</w:t>
      </w:r>
      <w:r w:rsidR="00C44FB7">
        <w:rPr>
          <w:sz w:val="20"/>
          <w:szCs w:val="20"/>
        </w:rPr>
        <w:t>s</w:t>
      </w:r>
      <w:r w:rsidRPr="00A2085B">
        <w:rPr>
          <w:sz w:val="20"/>
          <w:szCs w:val="20"/>
        </w:rPr>
        <w:t xml:space="preserve"> requiring expedited FDA food, dietary supplement, cosmetics, or animal food or feed communications.  </w:t>
      </w:r>
      <w:r w:rsidR="00C44FB7">
        <w:rPr>
          <w:sz w:val="20"/>
          <w:szCs w:val="20"/>
        </w:rPr>
        <w:t>T</w:t>
      </w:r>
      <w:r w:rsidRPr="00A2085B">
        <w:rPr>
          <w:sz w:val="20"/>
          <w:szCs w:val="20"/>
        </w:rPr>
        <w:t>o better protect the public health, the agency needs quick turn-around information collected from consumers and other stakeholders to help ensure its messaging has reached the target audience, has been understood and, if needed, to update its communications during these events.</w:t>
      </w:r>
      <w:r w:rsidRPr="00A2085B" w:rsidR="00A2085B">
        <w:rPr>
          <w:sz w:val="20"/>
          <w:szCs w:val="20"/>
        </w:rPr>
        <w:t xml:space="preserve"> This quick-turnaround </w:t>
      </w:r>
      <w:r w:rsidRPr="00A2085B">
        <w:rPr>
          <w:sz w:val="20"/>
          <w:szCs w:val="20"/>
        </w:rPr>
        <w:t>generic</w:t>
      </w:r>
      <w:r w:rsidRPr="00A2085B" w:rsidR="00A2085B">
        <w:rPr>
          <w:sz w:val="20"/>
          <w:szCs w:val="20"/>
        </w:rPr>
        <w:t xml:space="preserve"> collection </w:t>
      </w:r>
      <w:r w:rsidR="00C44FB7">
        <w:rPr>
          <w:sz w:val="20"/>
          <w:szCs w:val="20"/>
        </w:rPr>
        <w:t>gathers</w:t>
      </w:r>
      <w:r w:rsidRPr="00A2085B">
        <w:rPr>
          <w:sz w:val="20"/>
          <w:szCs w:val="20"/>
        </w:rPr>
        <w:t xml:space="preserve"> quantitative and qualitative information (i.e., surveys, focus groups, and in-depth interviews) to test communications or educational messages when there is an urgent public health need</w:t>
      </w:r>
      <w:r w:rsidR="00C44FB7">
        <w:rPr>
          <w:sz w:val="20"/>
          <w:szCs w:val="20"/>
        </w:rPr>
        <w:t xml:space="preserve">, </w:t>
      </w:r>
      <w:r w:rsidRPr="00A2085B" w:rsidR="00A2085B">
        <w:rPr>
          <w:sz w:val="20"/>
          <w:szCs w:val="20"/>
        </w:rPr>
        <w:t>assist</w:t>
      </w:r>
      <w:r w:rsidR="00C44FB7">
        <w:rPr>
          <w:sz w:val="20"/>
          <w:szCs w:val="20"/>
        </w:rPr>
        <w:t>s</w:t>
      </w:r>
      <w:r w:rsidRPr="00A2085B" w:rsidR="00A2085B">
        <w:rPr>
          <w:sz w:val="20"/>
          <w:szCs w:val="20"/>
        </w:rPr>
        <w:t xml:space="preserve"> </w:t>
      </w:r>
      <w:r w:rsidRPr="00A2085B">
        <w:rPr>
          <w:sz w:val="20"/>
          <w:szCs w:val="20"/>
        </w:rPr>
        <w:t xml:space="preserve">FDA </w:t>
      </w:r>
      <w:r w:rsidR="00C44FB7">
        <w:rPr>
          <w:sz w:val="20"/>
          <w:szCs w:val="20"/>
        </w:rPr>
        <w:t>to</w:t>
      </w:r>
      <w:r w:rsidRPr="00A2085B" w:rsidR="00A2085B">
        <w:rPr>
          <w:sz w:val="20"/>
          <w:szCs w:val="20"/>
        </w:rPr>
        <w:t xml:space="preserve"> communicat</w:t>
      </w:r>
      <w:r w:rsidR="00C44FB7">
        <w:rPr>
          <w:sz w:val="20"/>
          <w:szCs w:val="20"/>
        </w:rPr>
        <w:t>e</w:t>
      </w:r>
      <w:r w:rsidRPr="00A2085B" w:rsidR="00A2085B">
        <w:rPr>
          <w:sz w:val="20"/>
          <w:szCs w:val="20"/>
        </w:rPr>
        <w:t xml:space="preserve"> </w:t>
      </w:r>
      <w:r w:rsidRPr="00A2085B">
        <w:rPr>
          <w:sz w:val="20"/>
          <w:szCs w:val="20"/>
        </w:rPr>
        <w:t xml:space="preserve">effectively about topics </w:t>
      </w:r>
      <w:r w:rsidRPr="00A2085B" w:rsidR="00A2085B">
        <w:rPr>
          <w:sz w:val="20"/>
          <w:szCs w:val="20"/>
        </w:rPr>
        <w:t>of public health and safety</w:t>
      </w:r>
      <w:r w:rsidR="00C44FB7">
        <w:rPr>
          <w:sz w:val="20"/>
          <w:szCs w:val="20"/>
        </w:rPr>
        <w:t>,</w:t>
      </w:r>
      <w:r w:rsidRPr="00A2085B" w:rsidR="00A2085B">
        <w:rPr>
          <w:sz w:val="20"/>
          <w:szCs w:val="20"/>
        </w:rPr>
        <w:t xml:space="preserve"> and </w:t>
      </w:r>
      <w:r w:rsidRPr="00A2085B">
        <w:rPr>
          <w:sz w:val="20"/>
          <w:szCs w:val="20"/>
        </w:rPr>
        <w:t>convey</w:t>
      </w:r>
      <w:r w:rsidR="00C44FB7">
        <w:rPr>
          <w:sz w:val="20"/>
          <w:szCs w:val="20"/>
        </w:rPr>
        <w:t>s</w:t>
      </w:r>
      <w:r w:rsidRPr="00A2085B" w:rsidR="00A2085B">
        <w:rPr>
          <w:sz w:val="20"/>
          <w:szCs w:val="20"/>
        </w:rPr>
        <w:t xml:space="preserve"> sometimes </w:t>
      </w:r>
      <w:r w:rsidRPr="00A2085B">
        <w:rPr>
          <w:sz w:val="20"/>
          <w:szCs w:val="20"/>
        </w:rPr>
        <w:t>complex concepts.</w:t>
      </w:r>
    </w:p>
    <w:p w:rsidR="003F1C7A" w:rsidRPr="008B501C" w:rsidP="00E83059" w14:paraId="4A14BD08" w14:textId="77777777"/>
    <w:p w:rsidR="00421B44" w:rsidRPr="00EF2C89" w:rsidP="00421B44" w14:paraId="18A4C123" w14:textId="04F4641A">
      <w:pPr>
        <w:spacing w:after="200"/>
        <w:rPr>
          <w:rFonts w:eastAsia="Calibri"/>
        </w:rPr>
      </w:pPr>
      <w:r w:rsidRPr="001A01E9">
        <w:rPr>
          <w:rFonts w:eastAsia="Calibri"/>
          <w:bCs/>
        </w:rPr>
        <w:t>Title of Gen IC:</w:t>
      </w:r>
      <w:r w:rsidRPr="00EF2C89">
        <w:rPr>
          <w:rFonts w:eastAsia="Calibri"/>
        </w:rPr>
        <w:t xml:space="preserve"> </w:t>
      </w:r>
      <w:r w:rsidRPr="00CA56A4" w:rsidR="00CA56A4">
        <w:rPr>
          <w:rFonts w:eastAsia="Calibri"/>
        </w:rPr>
        <w:t>Quick Turnaround Testing of Communication Effectiveness - Survey on 2023 Hepatitis A Virus Infections/Frozen Strawberry Recall</w:t>
      </w:r>
      <w:r w:rsidRPr="00CA56A4" w:rsidR="00CA56A4">
        <w:rPr>
          <w:rFonts w:eastAsia="Calibri"/>
        </w:rPr>
        <w:t xml:space="preserve"> </w:t>
      </w:r>
    </w:p>
    <w:p w:rsidR="00421B44" w:rsidP="00421B44" w14:paraId="03921E68" w14:textId="4A5FAD06">
      <w:pPr>
        <w:numPr>
          <w:ilvl w:val="0"/>
          <w:numId w:val="31"/>
        </w:numPr>
        <w:spacing w:after="200" w:line="276" w:lineRule="auto"/>
        <w:rPr>
          <w:bCs/>
          <w:u w:val="single"/>
        </w:rPr>
      </w:pPr>
      <w:r w:rsidRPr="001A01E9">
        <w:rPr>
          <w:bCs/>
          <w:u w:val="single"/>
        </w:rPr>
        <w:t>Statement of Need</w:t>
      </w:r>
    </w:p>
    <w:p w:rsidR="00C46239" w:rsidP="00E036A9" w14:paraId="61A9EAA4" w14:textId="3CDDCC76">
      <w:pPr>
        <w:ind w:left="360"/>
      </w:pPr>
      <w:r w:rsidRPr="00592BBF">
        <w:t>The Food and Drug Administration (FDA), Center for Food Safety and Applied Nutrition (CFSAN)</w:t>
      </w:r>
      <w:r>
        <w:t xml:space="preserve"> </w:t>
      </w:r>
      <w:r w:rsidRPr="00592BBF">
        <w:t xml:space="preserve">is seeking OMB approval </w:t>
      </w:r>
      <w:r>
        <w:t xml:space="preserve">(within 5 days) under the generic clearance 0910-0876, </w:t>
      </w:r>
      <w:r w:rsidRPr="00EC759D">
        <w:t xml:space="preserve">for the survey instrument “Quick Turnaround Testing of Communication Effectiveness Survey – 2023 </w:t>
      </w:r>
      <w:r w:rsidRPr="0009350D">
        <w:t xml:space="preserve">Hepatitis A </w:t>
      </w:r>
      <w:r>
        <w:t>Virus Infections</w:t>
      </w:r>
      <w:r w:rsidRPr="0009350D">
        <w:t>/Frozen Strawberry Recall</w:t>
      </w:r>
      <w:r w:rsidRPr="00EC759D">
        <w:t>” (Appendix I).</w:t>
      </w:r>
    </w:p>
    <w:p w:rsidR="00C46239" w:rsidP="00040E55" w14:paraId="64ED4A4D" w14:textId="77777777">
      <w:pPr>
        <w:ind w:left="360"/>
      </w:pPr>
    </w:p>
    <w:p w:rsidR="00C46239" w:rsidP="00E036A9" w14:paraId="7E485D1C" w14:textId="18A40F9F">
      <w:pPr>
        <w:ind w:left="360"/>
      </w:pPr>
      <w:r>
        <w:t>On March 13</w:t>
      </w:r>
      <w:r w:rsidRPr="00CC4D52">
        <w:rPr>
          <w:vertAlign w:val="superscript"/>
        </w:rPr>
        <w:t>th</w:t>
      </w:r>
      <w:r>
        <w:t>, Centers for Disease Control and Prevention (CDC) issued a press release on the o</w:t>
      </w:r>
      <w:r w:rsidRPr="00CC4D52">
        <w:t xml:space="preserve">utbreak of </w:t>
      </w:r>
      <w:r>
        <w:t>h</w:t>
      </w:r>
      <w:r w:rsidRPr="00CC4D52">
        <w:t xml:space="preserve">epatitis A </w:t>
      </w:r>
      <w:r>
        <w:t>v</w:t>
      </w:r>
      <w:r w:rsidRPr="00CC4D52">
        <w:t xml:space="preserve">irus </w:t>
      </w:r>
      <w:r>
        <w:t>i</w:t>
      </w:r>
      <w:r w:rsidRPr="00CC4D52">
        <w:t xml:space="preserve">nfections </w:t>
      </w:r>
      <w:r>
        <w:t>l</w:t>
      </w:r>
      <w:r w:rsidRPr="00CC4D52">
        <w:t xml:space="preserve">inked to </w:t>
      </w:r>
      <w:r>
        <w:t>f</w:t>
      </w:r>
      <w:r w:rsidRPr="00CC4D52">
        <w:t xml:space="preserve">rozen </w:t>
      </w:r>
      <w:r>
        <w:t>s</w:t>
      </w:r>
      <w:r w:rsidRPr="00CC4D52">
        <w:t>trawberries</w:t>
      </w:r>
      <w:r>
        <w:rPr>
          <w:rStyle w:val="FootnoteReference"/>
        </w:rPr>
        <w:footnoteReference w:id="2"/>
      </w:r>
      <w:r>
        <w:t>. On March 17</w:t>
      </w:r>
      <w:r w:rsidRPr="0009350D">
        <w:rPr>
          <w:vertAlign w:val="superscript"/>
        </w:rPr>
        <w:t>th</w:t>
      </w:r>
      <w:r>
        <w:t>, FDA issued an outbreak advisory on the investigation of hepatitis A virus infections related to frozen strawberries</w:t>
      </w:r>
      <w:r>
        <w:rPr>
          <w:rStyle w:val="FootnoteReference"/>
        </w:rPr>
        <w:footnoteReference w:id="3"/>
      </w:r>
      <w:r>
        <w:t>.</w:t>
      </w:r>
      <w:r w:rsidR="000136BC">
        <w:t xml:space="preserve"> </w:t>
      </w:r>
      <w:r w:rsidRPr="0009350D">
        <w:t xml:space="preserve">Frozen strawberries sold at Trader Joe’s </w:t>
      </w:r>
      <w:r>
        <w:t>(</w:t>
      </w:r>
      <w:r w:rsidRPr="0009350D">
        <w:t>nationwide</w:t>
      </w:r>
      <w:r>
        <w:t xml:space="preserve">) and frozen strawberries sold at </w:t>
      </w:r>
      <w:r w:rsidRPr="0009350D">
        <w:t xml:space="preserve">Costco, Aldi, </w:t>
      </w:r>
      <w:r w:rsidRPr="0009350D">
        <w:t>KeHE</w:t>
      </w:r>
      <w:r w:rsidRPr="0009350D">
        <w:t xml:space="preserve">, Vital Choice Seafood, and PCC Community Markets </w:t>
      </w:r>
      <w:r>
        <w:t>(</w:t>
      </w:r>
      <w:r w:rsidRPr="0009350D">
        <w:t>in specific states</w:t>
      </w:r>
      <w:r>
        <w:t xml:space="preserve">) have been recalled, due to possible health risk related to hepatitis A virus infections. </w:t>
      </w:r>
    </w:p>
    <w:p w:rsidR="00E036A9" w:rsidP="00040E55" w14:paraId="39B88C80" w14:textId="77777777">
      <w:pPr>
        <w:ind w:left="360"/>
      </w:pPr>
    </w:p>
    <w:p w:rsidR="00C46239" w:rsidP="00040E55" w14:paraId="39290604" w14:textId="77777777">
      <w:pPr>
        <w:ind w:left="360"/>
      </w:pPr>
      <w:r>
        <w:t xml:space="preserve">FDA, in collaboration with CDC, has developed a survey questionnaire (Appendix I) to collect timely information on consumer awareness, knowledge, and behavior </w:t>
      </w:r>
      <w:r w:rsidRPr="00CC4D52">
        <w:t>of this outbreak and recall.</w:t>
      </w:r>
      <w:r>
        <w:t xml:space="preserve"> </w:t>
      </w:r>
    </w:p>
    <w:p w:rsidR="00421B44" w:rsidRPr="00EF2C89" w:rsidP="00040E55" w14:paraId="351E9F27" w14:textId="77777777">
      <w:pPr>
        <w:ind w:left="360"/>
      </w:pPr>
    </w:p>
    <w:p w:rsidR="00C46239" w:rsidP="00C30916" w14:paraId="4673380F" w14:textId="62D8862E">
      <w:pPr>
        <w:numPr>
          <w:ilvl w:val="0"/>
          <w:numId w:val="31"/>
        </w:numPr>
        <w:spacing w:after="200"/>
      </w:pPr>
      <w:r w:rsidRPr="001A01E9">
        <w:rPr>
          <w:bCs/>
          <w:u w:val="single"/>
        </w:rPr>
        <w:t>Intended Use of the Information</w:t>
      </w:r>
      <w:r w:rsidR="000136BC">
        <w:rPr>
          <w:bCs/>
          <w:u w:val="single"/>
        </w:rPr>
        <w:br/>
      </w:r>
      <w:r w:rsidRPr="00EF2C89">
        <w:rPr>
          <w:b/>
        </w:rPr>
        <w:br/>
      </w:r>
      <w:r w:rsidRPr="00C46239">
        <w:t>The results of this survey will be used to inform both FDA and CDC’s ongoing communication of this outbreak and recall with the public. Given the outbreak/recall is still ongoing and evolving, FDA and CDC may have to update communication messages based on the survey findings. Therefore, it is crucial to have this survey fielded as soon as possible to protect public health.</w:t>
      </w:r>
    </w:p>
    <w:p w:rsidR="00F52530" w:rsidP="00C30916" w14:paraId="51639508" w14:textId="77777777">
      <w:pPr>
        <w:spacing w:after="200"/>
        <w:ind w:left="360"/>
      </w:pPr>
      <w:r>
        <w:t xml:space="preserve">Data collected from the survey will be weighted to reflect the socio-demographic characteristics of U.S. adults. The Contractor (Westat) will run analyses on the data, which include frequencies, crosstabs/Chi-square test, multivariate logistic regression, and qualitative analysis (for open-ended questions). </w:t>
      </w:r>
    </w:p>
    <w:p w:rsidR="002050EC" w:rsidP="00C30916" w14:paraId="4C213455" w14:textId="1FF43F41">
      <w:pPr>
        <w:spacing w:after="200"/>
        <w:ind w:left="360"/>
      </w:pPr>
      <w:r>
        <w:t>The results of this survey will be used to inform both FDA and CDC’s communication with the public on this case.</w:t>
      </w:r>
    </w:p>
    <w:p w:rsidR="00421B44" w:rsidRPr="001A01E9" w:rsidP="00421B44" w14:paraId="26DA349C" w14:textId="77777777">
      <w:pPr>
        <w:widowControl w:val="0"/>
        <w:numPr>
          <w:ilvl w:val="0"/>
          <w:numId w:val="31"/>
        </w:numPr>
        <w:spacing w:after="200" w:line="276" w:lineRule="auto"/>
        <w:contextualSpacing/>
        <w:rPr>
          <w:bCs/>
          <w:snapToGrid w:val="0"/>
          <w:u w:val="single"/>
        </w:rPr>
      </w:pPr>
      <w:r w:rsidRPr="001A01E9">
        <w:rPr>
          <w:bCs/>
          <w:snapToGrid w:val="0"/>
          <w:u w:val="single"/>
        </w:rPr>
        <w:t>Description of Respondents</w:t>
      </w:r>
    </w:p>
    <w:p w:rsidR="00421B44" w:rsidRPr="00EF2C89" w:rsidP="00421B44" w14:paraId="1C210F87" w14:textId="77777777">
      <w:pPr>
        <w:widowControl w:val="0"/>
        <w:ind w:left="360"/>
        <w:contextualSpacing/>
        <w:rPr>
          <w:snapToGrid w:val="0"/>
        </w:rPr>
      </w:pPr>
    </w:p>
    <w:p w:rsidR="00986887" w:rsidRPr="00EF2C89" w:rsidP="00421B44" w14:paraId="305895F7" w14:textId="7CBB998C">
      <w:pPr>
        <w:widowControl w:val="0"/>
        <w:ind w:left="360"/>
        <w:rPr>
          <w:snapToGrid w:val="0"/>
        </w:rPr>
      </w:pPr>
      <w:r w:rsidRPr="001A36DE">
        <w:rPr>
          <w:snapToGrid w:val="0"/>
        </w:rPr>
        <w:t>The sample size for the survey is 1,200 respondents. Respondents will be adults (18+), U.S. general consumers, balanced to the US population on age, race, and gender.</w:t>
      </w:r>
    </w:p>
    <w:p w:rsidR="009D1BEA" w:rsidP="00421B44" w14:paraId="215717E0" w14:textId="77777777">
      <w:pPr>
        <w:widowControl w:val="0"/>
        <w:rPr>
          <w:snapToGrid w:val="0"/>
        </w:rPr>
      </w:pPr>
    </w:p>
    <w:p w:rsidR="00421B44" w:rsidRPr="001A01E9" w:rsidP="00040E55" w14:paraId="7903839A" w14:textId="77777777">
      <w:pPr>
        <w:numPr>
          <w:ilvl w:val="0"/>
          <w:numId w:val="31"/>
        </w:numPr>
        <w:tabs>
          <w:tab w:val="clear" w:pos="360"/>
        </w:tabs>
        <w:contextualSpacing/>
        <w:rPr>
          <w:bCs/>
          <w:u w:val="single"/>
        </w:rPr>
      </w:pPr>
      <w:r w:rsidRPr="001A01E9">
        <w:rPr>
          <w:bCs/>
          <w:u w:val="single"/>
        </w:rPr>
        <w:t>How the Information is Collected</w:t>
      </w:r>
    </w:p>
    <w:p w:rsidR="00421B44" w:rsidP="00E036A9" w14:paraId="16DCAADA" w14:textId="190AF46B">
      <w:pPr>
        <w:ind w:left="360"/>
      </w:pPr>
    </w:p>
    <w:p w:rsidR="00447FBF" w:rsidP="00040E55" w14:paraId="442C6ED7" w14:textId="77777777">
      <w:pPr>
        <w:ind w:left="360"/>
      </w:pPr>
      <w:r>
        <w:t>The survey questions are selected from a pre-tested question bank that FDA developed. FDA has tested and refined the questions contained in the question bank with a set of nine cognitive interviews and a pre-test with 51 FDA employees. FDA and Centers for Disease Control and Prevention (CDC) worked collaboratively on selecting the questions and developing the survey questionnaire, to ensure the information collected can be useful to both agencies.</w:t>
      </w:r>
    </w:p>
    <w:p w:rsidR="00447FBF" w:rsidP="00040E55" w14:paraId="77A5035F" w14:textId="77777777">
      <w:pPr>
        <w:ind w:left="360"/>
      </w:pPr>
    </w:p>
    <w:p w:rsidR="00447FBF" w:rsidP="00040E55" w14:paraId="107F487A" w14:textId="77777777">
      <w:pPr>
        <w:ind w:left="360"/>
      </w:pPr>
      <w:r>
        <w:t>The survey will be completed online with participants recruited from an online non-probability consumer panel (</w:t>
      </w:r>
      <w:r>
        <w:t>Dynata</w:t>
      </w:r>
      <w:r>
        <w:t xml:space="preserve">). </w:t>
      </w:r>
      <w:r>
        <w:t>Dynata</w:t>
      </w:r>
      <w:r>
        <w:t xml:space="preserve"> is the world’s largest first-party data and insights platform that connects brands and agencies to consumers. </w:t>
      </w:r>
      <w:r>
        <w:t>Dynata</w:t>
      </w:r>
      <w:r>
        <w:t xml:space="preserve"> has over 31 million panel participants in North and South America. Their members represent a broad range of ages, genders, race/ethnicities, education levels, and income.</w:t>
      </w:r>
    </w:p>
    <w:p w:rsidR="00447FBF" w:rsidP="00040E55" w14:paraId="7E0C389F" w14:textId="77777777">
      <w:pPr>
        <w:ind w:left="360"/>
      </w:pPr>
    </w:p>
    <w:p w:rsidR="00447FBF" w:rsidP="00447FBF" w14:paraId="35E536D4" w14:textId="0E1E1C74">
      <w:pPr>
        <w:ind w:left="360"/>
      </w:pPr>
      <w:r>
        <w:t>Dynata</w:t>
      </w:r>
      <w:r>
        <w:t xml:space="preserve"> will post invitations on their app and/or websites (Appendix II), with a link to the survey introduction and screener. If a panel participant clicks on the link, he/she will be directed to the survey introduction and screener (Appendix III). Once the panel participant finishes the screener and meets </w:t>
      </w:r>
      <w:r>
        <w:t>all of</w:t>
      </w:r>
      <w:r>
        <w:t xml:space="preserve"> the criteria, he/she will be provided with a link to the programmed survey, where he/she can fill out online. </w:t>
      </w:r>
    </w:p>
    <w:p w:rsidR="006176DF" w:rsidP="00040E55" w14:paraId="34363CF9" w14:textId="77777777">
      <w:pPr>
        <w:ind w:left="360"/>
      </w:pPr>
    </w:p>
    <w:p w:rsidR="00447FBF" w:rsidRPr="005510AD" w:rsidP="00040E55" w14:paraId="1CCE7CD4" w14:textId="290D54E1">
      <w:pPr>
        <w:ind w:left="360"/>
        <w:jc w:val="both"/>
      </w:pPr>
      <w:r>
        <w:t xml:space="preserve">The survey will be anonymous, no personal identifiable information (PII) will be collected. Westat will receive survey data in aggregated form from </w:t>
      </w:r>
      <w:r>
        <w:t>Dynata</w:t>
      </w:r>
      <w:r>
        <w:t>. Westat will clean and run analyses on the data (see 2.). Westat will send the cleaned data set and the statistical analyses results to FDA. The data will be stored on password protected computers.</w:t>
      </w:r>
    </w:p>
    <w:p w:rsidR="00421B44" w:rsidP="00421B44" w14:paraId="69B53404" w14:textId="77777777"/>
    <w:p w:rsidR="00421B44" w:rsidRPr="001A01E9" w:rsidP="00421B44" w14:paraId="67996C6B" w14:textId="77777777">
      <w:pPr>
        <w:numPr>
          <w:ilvl w:val="0"/>
          <w:numId w:val="31"/>
        </w:numPr>
        <w:rPr>
          <w:bCs/>
          <w:u w:val="single"/>
        </w:rPr>
      </w:pPr>
      <w:r>
        <w:rPr>
          <w:bCs/>
          <w:u w:val="single"/>
        </w:rPr>
        <w:t>Privacy</w:t>
      </w:r>
      <w:r w:rsidRPr="001A01E9">
        <w:rPr>
          <w:bCs/>
          <w:u w:val="single"/>
        </w:rPr>
        <w:t xml:space="preserve"> </w:t>
      </w:r>
      <w:r w:rsidRPr="001A01E9">
        <w:rPr>
          <w:bCs/>
          <w:u w:val="single"/>
        </w:rPr>
        <w:t>of Respondents</w:t>
      </w:r>
      <w:r>
        <w:rPr>
          <w:bCs/>
          <w:u w:val="single"/>
        </w:rPr>
        <w:t xml:space="preserve"> and Protection of Data</w:t>
      </w:r>
    </w:p>
    <w:p w:rsidR="00421B44" w:rsidP="00421B44" w14:paraId="03E14574" w14:textId="362ABBFC">
      <w:pPr>
        <w:ind w:left="360"/>
        <w:rPr>
          <w:b/>
        </w:rPr>
      </w:pPr>
    </w:p>
    <w:p w:rsidR="00064937" w:rsidRPr="00B6779F" w:rsidP="00C97A57" w14:paraId="18313699" w14:textId="77777777">
      <w:pPr>
        <w:pStyle w:val="NoSpacing"/>
        <w:ind w:left="360"/>
        <w:rPr>
          <w:rFonts w:ascii="Times New Roman" w:hAnsi="Times New Roman" w:cs="Times New Roman"/>
          <w:sz w:val="24"/>
          <w:szCs w:val="24"/>
        </w:rPr>
      </w:pPr>
      <w:r w:rsidRPr="00B6779F">
        <w:rPr>
          <w:rFonts w:ascii="Times New Roman" w:hAnsi="Times New Roman" w:cs="Times New Roman"/>
          <w:sz w:val="24"/>
          <w:szCs w:val="24"/>
        </w:rPr>
        <w:t xml:space="preserve">In preparing this </w:t>
      </w:r>
      <w:r>
        <w:rPr>
          <w:rFonts w:ascii="Times New Roman" w:hAnsi="Times New Roman" w:cs="Times New Roman"/>
          <w:sz w:val="24"/>
          <w:szCs w:val="24"/>
        </w:rPr>
        <w:t>individual GenIC Privacy Act Assessmen</w:t>
      </w:r>
      <w:r w:rsidRPr="00B6779F">
        <w:rPr>
          <w:rFonts w:ascii="Times New Roman" w:hAnsi="Times New Roman" w:cs="Times New Roman"/>
          <w:sz w:val="24"/>
          <w:szCs w:val="24"/>
        </w:rPr>
        <w:t xml:space="preserve">t, we consulted our Privacy Office to ensure appropriate identification and handling of information collected. </w:t>
      </w:r>
    </w:p>
    <w:p w:rsidR="00064937" w:rsidRPr="00B6779F" w:rsidP="00040E55" w14:paraId="33084222" w14:textId="77777777">
      <w:pPr>
        <w:pStyle w:val="NoSpacing"/>
        <w:ind w:left="360"/>
        <w:rPr>
          <w:rFonts w:ascii="Times New Roman" w:hAnsi="Times New Roman" w:cs="Times New Roman"/>
          <w:sz w:val="24"/>
          <w:szCs w:val="24"/>
        </w:rPr>
      </w:pPr>
    </w:p>
    <w:p w:rsidR="00064937" w:rsidRPr="00B6779F" w:rsidP="00040E55" w14:paraId="5EDDCED1" w14:textId="457E9EE7">
      <w:pPr>
        <w:pStyle w:val="NoSpacing"/>
        <w:ind w:left="360"/>
        <w:rPr>
          <w:rFonts w:ascii="Times New Roman" w:hAnsi="Times New Roman" w:cs="Times New Roman"/>
          <w:sz w:val="24"/>
          <w:szCs w:val="24"/>
        </w:rPr>
      </w:pPr>
      <w:r w:rsidRPr="00B6779F">
        <w:rPr>
          <w:rFonts w:ascii="Times New Roman" w:hAnsi="Times New Roman" w:cs="Times New Roman"/>
          <w:sz w:val="24"/>
          <w:szCs w:val="24"/>
        </w:rPr>
        <w:t>This ICR will collect personally identifiable information (PII). The PII collected typically consists of name and contact information. PII is collected by a contractor or vendor who conducts surveys</w:t>
      </w:r>
      <w:r>
        <w:rPr>
          <w:rFonts w:ascii="Times New Roman" w:hAnsi="Times New Roman" w:cs="Times New Roman"/>
          <w:sz w:val="24"/>
          <w:szCs w:val="24"/>
        </w:rPr>
        <w:t xml:space="preserve"> and connects brands and agencies to consumers</w:t>
      </w:r>
      <w:r w:rsidRPr="00B6779F">
        <w:rPr>
          <w:rFonts w:ascii="Times New Roman" w:hAnsi="Times New Roman" w:cs="Times New Roman"/>
          <w:sz w:val="24"/>
          <w:szCs w:val="24"/>
        </w:rPr>
        <w:t xml:space="preserve">. PII is collected so FDA can conduct a survey in collaboration with the CDC to collect information on consumer awareness, knowledge, and behavior of a current outbreak of Hepatitis A infections and frozen strawberry recall. Information collected by the vendor or contractor will be summarized into aggregate form, sent in aggregate to FDA (no PII will be included), and destroyed after the study or interview has been completed. Collected PII is used to notify potential respondents of their selection and includes name and contact information. All information collected will be kept secure by the vendor or contractor. FDA and any vendor or contractor will disclose identifiable information only to the extent authorized by the individual or required by law. Contractors or vendors maintaining information will destroy it in accordance with applicable records retention and other requirements per contract terms after the aggregate information has been provided to FDA and the survey has </w:t>
      </w:r>
      <w:r w:rsidRPr="00B6779F">
        <w:rPr>
          <w:rFonts w:ascii="Times New Roman" w:hAnsi="Times New Roman" w:cs="Times New Roman"/>
          <w:sz w:val="24"/>
          <w:szCs w:val="24"/>
        </w:rPr>
        <w:t>been completed. In keeping with IRB/Human Subjects Research protocols, the FDA clearance process ensures that study data is appropriately secured (e.g., housed on the Contractor’s servers, password protected, separate storage areas for each study, access controlled).</w:t>
      </w:r>
    </w:p>
    <w:p w:rsidR="00064937" w:rsidRPr="00B6779F" w:rsidP="00040E55" w14:paraId="7E54182A" w14:textId="77777777">
      <w:pPr>
        <w:pStyle w:val="NoSpacing"/>
        <w:ind w:left="360"/>
        <w:rPr>
          <w:rFonts w:ascii="Times New Roman" w:hAnsi="Times New Roman" w:cs="Times New Roman"/>
          <w:sz w:val="24"/>
          <w:szCs w:val="24"/>
        </w:rPr>
      </w:pPr>
    </w:p>
    <w:p w:rsidR="00064937" w:rsidRPr="00B6779F" w:rsidP="00040E55" w14:paraId="7B300734" w14:textId="77777777">
      <w:pPr>
        <w:pStyle w:val="NoSpacing"/>
        <w:ind w:left="360"/>
        <w:rPr>
          <w:rFonts w:ascii="Times New Roman" w:hAnsi="Times New Roman" w:cs="Times New Roman"/>
          <w:sz w:val="24"/>
          <w:szCs w:val="24"/>
        </w:rPr>
      </w:pPr>
      <w:r w:rsidRPr="00B6779F">
        <w:rPr>
          <w:rFonts w:ascii="Times New Roman" w:hAnsi="Times New Roman" w:cs="Times New Roman"/>
          <w:sz w:val="24"/>
          <w:szCs w:val="24"/>
        </w:rPr>
        <w:t xml:space="preserve">FDA determined that although PII is collected it is not subject to the Privacy Act of 1974 and the </w:t>
      </w:r>
      <w:r w:rsidRPr="00B6779F">
        <w:rPr>
          <w:rFonts w:ascii="Times New Roman" w:hAnsi="Times New Roman" w:cs="Times New Roman"/>
          <w:sz w:val="24"/>
          <w:szCs w:val="24"/>
        </w:rPr>
        <w:t>particular notice</w:t>
      </w:r>
      <w:r w:rsidRPr="00B6779F">
        <w:rPr>
          <w:rFonts w:ascii="Times New Roman" w:hAnsi="Times New Roman" w:cs="Times New Roman"/>
          <w:sz w:val="24"/>
          <w:szCs w:val="24"/>
        </w:rPr>
        <w:t xml:space="preserve"> and other requirements of the Act do not apply. Specifically, the contractor does not use name or any other personal identifier to retrieve records from the information collected.</w:t>
      </w:r>
    </w:p>
    <w:p w:rsidR="003F1F0C" w:rsidP="00040E55" w14:paraId="655D74FD" w14:textId="77777777">
      <w:pPr>
        <w:rPr>
          <w:color w:val="000000"/>
        </w:rPr>
      </w:pPr>
    </w:p>
    <w:p w:rsidR="00421B44" w:rsidP="003F1F0C" w14:paraId="413FE13F" w14:textId="238623C2">
      <w:pPr>
        <w:ind w:left="360"/>
        <w:rPr>
          <w:color w:val="000000"/>
        </w:rPr>
      </w:pPr>
      <w:r w:rsidRPr="003F1F0C">
        <w:rPr>
          <w:color w:val="000000"/>
        </w:rPr>
        <w:t xml:space="preserve">Have you ensured that the following language or similar is included in your study materials? [include cleared language] [X] </w:t>
      </w:r>
      <w:r w:rsidRPr="003F1F0C">
        <w:rPr>
          <w:color w:val="000000"/>
        </w:rPr>
        <w:t>YES  [</w:t>
      </w:r>
      <w:r w:rsidRPr="003F1F0C">
        <w:rPr>
          <w:color w:val="000000"/>
        </w:rPr>
        <w:t xml:space="preserve"> ] NO</w:t>
      </w:r>
    </w:p>
    <w:p w:rsidR="003F1F0C" w:rsidRPr="005510AD" w:rsidP="00C30916" w14:paraId="6C169587" w14:textId="77777777">
      <w:pPr>
        <w:ind w:left="360"/>
        <w:rPr>
          <w:color w:val="000000"/>
        </w:rPr>
      </w:pPr>
    </w:p>
    <w:p w:rsidR="003F1F0C" w:rsidP="001A01E9" w14:paraId="38A6A7F5" w14:textId="06EC381C">
      <w:pPr>
        <w:ind w:left="360"/>
      </w:pPr>
      <w:r w:rsidRPr="005510AD">
        <w:rPr>
          <w:color w:val="000000"/>
        </w:rPr>
        <w:t xml:space="preserve">“Your participation / nonparticipation is completely voluntary, and your responses will not </w:t>
      </w:r>
      <w:r w:rsidRPr="005510AD">
        <w:rPr>
          <w:color w:val="000000"/>
        </w:rPr>
        <w:t>have an effect on</w:t>
      </w:r>
      <w:r w:rsidRPr="005510AD">
        <w:rPr>
          <w:color w:val="000000"/>
        </w:rPr>
        <w:t xml:space="preserve"> your eligibility for receipt of any FDA services.  In instances where respondent identity is needed (e.g., for follow-up of non-respondents), this information collection fully complies with all aspects of the Privacy Act</w:t>
      </w:r>
      <w:r w:rsidRPr="005510AD">
        <w:t xml:space="preserve"> and data will be kept private to the fullest extent allowed by law.”</w:t>
      </w:r>
    </w:p>
    <w:p w:rsidR="00421B44" w:rsidRPr="005510AD" w:rsidP="001A01E9" w14:paraId="4FAC9858" w14:textId="7D6FC86B">
      <w:pPr>
        <w:ind w:left="360"/>
        <w:rPr>
          <w:snapToGrid w:val="0"/>
        </w:rPr>
      </w:pPr>
    </w:p>
    <w:p w:rsidR="00421B44" w:rsidRPr="001A01E9" w:rsidP="00421B44" w14:paraId="2B5D3BF7" w14:textId="77777777">
      <w:pPr>
        <w:numPr>
          <w:ilvl w:val="0"/>
          <w:numId w:val="31"/>
        </w:numPr>
        <w:spacing w:after="200" w:line="276" w:lineRule="auto"/>
        <w:contextualSpacing/>
        <w:rPr>
          <w:bCs/>
          <w:u w:val="single"/>
        </w:rPr>
      </w:pPr>
      <w:r w:rsidRPr="001A01E9">
        <w:rPr>
          <w:bCs/>
          <w:u w:val="single"/>
        </w:rPr>
        <w:t>Amount and Justification for Proposed Incentive</w:t>
      </w:r>
    </w:p>
    <w:p w:rsidR="00421B44" w:rsidP="00421B44" w14:paraId="32D23DF6" w14:textId="58EBDDDF">
      <w:pPr>
        <w:rPr>
          <w:b/>
        </w:rPr>
      </w:pPr>
    </w:p>
    <w:p w:rsidR="00254117" w:rsidRPr="00040E55" w:rsidP="00040E55" w14:paraId="76A60A16" w14:textId="77777777">
      <w:pPr>
        <w:ind w:left="360"/>
        <w:rPr>
          <w:bCs/>
        </w:rPr>
      </w:pPr>
      <w:r w:rsidRPr="00040E55">
        <w:rPr>
          <w:bCs/>
        </w:rPr>
        <w:t xml:space="preserve">Following completion of the survey, participants will receive reward points to the participant’s online </w:t>
      </w:r>
      <w:r w:rsidRPr="00040E55">
        <w:rPr>
          <w:bCs/>
        </w:rPr>
        <w:t>Dynata</w:t>
      </w:r>
      <w:r w:rsidRPr="00040E55">
        <w:rPr>
          <w:bCs/>
        </w:rPr>
        <w:t xml:space="preserve"> account that can be used in exchange for gift cards, prizes, or airline or hotel miles. For this study and population, those points correspond to approximately $3 cash value. The incentive is an effective method of drawing attention to the study and gaining cooperation for completing it. It is intended as a token of appreciation for the participants and to increase response rates. </w:t>
      </w:r>
    </w:p>
    <w:p w:rsidR="00421B44" w:rsidRPr="00040E55" w:rsidP="00040E55" w14:paraId="7AC5CCD3" w14:textId="77777777">
      <w:pPr>
        <w:ind w:left="360"/>
        <w:rPr>
          <w:bCs/>
        </w:rPr>
      </w:pPr>
    </w:p>
    <w:p w:rsidR="00421B44" w:rsidRPr="001A01E9" w:rsidP="00421B44" w14:paraId="114FB2EA" w14:textId="77777777">
      <w:pPr>
        <w:numPr>
          <w:ilvl w:val="0"/>
          <w:numId w:val="31"/>
        </w:numPr>
        <w:spacing w:after="200" w:line="276" w:lineRule="auto"/>
        <w:contextualSpacing/>
        <w:rPr>
          <w:bCs/>
          <w:u w:val="single"/>
        </w:rPr>
      </w:pPr>
      <w:r w:rsidRPr="001A01E9">
        <w:rPr>
          <w:bCs/>
          <w:u w:val="single"/>
        </w:rPr>
        <w:t>Questions of a Sensitive Nature</w:t>
      </w:r>
    </w:p>
    <w:p w:rsidR="00421B44" w:rsidP="00421B44" w14:paraId="398F8304" w14:textId="537FFC95">
      <w:pPr>
        <w:ind w:left="360"/>
        <w:contextualSpacing/>
      </w:pPr>
    </w:p>
    <w:p w:rsidR="00E07F9C" w:rsidRPr="005510AD" w:rsidP="00421B44" w14:paraId="18043B9B" w14:textId="3F969635">
      <w:pPr>
        <w:ind w:left="360"/>
        <w:contextualSpacing/>
      </w:pPr>
      <w:r w:rsidRPr="00E07F9C">
        <w:t>There will be no questions of a sensitive nature asked of participants.</w:t>
      </w:r>
    </w:p>
    <w:p w:rsidR="00421B44" w:rsidP="00421B44" w14:paraId="4DE52E46" w14:textId="77777777">
      <w:pPr>
        <w:ind w:left="360"/>
      </w:pPr>
    </w:p>
    <w:p w:rsidR="00421B44" w:rsidP="00421B44" w14:paraId="6C2D1B94" w14:textId="204731EF">
      <w:pPr>
        <w:numPr>
          <w:ilvl w:val="0"/>
          <w:numId w:val="31"/>
        </w:numPr>
        <w:spacing w:after="200" w:line="276" w:lineRule="auto"/>
        <w:contextualSpacing/>
        <w:rPr>
          <w:bCs/>
          <w:u w:val="single"/>
        </w:rPr>
      </w:pPr>
      <w:r w:rsidRPr="001A01E9">
        <w:rPr>
          <w:bCs/>
          <w:u w:val="single"/>
        </w:rPr>
        <w:t>Description of Statistical Methods</w:t>
      </w:r>
      <w:r w:rsidR="003F1F0C">
        <w:rPr>
          <w:bCs/>
          <w:u w:val="single"/>
        </w:rPr>
        <w:br/>
      </w:r>
    </w:p>
    <w:p w:rsidR="003F1F0C" w:rsidP="003F1F0C" w14:paraId="309C083A" w14:textId="63A37E78">
      <w:pPr>
        <w:ind w:left="360"/>
        <w:contextualSpacing/>
      </w:pPr>
      <w:r w:rsidRPr="00C30916">
        <w:rPr>
          <w:bCs/>
        </w:rPr>
        <w:t xml:space="preserve">The </w:t>
      </w:r>
      <w:r w:rsidRPr="00653327" w:rsidR="00653327">
        <w:t>Contractor (Westat) will run analyses on the data, which include frequencies, crosstabs/Chi-square test, multivariate logistic regression, and qualitative analysis (for open-ended questions).</w:t>
      </w:r>
    </w:p>
    <w:p w:rsidR="003F1F0C" w14:paraId="1237A793" w14:textId="77777777">
      <w:r>
        <w:br w:type="page"/>
      </w:r>
    </w:p>
    <w:p w:rsidR="00787497" w:rsidRPr="005510AD" w:rsidP="00040E55" w14:paraId="0EC766B9" w14:textId="50E5BC6B">
      <w:pPr>
        <w:pStyle w:val="ListParagraph"/>
        <w:ind w:left="360"/>
        <w:contextualSpacing/>
      </w:pPr>
    </w:p>
    <w:p w:rsidR="001A01E9" w:rsidP="00040E55" w14:paraId="34DA0066" w14:textId="77777777">
      <w:pPr>
        <w:pStyle w:val="ListParagraph"/>
        <w:numPr>
          <w:ilvl w:val="0"/>
          <w:numId w:val="31"/>
        </w:numPr>
        <w:rPr>
          <w:rFonts w:eastAsia="Calibri"/>
          <w:u w:val="single"/>
        </w:rPr>
      </w:pPr>
      <w:r w:rsidRPr="001A01E9">
        <w:rPr>
          <w:rFonts w:eastAsia="Calibri"/>
          <w:u w:val="single"/>
        </w:rPr>
        <w:t>Burden Hour Computation</w:t>
      </w:r>
    </w:p>
    <w:p w:rsidR="001A01E9" w:rsidP="001A01E9" w14:paraId="2A4E2538" w14:textId="77777777">
      <w:pPr>
        <w:contextualSpacing/>
        <w:rPr>
          <w:rFonts w:eastAsia="Calibri"/>
          <w:u w:val="single"/>
        </w:rPr>
      </w:pP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6"/>
        <w:gridCol w:w="1470"/>
        <w:gridCol w:w="1471"/>
        <w:gridCol w:w="1470"/>
        <w:gridCol w:w="1471"/>
        <w:gridCol w:w="989"/>
      </w:tblGrid>
      <w:tr w14:paraId="5AA388C6" w14:textId="77777777" w:rsidTr="004A6579">
        <w:tblPrEx>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56"/>
        </w:trPr>
        <w:tc>
          <w:tcPr>
            <w:tcW w:w="2506" w:type="dxa"/>
            <w:tcBorders>
              <w:top w:val="single" w:sz="4" w:space="0" w:color="auto"/>
              <w:left w:val="single" w:sz="4" w:space="0" w:color="auto"/>
              <w:bottom w:val="single" w:sz="4" w:space="0" w:color="auto"/>
              <w:right w:val="single" w:sz="4" w:space="0" w:color="auto"/>
            </w:tcBorders>
          </w:tcPr>
          <w:p w:rsidR="00C531C1" w:rsidRPr="008B501C" w:rsidP="004A6579" w14:paraId="44BE531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 w:val="22"/>
                <w:szCs w:val="22"/>
                <w:lang w:bidi="he-IL"/>
              </w:rPr>
            </w:pPr>
            <w:r w:rsidRPr="008B501C">
              <w:rPr>
                <w:b/>
                <w:sz w:val="22"/>
                <w:szCs w:val="22"/>
                <w:lang w:bidi="he-IL"/>
              </w:rPr>
              <w:t>Survey Type</w:t>
            </w:r>
          </w:p>
        </w:tc>
        <w:tc>
          <w:tcPr>
            <w:tcW w:w="1470" w:type="dxa"/>
            <w:tcBorders>
              <w:top w:val="single" w:sz="4" w:space="0" w:color="auto"/>
              <w:left w:val="single" w:sz="4" w:space="0" w:color="auto"/>
              <w:bottom w:val="single" w:sz="4" w:space="0" w:color="auto"/>
              <w:right w:val="single" w:sz="4" w:space="0" w:color="auto"/>
            </w:tcBorders>
            <w:hideMark/>
          </w:tcPr>
          <w:p w:rsidR="00C531C1" w:rsidRPr="008B501C" w:rsidP="004A6579" w14:paraId="5485E50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 w:val="22"/>
                <w:szCs w:val="22"/>
                <w:lang w:bidi="he-IL"/>
              </w:rPr>
            </w:pPr>
            <w:r w:rsidRPr="008B501C">
              <w:rPr>
                <w:b/>
                <w:sz w:val="22"/>
                <w:szCs w:val="22"/>
                <w:lang w:bidi="he-IL"/>
              </w:rPr>
              <w:t>Number of Respondents</w:t>
            </w:r>
          </w:p>
        </w:tc>
        <w:tc>
          <w:tcPr>
            <w:tcW w:w="1471" w:type="dxa"/>
            <w:tcBorders>
              <w:top w:val="single" w:sz="4" w:space="0" w:color="auto"/>
              <w:left w:val="single" w:sz="4" w:space="0" w:color="auto"/>
              <w:bottom w:val="single" w:sz="4" w:space="0" w:color="auto"/>
              <w:right w:val="single" w:sz="4" w:space="0" w:color="auto"/>
            </w:tcBorders>
            <w:hideMark/>
          </w:tcPr>
          <w:p w:rsidR="00C531C1" w:rsidRPr="008B501C" w:rsidP="004A6579" w14:paraId="2FB12C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2"/>
                <w:szCs w:val="22"/>
                <w:lang w:bidi="he-IL"/>
              </w:rPr>
            </w:pPr>
            <w:r w:rsidRPr="008B501C">
              <w:rPr>
                <w:b/>
                <w:bCs/>
                <w:sz w:val="22"/>
                <w:szCs w:val="22"/>
                <w:lang w:bidi="he-IL"/>
              </w:rPr>
              <w:t>No. of Responses per Respondent</w:t>
            </w:r>
          </w:p>
        </w:tc>
        <w:tc>
          <w:tcPr>
            <w:tcW w:w="1470" w:type="dxa"/>
            <w:tcBorders>
              <w:top w:val="single" w:sz="4" w:space="0" w:color="auto"/>
              <w:left w:val="single" w:sz="4" w:space="0" w:color="auto"/>
              <w:bottom w:val="single" w:sz="4" w:space="0" w:color="auto"/>
              <w:right w:val="single" w:sz="4" w:space="0" w:color="auto"/>
            </w:tcBorders>
            <w:hideMark/>
          </w:tcPr>
          <w:p w:rsidR="00C531C1" w:rsidRPr="008B501C" w:rsidP="004A6579" w14:paraId="3AF83E8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2"/>
                <w:szCs w:val="22"/>
                <w:lang w:bidi="he-IL"/>
              </w:rPr>
            </w:pPr>
            <w:r w:rsidRPr="008B501C">
              <w:rPr>
                <w:b/>
                <w:bCs/>
                <w:sz w:val="22"/>
                <w:szCs w:val="22"/>
                <w:lang w:bidi="he-IL"/>
              </w:rPr>
              <w:t>Total Annual Responses</w:t>
            </w:r>
          </w:p>
        </w:tc>
        <w:tc>
          <w:tcPr>
            <w:tcW w:w="1471" w:type="dxa"/>
            <w:tcBorders>
              <w:top w:val="single" w:sz="4" w:space="0" w:color="auto"/>
              <w:left w:val="single" w:sz="4" w:space="0" w:color="auto"/>
              <w:bottom w:val="single" w:sz="4" w:space="0" w:color="auto"/>
              <w:right w:val="single" w:sz="4" w:space="0" w:color="auto"/>
            </w:tcBorders>
            <w:vAlign w:val="center"/>
            <w:hideMark/>
          </w:tcPr>
          <w:p w:rsidR="00C531C1" w:rsidRPr="008B501C" w:rsidP="004A6579" w14:paraId="60843AE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 w:val="22"/>
                <w:szCs w:val="22"/>
                <w:lang w:bidi="he-IL"/>
              </w:rPr>
            </w:pPr>
            <w:r w:rsidRPr="008B501C">
              <w:rPr>
                <w:b/>
                <w:bCs/>
                <w:sz w:val="22"/>
                <w:szCs w:val="22"/>
                <w:lang w:bidi="he-IL"/>
              </w:rPr>
              <w:t>Average Burden per Response</w:t>
            </w:r>
            <w:r>
              <w:rPr>
                <w:b/>
                <w:bCs/>
                <w:sz w:val="22"/>
                <w:szCs w:val="22"/>
                <w:lang w:bidi="he-IL"/>
              </w:rPr>
              <w:t xml:space="preserve"> in hours or minutes</w:t>
            </w:r>
          </w:p>
        </w:tc>
        <w:tc>
          <w:tcPr>
            <w:tcW w:w="989" w:type="dxa"/>
            <w:tcBorders>
              <w:top w:val="single" w:sz="4" w:space="0" w:color="auto"/>
              <w:left w:val="single" w:sz="4" w:space="0" w:color="auto"/>
              <w:bottom w:val="single" w:sz="4" w:space="0" w:color="auto"/>
              <w:right w:val="single" w:sz="4" w:space="0" w:color="auto"/>
            </w:tcBorders>
            <w:hideMark/>
          </w:tcPr>
          <w:p w:rsidR="00C531C1" w:rsidRPr="008B501C" w:rsidP="004A6579" w14:paraId="4BD58D8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 w:val="22"/>
                <w:szCs w:val="22"/>
                <w:lang w:bidi="he-IL"/>
              </w:rPr>
            </w:pPr>
            <w:r w:rsidRPr="008B501C">
              <w:rPr>
                <w:b/>
                <w:sz w:val="22"/>
                <w:szCs w:val="22"/>
                <w:lang w:bidi="he-IL"/>
              </w:rPr>
              <w:t>Total Hours</w:t>
            </w:r>
          </w:p>
        </w:tc>
      </w:tr>
      <w:tr w14:paraId="477F3C81" w14:textId="77777777" w:rsidTr="004A6579">
        <w:tblPrEx>
          <w:tblW w:w="9377" w:type="dxa"/>
          <w:tblLook w:val="01E0"/>
        </w:tblPrEx>
        <w:trPr>
          <w:trHeight w:val="61"/>
        </w:trPr>
        <w:tc>
          <w:tcPr>
            <w:tcW w:w="2506" w:type="dxa"/>
            <w:tcBorders>
              <w:top w:val="single" w:sz="4" w:space="0" w:color="auto"/>
              <w:left w:val="single" w:sz="4" w:space="0" w:color="auto"/>
              <w:bottom w:val="single" w:sz="4" w:space="0" w:color="auto"/>
              <w:right w:val="single" w:sz="4" w:space="0" w:color="auto"/>
            </w:tcBorders>
            <w:hideMark/>
          </w:tcPr>
          <w:p w:rsidR="00C531C1" w:rsidRPr="008B501C" w:rsidP="004A6579" w14:paraId="4EC3031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 xml:space="preserve">Pre-test survey screener </w:t>
            </w:r>
          </w:p>
        </w:tc>
        <w:tc>
          <w:tcPr>
            <w:tcW w:w="1470" w:type="dxa"/>
            <w:tcBorders>
              <w:top w:val="single" w:sz="4" w:space="0" w:color="auto"/>
              <w:left w:val="single" w:sz="4" w:space="0" w:color="auto"/>
              <w:bottom w:val="single" w:sz="4" w:space="0" w:color="auto"/>
              <w:right w:val="single" w:sz="4" w:space="0" w:color="auto"/>
            </w:tcBorders>
            <w:hideMark/>
          </w:tcPr>
          <w:p w:rsidR="00C531C1" w:rsidRPr="00B6199F" w:rsidP="004A6579" w14:paraId="2A5BAB62" w14:textId="77777777">
            <w:pPr>
              <w:jc w:val="center"/>
              <w:rPr>
                <w:sz w:val="22"/>
                <w:szCs w:val="22"/>
                <w:lang w:bidi="he-IL"/>
              </w:rPr>
            </w:pPr>
            <w:r>
              <w:rPr>
                <w:sz w:val="22"/>
                <w:szCs w:val="22"/>
                <w:lang w:bidi="he-IL"/>
              </w:rPr>
              <w:t>2,400</w:t>
            </w:r>
          </w:p>
        </w:tc>
        <w:tc>
          <w:tcPr>
            <w:tcW w:w="1471" w:type="dxa"/>
            <w:tcBorders>
              <w:top w:val="single" w:sz="4" w:space="0" w:color="auto"/>
              <w:left w:val="single" w:sz="4" w:space="0" w:color="auto"/>
              <w:bottom w:val="single" w:sz="4" w:space="0" w:color="auto"/>
              <w:right w:val="single" w:sz="4" w:space="0" w:color="auto"/>
            </w:tcBorders>
            <w:hideMark/>
          </w:tcPr>
          <w:p w:rsidR="00C531C1" w:rsidRPr="008B501C" w:rsidP="004A6579" w14:paraId="19CA906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2"/>
                <w:szCs w:val="22"/>
                <w:lang w:bidi="he-IL"/>
              </w:rPr>
            </w:pPr>
            <w:r>
              <w:rPr>
                <w:sz w:val="22"/>
                <w:szCs w:val="22"/>
                <w:lang w:bidi="he-IL"/>
              </w:rPr>
              <w:t>1</w:t>
            </w:r>
          </w:p>
        </w:tc>
        <w:tc>
          <w:tcPr>
            <w:tcW w:w="1470" w:type="dxa"/>
            <w:tcBorders>
              <w:top w:val="single" w:sz="4" w:space="0" w:color="auto"/>
              <w:left w:val="single" w:sz="4" w:space="0" w:color="auto"/>
              <w:bottom w:val="single" w:sz="4" w:space="0" w:color="auto"/>
              <w:right w:val="single" w:sz="4" w:space="0" w:color="auto"/>
            </w:tcBorders>
            <w:hideMark/>
          </w:tcPr>
          <w:p w:rsidR="00C531C1" w:rsidRPr="008B501C" w:rsidP="004A6579" w14:paraId="0B1212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2"/>
                <w:szCs w:val="22"/>
                <w:lang w:bidi="he-IL"/>
              </w:rPr>
            </w:pPr>
            <w:r>
              <w:rPr>
                <w:sz w:val="22"/>
                <w:szCs w:val="22"/>
                <w:lang w:bidi="he-IL"/>
              </w:rPr>
              <w:t>1</w:t>
            </w:r>
          </w:p>
        </w:tc>
        <w:tc>
          <w:tcPr>
            <w:tcW w:w="1471" w:type="dxa"/>
            <w:tcBorders>
              <w:top w:val="single" w:sz="4" w:space="0" w:color="auto"/>
              <w:left w:val="single" w:sz="4" w:space="0" w:color="auto"/>
              <w:bottom w:val="single" w:sz="4" w:space="0" w:color="auto"/>
              <w:right w:val="single" w:sz="4" w:space="0" w:color="auto"/>
            </w:tcBorders>
            <w:hideMark/>
          </w:tcPr>
          <w:p w:rsidR="00C531C1" w:rsidRPr="008B501C" w:rsidP="004A6579" w14:paraId="4F5273B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2"/>
                <w:szCs w:val="22"/>
                <w:lang w:bidi="he-IL"/>
              </w:rPr>
            </w:pPr>
            <w:r>
              <w:rPr>
                <w:sz w:val="22"/>
                <w:szCs w:val="22"/>
                <w:lang w:bidi="he-IL"/>
              </w:rPr>
              <w:t>1 minute</w:t>
            </w:r>
          </w:p>
        </w:tc>
        <w:tc>
          <w:tcPr>
            <w:tcW w:w="989" w:type="dxa"/>
            <w:tcBorders>
              <w:top w:val="single" w:sz="4" w:space="0" w:color="auto"/>
              <w:left w:val="single" w:sz="4" w:space="0" w:color="auto"/>
              <w:bottom w:val="single" w:sz="4" w:space="0" w:color="auto"/>
              <w:right w:val="single" w:sz="4" w:space="0" w:color="auto"/>
            </w:tcBorders>
            <w:hideMark/>
          </w:tcPr>
          <w:p w:rsidR="00C531C1" w:rsidRPr="008B501C" w:rsidP="004A6579" w14:paraId="292D3CB9" w14:textId="1ACA2FC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2"/>
                <w:szCs w:val="22"/>
                <w:lang w:bidi="he-IL"/>
              </w:rPr>
            </w:pPr>
            <w:r>
              <w:rPr>
                <w:sz w:val="22"/>
                <w:szCs w:val="22"/>
                <w:lang w:bidi="he-IL"/>
              </w:rPr>
              <w:t>4</w:t>
            </w:r>
            <w:r w:rsidR="003F1F0C">
              <w:rPr>
                <w:sz w:val="22"/>
                <w:szCs w:val="22"/>
                <w:lang w:bidi="he-IL"/>
              </w:rPr>
              <w:t>8</w:t>
            </w:r>
          </w:p>
        </w:tc>
      </w:tr>
      <w:tr w14:paraId="4C7D47D7" w14:textId="77777777" w:rsidTr="004A6579">
        <w:tblPrEx>
          <w:tblW w:w="9377" w:type="dxa"/>
          <w:tblLook w:val="01E0"/>
        </w:tblPrEx>
        <w:trPr>
          <w:trHeight w:val="61"/>
        </w:trPr>
        <w:tc>
          <w:tcPr>
            <w:tcW w:w="2506" w:type="dxa"/>
            <w:tcBorders>
              <w:top w:val="single" w:sz="4" w:space="0" w:color="auto"/>
              <w:left w:val="single" w:sz="4" w:space="0" w:color="auto"/>
              <w:bottom w:val="single" w:sz="4" w:space="0" w:color="auto"/>
              <w:right w:val="single" w:sz="4" w:space="0" w:color="auto"/>
            </w:tcBorders>
            <w:hideMark/>
          </w:tcPr>
          <w:p w:rsidR="00C531C1" w:rsidRPr="008B501C" w:rsidP="004A6579" w14:paraId="7740FCA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 xml:space="preserve">Pre-test survey </w:t>
            </w:r>
          </w:p>
        </w:tc>
        <w:tc>
          <w:tcPr>
            <w:tcW w:w="1470" w:type="dxa"/>
            <w:tcBorders>
              <w:top w:val="single" w:sz="4" w:space="0" w:color="auto"/>
              <w:left w:val="single" w:sz="4" w:space="0" w:color="auto"/>
              <w:bottom w:val="single" w:sz="4" w:space="0" w:color="auto"/>
              <w:right w:val="single" w:sz="4" w:space="0" w:color="auto"/>
            </w:tcBorders>
            <w:hideMark/>
          </w:tcPr>
          <w:p w:rsidR="00C531C1" w:rsidRPr="008B501C" w:rsidP="004A6579" w14:paraId="132959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2"/>
                <w:szCs w:val="22"/>
                <w:lang w:bidi="he-IL"/>
              </w:rPr>
            </w:pPr>
            <w:r>
              <w:rPr>
                <w:sz w:val="22"/>
                <w:szCs w:val="22"/>
                <w:lang w:bidi="he-IL"/>
              </w:rPr>
              <w:t>1,200</w:t>
            </w:r>
          </w:p>
        </w:tc>
        <w:tc>
          <w:tcPr>
            <w:tcW w:w="1471" w:type="dxa"/>
            <w:tcBorders>
              <w:top w:val="single" w:sz="4" w:space="0" w:color="auto"/>
              <w:left w:val="single" w:sz="4" w:space="0" w:color="auto"/>
              <w:bottom w:val="single" w:sz="4" w:space="0" w:color="auto"/>
              <w:right w:val="single" w:sz="4" w:space="0" w:color="auto"/>
            </w:tcBorders>
            <w:hideMark/>
          </w:tcPr>
          <w:p w:rsidR="00C531C1" w:rsidRPr="008B501C" w:rsidP="004A6579" w14:paraId="3463095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2"/>
                <w:szCs w:val="22"/>
                <w:lang w:bidi="he-IL"/>
              </w:rPr>
            </w:pPr>
            <w:r>
              <w:rPr>
                <w:sz w:val="22"/>
                <w:szCs w:val="22"/>
                <w:lang w:bidi="he-IL"/>
              </w:rPr>
              <w:t>1</w:t>
            </w:r>
          </w:p>
        </w:tc>
        <w:tc>
          <w:tcPr>
            <w:tcW w:w="1470" w:type="dxa"/>
            <w:tcBorders>
              <w:top w:val="single" w:sz="4" w:space="0" w:color="auto"/>
              <w:left w:val="single" w:sz="4" w:space="0" w:color="auto"/>
              <w:bottom w:val="single" w:sz="4" w:space="0" w:color="auto"/>
              <w:right w:val="single" w:sz="4" w:space="0" w:color="auto"/>
            </w:tcBorders>
            <w:hideMark/>
          </w:tcPr>
          <w:p w:rsidR="00C531C1" w:rsidRPr="008B501C" w:rsidP="004A6579" w14:paraId="566AE6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2"/>
                <w:szCs w:val="22"/>
                <w:lang w:bidi="he-IL"/>
              </w:rPr>
            </w:pPr>
            <w:r>
              <w:rPr>
                <w:sz w:val="22"/>
                <w:szCs w:val="22"/>
                <w:lang w:bidi="he-IL"/>
              </w:rPr>
              <w:t>1</w:t>
            </w:r>
          </w:p>
        </w:tc>
        <w:tc>
          <w:tcPr>
            <w:tcW w:w="1471" w:type="dxa"/>
            <w:tcBorders>
              <w:top w:val="single" w:sz="4" w:space="0" w:color="auto"/>
              <w:left w:val="single" w:sz="4" w:space="0" w:color="auto"/>
              <w:bottom w:val="single" w:sz="4" w:space="0" w:color="auto"/>
              <w:right w:val="single" w:sz="4" w:space="0" w:color="auto"/>
            </w:tcBorders>
            <w:hideMark/>
          </w:tcPr>
          <w:p w:rsidR="00C531C1" w:rsidRPr="008B501C" w:rsidP="004A6579" w14:paraId="5E15473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2"/>
                <w:szCs w:val="22"/>
                <w:lang w:bidi="he-IL"/>
              </w:rPr>
            </w:pPr>
            <w:r>
              <w:rPr>
                <w:sz w:val="22"/>
                <w:szCs w:val="22"/>
                <w:lang w:bidi="he-IL"/>
              </w:rPr>
              <w:t>15 minutes</w:t>
            </w:r>
          </w:p>
        </w:tc>
        <w:tc>
          <w:tcPr>
            <w:tcW w:w="989" w:type="dxa"/>
            <w:tcBorders>
              <w:top w:val="single" w:sz="4" w:space="0" w:color="auto"/>
              <w:left w:val="single" w:sz="4" w:space="0" w:color="auto"/>
              <w:bottom w:val="single" w:sz="4" w:space="0" w:color="auto"/>
              <w:right w:val="single" w:sz="4" w:space="0" w:color="auto"/>
            </w:tcBorders>
            <w:hideMark/>
          </w:tcPr>
          <w:p w:rsidR="00C531C1" w:rsidRPr="008B501C" w:rsidP="004A6579" w14:paraId="715B093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2"/>
                <w:szCs w:val="22"/>
                <w:lang w:bidi="he-IL"/>
              </w:rPr>
            </w:pPr>
            <w:r>
              <w:rPr>
                <w:sz w:val="22"/>
                <w:szCs w:val="22"/>
                <w:lang w:bidi="he-IL"/>
              </w:rPr>
              <w:t>300</w:t>
            </w:r>
          </w:p>
        </w:tc>
      </w:tr>
      <w:tr w14:paraId="7108CCF7" w14:textId="77777777" w:rsidTr="004A6579">
        <w:tblPrEx>
          <w:tblW w:w="9377" w:type="dxa"/>
          <w:tblLook w:val="01E0"/>
        </w:tblPrEx>
        <w:trPr>
          <w:trHeight w:val="61"/>
        </w:trPr>
        <w:tc>
          <w:tcPr>
            <w:tcW w:w="8388" w:type="dxa"/>
            <w:gridSpan w:val="5"/>
            <w:tcBorders>
              <w:top w:val="single" w:sz="4" w:space="0" w:color="auto"/>
              <w:left w:val="single" w:sz="4" w:space="0" w:color="auto"/>
              <w:bottom w:val="single" w:sz="4" w:space="0" w:color="auto"/>
              <w:right w:val="single" w:sz="4" w:space="0" w:color="auto"/>
            </w:tcBorders>
          </w:tcPr>
          <w:p w:rsidR="00C531C1" w:rsidRPr="008B501C" w:rsidP="004A6579" w14:paraId="7D39DA3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Total</w:t>
            </w:r>
          </w:p>
        </w:tc>
        <w:tc>
          <w:tcPr>
            <w:tcW w:w="989" w:type="dxa"/>
            <w:tcBorders>
              <w:top w:val="single" w:sz="4" w:space="0" w:color="auto"/>
              <w:left w:val="single" w:sz="4" w:space="0" w:color="auto"/>
              <w:bottom w:val="single" w:sz="4" w:space="0" w:color="auto"/>
              <w:right w:val="single" w:sz="4" w:space="0" w:color="auto"/>
            </w:tcBorders>
          </w:tcPr>
          <w:p w:rsidR="00C531C1" w:rsidRPr="008B501C" w:rsidP="004A6579" w14:paraId="2F76863E" w14:textId="4468A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2"/>
                <w:szCs w:val="22"/>
                <w:lang w:bidi="he-IL"/>
              </w:rPr>
            </w:pPr>
            <w:r>
              <w:rPr>
                <w:sz w:val="22"/>
                <w:szCs w:val="22"/>
                <w:lang w:bidi="he-IL"/>
              </w:rPr>
              <w:t>34</w:t>
            </w:r>
            <w:r w:rsidR="003F1F0C">
              <w:rPr>
                <w:sz w:val="22"/>
                <w:szCs w:val="22"/>
                <w:lang w:bidi="he-IL"/>
              </w:rPr>
              <w:t>8</w:t>
            </w:r>
          </w:p>
        </w:tc>
      </w:tr>
    </w:tbl>
    <w:p w:rsidR="00C531C1" w:rsidRPr="008B501C" w:rsidP="00C531C1" w14:paraId="59A598EA" w14:textId="77777777"/>
    <w:p w:rsidR="00F520F9" w:rsidP="00330DDE" w14:paraId="0A5063DD" w14:textId="77777777">
      <w:pPr>
        <w:numPr>
          <w:ilvl w:val="0"/>
          <w:numId w:val="31"/>
        </w:numPr>
        <w:rPr>
          <w:bCs/>
          <w:u w:val="single"/>
        </w:rPr>
      </w:pPr>
      <w:r>
        <w:rPr>
          <w:bCs/>
          <w:u w:val="single"/>
        </w:rPr>
        <w:t>Dates(s) to be Conducted</w:t>
      </w:r>
    </w:p>
    <w:p w:rsidR="00F520F9" w:rsidP="00F520F9" w14:paraId="4913C936" w14:textId="6DCBC5B7">
      <w:pPr>
        <w:rPr>
          <w:bCs/>
          <w:u w:val="single"/>
        </w:rPr>
      </w:pPr>
    </w:p>
    <w:p w:rsidR="00C531C1" w:rsidRPr="00C30916" w:rsidP="00C30916" w14:paraId="3D6CEB8D" w14:textId="29643E95">
      <w:pPr>
        <w:ind w:left="360"/>
        <w:rPr>
          <w:bCs/>
        </w:rPr>
      </w:pPr>
      <w:r w:rsidRPr="00C30916">
        <w:rPr>
          <w:bCs/>
        </w:rPr>
        <w:t xml:space="preserve">The survey will be conducted immediately upon OMB approval to inform both FDA and CDC’s communications with the public. The data collection must be conducted as soon as possible to assist FDA and CDC to protect the public’s health and safety.  </w:t>
      </w:r>
    </w:p>
    <w:p w:rsidR="00F520F9" w:rsidP="00F520F9" w14:paraId="032ABC9D" w14:textId="77777777">
      <w:pPr>
        <w:rPr>
          <w:bCs/>
          <w:u w:val="single"/>
        </w:rPr>
      </w:pPr>
    </w:p>
    <w:p w:rsidR="00330DDE" w:rsidP="00330DDE" w14:paraId="19927BE0" w14:textId="77777777">
      <w:pPr>
        <w:numPr>
          <w:ilvl w:val="0"/>
          <w:numId w:val="31"/>
        </w:numPr>
        <w:rPr>
          <w:bCs/>
          <w:u w:val="single"/>
        </w:rPr>
      </w:pPr>
      <w:r w:rsidRPr="00330DDE">
        <w:rPr>
          <w:bCs/>
          <w:u w:val="single"/>
        </w:rPr>
        <w:t>Requested Approval Date</w:t>
      </w:r>
    </w:p>
    <w:p w:rsidR="00F520F9" w:rsidP="00F520F9" w14:paraId="23A6F3A1" w14:textId="0975D909">
      <w:pPr>
        <w:rPr>
          <w:bCs/>
          <w:u w:val="single"/>
        </w:rPr>
      </w:pPr>
    </w:p>
    <w:p w:rsidR="00F520F9" w:rsidRPr="003F1F0C" w:rsidP="00C30916" w14:paraId="56DD3B42" w14:textId="7D418FF5">
      <w:pPr>
        <w:ind w:left="360"/>
      </w:pPr>
      <w:r w:rsidRPr="00C30916">
        <w:rPr>
          <w:bCs/>
        </w:rPr>
        <w:t xml:space="preserve">March </w:t>
      </w:r>
      <w:r w:rsidR="003842EB">
        <w:rPr>
          <w:bCs/>
        </w:rPr>
        <w:t>31</w:t>
      </w:r>
      <w:r w:rsidRPr="00C30916">
        <w:rPr>
          <w:bCs/>
        </w:rPr>
        <w:t>, 2023</w:t>
      </w:r>
    </w:p>
    <w:p w:rsidR="00330DDE" w:rsidP="00330DDE" w14:paraId="00372FAB" w14:textId="77777777">
      <w:pPr>
        <w:rPr>
          <w:bCs/>
          <w:u w:val="single"/>
        </w:rPr>
      </w:pPr>
    </w:p>
    <w:p w:rsidR="00330DDE" w:rsidRPr="00722392" w:rsidP="00330DDE" w14:paraId="602C5AAE" w14:textId="77777777">
      <w:pPr>
        <w:numPr>
          <w:ilvl w:val="0"/>
          <w:numId w:val="31"/>
        </w:numPr>
        <w:contextualSpacing/>
        <w:rPr>
          <w:bCs/>
          <w:u w:val="single"/>
        </w:rPr>
      </w:pPr>
      <w:r w:rsidRPr="00722392">
        <w:rPr>
          <w:bCs/>
          <w:u w:val="single"/>
        </w:rPr>
        <w:t>FDA Contacts</w:t>
      </w:r>
    </w:p>
    <w:p w:rsidR="00330DDE" w:rsidRPr="00BF5F91" w:rsidP="00330DDE" w14:paraId="209FC1D2" w14:textId="77777777">
      <w:pPr>
        <w:ind w:left="720"/>
        <w:contextualSpacing/>
        <w:rPr>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7"/>
        <w:gridCol w:w="4500"/>
      </w:tblGrid>
      <w:tr w14:paraId="106547F3" w14:textId="77777777" w:rsidTr="00F520F9">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837" w:type="dxa"/>
            <w:shd w:val="clear" w:color="auto" w:fill="auto"/>
          </w:tcPr>
          <w:p w:rsidR="00330DDE" w:rsidRPr="00BF5F91" w:rsidP="00BC191C" w14:paraId="2BDB59C6" w14:textId="77777777">
            <w:pPr>
              <w:rPr>
                <w:rFonts w:eastAsia="Calibri"/>
                <w:bCs/>
              </w:rPr>
            </w:pPr>
            <w:bookmarkStart w:id="0" w:name="_Hlk25584364"/>
            <w:r w:rsidRPr="00BF5F91">
              <w:rPr>
                <w:rFonts w:eastAsia="Calibri"/>
                <w:bCs/>
              </w:rPr>
              <w:t>Program Office Contact</w:t>
            </w:r>
          </w:p>
        </w:tc>
        <w:tc>
          <w:tcPr>
            <w:tcW w:w="4500" w:type="dxa"/>
            <w:shd w:val="clear" w:color="auto" w:fill="auto"/>
          </w:tcPr>
          <w:p w:rsidR="00330DDE" w:rsidRPr="00BF5F91" w:rsidP="00BC191C" w14:paraId="190FDB85" w14:textId="77777777">
            <w:pPr>
              <w:rPr>
                <w:rFonts w:eastAsia="Calibri"/>
                <w:bCs/>
              </w:rPr>
            </w:pPr>
            <w:r w:rsidRPr="00BF5F91">
              <w:rPr>
                <w:rFonts w:eastAsia="Calibri"/>
                <w:bCs/>
              </w:rPr>
              <w:t>FDA PRA Contact</w:t>
            </w:r>
          </w:p>
        </w:tc>
      </w:tr>
      <w:tr w14:paraId="7347F707" w14:textId="77777777" w:rsidTr="00F520F9">
        <w:tblPrEx>
          <w:tblW w:w="0" w:type="auto"/>
          <w:tblInd w:w="288" w:type="dxa"/>
          <w:tblLook w:val="04A0"/>
        </w:tblPrEx>
        <w:trPr>
          <w:trHeight w:val="395"/>
        </w:trPr>
        <w:tc>
          <w:tcPr>
            <w:tcW w:w="4837" w:type="dxa"/>
            <w:shd w:val="clear" w:color="auto" w:fill="auto"/>
          </w:tcPr>
          <w:p w:rsidR="00094F4A" w:rsidRPr="00094F4A" w:rsidP="00094F4A" w14:paraId="12516952" w14:textId="24A4108F">
            <w:pPr>
              <w:rPr>
                <w:rFonts w:eastAsia="Calibri"/>
              </w:rPr>
            </w:pPr>
            <w:r w:rsidRPr="00094F4A">
              <w:rPr>
                <w:rFonts w:eastAsia="Calibri"/>
              </w:rPr>
              <w:t>Fanfan Wu, Ph.D.</w:t>
            </w:r>
          </w:p>
          <w:p w:rsidR="00094F4A" w:rsidRPr="00094F4A" w:rsidP="00094F4A" w14:paraId="58423392" w14:textId="77777777">
            <w:pPr>
              <w:rPr>
                <w:rFonts w:eastAsia="Calibri"/>
              </w:rPr>
            </w:pPr>
            <w:r w:rsidRPr="00094F4A">
              <w:rPr>
                <w:rFonts w:eastAsia="Calibri"/>
              </w:rPr>
              <w:t>Fanfan.Wu@fda.hhs.gov</w:t>
            </w:r>
          </w:p>
          <w:p w:rsidR="00094F4A" w:rsidP="00094F4A" w14:paraId="7EC15E7F" w14:textId="244B9D94">
            <w:pPr>
              <w:rPr>
                <w:rFonts w:eastAsia="Calibri"/>
              </w:rPr>
            </w:pPr>
            <w:r w:rsidRPr="00094F4A">
              <w:rPr>
                <w:rFonts w:eastAsia="Calibri"/>
              </w:rPr>
              <w:t xml:space="preserve">240-402-1808 </w:t>
            </w:r>
          </w:p>
          <w:p w:rsidR="00094F4A" w:rsidRPr="00094F4A" w:rsidP="00094F4A" w14:paraId="03E8FCFA" w14:textId="718E16BF">
            <w:pPr>
              <w:rPr>
                <w:rFonts w:eastAsia="Calibri"/>
              </w:rPr>
            </w:pPr>
            <w:r>
              <w:rPr>
                <w:rFonts w:eastAsia="Calibri"/>
              </w:rPr>
              <w:t>Office of Analytics and Outreach</w:t>
            </w:r>
          </w:p>
          <w:p w:rsidR="00330DDE" w:rsidRPr="00BF5F91" w:rsidP="00BC191C" w14:paraId="63C08B79" w14:textId="2E8F8CD9">
            <w:pPr>
              <w:rPr>
                <w:rFonts w:eastAsia="Calibri"/>
              </w:rPr>
            </w:pPr>
            <w:r w:rsidRPr="00BF5F91">
              <w:rPr>
                <w:rFonts w:eastAsia="Calibri"/>
              </w:rPr>
              <w:t xml:space="preserve">Center for </w:t>
            </w:r>
            <w:r w:rsidR="00094F4A">
              <w:rPr>
                <w:rFonts w:eastAsia="Calibri"/>
              </w:rPr>
              <w:t>Food Safety and Applied Nutrition</w:t>
            </w:r>
          </w:p>
        </w:tc>
        <w:tc>
          <w:tcPr>
            <w:tcW w:w="4500" w:type="dxa"/>
            <w:shd w:val="clear" w:color="auto" w:fill="auto"/>
          </w:tcPr>
          <w:p w:rsidR="002C15B4" w:rsidRPr="002C15B4" w:rsidP="002C15B4" w14:paraId="64C51FE9" w14:textId="0FB58778">
            <w:pPr>
              <w:rPr>
                <w:rFonts w:eastAsia="Calibri"/>
                <w:bCs/>
              </w:rPr>
            </w:pPr>
            <w:r w:rsidRPr="002C15B4">
              <w:rPr>
                <w:rFonts w:eastAsia="Calibri"/>
                <w:bCs/>
              </w:rPr>
              <w:t>Jonna Capezzuto</w:t>
            </w:r>
          </w:p>
          <w:p w:rsidR="002C15B4" w:rsidRPr="002C15B4" w:rsidP="002C15B4" w14:paraId="79660CE0" w14:textId="7610E4FF">
            <w:pPr>
              <w:rPr>
                <w:rFonts w:eastAsia="Calibri"/>
                <w:bCs/>
              </w:rPr>
            </w:pPr>
            <w:r w:rsidRPr="002C15B4">
              <w:rPr>
                <w:rFonts w:eastAsia="Calibri"/>
                <w:bCs/>
              </w:rPr>
              <w:t>Jonna</w:t>
            </w:r>
            <w:r w:rsidR="003F1F0C">
              <w:rPr>
                <w:rFonts w:eastAsia="Calibri"/>
                <w:bCs/>
              </w:rPr>
              <w:t>Lynn</w:t>
            </w:r>
            <w:r w:rsidRPr="002C15B4">
              <w:rPr>
                <w:rFonts w:eastAsia="Calibri"/>
                <w:bCs/>
              </w:rPr>
              <w:t xml:space="preserve">.Capezzuto@fda.hhs.gov </w:t>
            </w:r>
          </w:p>
          <w:p w:rsidR="00330DDE" w:rsidP="002C15B4" w14:paraId="6CB39638" w14:textId="5B08E868">
            <w:pPr>
              <w:rPr>
                <w:rFonts w:eastAsia="Calibri"/>
                <w:bCs/>
              </w:rPr>
            </w:pPr>
            <w:r w:rsidRPr="002C15B4">
              <w:rPr>
                <w:rFonts w:eastAsia="Calibri"/>
                <w:bCs/>
              </w:rPr>
              <w:t>301-796-3794</w:t>
            </w:r>
            <w:r>
              <w:rPr>
                <w:rFonts w:eastAsia="Calibri"/>
                <w:bCs/>
              </w:rPr>
              <w:br/>
              <w:t>Paperwork Reduction Act Staff</w:t>
            </w:r>
            <w:r>
              <w:rPr>
                <w:rFonts w:eastAsia="Calibri"/>
                <w:bCs/>
              </w:rPr>
              <w:br/>
              <w:t>Office of Enterprise Management Services</w:t>
            </w:r>
          </w:p>
          <w:p w:rsidR="00330DDE" w:rsidRPr="00BF5F91" w:rsidP="00BC191C" w14:paraId="4096C673" w14:textId="77777777">
            <w:pPr>
              <w:rPr>
                <w:rFonts w:eastAsia="Calibri"/>
                <w:bCs/>
              </w:rPr>
            </w:pPr>
            <w:r>
              <w:rPr>
                <w:rFonts w:eastAsia="Calibri"/>
                <w:bCs/>
              </w:rPr>
              <w:t>Office of Operations</w:t>
            </w:r>
          </w:p>
        </w:tc>
      </w:tr>
      <w:bookmarkEnd w:id="0"/>
    </w:tbl>
    <w:p w:rsidR="00330DDE" w:rsidRPr="00330DDE" w:rsidP="00330DDE" w14:paraId="2ADCABCC" w14:textId="77777777">
      <w:pPr>
        <w:ind w:left="360"/>
        <w:rPr>
          <w:bCs/>
          <w:u w:val="single"/>
        </w:rPr>
      </w:pPr>
    </w:p>
    <w:sectPr w:rsidSect="00421B44">
      <w:footerReference w:type="default" r:id="rId5"/>
      <w:pgSz w:w="12240" w:h="15840"/>
      <w:pgMar w:top="720"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1FC" w14:paraId="059F836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633E" w14:paraId="1E0022A8" w14:textId="77777777">
      <w:r>
        <w:separator/>
      </w:r>
    </w:p>
  </w:footnote>
  <w:footnote w:type="continuationSeparator" w:id="1">
    <w:p w:rsidR="00B7633E" w14:paraId="1F6AFB77" w14:textId="77777777">
      <w:r>
        <w:continuationSeparator/>
      </w:r>
    </w:p>
  </w:footnote>
  <w:footnote w:id="2">
    <w:p w:rsidR="00C46239" w:rsidP="00C46239" w14:paraId="6B180B28" w14:textId="77777777">
      <w:pPr>
        <w:pStyle w:val="FootnoteText"/>
      </w:pPr>
      <w:r>
        <w:rPr>
          <w:rStyle w:val="FootnoteReference"/>
        </w:rPr>
        <w:footnoteRef/>
      </w:r>
      <w:r>
        <w:t xml:space="preserve"> </w:t>
      </w:r>
      <w:hyperlink r:id="rId1" w:history="1">
        <w:r w:rsidRPr="00F72C9A">
          <w:rPr>
            <w:rStyle w:val="Hyperlink"/>
          </w:rPr>
          <w:t>https://www.cdc.gov/hepatitis/outbreaks/2023/hav-contaminated-food/index.htm</w:t>
        </w:r>
      </w:hyperlink>
    </w:p>
  </w:footnote>
  <w:footnote w:id="3">
    <w:p w:rsidR="00C46239" w:rsidP="00C46239" w14:paraId="1470EEAD" w14:textId="77777777">
      <w:pPr>
        <w:pStyle w:val="FootnoteText"/>
      </w:pPr>
      <w:r>
        <w:rPr>
          <w:rStyle w:val="FootnoteReference"/>
        </w:rPr>
        <w:footnoteRef/>
      </w:r>
      <w:r>
        <w:t xml:space="preserve"> </w:t>
      </w:r>
      <w:hyperlink r:id="rId2" w:history="1">
        <w:r w:rsidRPr="00F72C9A">
          <w:rPr>
            <w:rStyle w:val="Hyperlink"/>
          </w:rPr>
          <w:t>https://www.fda.gov/food/outbreaks-foodborne-illness/outbreak-investigation-hepatitis-virus-infections-frozen-strawberries-february-2023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start w:va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78C28BE"/>
    <w:multiLevelType w:val="hybridMultilevel"/>
    <w:tmpl w:val="FB3A80EE"/>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16C550A"/>
    <w:multiLevelType w:val="singleLevel"/>
    <w:tmpl w:val="241A6F21"/>
    <w:lvl w:ilvl="0">
      <w:start w:val="0"/>
      <w:numFmt w:val="bullet"/>
      <w:lvlText w:val="n"/>
      <w:lvlJc w:val="left"/>
      <w:pPr>
        <w:tabs>
          <w:tab w:val="num" w:pos="1800"/>
        </w:tabs>
        <w:ind w:left="1800" w:hanging="576"/>
      </w:pPr>
      <w:rPr>
        <w:rFonts w:ascii="Wingdings" w:hAnsi="Wingdings" w:cs="Wingdings" w:hint="default"/>
        <w:color w:val="000000"/>
      </w:rPr>
    </w:lvl>
  </w:abstractNum>
  <w:abstractNum w:abstractNumId="1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E645C6B"/>
    <w:multiLevelType w:val="singleLevel"/>
    <w:tmpl w:val="4DA19B50"/>
    <w:lvl w:ilvl="0">
      <w:start w:val="0"/>
      <w:numFmt w:val="bullet"/>
      <w:lvlText w:val="·"/>
      <w:lvlJc w:val="left"/>
      <w:pPr>
        <w:tabs>
          <w:tab w:val="num" w:pos="1440"/>
        </w:tabs>
        <w:ind w:left="1440" w:hanging="360"/>
      </w:pPr>
      <w:rPr>
        <w:rFonts w:ascii="Symbol" w:hAnsi="Symbol" w:cs="Symbol" w:hint="default"/>
        <w:color w:val="000000"/>
      </w:rPr>
    </w:lvl>
  </w:abstractNum>
  <w:abstractNum w:abstractNumId="20">
    <w:nsid w:val="300746F5"/>
    <w:multiLevelType w:val="hybridMultilevel"/>
    <w:tmpl w:val="B8AE794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FAE7B3F"/>
    <w:multiLevelType w:val="hybridMultilevel"/>
    <w:tmpl w:val="02748C2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7A93CB0"/>
    <w:multiLevelType w:val="hybridMultilevel"/>
    <w:tmpl w:val="BAB896DA"/>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634D418C"/>
    <w:multiLevelType w:val="hybridMultilevel"/>
    <w:tmpl w:val="A2EE338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9">
    <w:nsid w:val="6C0D07D9"/>
    <w:multiLevelType w:val="hybrid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tentative="1">
      <w:start w:val="1"/>
      <w:numFmt w:val="lowerRoman"/>
      <w:lvlText w:val="%3."/>
      <w:lvlJc w:val="right"/>
      <w:pPr>
        <w:tabs>
          <w:tab w:val="num" w:pos="2736"/>
        </w:tabs>
        <w:ind w:left="2736" w:hanging="180"/>
      </w:pPr>
    </w:lvl>
    <w:lvl w:ilvl="3" w:tentative="1">
      <w:start w:val="1"/>
      <w:numFmt w:val="decimal"/>
      <w:lvlText w:val="%4."/>
      <w:lvlJc w:val="left"/>
      <w:pPr>
        <w:tabs>
          <w:tab w:val="num" w:pos="3456"/>
        </w:tabs>
        <w:ind w:left="3456" w:hanging="360"/>
      </w:pPr>
    </w:lvl>
    <w:lvl w:ilvl="4" w:tentative="1">
      <w:start w:val="1"/>
      <w:numFmt w:val="lowerLetter"/>
      <w:lvlText w:val="%5."/>
      <w:lvlJc w:val="left"/>
      <w:pPr>
        <w:tabs>
          <w:tab w:val="num" w:pos="4176"/>
        </w:tabs>
        <w:ind w:left="4176" w:hanging="360"/>
      </w:pPr>
    </w:lvl>
    <w:lvl w:ilvl="5" w:tentative="1">
      <w:start w:val="1"/>
      <w:numFmt w:val="lowerRoman"/>
      <w:lvlText w:val="%6."/>
      <w:lvlJc w:val="right"/>
      <w:pPr>
        <w:tabs>
          <w:tab w:val="num" w:pos="4896"/>
        </w:tabs>
        <w:ind w:left="4896" w:hanging="180"/>
      </w:pPr>
    </w:lvl>
    <w:lvl w:ilvl="6" w:tentative="1">
      <w:start w:val="1"/>
      <w:numFmt w:val="decimal"/>
      <w:lvlText w:val="%7."/>
      <w:lvlJc w:val="left"/>
      <w:pPr>
        <w:tabs>
          <w:tab w:val="num" w:pos="5616"/>
        </w:tabs>
        <w:ind w:left="5616" w:hanging="360"/>
      </w:pPr>
    </w:lvl>
    <w:lvl w:ilvl="7" w:tentative="1">
      <w:start w:val="1"/>
      <w:numFmt w:val="lowerLetter"/>
      <w:lvlText w:val="%8."/>
      <w:lvlJc w:val="left"/>
      <w:pPr>
        <w:tabs>
          <w:tab w:val="num" w:pos="6336"/>
        </w:tabs>
        <w:ind w:left="6336" w:hanging="360"/>
      </w:pPr>
    </w:lvl>
    <w:lvl w:ilvl="8" w:tentative="1">
      <w:start w:val="1"/>
      <w:numFmt w:val="lowerRoman"/>
      <w:lvlText w:val="%9."/>
      <w:lvlJc w:val="right"/>
      <w:pPr>
        <w:tabs>
          <w:tab w:val="num" w:pos="7056"/>
        </w:tabs>
        <w:ind w:left="7056" w:hanging="180"/>
      </w:pPr>
    </w:lvl>
  </w:abstractNum>
  <w:abstractNum w:abstractNumId="3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01912161">
    <w:abstractNumId w:val="23"/>
  </w:num>
  <w:num w:numId="2" w16cid:durableId="1991783160">
    <w:abstractNumId w:val="32"/>
  </w:num>
  <w:num w:numId="3" w16cid:durableId="1941140523">
    <w:abstractNumId w:val="31"/>
  </w:num>
  <w:num w:numId="4" w16cid:durableId="2137022992">
    <w:abstractNumId w:val="33"/>
  </w:num>
  <w:num w:numId="5" w16cid:durableId="981077854">
    <w:abstractNumId w:val="15"/>
  </w:num>
  <w:num w:numId="6" w16cid:durableId="1789464750">
    <w:abstractNumId w:val="12"/>
  </w:num>
  <w:num w:numId="7" w16cid:durableId="1318458857">
    <w:abstractNumId w:val="21"/>
  </w:num>
  <w:num w:numId="8" w16cid:durableId="598293022">
    <w:abstractNumId w:val="28"/>
  </w:num>
  <w:num w:numId="9" w16cid:durableId="1463771652">
    <w:abstractNumId w:val="22"/>
  </w:num>
  <w:num w:numId="10" w16cid:durableId="928275927">
    <w:abstractNumId w:val="13"/>
  </w:num>
  <w:num w:numId="11" w16cid:durableId="425619941">
    <w:abstractNumId w:val="16"/>
  </w:num>
  <w:num w:numId="12" w16cid:durableId="465972602">
    <w:abstractNumId w:val="18"/>
  </w:num>
  <w:num w:numId="13" w16cid:durableId="1767722940">
    <w:abstractNumId w:val="11"/>
  </w:num>
  <w:num w:numId="14" w16cid:durableId="469834542">
    <w:abstractNumId w:val="20"/>
  </w:num>
  <w:num w:numId="15" w16cid:durableId="1388650909">
    <w:abstractNumId w:val="29"/>
  </w:num>
  <w:num w:numId="16" w16cid:durableId="105855144">
    <w:abstractNumId w:val="25"/>
  </w:num>
  <w:num w:numId="17" w16cid:durableId="2136556740">
    <w:abstractNumId w:val="10"/>
  </w:num>
  <w:num w:numId="18" w16cid:durableId="1889606038">
    <w:abstractNumId w:val="19"/>
  </w:num>
  <w:num w:numId="19" w16cid:durableId="769859028">
    <w:abstractNumId w:val="17"/>
  </w:num>
  <w:num w:numId="20" w16cid:durableId="1194423165">
    <w:abstractNumId w:val="9"/>
  </w:num>
  <w:num w:numId="21" w16cid:durableId="1702053269">
    <w:abstractNumId w:val="7"/>
  </w:num>
  <w:num w:numId="22" w16cid:durableId="1245333476">
    <w:abstractNumId w:val="6"/>
  </w:num>
  <w:num w:numId="23" w16cid:durableId="814952069">
    <w:abstractNumId w:val="5"/>
  </w:num>
  <w:num w:numId="24" w16cid:durableId="1243174143">
    <w:abstractNumId w:val="4"/>
  </w:num>
  <w:num w:numId="25" w16cid:durableId="438335964">
    <w:abstractNumId w:val="8"/>
  </w:num>
  <w:num w:numId="26" w16cid:durableId="2049447079">
    <w:abstractNumId w:val="3"/>
  </w:num>
  <w:num w:numId="27" w16cid:durableId="828595031">
    <w:abstractNumId w:val="2"/>
  </w:num>
  <w:num w:numId="28" w16cid:durableId="608124794">
    <w:abstractNumId w:val="1"/>
  </w:num>
  <w:num w:numId="29" w16cid:durableId="1438981698">
    <w:abstractNumId w:val="0"/>
  </w:num>
  <w:num w:numId="30" w16cid:durableId="1236352175">
    <w:abstractNumId w:val="30"/>
  </w:num>
  <w:num w:numId="31" w16cid:durableId="467816714">
    <w:abstractNumId w:val="14"/>
  </w:num>
  <w:num w:numId="32" w16cid:durableId="1911118393">
    <w:abstractNumId w:val="27"/>
  </w:num>
  <w:num w:numId="33" w16cid:durableId="933365373">
    <w:abstractNumId w:val="24"/>
  </w:num>
  <w:num w:numId="34" w16cid:durableId="6707235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3BFA"/>
    <w:rsid w:val="0000480B"/>
    <w:rsid w:val="00005D48"/>
    <w:rsid w:val="000136BC"/>
    <w:rsid w:val="00035B5C"/>
    <w:rsid w:val="00040E55"/>
    <w:rsid w:val="00045247"/>
    <w:rsid w:val="00047CDD"/>
    <w:rsid w:val="00051BA5"/>
    <w:rsid w:val="000608E3"/>
    <w:rsid w:val="00062E80"/>
    <w:rsid w:val="00064937"/>
    <w:rsid w:val="00085F9E"/>
    <w:rsid w:val="0009350D"/>
    <w:rsid w:val="00094F4A"/>
    <w:rsid w:val="000A525C"/>
    <w:rsid w:val="000B6E2E"/>
    <w:rsid w:val="000C26D2"/>
    <w:rsid w:val="000C386B"/>
    <w:rsid w:val="000F1CDA"/>
    <w:rsid w:val="000F7743"/>
    <w:rsid w:val="00111DD2"/>
    <w:rsid w:val="00126D06"/>
    <w:rsid w:val="00132EF8"/>
    <w:rsid w:val="00135B5E"/>
    <w:rsid w:val="00140343"/>
    <w:rsid w:val="001417E8"/>
    <w:rsid w:val="00142918"/>
    <w:rsid w:val="0014367D"/>
    <w:rsid w:val="00156148"/>
    <w:rsid w:val="0016419F"/>
    <w:rsid w:val="00171482"/>
    <w:rsid w:val="00172A6E"/>
    <w:rsid w:val="00190AA2"/>
    <w:rsid w:val="001A01E9"/>
    <w:rsid w:val="001A36DE"/>
    <w:rsid w:val="001A68F4"/>
    <w:rsid w:val="001C0117"/>
    <w:rsid w:val="001C06A5"/>
    <w:rsid w:val="001C3C0A"/>
    <w:rsid w:val="001D1888"/>
    <w:rsid w:val="001D19B4"/>
    <w:rsid w:val="001F09C0"/>
    <w:rsid w:val="00202DBD"/>
    <w:rsid w:val="002050EC"/>
    <w:rsid w:val="00210E20"/>
    <w:rsid w:val="0021227C"/>
    <w:rsid w:val="0023691D"/>
    <w:rsid w:val="00254117"/>
    <w:rsid w:val="00254654"/>
    <w:rsid w:val="00255B16"/>
    <w:rsid w:val="002573F6"/>
    <w:rsid w:val="002644CA"/>
    <w:rsid w:val="00272DE8"/>
    <w:rsid w:val="002A0605"/>
    <w:rsid w:val="002B6E75"/>
    <w:rsid w:val="002C15B4"/>
    <w:rsid w:val="002F1C54"/>
    <w:rsid w:val="002F67AA"/>
    <w:rsid w:val="003073BF"/>
    <w:rsid w:val="00311CA2"/>
    <w:rsid w:val="003157C2"/>
    <w:rsid w:val="00330DDE"/>
    <w:rsid w:val="0034621C"/>
    <w:rsid w:val="00364051"/>
    <w:rsid w:val="00370149"/>
    <w:rsid w:val="003811F0"/>
    <w:rsid w:val="003842EB"/>
    <w:rsid w:val="003B2B91"/>
    <w:rsid w:val="003F0266"/>
    <w:rsid w:val="003F1C7A"/>
    <w:rsid w:val="003F1F0C"/>
    <w:rsid w:val="003F4DFC"/>
    <w:rsid w:val="00407C60"/>
    <w:rsid w:val="00411149"/>
    <w:rsid w:val="00421B44"/>
    <w:rsid w:val="00447FBF"/>
    <w:rsid w:val="004519D7"/>
    <w:rsid w:val="00456E39"/>
    <w:rsid w:val="004634A4"/>
    <w:rsid w:val="0046540A"/>
    <w:rsid w:val="0048151A"/>
    <w:rsid w:val="00483303"/>
    <w:rsid w:val="0049419A"/>
    <w:rsid w:val="0049433B"/>
    <w:rsid w:val="004A39CE"/>
    <w:rsid w:val="004A3E72"/>
    <w:rsid w:val="004A6579"/>
    <w:rsid w:val="004B694D"/>
    <w:rsid w:val="004C608B"/>
    <w:rsid w:val="004F352E"/>
    <w:rsid w:val="00502622"/>
    <w:rsid w:val="00502942"/>
    <w:rsid w:val="00505F2A"/>
    <w:rsid w:val="005130C4"/>
    <w:rsid w:val="00516117"/>
    <w:rsid w:val="00535D71"/>
    <w:rsid w:val="005473AB"/>
    <w:rsid w:val="005510AD"/>
    <w:rsid w:val="00552CC0"/>
    <w:rsid w:val="00592BBF"/>
    <w:rsid w:val="00596A7C"/>
    <w:rsid w:val="005A18A4"/>
    <w:rsid w:val="005B514B"/>
    <w:rsid w:val="005C66C6"/>
    <w:rsid w:val="005E1FB4"/>
    <w:rsid w:val="005E23BA"/>
    <w:rsid w:val="005E4981"/>
    <w:rsid w:val="005F1B67"/>
    <w:rsid w:val="005F1DDB"/>
    <w:rsid w:val="005F3AB5"/>
    <w:rsid w:val="00604D96"/>
    <w:rsid w:val="006067FD"/>
    <w:rsid w:val="006133D4"/>
    <w:rsid w:val="00614675"/>
    <w:rsid w:val="0061549C"/>
    <w:rsid w:val="006176DF"/>
    <w:rsid w:val="00626159"/>
    <w:rsid w:val="00643C9F"/>
    <w:rsid w:val="00653327"/>
    <w:rsid w:val="00653457"/>
    <w:rsid w:val="00665C27"/>
    <w:rsid w:val="0067645B"/>
    <w:rsid w:val="0068342C"/>
    <w:rsid w:val="00696B03"/>
    <w:rsid w:val="006B0F41"/>
    <w:rsid w:val="006B589D"/>
    <w:rsid w:val="006D3B31"/>
    <w:rsid w:val="006D496F"/>
    <w:rsid w:val="006D7EC4"/>
    <w:rsid w:val="006F52BA"/>
    <w:rsid w:val="007021FC"/>
    <w:rsid w:val="007038E0"/>
    <w:rsid w:val="007044CC"/>
    <w:rsid w:val="007069D7"/>
    <w:rsid w:val="00710735"/>
    <w:rsid w:val="0071153D"/>
    <w:rsid w:val="00722392"/>
    <w:rsid w:val="00724D5B"/>
    <w:rsid w:val="007277A9"/>
    <w:rsid w:val="007404D5"/>
    <w:rsid w:val="007408D4"/>
    <w:rsid w:val="0074463A"/>
    <w:rsid w:val="00744F5B"/>
    <w:rsid w:val="007511CF"/>
    <w:rsid w:val="0076039A"/>
    <w:rsid w:val="007636A3"/>
    <w:rsid w:val="00787497"/>
    <w:rsid w:val="00797E54"/>
    <w:rsid w:val="007A4331"/>
    <w:rsid w:val="007B045B"/>
    <w:rsid w:val="007B2464"/>
    <w:rsid w:val="007F785B"/>
    <w:rsid w:val="00801423"/>
    <w:rsid w:val="00807536"/>
    <w:rsid w:val="00814D3F"/>
    <w:rsid w:val="00817F8A"/>
    <w:rsid w:val="00830429"/>
    <w:rsid w:val="00832B20"/>
    <w:rsid w:val="00841399"/>
    <w:rsid w:val="00882AE4"/>
    <w:rsid w:val="00884EF2"/>
    <w:rsid w:val="008863D0"/>
    <w:rsid w:val="00887801"/>
    <w:rsid w:val="008A20A4"/>
    <w:rsid w:val="008B230E"/>
    <w:rsid w:val="008B501C"/>
    <w:rsid w:val="008D174D"/>
    <w:rsid w:val="008D7831"/>
    <w:rsid w:val="008E5B0E"/>
    <w:rsid w:val="008E6145"/>
    <w:rsid w:val="008F6858"/>
    <w:rsid w:val="008F6E91"/>
    <w:rsid w:val="009122CF"/>
    <w:rsid w:val="00916FBF"/>
    <w:rsid w:val="0092152B"/>
    <w:rsid w:val="0093341A"/>
    <w:rsid w:val="00944BF4"/>
    <w:rsid w:val="009531A7"/>
    <w:rsid w:val="00986887"/>
    <w:rsid w:val="00995A68"/>
    <w:rsid w:val="009C68E8"/>
    <w:rsid w:val="009D1BEA"/>
    <w:rsid w:val="009D61AB"/>
    <w:rsid w:val="009F77C6"/>
    <w:rsid w:val="00A05633"/>
    <w:rsid w:val="00A2085B"/>
    <w:rsid w:val="00A26BA5"/>
    <w:rsid w:val="00A3559B"/>
    <w:rsid w:val="00A35898"/>
    <w:rsid w:val="00A37942"/>
    <w:rsid w:val="00A44BF9"/>
    <w:rsid w:val="00A47665"/>
    <w:rsid w:val="00A620B4"/>
    <w:rsid w:val="00A67D5E"/>
    <w:rsid w:val="00A82DCC"/>
    <w:rsid w:val="00A84945"/>
    <w:rsid w:val="00A85515"/>
    <w:rsid w:val="00AA04AC"/>
    <w:rsid w:val="00AA2061"/>
    <w:rsid w:val="00AA27BF"/>
    <w:rsid w:val="00AA65A9"/>
    <w:rsid w:val="00AE112A"/>
    <w:rsid w:val="00AE47E3"/>
    <w:rsid w:val="00AF1B85"/>
    <w:rsid w:val="00AF7F59"/>
    <w:rsid w:val="00B375AD"/>
    <w:rsid w:val="00B44890"/>
    <w:rsid w:val="00B60AAA"/>
    <w:rsid w:val="00B6199F"/>
    <w:rsid w:val="00B6779F"/>
    <w:rsid w:val="00B721B9"/>
    <w:rsid w:val="00B7633E"/>
    <w:rsid w:val="00B7798D"/>
    <w:rsid w:val="00B82BD1"/>
    <w:rsid w:val="00BA25EE"/>
    <w:rsid w:val="00BA622D"/>
    <w:rsid w:val="00BB0733"/>
    <w:rsid w:val="00BB1C38"/>
    <w:rsid w:val="00BB77BA"/>
    <w:rsid w:val="00BC191C"/>
    <w:rsid w:val="00BD7692"/>
    <w:rsid w:val="00BF42A0"/>
    <w:rsid w:val="00BF4E59"/>
    <w:rsid w:val="00BF5F91"/>
    <w:rsid w:val="00C17E93"/>
    <w:rsid w:val="00C30916"/>
    <w:rsid w:val="00C4084F"/>
    <w:rsid w:val="00C44FB7"/>
    <w:rsid w:val="00C46239"/>
    <w:rsid w:val="00C531C1"/>
    <w:rsid w:val="00C62F44"/>
    <w:rsid w:val="00C66123"/>
    <w:rsid w:val="00C70551"/>
    <w:rsid w:val="00C92CE4"/>
    <w:rsid w:val="00C95FA9"/>
    <w:rsid w:val="00C97A57"/>
    <w:rsid w:val="00CA56A4"/>
    <w:rsid w:val="00CC4D52"/>
    <w:rsid w:val="00CD5459"/>
    <w:rsid w:val="00CD60D9"/>
    <w:rsid w:val="00CE57C2"/>
    <w:rsid w:val="00CE6EBE"/>
    <w:rsid w:val="00CF10F4"/>
    <w:rsid w:val="00D15E7D"/>
    <w:rsid w:val="00D20340"/>
    <w:rsid w:val="00D22148"/>
    <w:rsid w:val="00D27D00"/>
    <w:rsid w:val="00D340AB"/>
    <w:rsid w:val="00D542D4"/>
    <w:rsid w:val="00D57B73"/>
    <w:rsid w:val="00D75A6E"/>
    <w:rsid w:val="00D8212C"/>
    <w:rsid w:val="00DA6293"/>
    <w:rsid w:val="00DB299E"/>
    <w:rsid w:val="00DC76EE"/>
    <w:rsid w:val="00DD1CCA"/>
    <w:rsid w:val="00DD6106"/>
    <w:rsid w:val="00E036A9"/>
    <w:rsid w:val="00E06BD2"/>
    <w:rsid w:val="00E07F9C"/>
    <w:rsid w:val="00E215FA"/>
    <w:rsid w:val="00E2196E"/>
    <w:rsid w:val="00E26798"/>
    <w:rsid w:val="00E30759"/>
    <w:rsid w:val="00E31D99"/>
    <w:rsid w:val="00E37BC7"/>
    <w:rsid w:val="00E41914"/>
    <w:rsid w:val="00E44B0D"/>
    <w:rsid w:val="00E45BA0"/>
    <w:rsid w:val="00E629FF"/>
    <w:rsid w:val="00E67A71"/>
    <w:rsid w:val="00E70CC8"/>
    <w:rsid w:val="00E83059"/>
    <w:rsid w:val="00EA0586"/>
    <w:rsid w:val="00EA5972"/>
    <w:rsid w:val="00EB2A2A"/>
    <w:rsid w:val="00EC759D"/>
    <w:rsid w:val="00EE134E"/>
    <w:rsid w:val="00EE7334"/>
    <w:rsid w:val="00EE7440"/>
    <w:rsid w:val="00EF2C89"/>
    <w:rsid w:val="00F07202"/>
    <w:rsid w:val="00F12AEE"/>
    <w:rsid w:val="00F22C5A"/>
    <w:rsid w:val="00F31B03"/>
    <w:rsid w:val="00F3704A"/>
    <w:rsid w:val="00F37D22"/>
    <w:rsid w:val="00F520F9"/>
    <w:rsid w:val="00F52530"/>
    <w:rsid w:val="00F607BF"/>
    <w:rsid w:val="00F64C23"/>
    <w:rsid w:val="00F72C9A"/>
    <w:rsid w:val="00FA6B6E"/>
    <w:rsid w:val="00FB33F5"/>
    <w:rsid w:val="00FC3007"/>
    <w:rsid w:val="00FC4971"/>
    <w:rsid w:val="00FC60CE"/>
    <w:rsid w:val="00FD1274"/>
    <w:rsid w:val="00FF10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84CF6F4"/>
  <w15:chartTrackingRefBased/>
  <w15:docId w15:val="{3B109BD3-750A-49AF-A2F2-D30C55DC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semiHidden/>
    <w:rsid w:val="00E37BC7"/>
    <w:rPr>
      <w:sz w:val="16"/>
      <w:szCs w:val="16"/>
    </w:rPr>
  </w:style>
  <w:style w:type="paragraph" w:styleId="CommentText">
    <w:name w:val="annotation text"/>
    <w:basedOn w:val="Normal"/>
    <w:link w:val="CommentTextChar"/>
    <w:semiHidden/>
    <w:rsid w:val="00E37BC7"/>
    <w:rPr>
      <w:sz w:val="20"/>
      <w:szCs w:val="20"/>
    </w:rPr>
  </w:style>
  <w:style w:type="paragraph" w:styleId="CommentSubject">
    <w:name w:val="annotation subject"/>
    <w:basedOn w:val="CommentText"/>
    <w:next w:val="CommentText"/>
    <w:semiHidden/>
    <w:rsid w:val="00E37BC7"/>
    <w:rPr>
      <w:b/>
      <w:bCs/>
    </w:rPr>
  </w:style>
  <w:style w:type="paragraph" w:customStyle="1" w:styleId="Default">
    <w:name w:val="Default"/>
    <w:rsid w:val="0046540A"/>
    <w:pPr>
      <w:widowControl w:val="0"/>
      <w:autoSpaceDE w:val="0"/>
      <w:autoSpaceDN w:val="0"/>
      <w:adjustRightInd w:val="0"/>
    </w:pPr>
    <w:rPr>
      <w:rFonts w:ascii="Melior" w:hAnsi="Melior" w:cs="Melior"/>
      <w:color w:val="000000"/>
      <w:sz w:val="24"/>
      <w:szCs w:val="24"/>
    </w:rPr>
  </w:style>
  <w:style w:type="character" w:customStyle="1" w:styleId="CommentTextChar">
    <w:name w:val="Comment Text Char"/>
    <w:link w:val="CommentText"/>
    <w:semiHidden/>
    <w:rsid w:val="00FD1274"/>
  </w:style>
  <w:style w:type="paragraph" w:styleId="FootnoteText">
    <w:name w:val="footnote text"/>
    <w:basedOn w:val="Normal"/>
    <w:link w:val="FootnoteTextChar"/>
    <w:unhideWhenUsed/>
    <w:rsid w:val="00C46239"/>
    <w:rPr>
      <w:rFonts w:ascii="Garamond" w:hAnsi="Garamond"/>
      <w:sz w:val="20"/>
      <w:szCs w:val="20"/>
    </w:rPr>
  </w:style>
  <w:style w:type="character" w:customStyle="1" w:styleId="FootnoteTextChar">
    <w:name w:val="Footnote Text Char"/>
    <w:basedOn w:val="DefaultParagraphFont"/>
    <w:link w:val="FootnoteText"/>
    <w:rsid w:val="00C46239"/>
    <w:rPr>
      <w:rFonts w:ascii="Garamond" w:hAnsi="Garamond"/>
    </w:rPr>
  </w:style>
  <w:style w:type="character" w:styleId="FootnoteReference">
    <w:name w:val="footnote reference"/>
    <w:basedOn w:val="DefaultParagraphFont"/>
    <w:semiHidden/>
    <w:unhideWhenUsed/>
    <w:rsid w:val="00C46239"/>
    <w:rPr>
      <w:vertAlign w:val="superscript"/>
    </w:rPr>
  </w:style>
  <w:style w:type="paragraph" w:styleId="NoSpacing">
    <w:name w:val="No Spacing"/>
    <w:basedOn w:val="Normal"/>
    <w:link w:val="NoSpacingChar"/>
    <w:uiPriority w:val="1"/>
    <w:qFormat/>
    <w:rsid w:val="00064937"/>
    <w:rPr>
      <w:rFonts w:ascii="Calibri" w:hAnsi="Calibri" w:eastAsiaTheme="minorHAnsi" w:cs="Calibri"/>
      <w:sz w:val="22"/>
      <w:szCs w:val="22"/>
    </w:rPr>
  </w:style>
  <w:style w:type="character" w:customStyle="1" w:styleId="NoSpacingChar">
    <w:name w:val="No Spacing Char"/>
    <w:link w:val="NoSpacing"/>
    <w:uiPriority w:val="1"/>
    <w:rsid w:val="00064937"/>
    <w:rPr>
      <w:rFonts w:ascii="Calibri" w:hAnsi="Calibri" w:eastAsiaTheme="minorHAnsi" w:cs="Calibri"/>
      <w:sz w:val="22"/>
      <w:szCs w:val="22"/>
    </w:rPr>
  </w:style>
  <w:style w:type="paragraph" w:styleId="Revision">
    <w:name w:val="Revision"/>
    <w:hidden/>
    <w:uiPriority w:val="99"/>
    <w:semiHidden/>
    <w:rsid w:val="00C531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hepatitis/outbreaks/2023/hav-contaminated-food/index.htm" TargetMode="External" /><Relationship Id="rId2" Type="http://schemas.openxmlformats.org/officeDocument/2006/relationships/hyperlink" Target="https://www.fda.gov/food/outbreaks-foodborne-illness/outbreak-investigation-hepatitis-virus-infections-frozen-strawberries-february-20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1427</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Capezzuto, JonnaLynn</cp:lastModifiedBy>
  <cp:revision>2</cp:revision>
  <cp:lastPrinted>2019-06-12T21:36:00Z</cp:lastPrinted>
  <dcterms:created xsi:type="dcterms:W3CDTF">2023-03-27T21:54:00Z</dcterms:created>
  <dcterms:modified xsi:type="dcterms:W3CDTF">2023-03-27T21:54:00Z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