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B060A" w:rsidR="00C25838" w:rsidRDefault="00C25838" w14:paraId="3B05145B" w14:textId="77777777">
      <w:pPr>
        <w:rPr>
          <w:rFonts w:ascii="DilleniaUPC" w:hAnsi="DilleniaUPC"/>
          <w:sz w:val="24"/>
          <w:szCs w:val="24"/>
          <w:highlight w:val="green"/>
        </w:rPr>
      </w:pPr>
    </w:p>
    <w:p w:rsidRPr="00EA5D80" w:rsidR="008B73D6" w:rsidRDefault="008B73D6" w14:paraId="4CEAB8CE" w14:textId="77777777">
      <w:pPr>
        <w:rPr>
          <w:sz w:val="24"/>
          <w:szCs w:val="24"/>
          <w:highlight w:val="green"/>
        </w:rPr>
      </w:pPr>
    </w:p>
    <w:p w:rsidR="00792307" w:rsidRDefault="00792307" w14:paraId="63C09731" w14:textId="77777777">
      <w:pPr>
        <w:rPr>
          <w:sz w:val="24"/>
          <w:szCs w:val="24"/>
        </w:rPr>
      </w:pPr>
    </w:p>
    <w:p w:rsidR="00C25838" w:rsidRDefault="00C25838" w14:paraId="6E752344" w14:textId="77777777">
      <w:pPr>
        <w:rPr>
          <w:sz w:val="24"/>
          <w:szCs w:val="24"/>
        </w:rPr>
      </w:pPr>
    </w:p>
    <w:p w:rsidR="00C25838" w:rsidRDefault="00C25838" w14:paraId="1ED6DA32" w14:textId="77777777">
      <w:pPr>
        <w:rPr>
          <w:sz w:val="24"/>
          <w:szCs w:val="24"/>
        </w:rPr>
      </w:pPr>
    </w:p>
    <w:p w:rsidR="00C25838" w:rsidRDefault="00C25838" w14:paraId="337D789F" w14:textId="77777777">
      <w:pPr>
        <w:jc w:val="center"/>
        <w:rPr>
          <w:sz w:val="24"/>
          <w:szCs w:val="24"/>
        </w:rPr>
      </w:pPr>
    </w:p>
    <w:p w:rsidR="00C25838" w:rsidRDefault="00C25838" w14:paraId="6F893809" w14:textId="77777777">
      <w:pPr>
        <w:jc w:val="center"/>
        <w:rPr>
          <w:b/>
          <w:bCs/>
          <w:smallCaps/>
          <w:sz w:val="24"/>
          <w:szCs w:val="24"/>
        </w:rPr>
      </w:pPr>
    </w:p>
    <w:p w:rsidR="00AD69E5" w:rsidP="00AD69E5" w:rsidRDefault="00AD69E5" w14:paraId="7E37AE06" w14:textId="77777777"/>
    <w:p w:rsidR="00AD69E5" w:rsidP="00AD69E5" w:rsidRDefault="00AD69E5" w14:paraId="391C06A7" w14:textId="77777777"/>
    <w:p w:rsidR="00AD69E5" w:rsidP="00AD69E5" w:rsidRDefault="00C477B0" w14:paraId="033812DB" w14:textId="77777777">
      <w:r>
        <w:rPr>
          <w:noProof/>
        </w:rPr>
        <w:drawing>
          <wp:anchor distT="0" distB="0" distL="114300" distR="114300" simplePos="0" relativeHeight="251658240" behindDoc="0" locked="0" layoutInCell="1" allowOverlap="1" wp14:editId="4BE232AD" wp14:anchorId="54BF59BB">
            <wp:simplePos x="0" y="0"/>
            <wp:positionH relativeFrom="column">
              <wp:posOffset>76200</wp:posOffset>
            </wp:positionH>
            <wp:positionV relativeFrom="paragraph">
              <wp:posOffset>167640</wp:posOffset>
            </wp:positionV>
            <wp:extent cx="2133600" cy="819150"/>
            <wp:effectExtent l="0" t="0" r="0" b="0"/>
            <wp:wrapSquare wrapText="bothSides"/>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11" cstate="print">
                      <a:extLst>
                        <a:ext uri="{28A0092B-C50C-407E-A947-70E740481C1C}">
                          <a14:useLocalDpi xmlns:a14="http://schemas.microsoft.com/office/drawing/2010/main" val="0"/>
                        </a:ext>
                      </a:extLst>
                    </a:blip>
                    <a:srcRect r="6911" b="-696"/>
                    <a:stretch>
                      <a:fillRect/>
                    </a:stretch>
                  </pic:blipFill>
                  <pic:spPr bwMode="auto">
                    <a:xfrm>
                      <a:off x="0" y="0"/>
                      <a:ext cx="2133600" cy="819150"/>
                    </a:xfrm>
                    <a:prstGeom prst="rect">
                      <a:avLst/>
                    </a:prstGeom>
                    <a:noFill/>
                  </pic:spPr>
                </pic:pic>
              </a:graphicData>
            </a:graphic>
          </wp:anchor>
        </w:drawing>
      </w:r>
    </w:p>
    <w:p w:rsidRPr="00AD69E5" w:rsidR="00AD69E5" w:rsidP="00AD69E5" w:rsidRDefault="00AD69E5" w14:paraId="19381B66" w14:textId="77777777">
      <w:pPr>
        <w:tabs>
          <w:tab w:val="left" w:pos="8640"/>
        </w:tabs>
        <w:ind w:right="-525"/>
        <w:rPr>
          <w:b/>
          <w:bCs/>
          <w:sz w:val="36"/>
          <w:szCs w:val="36"/>
        </w:rPr>
      </w:pPr>
      <w:r w:rsidRPr="00AD69E5">
        <w:rPr>
          <w:b/>
          <w:bCs/>
          <w:sz w:val="36"/>
          <w:szCs w:val="36"/>
        </w:rPr>
        <w:t>Information Collection Request</w:t>
      </w:r>
    </w:p>
    <w:p w:rsidR="00AD69E5" w:rsidP="00AD69E5" w:rsidRDefault="00AD69E5" w14:paraId="187FE89C" w14:textId="77777777">
      <w:pPr>
        <w:tabs>
          <w:tab w:val="left" w:pos="8640"/>
        </w:tabs>
        <w:ind w:right="-525"/>
        <w:rPr>
          <w:b/>
          <w:bCs/>
          <w:sz w:val="36"/>
          <w:szCs w:val="36"/>
        </w:rPr>
      </w:pPr>
      <w:r w:rsidRPr="00AD69E5">
        <w:rPr>
          <w:b/>
          <w:bCs/>
          <w:sz w:val="36"/>
          <w:szCs w:val="36"/>
        </w:rPr>
        <w:t>for the</w:t>
      </w:r>
      <w:r>
        <w:rPr>
          <w:b/>
          <w:bCs/>
          <w:sz w:val="36"/>
          <w:szCs w:val="36"/>
        </w:rPr>
        <w:t xml:space="preserve"> </w:t>
      </w:r>
      <w:r w:rsidRPr="00AD69E5">
        <w:rPr>
          <w:b/>
          <w:bCs/>
          <w:sz w:val="36"/>
          <w:szCs w:val="36"/>
        </w:rPr>
        <w:t>Underground Injection Control Program</w:t>
      </w:r>
    </w:p>
    <w:p w:rsidR="00697CE8" w:rsidP="00AD69E5" w:rsidRDefault="00697CE8" w14:paraId="7E0B56E6" w14:textId="77777777">
      <w:pPr>
        <w:tabs>
          <w:tab w:val="left" w:pos="8640"/>
        </w:tabs>
        <w:ind w:right="-525"/>
        <w:rPr>
          <w:b/>
          <w:bCs/>
          <w:sz w:val="36"/>
          <w:szCs w:val="36"/>
        </w:rPr>
      </w:pPr>
    </w:p>
    <w:p w:rsidR="00697CE8" w:rsidP="00AD69E5" w:rsidRDefault="00697CE8" w14:paraId="1411B888" w14:textId="77777777">
      <w:pPr>
        <w:tabs>
          <w:tab w:val="left" w:pos="8640"/>
        </w:tabs>
        <w:ind w:right="-525"/>
        <w:rPr>
          <w:b/>
          <w:bCs/>
          <w:sz w:val="36"/>
          <w:szCs w:val="36"/>
        </w:rPr>
      </w:pPr>
    </w:p>
    <w:p w:rsidR="00697CE8" w:rsidP="00AD69E5" w:rsidRDefault="00697CE8" w14:paraId="06E1005E" w14:textId="77777777">
      <w:pPr>
        <w:tabs>
          <w:tab w:val="left" w:pos="8640"/>
        </w:tabs>
        <w:ind w:right="-525"/>
        <w:rPr>
          <w:b/>
          <w:bCs/>
          <w:sz w:val="36"/>
          <w:szCs w:val="36"/>
        </w:rPr>
      </w:pPr>
    </w:p>
    <w:p w:rsidR="00697CE8" w:rsidP="00AD69E5" w:rsidRDefault="00697CE8" w14:paraId="00D7CA27" w14:textId="77777777">
      <w:pPr>
        <w:tabs>
          <w:tab w:val="left" w:pos="8640"/>
        </w:tabs>
        <w:ind w:right="-525"/>
        <w:rPr>
          <w:b/>
          <w:bCs/>
          <w:sz w:val="36"/>
          <w:szCs w:val="36"/>
        </w:rPr>
      </w:pPr>
    </w:p>
    <w:p w:rsidR="00697CE8" w:rsidP="00AD69E5" w:rsidRDefault="00697CE8" w14:paraId="7172EFE4" w14:textId="77777777">
      <w:pPr>
        <w:tabs>
          <w:tab w:val="left" w:pos="8640"/>
        </w:tabs>
        <w:ind w:right="-525"/>
        <w:rPr>
          <w:b/>
          <w:bCs/>
          <w:sz w:val="36"/>
          <w:szCs w:val="36"/>
        </w:rPr>
      </w:pPr>
    </w:p>
    <w:p w:rsidR="00697CE8" w:rsidP="00AD69E5" w:rsidRDefault="00697CE8" w14:paraId="6169E0BC" w14:textId="77777777">
      <w:pPr>
        <w:tabs>
          <w:tab w:val="left" w:pos="8640"/>
        </w:tabs>
        <w:ind w:right="-525"/>
        <w:rPr>
          <w:b/>
          <w:bCs/>
          <w:sz w:val="36"/>
          <w:szCs w:val="36"/>
        </w:rPr>
      </w:pPr>
    </w:p>
    <w:p w:rsidR="00697CE8" w:rsidP="00AD69E5" w:rsidRDefault="00697CE8" w14:paraId="35DF68AF" w14:textId="77777777">
      <w:pPr>
        <w:tabs>
          <w:tab w:val="left" w:pos="8640"/>
        </w:tabs>
        <w:ind w:right="-525"/>
        <w:rPr>
          <w:b/>
          <w:bCs/>
          <w:sz w:val="36"/>
          <w:szCs w:val="36"/>
        </w:rPr>
      </w:pPr>
    </w:p>
    <w:p w:rsidR="00697CE8" w:rsidP="00AD69E5" w:rsidRDefault="00697CE8" w14:paraId="56BFD9FD" w14:textId="77777777">
      <w:pPr>
        <w:tabs>
          <w:tab w:val="left" w:pos="8640"/>
        </w:tabs>
        <w:ind w:right="-525"/>
        <w:rPr>
          <w:b/>
          <w:bCs/>
          <w:sz w:val="36"/>
          <w:szCs w:val="36"/>
        </w:rPr>
      </w:pPr>
    </w:p>
    <w:p w:rsidR="00697CE8" w:rsidP="00AD69E5" w:rsidRDefault="00697CE8" w14:paraId="191AA5A4" w14:textId="77777777">
      <w:pPr>
        <w:tabs>
          <w:tab w:val="left" w:pos="8640"/>
        </w:tabs>
        <w:ind w:right="-525"/>
        <w:rPr>
          <w:b/>
          <w:bCs/>
          <w:sz w:val="36"/>
          <w:szCs w:val="36"/>
        </w:rPr>
      </w:pPr>
    </w:p>
    <w:p w:rsidR="00697CE8" w:rsidP="00AD69E5" w:rsidRDefault="00697CE8" w14:paraId="2E51392E" w14:textId="77777777">
      <w:pPr>
        <w:tabs>
          <w:tab w:val="left" w:pos="8640"/>
        </w:tabs>
        <w:ind w:right="-525"/>
        <w:rPr>
          <w:b/>
          <w:bCs/>
          <w:sz w:val="36"/>
          <w:szCs w:val="36"/>
        </w:rPr>
      </w:pPr>
    </w:p>
    <w:p w:rsidR="00697CE8" w:rsidP="00AD69E5" w:rsidRDefault="00697CE8" w14:paraId="7D0B60D1" w14:textId="77777777">
      <w:pPr>
        <w:tabs>
          <w:tab w:val="left" w:pos="8640"/>
        </w:tabs>
        <w:ind w:right="-525"/>
        <w:rPr>
          <w:b/>
          <w:bCs/>
          <w:sz w:val="36"/>
          <w:szCs w:val="36"/>
        </w:rPr>
      </w:pPr>
    </w:p>
    <w:p w:rsidR="00697CE8" w:rsidP="00AD69E5" w:rsidRDefault="00697CE8" w14:paraId="388E1A3A" w14:textId="77777777">
      <w:pPr>
        <w:tabs>
          <w:tab w:val="left" w:pos="8640"/>
        </w:tabs>
        <w:ind w:right="-525"/>
        <w:rPr>
          <w:b/>
          <w:bCs/>
          <w:sz w:val="36"/>
          <w:szCs w:val="36"/>
        </w:rPr>
      </w:pPr>
    </w:p>
    <w:p w:rsidR="00697CE8" w:rsidP="00AD69E5" w:rsidRDefault="00697CE8" w14:paraId="3E90F6EA" w14:textId="77777777">
      <w:pPr>
        <w:tabs>
          <w:tab w:val="left" w:pos="8640"/>
        </w:tabs>
        <w:ind w:right="-525"/>
        <w:rPr>
          <w:b/>
          <w:bCs/>
          <w:sz w:val="36"/>
          <w:szCs w:val="36"/>
        </w:rPr>
      </w:pPr>
    </w:p>
    <w:p w:rsidR="00697CE8" w:rsidP="00AD69E5" w:rsidRDefault="00697CE8" w14:paraId="5A5D52A9" w14:textId="77777777">
      <w:pPr>
        <w:tabs>
          <w:tab w:val="left" w:pos="8640"/>
        </w:tabs>
        <w:ind w:right="-525"/>
        <w:rPr>
          <w:b/>
          <w:bCs/>
          <w:sz w:val="36"/>
          <w:szCs w:val="36"/>
        </w:rPr>
      </w:pPr>
    </w:p>
    <w:p w:rsidR="00697CE8" w:rsidP="00AD69E5" w:rsidRDefault="00697CE8" w14:paraId="49390D90" w14:textId="77777777">
      <w:pPr>
        <w:tabs>
          <w:tab w:val="left" w:pos="8640"/>
        </w:tabs>
        <w:ind w:right="-525"/>
        <w:rPr>
          <w:b/>
          <w:bCs/>
          <w:sz w:val="36"/>
          <w:szCs w:val="36"/>
        </w:rPr>
      </w:pPr>
    </w:p>
    <w:p w:rsidR="00697CE8" w:rsidP="00AD69E5" w:rsidRDefault="00697CE8" w14:paraId="2CCA23EE" w14:textId="77777777">
      <w:pPr>
        <w:tabs>
          <w:tab w:val="left" w:pos="8640"/>
        </w:tabs>
        <w:ind w:right="-525"/>
        <w:rPr>
          <w:b/>
          <w:bCs/>
          <w:sz w:val="36"/>
          <w:szCs w:val="36"/>
        </w:rPr>
      </w:pPr>
    </w:p>
    <w:p w:rsidR="00697CE8" w:rsidP="00AD69E5" w:rsidRDefault="00697CE8" w14:paraId="61D13A66" w14:textId="77777777">
      <w:pPr>
        <w:tabs>
          <w:tab w:val="left" w:pos="8640"/>
        </w:tabs>
        <w:ind w:right="-525"/>
        <w:rPr>
          <w:b/>
          <w:bCs/>
          <w:sz w:val="36"/>
          <w:szCs w:val="36"/>
        </w:rPr>
      </w:pPr>
    </w:p>
    <w:p w:rsidR="00697CE8" w:rsidP="00AD69E5" w:rsidRDefault="00697CE8" w14:paraId="32BA4C33" w14:textId="77777777">
      <w:pPr>
        <w:tabs>
          <w:tab w:val="left" w:pos="8640"/>
        </w:tabs>
        <w:ind w:right="-525"/>
        <w:rPr>
          <w:b/>
          <w:bCs/>
          <w:sz w:val="36"/>
          <w:szCs w:val="36"/>
        </w:rPr>
      </w:pPr>
    </w:p>
    <w:p w:rsidR="00697CE8" w:rsidP="00AD69E5" w:rsidRDefault="00697CE8" w14:paraId="3009FEA5" w14:textId="77777777">
      <w:pPr>
        <w:tabs>
          <w:tab w:val="left" w:pos="8640"/>
        </w:tabs>
        <w:ind w:right="-525"/>
        <w:rPr>
          <w:b/>
          <w:bCs/>
          <w:sz w:val="36"/>
          <w:szCs w:val="36"/>
        </w:rPr>
      </w:pPr>
    </w:p>
    <w:p w:rsidRPr="00697CE8" w:rsidR="00697CE8" w:rsidP="00AD69E5" w:rsidRDefault="00697CE8" w14:paraId="0A7AC9AD" w14:textId="77777777">
      <w:pPr>
        <w:tabs>
          <w:tab w:val="left" w:pos="8640"/>
        </w:tabs>
        <w:ind w:right="-525"/>
        <w:rPr>
          <w:b/>
          <w:bCs/>
          <w:sz w:val="24"/>
          <w:szCs w:val="24"/>
        </w:rPr>
      </w:pPr>
      <w:bookmarkStart w:name="_Hlk508290354" w:id="0"/>
      <w:r w:rsidRPr="00697CE8">
        <w:rPr>
          <w:b/>
          <w:bCs/>
          <w:sz w:val="24"/>
          <w:szCs w:val="24"/>
        </w:rPr>
        <w:t>OMB Control No. 2040-0042</w:t>
      </w:r>
    </w:p>
    <w:p w:rsidRPr="00697CE8" w:rsidR="00697CE8" w:rsidP="00AD69E5" w:rsidRDefault="00697CE8" w14:paraId="23979B23" w14:textId="0C5A87B7">
      <w:pPr>
        <w:tabs>
          <w:tab w:val="left" w:pos="8640"/>
        </w:tabs>
        <w:ind w:right="-525"/>
        <w:rPr>
          <w:b/>
          <w:bCs/>
          <w:sz w:val="24"/>
          <w:szCs w:val="24"/>
        </w:rPr>
      </w:pPr>
      <w:r w:rsidRPr="00AF41AC">
        <w:rPr>
          <w:b/>
          <w:bCs/>
          <w:sz w:val="24"/>
          <w:szCs w:val="24"/>
        </w:rPr>
        <w:t>EPA ICR Tracking No. 0370.2</w:t>
      </w:r>
      <w:r w:rsidRPr="00AF41AC" w:rsidR="007F31F5">
        <w:rPr>
          <w:b/>
          <w:bCs/>
          <w:sz w:val="24"/>
          <w:szCs w:val="24"/>
        </w:rPr>
        <w:t>7</w:t>
      </w:r>
    </w:p>
    <w:bookmarkEnd w:id="0"/>
    <w:p w:rsidRPr="00697CE8" w:rsidR="00AD69E5" w:rsidP="00AD69E5" w:rsidRDefault="00AD69E5" w14:paraId="0A27446B" w14:textId="77777777">
      <w:pPr>
        <w:tabs>
          <w:tab w:val="left" w:pos="8640"/>
        </w:tabs>
        <w:ind w:right="-525"/>
        <w:rPr>
          <w:rFonts w:ascii="Arial" w:hAnsi="Arial" w:cs="Arial"/>
          <w:bCs/>
          <w:sz w:val="24"/>
          <w:szCs w:val="24"/>
        </w:rPr>
      </w:pPr>
    </w:p>
    <w:p w:rsidRPr="00453157" w:rsidR="00AD69E5" w:rsidP="00AD69E5" w:rsidRDefault="00AD69E5" w14:paraId="1F7860EA" w14:textId="77777777">
      <w:pPr>
        <w:tabs>
          <w:tab w:val="left" w:pos="8640"/>
        </w:tabs>
        <w:ind w:right="-525"/>
        <w:rPr>
          <w:rFonts w:ascii="Arial" w:hAnsi="Arial" w:cs="Arial"/>
          <w:bCs/>
          <w:sz w:val="40"/>
          <w:szCs w:val="40"/>
        </w:rPr>
        <w:sectPr w:rsidRPr="00453157" w:rsidR="00AD69E5" w:rsidSect="00873C9F">
          <w:pgSz w:w="12240" w:h="15840"/>
          <w:pgMar w:top="1440" w:right="1440" w:bottom="-1440" w:left="1920" w:header="720" w:footer="720" w:gutter="0"/>
          <w:pgNumType w:fmt="lowerRoman"/>
          <w:cols w:space="720"/>
          <w:titlePg/>
          <w:docGrid w:linePitch="360"/>
        </w:sectPr>
      </w:pPr>
    </w:p>
    <w:p w:rsidR="00AD69E5" w:rsidP="00AD69E5" w:rsidRDefault="00AD69E5" w14:paraId="682AB2A5" w14:textId="77777777">
      <w:pPr>
        <w:rPr>
          <w:rFonts w:ascii="Arial" w:hAnsi="Arial" w:cs="Arial"/>
        </w:rPr>
      </w:pPr>
    </w:p>
    <w:p w:rsidR="00AD69E5" w:rsidP="00AD69E5" w:rsidRDefault="00AD69E5" w14:paraId="49144247" w14:textId="77777777">
      <w:pPr>
        <w:rPr>
          <w:rFonts w:ascii="Arial" w:hAnsi="Arial" w:cs="Arial"/>
        </w:rPr>
      </w:pPr>
    </w:p>
    <w:p w:rsidR="00AD69E5" w:rsidP="00AD69E5" w:rsidRDefault="00AD69E5" w14:paraId="293F6B92" w14:textId="77777777">
      <w:pPr>
        <w:rPr>
          <w:rFonts w:ascii="Arial" w:hAnsi="Arial" w:cs="Arial"/>
        </w:rPr>
      </w:pPr>
    </w:p>
    <w:p w:rsidR="00AD69E5" w:rsidP="00AD69E5" w:rsidRDefault="00AD69E5" w14:paraId="010E8859" w14:textId="77777777">
      <w:pPr>
        <w:rPr>
          <w:rFonts w:ascii="Arial" w:hAnsi="Arial" w:cs="Arial"/>
        </w:rPr>
      </w:pPr>
    </w:p>
    <w:p w:rsidR="00AD69E5" w:rsidP="00AD69E5" w:rsidRDefault="00AD69E5" w14:paraId="25917CAD" w14:textId="77777777">
      <w:pPr>
        <w:rPr>
          <w:rFonts w:ascii="Arial" w:hAnsi="Arial" w:cs="Arial"/>
        </w:rPr>
      </w:pPr>
    </w:p>
    <w:p w:rsidR="00AD69E5" w:rsidP="00AD69E5" w:rsidRDefault="00AD69E5" w14:paraId="5968B11E" w14:textId="77777777">
      <w:pPr>
        <w:rPr>
          <w:rFonts w:ascii="Arial" w:hAnsi="Arial" w:cs="Arial"/>
        </w:rPr>
      </w:pPr>
    </w:p>
    <w:p w:rsidR="00AD69E5" w:rsidP="00AD69E5" w:rsidRDefault="00AD69E5" w14:paraId="205FC10D" w14:textId="77777777">
      <w:pPr>
        <w:rPr>
          <w:rFonts w:ascii="Arial" w:hAnsi="Arial" w:cs="Arial"/>
        </w:rPr>
      </w:pPr>
    </w:p>
    <w:p w:rsidR="00AD69E5" w:rsidP="00AD69E5" w:rsidRDefault="00AD69E5" w14:paraId="147DD629" w14:textId="77777777">
      <w:pPr>
        <w:rPr>
          <w:rFonts w:ascii="Arial" w:hAnsi="Arial" w:cs="Arial"/>
        </w:rPr>
      </w:pPr>
    </w:p>
    <w:p w:rsidR="00AD69E5" w:rsidP="00AD69E5" w:rsidRDefault="00AD69E5" w14:paraId="3A8D8C7B" w14:textId="77777777">
      <w:pPr>
        <w:rPr>
          <w:rFonts w:ascii="Arial" w:hAnsi="Arial" w:cs="Arial"/>
        </w:rPr>
      </w:pPr>
    </w:p>
    <w:p w:rsidR="00AD69E5" w:rsidP="00AD69E5" w:rsidRDefault="00AD69E5" w14:paraId="63531D41" w14:textId="77777777">
      <w:pPr>
        <w:rPr>
          <w:rFonts w:ascii="Arial" w:hAnsi="Arial" w:cs="Arial"/>
        </w:rPr>
      </w:pPr>
    </w:p>
    <w:p w:rsidR="00AD69E5" w:rsidP="00AD69E5" w:rsidRDefault="00AD69E5" w14:paraId="069626E6" w14:textId="77777777">
      <w:pPr>
        <w:rPr>
          <w:rFonts w:ascii="Arial" w:hAnsi="Arial" w:cs="Arial"/>
        </w:rPr>
      </w:pPr>
    </w:p>
    <w:p w:rsidR="00AD69E5" w:rsidP="00AD69E5" w:rsidRDefault="00AD69E5" w14:paraId="495F08B1" w14:textId="77777777">
      <w:pPr>
        <w:rPr>
          <w:rFonts w:ascii="Arial" w:hAnsi="Arial" w:cs="Arial"/>
        </w:rPr>
      </w:pPr>
    </w:p>
    <w:p w:rsidR="00AD69E5" w:rsidP="00AD69E5" w:rsidRDefault="00AD69E5" w14:paraId="5DDD3E8C" w14:textId="77777777">
      <w:pPr>
        <w:rPr>
          <w:rFonts w:ascii="Arial" w:hAnsi="Arial" w:cs="Arial"/>
        </w:rPr>
      </w:pPr>
    </w:p>
    <w:p w:rsidR="00AD69E5" w:rsidP="00AD69E5" w:rsidRDefault="00AD69E5" w14:paraId="0BB56F4F" w14:textId="77777777">
      <w:pPr>
        <w:rPr>
          <w:rFonts w:ascii="Arial" w:hAnsi="Arial" w:cs="Arial"/>
        </w:rPr>
      </w:pPr>
    </w:p>
    <w:p w:rsidR="00AD69E5" w:rsidP="00AD69E5" w:rsidRDefault="00AD69E5" w14:paraId="4A7BD322" w14:textId="77777777">
      <w:pPr>
        <w:rPr>
          <w:rFonts w:ascii="Arial" w:hAnsi="Arial" w:cs="Arial"/>
        </w:rPr>
      </w:pPr>
    </w:p>
    <w:p w:rsidR="00AD69E5" w:rsidP="00AD69E5" w:rsidRDefault="00AD69E5" w14:paraId="0B5FAA5A" w14:textId="77777777">
      <w:pPr>
        <w:rPr>
          <w:rFonts w:ascii="Arial" w:hAnsi="Arial" w:cs="Arial"/>
        </w:rPr>
      </w:pPr>
    </w:p>
    <w:p w:rsidR="00AD69E5" w:rsidP="00AD69E5" w:rsidRDefault="00AD69E5" w14:paraId="701700DB" w14:textId="77777777">
      <w:pPr>
        <w:rPr>
          <w:rFonts w:ascii="Arial" w:hAnsi="Arial" w:cs="Arial"/>
        </w:rPr>
      </w:pPr>
    </w:p>
    <w:p w:rsidR="00AD69E5" w:rsidP="00AD69E5" w:rsidRDefault="00AD69E5" w14:paraId="3D88BA4F" w14:textId="77777777">
      <w:pPr>
        <w:rPr>
          <w:rFonts w:ascii="Arial" w:hAnsi="Arial" w:cs="Arial"/>
        </w:rPr>
      </w:pPr>
    </w:p>
    <w:p w:rsidR="00AD69E5" w:rsidP="00AD69E5" w:rsidRDefault="00AD69E5" w14:paraId="41604024" w14:textId="77777777">
      <w:pPr>
        <w:rPr>
          <w:rFonts w:ascii="Arial" w:hAnsi="Arial" w:cs="Arial"/>
        </w:rPr>
      </w:pPr>
    </w:p>
    <w:p w:rsidR="00AD69E5" w:rsidP="00AD69E5" w:rsidRDefault="00AD69E5" w14:paraId="24897DF2" w14:textId="77777777">
      <w:pPr>
        <w:rPr>
          <w:rFonts w:ascii="Arial" w:hAnsi="Arial" w:cs="Arial"/>
        </w:rPr>
      </w:pPr>
    </w:p>
    <w:p w:rsidR="00AD69E5" w:rsidP="00AD69E5" w:rsidRDefault="00AD69E5" w14:paraId="49B170B9" w14:textId="77777777">
      <w:pPr>
        <w:rPr>
          <w:rFonts w:ascii="Arial" w:hAnsi="Arial" w:cs="Arial"/>
        </w:rPr>
      </w:pPr>
    </w:p>
    <w:p w:rsidR="00AD69E5" w:rsidP="00AD69E5" w:rsidRDefault="00AD69E5" w14:paraId="373E51CF" w14:textId="77777777">
      <w:pPr>
        <w:rPr>
          <w:rFonts w:ascii="Arial" w:hAnsi="Arial" w:cs="Arial"/>
        </w:rPr>
      </w:pPr>
    </w:p>
    <w:p w:rsidR="00AD69E5" w:rsidP="00AD69E5" w:rsidRDefault="00AD69E5" w14:paraId="6CD53B8D" w14:textId="77777777">
      <w:pPr>
        <w:rPr>
          <w:rFonts w:ascii="Arial" w:hAnsi="Arial" w:cs="Arial"/>
        </w:rPr>
      </w:pPr>
    </w:p>
    <w:p w:rsidR="00AD69E5" w:rsidP="00AD69E5" w:rsidRDefault="00AD69E5" w14:paraId="4B5A89C2" w14:textId="77777777">
      <w:pPr>
        <w:rPr>
          <w:rFonts w:ascii="Arial" w:hAnsi="Arial" w:cs="Arial"/>
        </w:rPr>
      </w:pPr>
    </w:p>
    <w:p w:rsidR="00AD69E5" w:rsidP="00AD69E5" w:rsidRDefault="00AD69E5" w14:paraId="6B63A2ED" w14:textId="77777777">
      <w:pPr>
        <w:rPr>
          <w:rFonts w:ascii="Arial" w:hAnsi="Arial" w:cs="Arial"/>
        </w:rPr>
      </w:pPr>
    </w:p>
    <w:p w:rsidR="00AD69E5" w:rsidP="00AD69E5" w:rsidRDefault="00AD69E5" w14:paraId="686E5AED" w14:textId="77777777">
      <w:pPr>
        <w:rPr>
          <w:rFonts w:ascii="Arial" w:hAnsi="Arial" w:cs="Arial"/>
        </w:rPr>
      </w:pPr>
    </w:p>
    <w:p w:rsidR="00AD69E5" w:rsidP="00AD69E5" w:rsidRDefault="00AD69E5" w14:paraId="6CA3279D" w14:textId="77777777">
      <w:pPr>
        <w:rPr>
          <w:rFonts w:ascii="Arial" w:hAnsi="Arial" w:cs="Arial"/>
        </w:rPr>
      </w:pPr>
    </w:p>
    <w:p w:rsidR="00AD69E5" w:rsidP="00AD69E5" w:rsidRDefault="00AD69E5" w14:paraId="4A3392FE" w14:textId="77777777">
      <w:pPr>
        <w:rPr>
          <w:rFonts w:ascii="Arial" w:hAnsi="Arial" w:cs="Arial"/>
        </w:rPr>
      </w:pPr>
    </w:p>
    <w:p w:rsidR="00AD69E5" w:rsidP="00AD69E5" w:rsidRDefault="00AD69E5" w14:paraId="379AF5E9" w14:textId="77777777">
      <w:pPr>
        <w:rPr>
          <w:rFonts w:ascii="Arial" w:hAnsi="Arial" w:cs="Arial"/>
        </w:rPr>
      </w:pPr>
    </w:p>
    <w:p w:rsidR="00AD69E5" w:rsidP="00AD69E5" w:rsidRDefault="00AD69E5" w14:paraId="4ED8CB1A" w14:textId="77777777">
      <w:pPr>
        <w:rPr>
          <w:rFonts w:ascii="Arial" w:hAnsi="Arial" w:cs="Arial"/>
        </w:rPr>
      </w:pPr>
    </w:p>
    <w:p w:rsidR="00AD69E5" w:rsidP="00AD69E5" w:rsidRDefault="00AD69E5" w14:paraId="6DF48E04" w14:textId="77777777">
      <w:pPr>
        <w:rPr>
          <w:rFonts w:ascii="Arial" w:hAnsi="Arial" w:cs="Arial"/>
        </w:rPr>
      </w:pPr>
    </w:p>
    <w:p w:rsidR="00AD69E5" w:rsidP="00AD69E5" w:rsidRDefault="00AD69E5" w14:paraId="59F92D08" w14:textId="77777777">
      <w:pPr>
        <w:rPr>
          <w:rFonts w:ascii="Arial" w:hAnsi="Arial" w:cs="Arial"/>
        </w:rPr>
      </w:pPr>
    </w:p>
    <w:p w:rsidR="00AD69E5" w:rsidP="00AD69E5" w:rsidRDefault="00AD69E5" w14:paraId="4741763B" w14:textId="77777777">
      <w:pPr>
        <w:rPr>
          <w:rFonts w:ascii="Arial" w:hAnsi="Arial" w:cs="Arial"/>
        </w:rPr>
      </w:pPr>
    </w:p>
    <w:p w:rsidR="00AD69E5" w:rsidP="00AD69E5" w:rsidRDefault="00AD69E5" w14:paraId="3561859C" w14:textId="77777777">
      <w:pPr>
        <w:rPr>
          <w:rFonts w:ascii="Arial" w:hAnsi="Arial" w:cs="Arial"/>
        </w:rPr>
      </w:pPr>
    </w:p>
    <w:p w:rsidR="00AD69E5" w:rsidP="00AD69E5" w:rsidRDefault="00AD69E5" w14:paraId="794F72C8" w14:textId="77777777">
      <w:pPr>
        <w:rPr>
          <w:rFonts w:ascii="Arial" w:hAnsi="Arial" w:cs="Arial"/>
        </w:rPr>
      </w:pPr>
    </w:p>
    <w:p w:rsidR="00AD69E5" w:rsidP="00AD69E5" w:rsidRDefault="00AD69E5" w14:paraId="77F35CF0" w14:textId="77777777">
      <w:pPr>
        <w:rPr>
          <w:rFonts w:ascii="Arial" w:hAnsi="Arial" w:cs="Arial"/>
        </w:rPr>
      </w:pPr>
    </w:p>
    <w:p w:rsidR="007E4CDA" w:rsidP="00AD69E5" w:rsidRDefault="007E4CDA" w14:paraId="4E414DCF" w14:textId="77777777">
      <w:pPr>
        <w:rPr>
          <w:rFonts w:ascii="Arial" w:hAnsi="Arial" w:cs="Arial"/>
        </w:rPr>
      </w:pPr>
    </w:p>
    <w:p w:rsidR="007E4CDA" w:rsidP="00AD69E5" w:rsidRDefault="007E4CDA" w14:paraId="3A52EA52" w14:textId="77777777">
      <w:pPr>
        <w:rPr>
          <w:rFonts w:ascii="Arial" w:hAnsi="Arial" w:cs="Arial"/>
        </w:rPr>
      </w:pPr>
    </w:p>
    <w:p w:rsidR="007E4CDA" w:rsidP="00AD69E5" w:rsidRDefault="007E4CDA" w14:paraId="19F429C0" w14:textId="77777777">
      <w:pPr>
        <w:rPr>
          <w:rFonts w:ascii="Arial" w:hAnsi="Arial" w:cs="Arial"/>
        </w:rPr>
      </w:pPr>
    </w:p>
    <w:p w:rsidR="007E4CDA" w:rsidP="00AD69E5" w:rsidRDefault="007E4CDA" w14:paraId="46F27C0C" w14:textId="77777777">
      <w:pPr>
        <w:rPr>
          <w:rFonts w:ascii="Arial" w:hAnsi="Arial" w:cs="Arial"/>
        </w:rPr>
      </w:pPr>
    </w:p>
    <w:p w:rsidR="007E4CDA" w:rsidP="00AD69E5" w:rsidRDefault="007E4CDA" w14:paraId="5F8DB545" w14:textId="77777777">
      <w:pPr>
        <w:rPr>
          <w:rFonts w:ascii="Arial" w:hAnsi="Arial" w:cs="Arial"/>
        </w:rPr>
      </w:pPr>
    </w:p>
    <w:p w:rsidR="007E4CDA" w:rsidP="00AD69E5" w:rsidRDefault="007E4CDA" w14:paraId="5A6FFAE5" w14:textId="77777777">
      <w:pPr>
        <w:rPr>
          <w:rFonts w:ascii="Arial" w:hAnsi="Arial" w:cs="Arial"/>
        </w:rPr>
      </w:pPr>
    </w:p>
    <w:p w:rsidR="007E4CDA" w:rsidP="00AD69E5" w:rsidRDefault="007E4CDA" w14:paraId="14F91370" w14:textId="77777777">
      <w:pPr>
        <w:rPr>
          <w:rFonts w:ascii="Arial" w:hAnsi="Arial" w:cs="Arial"/>
        </w:rPr>
      </w:pPr>
    </w:p>
    <w:p w:rsidR="007E4CDA" w:rsidP="00AD69E5" w:rsidRDefault="007E4CDA" w14:paraId="326B66E9" w14:textId="77777777">
      <w:pPr>
        <w:rPr>
          <w:rFonts w:ascii="Arial" w:hAnsi="Arial" w:cs="Arial"/>
        </w:rPr>
      </w:pPr>
    </w:p>
    <w:p w:rsidR="007E4CDA" w:rsidP="00AD69E5" w:rsidRDefault="007E4CDA" w14:paraId="5D57CD76" w14:textId="77777777">
      <w:pPr>
        <w:rPr>
          <w:rFonts w:ascii="Arial" w:hAnsi="Arial" w:cs="Arial"/>
        </w:rPr>
      </w:pPr>
    </w:p>
    <w:p w:rsidR="007E4CDA" w:rsidP="00AD69E5" w:rsidRDefault="007E4CDA" w14:paraId="0C721963" w14:textId="77777777">
      <w:pPr>
        <w:rPr>
          <w:rFonts w:ascii="Arial" w:hAnsi="Arial" w:cs="Arial"/>
        </w:rPr>
      </w:pPr>
    </w:p>
    <w:p w:rsidR="007E4CDA" w:rsidP="00AD69E5" w:rsidRDefault="007E4CDA" w14:paraId="1044A590" w14:textId="77777777">
      <w:pPr>
        <w:rPr>
          <w:rFonts w:ascii="Arial" w:hAnsi="Arial" w:cs="Arial"/>
        </w:rPr>
      </w:pPr>
    </w:p>
    <w:p w:rsidR="007E4CDA" w:rsidP="00AD69E5" w:rsidRDefault="007E4CDA" w14:paraId="34903A70" w14:textId="77777777">
      <w:pPr>
        <w:rPr>
          <w:rFonts w:ascii="Arial" w:hAnsi="Arial" w:cs="Arial"/>
        </w:rPr>
      </w:pPr>
    </w:p>
    <w:p w:rsidR="00AD69E5" w:rsidP="00AD69E5" w:rsidRDefault="00AD69E5" w14:paraId="1C1EAC36" w14:textId="77777777">
      <w:pPr>
        <w:rPr>
          <w:rFonts w:ascii="Arial" w:hAnsi="Arial" w:cs="Arial"/>
        </w:rPr>
      </w:pPr>
    </w:p>
    <w:p w:rsidRPr="00533601" w:rsidR="00AD69E5" w:rsidP="00AD69E5" w:rsidRDefault="00AD69E5" w14:paraId="5FC15F12" w14:textId="77777777">
      <w:r w:rsidRPr="00533601">
        <w:t>Office of Water (4606M)</w:t>
      </w:r>
    </w:p>
    <w:p w:rsidRPr="00533601" w:rsidR="00AD69E5" w:rsidP="00AD69E5" w:rsidRDefault="00464D30" w14:paraId="18690C02" w14:textId="4B96B8B2">
      <w:r>
        <w:t>N</w:t>
      </w:r>
      <w:r w:rsidR="00B11F08">
        <w:t>o</w:t>
      </w:r>
      <w:r>
        <w:t>vem</w:t>
      </w:r>
      <w:r w:rsidR="00840805">
        <w:t>ber</w:t>
      </w:r>
      <w:r w:rsidRPr="003A51BA" w:rsidR="003D7771">
        <w:t>,</w:t>
      </w:r>
      <w:r w:rsidRPr="003A51BA" w:rsidR="00AD69E5">
        <w:t xml:space="preserve"> 20</w:t>
      </w:r>
      <w:r w:rsidR="00B11F08">
        <w:t>2</w:t>
      </w:r>
      <w:r w:rsidRPr="003A51BA" w:rsidR="00AD69E5">
        <w:t>1</w:t>
      </w:r>
    </w:p>
    <w:p w:rsidRPr="00C93DC9" w:rsidR="00C25838" w:rsidRDefault="00C25838" w14:paraId="10FE73BC" w14:textId="77777777">
      <w:pPr>
        <w:jc w:val="center"/>
        <w:rPr>
          <w:sz w:val="24"/>
          <w:szCs w:val="24"/>
        </w:rPr>
      </w:pPr>
    </w:p>
    <w:p w:rsidRPr="00C93DC9" w:rsidR="00C25838" w:rsidRDefault="00C25838" w14:paraId="0CAA9FF5" w14:textId="77777777">
      <w:pPr>
        <w:rPr>
          <w:color w:val="FF0000"/>
          <w:sz w:val="24"/>
          <w:szCs w:val="24"/>
        </w:rPr>
        <w:sectPr w:rsidRPr="00C93DC9" w:rsidR="00C25838">
          <w:pgSz w:w="12240" w:h="15840"/>
          <w:pgMar w:top="1440" w:right="1440" w:bottom="1440" w:left="1440" w:header="1440" w:footer="1440" w:gutter="0"/>
          <w:cols w:space="720"/>
          <w:noEndnote/>
        </w:sectPr>
      </w:pPr>
      <w:r w:rsidRPr="00C93DC9">
        <w:rPr>
          <w:sz w:val="24"/>
          <w:szCs w:val="24"/>
        </w:rPr>
        <w:br w:type="page"/>
      </w:r>
    </w:p>
    <w:p w:rsidRPr="00C93DC9" w:rsidR="00C25838" w:rsidP="00C93DC9" w:rsidRDefault="00C25838" w14:paraId="08C73760" w14:textId="77777777">
      <w:pPr>
        <w:jc w:val="center"/>
        <w:rPr>
          <w:sz w:val="24"/>
          <w:szCs w:val="24"/>
        </w:rPr>
      </w:pPr>
      <w:r w:rsidRPr="00C93DC9">
        <w:rPr>
          <w:b/>
          <w:bCs/>
          <w:sz w:val="24"/>
          <w:szCs w:val="24"/>
        </w:rPr>
        <w:lastRenderedPageBreak/>
        <w:t>TABLE OF CONTENTS</w:t>
      </w:r>
    </w:p>
    <w:p w:rsidRPr="00C93DC9" w:rsidR="00C25838" w:rsidRDefault="00C25838" w14:paraId="5DA40848" w14:textId="77777777">
      <w:pPr>
        <w:rPr>
          <w:sz w:val="24"/>
          <w:szCs w:val="24"/>
        </w:rPr>
      </w:pPr>
    </w:p>
    <w:p w:rsidRPr="00D96603" w:rsidR="00D96603" w:rsidRDefault="001941A8" w14:paraId="701C6FC0" w14:textId="2D7AB57F">
      <w:pPr>
        <w:pStyle w:val="TOC1"/>
        <w:tabs>
          <w:tab w:val="left" w:pos="400"/>
          <w:tab w:val="right" w:leader="dot" w:pos="9350"/>
        </w:tabs>
        <w:rPr>
          <w:rFonts w:asciiTheme="minorHAnsi" w:hAnsiTheme="minorHAnsi" w:eastAsiaTheme="minorEastAsia" w:cstheme="minorBidi"/>
          <w:noProof/>
          <w:sz w:val="24"/>
          <w:szCs w:val="23"/>
        </w:rPr>
      </w:pPr>
      <w:r w:rsidRPr="00D96603">
        <w:rPr>
          <w:sz w:val="24"/>
          <w:szCs w:val="23"/>
        </w:rPr>
        <w:fldChar w:fldCharType="begin"/>
      </w:r>
      <w:r w:rsidRPr="00D96603">
        <w:rPr>
          <w:sz w:val="24"/>
          <w:szCs w:val="23"/>
        </w:rPr>
        <w:instrText xml:space="preserve"> TOC \f  \* MERGEFORMAT </w:instrText>
      </w:r>
      <w:r w:rsidRPr="00D96603">
        <w:rPr>
          <w:sz w:val="24"/>
          <w:szCs w:val="23"/>
        </w:rPr>
        <w:fldChar w:fldCharType="separate"/>
      </w:r>
      <w:r w:rsidRPr="00D96603" w:rsidR="00D96603">
        <w:rPr>
          <w:noProof/>
          <w:sz w:val="24"/>
          <w:szCs w:val="23"/>
        </w:rPr>
        <w:t>1.</w:t>
      </w:r>
      <w:r w:rsidRPr="00D96603" w:rsidR="00D96603">
        <w:rPr>
          <w:rFonts w:asciiTheme="minorHAnsi" w:hAnsiTheme="minorHAnsi" w:eastAsiaTheme="minorEastAsia" w:cstheme="minorBidi"/>
          <w:noProof/>
          <w:sz w:val="24"/>
          <w:szCs w:val="23"/>
        </w:rPr>
        <w:tab/>
      </w:r>
      <w:r w:rsidRPr="00D96603" w:rsidR="00D96603">
        <w:rPr>
          <w:noProof/>
          <w:sz w:val="24"/>
          <w:szCs w:val="23"/>
        </w:rPr>
        <w:t>Identification of the Information Collection</w:t>
      </w:r>
      <w:r w:rsidRPr="00D96603" w:rsidR="00D96603">
        <w:rPr>
          <w:noProof/>
          <w:sz w:val="24"/>
          <w:szCs w:val="23"/>
        </w:rPr>
        <w:tab/>
      </w:r>
      <w:r w:rsidRPr="00D96603" w:rsidR="00D96603">
        <w:rPr>
          <w:noProof/>
          <w:sz w:val="24"/>
          <w:szCs w:val="23"/>
        </w:rPr>
        <w:fldChar w:fldCharType="begin"/>
      </w:r>
      <w:r w:rsidRPr="00D96603" w:rsidR="00D96603">
        <w:rPr>
          <w:noProof/>
          <w:sz w:val="24"/>
          <w:szCs w:val="23"/>
        </w:rPr>
        <w:instrText xml:space="preserve"> PAGEREF _Toc511713500 \h </w:instrText>
      </w:r>
      <w:r w:rsidRPr="00D96603" w:rsidR="00D96603">
        <w:rPr>
          <w:noProof/>
          <w:sz w:val="24"/>
          <w:szCs w:val="23"/>
        </w:rPr>
      </w:r>
      <w:r w:rsidRPr="00D96603" w:rsidR="00D96603">
        <w:rPr>
          <w:noProof/>
          <w:sz w:val="24"/>
          <w:szCs w:val="23"/>
        </w:rPr>
        <w:fldChar w:fldCharType="separate"/>
      </w:r>
      <w:r w:rsidR="00284546">
        <w:rPr>
          <w:noProof/>
          <w:sz w:val="24"/>
          <w:szCs w:val="23"/>
        </w:rPr>
        <w:t>1</w:t>
      </w:r>
      <w:r w:rsidRPr="00D96603" w:rsidR="00D96603">
        <w:rPr>
          <w:noProof/>
          <w:sz w:val="24"/>
          <w:szCs w:val="23"/>
        </w:rPr>
        <w:fldChar w:fldCharType="end"/>
      </w:r>
    </w:p>
    <w:p w:rsidRPr="00D96603" w:rsidR="00D96603" w:rsidRDefault="00D96603" w14:paraId="0DF8071F" w14:textId="093481D9">
      <w:pPr>
        <w:pStyle w:val="TOC2"/>
        <w:rPr>
          <w:rFonts w:asciiTheme="minorHAnsi" w:hAnsiTheme="minorHAnsi" w:eastAsiaTheme="minorEastAsia" w:cstheme="minorBidi"/>
          <w:noProof/>
          <w:sz w:val="24"/>
          <w:szCs w:val="23"/>
        </w:rPr>
      </w:pPr>
      <w:r w:rsidRPr="00D96603">
        <w:rPr>
          <w:noProof/>
          <w:sz w:val="24"/>
          <w:szCs w:val="23"/>
        </w:rPr>
        <w:t>1(a)</w:t>
      </w:r>
      <w:r w:rsidRPr="00D96603">
        <w:rPr>
          <w:rFonts w:asciiTheme="minorHAnsi" w:hAnsiTheme="minorHAnsi" w:eastAsiaTheme="minorEastAsia" w:cstheme="minorBidi"/>
          <w:noProof/>
          <w:sz w:val="24"/>
          <w:szCs w:val="23"/>
        </w:rPr>
        <w:tab/>
      </w:r>
      <w:r w:rsidRPr="00D96603">
        <w:rPr>
          <w:noProof/>
          <w:sz w:val="24"/>
          <w:szCs w:val="23"/>
        </w:rPr>
        <w:t>Title and Number of the Information Collection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_Toc511713501 \h </w:instrText>
      </w:r>
      <w:r w:rsidRPr="00D96603">
        <w:rPr>
          <w:noProof/>
          <w:sz w:val="24"/>
          <w:szCs w:val="23"/>
        </w:rPr>
      </w:r>
      <w:r w:rsidRPr="00D96603">
        <w:rPr>
          <w:noProof/>
          <w:sz w:val="24"/>
          <w:szCs w:val="23"/>
        </w:rPr>
        <w:fldChar w:fldCharType="separate"/>
      </w:r>
      <w:r w:rsidR="00284546">
        <w:rPr>
          <w:noProof/>
          <w:sz w:val="24"/>
          <w:szCs w:val="23"/>
        </w:rPr>
        <w:t>1</w:t>
      </w:r>
      <w:r w:rsidRPr="00D96603">
        <w:rPr>
          <w:noProof/>
          <w:sz w:val="24"/>
          <w:szCs w:val="23"/>
        </w:rPr>
        <w:fldChar w:fldCharType="end"/>
      </w:r>
    </w:p>
    <w:p w:rsidRPr="00D96603" w:rsidR="00D96603" w:rsidRDefault="00D96603" w14:paraId="7F35F92A" w14:textId="6FE44B7F">
      <w:pPr>
        <w:pStyle w:val="TOC2"/>
        <w:rPr>
          <w:rFonts w:asciiTheme="minorHAnsi" w:hAnsiTheme="minorHAnsi" w:eastAsiaTheme="minorEastAsia" w:cstheme="minorBidi"/>
          <w:noProof/>
          <w:sz w:val="24"/>
          <w:szCs w:val="23"/>
        </w:rPr>
      </w:pPr>
      <w:r w:rsidRPr="00D96603">
        <w:rPr>
          <w:noProof/>
          <w:sz w:val="24"/>
          <w:szCs w:val="23"/>
        </w:rPr>
        <w:t>1(b)</w:t>
      </w:r>
      <w:r w:rsidRPr="00D96603">
        <w:rPr>
          <w:rFonts w:asciiTheme="minorHAnsi" w:hAnsiTheme="minorHAnsi" w:eastAsiaTheme="minorEastAsia" w:cstheme="minorBidi"/>
          <w:noProof/>
          <w:sz w:val="24"/>
          <w:szCs w:val="23"/>
        </w:rPr>
        <w:tab/>
      </w:r>
      <w:r w:rsidRPr="00D96603">
        <w:rPr>
          <w:noProof/>
          <w:sz w:val="24"/>
          <w:szCs w:val="23"/>
        </w:rPr>
        <w:t>Short Characterization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_Toc511713502 \h </w:instrText>
      </w:r>
      <w:r w:rsidRPr="00D96603">
        <w:rPr>
          <w:noProof/>
          <w:sz w:val="24"/>
          <w:szCs w:val="23"/>
        </w:rPr>
      </w:r>
      <w:r w:rsidRPr="00D96603">
        <w:rPr>
          <w:noProof/>
          <w:sz w:val="24"/>
          <w:szCs w:val="23"/>
        </w:rPr>
        <w:fldChar w:fldCharType="separate"/>
      </w:r>
      <w:r w:rsidR="00284546">
        <w:rPr>
          <w:noProof/>
          <w:sz w:val="24"/>
          <w:szCs w:val="23"/>
        </w:rPr>
        <w:t>1</w:t>
      </w:r>
      <w:r w:rsidRPr="00D96603">
        <w:rPr>
          <w:noProof/>
          <w:sz w:val="24"/>
          <w:szCs w:val="23"/>
        </w:rPr>
        <w:fldChar w:fldCharType="end"/>
      </w:r>
    </w:p>
    <w:p w:rsidRPr="00D96603" w:rsidR="00D96603" w:rsidRDefault="00D96603" w14:paraId="54A4B658" w14:textId="0CCABCFC">
      <w:pPr>
        <w:pStyle w:val="TOC1"/>
        <w:tabs>
          <w:tab w:val="left" w:pos="400"/>
          <w:tab w:val="right" w:leader="dot" w:pos="9350"/>
        </w:tabs>
        <w:rPr>
          <w:rFonts w:asciiTheme="minorHAnsi" w:hAnsiTheme="minorHAnsi" w:eastAsiaTheme="minorEastAsia" w:cstheme="minorBidi"/>
          <w:noProof/>
          <w:sz w:val="24"/>
          <w:szCs w:val="23"/>
        </w:rPr>
      </w:pPr>
      <w:r w:rsidRPr="00D96603">
        <w:rPr>
          <w:noProof/>
          <w:sz w:val="24"/>
          <w:szCs w:val="23"/>
        </w:rPr>
        <w:t>2.</w:t>
      </w:r>
      <w:r w:rsidRPr="00D96603">
        <w:rPr>
          <w:rFonts w:asciiTheme="minorHAnsi" w:hAnsiTheme="minorHAnsi" w:eastAsiaTheme="minorEastAsia" w:cstheme="minorBidi"/>
          <w:noProof/>
          <w:sz w:val="24"/>
          <w:szCs w:val="23"/>
        </w:rPr>
        <w:tab/>
      </w:r>
      <w:r w:rsidRPr="00D96603">
        <w:rPr>
          <w:noProof/>
          <w:sz w:val="24"/>
          <w:szCs w:val="23"/>
        </w:rPr>
        <w:t>Need For and Use of the Collection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_Toc511713503 \h </w:instrText>
      </w:r>
      <w:r w:rsidRPr="00D96603">
        <w:rPr>
          <w:noProof/>
          <w:sz w:val="24"/>
          <w:szCs w:val="23"/>
        </w:rPr>
      </w:r>
      <w:r w:rsidRPr="00D96603">
        <w:rPr>
          <w:noProof/>
          <w:sz w:val="24"/>
          <w:szCs w:val="23"/>
        </w:rPr>
        <w:fldChar w:fldCharType="separate"/>
      </w:r>
      <w:r w:rsidR="00284546">
        <w:rPr>
          <w:noProof/>
          <w:sz w:val="24"/>
          <w:szCs w:val="23"/>
        </w:rPr>
        <w:t>3</w:t>
      </w:r>
      <w:r w:rsidRPr="00D96603">
        <w:rPr>
          <w:noProof/>
          <w:sz w:val="24"/>
          <w:szCs w:val="23"/>
        </w:rPr>
        <w:fldChar w:fldCharType="end"/>
      </w:r>
    </w:p>
    <w:p w:rsidRPr="00D96603" w:rsidR="00D96603" w:rsidRDefault="00D96603" w14:paraId="4DF431FF" w14:textId="787C1287">
      <w:pPr>
        <w:pStyle w:val="TOC2"/>
        <w:rPr>
          <w:rFonts w:asciiTheme="minorHAnsi" w:hAnsiTheme="minorHAnsi" w:eastAsiaTheme="minorEastAsia" w:cstheme="minorBidi"/>
          <w:noProof/>
          <w:sz w:val="24"/>
          <w:szCs w:val="23"/>
        </w:rPr>
      </w:pPr>
      <w:r w:rsidRPr="00D96603">
        <w:rPr>
          <w:noProof/>
          <w:sz w:val="24"/>
          <w:szCs w:val="23"/>
        </w:rPr>
        <w:t>2(a)</w:t>
      </w:r>
      <w:r w:rsidRPr="00D96603">
        <w:rPr>
          <w:rFonts w:asciiTheme="minorHAnsi" w:hAnsiTheme="minorHAnsi" w:eastAsiaTheme="minorEastAsia" w:cstheme="minorBidi"/>
          <w:noProof/>
          <w:sz w:val="24"/>
          <w:szCs w:val="23"/>
        </w:rPr>
        <w:tab/>
      </w:r>
      <w:r w:rsidRPr="00D96603">
        <w:rPr>
          <w:noProof/>
          <w:sz w:val="24"/>
          <w:szCs w:val="23"/>
        </w:rPr>
        <w:t>Need/Authority for the Collection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_Toc511713504 \h </w:instrText>
      </w:r>
      <w:r w:rsidRPr="00D96603">
        <w:rPr>
          <w:noProof/>
          <w:sz w:val="24"/>
          <w:szCs w:val="23"/>
        </w:rPr>
      </w:r>
      <w:r w:rsidRPr="00D96603">
        <w:rPr>
          <w:noProof/>
          <w:sz w:val="24"/>
          <w:szCs w:val="23"/>
        </w:rPr>
        <w:fldChar w:fldCharType="separate"/>
      </w:r>
      <w:r w:rsidR="00284546">
        <w:rPr>
          <w:noProof/>
          <w:sz w:val="24"/>
          <w:szCs w:val="23"/>
        </w:rPr>
        <w:t>3</w:t>
      </w:r>
      <w:r w:rsidRPr="00D96603">
        <w:rPr>
          <w:noProof/>
          <w:sz w:val="24"/>
          <w:szCs w:val="23"/>
        </w:rPr>
        <w:fldChar w:fldCharType="end"/>
      </w:r>
    </w:p>
    <w:p w:rsidRPr="00D96603" w:rsidR="00D96603" w:rsidRDefault="00D96603" w14:paraId="2C2EF049" w14:textId="02885721">
      <w:pPr>
        <w:pStyle w:val="TOC2"/>
        <w:rPr>
          <w:rFonts w:asciiTheme="minorHAnsi" w:hAnsiTheme="minorHAnsi" w:eastAsiaTheme="minorEastAsia" w:cstheme="minorBidi"/>
          <w:noProof/>
          <w:sz w:val="24"/>
          <w:szCs w:val="23"/>
        </w:rPr>
      </w:pPr>
      <w:r w:rsidRPr="00D96603">
        <w:rPr>
          <w:noProof/>
          <w:sz w:val="24"/>
          <w:szCs w:val="23"/>
        </w:rPr>
        <w:t>2(b)</w:t>
      </w:r>
      <w:r w:rsidRPr="00D96603">
        <w:rPr>
          <w:rFonts w:asciiTheme="minorHAnsi" w:hAnsiTheme="minorHAnsi" w:eastAsiaTheme="minorEastAsia" w:cstheme="minorBidi"/>
          <w:noProof/>
          <w:sz w:val="24"/>
          <w:szCs w:val="23"/>
        </w:rPr>
        <w:tab/>
      </w:r>
      <w:r w:rsidRPr="00D96603">
        <w:rPr>
          <w:noProof/>
          <w:sz w:val="24"/>
          <w:szCs w:val="23"/>
        </w:rPr>
        <w:t>Practical Utility/Users of the Data</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_Toc511713505 \h </w:instrText>
      </w:r>
      <w:r w:rsidRPr="00D96603">
        <w:rPr>
          <w:noProof/>
          <w:sz w:val="24"/>
          <w:szCs w:val="23"/>
        </w:rPr>
      </w:r>
      <w:r w:rsidRPr="00D96603">
        <w:rPr>
          <w:noProof/>
          <w:sz w:val="24"/>
          <w:szCs w:val="23"/>
        </w:rPr>
        <w:fldChar w:fldCharType="separate"/>
      </w:r>
      <w:r w:rsidR="00284546">
        <w:rPr>
          <w:noProof/>
          <w:sz w:val="24"/>
          <w:szCs w:val="23"/>
        </w:rPr>
        <w:t>6</w:t>
      </w:r>
      <w:r w:rsidRPr="00D96603">
        <w:rPr>
          <w:noProof/>
          <w:sz w:val="24"/>
          <w:szCs w:val="23"/>
        </w:rPr>
        <w:fldChar w:fldCharType="end"/>
      </w:r>
    </w:p>
    <w:p w:rsidRPr="00D96603" w:rsidR="00D96603" w:rsidRDefault="00D96603" w14:paraId="1FC4E289" w14:textId="1A982613">
      <w:pPr>
        <w:pStyle w:val="TOC1"/>
        <w:tabs>
          <w:tab w:val="left" w:pos="400"/>
          <w:tab w:val="right" w:leader="dot" w:pos="9350"/>
        </w:tabs>
        <w:rPr>
          <w:rFonts w:asciiTheme="minorHAnsi" w:hAnsiTheme="minorHAnsi" w:eastAsiaTheme="minorEastAsia" w:cstheme="minorBidi"/>
          <w:noProof/>
          <w:sz w:val="24"/>
          <w:szCs w:val="23"/>
        </w:rPr>
      </w:pPr>
      <w:r w:rsidRPr="00D96603">
        <w:rPr>
          <w:noProof/>
          <w:sz w:val="24"/>
          <w:szCs w:val="23"/>
        </w:rPr>
        <w:t>3.</w:t>
      </w:r>
      <w:r w:rsidRPr="00D96603">
        <w:rPr>
          <w:rFonts w:asciiTheme="minorHAnsi" w:hAnsiTheme="minorHAnsi" w:eastAsiaTheme="minorEastAsia" w:cstheme="minorBidi"/>
          <w:noProof/>
          <w:sz w:val="24"/>
          <w:szCs w:val="23"/>
        </w:rPr>
        <w:tab/>
      </w:r>
      <w:r w:rsidRPr="00D96603">
        <w:rPr>
          <w:noProof/>
          <w:sz w:val="24"/>
          <w:szCs w:val="23"/>
        </w:rPr>
        <w:t>Nonduplication, Consultations, and Other Collection Criteria</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_Toc511713506 \h </w:instrText>
      </w:r>
      <w:r w:rsidRPr="00D96603">
        <w:rPr>
          <w:noProof/>
          <w:sz w:val="24"/>
          <w:szCs w:val="23"/>
        </w:rPr>
      </w:r>
      <w:r w:rsidRPr="00D96603">
        <w:rPr>
          <w:noProof/>
          <w:sz w:val="24"/>
          <w:szCs w:val="23"/>
        </w:rPr>
        <w:fldChar w:fldCharType="separate"/>
      </w:r>
      <w:r w:rsidR="00284546">
        <w:rPr>
          <w:noProof/>
          <w:sz w:val="24"/>
          <w:szCs w:val="23"/>
        </w:rPr>
        <w:t>10</w:t>
      </w:r>
      <w:r w:rsidRPr="00D96603">
        <w:rPr>
          <w:noProof/>
          <w:sz w:val="24"/>
          <w:szCs w:val="23"/>
        </w:rPr>
        <w:fldChar w:fldCharType="end"/>
      </w:r>
    </w:p>
    <w:p w:rsidRPr="00D96603" w:rsidR="00D96603" w:rsidRDefault="00D96603" w14:paraId="5F335638" w14:textId="50CA6D5B">
      <w:pPr>
        <w:pStyle w:val="TOC2"/>
        <w:rPr>
          <w:rFonts w:asciiTheme="minorHAnsi" w:hAnsiTheme="minorHAnsi" w:eastAsiaTheme="minorEastAsia" w:cstheme="minorBidi"/>
          <w:noProof/>
          <w:sz w:val="24"/>
          <w:szCs w:val="23"/>
        </w:rPr>
      </w:pPr>
      <w:r w:rsidRPr="00D96603">
        <w:rPr>
          <w:noProof/>
          <w:sz w:val="24"/>
          <w:szCs w:val="23"/>
        </w:rPr>
        <w:t>3(a)</w:t>
      </w:r>
      <w:r w:rsidRPr="00D96603">
        <w:rPr>
          <w:rFonts w:asciiTheme="minorHAnsi" w:hAnsiTheme="minorHAnsi" w:eastAsiaTheme="minorEastAsia" w:cstheme="minorBidi"/>
          <w:noProof/>
          <w:sz w:val="24"/>
          <w:szCs w:val="23"/>
        </w:rPr>
        <w:tab/>
      </w:r>
      <w:r w:rsidRPr="00D96603">
        <w:rPr>
          <w:noProof/>
          <w:sz w:val="24"/>
          <w:szCs w:val="23"/>
        </w:rPr>
        <w:t>Nonduplication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_Toc511713507 \h </w:instrText>
      </w:r>
      <w:r w:rsidRPr="00D96603">
        <w:rPr>
          <w:noProof/>
          <w:sz w:val="24"/>
          <w:szCs w:val="23"/>
        </w:rPr>
      </w:r>
      <w:r w:rsidRPr="00D96603">
        <w:rPr>
          <w:noProof/>
          <w:sz w:val="24"/>
          <w:szCs w:val="23"/>
        </w:rPr>
        <w:fldChar w:fldCharType="separate"/>
      </w:r>
      <w:r w:rsidR="00284546">
        <w:rPr>
          <w:noProof/>
          <w:sz w:val="24"/>
          <w:szCs w:val="23"/>
        </w:rPr>
        <w:t>10</w:t>
      </w:r>
      <w:r w:rsidRPr="00D96603">
        <w:rPr>
          <w:noProof/>
          <w:sz w:val="24"/>
          <w:szCs w:val="23"/>
        </w:rPr>
        <w:fldChar w:fldCharType="end"/>
      </w:r>
    </w:p>
    <w:p w:rsidRPr="00D96603" w:rsidR="00D96603" w:rsidRDefault="00D96603" w14:paraId="4F7F81E0" w14:textId="155738F9">
      <w:pPr>
        <w:pStyle w:val="TOC2"/>
        <w:rPr>
          <w:rFonts w:asciiTheme="minorHAnsi" w:hAnsiTheme="minorHAnsi" w:eastAsiaTheme="minorEastAsia" w:cstheme="minorBidi"/>
          <w:noProof/>
          <w:sz w:val="24"/>
          <w:szCs w:val="23"/>
        </w:rPr>
      </w:pPr>
      <w:r w:rsidRPr="00D96603">
        <w:rPr>
          <w:noProof/>
          <w:sz w:val="24"/>
          <w:szCs w:val="23"/>
        </w:rPr>
        <w:t>3(b)</w:t>
      </w:r>
      <w:r w:rsidRPr="00D96603">
        <w:rPr>
          <w:rFonts w:asciiTheme="minorHAnsi" w:hAnsiTheme="minorHAnsi" w:eastAsiaTheme="minorEastAsia" w:cstheme="minorBidi"/>
          <w:noProof/>
          <w:sz w:val="24"/>
          <w:szCs w:val="23"/>
        </w:rPr>
        <w:tab/>
      </w:r>
      <w:r w:rsidRPr="00D96603">
        <w:rPr>
          <w:noProof/>
          <w:sz w:val="24"/>
          <w:szCs w:val="23"/>
        </w:rPr>
        <w:t>Public Notice</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_Toc511713508 \h </w:instrText>
      </w:r>
      <w:r w:rsidRPr="00D96603">
        <w:rPr>
          <w:noProof/>
          <w:sz w:val="24"/>
          <w:szCs w:val="23"/>
        </w:rPr>
      </w:r>
      <w:r w:rsidRPr="00D96603">
        <w:rPr>
          <w:noProof/>
          <w:sz w:val="24"/>
          <w:szCs w:val="23"/>
        </w:rPr>
        <w:fldChar w:fldCharType="separate"/>
      </w:r>
      <w:r w:rsidR="00284546">
        <w:rPr>
          <w:noProof/>
          <w:sz w:val="24"/>
          <w:szCs w:val="23"/>
        </w:rPr>
        <w:t>11</w:t>
      </w:r>
      <w:r w:rsidRPr="00D96603">
        <w:rPr>
          <w:noProof/>
          <w:sz w:val="24"/>
          <w:szCs w:val="23"/>
        </w:rPr>
        <w:fldChar w:fldCharType="end"/>
      </w:r>
    </w:p>
    <w:p w:rsidRPr="00D96603" w:rsidR="00D96603" w:rsidRDefault="00D96603" w14:paraId="69A65EEA" w14:textId="57F9AD7A">
      <w:pPr>
        <w:pStyle w:val="TOC2"/>
        <w:rPr>
          <w:rFonts w:asciiTheme="minorHAnsi" w:hAnsiTheme="minorHAnsi" w:eastAsiaTheme="minorEastAsia" w:cstheme="minorBidi"/>
          <w:noProof/>
          <w:sz w:val="24"/>
          <w:szCs w:val="23"/>
        </w:rPr>
      </w:pPr>
      <w:r w:rsidRPr="00D96603">
        <w:rPr>
          <w:noProof/>
          <w:sz w:val="24"/>
          <w:szCs w:val="23"/>
        </w:rPr>
        <w:t>3(c)</w:t>
      </w:r>
      <w:r w:rsidRPr="00D96603">
        <w:rPr>
          <w:rFonts w:asciiTheme="minorHAnsi" w:hAnsiTheme="minorHAnsi" w:eastAsiaTheme="minorEastAsia" w:cstheme="minorBidi"/>
          <w:noProof/>
          <w:sz w:val="24"/>
          <w:szCs w:val="23"/>
        </w:rPr>
        <w:tab/>
      </w:r>
      <w:r w:rsidRPr="00D96603">
        <w:rPr>
          <w:noProof/>
          <w:sz w:val="24"/>
          <w:szCs w:val="23"/>
        </w:rPr>
        <w:t>Consultations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_Toc511713509 \h </w:instrText>
      </w:r>
      <w:r w:rsidRPr="00D96603">
        <w:rPr>
          <w:noProof/>
          <w:sz w:val="24"/>
          <w:szCs w:val="23"/>
        </w:rPr>
      </w:r>
      <w:r w:rsidRPr="00D96603">
        <w:rPr>
          <w:noProof/>
          <w:sz w:val="24"/>
          <w:szCs w:val="23"/>
        </w:rPr>
        <w:fldChar w:fldCharType="separate"/>
      </w:r>
      <w:r w:rsidR="00284546">
        <w:rPr>
          <w:noProof/>
          <w:sz w:val="24"/>
          <w:szCs w:val="23"/>
        </w:rPr>
        <w:t>11</w:t>
      </w:r>
      <w:r w:rsidRPr="00D96603">
        <w:rPr>
          <w:noProof/>
          <w:sz w:val="24"/>
          <w:szCs w:val="23"/>
        </w:rPr>
        <w:fldChar w:fldCharType="end"/>
      </w:r>
    </w:p>
    <w:p w:rsidRPr="00D96603" w:rsidR="00D96603" w:rsidRDefault="00D96603" w14:paraId="2E943078" w14:textId="11F065E2">
      <w:pPr>
        <w:pStyle w:val="TOC2"/>
        <w:rPr>
          <w:rFonts w:asciiTheme="minorHAnsi" w:hAnsiTheme="minorHAnsi" w:eastAsiaTheme="minorEastAsia" w:cstheme="minorBidi"/>
          <w:noProof/>
          <w:sz w:val="24"/>
          <w:szCs w:val="23"/>
        </w:rPr>
      </w:pPr>
      <w:r w:rsidRPr="00D96603">
        <w:rPr>
          <w:noProof/>
          <w:sz w:val="24"/>
          <w:szCs w:val="23"/>
        </w:rPr>
        <w:t>3(d)</w:t>
      </w:r>
      <w:r w:rsidRPr="00D96603">
        <w:rPr>
          <w:rFonts w:asciiTheme="minorHAnsi" w:hAnsiTheme="minorHAnsi" w:eastAsiaTheme="minorEastAsia" w:cstheme="minorBidi"/>
          <w:noProof/>
          <w:sz w:val="24"/>
          <w:szCs w:val="23"/>
        </w:rPr>
        <w:tab/>
      </w:r>
      <w:r w:rsidRPr="00D96603">
        <w:rPr>
          <w:noProof/>
          <w:sz w:val="24"/>
          <w:szCs w:val="23"/>
        </w:rPr>
        <w:t>Effects of Less Frequent Collection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_Toc511713510 \h </w:instrText>
      </w:r>
      <w:r w:rsidRPr="00D96603">
        <w:rPr>
          <w:noProof/>
          <w:sz w:val="24"/>
          <w:szCs w:val="23"/>
        </w:rPr>
      </w:r>
      <w:r w:rsidRPr="00D96603">
        <w:rPr>
          <w:noProof/>
          <w:sz w:val="24"/>
          <w:szCs w:val="23"/>
        </w:rPr>
        <w:fldChar w:fldCharType="separate"/>
      </w:r>
      <w:r w:rsidR="00284546">
        <w:rPr>
          <w:noProof/>
          <w:sz w:val="24"/>
          <w:szCs w:val="23"/>
        </w:rPr>
        <w:t>11</w:t>
      </w:r>
      <w:r w:rsidRPr="00D96603">
        <w:rPr>
          <w:noProof/>
          <w:sz w:val="24"/>
          <w:szCs w:val="23"/>
        </w:rPr>
        <w:fldChar w:fldCharType="end"/>
      </w:r>
    </w:p>
    <w:p w:rsidRPr="00D96603" w:rsidR="00D96603" w:rsidRDefault="00D96603" w14:paraId="06142FEF" w14:textId="53BDED14">
      <w:pPr>
        <w:pStyle w:val="TOC2"/>
        <w:rPr>
          <w:rFonts w:asciiTheme="minorHAnsi" w:hAnsiTheme="minorHAnsi" w:eastAsiaTheme="minorEastAsia" w:cstheme="minorBidi"/>
          <w:noProof/>
          <w:sz w:val="24"/>
          <w:szCs w:val="23"/>
        </w:rPr>
      </w:pPr>
      <w:r w:rsidRPr="00D96603">
        <w:rPr>
          <w:noProof/>
          <w:sz w:val="24"/>
          <w:szCs w:val="23"/>
        </w:rPr>
        <w:t>3(e)</w:t>
      </w:r>
      <w:r w:rsidRPr="00D96603">
        <w:rPr>
          <w:rFonts w:asciiTheme="minorHAnsi" w:hAnsiTheme="minorHAnsi" w:eastAsiaTheme="minorEastAsia" w:cstheme="minorBidi"/>
          <w:noProof/>
          <w:sz w:val="24"/>
          <w:szCs w:val="23"/>
        </w:rPr>
        <w:tab/>
      </w:r>
      <w:r w:rsidRPr="00D96603">
        <w:rPr>
          <w:noProof/>
          <w:sz w:val="24"/>
          <w:szCs w:val="23"/>
        </w:rPr>
        <w:t>General Guidelines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_Toc511713511 \h </w:instrText>
      </w:r>
      <w:r w:rsidRPr="00D96603">
        <w:rPr>
          <w:noProof/>
          <w:sz w:val="24"/>
          <w:szCs w:val="23"/>
        </w:rPr>
      </w:r>
      <w:r w:rsidRPr="00D96603">
        <w:rPr>
          <w:noProof/>
          <w:sz w:val="24"/>
          <w:szCs w:val="23"/>
        </w:rPr>
        <w:fldChar w:fldCharType="separate"/>
      </w:r>
      <w:r w:rsidR="00284546">
        <w:rPr>
          <w:noProof/>
          <w:sz w:val="24"/>
          <w:szCs w:val="23"/>
        </w:rPr>
        <w:t>12</w:t>
      </w:r>
      <w:r w:rsidRPr="00D96603">
        <w:rPr>
          <w:noProof/>
          <w:sz w:val="24"/>
          <w:szCs w:val="23"/>
        </w:rPr>
        <w:fldChar w:fldCharType="end"/>
      </w:r>
    </w:p>
    <w:p w:rsidRPr="00D96603" w:rsidR="00D96603" w:rsidRDefault="00D96603" w14:paraId="4F7F8A1D" w14:textId="15F29E0B">
      <w:pPr>
        <w:pStyle w:val="TOC2"/>
        <w:rPr>
          <w:rFonts w:asciiTheme="minorHAnsi" w:hAnsiTheme="minorHAnsi" w:eastAsiaTheme="minorEastAsia" w:cstheme="minorBidi"/>
          <w:noProof/>
          <w:sz w:val="24"/>
          <w:szCs w:val="23"/>
        </w:rPr>
      </w:pPr>
      <w:r w:rsidRPr="00D96603">
        <w:rPr>
          <w:noProof/>
          <w:sz w:val="24"/>
          <w:szCs w:val="23"/>
        </w:rPr>
        <w:t>3(f)</w:t>
      </w:r>
      <w:r w:rsidRPr="00D96603">
        <w:rPr>
          <w:rFonts w:asciiTheme="minorHAnsi" w:hAnsiTheme="minorHAnsi" w:eastAsiaTheme="minorEastAsia" w:cstheme="minorBidi"/>
          <w:noProof/>
          <w:sz w:val="24"/>
          <w:szCs w:val="23"/>
        </w:rPr>
        <w:tab/>
      </w:r>
      <w:r w:rsidRPr="00D96603">
        <w:rPr>
          <w:noProof/>
          <w:sz w:val="24"/>
          <w:szCs w:val="23"/>
        </w:rPr>
        <w:t>Confidentiality</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_Toc511713512 \h </w:instrText>
      </w:r>
      <w:r w:rsidRPr="00D96603">
        <w:rPr>
          <w:noProof/>
          <w:sz w:val="24"/>
          <w:szCs w:val="23"/>
        </w:rPr>
      </w:r>
      <w:r w:rsidRPr="00D96603">
        <w:rPr>
          <w:noProof/>
          <w:sz w:val="24"/>
          <w:szCs w:val="23"/>
        </w:rPr>
        <w:fldChar w:fldCharType="separate"/>
      </w:r>
      <w:r w:rsidR="00284546">
        <w:rPr>
          <w:noProof/>
          <w:sz w:val="24"/>
          <w:szCs w:val="23"/>
        </w:rPr>
        <w:t>12</w:t>
      </w:r>
      <w:r w:rsidRPr="00D96603">
        <w:rPr>
          <w:noProof/>
          <w:sz w:val="24"/>
          <w:szCs w:val="23"/>
        </w:rPr>
        <w:fldChar w:fldCharType="end"/>
      </w:r>
    </w:p>
    <w:p w:rsidRPr="00D96603" w:rsidR="00D96603" w:rsidRDefault="00D96603" w14:paraId="6AE24D67" w14:textId="4D86ECEE">
      <w:pPr>
        <w:pStyle w:val="TOC2"/>
        <w:rPr>
          <w:rFonts w:asciiTheme="minorHAnsi" w:hAnsiTheme="minorHAnsi" w:eastAsiaTheme="minorEastAsia" w:cstheme="minorBidi"/>
          <w:noProof/>
          <w:sz w:val="24"/>
          <w:szCs w:val="23"/>
        </w:rPr>
      </w:pPr>
      <w:r w:rsidRPr="00D96603">
        <w:rPr>
          <w:noProof/>
          <w:sz w:val="24"/>
          <w:szCs w:val="23"/>
        </w:rPr>
        <w:t>3(g)</w:t>
      </w:r>
      <w:r w:rsidRPr="00D96603">
        <w:rPr>
          <w:rFonts w:asciiTheme="minorHAnsi" w:hAnsiTheme="minorHAnsi" w:eastAsiaTheme="minorEastAsia" w:cstheme="minorBidi"/>
          <w:noProof/>
          <w:sz w:val="24"/>
          <w:szCs w:val="23"/>
        </w:rPr>
        <w:tab/>
      </w:r>
      <w:r w:rsidRPr="00D96603">
        <w:rPr>
          <w:noProof/>
          <w:sz w:val="24"/>
          <w:szCs w:val="23"/>
        </w:rPr>
        <w:t>Sensitive Questions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_Toc511713513 \h </w:instrText>
      </w:r>
      <w:r w:rsidRPr="00D96603">
        <w:rPr>
          <w:noProof/>
          <w:sz w:val="24"/>
          <w:szCs w:val="23"/>
        </w:rPr>
      </w:r>
      <w:r w:rsidRPr="00D96603">
        <w:rPr>
          <w:noProof/>
          <w:sz w:val="24"/>
          <w:szCs w:val="23"/>
        </w:rPr>
        <w:fldChar w:fldCharType="separate"/>
      </w:r>
      <w:r w:rsidR="00284546">
        <w:rPr>
          <w:noProof/>
          <w:sz w:val="24"/>
          <w:szCs w:val="23"/>
        </w:rPr>
        <w:t>13</w:t>
      </w:r>
      <w:r w:rsidRPr="00D96603">
        <w:rPr>
          <w:noProof/>
          <w:sz w:val="24"/>
          <w:szCs w:val="23"/>
        </w:rPr>
        <w:fldChar w:fldCharType="end"/>
      </w:r>
    </w:p>
    <w:p w:rsidRPr="00D96603" w:rsidR="00D96603" w:rsidRDefault="00D96603" w14:paraId="06C06494" w14:textId="3E17002C">
      <w:pPr>
        <w:pStyle w:val="TOC1"/>
        <w:tabs>
          <w:tab w:val="left" w:pos="400"/>
          <w:tab w:val="right" w:leader="dot" w:pos="9350"/>
        </w:tabs>
        <w:rPr>
          <w:rFonts w:asciiTheme="minorHAnsi" w:hAnsiTheme="minorHAnsi" w:eastAsiaTheme="minorEastAsia" w:cstheme="minorBidi"/>
          <w:noProof/>
          <w:sz w:val="24"/>
          <w:szCs w:val="23"/>
        </w:rPr>
      </w:pPr>
      <w:r w:rsidRPr="00D96603">
        <w:rPr>
          <w:noProof/>
          <w:sz w:val="24"/>
          <w:szCs w:val="23"/>
        </w:rPr>
        <w:t>4.</w:t>
      </w:r>
      <w:r w:rsidRPr="00D96603">
        <w:rPr>
          <w:rFonts w:asciiTheme="minorHAnsi" w:hAnsiTheme="minorHAnsi" w:eastAsiaTheme="minorEastAsia" w:cstheme="minorBidi"/>
          <w:noProof/>
          <w:sz w:val="24"/>
          <w:szCs w:val="23"/>
        </w:rPr>
        <w:tab/>
      </w:r>
      <w:r w:rsidRPr="00D96603">
        <w:rPr>
          <w:noProof/>
          <w:sz w:val="24"/>
          <w:szCs w:val="23"/>
        </w:rPr>
        <w:t>Respondents and Information Requested</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_Toc511713514 \h </w:instrText>
      </w:r>
      <w:r w:rsidRPr="00D96603">
        <w:rPr>
          <w:noProof/>
          <w:sz w:val="24"/>
          <w:szCs w:val="23"/>
        </w:rPr>
      </w:r>
      <w:r w:rsidRPr="00D96603">
        <w:rPr>
          <w:noProof/>
          <w:sz w:val="24"/>
          <w:szCs w:val="23"/>
        </w:rPr>
        <w:fldChar w:fldCharType="separate"/>
      </w:r>
      <w:r w:rsidR="00284546">
        <w:rPr>
          <w:noProof/>
          <w:sz w:val="24"/>
          <w:szCs w:val="23"/>
        </w:rPr>
        <w:t>14</w:t>
      </w:r>
      <w:r w:rsidRPr="00D96603">
        <w:rPr>
          <w:noProof/>
          <w:sz w:val="24"/>
          <w:szCs w:val="23"/>
        </w:rPr>
        <w:fldChar w:fldCharType="end"/>
      </w:r>
    </w:p>
    <w:p w:rsidRPr="00D96603" w:rsidR="00D96603" w:rsidRDefault="00D96603" w14:paraId="1DDF347F" w14:textId="0D9EAE03">
      <w:pPr>
        <w:pStyle w:val="TOC2"/>
        <w:rPr>
          <w:rFonts w:asciiTheme="minorHAnsi" w:hAnsiTheme="minorHAnsi" w:eastAsiaTheme="minorEastAsia" w:cstheme="minorBidi"/>
          <w:noProof/>
          <w:sz w:val="24"/>
          <w:szCs w:val="23"/>
        </w:rPr>
      </w:pPr>
      <w:r w:rsidRPr="00D96603">
        <w:rPr>
          <w:noProof/>
          <w:sz w:val="24"/>
          <w:szCs w:val="23"/>
        </w:rPr>
        <w:t>4(a)</w:t>
      </w:r>
      <w:r w:rsidRPr="00D96603">
        <w:rPr>
          <w:rFonts w:asciiTheme="minorHAnsi" w:hAnsiTheme="minorHAnsi" w:eastAsiaTheme="minorEastAsia" w:cstheme="minorBidi"/>
          <w:noProof/>
          <w:sz w:val="24"/>
          <w:szCs w:val="23"/>
        </w:rPr>
        <w:tab/>
      </w:r>
      <w:r w:rsidRPr="00D96603">
        <w:rPr>
          <w:noProof/>
          <w:sz w:val="24"/>
          <w:szCs w:val="23"/>
        </w:rPr>
        <w:t>Respondents/NAICS Codes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_Toc511713515 \h </w:instrText>
      </w:r>
      <w:r w:rsidRPr="00D96603">
        <w:rPr>
          <w:noProof/>
          <w:sz w:val="24"/>
          <w:szCs w:val="23"/>
        </w:rPr>
      </w:r>
      <w:r w:rsidRPr="00D96603">
        <w:rPr>
          <w:noProof/>
          <w:sz w:val="24"/>
          <w:szCs w:val="23"/>
        </w:rPr>
        <w:fldChar w:fldCharType="separate"/>
      </w:r>
      <w:r w:rsidR="00284546">
        <w:rPr>
          <w:noProof/>
          <w:sz w:val="24"/>
          <w:szCs w:val="23"/>
        </w:rPr>
        <w:t>14</w:t>
      </w:r>
      <w:r w:rsidRPr="00D96603">
        <w:rPr>
          <w:noProof/>
          <w:sz w:val="24"/>
          <w:szCs w:val="23"/>
        </w:rPr>
        <w:fldChar w:fldCharType="end"/>
      </w:r>
    </w:p>
    <w:p w:rsidRPr="00D96603" w:rsidR="00D96603" w:rsidRDefault="00D96603" w14:paraId="16ED9E7E" w14:textId="0BB6E291">
      <w:pPr>
        <w:pStyle w:val="TOC2"/>
        <w:rPr>
          <w:rFonts w:asciiTheme="minorHAnsi" w:hAnsiTheme="minorHAnsi" w:eastAsiaTheme="minorEastAsia" w:cstheme="minorBidi"/>
          <w:noProof/>
          <w:sz w:val="24"/>
          <w:szCs w:val="23"/>
        </w:rPr>
      </w:pPr>
      <w:r w:rsidRPr="00D96603">
        <w:rPr>
          <w:noProof/>
          <w:sz w:val="24"/>
          <w:szCs w:val="23"/>
        </w:rPr>
        <w:t>4(b)</w:t>
      </w:r>
      <w:r w:rsidRPr="00D96603">
        <w:rPr>
          <w:rFonts w:asciiTheme="minorHAnsi" w:hAnsiTheme="minorHAnsi" w:eastAsiaTheme="minorEastAsia" w:cstheme="minorBidi"/>
          <w:noProof/>
          <w:sz w:val="24"/>
          <w:szCs w:val="23"/>
        </w:rPr>
        <w:tab/>
      </w:r>
      <w:r w:rsidRPr="00D96603">
        <w:rPr>
          <w:noProof/>
          <w:sz w:val="24"/>
          <w:szCs w:val="23"/>
        </w:rPr>
        <w:t>Information Requested</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_Toc511713516 \h </w:instrText>
      </w:r>
      <w:r w:rsidRPr="00D96603">
        <w:rPr>
          <w:noProof/>
          <w:sz w:val="24"/>
          <w:szCs w:val="23"/>
        </w:rPr>
      </w:r>
      <w:r w:rsidRPr="00D96603">
        <w:rPr>
          <w:noProof/>
          <w:sz w:val="24"/>
          <w:szCs w:val="23"/>
        </w:rPr>
        <w:fldChar w:fldCharType="separate"/>
      </w:r>
      <w:r w:rsidR="00284546">
        <w:rPr>
          <w:noProof/>
          <w:sz w:val="24"/>
          <w:szCs w:val="23"/>
        </w:rPr>
        <w:t>15</w:t>
      </w:r>
      <w:r w:rsidRPr="00D96603">
        <w:rPr>
          <w:noProof/>
          <w:sz w:val="24"/>
          <w:szCs w:val="23"/>
        </w:rPr>
        <w:fldChar w:fldCharType="end"/>
      </w:r>
    </w:p>
    <w:p w:rsidRPr="00D96603" w:rsidR="00D96603" w:rsidP="00D96603" w:rsidRDefault="00D96603" w14:paraId="34E5FDA6" w14:textId="6B149269">
      <w:pPr>
        <w:pStyle w:val="TOC1"/>
        <w:tabs>
          <w:tab w:val="left" w:pos="400"/>
          <w:tab w:val="right" w:leader="dot" w:pos="9350"/>
        </w:tabs>
        <w:ind w:left="360" w:hanging="360"/>
        <w:rPr>
          <w:rFonts w:asciiTheme="minorHAnsi" w:hAnsiTheme="minorHAnsi" w:eastAsiaTheme="minorEastAsia" w:cstheme="minorBidi"/>
          <w:noProof/>
          <w:sz w:val="24"/>
          <w:szCs w:val="23"/>
        </w:rPr>
      </w:pPr>
      <w:r w:rsidRPr="00D96603">
        <w:rPr>
          <w:noProof/>
          <w:sz w:val="24"/>
          <w:szCs w:val="23"/>
        </w:rPr>
        <w:t>5.</w:t>
      </w:r>
      <w:r w:rsidRPr="00D96603">
        <w:rPr>
          <w:rFonts w:asciiTheme="minorHAnsi" w:hAnsiTheme="minorHAnsi" w:eastAsiaTheme="minorEastAsia" w:cstheme="minorBidi"/>
          <w:noProof/>
          <w:sz w:val="24"/>
          <w:szCs w:val="23"/>
        </w:rPr>
        <w:tab/>
      </w:r>
      <w:r w:rsidRPr="00D96603">
        <w:rPr>
          <w:noProof/>
          <w:sz w:val="24"/>
          <w:szCs w:val="23"/>
        </w:rPr>
        <w:t>Information Collected:  EPA Activities, Collection Methodology, and Information Management</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_Toc511713517 \h </w:instrText>
      </w:r>
      <w:r w:rsidRPr="00D96603">
        <w:rPr>
          <w:noProof/>
          <w:sz w:val="24"/>
          <w:szCs w:val="23"/>
        </w:rPr>
      </w:r>
      <w:r w:rsidRPr="00D96603">
        <w:rPr>
          <w:noProof/>
          <w:sz w:val="24"/>
          <w:szCs w:val="23"/>
        </w:rPr>
        <w:fldChar w:fldCharType="separate"/>
      </w:r>
      <w:r w:rsidR="00284546">
        <w:rPr>
          <w:noProof/>
          <w:sz w:val="24"/>
          <w:szCs w:val="23"/>
        </w:rPr>
        <w:t>25</w:t>
      </w:r>
      <w:r w:rsidRPr="00D96603">
        <w:rPr>
          <w:noProof/>
          <w:sz w:val="24"/>
          <w:szCs w:val="23"/>
        </w:rPr>
        <w:fldChar w:fldCharType="end"/>
      </w:r>
    </w:p>
    <w:p w:rsidRPr="00D96603" w:rsidR="00D96603" w:rsidRDefault="00D96603" w14:paraId="764093C8" w14:textId="68B994B6">
      <w:pPr>
        <w:pStyle w:val="TOC2"/>
        <w:rPr>
          <w:rFonts w:asciiTheme="minorHAnsi" w:hAnsiTheme="minorHAnsi" w:eastAsiaTheme="minorEastAsia" w:cstheme="minorBidi"/>
          <w:noProof/>
          <w:sz w:val="24"/>
          <w:szCs w:val="23"/>
        </w:rPr>
      </w:pPr>
      <w:r w:rsidRPr="00D96603">
        <w:rPr>
          <w:noProof/>
          <w:sz w:val="24"/>
          <w:szCs w:val="23"/>
        </w:rPr>
        <w:t>5(a)</w:t>
      </w:r>
      <w:r w:rsidRPr="00D96603">
        <w:rPr>
          <w:rFonts w:asciiTheme="minorHAnsi" w:hAnsiTheme="minorHAnsi" w:eastAsiaTheme="minorEastAsia" w:cstheme="minorBidi"/>
          <w:noProof/>
          <w:sz w:val="24"/>
          <w:szCs w:val="23"/>
        </w:rPr>
        <w:tab/>
      </w:r>
      <w:r w:rsidRPr="008176C6" w:rsidR="008176C6">
        <w:rPr>
          <w:rFonts w:eastAsiaTheme="minorEastAsia"/>
          <w:noProof/>
          <w:sz w:val="24"/>
          <w:szCs w:val="23"/>
        </w:rPr>
        <w:t>Primacy</w:t>
      </w:r>
      <w:r w:rsidR="008176C6">
        <w:rPr>
          <w:rFonts w:asciiTheme="minorHAnsi" w:hAnsiTheme="minorHAnsi" w:eastAsiaTheme="minorEastAsia" w:cstheme="minorBidi"/>
          <w:noProof/>
          <w:sz w:val="24"/>
          <w:szCs w:val="23"/>
        </w:rPr>
        <w:t xml:space="preserve"> </w:t>
      </w:r>
      <w:r w:rsidRPr="00D96603">
        <w:rPr>
          <w:noProof/>
          <w:sz w:val="24"/>
          <w:szCs w:val="23"/>
        </w:rPr>
        <w:t>State and Agency Activities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_Toc511713518 \h </w:instrText>
      </w:r>
      <w:r w:rsidRPr="00D96603">
        <w:rPr>
          <w:noProof/>
          <w:sz w:val="24"/>
          <w:szCs w:val="23"/>
        </w:rPr>
      </w:r>
      <w:r w:rsidRPr="00D96603">
        <w:rPr>
          <w:noProof/>
          <w:sz w:val="24"/>
          <w:szCs w:val="23"/>
        </w:rPr>
        <w:fldChar w:fldCharType="separate"/>
      </w:r>
      <w:r w:rsidR="00284546">
        <w:rPr>
          <w:noProof/>
          <w:sz w:val="24"/>
          <w:szCs w:val="23"/>
        </w:rPr>
        <w:t>25</w:t>
      </w:r>
      <w:r w:rsidRPr="00D96603">
        <w:rPr>
          <w:noProof/>
          <w:sz w:val="24"/>
          <w:szCs w:val="23"/>
        </w:rPr>
        <w:fldChar w:fldCharType="end"/>
      </w:r>
    </w:p>
    <w:p w:rsidRPr="00D96603" w:rsidR="00D96603" w:rsidRDefault="00D96603" w14:paraId="26724EA0" w14:textId="16E78DB4">
      <w:pPr>
        <w:pStyle w:val="TOC2"/>
        <w:rPr>
          <w:rFonts w:asciiTheme="minorHAnsi" w:hAnsiTheme="minorHAnsi" w:eastAsiaTheme="minorEastAsia" w:cstheme="minorBidi"/>
          <w:noProof/>
          <w:sz w:val="24"/>
          <w:szCs w:val="23"/>
        </w:rPr>
      </w:pPr>
      <w:r w:rsidRPr="00D96603">
        <w:rPr>
          <w:noProof/>
          <w:sz w:val="24"/>
          <w:szCs w:val="23"/>
        </w:rPr>
        <w:t>5(b)</w:t>
      </w:r>
      <w:r w:rsidRPr="00D96603">
        <w:rPr>
          <w:rFonts w:asciiTheme="minorHAnsi" w:hAnsiTheme="minorHAnsi" w:eastAsiaTheme="minorEastAsia" w:cstheme="minorBidi"/>
          <w:noProof/>
          <w:sz w:val="24"/>
          <w:szCs w:val="23"/>
        </w:rPr>
        <w:tab/>
      </w:r>
      <w:r w:rsidRPr="00D96603">
        <w:rPr>
          <w:noProof/>
          <w:sz w:val="24"/>
          <w:szCs w:val="23"/>
        </w:rPr>
        <w:t>Collection Methodology and Management</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_Toc511713519 \h </w:instrText>
      </w:r>
      <w:r w:rsidRPr="00D96603">
        <w:rPr>
          <w:noProof/>
          <w:sz w:val="24"/>
          <w:szCs w:val="23"/>
        </w:rPr>
      </w:r>
      <w:r w:rsidRPr="00D96603">
        <w:rPr>
          <w:noProof/>
          <w:sz w:val="24"/>
          <w:szCs w:val="23"/>
        </w:rPr>
        <w:fldChar w:fldCharType="separate"/>
      </w:r>
      <w:r w:rsidR="00284546">
        <w:rPr>
          <w:noProof/>
          <w:sz w:val="24"/>
          <w:szCs w:val="23"/>
        </w:rPr>
        <w:t>26</w:t>
      </w:r>
      <w:r w:rsidRPr="00D96603">
        <w:rPr>
          <w:noProof/>
          <w:sz w:val="24"/>
          <w:szCs w:val="23"/>
        </w:rPr>
        <w:fldChar w:fldCharType="end"/>
      </w:r>
    </w:p>
    <w:p w:rsidRPr="00D96603" w:rsidR="00D96603" w:rsidRDefault="00D96603" w14:paraId="0A3F2A6B" w14:textId="7E59A391">
      <w:pPr>
        <w:pStyle w:val="TOC2"/>
        <w:rPr>
          <w:rFonts w:asciiTheme="minorHAnsi" w:hAnsiTheme="minorHAnsi" w:eastAsiaTheme="minorEastAsia" w:cstheme="minorBidi"/>
          <w:noProof/>
          <w:sz w:val="24"/>
          <w:szCs w:val="23"/>
        </w:rPr>
      </w:pPr>
      <w:r w:rsidRPr="00D96603">
        <w:rPr>
          <w:noProof/>
          <w:sz w:val="24"/>
          <w:szCs w:val="23"/>
        </w:rPr>
        <w:t>5(c)</w:t>
      </w:r>
      <w:r w:rsidRPr="00D96603">
        <w:rPr>
          <w:rFonts w:asciiTheme="minorHAnsi" w:hAnsiTheme="minorHAnsi" w:eastAsiaTheme="minorEastAsia" w:cstheme="minorBidi"/>
          <w:noProof/>
          <w:sz w:val="24"/>
          <w:szCs w:val="23"/>
        </w:rPr>
        <w:tab/>
      </w:r>
      <w:r w:rsidRPr="00D96603">
        <w:rPr>
          <w:noProof/>
          <w:sz w:val="24"/>
          <w:szCs w:val="23"/>
        </w:rPr>
        <w:t>Small Entity Flexibility</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_Toc511713520 \h </w:instrText>
      </w:r>
      <w:r w:rsidRPr="00D96603">
        <w:rPr>
          <w:noProof/>
          <w:sz w:val="24"/>
          <w:szCs w:val="23"/>
        </w:rPr>
      </w:r>
      <w:r w:rsidRPr="00D96603">
        <w:rPr>
          <w:noProof/>
          <w:sz w:val="24"/>
          <w:szCs w:val="23"/>
        </w:rPr>
        <w:fldChar w:fldCharType="separate"/>
      </w:r>
      <w:r w:rsidR="00284546">
        <w:rPr>
          <w:noProof/>
          <w:sz w:val="24"/>
          <w:szCs w:val="23"/>
        </w:rPr>
        <w:t>27</w:t>
      </w:r>
      <w:r w:rsidRPr="00D96603">
        <w:rPr>
          <w:noProof/>
          <w:sz w:val="24"/>
          <w:szCs w:val="23"/>
        </w:rPr>
        <w:fldChar w:fldCharType="end"/>
      </w:r>
    </w:p>
    <w:p w:rsidRPr="00D96603" w:rsidR="00D96603" w:rsidRDefault="00D96603" w14:paraId="344AF9A1" w14:textId="1C653EF8">
      <w:pPr>
        <w:pStyle w:val="TOC2"/>
        <w:rPr>
          <w:rFonts w:asciiTheme="minorHAnsi" w:hAnsiTheme="minorHAnsi" w:eastAsiaTheme="minorEastAsia" w:cstheme="minorBidi"/>
          <w:noProof/>
          <w:sz w:val="24"/>
          <w:szCs w:val="23"/>
        </w:rPr>
      </w:pPr>
      <w:r w:rsidRPr="00D96603">
        <w:rPr>
          <w:noProof/>
          <w:sz w:val="24"/>
          <w:szCs w:val="23"/>
        </w:rPr>
        <w:t>5(d)</w:t>
      </w:r>
      <w:r w:rsidRPr="00D96603">
        <w:rPr>
          <w:rFonts w:asciiTheme="minorHAnsi" w:hAnsiTheme="minorHAnsi" w:eastAsiaTheme="minorEastAsia" w:cstheme="minorBidi"/>
          <w:noProof/>
          <w:sz w:val="24"/>
          <w:szCs w:val="23"/>
        </w:rPr>
        <w:tab/>
      </w:r>
      <w:r w:rsidRPr="00D96603">
        <w:rPr>
          <w:noProof/>
          <w:sz w:val="24"/>
          <w:szCs w:val="23"/>
        </w:rPr>
        <w:t>Collection Schedule</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_Toc511713521 \h </w:instrText>
      </w:r>
      <w:r w:rsidRPr="00D96603">
        <w:rPr>
          <w:noProof/>
          <w:sz w:val="24"/>
          <w:szCs w:val="23"/>
        </w:rPr>
      </w:r>
      <w:r w:rsidRPr="00D96603">
        <w:rPr>
          <w:noProof/>
          <w:sz w:val="24"/>
          <w:szCs w:val="23"/>
        </w:rPr>
        <w:fldChar w:fldCharType="separate"/>
      </w:r>
      <w:r w:rsidR="00284546">
        <w:rPr>
          <w:noProof/>
          <w:sz w:val="24"/>
          <w:szCs w:val="23"/>
        </w:rPr>
        <w:t>30</w:t>
      </w:r>
      <w:r w:rsidRPr="00D96603">
        <w:rPr>
          <w:noProof/>
          <w:sz w:val="24"/>
          <w:szCs w:val="23"/>
        </w:rPr>
        <w:fldChar w:fldCharType="end"/>
      </w:r>
    </w:p>
    <w:p w:rsidRPr="00D96603" w:rsidR="00D96603" w:rsidRDefault="00D96603" w14:paraId="3B575627" w14:textId="313D3399">
      <w:pPr>
        <w:pStyle w:val="TOC1"/>
        <w:tabs>
          <w:tab w:val="left" w:pos="400"/>
          <w:tab w:val="right" w:leader="dot" w:pos="9350"/>
        </w:tabs>
        <w:rPr>
          <w:rFonts w:asciiTheme="minorHAnsi" w:hAnsiTheme="minorHAnsi" w:eastAsiaTheme="minorEastAsia" w:cstheme="minorBidi"/>
          <w:noProof/>
          <w:sz w:val="24"/>
          <w:szCs w:val="23"/>
        </w:rPr>
      </w:pPr>
      <w:r w:rsidRPr="00D96603">
        <w:rPr>
          <w:noProof/>
          <w:sz w:val="24"/>
          <w:szCs w:val="23"/>
        </w:rPr>
        <w:t>6.</w:t>
      </w:r>
      <w:r w:rsidRPr="00D96603">
        <w:rPr>
          <w:rFonts w:asciiTheme="minorHAnsi" w:hAnsiTheme="minorHAnsi" w:eastAsiaTheme="minorEastAsia" w:cstheme="minorBidi"/>
          <w:noProof/>
          <w:sz w:val="24"/>
          <w:szCs w:val="23"/>
        </w:rPr>
        <w:tab/>
      </w:r>
      <w:r w:rsidRPr="00D96603">
        <w:rPr>
          <w:noProof/>
          <w:sz w:val="24"/>
          <w:szCs w:val="23"/>
        </w:rPr>
        <w:t>Estimating the Burden and Cost of the Collection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_Toc511713522 \h </w:instrText>
      </w:r>
      <w:r w:rsidRPr="00D96603">
        <w:rPr>
          <w:noProof/>
          <w:sz w:val="24"/>
          <w:szCs w:val="23"/>
        </w:rPr>
      </w:r>
      <w:r w:rsidRPr="00D96603">
        <w:rPr>
          <w:noProof/>
          <w:sz w:val="24"/>
          <w:szCs w:val="23"/>
        </w:rPr>
        <w:fldChar w:fldCharType="separate"/>
      </w:r>
      <w:r w:rsidR="00284546">
        <w:rPr>
          <w:noProof/>
          <w:sz w:val="24"/>
          <w:szCs w:val="23"/>
        </w:rPr>
        <w:t>33</w:t>
      </w:r>
      <w:r w:rsidRPr="00D96603">
        <w:rPr>
          <w:noProof/>
          <w:sz w:val="24"/>
          <w:szCs w:val="23"/>
        </w:rPr>
        <w:fldChar w:fldCharType="end"/>
      </w:r>
    </w:p>
    <w:p w:rsidRPr="00D96603" w:rsidR="00D96603" w:rsidRDefault="00D96603" w14:paraId="2090E6A5" w14:textId="292CAFFF">
      <w:pPr>
        <w:pStyle w:val="TOC2"/>
        <w:rPr>
          <w:rFonts w:asciiTheme="minorHAnsi" w:hAnsiTheme="minorHAnsi" w:eastAsiaTheme="minorEastAsia" w:cstheme="minorBidi"/>
          <w:noProof/>
          <w:sz w:val="24"/>
          <w:szCs w:val="23"/>
        </w:rPr>
      </w:pPr>
      <w:r w:rsidRPr="00D96603">
        <w:rPr>
          <w:noProof/>
          <w:sz w:val="24"/>
          <w:szCs w:val="23"/>
        </w:rPr>
        <w:t>6(a)</w:t>
      </w:r>
      <w:r w:rsidRPr="00D96603">
        <w:rPr>
          <w:rFonts w:asciiTheme="minorHAnsi" w:hAnsiTheme="minorHAnsi" w:eastAsiaTheme="minorEastAsia" w:cstheme="minorBidi"/>
          <w:noProof/>
          <w:sz w:val="24"/>
          <w:szCs w:val="23"/>
        </w:rPr>
        <w:tab/>
      </w:r>
      <w:r w:rsidRPr="00D96603">
        <w:rPr>
          <w:noProof/>
          <w:sz w:val="24"/>
          <w:szCs w:val="23"/>
        </w:rPr>
        <w:t>Respondent Burden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_Toc511713523 \h </w:instrText>
      </w:r>
      <w:r w:rsidRPr="00D96603">
        <w:rPr>
          <w:noProof/>
          <w:sz w:val="24"/>
          <w:szCs w:val="23"/>
        </w:rPr>
      </w:r>
      <w:r w:rsidRPr="00D96603">
        <w:rPr>
          <w:noProof/>
          <w:sz w:val="24"/>
          <w:szCs w:val="23"/>
        </w:rPr>
        <w:fldChar w:fldCharType="separate"/>
      </w:r>
      <w:r w:rsidR="00284546">
        <w:rPr>
          <w:noProof/>
          <w:sz w:val="24"/>
          <w:szCs w:val="23"/>
        </w:rPr>
        <w:t>33</w:t>
      </w:r>
      <w:r w:rsidRPr="00D96603">
        <w:rPr>
          <w:noProof/>
          <w:sz w:val="24"/>
          <w:szCs w:val="23"/>
        </w:rPr>
        <w:fldChar w:fldCharType="end"/>
      </w:r>
    </w:p>
    <w:p w:rsidRPr="00D96603" w:rsidR="00D96603" w:rsidRDefault="00D96603" w14:paraId="71ECFE90" w14:textId="72575C5F">
      <w:pPr>
        <w:pStyle w:val="TOC2"/>
        <w:rPr>
          <w:rFonts w:asciiTheme="minorHAnsi" w:hAnsiTheme="minorHAnsi" w:eastAsiaTheme="minorEastAsia" w:cstheme="minorBidi"/>
          <w:noProof/>
          <w:sz w:val="24"/>
          <w:szCs w:val="23"/>
        </w:rPr>
      </w:pPr>
      <w:r w:rsidRPr="00D96603">
        <w:rPr>
          <w:noProof/>
          <w:sz w:val="24"/>
          <w:szCs w:val="23"/>
        </w:rPr>
        <w:t>6(b)</w:t>
      </w:r>
      <w:r w:rsidRPr="00D96603">
        <w:rPr>
          <w:rFonts w:asciiTheme="minorHAnsi" w:hAnsiTheme="minorHAnsi" w:eastAsiaTheme="minorEastAsia" w:cstheme="minorBidi"/>
          <w:noProof/>
          <w:sz w:val="24"/>
          <w:szCs w:val="23"/>
        </w:rPr>
        <w:tab/>
      </w:r>
      <w:r w:rsidRPr="00D96603">
        <w:rPr>
          <w:noProof/>
          <w:sz w:val="24"/>
          <w:szCs w:val="23"/>
        </w:rPr>
        <w:t>Respondent Costs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_Toc511713524 \h </w:instrText>
      </w:r>
      <w:r w:rsidRPr="00D96603">
        <w:rPr>
          <w:noProof/>
          <w:sz w:val="24"/>
          <w:szCs w:val="23"/>
        </w:rPr>
      </w:r>
      <w:r w:rsidRPr="00D96603">
        <w:rPr>
          <w:noProof/>
          <w:sz w:val="24"/>
          <w:szCs w:val="23"/>
        </w:rPr>
        <w:fldChar w:fldCharType="separate"/>
      </w:r>
      <w:r w:rsidR="00284546">
        <w:rPr>
          <w:noProof/>
          <w:sz w:val="24"/>
          <w:szCs w:val="23"/>
        </w:rPr>
        <w:t>39</w:t>
      </w:r>
      <w:r w:rsidRPr="00D96603">
        <w:rPr>
          <w:noProof/>
          <w:sz w:val="24"/>
          <w:szCs w:val="23"/>
        </w:rPr>
        <w:fldChar w:fldCharType="end"/>
      </w:r>
    </w:p>
    <w:p w:rsidRPr="00D96603" w:rsidR="00D96603" w:rsidRDefault="00D96603" w14:paraId="2BEEC41D" w14:textId="65422B36">
      <w:pPr>
        <w:pStyle w:val="TOC2"/>
        <w:rPr>
          <w:rFonts w:asciiTheme="minorHAnsi" w:hAnsiTheme="minorHAnsi" w:eastAsiaTheme="minorEastAsia" w:cstheme="minorBidi"/>
          <w:noProof/>
          <w:sz w:val="24"/>
          <w:szCs w:val="23"/>
        </w:rPr>
      </w:pPr>
      <w:r w:rsidRPr="00D96603">
        <w:rPr>
          <w:noProof/>
          <w:sz w:val="24"/>
          <w:szCs w:val="23"/>
        </w:rPr>
        <w:t>6(c)</w:t>
      </w:r>
      <w:r w:rsidRPr="00D96603">
        <w:rPr>
          <w:rFonts w:asciiTheme="minorHAnsi" w:hAnsiTheme="minorHAnsi" w:eastAsiaTheme="minorEastAsia" w:cstheme="minorBidi"/>
          <w:noProof/>
          <w:sz w:val="24"/>
          <w:szCs w:val="23"/>
        </w:rPr>
        <w:tab/>
      </w:r>
      <w:r w:rsidRPr="00D96603">
        <w:rPr>
          <w:noProof/>
          <w:sz w:val="24"/>
          <w:szCs w:val="23"/>
        </w:rPr>
        <w:t>Agency Burden and Costs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_Toc511713525 \h </w:instrText>
      </w:r>
      <w:r w:rsidRPr="00D96603">
        <w:rPr>
          <w:noProof/>
          <w:sz w:val="24"/>
          <w:szCs w:val="23"/>
        </w:rPr>
      </w:r>
      <w:r w:rsidRPr="00D96603">
        <w:rPr>
          <w:noProof/>
          <w:sz w:val="24"/>
          <w:szCs w:val="23"/>
        </w:rPr>
        <w:fldChar w:fldCharType="separate"/>
      </w:r>
      <w:r w:rsidR="00284546">
        <w:rPr>
          <w:noProof/>
          <w:sz w:val="24"/>
          <w:szCs w:val="23"/>
        </w:rPr>
        <w:t>40</w:t>
      </w:r>
      <w:r w:rsidRPr="00D96603">
        <w:rPr>
          <w:noProof/>
          <w:sz w:val="24"/>
          <w:szCs w:val="23"/>
        </w:rPr>
        <w:fldChar w:fldCharType="end"/>
      </w:r>
    </w:p>
    <w:p w:rsidRPr="00D96603" w:rsidR="00D96603" w:rsidRDefault="00D96603" w14:paraId="01E6524C" w14:textId="02544F14">
      <w:pPr>
        <w:pStyle w:val="TOC2"/>
        <w:rPr>
          <w:rFonts w:asciiTheme="minorHAnsi" w:hAnsiTheme="minorHAnsi" w:eastAsiaTheme="minorEastAsia" w:cstheme="minorBidi"/>
          <w:noProof/>
          <w:sz w:val="24"/>
          <w:szCs w:val="23"/>
        </w:rPr>
      </w:pPr>
      <w:r w:rsidRPr="00D96603">
        <w:rPr>
          <w:noProof/>
          <w:sz w:val="24"/>
          <w:szCs w:val="23"/>
        </w:rPr>
        <w:t>6(d)</w:t>
      </w:r>
      <w:r w:rsidRPr="00D96603">
        <w:rPr>
          <w:rFonts w:asciiTheme="minorHAnsi" w:hAnsiTheme="minorHAnsi" w:eastAsiaTheme="minorEastAsia" w:cstheme="minorBidi"/>
          <w:noProof/>
          <w:sz w:val="24"/>
          <w:szCs w:val="23"/>
        </w:rPr>
        <w:tab/>
      </w:r>
      <w:r w:rsidRPr="00D96603">
        <w:rPr>
          <w:noProof/>
          <w:sz w:val="24"/>
          <w:szCs w:val="23"/>
        </w:rPr>
        <w:t>Estimating Respondent Universe and Total Burden and Costs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_Toc511713526 \h </w:instrText>
      </w:r>
      <w:r w:rsidRPr="00D96603">
        <w:rPr>
          <w:noProof/>
          <w:sz w:val="24"/>
          <w:szCs w:val="23"/>
        </w:rPr>
      </w:r>
      <w:r w:rsidRPr="00D96603">
        <w:rPr>
          <w:noProof/>
          <w:sz w:val="24"/>
          <w:szCs w:val="23"/>
        </w:rPr>
        <w:fldChar w:fldCharType="separate"/>
      </w:r>
      <w:r w:rsidR="00284546">
        <w:rPr>
          <w:noProof/>
          <w:sz w:val="24"/>
          <w:szCs w:val="23"/>
        </w:rPr>
        <w:t>41</w:t>
      </w:r>
      <w:r w:rsidRPr="00D96603">
        <w:rPr>
          <w:noProof/>
          <w:sz w:val="24"/>
          <w:szCs w:val="23"/>
        </w:rPr>
        <w:fldChar w:fldCharType="end"/>
      </w:r>
    </w:p>
    <w:p w:rsidRPr="00D96603" w:rsidR="00D96603" w:rsidRDefault="00D96603" w14:paraId="7BEFE534" w14:textId="4735A28D">
      <w:pPr>
        <w:pStyle w:val="TOC2"/>
        <w:rPr>
          <w:rFonts w:asciiTheme="minorHAnsi" w:hAnsiTheme="minorHAnsi" w:eastAsiaTheme="minorEastAsia" w:cstheme="minorBidi"/>
          <w:noProof/>
          <w:sz w:val="24"/>
          <w:szCs w:val="23"/>
        </w:rPr>
      </w:pPr>
      <w:r w:rsidRPr="00D96603">
        <w:rPr>
          <w:noProof/>
          <w:sz w:val="24"/>
          <w:szCs w:val="23"/>
        </w:rPr>
        <w:t>6(e)</w:t>
      </w:r>
      <w:r w:rsidRPr="00D96603">
        <w:rPr>
          <w:rFonts w:asciiTheme="minorHAnsi" w:hAnsiTheme="minorHAnsi" w:eastAsiaTheme="minorEastAsia" w:cstheme="minorBidi"/>
          <w:noProof/>
          <w:sz w:val="24"/>
          <w:szCs w:val="23"/>
        </w:rPr>
        <w:tab/>
      </w:r>
      <w:r w:rsidRPr="00D96603">
        <w:rPr>
          <w:noProof/>
          <w:sz w:val="24"/>
          <w:szCs w:val="23"/>
        </w:rPr>
        <w:t>Bottom Line Burden Hours and Costs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_Toc511713527 \h </w:instrText>
      </w:r>
      <w:r w:rsidRPr="00D96603">
        <w:rPr>
          <w:noProof/>
          <w:sz w:val="24"/>
          <w:szCs w:val="23"/>
        </w:rPr>
      </w:r>
      <w:r w:rsidRPr="00D96603">
        <w:rPr>
          <w:noProof/>
          <w:sz w:val="24"/>
          <w:szCs w:val="23"/>
        </w:rPr>
        <w:fldChar w:fldCharType="separate"/>
      </w:r>
      <w:r w:rsidR="00284546">
        <w:rPr>
          <w:noProof/>
          <w:sz w:val="24"/>
          <w:szCs w:val="23"/>
        </w:rPr>
        <w:t>42</w:t>
      </w:r>
      <w:r w:rsidRPr="00D96603">
        <w:rPr>
          <w:noProof/>
          <w:sz w:val="24"/>
          <w:szCs w:val="23"/>
        </w:rPr>
        <w:fldChar w:fldCharType="end"/>
      </w:r>
    </w:p>
    <w:p w:rsidRPr="00D96603" w:rsidR="00D96603" w:rsidRDefault="00D96603" w14:paraId="3D38F38E" w14:textId="62FD85DC">
      <w:pPr>
        <w:pStyle w:val="TOC2"/>
        <w:rPr>
          <w:rFonts w:asciiTheme="minorHAnsi" w:hAnsiTheme="minorHAnsi" w:eastAsiaTheme="minorEastAsia" w:cstheme="minorBidi"/>
          <w:noProof/>
          <w:sz w:val="24"/>
          <w:szCs w:val="23"/>
        </w:rPr>
      </w:pPr>
      <w:r w:rsidRPr="00D96603">
        <w:rPr>
          <w:noProof/>
          <w:sz w:val="24"/>
          <w:szCs w:val="23"/>
        </w:rPr>
        <w:t>6(f)</w:t>
      </w:r>
      <w:r w:rsidRPr="00D96603">
        <w:rPr>
          <w:rFonts w:asciiTheme="minorHAnsi" w:hAnsiTheme="minorHAnsi" w:eastAsiaTheme="minorEastAsia" w:cstheme="minorBidi"/>
          <w:noProof/>
          <w:sz w:val="24"/>
          <w:szCs w:val="23"/>
        </w:rPr>
        <w:tab/>
      </w:r>
      <w:r w:rsidRPr="00D96603">
        <w:rPr>
          <w:noProof/>
          <w:sz w:val="24"/>
          <w:szCs w:val="23"/>
        </w:rPr>
        <w:t>Reason for Change in Burden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_Toc511713528 \h </w:instrText>
      </w:r>
      <w:r w:rsidRPr="00D96603">
        <w:rPr>
          <w:noProof/>
          <w:sz w:val="24"/>
          <w:szCs w:val="23"/>
        </w:rPr>
      </w:r>
      <w:r w:rsidRPr="00D96603">
        <w:rPr>
          <w:noProof/>
          <w:sz w:val="24"/>
          <w:szCs w:val="23"/>
        </w:rPr>
        <w:fldChar w:fldCharType="separate"/>
      </w:r>
      <w:r w:rsidR="00284546">
        <w:rPr>
          <w:noProof/>
          <w:sz w:val="24"/>
          <w:szCs w:val="23"/>
        </w:rPr>
        <w:t>42</w:t>
      </w:r>
      <w:r w:rsidRPr="00D96603">
        <w:rPr>
          <w:noProof/>
          <w:sz w:val="24"/>
          <w:szCs w:val="23"/>
        </w:rPr>
        <w:fldChar w:fldCharType="end"/>
      </w:r>
    </w:p>
    <w:p w:rsidRPr="00D96603" w:rsidR="00D96603" w:rsidRDefault="00D96603" w14:paraId="4CE45C23" w14:textId="6A15C1DA">
      <w:pPr>
        <w:pStyle w:val="TOC2"/>
        <w:rPr>
          <w:rFonts w:asciiTheme="minorHAnsi" w:hAnsiTheme="minorHAnsi" w:eastAsiaTheme="minorEastAsia" w:cstheme="minorBidi"/>
          <w:noProof/>
          <w:sz w:val="24"/>
          <w:szCs w:val="23"/>
        </w:rPr>
      </w:pPr>
      <w:r w:rsidRPr="00D96603">
        <w:rPr>
          <w:noProof/>
          <w:sz w:val="24"/>
          <w:szCs w:val="23"/>
        </w:rPr>
        <w:t>6(g)</w:t>
      </w:r>
      <w:r w:rsidRPr="00D96603">
        <w:rPr>
          <w:rFonts w:asciiTheme="minorHAnsi" w:hAnsiTheme="minorHAnsi" w:eastAsiaTheme="minorEastAsia" w:cstheme="minorBidi"/>
          <w:noProof/>
          <w:sz w:val="24"/>
          <w:szCs w:val="23"/>
        </w:rPr>
        <w:tab/>
      </w:r>
      <w:r w:rsidRPr="00D96603">
        <w:rPr>
          <w:noProof/>
          <w:sz w:val="24"/>
          <w:szCs w:val="23"/>
        </w:rPr>
        <w:t>Burden Statement</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_Toc511713529 \h </w:instrText>
      </w:r>
      <w:r w:rsidRPr="00D96603">
        <w:rPr>
          <w:noProof/>
          <w:sz w:val="24"/>
          <w:szCs w:val="23"/>
        </w:rPr>
      </w:r>
      <w:r w:rsidRPr="00D96603">
        <w:rPr>
          <w:noProof/>
          <w:sz w:val="24"/>
          <w:szCs w:val="23"/>
        </w:rPr>
        <w:fldChar w:fldCharType="separate"/>
      </w:r>
      <w:r w:rsidR="00284546">
        <w:rPr>
          <w:noProof/>
          <w:sz w:val="24"/>
          <w:szCs w:val="23"/>
        </w:rPr>
        <w:t>44</w:t>
      </w:r>
      <w:r w:rsidRPr="00D96603">
        <w:rPr>
          <w:noProof/>
          <w:sz w:val="24"/>
          <w:szCs w:val="23"/>
        </w:rPr>
        <w:fldChar w:fldCharType="end"/>
      </w:r>
    </w:p>
    <w:p w:rsidRPr="00306787" w:rsidR="00C25838" w:rsidRDefault="001941A8" w14:paraId="52638093" w14:textId="44DD1286">
      <w:pPr>
        <w:rPr>
          <w:sz w:val="24"/>
          <w:szCs w:val="24"/>
        </w:rPr>
      </w:pPr>
      <w:r w:rsidRPr="00D96603">
        <w:rPr>
          <w:sz w:val="24"/>
          <w:szCs w:val="23"/>
        </w:rPr>
        <w:fldChar w:fldCharType="end"/>
      </w:r>
    </w:p>
    <w:p w:rsidRPr="00306787" w:rsidR="00C25838" w:rsidRDefault="00C25838" w14:paraId="4E48563A" w14:textId="77777777">
      <w:pPr>
        <w:jc w:val="center"/>
        <w:rPr>
          <w:sz w:val="24"/>
          <w:szCs w:val="24"/>
        </w:rPr>
      </w:pPr>
      <w:r w:rsidRPr="00306787">
        <w:rPr>
          <w:sz w:val="24"/>
          <w:szCs w:val="24"/>
        </w:rPr>
        <w:br w:type="page"/>
      </w:r>
      <w:r w:rsidRPr="00306787">
        <w:rPr>
          <w:b/>
          <w:bCs/>
          <w:sz w:val="24"/>
          <w:szCs w:val="24"/>
        </w:rPr>
        <w:lastRenderedPageBreak/>
        <w:t>LIST OF EXHIBITS</w:t>
      </w:r>
    </w:p>
    <w:p w:rsidRPr="00306787" w:rsidR="00C25838" w:rsidRDefault="00C25838" w14:paraId="4820CC35" w14:textId="77777777">
      <w:pPr>
        <w:rPr>
          <w:sz w:val="24"/>
          <w:szCs w:val="24"/>
        </w:rPr>
      </w:pPr>
    </w:p>
    <w:p w:rsidRPr="00306787" w:rsidR="00C25838" w:rsidRDefault="00C25838" w14:paraId="2D46DEA1" w14:textId="77777777">
      <w:pPr>
        <w:rPr>
          <w:sz w:val="24"/>
          <w:szCs w:val="24"/>
        </w:rPr>
      </w:pPr>
    </w:p>
    <w:p w:rsidRPr="00F25A3D" w:rsidR="00F33121" w:rsidRDefault="00C25838" w14:paraId="12D78402" w14:textId="77777777">
      <w:pPr>
        <w:rPr>
          <w:sz w:val="23"/>
          <w:szCs w:val="23"/>
        </w:rPr>
      </w:pPr>
      <w:r w:rsidRPr="00F25A3D">
        <w:rPr>
          <w:sz w:val="23"/>
          <w:szCs w:val="23"/>
        </w:rPr>
        <w:t>2-1</w:t>
      </w:r>
      <w:r w:rsidRPr="00F25A3D">
        <w:rPr>
          <w:sz w:val="23"/>
          <w:szCs w:val="23"/>
        </w:rPr>
        <w:tab/>
      </w:r>
      <w:bookmarkStart w:name="_Hlk84578976" w:id="1"/>
      <w:r w:rsidRPr="00F25A3D">
        <w:rPr>
          <w:sz w:val="23"/>
          <w:szCs w:val="23"/>
        </w:rPr>
        <w:t xml:space="preserve">Classification of Underground Injection </w:t>
      </w:r>
      <w:r w:rsidRPr="00F25A3D" w:rsidR="00F33121">
        <w:rPr>
          <w:sz w:val="23"/>
          <w:szCs w:val="23"/>
        </w:rPr>
        <w:t xml:space="preserve">Control Program </w:t>
      </w:r>
      <w:r w:rsidRPr="00F25A3D">
        <w:rPr>
          <w:sz w:val="23"/>
          <w:szCs w:val="23"/>
        </w:rPr>
        <w:t>Wells</w:t>
      </w:r>
    </w:p>
    <w:p w:rsidRPr="00F25A3D" w:rsidR="00C25838" w:rsidRDefault="00C25838" w14:paraId="70EFF912" w14:textId="77777777">
      <w:pPr>
        <w:rPr>
          <w:sz w:val="23"/>
          <w:szCs w:val="23"/>
        </w:rPr>
      </w:pPr>
      <w:r w:rsidRPr="00F25A3D">
        <w:rPr>
          <w:sz w:val="23"/>
          <w:szCs w:val="23"/>
        </w:rPr>
        <w:t>2-2</w:t>
      </w:r>
      <w:r w:rsidRPr="00F25A3D">
        <w:rPr>
          <w:sz w:val="23"/>
          <w:szCs w:val="23"/>
        </w:rPr>
        <w:tab/>
        <w:t>Flow of Information in the UIC Program</w:t>
      </w:r>
    </w:p>
    <w:p w:rsidRPr="00F25A3D" w:rsidR="00C25838" w:rsidRDefault="00C25838" w14:paraId="41331828" w14:textId="77777777">
      <w:pPr>
        <w:rPr>
          <w:sz w:val="23"/>
          <w:szCs w:val="23"/>
        </w:rPr>
      </w:pPr>
      <w:r w:rsidRPr="00F25A3D">
        <w:rPr>
          <w:sz w:val="23"/>
          <w:szCs w:val="23"/>
        </w:rPr>
        <w:t>4-1</w:t>
      </w:r>
      <w:r w:rsidRPr="00F25A3D">
        <w:rPr>
          <w:sz w:val="23"/>
          <w:szCs w:val="23"/>
        </w:rPr>
        <w:tab/>
        <w:t>Respondents’ SIC/NAICS Codes</w:t>
      </w:r>
    </w:p>
    <w:p w:rsidR="00B61C69" w:rsidRDefault="00C25838" w14:paraId="6460412B" w14:textId="65486B41">
      <w:pPr>
        <w:rPr>
          <w:sz w:val="23"/>
          <w:szCs w:val="23"/>
        </w:rPr>
      </w:pPr>
      <w:r w:rsidRPr="00F25A3D">
        <w:rPr>
          <w:sz w:val="23"/>
          <w:szCs w:val="23"/>
        </w:rPr>
        <w:t>4-2</w:t>
      </w:r>
      <w:r w:rsidRPr="00F25A3D">
        <w:rPr>
          <w:sz w:val="23"/>
          <w:szCs w:val="23"/>
        </w:rPr>
        <w:tab/>
        <w:t xml:space="preserve">Operator </w:t>
      </w:r>
      <w:r w:rsidR="00B031F6">
        <w:rPr>
          <w:sz w:val="23"/>
          <w:szCs w:val="23"/>
        </w:rPr>
        <w:t>Reporting Forms</w:t>
      </w:r>
    </w:p>
    <w:p w:rsidRPr="00F25A3D" w:rsidR="00C25838" w:rsidRDefault="00B031F6" w14:paraId="603290AB" w14:textId="35B7505C">
      <w:pPr>
        <w:rPr>
          <w:sz w:val="23"/>
          <w:szCs w:val="23"/>
        </w:rPr>
      </w:pPr>
      <w:r>
        <w:rPr>
          <w:sz w:val="23"/>
          <w:szCs w:val="23"/>
        </w:rPr>
        <w:t>4-3</w:t>
      </w:r>
      <w:r>
        <w:rPr>
          <w:sz w:val="23"/>
          <w:szCs w:val="23"/>
        </w:rPr>
        <w:tab/>
        <w:t xml:space="preserve">Operator </w:t>
      </w:r>
      <w:r w:rsidRPr="00F25A3D" w:rsidR="00C25838">
        <w:rPr>
          <w:sz w:val="23"/>
          <w:szCs w:val="23"/>
        </w:rPr>
        <w:t>Paperwork Requirements</w:t>
      </w:r>
    </w:p>
    <w:p w:rsidRPr="00F25A3D" w:rsidR="00C25838" w:rsidP="0071791B" w:rsidRDefault="000859F4" w14:paraId="0EE4DDAB" w14:textId="050D6413">
      <w:pPr>
        <w:rPr>
          <w:sz w:val="23"/>
          <w:szCs w:val="23"/>
        </w:rPr>
      </w:pPr>
      <w:r w:rsidRPr="00F25A3D">
        <w:rPr>
          <w:sz w:val="23"/>
          <w:szCs w:val="23"/>
        </w:rPr>
        <w:t>5-1</w:t>
      </w:r>
      <w:r w:rsidRPr="00F25A3D" w:rsidR="004B6AD1">
        <w:rPr>
          <w:sz w:val="23"/>
          <w:szCs w:val="23"/>
        </w:rPr>
        <w:tab/>
      </w:r>
      <w:r w:rsidR="00D13864">
        <w:rPr>
          <w:sz w:val="23"/>
          <w:szCs w:val="23"/>
        </w:rPr>
        <w:t xml:space="preserve">Primacy </w:t>
      </w:r>
      <w:r w:rsidRPr="00F25A3D" w:rsidR="00C25838">
        <w:rPr>
          <w:sz w:val="23"/>
          <w:szCs w:val="23"/>
        </w:rPr>
        <w:t>State Reporting Frequency</w:t>
      </w:r>
    </w:p>
    <w:p w:rsidRPr="00F25A3D" w:rsidR="00C25838" w:rsidRDefault="00C25838" w14:paraId="7D18B206" w14:textId="590AF44F">
      <w:pPr>
        <w:rPr>
          <w:sz w:val="23"/>
          <w:szCs w:val="23"/>
        </w:rPr>
      </w:pPr>
      <w:r w:rsidRPr="00F25A3D">
        <w:rPr>
          <w:sz w:val="23"/>
          <w:szCs w:val="23"/>
        </w:rPr>
        <w:t>6-1A</w:t>
      </w:r>
      <w:r w:rsidRPr="00F25A3D">
        <w:rPr>
          <w:sz w:val="23"/>
          <w:szCs w:val="23"/>
        </w:rPr>
        <w:tab/>
        <w:t>Annual Burden and Costs Associated with Class I Wells</w:t>
      </w:r>
      <w:r w:rsidRPr="00F25A3D" w:rsidR="001F0AEB">
        <w:rPr>
          <w:sz w:val="23"/>
          <w:szCs w:val="23"/>
        </w:rPr>
        <w:t>,</w:t>
      </w:r>
      <w:r w:rsidRPr="00F25A3D">
        <w:rPr>
          <w:sz w:val="23"/>
          <w:szCs w:val="23"/>
        </w:rPr>
        <w:t xml:space="preserve"> </w:t>
      </w:r>
      <w:r w:rsidR="00926C92">
        <w:rPr>
          <w:sz w:val="23"/>
          <w:szCs w:val="23"/>
        </w:rPr>
        <w:t>2022-2024</w:t>
      </w:r>
    </w:p>
    <w:p w:rsidRPr="00F25A3D" w:rsidR="00C25838" w:rsidRDefault="00C25838" w14:paraId="37728644" w14:textId="144B6DCB">
      <w:pPr>
        <w:rPr>
          <w:sz w:val="23"/>
          <w:szCs w:val="23"/>
        </w:rPr>
      </w:pPr>
      <w:r w:rsidRPr="00F25A3D">
        <w:rPr>
          <w:sz w:val="23"/>
          <w:szCs w:val="23"/>
        </w:rPr>
        <w:t>6-1B</w:t>
      </w:r>
      <w:r w:rsidRPr="00F25A3D">
        <w:rPr>
          <w:sz w:val="23"/>
          <w:szCs w:val="23"/>
        </w:rPr>
        <w:tab/>
        <w:t>Annual Burden and Costs Associated with Class II Wells</w:t>
      </w:r>
      <w:r w:rsidRPr="00F25A3D" w:rsidR="001F0AEB">
        <w:rPr>
          <w:sz w:val="23"/>
          <w:szCs w:val="23"/>
        </w:rPr>
        <w:t xml:space="preserve">, </w:t>
      </w:r>
      <w:r w:rsidR="00926C92">
        <w:rPr>
          <w:sz w:val="23"/>
          <w:szCs w:val="23"/>
        </w:rPr>
        <w:t>2022-2024</w:t>
      </w:r>
    </w:p>
    <w:p w:rsidRPr="00F25A3D" w:rsidR="00C25838" w:rsidRDefault="00C25838" w14:paraId="3F95C2BC" w14:textId="2CBFB839">
      <w:pPr>
        <w:rPr>
          <w:sz w:val="23"/>
          <w:szCs w:val="23"/>
        </w:rPr>
      </w:pPr>
      <w:r w:rsidRPr="00F25A3D">
        <w:rPr>
          <w:sz w:val="23"/>
          <w:szCs w:val="23"/>
        </w:rPr>
        <w:t>6-1C</w:t>
      </w:r>
      <w:r w:rsidRPr="00F25A3D">
        <w:rPr>
          <w:sz w:val="23"/>
          <w:szCs w:val="23"/>
        </w:rPr>
        <w:tab/>
        <w:t>Annual Burden and Costs Associated with Class III Wells</w:t>
      </w:r>
      <w:r w:rsidRPr="00F25A3D" w:rsidR="001F0AEB">
        <w:rPr>
          <w:sz w:val="23"/>
          <w:szCs w:val="23"/>
        </w:rPr>
        <w:t xml:space="preserve">, </w:t>
      </w:r>
      <w:r w:rsidR="00926C92">
        <w:rPr>
          <w:sz w:val="23"/>
          <w:szCs w:val="23"/>
        </w:rPr>
        <w:t>2022-2024</w:t>
      </w:r>
    </w:p>
    <w:p w:rsidRPr="00F25A3D" w:rsidR="00C25838" w:rsidRDefault="00C25838" w14:paraId="6F5C6C94" w14:textId="520B3461">
      <w:pPr>
        <w:rPr>
          <w:sz w:val="23"/>
          <w:szCs w:val="23"/>
        </w:rPr>
      </w:pPr>
      <w:r w:rsidRPr="00F25A3D">
        <w:rPr>
          <w:sz w:val="23"/>
          <w:szCs w:val="23"/>
        </w:rPr>
        <w:t>6-1D</w:t>
      </w:r>
      <w:r w:rsidRPr="00F25A3D">
        <w:rPr>
          <w:sz w:val="23"/>
          <w:szCs w:val="23"/>
        </w:rPr>
        <w:tab/>
        <w:t>Annual Burden and Costs Associated with Class IV</w:t>
      </w:r>
      <w:r w:rsidRPr="00F25A3D" w:rsidR="00F25A3D">
        <w:rPr>
          <w:sz w:val="23"/>
          <w:szCs w:val="23"/>
        </w:rPr>
        <w:t>/Endangering Class V Wells</w:t>
      </w:r>
      <w:r w:rsidRPr="00F25A3D" w:rsidR="001F0AEB">
        <w:rPr>
          <w:sz w:val="23"/>
          <w:szCs w:val="23"/>
        </w:rPr>
        <w:t xml:space="preserve">, </w:t>
      </w:r>
      <w:r w:rsidR="00926C92">
        <w:rPr>
          <w:sz w:val="23"/>
          <w:szCs w:val="23"/>
        </w:rPr>
        <w:t>2022-2024</w:t>
      </w:r>
    </w:p>
    <w:p w:rsidRPr="00F25A3D" w:rsidR="001F0AEB" w:rsidRDefault="00C25838" w14:paraId="47BE5224" w14:textId="12E546A1">
      <w:pPr>
        <w:rPr>
          <w:sz w:val="23"/>
          <w:szCs w:val="23"/>
        </w:rPr>
      </w:pPr>
      <w:r w:rsidRPr="00F25A3D">
        <w:rPr>
          <w:sz w:val="23"/>
          <w:szCs w:val="23"/>
        </w:rPr>
        <w:t>6-1E</w:t>
      </w:r>
      <w:r w:rsidRPr="00F25A3D">
        <w:rPr>
          <w:sz w:val="23"/>
          <w:szCs w:val="23"/>
        </w:rPr>
        <w:tab/>
        <w:t>Annual Burden and Costs Associated with Class V Wells</w:t>
      </w:r>
      <w:r w:rsidRPr="00F25A3D" w:rsidR="001F0AEB">
        <w:rPr>
          <w:sz w:val="23"/>
          <w:szCs w:val="23"/>
        </w:rPr>
        <w:t xml:space="preserve">, </w:t>
      </w:r>
      <w:r w:rsidR="00926C92">
        <w:rPr>
          <w:sz w:val="23"/>
          <w:szCs w:val="23"/>
        </w:rPr>
        <w:t>2022-2024</w:t>
      </w:r>
    </w:p>
    <w:p w:rsidRPr="00F25A3D" w:rsidR="00E84548" w:rsidRDefault="00E84548" w14:paraId="6B6209F7" w14:textId="00D35CB8">
      <w:pPr>
        <w:rPr>
          <w:sz w:val="23"/>
          <w:szCs w:val="23"/>
        </w:rPr>
      </w:pPr>
      <w:r w:rsidRPr="00F25A3D">
        <w:rPr>
          <w:sz w:val="23"/>
          <w:szCs w:val="23"/>
        </w:rPr>
        <w:t>6-1F</w:t>
      </w:r>
      <w:r w:rsidRPr="00F25A3D">
        <w:rPr>
          <w:sz w:val="23"/>
          <w:szCs w:val="23"/>
        </w:rPr>
        <w:tab/>
        <w:t>Annual Burden and Costs Associated with Class VI Wells</w:t>
      </w:r>
      <w:r w:rsidRPr="00F25A3D" w:rsidR="00E668A4">
        <w:rPr>
          <w:sz w:val="23"/>
          <w:szCs w:val="23"/>
        </w:rPr>
        <w:t xml:space="preserve">, </w:t>
      </w:r>
      <w:r w:rsidR="00926C92">
        <w:rPr>
          <w:sz w:val="23"/>
          <w:szCs w:val="23"/>
        </w:rPr>
        <w:t>2022-2024</w:t>
      </w:r>
    </w:p>
    <w:p w:rsidRPr="00F25A3D" w:rsidR="00C25838" w:rsidRDefault="00C25838" w14:paraId="2B252F3C" w14:textId="4798A43C">
      <w:pPr>
        <w:rPr>
          <w:sz w:val="23"/>
          <w:szCs w:val="23"/>
        </w:rPr>
      </w:pPr>
      <w:r w:rsidRPr="00F25A3D">
        <w:rPr>
          <w:sz w:val="23"/>
          <w:szCs w:val="23"/>
        </w:rPr>
        <w:t>6-1</w:t>
      </w:r>
      <w:r w:rsidRPr="00F25A3D" w:rsidR="00E84548">
        <w:rPr>
          <w:sz w:val="23"/>
          <w:szCs w:val="23"/>
        </w:rPr>
        <w:t>G</w:t>
      </w:r>
      <w:r w:rsidRPr="00F25A3D">
        <w:rPr>
          <w:sz w:val="23"/>
          <w:szCs w:val="23"/>
        </w:rPr>
        <w:tab/>
        <w:t>Summary of Annual Operator Burden and Costs</w:t>
      </w:r>
      <w:r w:rsidRPr="00F25A3D" w:rsidR="00E668A4">
        <w:rPr>
          <w:sz w:val="23"/>
          <w:szCs w:val="23"/>
        </w:rPr>
        <w:t xml:space="preserve">, </w:t>
      </w:r>
      <w:r w:rsidR="00926C92">
        <w:rPr>
          <w:sz w:val="23"/>
          <w:szCs w:val="23"/>
        </w:rPr>
        <w:t>2022-2024</w:t>
      </w:r>
    </w:p>
    <w:p w:rsidRPr="00F25A3D" w:rsidR="004A6E9E" w:rsidP="004A6E9E" w:rsidRDefault="004A6E9E" w14:paraId="4C91D6DB" w14:textId="45E15DC6">
      <w:pPr>
        <w:rPr>
          <w:sz w:val="23"/>
          <w:szCs w:val="23"/>
        </w:rPr>
      </w:pPr>
      <w:r w:rsidRPr="00F25A3D">
        <w:rPr>
          <w:sz w:val="23"/>
          <w:szCs w:val="23"/>
        </w:rPr>
        <w:t>6-2</w:t>
      </w:r>
      <w:r w:rsidRPr="00F25A3D">
        <w:rPr>
          <w:sz w:val="23"/>
          <w:szCs w:val="23"/>
        </w:rPr>
        <w:tab/>
        <w:t>Annual Reporting Burden by Form</w:t>
      </w:r>
      <w:r w:rsidR="000024C4">
        <w:rPr>
          <w:sz w:val="23"/>
          <w:szCs w:val="23"/>
        </w:rPr>
        <w:t xml:space="preserve"> (Operators)</w:t>
      </w:r>
      <w:r w:rsidRPr="00F25A3D" w:rsidR="006B45BE">
        <w:rPr>
          <w:sz w:val="23"/>
          <w:szCs w:val="23"/>
        </w:rPr>
        <w:t xml:space="preserve">, </w:t>
      </w:r>
      <w:r w:rsidR="00926C92">
        <w:rPr>
          <w:sz w:val="23"/>
          <w:szCs w:val="23"/>
        </w:rPr>
        <w:t>2022-2024</w:t>
      </w:r>
    </w:p>
    <w:p w:rsidR="00C25838" w:rsidRDefault="00C25838" w14:paraId="11EC6308" w14:textId="71D76146">
      <w:pPr>
        <w:rPr>
          <w:sz w:val="23"/>
          <w:szCs w:val="23"/>
        </w:rPr>
      </w:pPr>
      <w:r w:rsidRPr="00F25A3D">
        <w:rPr>
          <w:sz w:val="23"/>
          <w:szCs w:val="23"/>
        </w:rPr>
        <w:t>6-</w:t>
      </w:r>
      <w:r w:rsidRPr="00F25A3D" w:rsidR="00D6381C">
        <w:rPr>
          <w:sz w:val="23"/>
          <w:szCs w:val="23"/>
        </w:rPr>
        <w:t>3</w:t>
      </w:r>
      <w:r w:rsidRPr="00F25A3D">
        <w:rPr>
          <w:sz w:val="23"/>
          <w:szCs w:val="23"/>
        </w:rPr>
        <w:tab/>
        <w:t>Annual Primacy Agency Burden and Cost</w:t>
      </w:r>
      <w:r w:rsidRPr="00F25A3D" w:rsidR="00E668A4">
        <w:rPr>
          <w:sz w:val="23"/>
          <w:szCs w:val="23"/>
        </w:rPr>
        <w:t xml:space="preserve">, </w:t>
      </w:r>
      <w:r w:rsidR="00926C92">
        <w:rPr>
          <w:sz w:val="23"/>
          <w:szCs w:val="23"/>
        </w:rPr>
        <w:t>2022-2024</w:t>
      </w:r>
    </w:p>
    <w:p w:rsidRPr="00F25A3D" w:rsidR="000024C4" w:rsidP="000024C4" w:rsidRDefault="000024C4" w14:paraId="540573FC" w14:textId="6EBBAD4B">
      <w:pPr>
        <w:rPr>
          <w:sz w:val="23"/>
          <w:szCs w:val="23"/>
        </w:rPr>
      </w:pPr>
      <w:r>
        <w:rPr>
          <w:sz w:val="23"/>
          <w:szCs w:val="23"/>
        </w:rPr>
        <w:t>6-4</w:t>
      </w:r>
      <w:r w:rsidRPr="00F25A3D">
        <w:rPr>
          <w:sz w:val="23"/>
          <w:szCs w:val="23"/>
        </w:rPr>
        <w:tab/>
        <w:t>Annual Reporting Burden by Form</w:t>
      </w:r>
      <w:r>
        <w:rPr>
          <w:sz w:val="23"/>
          <w:szCs w:val="23"/>
        </w:rPr>
        <w:t xml:space="preserve"> (</w:t>
      </w:r>
      <w:r w:rsidR="008176C6">
        <w:rPr>
          <w:sz w:val="23"/>
          <w:szCs w:val="23"/>
        </w:rPr>
        <w:t>Primacy states</w:t>
      </w:r>
      <w:r>
        <w:rPr>
          <w:sz w:val="23"/>
          <w:szCs w:val="23"/>
        </w:rPr>
        <w:t>)</w:t>
      </w:r>
      <w:r w:rsidRPr="00F25A3D">
        <w:rPr>
          <w:sz w:val="23"/>
          <w:szCs w:val="23"/>
        </w:rPr>
        <w:t xml:space="preserve">, </w:t>
      </w:r>
      <w:r w:rsidR="00926C92">
        <w:rPr>
          <w:sz w:val="23"/>
          <w:szCs w:val="23"/>
        </w:rPr>
        <w:t>2022-2024</w:t>
      </w:r>
    </w:p>
    <w:p w:rsidRPr="00F25A3D" w:rsidR="00C25838" w:rsidRDefault="00C25838" w14:paraId="349FEAB8" w14:textId="30F4019F">
      <w:pPr>
        <w:rPr>
          <w:sz w:val="23"/>
          <w:szCs w:val="23"/>
        </w:rPr>
      </w:pPr>
      <w:r w:rsidRPr="00F25A3D">
        <w:rPr>
          <w:sz w:val="23"/>
          <w:szCs w:val="23"/>
        </w:rPr>
        <w:t>6-</w:t>
      </w:r>
      <w:r w:rsidR="000024C4">
        <w:rPr>
          <w:sz w:val="23"/>
          <w:szCs w:val="23"/>
        </w:rPr>
        <w:t>5</w:t>
      </w:r>
      <w:r w:rsidRPr="00F25A3D">
        <w:rPr>
          <w:sz w:val="23"/>
          <w:szCs w:val="23"/>
        </w:rPr>
        <w:tab/>
        <w:t>Annual Agency Burden and Cost</w:t>
      </w:r>
      <w:r w:rsidRPr="00F25A3D" w:rsidR="00E668A4">
        <w:rPr>
          <w:sz w:val="23"/>
          <w:szCs w:val="23"/>
        </w:rPr>
        <w:t xml:space="preserve">, </w:t>
      </w:r>
      <w:r w:rsidR="00926C92">
        <w:rPr>
          <w:sz w:val="23"/>
          <w:szCs w:val="23"/>
        </w:rPr>
        <w:t>2022-2024</w:t>
      </w:r>
    </w:p>
    <w:p w:rsidRPr="00F25A3D" w:rsidR="00C25838" w:rsidRDefault="00C25838" w14:paraId="75FC7340" w14:textId="1BEEEF7B">
      <w:pPr>
        <w:tabs>
          <w:tab w:val="left" w:pos="720"/>
        </w:tabs>
        <w:ind w:left="720" w:hanging="720"/>
        <w:rPr>
          <w:sz w:val="23"/>
          <w:szCs w:val="23"/>
        </w:rPr>
      </w:pPr>
      <w:r w:rsidRPr="00F25A3D">
        <w:rPr>
          <w:sz w:val="23"/>
          <w:szCs w:val="23"/>
        </w:rPr>
        <w:t>6-</w:t>
      </w:r>
      <w:r w:rsidR="000024C4">
        <w:rPr>
          <w:sz w:val="23"/>
          <w:szCs w:val="23"/>
        </w:rPr>
        <w:t>6</w:t>
      </w:r>
      <w:r w:rsidRPr="00F25A3D">
        <w:rPr>
          <w:sz w:val="23"/>
          <w:szCs w:val="23"/>
        </w:rPr>
        <w:tab/>
        <w:t>Bot</w:t>
      </w:r>
      <w:r w:rsidRPr="00F25A3D" w:rsidR="00282622">
        <w:rPr>
          <w:sz w:val="23"/>
          <w:szCs w:val="23"/>
        </w:rPr>
        <w:t>tom Line Annual Burden and Cost</w:t>
      </w:r>
      <w:r w:rsidRPr="00F25A3D" w:rsidR="00E668A4">
        <w:rPr>
          <w:sz w:val="23"/>
          <w:szCs w:val="23"/>
        </w:rPr>
        <w:t xml:space="preserve">, </w:t>
      </w:r>
      <w:r w:rsidR="00926C92">
        <w:rPr>
          <w:sz w:val="23"/>
          <w:szCs w:val="23"/>
        </w:rPr>
        <w:t>2022-2024</w:t>
      </w:r>
    </w:p>
    <w:p w:rsidRPr="00306787" w:rsidR="00C25838" w:rsidRDefault="00C25838" w14:paraId="70DE595B" w14:textId="3865F66F">
      <w:pPr>
        <w:rPr>
          <w:sz w:val="24"/>
          <w:szCs w:val="24"/>
        </w:rPr>
      </w:pPr>
      <w:r w:rsidRPr="00F25A3D">
        <w:rPr>
          <w:sz w:val="23"/>
          <w:szCs w:val="23"/>
        </w:rPr>
        <w:t>6-</w:t>
      </w:r>
      <w:r w:rsidR="000024C4">
        <w:rPr>
          <w:sz w:val="23"/>
          <w:szCs w:val="23"/>
        </w:rPr>
        <w:t>7</w:t>
      </w:r>
      <w:r w:rsidRPr="00F25A3D">
        <w:rPr>
          <w:sz w:val="23"/>
          <w:szCs w:val="23"/>
        </w:rPr>
        <w:tab/>
        <w:t>Annual Burden and Costs Associated with all Well Classes</w:t>
      </w:r>
      <w:r w:rsidRPr="00F25A3D" w:rsidR="00E668A4">
        <w:rPr>
          <w:sz w:val="23"/>
          <w:szCs w:val="23"/>
        </w:rPr>
        <w:t xml:space="preserve">, </w:t>
      </w:r>
      <w:r w:rsidR="00926C92">
        <w:rPr>
          <w:sz w:val="23"/>
          <w:szCs w:val="23"/>
        </w:rPr>
        <w:t>2022-2024</w:t>
      </w:r>
    </w:p>
    <w:bookmarkEnd w:id="1"/>
    <w:p w:rsidRPr="00306787" w:rsidR="00C25838" w:rsidRDefault="00C25838" w14:paraId="1D16E2AF" w14:textId="77777777">
      <w:pPr>
        <w:rPr>
          <w:sz w:val="24"/>
          <w:szCs w:val="24"/>
        </w:rPr>
      </w:pPr>
    </w:p>
    <w:p w:rsidR="008856D8" w:rsidRDefault="008856D8" w14:paraId="12031956" w14:textId="77777777">
      <w:pPr>
        <w:jc w:val="center"/>
        <w:rPr>
          <w:sz w:val="24"/>
          <w:szCs w:val="24"/>
        </w:rPr>
      </w:pPr>
    </w:p>
    <w:p w:rsidR="002505E7" w:rsidRDefault="002505E7" w14:paraId="1BEFAFD7" w14:textId="77777777">
      <w:pPr>
        <w:jc w:val="center"/>
        <w:rPr>
          <w:sz w:val="24"/>
          <w:szCs w:val="24"/>
        </w:rPr>
      </w:pPr>
    </w:p>
    <w:p w:rsidR="00C25838" w:rsidRDefault="00C25838" w14:paraId="55399C67" w14:textId="77777777">
      <w:pPr>
        <w:jc w:val="center"/>
        <w:rPr>
          <w:sz w:val="24"/>
          <w:szCs w:val="24"/>
        </w:rPr>
      </w:pPr>
      <w:r w:rsidRPr="00306787">
        <w:rPr>
          <w:b/>
          <w:bCs/>
          <w:sz w:val="24"/>
          <w:szCs w:val="24"/>
        </w:rPr>
        <w:t>LIST OF APPENDICES</w:t>
      </w:r>
    </w:p>
    <w:p w:rsidR="00C25838" w:rsidRDefault="00C25838" w14:paraId="1E31F855" w14:textId="77777777">
      <w:pPr>
        <w:rPr>
          <w:sz w:val="24"/>
          <w:szCs w:val="24"/>
        </w:rPr>
      </w:pPr>
    </w:p>
    <w:p w:rsidR="00C25838" w:rsidRDefault="00C25838" w14:paraId="7E109158" w14:textId="77777777">
      <w:pPr>
        <w:rPr>
          <w:sz w:val="24"/>
          <w:szCs w:val="24"/>
        </w:rPr>
      </w:pPr>
    </w:p>
    <w:p w:rsidR="00C25838" w:rsidRDefault="00C25838" w14:paraId="5CA4CD36" w14:textId="77777777">
      <w:pPr>
        <w:rPr>
          <w:sz w:val="24"/>
          <w:szCs w:val="24"/>
        </w:rPr>
      </w:pPr>
      <w:r>
        <w:rPr>
          <w:sz w:val="24"/>
          <w:szCs w:val="24"/>
        </w:rPr>
        <w:t>APPENDIX A: Detailed Explanation of Respondent Burden Estimates and Respondent Universe</w:t>
      </w:r>
    </w:p>
    <w:p w:rsidR="00C25838" w:rsidRDefault="00C25838" w14:paraId="39616E5A" w14:textId="77777777">
      <w:pPr>
        <w:rPr>
          <w:sz w:val="24"/>
          <w:szCs w:val="24"/>
        </w:rPr>
      </w:pPr>
    </w:p>
    <w:p w:rsidR="00C25838" w:rsidRDefault="00C25838" w14:paraId="69D35573" w14:textId="77777777">
      <w:pPr>
        <w:rPr>
          <w:sz w:val="24"/>
          <w:szCs w:val="24"/>
        </w:rPr>
      </w:pPr>
      <w:bookmarkStart w:name="_Hlk508604276" w:id="2"/>
      <w:r>
        <w:rPr>
          <w:sz w:val="24"/>
          <w:szCs w:val="24"/>
        </w:rPr>
        <w:t xml:space="preserve">APPENDIX </w:t>
      </w:r>
      <w:r w:rsidR="001F4497">
        <w:rPr>
          <w:sz w:val="24"/>
          <w:szCs w:val="24"/>
        </w:rPr>
        <w:t>B</w:t>
      </w:r>
      <w:r>
        <w:rPr>
          <w:sz w:val="24"/>
          <w:szCs w:val="24"/>
        </w:rPr>
        <w:t xml:space="preserve">: </w:t>
      </w:r>
      <w:r>
        <w:rPr>
          <w:iCs/>
          <w:sz w:val="24"/>
          <w:szCs w:val="24"/>
        </w:rPr>
        <w:t>Federal Register</w:t>
      </w:r>
      <w:r>
        <w:rPr>
          <w:sz w:val="24"/>
          <w:szCs w:val="24"/>
        </w:rPr>
        <w:t xml:space="preserve"> Notice on UIC Program Reporting Requirements</w:t>
      </w:r>
    </w:p>
    <w:p w:rsidR="00C25838" w:rsidRDefault="00C25838" w14:paraId="6B82060D" w14:textId="77777777">
      <w:pPr>
        <w:rPr>
          <w:sz w:val="24"/>
          <w:szCs w:val="24"/>
        </w:rPr>
      </w:pPr>
    </w:p>
    <w:p w:rsidR="00C25838" w:rsidRDefault="00C25838" w14:paraId="762F026D" w14:textId="5A6652FC">
      <w:pPr>
        <w:rPr>
          <w:sz w:val="24"/>
          <w:szCs w:val="24"/>
        </w:rPr>
      </w:pPr>
      <w:r>
        <w:rPr>
          <w:sz w:val="24"/>
          <w:szCs w:val="24"/>
        </w:rPr>
        <w:t xml:space="preserve">APPENDIX </w:t>
      </w:r>
      <w:r w:rsidR="001F4497">
        <w:rPr>
          <w:sz w:val="24"/>
          <w:szCs w:val="24"/>
        </w:rPr>
        <w:t>C</w:t>
      </w:r>
      <w:r>
        <w:rPr>
          <w:sz w:val="24"/>
          <w:szCs w:val="24"/>
        </w:rPr>
        <w:t xml:space="preserve">: </w:t>
      </w:r>
      <w:r w:rsidR="00F817B9">
        <w:rPr>
          <w:sz w:val="24"/>
          <w:szCs w:val="24"/>
        </w:rPr>
        <w:t xml:space="preserve">UIC Program </w:t>
      </w:r>
      <w:r w:rsidR="005A238D">
        <w:rPr>
          <w:sz w:val="24"/>
          <w:szCs w:val="24"/>
        </w:rPr>
        <w:t xml:space="preserve">Owner or Operator </w:t>
      </w:r>
      <w:r w:rsidR="00F817B9">
        <w:rPr>
          <w:sz w:val="24"/>
          <w:szCs w:val="24"/>
        </w:rPr>
        <w:t xml:space="preserve">Burden Reduction Efforts </w:t>
      </w:r>
    </w:p>
    <w:p w:rsidR="00F817B9" w:rsidRDefault="00F817B9" w14:paraId="047D0A69" w14:textId="77777777">
      <w:pPr>
        <w:rPr>
          <w:sz w:val="24"/>
          <w:szCs w:val="24"/>
        </w:rPr>
      </w:pPr>
    </w:p>
    <w:p w:rsidR="00F817B9" w:rsidP="00F817B9" w:rsidRDefault="00F817B9" w14:paraId="4C050688" w14:textId="77777777">
      <w:pPr>
        <w:rPr>
          <w:sz w:val="24"/>
          <w:szCs w:val="24"/>
        </w:rPr>
      </w:pPr>
      <w:r>
        <w:rPr>
          <w:sz w:val="24"/>
          <w:szCs w:val="24"/>
        </w:rPr>
        <w:t xml:space="preserve">APPENDIX </w:t>
      </w:r>
      <w:r w:rsidR="001F4497">
        <w:rPr>
          <w:sz w:val="24"/>
          <w:szCs w:val="24"/>
        </w:rPr>
        <w:t>D</w:t>
      </w:r>
      <w:r>
        <w:rPr>
          <w:sz w:val="24"/>
          <w:szCs w:val="24"/>
        </w:rPr>
        <w:t xml:space="preserve">: UIC Reporting Forms </w:t>
      </w:r>
    </w:p>
    <w:bookmarkEnd w:id="2"/>
    <w:p w:rsidR="00332915" w:rsidP="00F817B9" w:rsidRDefault="00332915" w14:paraId="77D86592" w14:textId="77777777">
      <w:pPr>
        <w:rPr>
          <w:sz w:val="24"/>
          <w:szCs w:val="24"/>
        </w:rPr>
      </w:pPr>
    </w:p>
    <w:p w:rsidR="00C25838" w:rsidRDefault="00C25838" w14:paraId="43BD8DE5" w14:textId="77777777">
      <w:pPr>
        <w:rPr>
          <w:sz w:val="24"/>
          <w:szCs w:val="24"/>
        </w:rPr>
      </w:pPr>
    </w:p>
    <w:p w:rsidR="00C25838" w:rsidRDefault="00C25838" w14:paraId="59F96DC5" w14:textId="77777777">
      <w:pPr>
        <w:rPr>
          <w:sz w:val="24"/>
          <w:szCs w:val="24"/>
        </w:rPr>
      </w:pPr>
    </w:p>
    <w:p w:rsidRPr="00435238" w:rsidR="00C25838" w:rsidRDefault="00435238" w14:paraId="50F507C4" w14:textId="77777777">
      <w:pPr>
        <w:pStyle w:val="test"/>
        <w:rPr>
          <w:b/>
        </w:rPr>
        <w:sectPr w:rsidRPr="00435238" w:rsidR="00C25838" w:rsidSect="00D05E73">
          <w:footerReference w:type="default" r:id="rId12"/>
          <w:type w:val="continuous"/>
          <w:pgSz w:w="12240" w:h="15840"/>
          <w:pgMar w:top="1440" w:right="1440" w:bottom="1440" w:left="1440" w:header="1440" w:footer="1440" w:gutter="0"/>
          <w:pgNumType w:fmt="lowerRoman" w:start="1"/>
          <w:cols w:space="720"/>
          <w:noEndnote/>
        </w:sectPr>
      </w:pPr>
      <w:r>
        <w:rPr>
          <w:b/>
          <w:highlight w:val="magenta"/>
        </w:rPr>
        <w:t xml:space="preserve"> </w:t>
      </w:r>
    </w:p>
    <w:p w:rsidR="00C25838" w:rsidP="001941A8" w:rsidRDefault="00C25838" w14:paraId="6337C4F1" w14:textId="77777777">
      <w:pPr>
        <w:pStyle w:val="Heading1"/>
        <w:rPr>
          <w:sz w:val="24"/>
        </w:rPr>
      </w:pPr>
      <w:r>
        <w:lastRenderedPageBreak/>
        <w:t>1.</w:t>
      </w:r>
      <w:r>
        <w:tab/>
        <w:t>Identification of the Information Collection</w:t>
      </w:r>
      <w:r w:rsidR="00766F8E">
        <w:fldChar w:fldCharType="begin"/>
      </w:r>
      <w:r>
        <w:instrText>tc "</w:instrText>
      </w:r>
      <w:bookmarkStart w:name="_Toc511659991" w:id="3"/>
      <w:bookmarkStart w:name="_Toc511713500" w:id="4"/>
      <w:r>
        <w:instrText>1.</w:instrText>
      </w:r>
      <w:r>
        <w:tab/>
        <w:instrText>Identification of the Information Collection</w:instrText>
      </w:r>
      <w:bookmarkEnd w:id="3"/>
      <w:bookmarkEnd w:id="4"/>
      <w:r>
        <w:instrText>"</w:instrText>
      </w:r>
      <w:r w:rsidR="00766F8E">
        <w:fldChar w:fldCharType="end"/>
      </w:r>
    </w:p>
    <w:p w:rsidR="00C25838" w:rsidRDefault="00C25838" w14:paraId="6D8B2A1D" w14:textId="77777777">
      <w:pPr>
        <w:rPr>
          <w:b/>
          <w:bCs/>
          <w:sz w:val="24"/>
          <w:szCs w:val="24"/>
        </w:rPr>
      </w:pPr>
    </w:p>
    <w:p w:rsidR="00C25838" w:rsidRDefault="00C25838" w14:paraId="0EDB8F34" w14:textId="77777777">
      <w:pPr>
        <w:rPr>
          <w:b/>
          <w:bCs/>
          <w:sz w:val="24"/>
          <w:szCs w:val="24"/>
        </w:rPr>
      </w:pPr>
    </w:p>
    <w:p w:rsidR="00C25838" w:rsidP="001941A8" w:rsidRDefault="00C25838" w14:paraId="18116A53" w14:textId="77777777">
      <w:pPr>
        <w:pStyle w:val="Heading2"/>
        <w:rPr>
          <w:sz w:val="24"/>
        </w:rPr>
      </w:pPr>
      <w:r>
        <w:t>1(a)</w:t>
      </w:r>
      <w:r>
        <w:tab/>
        <w:t xml:space="preserve">Title and Number of the Information Collection </w:t>
      </w:r>
      <w:r w:rsidR="00766F8E">
        <w:fldChar w:fldCharType="begin"/>
      </w:r>
      <w:r>
        <w:instrText>tc "</w:instrText>
      </w:r>
      <w:bookmarkStart w:name="_Toc511659992" w:id="5"/>
      <w:bookmarkStart w:name="_Toc511713501" w:id="6"/>
      <w:r>
        <w:instrText>1(a)</w:instrText>
      </w:r>
      <w:r>
        <w:tab/>
        <w:instrText>Title and Number of the Information Collection</w:instrText>
      </w:r>
      <w:bookmarkEnd w:id="5"/>
      <w:bookmarkEnd w:id="6"/>
      <w:r>
        <w:instrText xml:space="preserve"> " \l 2</w:instrText>
      </w:r>
      <w:r w:rsidR="00766F8E">
        <w:fldChar w:fldCharType="end"/>
      </w:r>
    </w:p>
    <w:p w:rsidR="00C25838" w:rsidRDefault="00C25838" w14:paraId="6F28C0F9" w14:textId="77777777">
      <w:pPr>
        <w:rPr>
          <w:sz w:val="24"/>
          <w:szCs w:val="24"/>
        </w:rPr>
      </w:pPr>
    </w:p>
    <w:p w:rsidR="00C25838" w:rsidRDefault="00C25838" w14:paraId="098013F6" w14:textId="77777777">
      <w:pPr>
        <w:rPr>
          <w:sz w:val="24"/>
          <w:szCs w:val="24"/>
        </w:rPr>
      </w:pPr>
      <w:r>
        <w:rPr>
          <w:sz w:val="24"/>
          <w:szCs w:val="24"/>
        </w:rPr>
        <w:tab/>
        <w:t>Underground Injection Control Program Information</w:t>
      </w:r>
    </w:p>
    <w:p w:rsidRPr="00AD69E5" w:rsidR="00AD69E5" w:rsidP="00AD69E5" w:rsidRDefault="00C25838" w14:paraId="118A6F74" w14:textId="77777777">
      <w:pPr>
        <w:rPr>
          <w:sz w:val="24"/>
          <w:szCs w:val="24"/>
        </w:rPr>
      </w:pPr>
      <w:r>
        <w:rPr>
          <w:sz w:val="24"/>
          <w:szCs w:val="24"/>
        </w:rPr>
        <w:tab/>
      </w:r>
    </w:p>
    <w:p w:rsidRPr="00AD69E5" w:rsidR="00AD69E5" w:rsidP="00AD69E5" w:rsidRDefault="00AD69E5" w14:paraId="06E279A1" w14:textId="77777777">
      <w:pPr>
        <w:ind w:left="720"/>
        <w:rPr>
          <w:sz w:val="24"/>
          <w:szCs w:val="24"/>
        </w:rPr>
      </w:pPr>
      <w:r w:rsidRPr="00AD69E5">
        <w:rPr>
          <w:sz w:val="24"/>
          <w:szCs w:val="24"/>
        </w:rPr>
        <w:t>OMB Control Number:</w:t>
      </w:r>
      <w:r w:rsidRPr="00AD69E5">
        <w:rPr>
          <w:sz w:val="24"/>
          <w:szCs w:val="24"/>
        </w:rPr>
        <w:tab/>
      </w:r>
      <w:r w:rsidRPr="00306787">
        <w:rPr>
          <w:sz w:val="24"/>
          <w:szCs w:val="24"/>
        </w:rPr>
        <w:t>2040-0042</w:t>
      </w:r>
    </w:p>
    <w:p w:rsidRPr="00AD69E5" w:rsidR="00AD69E5" w:rsidP="00AD69E5" w:rsidRDefault="00AD69E5" w14:paraId="3960C9B7" w14:textId="29ED75C4">
      <w:pPr>
        <w:ind w:left="720"/>
        <w:rPr>
          <w:sz w:val="24"/>
          <w:szCs w:val="24"/>
        </w:rPr>
      </w:pPr>
      <w:r w:rsidRPr="00AD69E5">
        <w:rPr>
          <w:sz w:val="24"/>
          <w:szCs w:val="24"/>
        </w:rPr>
        <w:t>EPA Tracking Number:</w:t>
      </w:r>
      <w:r w:rsidRPr="00AD69E5">
        <w:rPr>
          <w:sz w:val="24"/>
          <w:szCs w:val="24"/>
        </w:rPr>
        <w:tab/>
      </w:r>
      <w:r w:rsidRPr="00AF41AC" w:rsidR="00C0128B">
        <w:rPr>
          <w:sz w:val="24"/>
          <w:szCs w:val="24"/>
        </w:rPr>
        <w:t>0370.2</w:t>
      </w:r>
      <w:r w:rsidRPr="00AF41AC" w:rsidR="007F31F5">
        <w:rPr>
          <w:sz w:val="24"/>
          <w:szCs w:val="24"/>
        </w:rPr>
        <w:t>7</w:t>
      </w:r>
      <w:r w:rsidR="00F84502">
        <w:rPr>
          <w:sz w:val="24"/>
          <w:szCs w:val="24"/>
        </w:rPr>
        <w:t xml:space="preserve"> </w:t>
      </w:r>
    </w:p>
    <w:p w:rsidR="00C25838" w:rsidRDefault="00C25838" w14:paraId="51273C1C" w14:textId="77777777">
      <w:pPr>
        <w:rPr>
          <w:sz w:val="24"/>
          <w:szCs w:val="24"/>
        </w:rPr>
      </w:pPr>
    </w:p>
    <w:p w:rsidR="00C25838" w:rsidRDefault="00C25838" w14:paraId="6939D4B6" w14:textId="77777777">
      <w:pPr>
        <w:pStyle w:val="test"/>
      </w:pPr>
    </w:p>
    <w:p w:rsidR="00C25838" w:rsidP="001941A8" w:rsidRDefault="00C25838" w14:paraId="6AA24273" w14:textId="77777777">
      <w:pPr>
        <w:pStyle w:val="Heading2"/>
        <w:rPr>
          <w:sz w:val="24"/>
        </w:rPr>
      </w:pPr>
      <w:r>
        <w:t>1(b)</w:t>
      </w:r>
      <w:r>
        <w:tab/>
        <w:t xml:space="preserve">Short Characterization </w:t>
      </w:r>
      <w:r w:rsidR="00766F8E">
        <w:fldChar w:fldCharType="begin"/>
      </w:r>
      <w:r>
        <w:instrText>tc "</w:instrText>
      </w:r>
      <w:bookmarkStart w:name="_Toc511659993" w:id="7"/>
      <w:bookmarkStart w:name="_Toc511713502" w:id="8"/>
      <w:r>
        <w:instrText>1(b)</w:instrText>
      </w:r>
      <w:r>
        <w:tab/>
        <w:instrText>Short Characterization</w:instrText>
      </w:r>
      <w:bookmarkEnd w:id="7"/>
      <w:bookmarkEnd w:id="8"/>
      <w:r>
        <w:instrText xml:space="preserve"> " \l 2</w:instrText>
      </w:r>
      <w:r w:rsidR="00766F8E">
        <w:fldChar w:fldCharType="end"/>
      </w:r>
    </w:p>
    <w:p w:rsidR="00C25838" w:rsidRDefault="00C25838" w14:paraId="6DDC2B0A" w14:textId="77777777">
      <w:pPr>
        <w:rPr>
          <w:sz w:val="24"/>
          <w:szCs w:val="24"/>
        </w:rPr>
      </w:pPr>
    </w:p>
    <w:p w:rsidR="00C25838" w:rsidRDefault="00C25838" w14:paraId="326C02BD" w14:textId="08B74FF6">
      <w:pPr>
        <w:rPr>
          <w:sz w:val="24"/>
          <w:szCs w:val="24"/>
        </w:rPr>
      </w:pPr>
      <w:r>
        <w:rPr>
          <w:sz w:val="24"/>
          <w:szCs w:val="24"/>
        </w:rPr>
        <w:tab/>
      </w:r>
      <w:r w:rsidR="0023053B">
        <w:rPr>
          <w:sz w:val="24"/>
          <w:szCs w:val="24"/>
        </w:rPr>
        <w:t>The U.S. Environmental Protection Agency (EPA) will use t</w:t>
      </w:r>
      <w:r>
        <w:rPr>
          <w:sz w:val="24"/>
          <w:szCs w:val="24"/>
        </w:rPr>
        <w:t>he information collected upon extension of the approval of this Information Collection Request (ICR)</w:t>
      </w:r>
      <w:r w:rsidR="0023053B">
        <w:rPr>
          <w:sz w:val="24"/>
          <w:szCs w:val="24"/>
        </w:rPr>
        <w:t xml:space="preserve"> </w:t>
      </w:r>
      <w:r>
        <w:rPr>
          <w:sz w:val="24"/>
          <w:szCs w:val="24"/>
        </w:rPr>
        <w:t xml:space="preserve">for the monitoring and </w:t>
      </w:r>
      <w:r w:rsidR="00943722">
        <w:rPr>
          <w:sz w:val="24"/>
          <w:szCs w:val="24"/>
        </w:rPr>
        <w:t xml:space="preserve">oversight </w:t>
      </w:r>
      <w:r>
        <w:rPr>
          <w:sz w:val="24"/>
          <w:szCs w:val="24"/>
        </w:rPr>
        <w:t xml:space="preserve">of the Underground Injection Control </w:t>
      </w:r>
      <w:r w:rsidRPr="00F71756">
        <w:rPr>
          <w:sz w:val="24"/>
          <w:szCs w:val="24"/>
        </w:rPr>
        <w:t xml:space="preserve">(UIC) </w:t>
      </w:r>
      <w:r w:rsidR="001A2028">
        <w:rPr>
          <w:sz w:val="24"/>
          <w:szCs w:val="24"/>
        </w:rPr>
        <w:t>Program</w:t>
      </w:r>
      <w:r w:rsidR="00632897">
        <w:rPr>
          <w:sz w:val="24"/>
          <w:szCs w:val="24"/>
        </w:rPr>
        <w:t xml:space="preserve"> as</w:t>
      </w:r>
      <w:r w:rsidR="001A2028">
        <w:rPr>
          <w:sz w:val="24"/>
          <w:szCs w:val="24"/>
        </w:rPr>
        <w:t xml:space="preserve"> </w:t>
      </w:r>
      <w:r w:rsidRPr="00F71756">
        <w:rPr>
          <w:sz w:val="24"/>
          <w:szCs w:val="24"/>
        </w:rPr>
        <w:t xml:space="preserve">authorized by the Safe </w:t>
      </w:r>
      <w:r>
        <w:rPr>
          <w:sz w:val="24"/>
          <w:szCs w:val="24"/>
        </w:rPr>
        <w:t xml:space="preserve">Drinking Water Act (SDWA). </w:t>
      </w:r>
      <w:r w:rsidR="00632897">
        <w:rPr>
          <w:sz w:val="24"/>
          <w:szCs w:val="24"/>
        </w:rPr>
        <w:t xml:space="preserve">The agency </w:t>
      </w:r>
      <w:r w:rsidR="0023053B">
        <w:rPr>
          <w:sz w:val="24"/>
          <w:szCs w:val="24"/>
        </w:rPr>
        <w:t xml:space="preserve">developed </w:t>
      </w:r>
      <w:r>
        <w:rPr>
          <w:sz w:val="24"/>
          <w:szCs w:val="24"/>
        </w:rPr>
        <w:t xml:space="preserve">the UIC Program to establish a federal-state regulatory system to </w:t>
      </w:r>
      <w:r w:rsidR="00003C7B">
        <w:rPr>
          <w:sz w:val="24"/>
          <w:szCs w:val="24"/>
        </w:rPr>
        <w:t xml:space="preserve">protect </w:t>
      </w:r>
      <w:r>
        <w:rPr>
          <w:sz w:val="24"/>
          <w:szCs w:val="24"/>
        </w:rPr>
        <w:t xml:space="preserve">actual or potential underground sources of drinking water (USDWs) </w:t>
      </w:r>
      <w:r w:rsidR="00003C7B">
        <w:rPr>
          <w:sz w:val="24"/>
          <w:szCs w:val="24"/>
        </w:rPr>
        <w:t xml:space="preserve">by ensuring that they </w:t>
      </w:r>
      <w:r>
        <w:rPr>
          <w:sz w:val="24"/>
          <w:szCs w:val="24"/>
        </w:rPr>
        <w:t>are not endangered by the underground injection of fluids</w:t>
      </w:r>
      <w:r w:rsidR="00F84502">
        <w:rPr>
          <w:sz w:val="24"/>
          <w:szCs w:val="24"/>
        </w:rPr>
        <w:t xml:space="preserve">. </w:t>
      </w:r>
      <w:r w:rsidR="006C5F22">
        <w:rPr>
          <w:sz w:val="24"/>
          <w:szCs w:val="24"/>
        </w:rPr>
        <w:t xml:space="preserve">The purpose of this collection is to </w:t>
      </w:r>
      <w:r w:rsidR="00264A6D">
        <w:rPr>
          <w:sz w:val="24"/>
          <w:szCs w:val="24"/>
        </w:rPr>
        <w:t xml:space="preserve">help EPA effectively manage the UIC </w:t>
      </w:r>
      <w:r w:rsidR="00943722">
        <w:rPr>
          <w:sz w:val="24"/>
          <w:szCs w:val="24"/>
        </w:rPr>
        <w:t xml:space="preserve">Program </w:t>
      </w:r>
      <w:r w:rsidR="00264A6D">
        <w:rPr>
          <w:sz w:val="24"/>
          <w:szCs w:val="24"/>
        </w:rPr>
        <w:t xml:space="preserve">and </w:t>
      </w:r>
      <w:r w:rsidR="006C5F22">
        <w:rPr>
          <w:sz w:val="24"/>
          <w:szCs w:val="24"/>
        </w:rPr>
        <w:t xml:space="preserve">ensure </w:t>
      </w:r>
      <w:r w:rsidR="00605389">
        <w:rPr>
          <w:sz w:val="24"/>
          <w:szCs w:val="24"/>
        </w:rPr>
        <w:t xml:space="preserve">the </w:t>
      </w:r>
      <w:r w:rsidR="00264A6D">
        <w:rPr>
          <w:sz w:val="24"/>
          <w:szCs w:val="24"/>
        </w:rPr>
        <w:t xml:space="preserve">protection of </w:t>
      </w:r>
      <w:r w:rsidR="006C5F22">
        <w:rPr>
          <w:sz w:val="24"/>
          <w:szCs w:val="24"/>
        </w:rPr>
        <w:t>USDWs</w:t>
      </w:r>
      <w:r w:rsidR="00264A6D">
        <w:rPr>
          <w:sz w:val="24"/>
          <w:szCs w:val="24"/>
        </w:rPr>
        <w:t xml:space="preserve">. </w:t>
      </w:r>
    </w:p>
    <w:p w:rsidR="00C25838" w:rsidRDefault="00C25838" w14:paraId="74B1D9E9" w14:textId="77777777">
      <w:pPr>
        <w:rPr>
          <w:sz w:val="24"/>
          <w:szCs w:val="24"/>
        </w:rPr>
      </w:pPr>
    </w:p>
    <w:p w:rsidRPr="00F71756" w:rsidR="00C25838" w:rsidRDefault="00C25838" w14:paraId="6601A3E6" w14:textId="73FF03A1">
      <w:pPr>
        <w:rPr>
          <w:sz w:val="24"/>
          <w:szCs w:val="24"/>
        </w:rPr>
      </w:pPr>
      <w:r>
        <w:rPr>
          <w:sz w:val="24"/>
          <w:szCs w:val="24"/>
        </w:rPr>
        <w:tab/>
        <w:t xml:space="preserve">Monitoring and enforcement are primarily achieved through initial, </w:t>
      </w:r>
      <w:r w:rsidRPr="00805F29">
        <w:rPr>
          <w:sz w:val="24"/>
          <w:szCs w:val="24"/>
        </w:rPr>
        <w:t xml:space="preserve">quarterly, </w:t>
      </w:r>
      <w:r w:rsidRPr="00805F29" w:rsidR="00CF6C11">
        <w:rPr>
          <w:sz w:val="24"/>
          <w:szCs w:val="24"/>
        </w:rPr>
        <w:t>semi-annual</w:t>
      </w:r>
      <w:r w:rsidRPr="00805F29" w:rsidR="0098337D">
        <w:rPr>
          <w:sz w:val="24"/>
          <w:szCs w:val="24"/>
        </w:rPr>
        <w:t>,</w:t>
      </w:r>
      <w:r w:rsidRPr="00805F29" w:rsidR="00CF6C11">
        <w:rPr>
          <w:sz w:val="24"/>
          <w:szCs w:val="24"/>
        </w:rPr>
        <w:t xml:space="preserve"> </w:t>
      </w:r>
      <w:r w:rsidRPr="00805F29">
        <w:rPr>
          <w:sz w:val="24"/>
          <w:szCs w:val="24"/>
        </w:rPr>
        <w:t>and annual reporting requirements</w:t>
      </w:r>
      <w:r w:rsidR="00F84502">
        <w:rPr>
          <w:sz w:val="24"/>
          <w:szCs w:val="24"/>
        </w:rPr>
        <w:t xml:space="preserve">. </w:t>
      </w:r>
      <w:r w:rsidRPr="00805F29">
        <w:rPr>
          <w:sz w:val="24"/>
          <w:szCs w:val="24"/>
        </w:rPr>
        <w:t>Information is gathered both at the state</w:t>
      </w:r>
      <w:r w:rsidRPr="00805F29" w:rsidR="00F53441">
        <w:rPr>
          <w:rStyle w:val="FootnoteReference"/>
          <w:sz w:val="24"/>
          <w:szCs w:val="24"/>
        </w:rPr>
        <w:footnoteReference w:id="2"/>
      </w:r>
      <w:r w:rsidRPr="00805F29">
        <w:rPr>
          <w:sz w:val="24"/>
          <w:szCs w:val="24"/>
        </w:rPr>
        <w:t xml:space="preserve"> program level and at the </w:t>
      </w:r>
      <w:r w:rsidRPr="00805F29" w:rsidR="006A67E3">
        <w:rPr>
          <w:sz w:val="24"/>
          <w:szCs w:val="24"/>
        </w:rPr>
        <w:t xml:space="preserve">EPA </w:t>
      </w:r>
      <w:r w:rsidRPr="00805F29">
        <w:rPr>
          <w:sz w:val="24"/>
          <w:szCs w:val="24"/>
        </w:rPr>
        <w:t>regional level</w:t>
      </w:r>
      <w:r w:rsidR="00F84502">
        <w:rPr>
          <w:sz w:val="24"/>
          <w:szCs w:val="24"/>
        </w:rPr>
        <w:t xml:space="preserve">. </w:t>
      </w:r>
      <w:r w:rsidRPr="00805F29">
        <w:rPr>
          <w:sz w:val="24"/>
          <w:szCs w:val="24"/>
        </w:rPr>
        <w:t xml:space="preserve">Each </w:t>
      </w:r>
      <w:r w:rsidR="0023053B">
        <w:rPr>
          <w:sz w:val="24"/>
          <w:szCs w:val="24"/>
        </w:rPr>
        <w:t xml:space="preserve">EPA </w:t>
      </w:r>
      <w:r w:rsidRPr="00805F29">
        <w:rPr>
          <w:sz w:val="24"/>
          <w:szCs w:val="24"/>
        </w:rPr>
        <w:t xml:space="preserve">Region has the role of implementing UIC </w:t>
      </w:r>
      <w:r w:rsidRPr="00F71756">
        <w:rPr>
          <w:sz w:val="24"/>
          <w:szCs w:val="24"/>
        </w:rPr>
        <w:t>programs for states</w:t>
      </w:r>
      <w:r w:rsidR="0023034A">
        <w:rPr>
          <w:sz w:val="24"/>
          <w:szCs w:val="24"/>
        </w:rPr>
        <w:t>,</w:t>
      </w:r>
      <w:r w:rsidRPr="0023034A" w:rsidR="0023034A">
        <w:t xml:space="preserve"> </w:t>
      </w:r>
      <w:r w:rsidRPr="0023034A" w:rsidR="0023034A">
        <w:rPr>
          <w:sz w:val="24"/>
          <w:szCs w:val="24"/>
        </w:rPr>
        <w:t>trib</w:t>
      </w:r>
      <w:r w:rsidR="0023034A">
        <w:rPr>
          <w:sz w:val="24"/>
          <w:szCs w:val="24"/>
        </w:rPr>
        <w:t>es</w:t>
      </w:r>
      <w:r w:rsidRPr="0023034A" w:rsidR="0023034A">
        <w:rPr>
          <w:sz w:val="24"/>
          <w:szCs w:val="24"/>
        </w:rPr>
        <w:t>, and territories</w:t>
      </w:r>
      <w:r w:rsidRPr="00F71756">
        <w:rPr>
          <w:sz w:val="24"/>
          <w:szCs w:val="24"/>
        </w:rPr>
        <w:t xml:space="preserve"> that do not have UIC program</w:t>
      </w:r>
      <w:r w:rsidR="00714F4D">
        <w:rPr>
          <w:sz w:val="24"/>
          <w:szCs w:val="24"/>
        </w:rPr>
        <w:t xml:space="preserve"> primacy</w:t>
      </w:r>
      <w:r w:rsidRPr="00F71756">
        <w:rPr>
          <w:sz w:val="24"/>
          <w:szCs w:val="24"/>
        </w:rPr>
        <w:t>.</w:t>
      </w:r>
      <w:r w:rsidRPr="00F71756">
        <w:rPr>
          <w:rStyle w:val="FootnoteReference"/>
          <w:sz w:val="24"/>
          <w:szCs w:val="24"/>
        </w:rPr>
        <w:footnoteReference w:id="3"/>
      </w:r>
      <w:r w:rsidR="00F84502">
        <w:rPr>
          <w:sz w:val="24"/>
          <w:szCs w:val="24"/>
        </w:rPr>
        <w:t xml:space="preserve"> </w:t>
      </w:r>
      <w:r w:rsidRPr="00F71756">
        <w:rPr>
          <w:sz w:val="24"/>
          <w:szCs w:val="24"/>
        </w:rPr>
        <w:t xml:space="preserve">In addition, each Region must compile and submit information to EPA Headquarters from all respective </w:t>
      </w:r>
      <w:r w:rsidR="006A67E3">
        <w:rPr>
          <w:sz w:val="24"/>
          <w:szCs w:val="24"/>
        </w:rPr>
        <w:t xml:space="preserve">state </w:t>
      </w:r>
      <w:r w:rsidRPr="00F71756">
        <w:rPr>
          <w:sz w:val="24"/>
          <w:szCs w:val="24"/>
        </w:rPr>
        <w:t xml:space="preserve">UIC </w:t>
      </w:r>
      <w:r w:rsidR="008176C6">
        <w:rPr>
          <w:sz w:val="24"/>
          <w:szCs w:val="24"/>
        </w:rPr>
        <w:t xml:space="preserve">primacy </w:t>
      </w:r>
      <w:r w:rsidRPr="00F71756">
        <w:rPr>
          <w:sz w:val="24"/>
          <w:szCs w:val="24"/>
        </w:rPr>
        <w:t>programs</w:t>
      </w:r>
      <w:r w:rsidR="00F84502">
        <w:rPr>
          <w:sz w:val="24"/>
          <w:szCs w:val="24"/>
        </w:rPr>
        <w:t xml:space="preserve">. </w:t>
      </w:r>
      <w:r w:rsidRPr="00F71756">
        <w:rPr>
          <w:sz w:val="24"/>
          <w:szCs w:val="24"/>
        </w:rPr>
        <w:t>This information is submitted in summary reports to EPA Headquarters.</w:t>
      </w:r>
      <w:r w:rsidR="005E7107">
        <w:rPr>
          <w:sz w:val="24"/>
          <w:szCs w:val="24"/>
        </w:rPr>
        <w:t xml:space="preserve"> </w:t>
      </w:r>
    </w:p>
    <w:p w:rsidRPr="00F71756" w:rsidR="00C25838" w:rsidRDefault="00C25838" w14:paraId="67F989E4" w14:textId="77777777">
      <w:pPr>
        <w:pStyle w:val="test"/>
      </w:pPr>
    </w:p>
    <w:p w:rsidRPr="00F71756" w:rsidR="00F71756" w:rsidP="00D54D3F" w:rsidRDefault="00C25838" w14:paraId="6B2BD9C6" w14:textId="7369AB62">
      <w:pPr>
        <w:rPr>
          <w:sz w:val="24"/>
          <w:szCs w:val="24"/>
        </w:rPr>
      </w:pPr>
      <w:r w:rsidRPr="00F71756">
        <w:rPr>
          <w:sz w:val="24"/>
          <w:szCs w:val="24"/>
        </w:rPr>
        <w:tab/>
      </w:r>
      <w:r w:rsidRPr="00F71756" w:rsidR="00F71756">
        <w:rPr>
          <w:sz w:val="24"/>
          <w:szCs w:val="24"/>
        </w:rPr>
        <w:t xml:space="preserve">Section 144.6 of </w:t>
      </w:r>
      <w:r w:rsidR="0023053B">
        <w:rPr>
          <w:sz w:val="24"/>
          <w:szCs w:val="24"/>
        </w:rPr>
        <w:t xml:space="preserve">Title 40 of the </w:t>
      </w:r>
      <w:r w:rsidRPr="00210B6A" w:rsidR="0023053B">
        <w:rPr>
          <w:i/>
          <w:sz w:val="24"/>
          <w:szCs w:val="24"/>
        </w:rPr>
        <w:t>Code of Federal Regulations</w:t>
      </w:r>
      <w:r w:rsidR="0023053B">
        <w:rPr>
          <w:sz w:val="24"/>
          <w:szCs w:val="24"/>
        </w:rPr>
        <w:t xml:space="preserve"> (</w:t>
      </w:r>
      <w:r w:rsidRPr="00F71756" w:rsidR="00F71756">
        <w:rPr>
          <w:sz w:val="24"/>
          <w:szCs w:val="24"/>
        </w:rPr>
        <w:t>CFR</w:t>
      </w:r>
      <w:r w:rsidR="0023053B">
        <w:rPr>
          <w:sz w:val="24"/>
          <w:szCs w:val="24"/>
        </w:rPr>
        <w:t>)</w:t>
      </w:r>
      <w:r w:rsidRPr="00F71756" w:rsidR="00F71756">
        <w:rPr>
          <w:sz w:val="24"/>
          <w:szCs w:val="24"/>
        </w:rPr>
        <w:t xml:space="preserve"> describes the </w:t>
      </w:r>
      <w:r w:rsidR="005E7107">
        <w:rPr>
          <w:sz w:val="24"/>
          <w:szCs w:val="24"/>
        </w:rPr>
        <w:t>six</w:t>
      </w:r>
      <w:r w:rsidRPr="00F71756" w:rsidR="005E7107">
        <w:rPr>
          <w:sz w:val="24"/>
          <w:szCs w:val="24"/>
        </w:rPr>
        <w:t xml:space="preserve"> </w:t>
      </w:r>
      <w:r w:rsidR="002505E7">
        <w:rPr>
          <w:sz w:val="24"/>
          <w:szCs w:val="24"/>
        </w:rPr>
        <w:t xml:space="preserve">classes of </w:t>
      </w:r>
      <w:r w:rsidRPr="00F71756" w:rsidR="00F71756">
        <w:rPr>
          <w:sz w:val="24"/>
          <w:szCs w:val="24"/>
        </w:rPr>
        <w:t>injection well</w:t>
      </w:r>
      <w:r w:rsidR="002505E7">
        <w:rPr>
          <w:sz w:val="24"/>
          <w:szCs w:val="24"/>
        </w:rPr>
        <w:t>s</w:t>
      </w:r>
      <w:r w:rsidRPr="00F71756" w:rsidR="00F71756">
        <w:rPr>
          <w:sz w:val="24"/>
          <w:szCs w:val="24"/>
        </w:rPr>
        <w:t xml:space="preserve"> (see Exhibit 2-1)</w:t>
      </w:r>
      <w:r w:rsidR="00F84502">
        <w:rPr>
          <w:sz w:val="24"/>
          <w:szCs w:val="24"/>
        </w:rPr>
        <w:t xml:space="preserve">. </w:t>
      </w:r>
      <w:r w:rsidR="00D54D3F">
        <w:rPr>
          <w:sz w:val="24"/>
          <w:szCs w:val="24"/>
        </w:rPr>
        <w:t>The UIC regulations specify the information that the owners or operators of various well classes must submit.</w:t>
      </w:r>
      <w:r w:rsidR="00F84502">
        <w:rPr>
          <w:sz w:val="24"/>
          <w:szCs w:val="24"/>
        </w:rPr>
        <w:t xml:space="preserve"> </w:t>
      </w:r>
      <w:r w:rsidR="00103586">
        <w:rPr>
          <w:sz w:val="24"/>
          <w:szCs w:val="24"/>
        </w:rPr>
        <w:t xml:space="preserve">Class I, II, III, and VI well owners or operators </w:t>
      </w:r>
      <w:r w:rsidR="00714F4D">
        <w:rPr>
          <w:sz w:val="24"/>
          <w:szCs w:val="24"/>
        </w:rPr>
        <w:t xml:space="preserve">(and some Class V </w:t>
      </w:r>
      <w:r w:rsidR="007D248F">
        <w:rPr>
          <w:sz w:val="24"/>
          <w:szCs w:val="24"/>
        </w:rPr>
        <w:t xml:space="preserve">well </w:t>
      </w:r>
      <w:r w:rsidR="00714F4D">
        <w:rPr>
          <w:sz w:val="24"/>
          <w:szCs w:val="24"/>
        </w:rPr>
        <w:t xml:space="preserve">operators) </w:t>
      </w:r>
      <w:r w:rsidR="00103586">
        <w:rPr>
          <w:sz w:val="24"/>
          <w:szCs w:val="24"/>
        </w:rPr>
        <w:t xml:space="preserve">must submit permit applications and completion reports </w:t>
      </w:r>
      <w:r w:rsidR="00D61FCD">
        <w:rPr>
          <w:sz w:val="24"/>
          <w:szCs w:val="24"/>
        </w:rPr>
        <w:t xml:space="preserve">before </w:t>
      </w:r>
      <w:r w:rsidR="00103586">
        <w:rPr>
          <w:sz w:val="24"/>
          <w:szCs w:val="24"/>
        </w:rPr>
        <w:t>injection operations</w:t>
      </w:r>
      <w:r w:rsidR="00D61FCD">
        <w:rPr>
          <w:sz w:val="24"/>
          <w:szCs w:val="24"/>
        </w:rPr>
        <w:t xml:space="preserve"> begin</w:t>
      </w:r>
      <w:r w:rsidR="00D54D3F">
        <w:rPr>
          <w:sz w:val="24"/>
          <w:szCs w:val="24"/>
        </w:rPr>
        <w:t>.</w:t>
      </w:r>
      <w:r w:rsidR="00103586">
        <w:rPr>
          <w:sz w:val="24"/>
          <w:szCs w:val="24"/>
        </w:rPr>
        <w:t xml:space="preserve"> </w:t>
      </w:r>
      <w:r w:rsidR="00CB1F9E">
        <w:rPr>
          <w:sz w:val="24"/>
          <w:szCs w:val="24"/>
        </w:rPr>
        <w:t>O</w:t>
      </w:r>
      <w:r w:rsidRPr="00F71756" w:rsidR="00D54D3F">
        <w:rPr>
          <w:sz w:val="24"/>
          <w:szCs w:val="24"/>
        </w:rPr>
        <w:t>perators of Class I, II, III</w:t>
      </w:r>
      <w:r w:rsidR="00D54D3F">
        <w:rPr>
          <w:sz w:val="24"/>
          <w:szCs w:val="24"/>
        </w:rPr>
        <w:t>, and VI</w:t>
      </w:r>
      <w:r w:rsidRPr="00F71756" w:rsidR="00D54D3F">
        <w:rPr>
          <w:sz w:val="24"/>
          <w:szCs w:val="24"/>
        </w:rPr>
        <w:t xml:space="preserve"> injection wells</w:t>
      </w:r>
      <w:r w:rsidR="00D54D3F">
        <w:rPr>
          <w:sz w:val="24"/>
          <w:szCs w:val="24"/>
        </w:rPr>
        <w:t xml:space="preserve"> and a small percentage of Class V wells</w:t>
      </w:r>
      <w:r w:rsidR="00CB1F9E">
        <w:rPr>
          <w:sz w:val="24"/>
          <w:szCs w:val="24"/>
        </w:rPr>
        <w:t xml:space="preserve"> submit monitoring data and test results</w:t>
      </w:r>
      <w:r w:rsidR="00D54D3F">
        <w:rPr>
          <w:sz w:val="24"/>
          <w:szCs w:val="24"/>
        </w:rPr>
        <w:t xml:space="preserve">. Operators of Class I, II, III, </w:t>
      </w:r>
      <w:r w:rsidR="00103586">
        <w:rPr>
          <w:sz w:val="24"/>
          <w:szCs w:val="24"/>
        </w:rPr>
        <w:t xml:space="preserve">and </w:t>
      </w:r>
      <w:r w:rsidR="00D54D3F">
        <w:rPr>
          <w:sz w:val="24"/>
          <w:szCs w:val="24"/>
        </w:rPr>
        <w:t xml:space="preserve">VI wells </w:t>
      </w:r>
      <w:r w:rsidR="00103586">
        <w:rPr>
          <w:sz w:val="24"/>
          <w:szCs w:val="24"/>
        </w:rPr>
        <w:t xml:space="preserve">submit </w:t>
      </w:r>
      <w:r w:rsidRPr="00F71756" w:rsidR="00103586">
        <w:rPr>
          <w:sz w:val="24"/>
          <w:szCs w:val="24"/>
        </w:rPr>
        <w:t>plugging and abandonment reports</w:t>
      </w:r>
      <w:r w:rsidR="00103586">
        <w:rPr>
          <w:sz w:val="24"/>
          <w:szCs w:val="24"/>
        </w:rPr>
        <w:t xml:space="preserve"> when they close their wells. </w:t>
      </w:r>
      <w:r w:rsidRPr="00F71756" w:rsidR="00D54D3F">
        <w:rPr>
          <w:sz w:val="24"/>
          <w:szCs w:val="24"/>
        </w:rPr>
        <w:t>Class IV wells are banned</w:t>
      </w:r>
      <w:r w:rsidR="00D54D3F">
        <w:rPr>
          <w:sz w:val="24"/>
          <w:szCs w:val="24"/>
        </w:rPr>
        <w:t>—ex</w:t>
      </w:r>
      <w:r w:rsidRPr="00F71756" w:rsidR="00D54D3F">
        <w:rPr>
          <w:sz w:val="24"/>
          <w:szCs w:val="24"/>
        </w:rPr>
        <w:t xml:space="preserve">cept for wells used to re-inject treated ground water into the same formation from which it was drawn </w:t>
      </w:r>
      <w:r w:rsidR="00D54D3F">
        <w:rPr>
          <w:sz w:val="24"/>
          <w:szCs w:val="24"/>
        </w:rPr>
        <w:t xml:space="preserve">as part of an </w:t>
      </w:r>
      <w:r w:rsidRPr="00F71756" w:rsidR="00D54D3F">
        <w:rPr>
          <w:sz w:val="24"/>
          <w:szCs w:val="24"/>
        </w:rPr>
        <w:t xml:space="preserve">authorized </w:t>
      </w:r>
      <w:r w:rsidR="00D54D3F">
        <w:rPr>
          <w:sz w:val="24"/>
          <w:szCs w:val="24"/>
        </w:rPr>
        <w:t>clean-up;</w:t>
      </w:r>
      <w:r w:rsidRPr="00F71756" w:rsidR="00D54D3F">
        <w:rPr>
          <w:sz w:val="24"/>
          <w:szCs w:val="24"/>
        </w:rPr>
        <w:t xml:space="preserve"> operators of these wells must submit plugging and abandonment reports as </w:t>
      </w:r>
      <w:r w:rsidR="00D54D3F">
        <w:rPr>
          <w:sz w:val="24"/>
          <w:szCs w:val="24"/>
        </w:rPr>
        <w:t>the wells</w:t>
      </w:r>
      <w:r w:rsidRPr="00F71756" w:rsidR="00D54D3F">
        <w:rPr>
          <w:sz w:val="24"/>
          <w:szCs w:val="24"/>
        </w:rPr>
        <w:t xml:space="preserve"> are closed</w:t>
      </w:r>
      <w:r w:rsidR="00D54D3F">
        <w:rPr>
          <w:sz w:val="24"/>
          <w:szCs w:val="24"/>
        </w:rPr>
        <w:t>.</w:t>
      </w:r>
      <w:r w:rsidDel="00D54D3F" w:rsidR="00D54D3F">
        <w:rPr>
          <w:rStyle w:val="CommentReference"/>
        </w:rPr>
        <w:t xml:space="preserve"> </w:t>
      </w:r>
      <w:r w:rsidRPr="00F71756">
        <w:rPr>
          <w:sz w:val="24"/>
          <w:szCs w:val="24"/>
        </w:rPr>
        <w:t xml:space="preserve">In general, Class </w:t>
      </w:r>
      <w:r w:rsidR="00A717F4">
        <w:rPr>
          <w:sz w:val="24"/>
          <w:szCs w:val="24"/>
        </w:rPr>
        <w:t xml:space="preserve">IV and </w:t>
      </w:r>
      <w:r w:rsidRPr="00F71756">
        <w:rPr>
          <w:sz w:val="24"/>
          <w:szCs w:val="24"/>
        </w:rPr>
        <w:lastRenderedPageBreak/>
        <w:t>V operators submit only a</w:t>
      </w:r>
      <w:r w:rsidR="0023034A">
        <w:rPr>
          <w:sz w:val="24"/>
          <w:szCs w:val="24"/>
        </w:rPr>
        <w:t xml:space="preserve"> </w:t>
      </w:r>
      <w:r w:rsidRPr="00F71756">
        <w:rPr>
          <w:sz w:val="24"/>
          <w:szCs w:val="24"/>
        </w:rPr>
        <w:t>subset of the information required of Class I, II, III</w:t>
      </w:r>
      <w:r w:rsidR="005E7107">
        <w:rPr>
          <w:sz w:val="24"/>
          <w:szCs w:val="24"/>
        </w:rPr>
        <w:t>, and VI</w:t>
      </w:r>
      <w:r w:rsidRPr="00F71756">
        <w:rPr>
          <w:sz w:val="24"/>
          <w:szCs w:val="24"/>
        </w:rPr>
        <w:t xml:space="preserve"> well operators.</w:t>
      </w:r>
      <w:r w:rsidR="008161FD">
        <w:rPr>
          <w:sz w:val="24"/>
          <w:szCs w:val="24"/>
        </w:rPr>
        <w:t xml:space="preserve"> </w:t>
      </w:r>
    </w:p>
    <w:p w:rsidRPr="00F71756" w:rsidR="00F71756" w:rsidP="00D54D3F" w:rsidRDefault="00F71756" w14:paraId="0C4E7AFE" w14:textId="77777777">
      <w:pPr>
        <w:rPr>
          <w:sz w:val="24"/>
          <w:szCs w:val="24"/>
        </w:rPr>
      </w:pPr>
    </w:p>
    <w:p w:rsidRPr="00E30D10" w:rsidR="00C25838" w:rsidP="00D54D3F" w:rsidRDefault="00F71756" w14:paraId="39D111B4" w14:textId="48E242F8">
      <w:pPr>
        <w:ind w:firstLine="720"/>
        <w:rPr>
          <w:sz w:val="24"/>
          <w:szCs w:val="24"/>
        </w:rPr>
      </w:pPr>
      <w:r w:rsidRPr="00F71756">
        <w:rPr>
          <w:sz w:val="24"/>
          <w:szCs w:val="24"/>
        </w:rPr>
        <w:t>Primacy agencies are also respondents in this information collection.</w:t>
      </w:r>
      <w:r w:rsidRPr="00F71756" w:rsidR="00D61FCD">
        <w:rPr>
          <w:rStyle w:val="FootnoteReference"/>
          <w:sz w:val="24"/>
          <w:szCs w:val="24"/>
        </w:rPr>
        <w:footnoteReference w:id="4"/>
      </w:r>
      <w:r w:rsidRPr="00F71756">
        <w:rPr>
          <w:sz w:val="24"/>
          <w:szCs w:val="24"/>
        </w:rPr>
        <w:t xml:space="preserve"> EPA collects summary information on permits</w:t>
      </w:r>
      <w:r w:rsidR="00FD5BF3">
        <w:rPr>
          <w:sz w:val="24"/>
          <w:szCs w:val="24"/>
        </w:rPr>
        <w:t xml:space="preserve"> issued</w:t>
      </w:r>
      <w:r w:rsidRPr="00F71756">
        <w:rPr>
          <w:sz w:val="24"/>
          <w:szCs w:val="24"/>
        </w:rPr>
        <w:t xml:space="preserve">, compliance and enforcement, inspections, mechanical integrity testing, and inventory for all well classes from permitting authorities in primacy states. </w:t>
      </w:r>
    </w:p>
    <w:p w:rsidRPr="00E30D10" w:rsidR="00C25838" w:rsidRDefault="00C25838" w14:paraId="24A0FF68" w14:textId="77777777">
      <w:pPr>
        <w:pStyle w:val="test"/>
      </w:pPr>
    </w:p>
    <w:p w:rsidR="00573669" w:rsidP="00C240CE" w:rsidRDefault="00E30D10" w14:paraId="4F730A87" w14:textId="55D9945C">
      <w:pPr>
        <w:rPr>
          <w:sz w:val="24"/>
          <w:szCs w:val="24"/>
        </w:rPr>
      </w:pPr>
      <w:bookmarkStart w:name="_Hlk508720217" w:id="9"/>
      <w:r>
        <w:rPr>
          <w:sz w:val="24"/>
          <w:szCs w:val="24"/>
        </w:rPr>
        <w:tab/>
      </w:r>
      <w:r w:rsidRPr="006158CC" w:rsidR="006158CC">
        <w:rPr>
          <w:sz w:val="24"/>
          <w:szCs w:val="24"/>
        </w:rPr>
        <w:t>EPA estimates that, over the three years covered by this request, the total burden on underground injection well operators and primacy agencies associated with UIC requirements will be 4,894,081 hours (an average of 1,631,360 hours per year), and the present value cost will be $1,089,928,392 (an average of $363,309,464 per year). The public reporting and recordkeeping burden for this collection of information is estimated to average 2.82 hours, or $628.44 per response annually. The annual burden per respondent is 43.30 hours; the cost per respondent is $9,642.68</w:t>
      </w:r>
      <w:r w:rsidR="00E01E99">
        <w:rPr>
          <w:sz w:val="24"/>
          <w:szCs w:val="24"/>
        </w:rPr>
        <w:t xml:space="preserve">. </w:t>
      </w:r>
      <w:r w:rsidR="000518FE">
        <w:rPr>
          <w:sz w:val="24"/>
          <w:szCs w:val="24"/>
        </w:rPr>
        <w:t>D</w:t>
      </w:r>
      <w:r w:rsidR="004A072C">
        <w:rPr>
          <w:sz w:val="24"/>
          <w:szCs w:val="24"/>
        </w:rPr>
        <w:t xml:space="preserve">uring the course </w:t>
      </w:r>
      <w:r w:rsidR="0001441B">
        <w:rPr>
          <w:sz w:val="24"/>
          <w:szCs w:val="24"/>
        </w:rPr>
        <w:t xml:space="preserve">of </w:t>
      </w:r>
      <w:r w:rsidR="004A072C">
        <w:rPr>
          <w:sz w:val="24"/>
          <w:szCs w:val="24"/>
        </w:rPr>
        <w:t xml:space="preserve">the ICR clearance period, </w:t>
      </w:r>
      <w:r w:rsidR="000518FE">
        <w:rPr>
          <w:sz w:val="24"/>
          <w:szCs w:val="24"/>
        </w:rPr>
        <w:t>EPA</w:t>
      </w:r>
      <w:r w:rsidR="004A072C">
        <w:rPr>
          <w:sz w:val="24"/>
          <w:szCs w:val="24"/>
        </w:rPr>
        <w:t xml:space="preserve"> evaluates </w:t>
      </w:r>
      <w:r w:rsidR="000518FE">
        <w:rPr>
          <w:sz w:val="24"/>
          <w:szCs w:val="24"/>
        </w:rPr>
        <w:t xml:space="preserve">all reporting information and data collections for </w:t>
      </w:r>
      <w:r w:rsidR="004A072C">
        <w:rPr>
          <w:sz w:val="24"/>
          <w:szCs w:val="24"/>
        </w:rPr>
        <w:t xml:space="preserve">burden </w:t>
      </w:r>
      <w:r w:rsidR="000518FE">
        <w:rPr>
          <w:sz w:val="24"/>
          <w:szCs w:val="24"/>
        </w:rPr>
        <w:t xml:space="preserve">reduction </w:t>
      </w:r>
      <w:r w:rsidR="004A072C">
        <w:rPr>
          <w:sz w:val="24"/>
          <w:szCs w:val="24"/>
        </w:rPr>
        <w:t>wherever possible to ensure that all information collections are necessary and that they have practical utility for carrying out the mandate to protect USDWs</w:t>
      </w:r>
      <w:r w:rsidR="00F84502">
        <w:rPr>
          <w:sz w:val="24"/>
          <w:szCs w:val="24"/>
        </w:rPr>
        <w:t xml:space="preserve">. </w:t>
      </w:r>
    </w:p>
    <w:bookmarkEnd w:id="9"/>
    <w:p w:rsidR="00573669" w:rsidP="00C240CE" w:rsidRDefault="00573669" w14:paraId="0B67BD67" w14:textId="77777777">
      <w:pPr>
        <w:rPr>
          <w:sz w:val="24"/>
          <w:szCs w:val="24"/>
        </w:rPr>
      </w:pPr>
    </w:p>
    <w:p w:rsidRPr="0089040E" w:rsidR="00573669" w:rsidP="00302641" w:rsidRDefault="00103586" w14:paraId="25D9E286" w14:textId="6A7B7354">
      <w:pPr>
        <w:ind w:firstLine="720"/>
        <w:rPr>
          <w:sz w:val="24"/>
          <w:szCs w:val="24"/>
        </w:rPr>
      </w:pPr>
      <w:r>
        <w:rPr>
          <w:sz w:val="24"/>
          <w:szCs w:val="24"/>
        </w:rPr>
        <w:t>Overall</w:t>
      </w:r>
      <w:r w:rsidRPr="004F0F7F">
        <w:rPr>
          <w:sz w:val="24"/>
          <w:szCs w:val="24"/>
        </w:rPr>
        <w:t xml:space="preserve">, there is </w:t>
      </w:r>
      <w:r w:rsidRPr="00F01865">
        <w:rPr>
          <w:sz w:val="24"/>
          <w:szCs w:val="24"/>
        </w:rPr>
        <w:t xml:space="preserve">a net </w:t>
      </w:r>
      <w:r w:rsidR="00696DA9">
        <w:rPr>
          <w:sz w:val="24"/>
          <w:szCs w:val="24"/>
        </w:rPr>
        <w:t>in</w:t>
      </w:r>
      <w:r w:rsidRPr="00F01865">
        <w:rPr>
          <w:sz w:val="24"/>
          <w:szCs w:val="24"/>
        </w:rPr>
        <w:t xml:space="preserve">crease in </w:t>
      </w:r>
      <w:r w:rsidR="00583A8F">
        <w:rPr>
          <w:sz w:val="24"/>
          <w:szCs w:val="24"/>
        </w:rPr>
        <w:t xml:space="preserve">annual </w:t>
      </w:r>
      <w:r w:rsidRPr="00570E93">
        <w:rPr>
          <w:sz w:val="24"/>
          <w:szCs w:val="24"/>
        </w:rPr>
        <w:t xml:space="preserve">burden of </w:t>
      </w:r>
      <w:r w:rsidRPr="00E01E99" w:rsidR="00E01E99">
        <w:rPr>
          <w:sz w:val="24"/>
          <w:szCs w:val="24"/>
        </w:rPr>
        <w:t>339,101</w:t>
      </w:r>
      <w:r w:rsidR="00E01E99">
        <w:rPr>
          <w:sz w:val="24"/>
          <w:szCs w:val="24"/>
        </w:rPr>
        <w:t xml:space="preserve"> </w:t>
      </w:r>
      <w:r w:rsidRPr="00570E93">
        <w:rPr>
          <w:sz w:val="24"/>
          <w:szCs w:val="24"/>
        </w:rPr>
        <w:t>hours between</w:t>
      </w:r>
      <w:r w:rsidRPr="004F0F7F">
        <w:rPr>
          <w:sz w:val="24"/>
          <w:szCs w:val="24"/>
        </w:rPr>
        <w:t xml:space="preserve"> the approved and requested amounts</w:t>
      </w:r>
      <w:r>
        <w:rPr>
          <w:sz w:val="24"/>
          <w:szCs w:val="24"/>
        </w:rPr>
        <w:t xml:space="preserve">. </w:t>
      </w:r>
      <w:r w:rsidRPr="0089040E">
        <w:rPr>
          <w:sz w:val="24"/>
          <w:szCs w:val="24"/>
        </w:rPr>
        <w:t xml:space="preserve">This </w:t>
      </w:r>
      <w:r w:rsidR="00696DA9">
        <w:rPr>
          <w:sz w:val="24"/>
          <w:szCs w:val="24"/>
        </w:rPr>
        <w:t>in</w:t>
      </w:r>
      <w:r w:rsidRPr="0089040E">
        <w:rPr>
          <w:sz w:val="24"/>
          <w:szCs w:val="24"/>
        </w:rPr>
        <w:t xml:space="preserve">crease is due to </w:t>
      </w:r>
      <w:r w:rsidR="00696DA9">
        <w:rPr>
          <w:sz w:val="24"/>
          <w:szCs w:val="24"/>
        </w:rPr>
        <w:t xml:space="preserve">anticipated increases </w:t>
      </w:r>
      <w:r>
        <w:rPr>
          <w:sz w:val="24"/>
          <w:szCs w:val="24"/>
        </w:rPr>
        <w:t xml:space="preserve">in </w:t>
      </w:r>
      <w:r w:rsidRPr="0089040E">
        <w:rPr>
          <w:sz w:val="24"/>
          <w:szCs w:val="24"/>
        </w:rPr>
        <w:t xml:space="preserve">the number of Class </w:t>
      </w:r>
      <w:r w:rsidR="00696DA9">
        <w:rPr>
          <w:sz w:val="24"/>
          <w:szCs w:val="24"/>
        </w:rPr>
        <w:t xml:space="preserve">I, Class </w:t>
      </w:r>
      <w:r w:rsidRPr="0089040E">
        <w:rPr>
          <w:sz w:val="24"/>
          <w:szCs w:val="24"/>
        </w:rPr>
        <w:t>II</w:t>
      </w:r>
      <w:r w:rsidR="00696DA9">
        <w:rPr>
          <w:sz w:val="24"/>
          <w:szCs w:val="24"/>
        </w:rPr>
        <w:t>, Class III,</w:t>
      </w:r>
      <w:r w:rsidRPr="0089040E">
        <w:rPr>
          <w:sz w:val="24"/>
          <w:szCs w:val="24"/>
        </w:rPr>
        <w:t xml:space="preserve"> </w:t>
      </w:r>
      <w:r>
        <w:rPr>
          <w:sz w:val="24"/>
          <w:szCs w:val="24"/>
        </w:rPr>
        <w:t xml:space="preserve">and Class VI </w:t>
      </w:r>
      <w:r w:rsidRPr="0089040E">
        <w:rPr>
          <w:sz w:val="24"/>
          <w:szCs w:val="24"/>
        </w:rPr>
        <w:t xml:space="preserve">permit applications expected to be </w:t>
      </w:r>
      <w:r>
        <w:rPr>
          <w:sz w:val="24"/>
          <w:szCs w:val="24"/>
        </w:rPr>
        <w:t>prepared and reviewed</w:t>
      </w:r>
      <w:r w:rsidR="00696DA9">
        <w:rPr>
          <w:sz w:val="24"/>
          <w:szCs w:val="24"/>
        </w:rPr>
        <w:t>. This is offset by</w:t>
      </w:r>
      <w:r>
        <w:rPr>
          <w:sz w:val="24"/>
          <w:szCs w:val="24"/>
        </w:rPr>
        <w:t xml:space="preserve"> a decrease in the number of Class </w:t>
      </w:r>
      <w:r w:rsidR="00696DA9">
        <w:rPr>
          <w:sz w:val="24"/>
          <w:szCs w:val="24"/>
        </w:rPr>
        <w:t>II</w:t>
      </w:r>
      <w:r>
        <w:rPr>
          <w:sz w:val="24"/>
          <w:szCs w:val="24"/>
        </w:rPr>
        <w:t xml:space="preserve"> </w:t>
      </w:r>
      <w:r w:rsidR="00696DA9">
        <w:rPr>
          <w:sz w:val="24"/>
          <w:szCs w:val="24"/>
        </w:rPr>
        <w:t xml:space="preserve">owners or operators who will be performing monitoring and reporting activities </w:t>
      </w:r>
      <w:r>
        <w:rPr>
          <w:sz w:val="24"/>
          <w:szCs w:val="24"/>
        </w:rPr>
        <w:t>and</w:t>
      </w:r>
      <w:r w:rsidRPr="0089040E">
        <w:rPr>
          <w:sz w:val="24"/>
          <w:szCs w:val="24"/>
        </w:rPr>
        <w:t xml:space="preserve"> </w:t>
      </w:r>
      <w:r>
        <w:rPr>
          <w:sz w:val="24"/>
          <w:szCs w:val="24"/>
        </w:rPr>
        <w:t>a decrease</w:t>
      </w:r>
      <w:r w:rsidRPr="0089040E">
        <w:rPr>
          <w:sz w:val="24"/>
          <w:szCs w:val="24"/>
        </w:rPr>
        <w:t xml:space="preserve"> in the number </w:t>
      </w:r>
      <w:r>
        <w:rPr>
          <w:sz w:val="24"/>
          <w:szCs w:val="24"/>
        </w:rPr>
        <w:t xml:space="preserve">of </w:t>
      </w:r>
      <w:r w:rsidRPr="0089040E">
        <w:rPr>
          <w:sz w:val="24"/>
          <w:szCs w:val="24"/>
        </w:rPr>
        <w:t xml:space="preserve">Class </w:t>
      </w:r>
      <w:r w:rsidR="00751205">
        <w:rPr>
          <w:sz w:val="24"/>
          <w:szCs w:val="24"/>
        </w:rPr>
        <w:t>I</w:t>
      </w:r>
      <w:r w:rsidR="00696DA9">
        <w:rPr>
          <w:sz w:val="24"/>
          <w:szCs w:val="24"/>
        </w:rPr>
        <w:t>V/endangering</w:t>
      </w:r>
      <w:r w:rsidR="00751205">
        <w:rPr>
          <w:sz w:val="24"/>
          <w:szCs w:val="24"/>
        </w:rPr>
        <w:t xml:space="preserve"> </w:t>
      </w:r>
      <w:r w:rsidR="00696DA9">
        <w:rPr>
          <w:sz w:val="24"/>
          <w:szCs w:val="24"/>
        </w:rPr>
        <w:t xml:space="preserve">Class </w:t>
      </w:r>
      <w:r>
        <w:rPr>
          <w:sz w:val="24"/>
          <w:szCs w:val="24"/>
        </w:rPr>
        <w:t xml:space="preserve">V </w:t>
      </w:r>
      <w:r w:rsidRPr="0089040E">
        <w:rPr>
          <w:sz w:val="24"/>
          <w:szCs w:val="24"/>
        </w:rPr>
        <w:t>well</w:t>
      </w:r>
      <w:r w:rsidR="00696DA9">
        <w:rPr>
          <w:sz w:val="24"/>
          <w:szCs w:val="24"/>
        </w:rPr>
        <w:t>s that will be closed</w:t>
      </w:r>
      <w:r>
        <w:rPr>
          <w:sz w:val="24"/>
          <w:szCs w:val="24"/>
        </w:rPr>
        <w:t>.</w:t>
      </w:r>
      <w:r w:rsidR="0023034A">
        <w:rPr>
          <w:sz w:val="24"/>
          <w:szCs w:val="24"/>
        </w:rPr>
        <w:t xml:space="preserve"> EPA has revised the </w:t>
      </w:r>
      <w:r w:rsidR="00722073">
        <w:rPr>
          <w:sz w:val="24"/>
          <w:szCs w:val="24"/>
        </w:rPr>
        <w:t xml:space="preserve">state and </w:t>
      </w:r>
      <w:r w:rsidR="0023034A">
        <w:rPr>
          <w:sz w:val="24"/>
          <w:szCs w:val="24"/>
        </w:rPr>
        <w:t xml:space="preserve">operator reporting forms, which has resulted in additional burden reductions for </w:t>
      </w:r>
      <w:r w:rsidR="00722073">
        <w:rPr>
          <w:sz w:val="24"/>
          <w:szCs w:val="24"/>
        </w:rPr>
        <w:t xml:space="preserve">primacy agencies and </w:t>
      </w:r>
      <w:r w:rsidR="00714F4D">
        <w:rPr>
          <w:sz w:val="24"/>
          <w:szCs w:val="24"/>
        </w:rPr>
        <w:t xml:space="preserve">Class V well </w:t>
      </w:r>
      <w:r w:rsidR="0023034A">
        <w:rPr>
          <w:sz w:val="24"/>
          <w:szCs w:val="24"/>
        </w:rPr>
        <w:t>operators.</w:t>
      </w:r>
      <w:r>
        <w:rPr>
          <w:sz w:val="24"/>
          <w:szCs w:val="24"/>
        </w:rPr>
        <w:t xml:space="preserve"> </w:t>
      </w:r>
    </w:p>
    <w:p w:rsidR="00474F2D" w:rsidRDefault="00474F2D" w14:paraId="32D3FACF" w14:textId="77777777">
      <w:pPr>
        <w:rPr>
          <w:sz w:val="24"/>
          <w:szCs w:val="24"/>
        </w:rPr>
        <w:sectPr w:rsidR="00474F2D">
          <w:footerReference w:type="default" r:id="rId13"/>
          <w:pgSz w:w="12240" w:h="15840"/>
          <w:pgMar w:top="1440" w:right="1440" w:bottom="1440" w:left="1440" w:header="1440" w:footer="1440" w:gutter="0"/>
          <w:pgNumType w:start="1"/>
          <w:cols w:space="720"/>
          <w:noEndnote/>
        </w:sectPr>
      </w:pPr>
    </w:p>
    <w:p w:rsidR="00C25838" w:rsidP="001941A8" w:rsidRDefault="00C25838" w14:paraId="687EBC4E" w14:textId="77777777">
      <w:pPr>
        <w:pStyle w:val="Heading1"/>
        <w:rPr>
          <w:sz w:val="24"/>
        </w:rPr>
      </w:pPr>
      <w:r>
        <w:lastRenderedPageBreak/>
        <w:t>2.</w:t>
      </w:r>
      <w:r>
        <w:tab/>
        <w:t>Need For and Use of the Collection</w:t>
      </w:r>
      <w:r w:rsidR="00766F8E">
        <w:fldChar w:fldCharType="begin"/>
      </w:r>
      <w:r>
        <w:instrText>tc "</w:instrText>
      </w:r>
      <w:bookmarkStart w:name="_Toc511659994" w:id="10"/>
      <w:bookmarkStart w:name="_Toc511713503" w:id="11"/>
      <w:r>
        <w:instrText>2.</w:instrText>
      </w:r>
      <w:r>
        <w:tab/>
        <w:instrText>Need For and Use of the Collection</w:instrText>
      </w:r>
      <w:bookmarkEnd w:id="10"/>
      <w:bookmarkEnd w:id="11"/>
      <w:r>
        <w:instrText>"</w:instrText>
      </w:r>
      <w:r w:rsidR="00766F8E">
        <w:fldChar w:fldCharType="end"/>
      </w:r>
    </w:p>
    <w:p w:rsidR="00C25838" w:rsidRDefault="00C25838" w14:paraId="610AF917" w14:textId="77777777">
      <w:pPr>
        <w:rPr>
          <w:sz w:val="24"/>
          <w:szCs w:val="24"/>
        </w:rPr>
      </w:pPr>
    </w:p>
    <w:p w:rsidR="00103586" w:rsidP="00103586" w:rsidRDefault="00103586" w14:paraId="4C7DFD5F" w14:textId="210BAFBD">
      <w:pPr>
        <w:rPr>
          <w:sz w:val="24"/>
          <w:szCs w:val="24"/>
        </w:rPr>
      </w:pPr>
      <w:r>
        <w:rPr>
          <w:sz w:val="24"/>
          <w:szCs w:val="24"/>
        </w:rPr>
        <w:tab/>
        <w:t>This Section describes EPA’s need for the information collected pursuant to this ICR and the EPA Regions’ and Headquarters’ use of the collected data. Section 2(a) demonstrates both the need and legal authority for the information collection. Need is demonstrated by describing the potential for contamination of USDWs</w:t>
      </w:r>
      <w:r w:rsidRPr="00805F29" w:rsidR="005E39AF">
        <w:rPr>
          <w:rStyle w:val="FootnoteReference"/>
          <w:sz w:val="24"/>
          <w:szCs w:val="24"/>
        </w:rPr>
        <w:footnoteReference w:id="5"/>
      </w:r>
      <w:r w:rsidRPr="00805F29" w:rsidR="005E39AF">
        <w:rPr>
          <w:sz w:val="24"/>
          <w:szCs w:val="24"/>
        </w:rPr>
        <w:t xml:space="preserve"> </w:t>
      </w:r>
      <w:r>
        <w:rPr>
          <w:sz w:val="24"/>
          <w:szCs w:val="24"/>
        </w:rPr>
        <w:t xml:space="preserve">through underground injection activities and the statutory requirements that justify </w:t>
      </w:r>
      <w:r w:rsidR="007D248F">
        <w:rPr>
          <w:sz w:val="24"/>
          <w:szCs w:val="24"/>
        </w:rPr>
        <w:t xml:space="preserve">the </w:t>
      </w:r>
      <w:r>
        <w:rPr>
          <w:sz w:val="24"/>
          <w:szCs w:val="24"/>
        </w:rPr>
        <w:t>information collection to prevent that contamination. Legal authority is demonstrated by identifying laws and regulations related to waste disposal, injection wells, and the UIC Program. Section 2(b) describes the practical utility and the users of the information; it focuses on how the information is used to accomplish program objectives and manage programs at each level of implementation.</w:t>
      </w:r>
    </w:p>
    <w:p w:rsidR="00C25838" w:rsidRDefault="00C25838" w14:paraId="7035B041" w14:textId="77777777">
      <w:pPr>
        <w:rPr>
          <w:sz w:val="24"/>
          <w:szCs w:val="24"/>
        </w:rPr>
      </w:pPr>
    </w:p>
    <w:p w:rsidR="00C25838" w:rsidP="001941A8" w:rsidRDefault="00C25838" w14:paraId="56B7910B" w14:textId="77777777">
      <w:pPr>
        <w:pStyle w:val="Heading2"/>
        <w:rPr>
          <w:sz w:val="24"/>
        </w:rPr>
      </w:pPr>
      <w:r>
        <w:t>2(a)</w:t>
      </w:r>
      <w:r>
        <w:tab/>
        <w:t xml:space="preserve">Need/Authority for the Collection </w:t>
      </w:r>
      <w:r w:rsidR="00766F8E">
        <w:fldChar w:fldCharType="begin"/>
      </w:r>
      <w:r>
        <w:instrText>tc "</w:instrText>
      </w:r>
      <w:bookmarkStart w:name="_Toc511659995" w:id="12"/>
      <w:bookmarkStart w:name="_Toc511713504" w:id="13"/>
      <w:r>
        <w:instrText>2(a)</w:instrText>
      </w:r>
      <w:r>
        <w:tab/>
        <w:instrText>Need/Authority for the Collection</w:instrText>
      </w:r>
      <w:bookmarkEnd w:id="12"/>
      <w:bookmarkEnd w:id="13"/>
      <w:r>
        <w:instrText xml:space="preserve"> " \l 2</w:instrText>
      </w:r>
      <w:r w:rsidR="00766F8E">
        <w:fldChar w:fldCharType="end"/>
      </w:r>
    </w:p>
    <w:p w:rsidR="00C25838" w:rsidP="005033E6" w:rsidRDefault="00C25838" w14:paraId="5B442E55" w14:textId="77777777">
      <w:pPr>
        <w:keepNext/>
        <w:keepLines/>
        <w:rPr>
          <w:sz w:val="24"/>
          <w:szCs w:val="24"/>
        </w:rPr>
      </w:pPr>
    </w:p>
    <w:p w:rsidR="00C25838" w:rsidP="005033E6" w:rsidRDefault="00C25838" w14:paraId="61B25CD3" w14:textId="77777777">
      <w:pPr>
        <w:keepNext/>
        <w:keepLines/>
        <w:rPr>
          <w:sz w:val="24"/>
          <w:szCs w:val="24"/>
        </w:rPr>
      </w:pPr>
      <w:r>
        <w:rPr>
          <w:sz w:val="24"/>
          <w:szCs w:val="24"/>
        </w:rPr>
        <w:tab/>
      </w:r>
      <w:r>
        <w:rPr>
          <w:b/>
          <w:bCs/>
          <w:i/>
          <w:iCs/>
          <w:sz w:val="24"/>
          <w:szCs w:val="24"/>
        </w:rPr>
        <w:t>Potential for Contamination</w:t>
      </w:r>
    </w:p>
    <w:p w:rsidR="00C25838" w:rsidP="005033E6" w:rsidRDefault="00C25838" w14:paraId="12A004B7" w14:textId="77777777">
      <w:pPr>
        <w:keepNext/>
        <w:keepLines/>
        <w:rPr>
          <w:sz w:val="24"/>
          <w:szCs w:val="24"/>
        </w:rPr>
      </w:pPr>
    </w:p>
    <w:p w:rsidR="00103586" w:rsidP="00103586" w:rsidRDefault="00103586" w14:paraId="4002E474" w14:textId="034EB7B3">
      <w:pPr>
        <w:keepNext/>
        <w:keepLines/>
        <w:rPr>
          <w:sz w:val="24"/>
          <w:szCs w:val="24"/>
        </w:rPr>
      </w:pPr>
      <w:r>
        <w:rPr>
          <w:sz w:val="24"/>
          <w:szCs w:val="24"/>
        </w:rPr>
        <w:tab/>
        <w:t>The fundamental purpose of the UIC Program is to prevent the contamination of USDWs by keeping injected fluids within the well and the intended injection zone. There are five major pathways by which injected fluids can migrate into USDWs. The following discussion describes each pathway and summarizes information collection requirements to monitor for or prevent migration through the pathway.</w:t>
      </w:r>
    </w:p>
    <w:p w:rsidR="00103586" w:rsidP="00103586" w:rsidRDefault="00103586" w14:paraId="4A030D0F" w14:textId="77777777">
      <w:pPr>
        <w:rPr>
          <w:sz w:val="24"/>
          <w:szCs w:val="24"/>
        </w:rPr>
      </w:pPr>
    </w:p>
    <w:p w:rsidR="00103586" w:rsidP="00103586" w:rsidRDefault="00103586" w14:paraId="7218C6E5" w14:textId="66A2937D">
      <w:pPr>
        <w:ind w:left="720"/>
        <w:rPr>
          <w:sz w:val="24"/>
          <w:szCs w:val="24"/>
        </w:rPr>
      </w:pPr>
      <w:r>
        <w:rPr>
          <w:b/>
          <w:bCs/>
          <w:sz w:val="24"/>
          <w:szCs w:val="24"/>
        </w:rPr>
        <w:t xml:space="preserve">Pathway 1: Faulty Well Construction. </w:t>
      </w:r>
      <w:r>
        <w:rPr>
          <w:sz w:val="24"/>
          <w:szCs w:val="24"/>
        </w:rPr>
        <w:t xml:space="preserve">Contamination through this pathway is caused by leaks in the well casing or fluid forced upward through channels in </w:t>
      </w:r>
      <w:r w:rsidR="00A717F4">
        <w:rPr>
          <w:sz w:val="24"/>
          <w:szCs w:val="24"/>
        </w:rPr>
        <w:t xml:space="preserve">the </w:t>
      </w:r>
      <w:r>
        <w:rPr>
          <w:sz w:val="24"/>
          <w:szCs w:val="24"/>
        </w:rPr>
        <w:t>cement between the well's outer casing and the well bore. For this reason, the absence of significant leaks and fluid movement in the well bore must be demonstrated when the well is constructed, and periodically thereafter.</w:t>
      </w:r>
    </w:p>
    <w:p w:rsidR="00C25838" w:rsidRDefault="00C25838" w14:paraId="6AB64C3B" w14:textId="77777777">
      <w:pPr>
        <w:rPr>
          <w:sz w:val="24"/>
          <w:szCs w:val="24"/>
        </w:rPr>
      </w:pPr>
    </w:p>
    <w:p w:rsidR="00C25838" w:rsidRDefault="00C25838" w14:paraId="6E97676C" w14:textId="3FE9BD87">
      <w:pPr>
        <w:ind w:left="720"/>
        <w:rPr>
          <w:sz w:val="24"/>
          <w:szCs w:val="24"/>
        </w:rPr>
      </w:pPr>
      <w:r>
        <w:rPr>
          <w:b/>
          <w:bCs/>
          <w:sz w:val="24"/>
          <w:szCs w:val="24"/>
        </w:rPr>
        <w:t>Pathway 2:</w:t>
      </w:r>
      <w:r w:rsidR="00F84502">
        <w:rPr>
          <w:b/>
          <w:bCs/>
          <w:sz w:val="24"/>
          <w:szCs w:val="24"/>
        </w:rPr>
        <w:t xml:space="preserve"> </w:t>
      </w:r>
      <w:r>
        <w:rPr>
          <w:b/>
          <w:bCs/>
          <w:sz w:val="24"/>
          <w:szCs w:val="24"/>
        </w:rPr>
        <w:t>Nearby Wells</w:t>
      </w:r>
      <w:r w:rsidR="00F84502">
        <w:rPr>
          <w:b/>
          <w:bCs/>
          <w:sz w:val="24"/>
          <w:szCs w:val="24"/>
        </w:rPr>
        <w:t xml:space="preserve">. </w:t>
      </w:r>
      <w:r>
        <w:rPr>
          <w:sz w:val="24"/>
          <w:szCs w:val="24"/>
        </w:rPr>
        <w:t>Fluids from the pressurized area in the injection zone may be forced upward through wells in the area of injection</w:t>
      </w:r>
      <w:r w:rsidR="00F84502">
        <w:rPr>
          <w:sz w:val="24"/>
          <w:szCs w:val="24"/>
        </w:rPr>
        <w:t xml:space="preserve">. </w:t>
      </w:r>
      <w:r>
        <w:rPr>
          <w:sz w:val="24"/>
          <w:szCs w:val="24"/>
        </w:rPr>
        <w:t xml:space="preserve">Wells that penetrate the injection area in the zone affected by this pressure </w:t>
      </w:r>
      <w:r w:rsidR="007D248F">
        <w:rPr>
          <w:sz w:val="24"/>
          <w:szCs w:val="24"/>
        </w:rPr>
        <w:t xml:space="preserve">increase, known as the area of review (AoR), </w:t>
      </w:r>
      <w:r>
        <w:rPr>
          <w:sz w:val="24"/>
          <w:szCs w:val="24"/>
        </w:rPr>
        <w:t>must be properly constructed or plugged</w:t>
      </w:r>
      <w:r w:rsidR="00F84502">
        <w:rPr>
          <w:sz w:val="24"/>
          <w:szCs w:val="24"/>
        </w:rPr>
        <w:t xml:space="preserve">. </w:t>
      </w:r>
      <w:r>
        <w:rPr>
          <w:sz w:val="24"/>
          <w:szCs w:val="24"/>
        </w:rPr>
        <w:t xml:space="preserve">For this reason, plans for plugging </w:t>
      </w:r>
      <w:r w:rsidR="007D30C4">
        <w:rPr>
          <w:sz w:val="24"/>
          <w:szCs w:val="24"/>
        </w:rPr>
        <w:t xml:space="preserve">deficient wells in the area of an injection well </w:t>
      </w:r>
      <w:r>
        <w:rPr>
          <w:sz w:val="24"/>
          <w:szCs w:val="24"/>
        </w:rPr>
        <w:t>are submitted with the permit application</w:t>
      </w:r>
      <w:r w:rsidR="00F84502">
        <w:rPr>
          <w:sz w:val="24"/>
          <w:szCs w:val="24"/>
        </w:rPr>
        <w:t xml:space="preserve">. </w:t>
      </w:r>
      <w:r>
        <w:rPr>
          <w:sz w:val="24"/>
          <w:szCs w:val="24"/>
        </w:rPr>
        <w:t xml:space="preserve">In addition, plugging and abandonment reports </w:t>
      </w:r>
      <w:r w:rsidR="007D30C4">
        <w:rPr>
          <w:sz w:val="24"/>
          <w:szCs w:val="24"/>
        </w:rPr>
        <w:t xml:space="preserve">must </w:t>
      </w:r>
      <w:r>
        <w:rPr>
          <w:sz w:val="24"/>
          <w:szCs w:val="24"/>
        </w:rPr>
        <w:t>be submitted if the operator abandons any well.</w:t>
      </w:r>
    </w:p>
    <w:p w:rsidR="00C25838" w:rsidRDefault="00C25838" w14:paraId="41677AF8" w14:textId="77777777">
      <w:pPr>
        <w:ind w:left="720"/>
        <w:rPr>
          <w:sz w:val="24"/>
          <w:szCs w:val="24"/>
        </w:rPr>
      </w:pPr>
    </w:p>
    <w:p w:rsidR="00C25838" w:rsidRDefault="00C25838" w14:paraId="39E542C0" w14:textId="1D043C3A">
      <w:pPr>
        <w:keepNext/>
        <w:keepLines/>
        <w:ind w:left="720"/>
        <w:rPr>
          <w:sz w:val="24"/>
          <w:szCs w:val="24"/>
        </w:rPr>
      </w:pPr>
      <w:r>
        <w:rPr>
          <w:b/>
          <w:bCs/>
          <w:sz w:val="24"/>
          <w:szCs w:val="24"/>
        </w:rPr>
        <w:lastRenderedPageBreak/>
        <w:t>Pathway 3:</w:t>
      </w:r>
      <w:r w:rsidR="00F84502">
        <w:rPr>
          <w:b/>
          <w:bCs/>
          <w:sz w:val="24"/>
          <w:szCs w:val="24"/>
        </w:rPr>
        <w:t xml:space="preserve"> </w:t>
      </w:r>
      <w:r>
        <w:rPr>
          <w:b/>
          <w:bCs/>
          <w:sz w:val="24"/>
          <w:szCs w:val="24"/>
        </w:rPr>
        <w:t>Faults or Fractures in Confining Strata</w:t>
      </w:r>
      <w:r w:rsidR="00F84502">
        <w:rPr>
          <w:b/>
          <w:bCs/>
          <w:sz w:val="24"/>
          <w:szCs w:val="24"/>
        </w:rPr>
        <w:t xml:space="preserve">. </w:t>
      </w:r>
      <w:r>
        <w:rPr>
          <w:sz w:val="24"/>
          <w:szCs w:val="24"/>
        </w:rPr>
        <w:t>Fluids may be forced upward out of the pressurized area through faults or fractures in the confining beds</w:t>
      </w:r>
      <w:r w:rsidR="00F84502">
        <w:rPr>
          <w:sz w:val="24"/>
          <w:szCs w:val="24"/>
        </w:rPr>
        <w:t xml:space="preserve">. </w:t>
      </w:r>
      <w:r>
        <w:rPr>
          <w:sz w:val="24"/>
          <w:szCs w:val="24"/>
        </w:rPr>
        <w:t>Activities to address this contamination pathway are tracked using two information collection requirements</w:t>
      </w:r>
      <w:r w:rsidR="00F84502">
        <w:rPr>
          <w:sz w:val="24"/>
          <w:szCs w:val="24"/>
        </w:rPr>
        <w:t xml:space="preserve">. </w:t>
      </w:r>
      <w:r>
        <w:rPr>
          <w:sz w:val="24"/>
          <w:szCs w:val="24"/>
        </w:rPr>
        <w:t xml:space="preserve">First, </w:t>
      </w:r>
      <w:r w:rsidR="007D30C4">
        <w:rPr>
          <w:sz w:val="24"/>
          <w:szCs w:val="24"/>
        </w:rPr>
        <w:t xml:space="preserve">geologic </w:t>
      </w:r>
      <w:r>
        <w:rPr>
          <w:sz w:val="24"/>
          <w:szCs w:val="24"/>
        </w:rPr>
        <w:t xml:space="preserve">information </w:t>
      </w:r>
      <w:r w:rsidR="007D30C4">
        <w:rPr>
          <w:sz w:val="24"/>
          <w:szCs w:val="24"/>
        </w:rPr>
        <w:t xml:space="preserve">submitted with </w:t>
      </w:r>
      <w:r w:rsidR="007D248F">
        <w:rPr>
          <w:sz w:val="24"/>
          <w:szCs w:val="24"/>
        </w:rPr>
        <w:t xml:space="preserve">a UIC </w:t>
      </w:r>
      <w:r w:rsidR="007D30C4">
        <w:rPr>
          <w:sz w:val="24"/>
          <w:szCs w:val="24"/>
        </w:rPr>
        <w:t xml:space="preserve">permit application </w:t>
      </w:r>
      <w:r>
        <w:rPr>
          <w:sz w:val="24"/>
          <w:szCs w:val="24"/>
        </w:rPr>
        <w:t>is reviewed to ensure that wells are sited such that they inject below a confining bed that is free of known open faults or fractures</w:t>
      </w:r>
      <w:r w:rsidR="00F84502">
        <w:rPr>
          <w:sz w:val="24"/>
          <w:szCs w:val="24"/>
        </w:rPr>
        <w:t xml:space="preserve">. </w:t>
      </w:r>
      <w:r>
        <w:rPr>
          <w:sz w:val="24"/>
          <w:szCs w:val="24"/>
        </w:rPr>
        <w:t xml:space="preserve">Second, injection pressures are monitored so that fractures are not propagated in the injection zone or initiated in the confining </w:t>
      </w:r>
      <w:r w:rsidR="002505E7">
        <w:rPr>
          <w:sz w:val="24"/>
          <w:szCs w:val="24"/>
        </w:rPr>
        <w:t>layer</w:t>
      </w:r>
      <w:r>
        <w:rPr>
          <w:sz w:val="24"/>
          <w:szCs w:val="24"/>
        </w:rPr>
        <w:t>.</w:t>
      </w:r>
    </w:p>
    <w:p w:rsidR="00555033" w:rsidP="00555033" w:rsidRDefault="00555033" w14:paraId="2B3EA49B" w14:textId="77777777">
      <w:pPr>
        <w:keepNext/>
        <w:keepLines/>
        <w:rPr>
          <w:sz w:val="24"/>
          <w:szCs w:val="24"/>
        </w:rPr>
      </w:pPr>
    </w:p>
    <w:p w:rsidR="00C25838" w:rsidRDefault="00C25838" w14:paraId="1D3D9485" w14:textId="132C1BDB">
      <w:pPr>
        <w:ind w:left="720"/>
        <w:rPr>
          <w:b/>
          <w:bCs/>
          <w:sz w:val="24"/>
          <w:szCs w:val="24"/>
        </w:rPr>
      </w:pPr>
      <w:r>
        <w:rPr>
          <w:b/>
          <w:bCs/>
          <w:sz w:val="24"/>
          <w:szCs w:val="24"/>
        </w:rPr>
        <w:t>Pathway 4:</w:t>
      </w:r>
      <w:r w:rsidR="00F84502">
        <w:rPr>
          <w:b/>
          <w:bCs/>
          <w:sz w:val="24"/>
          <w:szCs w:val="24"/>
        </w:rPr>
        <w:t xml:space="preserve"> </w:t>
      </w:r>
      <w:r>
        <w:rPr>
          <w:b/>
          <w:bCs/>
          <w:sz w:val="24"/>
          <w:szCs w:val="24"/>
        </w:rPr>
        <w:t>Direct Injection</w:t>
      </w:r>
      <w:r w:rsidR="00F84502">
        <w:rPr>
          <w:b/>
          <w:bCs/>
          <w:sz w:val="24"/>
          <w:szCs w:val="24"/>
        </w:rPr>
        <w:t xml:space="preserve">. </w:t>
      </w:r>
      <w:r>
        <w:rPr>
          <w:sz w:val="24"/>
          <w:szCs w:val="24"/>
        </w:rPr>
        <w:t xml:space="preserve">Class IV wells, which inject into or above USDWs and have a high potential to endanger human health, are </w:t>
      </w:r>
      <w:r w:rsidR="007D30C4">
        <w:rPr>
          <w:sz w:val="24"/>
          <w:szCs w:val="24"/>
        </w:rPr>
        <w:t>banned</w:t>
      </w:r>
      <w:r>
        <w:rPr>
          <w:sz w:val="24"/>
          <w:szCs w:val="24"/>
        </w:rPr>
        <w:t>.</w:t>
      </w:r>
      <w:r w:rsidR="005457F4">
        <w:rPr>
          <w:sz w:val="24"/>
          <w:szCs w:val="24"/>
        </w:rPr>
        <w:t xml:space="preserve"> </w:t>
      </w:r>
      <w:r w:rsidRPr="005457F4" w:rsidR="005457F4">
        <w:rPr>
          <w:sz w:val="24"/>
          <w:szCs w:val="24"/>
        </w:rPr>
        <w:t>The</w:t>
      </w:r>
      <w:r w:rsidR="005457F4">
        <w:rPr>
          <w:sz w:val="24"/>
          <w:szCs w:val="24"/>
        </w:rPr>
        <w:t xml:space="preserve"> exception is </w:t>
      </w:r>
      <w:r w:rsidRPr="005457F4" w:rsidR="005457F4">
        <w:rPr>
          <w:sz w:val="24"/>
          <w:szCs w:val="24"/>
        </w:rPr>
        <w:t xml:space="preserve">wells </w:t>
      </w:r>
      <w:r w:rsidR="005457F4">
        <w:rPr>
          <w:sz w:val="24"/>
          <w:szCs w:val="24"/>
        </w:rPr>
        <w:t xml:space="preserve">that are </w:t>
      </w:r>
      <w:r w:rsidR="00D425E4">
        <w:rPr>
          <w:sz w:val="24"/>
          <w:szCs w:val="24"/>
        </w:rPr>
        <w:t xml:space="preserve">used in </w:t>
      </w:r>
      <w:r w:rsidRPr="005457F4" w:rsidR="005457F4">
        <w:rPr>
          <w:sz w:val="24"/>
          <w:szCs w:val="24"/>
        </w:rPr>
        <w:t xml:space="preserve">a </w:t>
      </w:r>
      <w:r w:rsidRPr="005F1595" w:rsidR="005F1595">
        <w:rPr>
          <w:sz w:val="24"/>
          <w:szCs w:val="24"/>
        </w:rPr>
        <w:t>Resource Conservation and Recovery Act (RCRA) or Comprehensive Environmental Response, Compensation, and Liability Act (CERCLA</w:t>
      </w:r>
      <w:r w:rsidR="00FD5BF3">
        <w:rPr>
          <w:sz w:val="24"/>
          <w:szCs w:val="24"/>
        </w:rPr>
        <w:t>)</w:t>
      </w:r>
      <w:r w:rsidR="00D425E4">
        <w:rPr>
          <w:sz w:val="24"/>
          <w:szCs w:val="24"/>
        </w:rPr>
        <w:t xml:space="preserve">-authorized </w:t>
      </w:r>
      <w:r w:rsidRPr="005457F4" w:rsidR="005457F4">
        <w:rPr>
          <w:sz w:val="24"/>
          <w:szCs w:val="24"/>
        </w:rPr>
        <w:t xml:space="preserve">ground water remediation project. </w:t>
      </w:r>
      <w:r>
        <w:rPr>
          <w:sz w:val="24"/>
          <w:szCs w:val="24"/>
        </w:rPr>
        <w:t xml:space="preserve">Most Class </w:t>
      </w:r>
      <w:r w:rsidRPr="00D425E4">
        <w:rPr>
          <w:sz w:val="24"/>
          <w:szCs w:val="24"/>
        </w:rPr>
        <w:t>V wells inject nonhazardous fluids into or above formations that contain USDWs</w:t>
      </w:r>
      <w:r w:rsidR="00F84502">
        <w:rPr>
          <w:sz w:val="24"/>
          <w:szCs w:val="24"/>
        </w:rPr>
        <w:t xml:space="preserve">. </w:t>
      </w:r>
      <w:r w:rsidRPr="00D425E4">
        <w:rPr>
          <w:sz w:val="24"/>
          <w:szCs w:val="24"/>
        </w:rPr>
        <w:t xml:space="preserve">These include </w:t>
      </w:r>
      <w:r w:rsidR="0023053B">
        <w:rPr>
          <w:sz w:val="24"/>
          <w:szCs w:val="24"/>
        </w:rPr>
        <w:t>motor vehicle waste disposal wells (</w:t>
      </w:r>
      <w:r w:rsidR="007D30C4">
        <w:rPr>
          <w:sz w:val="24"/>
          <w:szCs w:val="24"/>
        </w:rPr>
        <w:t>MVWDWs</w:t>
      </w:r>
      <w:r w:rsidR="0023053B">
        <w:rPr>
          <w:sz w:val="24"/>
          <w:szCs w:val="24"/>
        </w:rPr>
        <w:t>)</w:t>
      </w:r>
      <w:r w:rsidRPr="00D425E4">
        <w:rPr>
          <w:sz w:val="24"/>
          <w:szCs w:val="24"/>
        </w:rPr>
        <w:t>, cesspools, agricultural drainage wells, storm water drainage wells, industrial drainage wells, and untreated sewage waste disposal wells</w:t>
      </w:r>
      <w:r w:rsidR="00F84502">
        <w:rPr>
          <w:sz w:val="24"/>
          <w:szCs w:val="24"/>
        </w:rPr>
        <w:t xml:space="preserve">. </w:t>
      </w:r>
      <w:r w:rsidRPr="00D425E4" w:rsidR="0023053B">
        <w:rPr>
          <w:sz w:val="24"/>
          <w:szCs w:val="24"/>
        </w:rPr>
        <w:t>EPA has banned the construction of new large-capacity cesspools and requires operators of existing large-capacity cesspools to close their wells</w:t>
      </w:r>
      <w:r w:rsidR="0023053B">
        <w:rPr>
          <w:sz w:val="24"/>
          <w:szCs w:val="24"/>
        </w:rPr>
        <w:t>, i</w:t>
      </w:r>
      <w:r w:rsidRPr="00D425E4">
        <w:rPr>
          <w:sz w:val="24"/>
          <w:szCs w:val="24"/>
        </w:rPr>
        <w:t xml:space="preserve">n a regulatory effort to address the Class V wells that pose the greatest </w:t>
      </w:r>
      <w:r w:rsidR="00CF0613">
        <w:rPr>
          <w:sz w:val="24"/>
          <w:szCs w:val="24"/>
        </w:rPr>
        <w:t xml:space="preserve">risk of endangerment </w:t>
      </w:r>
      <w:r w:rsidR="0023053B">
        <w:rPr>
          <w:sz w:val="24"/>
          <w:szCs w:val="24"/>
        </w:rPr>
        <w:t>to USDWs</w:t>
      </w:r>
      <w:r w:rsidR="00F84502">
        <w:rPr>
          <w:sz w:val="24"/>
          <w:szCs w:val="24"/>
        </w:rPr>
        <w:t xml:space="preserve">. </w:t>
      </w:r>
      <w:r w:rsidRPr="00D425E4">
        <w:rPr>
          <w:sz w:val="24"/>
          <w:szCs w:val="24"/>
        </w:rPr>
        <w:t>EPA also ban</w:t>
      </w:r>
      <w:r w:rsidRPr="00D425E4" w:rsidR="00D425E4">
        <w:rPr>
          <w:sz w:val="24"/>
          <w:szCs w:val="24"/>
        </w:rPr>
        <w:t>n</w:t>
      </w:r>
      <w:r w:rsidRPr="00D425E4">
        <w:rPr>
          <w:sz w:val="24"/>
          <w:szCs w:val="24"/>
        </w:rPr>
        <w:t>e</w:t>
      </w:r>
      <w:r w:rsidRPr="00D425E4" w:rsidR="00D425E4">
        <w:rPr>
          <w:sz w:val="24"/>
          <w:szCs w:val="24"/>
        </w:rPr>
        <w:t>d</w:t>
      </w:r>
      <w:r w:rsidRPr="00D425E4">
        <w:rPr>
          <w:sz w:val="24"/>
          <w:szCs w:val="24"/>
        </w:rPr>
        <w:t xml:space="preserve"> new </w:t>
      </w:r>
      <w:r w:rsidR="007D30C4">
        <w:rPr>
          <w:sz w:val="24"/>
          <w:szCs w:val="24"/>
        </w:rPr>
        <w:t>MVWDWs</w:t>
      </w:r>
      <w:r w:rsidRPr="00D425E4" w:rsidR="007D30C4">
        <w:rPr>
          <w:sz w:val="24"/>
          <w:szCs w:val="24"/>
        </w:rPr>
        <w:t xml:space="preserve"> </w:t>
      </w:r>
      <w:r w:rsidRPr="00D425E4">
        <w:rPr>
          <w:sz w:val="24"/>
          <w:szCs w:val="24"/>
        </w:rPr>
        <w:t>and requir</w:t>
      </w:r>
      <w:r w:rsidR="00FD5BF3">
        <w:rPr>
          <w:sz w:val="24"/>
          <w:szCs w:val="24"/>
        </w:rPr>
        <w:t>ed</w:t>
      </w:r>
      <w:r w:rsidRPr="00D425E4">
        <w:rPr>
          <w:sz w:val="24"/>
          <w:szCs w:val="24"/>
        </w:rPr>
        <w:t xml:space="preserve"> operators of existing </w:t>
      </w:r>
      <w:r w:rsidR="007D30C4">
        <w:rPr>
          <w:sz w:val="24"/>
          <w:szCs w:val="24"/>
        </w:rPr>
        <w:t>MVWDWs</w:t>
      </w:r>
      <w:r w:rsidRPr="00D425E4" w:rsidR="007D30C4">
        <w:rPr>
          <w:sz w:val="24"/>
          <w:szCs w:val="24"/>
        </w:rPr>
        <w:t xml:space="preserve"> </w:t>
      </w:r>
      <w:r w:rsidRPr="00D425E4" w:rsidR="00D425E4">
        <w:rPr>
          <w:sz w:val="24"/>
          <w:szCs w:val="24"/>
        </w:rPr>
        <w:t xml:space="preserve">in defined </w:t>
      </w:r>
      <w:r w:rsidRPr="00D425E4">
        <w:rPr>
          <w:sz w:val="24"/>
          <w:szCs w:val="24"/>
        </w:rPr>
        <w:t>ground water protection areas or other sensitive ground water areas to close these wells or apply for a permit to continue injecting.</w:t>
      </w:r>
    </w:p>
    <w:p w:rsidR="00C25838" w:rsidRDefault="00C25838" w14:paraId="5E776D5C" w14:textId="77777777">
      <w:pPr>
        <w:pStyle w:val="test"/>
      </w:pPr>
    </w:p>
    <w:p w:rsidR="00C25838" w:rsidRDefault="00C25838" w14:paraId="26AB415C" w14:textId="4EC81537">
      <w:pPr>
        <w:ind w:left="720"/>
        <w:rPr>
          <w:sz w:val="24"/>
          <w:szCs w:val="24"/>
        </w:rPr>
      </w:pPr>
      <w:r>
        <w:rPr>
          <w:b/>
          <w:bCs/>
          <w:sz w:val="24"/>
          <w:szCs w:val="24"/>
        </w:rPr>
        <w:t>Pathway 5:</w:t>
      </w:r>
      <w:r w:rsidR="00F84502">
        <w:rPr>
          <w:b/>
          <w:bCs/>
          <w:sz w:val="24"/>
          <w:szCs w:val="24"/>
        </w:rPr>
        <w:t xml:space="preserve"> </w:t>
      </w:r>
      <w:r>
        <w:rPr>
          <w:b/>
          <w:bCs/>
          <w:sz w:val="24"/>
          <w:szCs w:val="24"/>
        </w:rPr>
        <w:t>Lateral Displacement</w:t>
      </w:r>
      <w:r w:rsidR="00F84502">
        <w:rPr>
          <w:b/>
          <w:bCs/>
          <w:sz w:val="24"/>
          <w:szCs w:val="24"/>
        </w:rPr>
        <w:t xml:space="preserve">. </w:t>
      </w:r>
      <w:r>
        <w:rPr>
          <w:bCs/>
          <w:sz w:val="24"/>
          <w:szCs w:val="24"/>
        </w:rPr>
        <w:t>F</w:t>
      </w:r>
      <w:r>
        <w:rPr>
          <w:sz w:val="24"/>
          <w:szCs w:val="24"/>
        </w:rPr>
        <w:t>luid may be displaced from the injection zone into hydraulically connected USDWs</w:t>
      </w:r>
      <w:r w:rsidR="00F84502">
        <w:rPr>
          <w:sz w:val="24"/>
          <w:szCs w:val="24"/>
        </w:rPr>
        <w:t xml:space="preserve">. </w:t>
      </w:r>
      <w:r w:rsidR="007D248F">
        <w:rPr>
          <w:sz w:val="24"/>
          <w:szCs w:val="24"/>
        </w:rPr>
        <w:t>I</w:t>
      </w:r>
      <w:r>
        <w:rPr>
          <w:sz w:val="24"/>
          <w:szCs w:val="24"/>
        </w:rPr>
        <w:t xml:space="preserve">nformation regarding the proximity of injection wells to USDWs is considered by the permitting authority in making a determination of whether </w:t>
      </w:r>
      <w:r w:rsidR="007D248F">
        <w:rPr>
          <w:sz w:val="24"/>
          <w:szCs w:val="24"/>
        </w:rPr>
        <w:t xml:space="preserve">proposed injection </w:t>
      </w:r>
      <w:r>
        <w:rPr>
          <w:sz w:val="24"/>
          <w:szCs w:val="24"/>
        </w:rPr>
        <w:t>wells are properly sited</w:t>
      </w:r>
      <w:r w:rsidR="00F84502">
        <w:rPr>
          <w:sz w:val="24"/>
          <w:szCs w:val="24"/>
        </w:rPr>
        <w:t xml:space="preserve">. </w:t>
      </w:r>
      <w:r>
        <w:rPr>
          <w:sz w:val="24"/>
          <w:szCs w:val="24"/>
        </w:rPr>
        <w:t>Well operators are required to control injection pressure and conduct monitoring to track any lateral migration of fluids.</w:t>
      </w:r>
    </w:p>
    <w:p w:rsidR="00C25838" w:rsidRDefault="00C25838" w14:paraId="12F71F38" w14:textId="77777777">
      <w:pPr>
        <w:pStyle w:val="test"/>
      </w:pPr>
    </w:p>
    <w:p w:rsidR="00C25838" w:rsidP="00306787" w:rsidRDefault="00C25838" w14:paraId="2D75750C" w14:textId="77777777">
      <w:pPr>
        <w:keepNext/>
        <w:keepLines/>
        <w:rPr>
          <w:b/>
          <w:bCs/>
          <w:sz w:val="24"/>
          <w:szCs w:val="24"/>
        </w:rPr>
      </w:pPr>
      <w:r>
        <w:rPr>
          <w:b/>
          <w:bCs/>
          <w:sz w:val="24"/>
          <w:szCs w:val="24"/>
        </w:rPr>
        <w:tab/>
      </w:r>
      <w:r>
        <w:rPr>
          <w:b/>
          <w:bCs/>
          <w:i/>
          <w:iCs/>
          <w:sz w:val="24"/>
          <w:szCs w:val="24"/>
        </w:rPr>
        <w:t>Legal Authority</w:t>
      </w:r>
      <w:r w:rsidR="00F84502">
        <w:rPr>
          <w:b/>
          <w:bCs/>
          <w:i/>
          <w:iCs/>
          <w:sz w:val="24"/>
          <w:szCs w:val="24"/>
        </w:rPr>
        <w:t xml:space="preserve"> </w:t>
      </w:r>
    </w:p>
    <w:p w:rsidR="00C25838" w:rsidP="00306787" w:rsidRDefault="00C25838" w14:paraId="0E180EB3" w14:textId="77777777">
      <w:pPr>
        <w:keepNext/>
        <w:keepLines/>
        <w:rPr>
          <w:sz w:val="24"/>
          <w:szCs w:val="24"/>
        </w:rPr>
      </w:pPr>
    </w:p>
    <w:p w:rsidR="00C25838" w:rsidP="00306787" w:rsidRDefault="00C25838" w14:paraId="4BF8AB7D" w14:textId="7DA97D2A">
      <w:pPr>
        <w:keepNext/>
        <w:keepLines/>
        <w:rPr>
          <w:sz w:val="24"/>
          <w:szCs w:val="24"/>
        </w:rPr>
      </w:pPr>
      <w:r>
        <w:rPr>
          <w:sz w:val="24"/>
          <w:szCs w:val="24"/>
        </w:rPr>
        <w:tab/>
        <w:t>Injection wells are regulated by EPA, as mandated by Sections 1421, 1422, 1423, 1425, 1431, 1445, and 1450 of the SDWA of 1974, as amended</w:t>
      </w:r>
      <w:r w:rsidR="00F84502">
        <w:rPr>
          <w:sz w:val="24"/>
          <w:szCs w:val="24"/>
        </w:rPr>
        <w:t xml:space="preserve">. </w:t>
      </w:r>
      <w:r>
        <w:rPr>
          <w:sz w:val="24"/>
          <w:szCs w:val="24"/>
        </w:rPr>
        <w:t>The regulation of hazardous waste injection is jointly authorized by the SDWA and RCRA</w:t>
      </w:r>
      <w:r w:rsidR="00F84502">
        <w:rPr>
          <w:sz w:val="24"/>
          <w:szCs w:val="24"/>
        </w:rPr>
        <w:t xml:space="preserve">. </w:t>
      </w:r>
      <w:r>
        <w:rPr>
          <w:sz w:val="24"/>
          <w:szCs w:val="24"/>
        </w:rPr>
        <w:t>The Hazardous and Solid Waste Amendments (HSWA) of 1984 amended RCRA to prohibit the land disposal of hazardous waste unless it can be demonstrated that there will be no migration from the disposal unit for as long as the waste remains hazardous</w:t>
      </w:r>
      <w:r w:rsidR="00F84502">
        <w:rPr>
          <w:sz w:val="24"/>
          <w:szCs w:val="24"/>
        </w:rPr>
        <w:t xml:space="preserve">. </w:t>
      </w:r>
      <w:r>
        <w:rPr>
          <w:sz w:val="24"/>
          <w:szCs w:val="24"/>
        </w:rPr>
        <w:t>Underground injection of hazardous wastes is included in Section 3004(k) of HSWA as a land disposal technique.</w:t>
      </w:r>
    </w:p>
    <w:p w:rsidR="00C25838" w:rsidRDefault="00C25838" w14:paraId="1DD7B8AC" w14:textId="77777777">
      <w:pPr>
        <w:rPr>
          <w:sz w:val="24"/>
          <w:szCs w:val="24"/>
        </w:rPr>
      </w:pPr>
    </w:p>
    <w:p w:rsidR="00C25838" w:rsidRDefault="00C25838" w14:paraId="77D4654A" w14:textId="77777777">
      <w:pPr>
        <w:rPr>
          <w:sz w:val="24"/>
          <w:szCs w:val="24"/>
        </w:rPr>
      </w:pPr>
      <w:r>
        <w:rPr>
          <w:sz w:val="24"/>
          <w:szCs w:val="24"/>
        </w:rPr>
        <w:tab/>
        <w:t xml:space="preserve">Under Section 1445 of the SDWA, persons subject to federal or state UIC programs must “establish and maintain such records, make such reports, conduct such monitoring, and provide such information as the Administrator may reasonably require by regulation to assist </w:t>
      </w:r>
      <w:r w:rsidR="0023053B">
        <w:rPr>
          <w:sz w:val="24"/>
          <w:szCs w:val="24"/>
        </w:rPr>
        <w:t xml:space="preserve">the Administrator </w:t>
      </w:r>
      <w:r>
        <w:rPr>
          <w:sz w:val="24"/>
          <w:szCs w:val="24"/>
        </w:rPr>
        <w:t>in establishing regulations under this title . . .</w:t>
      </w:r>
      <w:r w:rsidR="0023053B">
        <w:rPr>
          <w:sz w:val="24"/>
          <w:szCs w:val="24"/>
        </w:rPr>
        <w:t xml:space="preserve"> .</w:t>
      </w:r>
      <w:r>
        <w:rPr>
          <w:sz w:val="24"/>
          <w:szCs w:val="24"/>
        </w:rPr>
        <w:t xml:space="preserve">” </w:t>
      </w:r>
    </w:p>
    <w:p w:rsidR="00C25838" w:rsidRDefault="00C25838" w14:paraId="2A3EBAAD" w14:textId="77777777">
      <w:pPr>
        <w:rPr>
          <w:sz w:val="24"/>
          <w:szCs w:val="24"/>
        </w:rPr>
      </w:pPr>
    </w:p>
    <w:p w:rsidR="00C25838" w:rsidRDefault="00C25838" w14:paraId="438C3CD0" w14:textId="77777777">
      <w:pPr>
        <w:rPr>
          <w:sz w:val="24"/>
          <w:szCs w:val="24"/>
        </w:rPr>
      </w:pPr>
      <w:r>
        <w:rPr>
          <w:sz w:val="24"/>
          <w:szCs w:val="24"/>
        </w:rPr>
        <w:lastRenderedPageBreak/>
        <w:tab/>
        <w:t xml:space="preserve">The specific requirements for the UIC Program are established in Title 40, Sections 144 through 148 </w:t>
      </w:r>
      <w:r w:rsidR="0023053B">
        <w:rPr>
          <w:sz w:val="24"/>
          <w:szCs w:val="24"/>
        </w:rPr>
        <w:t xml:space="preserve">of the CFR </w:t>
      </w:r>
      <w:r>
        <w:rPr>
          <w:sz w:val="24"/>
          <w:szCs w:val="24"/>
        </w:rPr>
        <w:t>as follows:</w:t>
      </w:r>
    </w:p>
    <w:p w:rsidR="00C25838" w:rsidRDefault="00C25838" w14:paraId="7605D9B7" w14:textId="77777777">
      <w:pPr>
        <w:rPr>
          <w:sz w:val="24"/>
          <w:szCs w:val="24"/>
        </w:rPr>
      </w:pPr>
    </w:p>
    <w:p w:rsidR="00C25838" w:rsidRDefault="00C25838" w14:paraId="597E3FBC" w14:textId="6A33ACF7">
      <w:pPr>
        <w:ind w:left="720"/>
        <w:rPr>
          <w:sz w:val="24"/>
          <w:szCs w:val="24"/>
        </w:rPr>
      </w:pPr>
      <w:r w:rsidRPr="00E51DC8">
        <w:rPr>
          <w:b/>
          <w:bCs/>
          <w:sz w:val="24"/>
          <w:szCs w:val="24"/>
        </w:rPr>
        <w:t>Section 144</w:t>
      </w:r>
      <w:r>
        <w:rPr>
          <w:b/>
          <w:bCs/>
          <w:sz w:val="24"/>
          <w:szCs w:val="24"/>
        </w:rPr>
        <w:t xml:space="preserve"> - Underground Injection Control Program</w:t>
      </w:r>
      <w:r w:rsidR="00F84502">
        <w:rPr>
          <w:sz w:val="24"/>
          <w:szCs w:val="24"/>
        </w:rPr>
        <w:t xml:space="preserve">. </w:t>
      </w:r>
      <w:r>
        <w:rPr>
          <w:sz w:val="24"/>
          <w:szCs w:val="24"/>
        </w:rPr>
        <w:t xml:space="preserve">This section describes the general requirements of the Program, authorizes certain types of wells, defines permitting procedures, and establishes procedures for ensuring financial responsibility for </w:t>
      </w:r>
      <w:r w:rsidR="005E39AF">
        <w:rPr>
          <w:sz w:val="24"/>
          <w:szCs w:val="24"/>
        </w:rPr>
        <w:t xml:space="preserve">Class I hazardous waste injection </w:t>
      </w:r>
      <w:r>
        <w:rPr>
          <w:sz w:val="24"/>
          <w:szCs w:val="24"/>
        </w:rPr>
        <w:t>wells.</w:t>
      </w:r>
    </w:p>
    <w:p w:rsidR="00C25838" w:rsidRDefault="00C25838" w14:paraId="5B5FEBAF" w14:textId="77777777">
      <w:pPr>
        <w:rPr>
          <w:sz w:val="24"/>
          <w:szCs w:val="24"/>
        </w:rPr>
      </w:pPr>
    </w:p>
    <w:p w:rsidR="00C25838" w:rsidRDefault="00C25838" w14:paraId="09E170FE" w14:textId="5B7F718C">
      <w:pPr>
        <w:ind w:left="720"/>
        <w:rPr>
          <w:sz w:val="24"/>
          <w:szCs w:val="24"/>
        </w:rPr>
      </w:pPr>
      <w:r>
        <w:rPr>
          <w:b/>
          <w:bCs/>
          <w:sz w:val="24"/>
          <w:szCs w:val="24"/>
        </w:rPr>
        <w:t>Section 145 - State UIC Program Requirements</w:t>
      </w:r>
      <w:r w:rsidR="00F84502">
        <w:rPr>
          <w:sz w:val="24"/>
          <w:szCs w:val="24"/>
        </w:rPr>
        <w:t xml:space="preserve">. </w:t>
      </w:r>
      <w:r>
        <w:rPr>
          <w:sz w:val="24"/>
          <w:szCs w:val="24"/>
        </w:rPr>
        <w:t xml:space="preserve">This section describes the requirements that state programs must meet to </w:t>
      </w:r>
      <w:r w:rsidR="00292D1F">
        <w:rPr>
          <w:sz w:val="24"/>
          <w:szCs w:val="24"/>
        </w:rPr>
        <w:t xml:space="preserve">receive </w:t>
      </w:r>
      <w:r>
        <w:rPr>
          <w:sz w:val="24"/>
          <w:szCs w:val="24"/>
        </w:rPr>
        <w:t>primacy and the method for obtaining program approval.</w:t>
      </w:r>
    </w:p>
    <w:p w:rsidR="00C25838" w:rsidRDefault="00C25838" w14:paraId="28B880A3" w14:textId="77777777">
      <w:pPr>
        <w:rPr>
          <w:sz w:val="24"/>
          <w:szCs w:val="24"/>
        </w:rPr>
      </w:pPr>
    </w:p>
    <w:p w:rsidR="00C25838" w:rsidRDefault="00C25838" w14:paraId="492BC82D" w14:textId="6CE2C58E">
      <w:pPr>
        <w:ind w:left="720"/>
        <w:rPr>
          <w:sz w:val="24"/>
          <w:szCs w:val="24"/>
        </w:rPr>
      </w:pPr>
      <w:r>
        <w:rPr>
          <w:b/>
          <w:bCs/>
          <w:sz w:val="24"/>
          <w:szCs w:val="24"/>
        </w:rPr>
        <w:t>Section 146 - UIC Program: Criteria and Standards</w:t>
      </w:r>
      <w:r w:rsidR="00F84502">
        <w:rPr>
          <w:sz w:val="24"/>
          <w:szCs w:val="24"/>
        </w:rPr>
        <w:t xml:space="preserve">. </w:t>
      </w:r>
      <w:r>
        <w:rPr>
          <w:sz w:val="24"/>
          <w:szCs w:val="24"/>
        </w:rPr>
        <w:t xml:space="preserve">This section contains the technical criteria and standards that </w:t>
      </w:r>
      <w:r w:rsidR="00FD5BF3">
        <w:rPr>
          <w:sz w:val="24"/>
          <w:szCs w:val="24"/>
        </w:rPr>
        <w:t xml:space="preserve">owners or operators of </w:t>
      </w:r>
      <w:r>
        <w:rPr>
          <w:sz w:val="24"/>
          <w:szCs w:val="24"/>
        </w:rPr>
        <w:t>various classes of injection wells must meet</w:t>
      </w:r>
      <w:r w:rsidR="00F84502">
        <w:rPr>
          <w:sz w:val="24"/>
          <w:szCs w:val="24"/>
        </w:rPr>
        <w:t xml:space="preserve">. </w:t>
      </w:r>
      <w:r>
        <w:rPr>
          <w:sz w:val="24"/>
          <w:szCs w:val="24"/>
        </w:rPr>
        <w:t xml:space="preserve">Monitoring and reporting </w:t>
      </w:r>
      <w:r w:rsidR="007D248F">
        <w:rPr>
          <w:sz w:val="24"/>
          <w:szCs w:val="24"/>
        </w:rPr>
        <w:t xml:space="preserve">requirements </w:t>
      </w:r>
      <w:r>
        <w:rPr>
          <w:sz w:val="24"/>
          <w:szCs w:val="24"/>
        </w:rPr>
        <w:t>are outlined for each well class.</w:t>
      </w:r>
    </w:p>
    <w:p w:rsidR="00C25838" w:rsidRDefault="00C25838" w14:paraId="2FAB53D2" w14:textId="77777777">
      <w:pPr>
        <w:rPr>
          <w:sz w:val="24"/>
          <w:szCs w:val="24"/>
        </w:rPr>
      </w:pPr>
    </w:p>
    <w:p w:rsidR="00C25838" w:rsidRDefault="00C25838" w14:paraId="5ABB613A" w14:textId="77777777">
      <w:pPr>
        <w:ind w:left="720"/>
        <w:rPr>
          <w:sz w:val="24"/>
          <w:szCs w:val="24"/>
        </w:rPr>
      </w:pPr>
      <w:r>
        <w:rPr>
          <w:b/>
          <w:bCs/>
          <w:sz w:val="24"/>
          <w:szCs w:val="24"/>
        </w:rPr>
        <w:t>Section 147- State UIC Programs</w:t>
      </w:r>
      <w:r>
        <w:rPr>
          <w:sz w:val="24"/>
          <w:szCs w:val="24"/>
        </w:rPr>
        <w:t>. This section describes the provisions of the UIC programs of individual state</w:t>
      </w:r>
      <w:r w:rsidR="00E51DC8">
        <w:rPr>
          <w:sz w:val="24"/>
          <w:szCs w:val="24"/>
        </w:rPr>
        <w:t>,</w:t>
      </w:r>
      <w:r>
        <w:rPr>
          <w:sz w:val="24"/>
          <w:szCs w:val="24"/>
        </w:rPr>
        <w:t xml:space="preserve"> </w:t>
      </w:r>
      <w:r w:rsidR="000B0DD0">
        <w:rPr>
          <w:sz w:val="24"/>
          <w:szCs w:val="24"/>
        </w:rPr>
        <w:t xml:space="preserve">territorial, </w:t>
      </w:r>
      <w:r w:rsidR="00E51DC8">
        <w:rPr>
          <w:sz w:val="24"/>
          <w:szCs w:val="24"/>
        </w:rPr>
        <w:t>and trib</w:t>
      </w:r>
      <w:r w:rsidR="000B0DD0">
        <w:rPr>
          <w:sz w:val="24"/>
          <w:szCs w:val="24"/>
        </w:rPr>
        <w:t>al</w:t>
      </w:r>
      <w:r>
        <w:rPr>
          <w:sz w:val="24"/>
          <w:szCs w:val="24"/>
        </w:rPr>
        <w:t xml:space="preserve"> primacy programs.</w:t>
      </w:r>
    </w:p>
    <w:p w:rsidR="00C25838" w:rsidRDefault="00C25838" w14:paraId="618DC1EA" w14:textId="77777777">
      <w:pPr>
        <w:rPr>
          <w:sz w:val="24"/>
          <w:szCs w:val="24"/>
        </w:rPr>
      </w:pPr>
    </w:p>
    <w:p w:rsidR="00C25838" w:rsidRDefault="00C25838" w14:paraId="165511AA" w14:textId="77777777">
      <w:pPr>
        <w:ind w:left="720"/>
        <w:rPr>
          <w:sz w:val="24"/>
          <w:szCs w:val="24"/>
        </w:rPr>
      </w:pPr>
      <w:r>
        <w:rPr>
          <w:b/>
          <w:bCs/>
          <w:sz w:val="24"/>
          <w:szCs w:val="24"/>
        </w:rPr>
        <w:t>Section 148 - Hazardous Waste Injection Restrictions</w:t>
      </w:r>
      <w:r w:rsidR="00F84502">
        <w:rPr>
          <w:sz w:val="24"/>
          <w:szCs w:val="24"/>
        </w:rPr>
        <w:t xml:space="preserve">. </w:t>
      </w:r>
      <w:r>
        <w:rPr>
          <w:sz w:val="24"/>
          <w:szCs w:val="24"/>
        </w:rPr>
        <w:t>This section identifies hazardous wastes that are restricted from disposal into Class I hazardous waste injection wells</w:t>
      </w:r>
      <w:r w:rsidR="00F84502">
        <w:rPr>
          <w:sz w:val="24"/>
          <w:szCs w:val="24"/>
        </w:rPr>
        <w:t xml:space="preserve">. </w:t>
      </w:r>
      <w:r>
        <w:rPr>
          <w:sz w:val="24"/>
          <w:szCs w:val="24"/>
        </w:rPr>
        <w:t>It outlines the standards and procedures by which Class I hazardous waste facility operators may petition to dispose of restricted hazardous wastes.</w:t>
      </w:r>
    </w:p>
    <w:p w:rsidR="00C25838" w:rsidRDefault="00C25838" w14:paraId="58937090" w14:textId="77777777">
      <w:pPr>
        <w:rPr>
          <w:sz w:val="24"/>
          <w:szCs w:val="24"/>
        </w:rPr>
      </w:pPr>
    </w:p>
    <w:p w:rsidR="00C25838" w:rsidRDefault="00C25838" w14:paraId="2B521AEE" w14:textId="4333DE54">
      <w:pPr>
        <w:rPr>
          <w:sz w:val="24"/>
          <w:szCs w:val="24"/>
        </w:rPr>
      </w:pPr>
      <w:r>
        <w:rPr>
          <w:sz w:val="24"/>
          <w:szCs w:val="24"/>
        </w:rPr>
        <w:tab/>
        <w:t xml:space="preserve">These CFR Sections contain information collection requirements that are applicable to operators of underground injection wells and to administrators of primacy and </w:t>
      </w:r>
      <w:r w:rsidR="00FB060A">
        <w:rPr>
          <w:sz w:val="24"/>
          <w:szCs w:val="24"/>
        </w:rPr>
        <w:t>direct implementation (</w:t>
      </w:r>
      <w:r>
        <w:rPr>
          <w:sz w:val="24"/>
          <w:szCs w:val="24"/>
        </w:rPr>
        <w:t>DI</w:t>
      </w:r>
      <w:r w:rsidR="00FB060A">
        <w:rPr>
          <w:sz w:val="24"/>
          <w:szCs w:val="24"/>
        </w:rPr>
        <w:t>)</w:t>
      </w:r>
      <w:r>
        <w:rPr>
          <w:sz w:val="24"/>
          <w:szCs w:val="24"/>
        </w:rPr>
        <w:t xml:space="preserve"> programs</w:t>
      </w:r>
      <w:r w:rsidR="00F84502">
        <w:rPr>
          <w:sz w:val="24"/>
          <w:szCs w:val="24"/>
        </w:rPr>
        <w:t xml:space="preserve">. </w:t>
      </w:r>
      <w:r>
        <w:rPr>
          <w:sz w:val="24"/>
          <w:szCs w:val="24"/>
        </w:rPr>
        <w:t xml:space="preserve">Exhibit 2-1 describes the </w:t>
      </w:r>
      <w:r w:rsidR="00E51DC8">
        <w:rPr>
          <w:sz w:val="24"/>
          <w:szCs w:val="24"/>
        </w:rPr>
        <w:t xml:space="preserve">six </w:t>
      </w:r>
      <w:r>
        <w:rPr>
          <w:sz w:val="24"/>
          <w:szCs w:val="24"/>
        </w:rPr>
        <w:t>classes of injection wells</w:t>
      </w:r>
      <w:r w:rsidR="00F84502">
        <w:rPr>
          <w:sz w:val="24"/>
          <w:szCs w:val="24"/>
        </w:rPr>
        <w:t xml:space="preserve">. </w:t>
      </w:r>
      <w:r>
        <w:rPr>
          <w:sz w:val="24"/>
          <w:szCs w:val="24"/>
        </w:rPr>
        <w:t xml:space="preserve">A </w:t>
      </w:r>
      <w:r w:rsidR="00906B15">
        <w:rPr>
          <w:sz w:val="24"/>
          <w:szCs w:val="24"/>
        </w:rPr>
        <w:t xml:space="preserve">discussion </w:t>
      </w:r>
      <w:r>
        <w:rPr>
          <w:sz w:val="24"/>
          <w:szCs w:val="24"/>
        </w:rPr>
        <w:t xml:space="preserve">of the specific requirements for operators is given in </w:t>
      </w:r>
      <w:r w:rsidR="00906B15">
        <w:rPr>
          <w:sz w:val="24"/>
          <w:szCs w:val="24"/>
        </w:rPr>
        <w:t>Section 4(b)(1)</w:t>
      </w:r>
      <w:r>
        <w:rPr>
          <w:sz w:val="24"/>
          <w:szCs w:val="24"/>
        </w:rPr>
        <w:t xml:space="preserve">; the paperwork requirements for </w:t>
      </w:r>
      <w:r w:rsidR="008176C6">
        <w:rPr>
          <w:sz w:val="24"/>
          <w:szCs w:val="24"/>
        </w:rPr>
        <w:t xml:space="preserve">primacy </w:t>
      </w:r>
      <w:r>
        <w:rPr>
          <w:sz w:val="24"/>
          <w:szCs w:val="24"/>
        </w:rPr>
        <w:t xml:space="preserve">states as respondents are presented in </w:t>
      </w:r>
      <w:r w:rsidR="00906B15">
        <w:rPr>
          <w:sz w:val="24"/>
          <w:szCs w:val="24"/>
        </w:rPr>
        <w:t>Section 4(b)(2)</w:t>
      </w:r>
      <w:r>
        <w:rPr>
          <w:sz w:val="24"/>
          <w:szCs w:val="24"/>
        </w:rPr>
        <w:t>.</w:t>
      </w:r>
      <w:r w:rsidR="00D425E4">
        <w:rPr>
          <w:sz w:val="24"/>
          <w:szCs w:val="24"/>
        </w:rPr>
        <w:t xml:space="preserve"> </w:t>
      </w:r>
    </w:p>
    <w:p w:rsidR="00C25838" w:rsidRDefault="00C25838" w14:paraId="07DFF568" w14:textId="77777777">
      <w:pPr>
        <w:pStyle w:val="test"/>
      </w:pPr>
    </w:p>
    <w:p w:rsidR="00FD5BF3" w:rsidP="00FD5BF3" w:rsidRDefault="00FD5BF3" w14:paraId="35D63B33" w14:textId="77777777">
      <w:pPr>
        <w:keepNext/>
        <w:keepLines/>
        <w:rPr>
          <w:b/>
          <w:bCs/>
          <w:sz w:val="24"/>
          <w:szCs w:val="24"/>
        </w:rPr>
      </w:pPr>
      <w:r>
        <w:rPr>
          <w:b/>
          <w:bCs/>
          <w:i/>
          <w:iCs/>
          <w:sz w:val="24"/>
          <w:szCs w:val="24"/>
        </w:rPr>
        <w:t>Statutory Requirements</w:t>
      </w:r>
      <w:r>
        <w:rPr>
          <w:b/>
          <w:bCs/>
          <w:sz w:val="24"/>
          <w:szCs w:val="24"/>
        </w:rPr>
        <w:t xml:space="preserve"> </w:t>
      </w:r>
    </w:p>
    <w:p w:rsidR="00FD5BF3" w:rsidP="00FD5BF3" w:rsidRDefault="00FD5BF3" w14:paraId="76A9D1A4" w14:textId="77777777">
      <w:pPr>
        <w:keepNext/>
        <w:rPr>
          <w:sz w:val="24"/>
          <w:szCs w:val="24"/>
        </w:rPr>
      </w:pPr>
    </w:p>
    <w:p w:rsidR="00FD5BF3" w:rsidP="00FD5BF3" w:rsidRDefault="00FD5BF3" w14:paraId="6BDC70AB" w14:textId="77777777">
      <w:pPr>
        <w:rPr>
          <w:sz w:val="24"/>
          <w:szCs w:val="24"/>
        </w:rPr>
      </w:pPr>
      <w:r>
        <w:rPr>
          <w:sz w:val="24"/>
          <w:szCs w:val="24"/>
        </w:rPr>
        <w:tab/>
        <w:t>Section 1421(b) of the SDWA specifies that regulations for state UIC programs must contain minimum requirements for effective programs to prevent underground injection that endangers USDWs. Therefore, EPA must:</w:t>
      </w:r>
    </w:p>
    <w:p w:rsidR="00FD5BF3" w:rsidP="00FD5BF3" w:rsidRDefault="00FD5BF3" w14:paraId="02DB4623" w14:textId="77777777">
      <w:pPr>
        <w:rPr>
          <w:sz w:val="24"/>
          <w:szCs w:val="24"/>
        </w:rPr>
      </w:pPr>
    </w:p>
    <w:p w:rsidR="00FD5BF3" w:rsidP="00FD5BF3" w:rsidRDefault="00FD5BF3" w14:paraId="311E637D" w14:textId="77777777">
      <w:pPr>
        <w:spacing w:after="120"/>
        <w:ind w:left="720"/>
        <w:rPr>
          <w:sz w:val="24"/>
          <w:szCs w:val="24"/>
        </w:rPr>
      </w:pPr>
      <w:r>
        <w:rPr>
          <w:sz w:val="24"/>
          <w:szCs w:val="24"/>
        </w:rPr>
        <w:t>•</w:t>
      </w:r>
      <w:r>
        <w:rPr>
          <w:sz w:val="24"/>
          <w:szCs w:val="24"/>
        </w:rPr>
        <w:tab/>
        <w:t>Publish minimum national requirements for effective state UIC programs;</w:t>
      </w:r>
    </w:p>
    <w:p w:rsidR="00FD5BF3" w:rsidP="00FD5BF3" w:rsidRDefault="00FD5BF3" w14:paraId="75DB83C8" w14:textId="77777777">
      <w:pPr>
        <w:pStyle w:val="Level1"/>
        <w:spacing w:after="120"/>
      </w:pPr>
      <w:r>
        <w:t>•</w:t>
      </w:r>
      <w:r>
        <w:tab/>
        <w:t xml:space="preserve">List states that need UIC programs; </w:t>
      </w:r>
    </w:p>
    <w:p w:rsidR="00FD5BF3" w:rsidP="00FD5BF3" w:rsidRDefault="00FD5BF3" w14:paraId="015B8A8B" w14:textId="77777777">
      <w:pPr>
        <w:spacing w:after="120"/>
        <w:ind w:left="720"/>
        <w:rPr>
          <w:sz w:val="24"/>
          <w:szCs w:val="24"/>
        </w:rPr>
      </w:pPr>
      <w:r>
        <w:rPr>
          <w:sz w:val="24"/>
          <w:szCs w:val="24"/>
        </w:rPr>
        <w:t>•</w:t>
      </w:r>
      <w:r>
        <w:rPr>
          <w:sz w:val="24"/>
          <w:szCs w:val="24"/>
        </w:rPr>
        <w:tab/>
        <w:t>Review proposed state programs and approve or disapprove them;</w:t>
      </w:r>
    </w:p>
    <w:p w:rsidR="00FD5BF3" w:rsidP="00FD5BF3" w:rsidRDefault="00FD5BF3" w14:paraId="2FDEA5C7" w14:textId="77777777">
      <w:pPr>
        <w:tabs>
          <w:tab w:val="left" w:pos="720"/>
          <w:tab w:val="left" w:pos="1440"/>
        </w:tabs>
        <w:spacing w:after="120"/>
        <w:ind w:left="1440" w:hanging="720"/>
        <w:rPr>
          <w:sz w:val="24"/>
          <w:szCs w:val="24"/>
        </w:rPr>
      </w:pPr>
      <w:r>
        <w:rPr>
          <w:sz w:val="24"/>
          <w:szCs w:val="24"/>
        </w:rPr>
        <w:t>•</w:t>
      </w:r>
      <w:r>
        <w:rPr>
          <w:sz w:val="24"/>
          <w:szCs w:val="24"/>
        </w:rPr>
        <w:tab/>
        <w:t xml:space="preserve">Promulgate </w:t>
      </w:r>
      <w:r w:rsidR="0086228E">
        <w:rPr>
          <w:sz w:val="24"/>
          <w:szCs w:val="24"/>
        </w:rPr>
        <w:t xml:space="preserve">regulations </w:t>
      </w:r>
      <w:r>
        <w:rPr>
          <w:sz w:val="24"/>
          <w:szCs w:val="24"/>
        </w:rPr>
        <w:t>and enforce UIC programs in those states that choose not to participate in or do not develop and operate approved programs; and</w:t>
      </w:r>
    </w:p>
    <w:p w:rsidR="00FD5BF3" w:rsidP="00FD5BF3" w:rsidRDefault="00FD5BF3" w14:paraId="0B8A8E60" w14:textId="77777777">
      <w:pPr>
        <w:tabs>
          <w:tab w:val="left" w:pos="720"/>
          <w:tab w:val="left" w:pos="1440"/>
        </w:tabs>
        <w:spacing w:after="120"/>
        <w:ind w:left="1440" w:hanging="720"/>
        <w:rPr>
          <w:sz w:val="24"/>
          <w:szCs w:val="24"/>
        </w:rPr>
      </w:pPr>
      <w:r>
        <w:rPr>
          <w:sz w:val="24"/>
          <w:szCs w:val="24"/>
        </w:rPr>
        <w:t>•</w:t>
      </w:r>
      <w:r>
        <w:rPr>
          <w:sz w:val="24"/>
          <w:szCs w:val="24"/>
        </w:rPr>
        <w:tab/>
        <w:t>Evaluate state/regional UIC programs for effectiveness in meeting statutory and regulatory requirements.</w:t>
      </w:r>
    </w:p>
    <w:p w:rsidR="00FD5BF3" w:rsidP="00FD5BF3" w:rsidRDefault="00FD5BF3" w14:paraId="5D84B800" w14:textId="77777777">
      <w:pPr>
        <w:rPr>
          <w:sz w:val="24"/>
          <w:szCs w:val="24"/>
        </w:rPr>
      </w:pPr>
    </w:p>
    <w:p w:rsidR="00FD5BF3" w:rsidRDefault="00FD5BF3" w14:paraId="0B29A381" w14:textId="77777777">
      <w:pPr>
        <w:pStyle w:val="test"/>
      </w:pPr>
    </w:p>
    <w:p w:rsidR="00C25838" w:rsidRDefault="00C25838" w14:paraId="577230F4" w14:textId="77777777">
      <w:pPr>
        <w:keepNext/>
        <w:keepLines/>
        <w:jc w:val="center"/>
        <w:rPr>
          <w:rFonts w:ascii="Arial" w:hAnsi="Arial" w:cs="Arial"/>
          <w:b/>
          <w:bCs/>
          <w:sz w:val="22"/>
          <w:szCs w:val="22"/>
        </w:rPr>
      </w:pPr>
      <w:r>
        <w:rPr>
          <w:rFonts w:ascii="Arial" w:hAnsi="Arial" w:cs="Arial"/>
          <w:b/>
          <w:bCs/>
          <w:sz w:val="22"/>
          <w:szCs w:val="22"/>
        </w:rPr>
        <w:t>Exhibit 2-1</w:t>
      </w:r>
    </w:p>
    <w:p w:rsidR="00C25838" w:rsidRDefault="00C25838" w14:paraId="52CCD71B" w14:textId="77777777">
      <w:pPr>
        <w:keepNext/>
        <w:jc w:val="center"/>
        <w:rPr>
          <w:rFonts w:ascii="Arial" w:hAnsi="Arial" w:cs="Arial"/>
          <w:b/>
          <w:bCs/>
          <w:sz w:val="22"/>
          <w:szCs w:val="22"/>
        </w:rPr>
      </w:pPr>
      <w:r>
        <w:rPr>
          <w:rFonts w:ascii="Arial" w:hAnsi="Arial" w:cs="Arial"/>
          <w:b/>
          <w:bCs/>
          <w:sz w:val="22"/>
          <w:szCs w:val="22"/>
        </w:rPr>
        <w:t xml:space="preserve">Classification of Underground Injection </w:t>
      </w:r>
      <w:r w:rsidRPr="00805F29" w:rsidR="00805F29">
        <w:rPr>
          <w:rFonts w:ascii="Arial" w:hAnsi="Arial" w:cs="Arial"/>
          <w:b/>
          <w:bCs/>
          <w:sz w:val="22"/>
          <w:szCs w:val="22"/>
        </w:rPr>
        <w:t xml:space="preserve">Control Program </w:t>
      </w:r>
      <w:r>
        <w:rPr>
          <w:rFonts w:ascii="Arial" w:hAnsi="Arial" w:cs="Arial"/>
          <w:b/>
          <w:bCs/>
          <w:sz w:val="22"/>
          <w:szCs w:val="22"/>
        </w:rPr>
        <w:t>Wells</w:t>
      </w:r>
    </w:p>
    <w:p w:rsidR="00C25838" w:rsidRDefault="00C25838" w14:paraId="1765182E" w14:textId="77777777">
      <w:pPr>
        <w:keepNext/>
        <w:rPr>
          <w:sz w:val="24"/>
          <w:szCs w:val="24"/>
        </w:rPr>
      </w:pPr>
    </w:p>
    <w:tbl>
      <w:tblPr>
        <w:tblW w:w="0" w:type="auto"/>
        <w:jc w:val="center"/>
        <w:tblLayout w:type="fixed"/>
        <w:tblCellMar>
          <w:left w:w="100" w:type="dxa"/>
          <w:right w:w="100" w:type="dxa"/>
        </w:tblCellMar>
        <w:tblLook w:val="0000" w:firstRow="0" w:lastRow="0" w:firstColumn="0" w:lastColumn="0" w:noHBand="0" w:noVBand="0"/>
      </w:tblPr>
      <w:tblGrid>
        <w:gridCol w:w="8362"/>
      </w:tblGrid>
      <w:tr w:rsidR="00C25838" w:rsidTr="0090456B" w14:paraId="6AA68EE0" w14:textId="77777777">
        <w:trPr>
          <w:cantSplit/>
          <w:jc w:val="center"/>
        </w:trPr>
        <w:tc>
          <w:tcPr>
            <w:tcW w:w="8362" w:type="dxa"/>
            <w:tcBorders>
              <w:top w:val="single" w:color="000000" w:sz="6" w:space="0"/>
              <w:left w:val="single" w:color="000000" w:sz="6" w:space="0"/>
              <w:bottom w:val="single" w:color="000000" w:sz="6" w:space="0"/>
              <w:right w:val="single" w:color="000000" w:sz="6" w:space="0"/>
            </w:tcBorders>
          </w:tcPr>
          <w:p w:rsidR="00C25838" w:rsidP="00F44E60" w:rsidRDefault="00C25838" w14:paraId="1C5D495F" w14:textId="77777777">
            <w:pPr>
              <w:keepNext/>
              <w:tabs>
                <w:tab w:val="left" w:pos="720"/>
                <w:tab w:val="left" w:pos="1340"/>
                <w:tab w:val="left" w:pos="2160"/>
              </w:tabs>
              <w:spacing w:after="120"/>
              <w:ind w:left="1353" w:hanging="1267"/>
              <w:rPr>
                <w:rFonts w:ascii="Arial" w:hAnsi="Arial" w:cs="Arial"/>
              </w:rPr>
            </w:pPr>
            <w:r>
              <w:rPr>
                <w:rFonts w:ascii="Arial" w:hAnsi="Arial" w:cs="Arial"/>
                <w:b/>
                <w:bCs/>
              </w:rPr>
              <w:t>Class I</w:t>
            </w:r>
            <w:r>
              <w:rPr>
                <w:rFonts w:ascii="Arial" w:hAnsi="Arial" w:cs="Arial"/>
                <w:b/>
                <w:bCs/>
              </w:rPr>
              <w:tab/>
            </w:r>
            <w:r>
              <w:rPr>
                <w:rFonts w:ascii="Arial" w:hAnsi="Arial" w:cs="Arial"/>
              </w:rPr>
              <w:t xml:space="preserve">Wells that inject industrial and municipal waste, including hazardous waste, beneath the lowermost formation containing a USDW. </w:t>
            </w:r>
          </w:p>
          <w:p w:rsidR="00C25838" w:rsidP="00F44E60" w:rsidRDefault="00C25838" w14:paraId="41D47EE1" w14:textId="77777777">
            <w:pPr>
              <w:keepNext/>
              <w:tabs>
                <w:tab w:val="left" w:pos="720"/>
                <w:tab w:val="left" w:pos="1340"/>
                <w:tab w:val="left" w:pos="2160"/>
              </w:tabs>
              <w:spacing w:after="120"/>
              <w:ind w:left="1353" w:hanging="1267"/>
              <w:rPr>
                <w:rFonts w:ascii="Arial" w:hAnsi="Arial" w:cs="Arial"/>
              </w:rPr>
            </w:pPr>
            <w:r>
              <w:rPr>
                <w:rFonts w:ascii="Arial" w:hAnsi="Arial" w:cs="Arial"/>
                <w:b/>
                <w:bCs/>
              </w:rPr>
              <w:t>Class II</w:t>
            </w:r>
            <w:r>
              <w:rPr>
                <w:rFonts w:ascii="Arial" w:hAnsi="Arial" w:cs="Arial"/>
              </w:rPr>
              <w:t xml:space="preserve"> </w:t>
            </w:r>
            <w:r>
              <w:rPr>
                <w:rFonts w:ascii="Arial" w:hAnsi="Arial" w:cs="Arial"/>
              </w:rPr>
              <w:tab/>
              <w:t>Wells used to dispose of fluids which are brought to the surface in connection with oil or natural gas production; to inject fluids for enhanced recovery of oil or natural gas; or to store hydrocarbons.</w:t>
            </w:r>
          </w:p>
          <w:p w:rsidR="00C25838" w:rsidP="00F44E60" w:rsidRDefault="00C25838" w14:paraId="10144E84" w14:textId="77777777">
            <w:pPr>
              <w:keepNext/>
              <w:tabs>
                <w:tab w:val="left" w:pos="720"/>
                <w:tab w:val="left" w:pos="1340"/>
                <w:tab w:val="left" w:pos="2160"/>
              </w:tabs>
              <w:spacing w:after="120"/>
              <w:ind w:left="1353" w:hanging="1267"/>
              <w:rPr>
                <w:rFonts w:ascii="Arial" w:hAnsi="Arial" w:cs="Arial"/>
              </w:rPr>
            </w:pPr>
            <w:r>
              <w:rPr>
                <w:rFonts w:ascii="Arial" w:hAnsi="Arial" w:cs="Arial"/>
                <w:b/>
                <w:bCs/>
              </w:rPr>
              <w:t>Class III</w:t>
            </w:r>
            <w:r>
              <w:rPr>
                <w:rFonts w:ascii="Arial" w:hAnsi="Arial" w:cs="Arial"/>
              </w:rPr>
              <w:tab/>
              <w:t xml:space="preserve">Wells that inject fluids for the extraction of minerals including: mining of sulfur by the Frasch process; in situ production of uranium or other metals such as ore bodies that are not conventionally mined; and solution mining of salts or potash. </w:t>
            </w:r>
          </w:p>
          <w:p w:rsidRPr="00D425E4" w:rsidR="00C25838" w:rsidP="00F44E60" w:rsidRDefault="00C25838" w14:paraId="7614CA15" w14:textId="77777777">
            <w:pPr>
              <w:keepNext/>
              <w:tabs>
                <w:tab w:val="left" w:pos="720"/>
                <w:tab w:val="left" w:pos="1340"/>
                <w:tab w:val="left" w:pos="2160"/>
              </w:tabs>
              <w:spacing w:after="120"/>
              <w:ind w:left="1353" w:hanging="1267"/>
              <w:rPr>
                <w:rFonts w:ascii="Arial" w:hAnsi="Arial" w:cs="Arial"/>
              </w:rPr>
            </w:pPr>
            <w:r>
              <w:rPr>
                <w:rFonts w:ascii="Arial" w:hAnsi="Arial" w:cs="Arial"/>
                <w:b/>
                <w:bCs/>
              </w:rPr>
              <w:t>Class IV</w:t>
            </w:r>
            <w:r>
              <w:rPr>
                <w:rFonts w:ascii="Arial" w:hAnsi="Arial" w:cs="Arial"/>
              </w:rPr>
              <w:tab/>
              <w:t>Wells used by g</w:t>
            </w:r>
            <w:r w:rsidRPr="00D425E4">
              <w:rPr>
                <w:rFonts w:ascii="Arial" w:hAnsi="Arial" w:cs="Arial"/>
              </w:rPr>
              <w:t>enerators of hazardous waste or of radioactive waste, or by owners or operators of hazardous waste management facilities, to inject into or above strata that contain a USDW</w:t>
            </w:r>
            <w:r w:rsidR="00F84502">
              <w:rPr>
                <w:rFonts w:ascii="Arial" w:hAnsi="Arial" w:cs="Arial"/>
              </w:rPr>
              <w:t xml:space="preserve">. </w:t>
            </w:r>
            <w:r w:rsidRPr="00D425E4">
              <w:rPr>
                <w:rFonts w:ascii="Arial" w:hAnsi="Arial" w:cs="Arial"/>
              </w:rPr>
              <w:t>These wells are banned, unless they are used to re-inject treated contaminated ground water into the formation from which it was drawn</w:t>
            </w:r>
            <w:r w:rsidRPr="00D425E4" w:rsidR="00D425E4">
              <w:rPr>
                <w:rFonts w:ascii="Arial" w:hAnsi="Arial" w:cs="Arial"/>
              </w:rPr>
              <w:t xml:space="preserve"> in a </w:t>
            </w:r>
            <w:r w:rsidRPr="00D425E4">
              <w:rPr>
                <w:rFonts w:ascii="Arial" w:hAnsi="Arial" w:cs="Arial"/>
              </w:rPr>
              <w:t>RCRA</w:t>
            </w:r>
            <w:r w:rsidRPr="00D425E4" w:rsidR="00D425E4">
              <w:rPr>
                <w:rFonts w:ascii="Arial" w:hAnsi="Arial" w:cs="Arial"/>
              </w:rPr>
              <w:t>/</w:t>
            </w:r>
            <w:r w:rsidRPr="00D425E4">
              <w:rPr>
                <w:rFonts w:ascii="Arial" w:hAnsi="Arial" w:cs="Arial"/>
              </w:rPr>
              <w:t xml:space="preserve">CERCLA </w:t>
            </w:r>
            <w:r w:rsidRPr="00D425E4" w:rsidR="00D425E4">
              <w:rPr>
                <w:rFonts w:ascii="Arial" w:hAnsi="Arial" w:cs="Arial"/>
              </w:rPr>
              <w:t>authorized cleanup</w:t>
            </w:r>
            <w:r w:rsidRPr="00D425E4">
              <w:rPr>
                <w:rFonts w:ascii="Arial" w:hAnsi="Arial" w:cs="Arial"/>
              </w:rPr>
              <w:t>.</w:t>
            </w:r>
          </w:p>
          <w:p w:rsidR="00C25838" w:rsidP="00F44E60" w:rsidRDefault="00C25838" w14:paraId="1699874F" w14:textId="77777777">
            <w:pPr>
              <w:keepNext/>
              <w:tabs>
                <w:tab w:val="left" w:pos="720"/>
                <w:tab w:val="left" w:pos="1340"/>
                <w:tab w:val="left" w:pos="2160"/>
              </w:tabs>
              <w:spacing w:after="120"/>
              <w:ind w:left="1353" w:hanging="1267"/>
              <w:rPr>
                <w:rFonts w:ascii="Arial" w:hAnsi="Arial" w:cs="Arial"/>
              </w:rPr>
            </w:pPr>
            <w:r w:rsidRPr="00D425E4">
              <w:rPr>
                <w:rFonts w:ascii="Arial" w:hAnsi="Arial" w:cs="Arial"/>
                <w:b/>
                <w:bCs/>
              </w:rPr>
              <w:t>Class V</w:t>
            </w:r>
            <w:r w:rsidRPr="00D425E4">
              <w:rPr>
                <w:rFonts w:ascii="Arial" w:hAnsi="Arial" w:cs="Arial"/>
              </w:rPr>
              <w:tab/>
              <w:t>Injection wells not included in Classes I, II, III, IV</w:t>
            </w:r>
            <w:r w:rsidR="008161FD">
              <w:rPr>
                <w:rFonts w:ascii="Arial" w:hAnsi="Arial" w:cs="Arial"/>
              </w:rPr>
              <w:t>, or VI</w:t>
            </w:r>
            <w:r w:rsidR="00F84502">
              <w:rPr>
                <w:rFonts w:ascii="Arial" w:hAnsi="Arial" w:cs="Arial"/>
              </w:rPr>
              <w:t xml:space="preserve">. </w:t>
            </w:r>
            <w:r w:rsidRPr="00D425E4">
              <w:rPr>
                <w:rFonts w:ascii="Arial" w:hAnsi="Arial" w:cs="Arial"/>
              </w:rPr>
              <w:t>Typical examples include, but are not limited to: agricultural drainage wells, storm water drainage wells, industrial drainage w</w:t>
            </w:r>
            <w:r>
              <w:rPr>
                <w:rFonts w:ascii="Arial" w:hAnsi="Arial" w:cs="Arial"/>
              </w:rPr>
              <w:t>ells, untreated sewage waste disposal wells, motor vehicle waste disposal wells, and cesspools.</w:t>
            </w:r>
          </w:p>
          <w:p w:rsidR="00E51DC8" w:rsidP="00C17B20" w:rsidRDefault="00E51DC8" w14:paraId="1AE8A8F5" w14:textId="60665D10">
            <w:pPr>
              <w:keepNext/>
              <w:tabs>
                <w:tab w:val="left" w:pos="1340"/>
                <w:tab w:val="left" w:pos="2160"/>
              </w:tabs>
              <w:spacing w:after="120"/>
              <w:ind w:left="1336" w:hanging="1260"/>
              <w:rPr>
                <w:sz w:val="24"/>
                <w:szCs w:val="24"/>
              </w:rPr>
            </w:pPr>
            <w:r w:rsidRPr="00E51DC8">
              <w:rPr>
                <w:rFonts w:ascii="Arial" w:hAnsi="Arial" w:cs="Arial"/>
                <w:b/>
              </w:rPr>
              <w:t>Class VI</w:t>
            </w:r>
            <w:r w:rsidRPr="00D425E4" w:rsidR="00F84502">
              <w:rPr>
                <w:rFonts w:ascii="Arial" w:hAnsi="Arial" w:cs="Arial"/>
              </w:rPr>
              <w:tab/>
            </w:r>
            <w:r w:rsidRPr="00E51DC8">
              <w:rPr>
                <w:rFonts w:ascii="Arial" w:hAnsi="Arial" w:cs="Arial"/>
              </w:rPr>
              <w:t xml:space="preserve">Wells </w:t>
            </w:r>
            <w:r w:rsidR="00B91C4C">
              <w:rPr>
                <w:rFonts w:ascii="Arial" w:hAnsi="Arial" w:cs="Arial"/>
              </w:rPr>
              <w:t xml:space="preserve">that </w:t>
            </w:r>
            <w:r w:rsidRPr="00E51DC8">
              <w:rPr>
                <w:rFonts w:ascii="Arial" w:hAnsi="Arial" w:cs="Arial"/>
              </w:rPr>
              <w:t xml:space="preserve">inject </w:t>
            </w:r>
            <w:r w:rsidRPr="00E51DC8" w:rsidR="00F44E60">
              <w:rPr>
                <w:rFonts w:ascii="Arial" w:hAnsi="Arial" w:cs="Arial"/>
              </w:rPr>
              <w:t xml:space="preserve">carbon dioxide </w:t>
            </w:r>
            <w:r w:rsidRPr="00E51DC8">
              <w:rPr>
                <w:rFonts w:ascii="Arial" w:hAnsi="Arial" w:cs="Arial"/>
              </w:rPr>
              <w:t>(CO</w:t>
            </w:r>
            <w:r w:rsidRPr="00F44E60">
              <w:rPr>
                <w:rFonts w:ascii="Arial" w:hAnsi="Arial" w:cs="Arial"/>
                <w:vertAlign w:val="subscript"/>
              </w:rPr>
              <w:t>2</w:t>
            </w:r>
            <w:r w:rsidRPr="00E51DC8">
              <w:rPr>
                <w:rFonts w:ascii="Arial" w:hAnsi="Arial" w:cs="Arial"/>
              </w:rPr>
              <w:t xml:space="preserve">) for long term storage, </w:t>
            </w:r>
            <w:r w:rsidR="00C17B20">
              <w:rPr>
                <w:rFonts w:ascii="Arial" w:hAnsi="Arial" w:cs="Arial"/>
              </w:rPr>
              <w:t xml:space="preserve">or </w:t>
            </w:r>
            <w:r w:rsidRPr="00E51DC8" w:rsidR="00F44E60">
              <w:rPr>
                <w:rFonts w:ascii="Arial" w:hAnsi="Arial" w:cs="Arial"/>
              </w:rPr>
              <w:t xml:space="preserve">geologic sequestration </w:t>
            </w:r>
            <w:r w:rsidR="00F44E60">
              <w:rPr>
                <w:rFonts w:ascii="Arial" w:hAnsi="Arial" w:cs="Arial"/>
              </w:rPr>
              <w:t>(GS)</w:t>
            </w:r>
            <w:r w:rsidR="0023053B">
              <w:rPr>
                <w:rFonts w:ascii="Arial" w:hAnsi="Arial" w:cs="Arial"/>
              </w:rPr>
              <w:t>,</w:t>
            </w:r>
            <w:r w:rsidR="00056FD7">
              <w:rPr>
                <w:rFonts w:ascii="Arial" w:hAnsi="Arial" w:cs="Arial"/>
              </w:rPr>
              <w:t xml:space="preserve"> and</w:t>
            </w:r>
            <w:r w:rsidR="00C17B20">
              <w:rPr>
                <w:rFonts w:ascii="Arial" w:hAnsi="Arial" w:cs="Arial"/>
              </w:rPr>
              <w:t xml:space="preserve"> that</w:t>
            </w:r>
            <w:r w:rsidR="00056FD7">
              <w:rPr>
                <w:rFonts w:ascii="Arial" w:hAnsi="Arial" w:cs="Arial"/>
              </w:rPr>
              <w:t xml:space="preserve"> are not experimental in nature</w:t>
            </w:r>
            <w:r>
              <w:rPr>
                <w:rFonts w:ascii="Arial" w:hAnsi="Arial" w:cs="Arial"/>
              </w:rPr>
              <w:t>.</w:t>
            </w:r>
          </w:p>
        </w:tc>
      </w:tr>
    </w:tbl>
    <w:p w:rsidR="00C25838" w:rsidRDefault="00C25838" w14:paraId="12C41958" w14:textId="77777777">
      <w:pPr>
        <w:rPr>
          <w:sz w:val="24"/>
          <w:szCs w:val="24"/>
        </w:rPr>
      </w:pPr>
    </w:p>
    <w:p w:rsidR="00C25838" w:rsidP="00513600" w:rsidRDefault="00C25838" w14:paraId="080D0303" w14:textId="77777777">
      <w:pPr>
        <w:rPr>
          <w:sz w:val="24"/>
          <w:szCs w:val="24"/>
        </w:rPr>
      </w:pPr>
      <w:r>
        <w:rPr>
          <w:b/>
          <w:bCs/>
          <w:sz w:val="24"/>
          <w:szCs w:val="24"/>
        </w:rPr>
        <w:tab/>
      </w:r>
    </w:p>
    <w:p w:rsidR="00C25838" w:rsidP="00513600" w:rsidRDefault="00C25838" w14:paraId="0F461AF8" w14:textId="77777777">
      <w:pPr>
        <w:pStyle w:val="Heading2"/>
        <w:keepNext w:val="0"/>
        <w:ind w:left="720"/>
        <w:rPr>
          <w:sz w:val="24"/>
        </w:rPr>
      </w:pPr>
      <w:r>
        <w:t>2(b)</w:t>
      </w:r>
      <w:r>
        <w:tab/>
      </w:r>
      <w:bookmarkStart w:name="_Hlk511640565" w:id="14"/>
      <w:r>
        <w:t xml:space="preserve">Practical Utility/Users of the Data </w:t>
      </w:r>
      <w:r w:rsidR="00766F8E">
        <w:rPr>
          <w:sz w:val="24"/>
        </w:rPr>
        <w:fldChar w:fldCharType="begin"/>
      </w:r>
      <w:r>
        <w:rPr>
          <w:sz w:val="24"/>
        </w:rPr>
        <w:instrText>tc "</w:instrText>
      </w:r>
      <w:bookmarkStart w:name="_Toc511659996" w:id="15"/>
      <w:bookmarkStart w:name="_Toc511713505" w:id="16"/>
      <w:r>
        <w:rPr>
          <w:sz w:val="24"/>
        </w:rPr>
        <w:instrText>2(b)</w:instrText>
      </w:r>
      <w:r>
        <w:rPr>
          <w:sz w:val="24"/>
        </w:rPr>
        <w:tab/>
        <w:instrText>Practical Utility/Users of the Data</w:instrText>
      </w:r>
      <w:bookmarkEnd w:id="15"/>
      <w:bookmarkEnd w:id="16"/>
      <w:r>
        <w:rPr>
          <w:sz w:val="24"/>
        </w:rPr>
        <w:instrText xml:space="preserve"> " \l 2</w:instrText>
      </w:r>
      <w:r w:rsidR="00766F8E">
        <w:rPr>
          <w:sz w:val="24"/>
        </w:rPr>
        <w:fldChar w:fldCharType="end"/>
      </w:r>
    </w:p>
    <w:p w:rsidR="00C25838" w:rsidP="00513600" w:rsidRDefault="00C25838" w14:paraId="0F855292" w14:textId="77777777">
      <w:pPr>
        <w:ind w:left="720"/>
        <w:rPr>
          <w:sz w:val="24"/>
          <w:szCs w:val="24"/>
        </w:rPr>
      </w:pPr>
      <w:r>
        <w:rPr>
          <w:sz w:val="24"/>
          <w:szCs w:val="24"/>
        </w:rPr>
        <w:tab/>
      </w:r>
    </w:p>
    <w:p w:rsidR="00103586" w:rsidP="00726394" w:rsidRDefault="00103586" w14:paraId="1C7AFA1F" w14:textId="5E79FA79">
      <w:pPr>
        <w:rPr>
          <w:sz w:val="24"/>
          <w:szCs w:val="24"/>
        </w:rPr>
      </w:pPr>
      <w:r>
        <w:rPr>
          <w:sz w:val="24"/>
          <w:szCs w:val="24"/>
        </w:rPr>
        <w:tab/>
      </w:r>
      <w:bookmarkStart w:name="_Hlk511633403" w:id="17"/>
      <w:r>
        <w:rPr>
          <w:sz w:val="24"/>
          <w:szCs w:val="24"/>
        </w:rPr>
        <w:t xml:space="preserve">EPA information users include regional and Headquarters </w:t>
      </w:r>
      <w:r w:rsidRPr="00D425E4">
        <w:rPr>
          <w:sz w:val="24"/>
          <w:szCs w:val="24"/>
        </w:rPr>
        <w:t>staff/managers who m</w:t>
      </w:r>
      <w:r>
        <w:rPr>
          <w:sz w:val="24"/>
          <w:szCs w:val="24"/>
        </w:rPr>
        <w:t xml:space="preserve">ake decisions regarding UIC regulations, compliance and enforcement actions, funding for state, tribal, and regional UIC programs, and strategic and policy issues related to the mission of </w:t>
      </w:r>
      <w:r w:rsidR="005E39AF">
        <w:rPr>
          <w:sz w:val="24"/>
          <w:szCs w:val="24"/>
        </w:rPr>
        <w:t>the Office of Ground Water and Drinking Water (OGWDW)</w:t>
      </w:r>
      <w:r>
        <w:rPr>
          <w:sz w:val="24"/>
          <w:szCs w:val="24"/>
        </w:rPr>
        <w:t xml:space="preserve"> and EPA. </w:t>
      </w:r>
      <w:r w:rsidR="00530718">
        <w:rPr>
          <w:sz w:val="24"/>
          <w:szCs w:val="24"/>
        </w:rPr>
        <w:t>State p</w:t>
      </w:r>
      <w:r>
        <w:rPr>
          <w:sz w:val="24"/>
          <w:szCs w:val="24"/>
        </w:rPr>
        <w:t xml:space="preserve">rimacy </w:t>
      </w:r>
      <w:r w:rsidRPr="00805F29">
        <w:rPr>
          <w:sz w:val="24"/>
          <w:szCs w:val="24"/>
        </w:rPr>
        <w:t xml:space="preserve">agencies </w:t>
      </w:r>
      <w:r w:rsidR="00530718">
        <w:rPr>
          <w:sz w:val="24"/>
          <w:szCs w:val="24"/>
        </w:rPr>
        <w:t xml:space="preserve">and regional DI programs </w:t>
      </w:r>
      <w:r>
        <w:rPr>
          <w:sz w:val="24"/>
          <w:szCs w:val="24"/>
        </w:rPr>
        <w:t xml:space="preserve">use the summary information reported by owners or operators on the 7520 forms or an equivalent form to target inspection and enforcement activity, to establish permit terms and conditions, to track performance against demands, and to identify violations and assess their significance. In </w:t>
      </w:r>
      <w:r w:rsidRPr="00805F29">
        <w:rPr>
          <w:sz w:val="24"/>
          <w:szCs w:val="24"/>
        </w:rPr>
        <w:t xml:space="preserve">addition, the primacy agency can use </w:t>
      </w:r>
      <w:r>
        <w:rPr>
          <w:sz w:val="24"/>
          <w:szCs w:val="24"/>
        </w:rPr>
        <w:t>the summary reports it supplies to EPA to evaluate its own program activities, such as the number of mechanical integrity tests (MITs) witnessed, the number of inspections conducted, and the number of permit applications reviewed. The well-level data are used in a similar manner, but allow for a more effective analysis and better understanding by all users.</w:t>
      </w:r>
      <w:bookmarkEnd w:id="17"/>
    </w:p>
    <w:p w:rsidR="00C25838" w:rsidP="00513600" w:rsidRDefault="00C25838" w14:paraId="642D5C22" w14:textId="77777777">
      <w:pPr>
        <w:ind w:left="720"/>
        <w:rPr>
          <w:sz w:val="24"/>
          <w:szCs w:val="24"/>
        </w:rPr>
      </w:pPr>
    </w:p>
    <w:p w:rsidR="00C25838" w:rsidP="00726394" w:rsidRDefault="00C25838" w14:paraId="3B346190" w14:textId="612E037F">
      <w:pPr>
        <w:rPr>
          <w:sz w:val="24"/>
          <w:szCs w:val="24"/>
        </w:rPr>
      </w:pPr>
      <w:r>
        <w:rPr>
          <w:sz w:val="24"/>
          <w:szCs w:val="24"/>
        </w:rPr>
        <w:tab/>
      </w:r>
      <w:r w:rsidRPr="00D4227B">
        <w:rPr>
          <w:sz w:val="24"/>
          <w:szCs w:val="24"/>
        </w:rPr>
        <w:t>Exhibit 2-2</w:t>
      </w:r>
      <w:r>
        <w:rPr>
          <w:sz w:val="24"/>
          <w:szCs w:val="24"/>
        </w:rPr>
        <w:t xml:space="preserve"> charts the flow of information from operators, </w:t>
      </w:r>
      <w:r w:rsidR="00D649E9">
        <w:rPr>
          <w:sz w:val="24"/>
          <w:szCs w:val="24"/>
        </w:rPr>
        <w:t xml:space="preserve">primacy </w:t>
      </w:r>
      <w:r>
        <w:rPr>
          <w:sz w:val="24"/>
          <w:szCs w:val="24"/>
        </w:rPr>
        <w:t xml:space="preserve">states, and </w:t>
      </w:r>
      <w:r w:rsidR="00C9509F">
        <w:rPr>
          <w:sz w:val="24"/>
          <w:szCs w:val="24"/>
        </w:rPr>
        <w:t xml:space="preserve">regions </w:t>
      </w:r>
      <w:r>
        <w:rPr>
          <w:sz w:val="24"/>
          <w:szCs w:val="24"/>
        </w:rPr>
        <w:t>to EPA Headquarters</w:t>
      </w:r>
      <w:r w:rsidR="00F84502">
        <w:rPr>
          <w:sz w:val="24"/>
          <w:szCs w:val="24"/>
        </w:rPr>
        <w:t xml:space="preserve">. </w:t>
      </w:r>
      <w:r>
        <w:rPr>
          <w:sz w:val="24"/>
          <w:szCs w:val="24"/>
        </w:rPr>
        <w:t>Operators submit data to states (in primacy states), or to EPA regional offices (in DI states)</w:t>
      </w:r>
      <w:r w:rsidR="00F84502">
        <w:rPr>
          <w:sz w:val="24"/>
          <w:szCs w:val="24"/>
        </w:rPr>
        <w:t xml:space="preserve">. </w:t>
      </w:r>
      <w:r>
        <w:rPr>
          <w:sz w:val="24"/>
          <w:szCs w:val="24"/>
        </w:rPr>
        <w:t xml:space="preserve">Each primacy </w:t>
      </w:r>
      <w:r w:rsidR="000B5DF3">
        <w:rPr>
          <w:sz w:val="24"/>
          <w:szCs w:val="24"/>
        </w:rPr>
        <w:t>agency</w:t>
      </w:r>
      <w:r w:rsidR="00056FD7">
        <w:rPr>
          <w:sz w:val="24"/>
          <w:szCs w:val="24"/>
        </w:rPr>
        <w:t>,</w:t>
      </w:r>
      <w:r>
        <w:rPr>
          <w:sz w:val="24"/>
          <w:szCs w:val="24"/>
        </w:rPr>
        <w:t xml:space="preserve"> in turn</w:t>
      </w:r>
      <w:r w:rsidR="00056FD7">
        <w:rPr>
          <w:sz w:val="24"/>
          <w:szCs w:val="24"/>
        </w:rPr>
        <w:t>,</w:t>
      </w:r>
      <w:r>
        <w:rPr>
          <w:sz w:val="24"/>
          <w:szCs w:val="24"/>
        </w:rPr>
        <w:t xml:space="preserve"> submits </w:t>
      </w:r>
      <w:r w:rsidR="00A717F4">
        <w:rPr>
          <w:sz w:val="24"/>
          <w:szCs w:val="24"/>
        </w:rPr>
        <w:t xml:space="preserve">summary </w:t>
      </w:r>
      <w:r>
        <w:rPr>
          <w:sz w:val="24"/>
          <w:szCs w:val="24"/>
        </w:rPr>
        <w:t xml:space="preserve">data to its respective EPA </w:t>
      </w:r>
      <w:r>
        <w:rPr>
          <w:sz w:val="24"/>
          <w:szCs w:val="24"/>
        </w:rPr>
        <w:lastRenderedPageBreak/>
        <w:t xml:space="preserve">regional office, which reviews the information and forwards it, along with </w:t>
      </w:r>
      <w:r w:rsidR="00A717F4">
        <w:rPr>
          <w:sz w:val="24"/>
          <w:szCs w:val="24"/>
        </w:rPr>
        <w:t xml:space="preserve">summary </w:t>
      </w:r>
      <w:r>
        <w:rPr>
          <w:sz w:val="24"/>
          <w:szCs w:val="24"/>
        </w:rPr>
        <w:t>data from its own DI states, to EPA Headquarters</w:t>
      </w:r>
      <w:r w:rsidR="00F84502">
        <w:rPr>
          <w:sz w:val="24"/>
          <w:szCs w:val="24"/>
        </w:rPr>
        <w:t xml:space="preserve">. </w:t>
      </w:r>
      <w:r>
        <w:rPr>
          <w:sz w:val="24"/>
          <w:szCs w:val="24"/>
        </w:rPr>
        <w:t>All information in the quarterly, semi-annual, and annual reports received at EPA Headquarters is analyzed and stored</w:t>
      </w:r>
      <w:r w:rsidR="00F84502">
        <w:rPr>
          <w:sz w:val="24"/>
          <w:szCs w:val="24"/>
        </w:rPr>
        <w:t xml:space="preserve">. </w:t>
      </w:r>
      <w:r>
        <w:rPr>
          <w:sz w:val="24"/>
          <w:szCs w:val="24"/>
        </w:rPr>
        <w:t>These reports are the data EPA Headquarters</w:t>
      </w:r>
      <w:r w:rsidR="00C17B20">
        <w:rPr>
          <w:sz w:val="24"/>
          <w:szCs w:val="24"/>
        </w:rPr>
        <w:t xml:space="preserve"> relies upon</w:t>
      </w:r>
      <w:r>
        <w:rPr>
          <w:sz w:val="24"/>
          <w:szCs w:val="24"/>
        </w:rPr>
        <w:t xml:space="preserve"> to fulfill the UIC Program’s needs and responsibilities</w:t>
      </w:r>
      <w:r w:rsidR="00F84502">
        <w:rPr>
          <w:sz w:val="24"/>
          <w:szCs w:val="24"/>
        </w:rPr>
        <w:t xml:space="preserve">. </w:t>
      </w:r>
      <w:r>
        <w:rPr>
          <w:sz w:val="24"/>
          <w:szCs w:val="24"/>
        </w:rPr>
        <w:t xml:space="preserve">The following sections give a more detailed </w:t>
      </w:r>
      <w:r w:rsidR="00A717F4">
        <w:rPr>
          <w:sz w:val="24"/>
          <w:szCs w:val="24"/>
        </w:rPr>
        <w:t xml:space="preserve">discussion </w:t>
      </w:r>
      <w:r>
        <w:rPr>
          <w:sz w:val="24"/>
          <w:szCs w:val="24"/>
        </w:rPr>
        <w:t xml:space="preserve">of the uses of the collected information. </w:t>
      </w:r>
    </w:p>
    <w:p w:rsidR="00C25838" w:rsidP="00513600" w:rsidRDefault="00C25838" w14:paraId="638FA9A7" w14:textId="77777777">
      <w:pPr>
        <w:ind w:left="720"/>
        <w:rPr>
          <w:sz w:val="24"/>
          <w:szCs w:val="24"/>
        </w:rPr>
      </w:pPr>
    </w:p>
    <w:p w:rsidR="00C25838" w:rsidP="00726394" w:rsidRDefault="00C25838" w14:paraId="196C4B6E" w14:textId="3D490604">
      <w:pPr>
        <w:keepNext/>
        <w:keepLines/>
        <w:rPr>
          <w:b/>
          <w:bCs/>
          <w:sz w:val="24"/>
          <w:szCs w:val="24"/>
        </w:rPr>
      </w:pPr>
      <w:r>
        <w:rPr>
          <w:b/>
          <w:bCs/>
          <w:sz w:val="24"/>
          <w:szCs w:val="24"/>
        </w:rPr>
        <w:tab/>
      </w:r>
      <w:r w:rsidR="00530718">
        <w:rPr>
          <w:b/>
          <w:bCs/>
          <w:sz w:val="24"/>
          <w:szCs w:val="24"/>
        </w:rPr>
        <w:t xml:space="preserve">EPA’s </w:t>
      </w:r>
      <w:r>
        <w:rPr>
          <w:b/>
          <w:bCs/>
          <w:sz w:val="24"/>
          <w:szCs w:val="24"/>
        </w:rPr>
        <w:t xml:space="preserve">Management of the National Program </w:t>
      </w:r>
    </w:p>
    <w:p w:rsidR="00C25838" w:rsidP="00726394" w:rsidRDefault="00C25838" w14:paraId="6A9673AE" w14:textId="77777777">
      <w:pPr>
        <w:keepNext/>
        <w:keepLines/>
        <w:rPr>
          <w:sz w:val="24"/>
          <w:szCs w:val="24"/>
        </w:rPr>
      </w:pPr>
    </w:p>
    <w:p w:rsidRPr="008A1236" w:rsidR="00D649E9" w:rsidP="00726394" w:rsidRDefault="00C25838" w14:paraId="486C0F6D" w14:textId="30EE8BDF">
      <w:pPr>
        <w:rPr>
          <w:sz w:val="24"/>
          <w:szCs w:val="24"/>
        </w:rPr>
      </w:pPr>
      <w:r>
        <w:rPr>
          <w:sz w:val="24"/>
          <w:szCs w:val="24"/>
        </w:rPr>
        <w:tab/>
      </w:r>
      <w:r w:rsidR="00530718">
        <w:rPr>
          <w:sz w:val="24"/>
          <w:szCs w:val="24"/>
        </w:rPr>
        <w:t>EPA</w:t>
      </w:r>
      <w:r>
        <w:rPr>
          <w:sz w:val="24"/>
          <w:szCs w:val="24"/>
        </w:rPr>
        <w:t xml:space="preserve"> oversees primacy </w:t>
      </w:r>
      <w:r w:rsidRPr="00805F29" w:rsidR="0079138D">
        <w:rPr>
          <w:sz w:val="24"/>
          <w:szCs w:val="24"/>
        </w:rPr>
        <w:t xml:space="preserve">agencies </w:t>
      </w:r>
      <w:r w:rsidRPr="00805F29">
        <w:rPr>
          <w:sz w:val="24"/>
          <w:szCs w:val="24"/>
        </w:rPr>
        <w:t xml:space="preserve">by using the </w:t>
      </w:r>
      <w:r w:rsidR="00C5526D">
        <w:rPr>
          <w:sz w:val="24"/>
          <w:szCs w:val="24"/>
        </w:rPr>
        <w:t xml:space="preserve">information </w:t>
      </w:r>
      <w:r w:rsidRPr="00805F29">
        <w:rPr>
          <w:sz w:val="24"/>
          <w:szCs w:val="24"/>
        </w:rPr>
        <w:t>report</w:t>
      </w:r>
      <w:r w:rsidR="009C76A3">
        <w:rPr>
          <w:sz w:val="24"/>
          <w:szCs w:val="24"/>
        </w:rPr>
        <w:t xml:space="preserve">ed </w:t>
      </w:r>
      <w:r w:rsidR="00C5526D">
        <w:rPr>
          <w:sz w:val="24"/>
          <w:szCs w:val="24"/>
        </w:rPr>
        <w:t xml:space="preserve">by the regions and primacy states </w:t>
      </w:r>
      <w:r w:rsidRPr="00805F29">
        <w:rPr>
          <w:sz w:val="24"/>
          <w:szCs w:val="24"/>
        </w:rPr>
        <w:t>to track, evaluate, and report on program performance</w:t>
      </w:r>
      <w:r w:rsidR="00F84502">
        <w:rPr>
          <w:sz w:val="24"/>
          <w:szCs w:val="24"/>
        </w:rPr>
        <w:t xml:space="preserve">. </w:t>
      </w:r>
      <w:r>
        <w:rPr>
          <w:sz w:val="24"/>
          <w:szCs w:val="24"/>
        </w:rPr>
        <w:t>EPA</w:t>
      </w:r>
      <w:r w:rsidR="00713D6B">
        <w:rPr>
          <w:sz w:val="24"/>
          <w:szCs w:val="24"/>
        </w:rPr>
        <w:t xml:space="preserve"> Headquarters</w:t>
      </w:r>
      <w:r w:rsidR="00FD5BF3">
        <w:rPr>
          <w:sz w:val="24"/>
          <w:szCs w:val="24"/>
        </w:rPr>
        <w:t xml:space="preserve"> </w:t>
      </w:r>
      <w:r w:rsidR="00713D6B">
        <w:rPr>
          <w:sz w:val="24"/>
          <w:szCs w:val="24"/>
        </w:rPr>
        <w:t xml:space="preserve">coordinates </w:t>
      </w:r>
      <w:r>
        <w:rPr>
          <w:sz w:val="24"/>
          <w:szCs w:val="24"/>
        </w:rPr>
        <w:t xml:space="preserve">with </w:t>
      </w:r>
      <w:r w:rsidR="00713D6B">
        <w:rPr>
          <w:sz w:val="24"/>
          <w:szCs w:val="24"/>
        </w:rPr>
        <w:t>its</w:t>
      </w:r>
      <w:r>
        <w:rPr>
          <w:sz w:val="24"/>
          <w:szCs w:val="24"/>
        </w:rPr>
        <w:t xml:space="preserve"> Regions to obtain commitments for performance based on these guidelines.</w:t>
      </w:r>
      <w:r w:rsidR="00EF3910">
        <w:rPr>
          <w:sz w:val="24"/>
          <w:szCs w:val="24"/>
        </w:rPr>
        <w:t xml:space="preserve"> EPA also uses the information to</w:t>
      </w:r>
      <w:r w:rsidR="009C76A3">
        <w:rPr>
          <w:sz w:val="24"/>
          <w:szCs w:val="24"/>
        </w:rPr>
        <w:t xml:space="preserve"> track high priority activities that guide the Regions in carrying out UIC Program objectives and </w:t>
      </w:r>
      <w:r w:rsidR="00EF3910">
        <w:rPr>
          <w:sz w:val="24"/>
          <w:szCs w:val="24"/>
        </w:rPr>
        <w:t xml:space="preserve">to </w:t>
      </w:r>
      <w:r w:rsidR="009C76A3">
        <w:rPr>
          <w:sz w:val="24"/>
          <w:szCs w:val="24"/>
        </w:rPr>
        <w:t>assess progress toward meeting strategic goals</w:t>
      </w:r>
      <w:bookmarkStart w:name="_Hlk508343819" w:id="18"/>
      <w:r w:rsidR="009C76A3">
        <w:rPr>
          <w:sz w:val="24"/>
          <w:szCs w:val="24"/>
        </w:rPr>
        <w:t>.</w:t>
      </w:r>
      <w:r w:rsidRPr="009C76A3" w:rsidR="009C76A3">
        <w:rPr>
          <w:sz w:val="24"/>
          <w:szCs w:val="24"/>
        </w:rPr>
        <w:t xml:space="preserve"> </w:t>
      </w:r>
      <w:r w:rsidRPr="00805F29" w:rsidR="009C76A3">
        <w:rPr>
          <w:sz w:val="24"/>
          <w:szCs w:val="24"/>
        </w:rPr>
        <w:t xml:space="preserve">Performance </w:t>
      </w:r>
      <w:r w:rsidR="009C76A3">
        <w:rPr>
          <w:sz w:val="24"/>
          <w:szCs w:val="24"/>
        </w:rPr>
        <w:t>targets for EPA regional programs are established by EPA and tracked against Government Performance and Results Act (GPRA) goals. This information informs responses to information requests and analyses for EPA management, the Office of Management and Budget (OMB), the General Accounting Office (GAO), Congress, and the public.</w:t>
      </w:r>
      <w:r w:rsidRPr="009C76A3" w:rsidR="009C76A3">
        <w:rPr>
          <w:sz w:val="24"/>
          <w:szCs w:val="24"/>
        </w:rPr>
        <w:t xml:space="preserve"> </w:t>
      </w:r>
      <w:r w:rsidR="009C76A3">
        <w:rPr>
          <w:sz w:val="24"/>
          <w:szCs w:val="24"/>
        </w:rPr>
        <w:t>EPA also uses the reported information for national-level program planning and to set budget</w:t>
      </w:r>
      <w:r w:rsidR="00EF3910">
        <w:rPr>
          <w:sz w:val="24"/>
          <w:szCs w:val="24"/>
        </w:rPr>
        <w:t>s</w:t>
      </w:r>
      <w:r w:rsidR="009C76A3">
        <w:rPr>
          <w:sz w:val="24"/>
          <w:szCs w:val="24"/>
        </w:rPr>
        <w:t xml:space="preserve"> and allocate resources.</w:t>
      </w:r>
    </w:p>
    <w:bookmarkEnd w:id="18"/>
    <w:p w:rsidRPr="008A1236" w:rsidR="006C7C2F" w:rsidP="00726394" w:rsidRDefault="006C7C2F" w14:paraId="32A520AD" w14:textId="77777777">
      <w:pPr>
        <w:rPr>
          <w:sz w:val="24"/>
          <w:szCs w:val="24"/>
        </w:rPr>
      </w:pPr>
    </w:p>
    <w:p w:rsidR="006C7C2F" w:rsidP="00A22206" w:rsidRDefault="006C7C2F" w14:paraId="4423F3EA" w14:textId="4A78B9E3">
      <w:r w:rsidRPr="008A1236">
        <w:rPr>
          <w:sz w:val="24"/>
          <w:szCs w:val="24"/>
        </w:rPr>
        <w:tab/>
        <w:t>In addition to its use for regional oversight purposes, state and regional information is used to justify future program modifications. For example, the information collected may be used to determine if the requirements</w:t>
      </w:r>
      <w:r>
        <w:rPr>
          <w:sz w:val="24"/>
          <w:szCs w:val="24"/>
        </w:rPr>
        <w:t xml:space="preserve"> that pertain to rule-authorized wells or mechanical integrity testing are effective. </w:t>
      </w:r>
      <w:r w:rsidR="008176C6">
        <w:rPr>
          <w:sz w:val="24"/>
          <w:szCs w:val="24"/>
        </w:rPr>
        <w:t>Primacy s</w:t>
      </w:r>
      <w:r w:rsidRPr="009A3178">
        <w:rPr>
          <w:sz w:val="24"/>
          <w:szCs w:val="24"/>
        </w:rPr>
        <w:t>tate and regional data are used to support or inform these types of decisions.</w:t>
      </w:r>
      <w:r>
        <w:rPr>
          <w:sz w:val="24"/>
          <w:szCs w:val="24"/>
        </w:rPr>
        <w:t xml:space="preserve"> </w:t>
      </w:r>
    </w:p>
    <w:p w:rsidR="00513600" w:rsidP="00726394" w:rsidRDefault="00513600" w14:paraId="148DC547" w14:textId="77777777">
      <w:pPr>
        <w:pStyle w:val="test"/>
      </w:pPr>
    </w:p>
    <w:p w:rsidRPr="00A86DBD" w:rsidR="006C7C2F" w:rsidP="00726394" w:rsidRDefault="00C25838" w14:paraId="57828B55" w14:textId="77777777">
      <w:pPr>
        <w:rPr>
          <w:b/>
          <w:sz w:val="24"/>
          <w:szCs w:val="24"/>
        </w:rPr>
      </w:pPr>
      <w:r>
        <w:tab/>
      </w:r>
      <w:r w:rsidRPr="00A86DBD" w:rsidR="006C7C2F">
        <w:rPr>
          <w:b/>
          <w:sz w:val="24"/>
          <w:szCs w:val="24"/>
        </w:rPr>
        <w:t xml:space="preserve">Regional Oversight of Primacy Programs </w:t>
      </w:r>
    </w:p>
    <w:p w:rsidR="006C7C2F" w:rsidP="00726394" w:rsidRDefault="006C7C2F" w14:paraId="46282095" w14:textId="77777777">
      <w:pPr>
        <w:rPr>
          <w:sz w:val="24"/>
          <w:szCs w:val="24"/>
        </w:rPr>
      </w:pPr>
    </w:p>
    <w:p w:rsidR="00513600" w:rsidP="00A717F4" w:rsidRDefault="006C7C2F" w14:paraId="0C76D2C4" w14:textId="1E673A21">
      <w:pPr>
        <w:rPr>
          <w:sz w:val="24"/>
          <w:szCs w:val="24"/>
        </w:rPr>
      </w:pPr>
      <w:r>
        <w:rPr>
          <w:sz w:val="24"/>
          <w:szCs w:val="24"/>
        </w:rPr>
        <w:tab/>
      </w:r>
      <w:r w:rsidR="00C5526D">
        <w:rPr>
          <w:sz w:val="24"/>
          <w:szCs w:val="24"/>
        </w:rPr>
        <w:t xml:space="preserve">The primary use of quarterly, semi-annual, and annual reports submitted </w:t>
      </w:r>
      <w:r w:rsidR="00EF3910">
        <w:rPr>
          <w:sz w:val="24"/>
          <w:szCs w:val="24"/>
        </w:rPr>
        <w:t xml:space="preserve">by state </w:t>
      </w:r>
      <w:r w:rsidR="00C5526D">
        <w:rPr>
          <w:sz w:val="24"/>
          <w:szCs w:val="24"/>
        </w:rPr>
        <w:t xml:space="preserve">primacy agencies to the Regions is to help the Regions oversee primacy </w:t>
      </w:r>
      <w:r w:rsidRPr="00805F29" w:rsidR="00C5526D">
        <w:rPr>
          <w:sz w:val="24"/>
          <w:szCs w:val="24"/>
        </w:rPr>
        <w:t>agencies</w:t>
      </w:r>
      <w:r w:rsidR="00A717F4">
        <w:rPr>
          <w:sz w:val="24"/>
          <w:szCs w:val="24"/>
        </w:rPr>
        <w:t>’</w:t>
      </w:r>
      <w:r w:rsidRPr="00A717F4" w:rsidR="00A717F4">
        <w:rPr>
          <w:sz w:val="24"/>
          <w:szCs w:val="24"/>
        </w:rPr>
        <w:t xml:space="preserve"> </w:t>
      </w:r>
      <w:r w:rsidR="00A717F4">
        <w:rPr>
          <w:sz w:val="24"/>
          <w:szCs w:val="24"/>
        </w:rPr>
        <w:t>performance</w:t>
      </w:r>
      <w:r w:rsidR="00C5526D">
        <w:rPr>
          <w:sz w:val="24"/>
          <w:szCs w:val="24"/>
        </w:rPr>
        <w:t xml:space="preserve">. </w:t>
      </w:r>
      <w:r w:rsidR="00EE21D7">
        <w:rPr>
          <w:sz w:val="24"/>
          <w:szCs w:val="24"/>
        </w:rPr>
        <w:t xml:space="preserve">The information is used to track individual primacy states’ progress against commitments and to ensure that state primacy programs have the ability to take timely and appropriate action in response to direct threats to the public health due to endangerment of USDWs. </w:t>
      </w:r>
      <w:r w:rsidR="00C5526D">
        <w:rPr>
          <w:sz w:val="24"/>
          <w:szCs w:val="24"/>
        </w:rPr>
        <w:t xml:space="preserve">Like EPA Headquarters, the Regions use UIC data to develop regional operating budgets and program plans, allocate resources, and respond to inquiries. </w:t>
      </w:r>
    </w:p>
    <w:p w:rsidR="00513600" w:rsidRDefault="00513600" w14:paraId="5ABBC027" w14:textId="77777777">
      <w:pPr>
        <w:autoSpaceDE/>
        <w:autoSpaceDN/>
        <w:adjustRightInd/>
        <w:rPr>
          <w:sz w:val="24"/>
          <w:szCs w:val="24"/>
        </w:rPr>
      </w:pPr>
      <w:r>
        <w:rPr>
          <w:sz w:val="24"/>
          <w:szCs w:val="24"/>
        </w:rPr>
        <w:br w:type="page"/>
      </w:r>
    </w:p>
    <w:p w:rsidRPr="002109FC" w:rsidR="00513600" w:rsidP="001539FF" w:rsidRDefault="00513600" w14:paraId="6FC78436" w14:textId="77777777">
      <w:pPr>
        <w:ind w:left="720"/>
        <w:jc w:val="center"/>
        <w:rPr>
          <w:rFonts w:ascii="Arial" w:hAnsi="Arial" w:cs="Arial"/>
          <w:b/>
          <w:sz w:val="24"/>
          <w:szCs w:val="24"/>
        </w:rPr>
      </w:pPr>
      <w:bookmarkStart w:name="_Hlk511740696" w:id="19"/>
      <w:r w:rsidRPr="002109FC">
        <w:rPr>
          <w:rFonts w:ascii="Arial" w:hAnsi="Arial" w:cs="Arial"/>
          <w:b/>
          <w:sz w:val="24"/>
          <w:szCs w:val="24"/>
        </w:rPr>
        <w:lastRenderedPageBreak/>
        <w:t xml:space="preserve">Exhibit 2-2 </w:t>
      </w:r>
      <w:r>
        <w:rPr>
          <w:rFonts w:ascii="Arial" w:hAnsi="Arial" w:cs="Arial"/>
          <w:b/>
          <w:sz w:val="24"/>
          <w:szCs w:val="24"/>
        </w:rPr>
        <w:t xml:space="preserve">Flow of Information in the </w:t>
      </w:r>
      <w:r w:rsidRPr="002109FC">
        <w:rPr>
          <w:rFonts w:ascii="Arial" w:hAnsi="Arial" w:cs="Arial"/>
          <w:b/>
          <w:sz w:val="24"/>
          <w:szCs w:val="24"/>
        </w:rPr>
        <w:t>UIC Program</w:t>
      </w:r>
    </w:p>
    <w:bookmarkEnd w:id="19"/>
    <w:p w:rsidRPr="002109FC" w:rsidR="00513600" w:rsidP="00513600" w:rsidRDefault="00513600" w14:paraId="542808F9" w14:textId="77777777">
      <w:pPr>
        <w:jc w:val="center"/>
        <w:rPr>
          <w:sz w:val="24"/>
          <w:szCs w:val="24"/>
        </w:rPr>
      </w:pPr>
    </w:p>
    <w:p w:rsidR="00513600" w:rsidP="00513600" w:rsidRDefault="00513600" w14:paraId="1EED0DF4" w14:textId="77777777">
      <w:pPr>
        <w:rPr>
          <w:color w:val="FF0000"/>
          <w:sz w:val="24"/>
          <w:szCs w:val="24"/>
        </w:rPr>
      </w:pPr>
    </w:p>
    <w:p w:rsidR="00513600" w:rsidP="00513600" w:rsidRDefault="00D9709E" w14:paraId="073D06C9" w14:textId="6EAA5B29">
      <w:pPr>
        <w:jc w:val="center"/>
        <w:rPr>
          <w:color w:val="FF0000"/>
          <w:sz w:val="24"/>
          <w:szCs w:val="24"/>
        </w:rPr>
        <w:sectPr w:rsidR="00513600" w:rsidSect="00726394">
          <w:pgSz w:w="12240" w:h="15840" w:code="1"/>
          <w:pgMar w:top="1440" w:right="1440" w:bottom="1440" w:left="1440" w:header="1440" w:footer="1440" w:gutter="0"/>
          <w:cols w:space="720"/>
          <w:noEndnote/>
          <w:docGrid w:linePitch="272"/>
        </w:sectPr>
      </w:pPr>
      <w:r>
        <w:rPr>
          <w:noProof/>
          <w:color w:val="FF0000"/>
          <w:sz w:val="24"/>
          <w:szCs w:val="24"/>
        </w:rPr>
        <w:drawing>
          <wp:inline distT="0" distB="0" distL="0" distR="0" wp14:anchorId="36840541" wp14:editId="57BFA85A">
            <wp:extent cx="6188075" cy="646239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8075" cy="6462395"/>
                    </a:xfrm>
                    <a:prstGeom prst="rect">
                      <a:avLst/>
                    </a:prstGeom>
                    <a:noFill/>
                  </pic:spPr>
                </pic:pic>
              </a:graphicData>
            </a:graphic>
          </wp:inline>
        </w:drawing>
      </w:r>
    </w:p>
    <w:p w:rsidR="006C7C2F" w:rsidP="006C7C2F" w:rsidRDefault="006C7C2F" w14:paraId="6ACED598" w14:textId="4CFEBE68">
      <w:pPr>
        <w:rPr>
          <w:sz w:val="24"/>
          <w:szCs w:val="24"/>
        </w:rPr>
      </w:pPr>
      <w:r>
        <w:rPr>
          <w:sz w:val="24"/>
          <w:szCs w:val="24"/>
        </w:rPr>
        <w:lastRenderedPageBreak/>
        <w:tab/>
        <w:t xml:space="preserve">Regions also have enforcement responsibilities and use information </w:t>
      </w:r>
      <w:r w:rsidR="00A717F4">
        <w:rPr>
          <w:sz w:val="24"/>
          <w:szCs w:val="24"/>
        </w:rPr>
        <w:t xml:space="preserve">provided by permitting authorities </w:t>
      </w:r>
      <w:r>
        <w:rPr>
          <w:sz w:val="24"/>
          <w:szCs w:val="24"/>
        </w:rPr>
        <w:t xml:space="preserve">to track </w:t>
      </w:r>
      <w:bookmarkStart w:name="_Hlk511739768" w:id="20"/>
      <w:r w:rsidR="008176C6">
        <w:rPr>
          <w:sz w:val="24"/>
          <w:szCs w:val="24"/>
        </w:rPr>
        <w:t xml:space="preserve">primacy </w:t>
      </w:r>
      <w:bookmarkEnd w:id="20"/>
      <w:r>
        <w:rPr>
          <w:sz w:val="24"/>
          <w:szCs w:val="24"/>
        </w:rPr>
        <w:t xml:space="preserve">state enforcement response actions for all significant noncompliers, i.e., operators of those injection wells that are most likely to contaminate USDWs. The statutory responsibility to initiate federal enforcement actions may be delegated to a Region if a primacy </w:t>
      </w:r>
      <w:r w:rsidR="000B5DF3">
        <w:rPr>
          <w:sz w:val="24"/>
          <w:szCs w:val="24"/>
        </w:rPr>
        <w:t xml:space="preserve">agency </w:t>
      </w:r>
      <w:r>
        <w:rPr>
          <w:sz w:val="24"/>
          <w:szCs w:val="24"/>
        </w:rPr>
        <w:t>does not fulfill its responsibilities.</w:t>
      </w:r>
    </w:p>
    <w:p w:rsidR="006C7C2F" w:rsidP="006C7C2F" w:rsidRDefault="006C7C2F" w14:paraId="1BE50E6C" w14:textId="77777777">
      <w:pPr>
        <w:rPr>
          <w:sz w:val="24"/>
          <w:szCs w:val="24"/>
        </w:rPr>
      </w:pPr>
    </w:p>
    <w:p w:rsidR="006C7C2F" w:rsidP="006C7C2F" w:rsidRDefault="006C7C2F" w14:paraId="3D6715C8" w14:textId="340E29D2">
      <w:pPr>
        <w:rPr>
          <w:sz w:val="24"/>
          <w:szCs w:val="24"/>
        </w:rPr>
      </w:pPr>
      <w:r>
        <w:rPr>
          <w:sz w:val="24"/>
          <w:szCs w:val="24"/>
        </w:rPr>
        <w:tab/>
        <w:t xml:space="preserve">The Regions are responsible for reviewing and verifying the information on reports </w:t>
      </w:r>
      <w:r w:rsidR="00D21761">
        <w:rPr>
          <w:sz w:val="24"/>
          <w:szCs w:val="24"/>
        </w:rPr>
        <w:t>from state</w:t>
      </w:r>
      <w:r w:rsidR="00EF3910">
        <w:rPr>
          <w:sz w:val="24"/>
          <w:szCs w:val="24"/>
        </w:rPr>
        <w:t xml:space="preserve"> primacy agencie</w:t>
      </w:r>
      <w:r w:rsidR="00D21761">
        <w:rPr>
          <w:sz w:val="24"/>
          <w:szCs w:val="24"/>
        </w:rPr>
        <w:t xml:space="preserve">s </w:t>
      </w:r>
      <w:r>
        <w:rPr>
          <w:sz w:val="24"/>
          <w:szCs w:val="24"/>
        </w:rPr>
        <w:t>before sending them to EPA Headquarters.</w:t>
      </w:r>
    </w:p>
    <w:p w:rsidR="006C7C2F" w:rsidRDefault="006C7C2F" w14:paraId="36BB7D9D" w14:textId="77777777">
      <w:pPr>
        <w:keepNext/>
        <w:keepLines/>
        <w:rPr>
          <w:b/>
          <w:bCs/>
          <w:sz w:val="24"/>
          <w:szCs w:val="24"/>
        </w:rPr>
      </w:pPr>
    </w:p>
    <w:p w:rsidR="00C25838" w:rsidP="006C7C2F" w:rsidRDefault="002505E7" w14:paraId="51CEAF59" w14:textId="63DB72FF">
      <w:pPr>
        <w:keepNext/>
        <w:keepLines/>
        <w:ind w:firstLine="720"/>
        <w:rPr>
          <w:sz w:val="24"/>
          <w:szCs w:val="24"/>
        </w:rPr>
      </w:pPr>
      <w:r>
        <w:rPr>
          <w:b/>
          <w:bCs/>
          <w:sz w:val="24"/>
          <w:szCs w:val="24"/>
        </w:rPr>
        <w:t xml:space="preserve">Regional </w:t>
      </w:r>
      <w:r w:rsidR="002D0D52">
        <w:rPr>
          <w:b/>
          <w:bCs/>
          <w:sz w:val="24"/>
          <w:szCs w:val="24"/>
        </w:rPr>
        <w:t xml:space="preserve">DI and </w:t>
      </w:r>
      <w:r w:rsidR="00C25838">
        <w:rPr>
          <w:b/>
          <w:bCs/>
          <w:sz w:val="24"/>
          <w:szCs w:val="24"/>
        </w:rPr>
        <w:t xml:space="preserve">State </w:t>
      </w:r>
      <w:r w:rsidR="002D0D52">
        <w:rPr>
          <w:b/>
          <w:bCs/>
          <w:sz w:val="24"/>
          <w:szCs w:val="24"/>
        </w:rPr>
        <w:t xml:space="preserve">Primacy </w:t>
      </w:r>
      <w:r w:rsidR="00C25838">
        <w:rPr>
          <w:b/>
          <w:bCs/>
          <w:sz w:val="24"/>
          <w:szCs w:val="24"/>
        </w:rPr>
        <w:t>Program</w:t>
      </w:r>
      <w:r w:rsidR="002D0D52">
        <w:rPr>
          <w:b/>
          <w:bCs/>
          <w:sz w:val="24"/>
          <w:szCs w:val="24"/>
        </w:rPr>
        <w:t xml:space="preserve"> Oversight of Well Operator</w:t>
      </w:r>
      <w:r w:rsidR="00C25838">
        <w:rPr>
          <w:b/>
          <w:bCs/>
          <w:sz w:val="24"/>
          <w:szCs w:val="24"/>
        </w:rPr>
        <w:t>s</w:t>
      </w:r>
    </w:p>
    <w:p w:rsidR="00C25838" w:rsidRDefault="00C25838" w14:paraId="0129D5D5" w14:textId="77777777">
      <w:pPr>
        <w:keepNext/>
        <w:rPr>
          <w:sz w:val="24"/>
          <w:szCs w:val="24"/>
        </w:rPr>
      </w:pPr>
    </w:p>
    <w:p w:rsidR="00C25838" w:rsidRDefault="00C25838" w14:paraId="3CFD0074" w14:textId="69F6E0CD">
      <w:pPr>
        <w:rPr>
          <w:sz w:val="24"/>
          <w:szCs w:val="24"/>
        </w:rPr>
      </w:pPr>
      <w:bookmarkStart w:name="_Hlk511743201" w:id="21"/>
      <w:r>
        <w:rPr>
          <w:sz w:val="24"/>
          <w:szCs w:val="24"/>
        </w:rPr>
        <w:tab/>
      </w:r>
      <w:r w:rsidR="002D0D52">
        <w:rPr>
          <w:sz w:val="24"/>
          <w:szCs w:val="24"/>
        </w:rPr>
        <w:t xml:space="preserve">States that have been granted UIC program primacy and </w:t>
      </w:r>
      <w:r>
        <w:rPr>
          <w:sz w:val="24"/>
          <w:szCs w:val="24"/>
        </w:rPr>
        <w:t xml:space="preserve">EPA regional offices </w:t>
      </w:r>
      <w:r w:rsidR="002D0D52">
        <w:rPr>
          <w:sz w:val="24"/>
          <w:szCs w:val="24"/>
        </w:rPr>
        <w:t xml:space="preserve">that </w:t>
      </w:r>
      <w:r w:rsidR="00351FE5">
        <w:rPr>
          <w:sz w:val="24"/>
          <w:szCs w:val="24"/>
        </w:rPr>
        <w:t xml:space="preserve">directly </w:t>
      </w:r>
      <w:r>
        <w:rPr>
          <w:sz w:val="24"/>
          <w:szCs w:val="24"/>
        </w:rPr>
        <w:t>implement the UIC Program in states without primacy</w:t>
      </w:r>
      <w:r w:rsidR="002D0D52">
        <w:rPr>
          <w:sz w:val="24"/>
          <w:szCs w:val="24"/>
        </w:rPr>
        <w:t xml:space="preserve"> review information submitted by operators. This information is submitted on </w:t>
      </w:r>
      <w:r w:rsidRPr="002D0D52" w:rsidR="002D0D52">
        <w:rPr>
          <w:sz w:val="24"/>
          <w:szCs w:val="24"/>
        </w:rPr>
        <w:t>the UIC Program’s 7520 reporting forms</w:t>
      </w:r>
      <w:r w:rsidR="002D0D52">
        <w:rPr>
          <w:sz w:val="24"/>
          <w:szCs w:val="24"/>
        </w:rPr>
        <w:t xml:space="preserve"> (or a state equivalent) or, for Class VI wells, via the Geologic Sequestration Data Tool. Permitting authorities</w:t>
      </w:r>
      <w:r>
        <w:rPr>
          <w:sz w:val="24"/>
          <w:szCs w:val="24"/>
        </w:rPr>
        <w:t xml:space="preserve"> use information </w:t>
      </w:r>
      <w:r w:rsidR="00C13BFE">
        <w:rPr>
          <w:sz w:val="24"/>
          <w:szCs w:val="24"/>
        </w:rPr>
        <w:t xml:space="preserve">submitted by </w:t>
      </w:r>
      <w:r>
        <w:rPr>
          <w:sz w:val="24"/>
          <w:szCs w:val="24"/>
        </w:rPr>
        <w:t xml:space="preserve">operators </w:t>
      </w:r>
      <w:r w:rsidR="00EF3910">
        <w:rPr>
          <w:sz w:val="24"/>
          <w:szCs w:val="24"/>
        </w:rPr>
        <w:t>as follows:</w:t>
      </w:r>
    </w:p>
    <w:p w:rsidR="00C25838" w:rsidRDefault="00C25838" w14:paraId="51074532" w14:textId="77777777">
      <w:pPr>
        <w:rPr>
          <w:sz w:val="24"/>
          <w:szCs w:val="24"/>
        </w:rPr>
      </w:pPr>
    </w:p>
    <w:p w:rsidRPr="00A22206" w:rsidR="00C25838" w:rsidP="00A22206" w:rsidRDefault="00EF3910" w14:paraId="1EF6796A" w14:textId="1E936E5A">
      <w:pPr>
        <w:pStyle w:val="ListParagraph"/>
        <w:numPr>
          <w:ilvl w:val="1"/>
          <w:numId w:val="53"/>
        </w:numPr>
        <w:spacing w:after="120"/>
        <w:ind w:left="1080"/>
        <w:rPr>
          <w:sz w:val="24"/>
          <w:szCs w:val="24"/>
        </w:rPr>
      </w:pPr>
      <w:r>
        <w:rPr>
          <w:sz w:val="24"/>
          <w:szCs w:val="24"/>
        </w:rPr>
        <w:t>M</w:t>
      </w:r>
      <w:r w:rsidRPr="00A22206" w:rsidR="00BC725A">
        <w:rPr>
          <w:sz w:val="24"/>
          <w:szCs w:val="24"/>
        </w:rPr>
        <w:t xml:space="preserve">aterials submitted with an </w:t>
      </w:r>
      <w:r w:rsidRPr="00A22206" w:rsidR="00C25838">
        <w:rPr>
          <w:sz w:val="24"/>
          <w:szCs w:val="24"/>
        </w:rPr>
        <w:t xml:space="preserve">initial permit application provide the information </w:t>
      </w:r>
      <w:r w:rsidR="00DC0B9C">
        <w:rPr>
          <w:sz w:val="24"/>
          <w:szCs w:val="24"/>
        </w:rPr>
        <w:t xml:space="preserve">that </w:t>
      </w:r>
      <w:r w:rsidR="00DC12BB">
        <w:rPr>
          <w:sz w:val="24"/>
          <w:szCs w:val="24"/>
        </w:rPr>
        <w:t xml:space="preserve">states and EPA </w:t>
      </w:r>
      <w:r w:rsidRPr="00A22206" w:rsidR="00C25838">
        <w:rPr>
          <w:sz w:val="24"/>
          <w:szCs w:val="24"/>
        </w:rPr>
        <w:t>regional offices need to determine if proposed injection wells will be properly designed</w:t>
      </w:r>
      <w:r w:rsidRPr="00A22206" w:rsidR="00BC725A">
        <w:rPr>
          <w:sz w:val="24"/>
          <w:szCs w:val="24"/>
        </w:rPr>
        <w:t>,</w:t>
      </w:r>
      <w:r w:rsidRPr="00A22206" w:rsidR="00C25838">
        <w:rPr>
          <w:sz w:val="24"/>
          <w:szCs w:val="24"/>
        </w:rPr>
        <w:t xml:space="preserve"> sited</w:t>
      </w:r>
      <w:r w:rsidRPr="00A22206" w:rsidR="00BC725A">
        <w:rPr>
          <w:sz w:val="24"/>
          <w:szCs w:val="24"/>
        </w:rPr>
        <w:t>, and operated</w:t>
      </w:r>
      <w:r w:rsidRPr="00A22206" w:rsidR="00C25838">
        <w:rPr>
          <w:sz w:val="24"/>
          <w:szCs w:val="24"/>
        </w:rPr>
        <w:t xml:space="preserve"> to </w:t>
      </w:r>
      <w:r w:rsidRPr="00A22206" w:rsidR="00C17B20">
        <w:rPr>
          <w:sz w:val="24"/>
          <w:szCs w:val="24"/>
        </w:rPr>
        <w:t>reduce the risk</w:t>
      </w:r>
      <w:r w:rsidRPr="00A22206" w:rsidR="00C25838">
        <w:rPr>
          <w:sz w:val="24"/>
          <w:szCs w:val="24"/>
        </w:rPr>
        <w:t xml:space="preserve"> of USDW </w:t>
      </w:r>
      <w:r w:rsidR="00CC748D">
        <w:rPr>
          <w:sz w:val="24"/>
          <w:szCs w:val="24"/>
        </w:rPr>
        <w:t>endangerment</w:t>
      </w:r>
      <w:r w:rsidRPr="00DD473B" w:rsidR="00CC748D">
        <w:rPr>
          <w:sz w:val="24"/>
          <w:szCs w:val="24"/>
        </w:rPr>
        <w:t xml:space="preserve"> </w:t>
      </w:r>
      <w:r w:rsidR="00DD473B">
        <w:rPr>
          <w:sz w:val="24"/>
          <w:szCs w:val="24"/>
        </w:rPr>
        <w:t xml:space="preserve">and </w:t>
      </w:r>
      <w:r w:rsidRPr="00B2153D" w:rsidR="00DD473B">
        <w:rPr>
          <w:sz w:val="24"/>
          <w:szCs w:val="24"/>
        </w:rPr>
        <w:t>to establish appropriate permit conditions</w:t>
      </w:r>
      <w:r w:rsidRPr="00A22206" w:rsidR="00F84502">
        <w:rPr>
          <w:sz w:val="24"/>
          <w:szCs w:val="24"/>
        </w:rPr>
        <w:t xml:space="preserve">. </w:t>
      </w:r>
      <w:r w:rsidRPr="00A22206" w:rsidR="00C25838">
        <w:rPr>
          <w:sz w:val="24"/>
          <w:szCs w:val="24"/>
        </w:rPr>
        <w:t xml:space="preserve">The primary responsibility of a </w:t>
      </w:r>
      <w:r w:rsidR="000B4486">
        <w:rPr>
          <w:sz w:val="24"/>
          <w:szCs w:val="24"/>
        </w:rPr>
        <w:t xml:space="preserve">state permitting agency or </w:t>
      </w:r>
      <w:r w:rsidRPr="00A22206" w:rsidR="00C25838">
        <w:rPr>
          <w:sz w:val="24"/>
          <w:szCs w:val="24"/>
        </w:rPr>
        <w:t xml:space="preserve">regional </w:t>
      </w:r>
      <w:r w:rsidRPr="00A22206" w:rsidR="00D21761">
        <w:rPr>
          <w:sz w:val="24"/>
          <w:szCs w:val="24"/>
        </w:rPr>
        <w:t xml:space="preserve">DI program </w:t>
      </w:r>
      <w:r w:rsidRPr="00A22206" w:rsidR="00C25838">
        <w:rPr>
          <w:sz w:val="24"/>
          <w:szCs w:val="24"/>
        </w:rPr>
        <w:t xml:space="preserve">is to use information submitted prior to and during </w:t>
      </w:r>
      <w:r w:rsidR="007D248F">
        <w:rPr>
          <w:sz w:val="24"/>
          <w:szCs w:val="24"/>
        </w:rPr>
        <w:t xml:space="preserve">well </w:t>
      </w:r>
      <w:r w:rsidRPr="00A22206" w:rsidR="00D21761">
        <w:rPr>
          <w:sz w:val="24"/>
          <w:szCs w:val="24"/>
        </w:rPr>
        <w:t xml:space="preserve">construction </w:t>
      </w:r>
      <w:r w:rsidRPr="00A22206" w:rsidR="00C25838">
        <w:rPr>
          <w:sz w:val="24"/>
          <w:szCs w:val="24"/>
        </w:rPr>
        <w:t xml:space="preserve">to ensure that injected fluids will remain in the </w:t>
      </w:r>
      <w:r w:rsidRPr="00A22206" w:rsidR="00C17B20">
        <w:rPr>
          <w:sz w:val="24"/>
          <w:szCs w:val="24"/>
        </w:rPr>
        <w:t xml:space="preserve">identified </w:t>
      </w:r>
      <w:r w:rsidRPr="00A22206" w:rsidR="00C25838">
        <w:rPr>
          <w:sz w:val="24"/>
          <w:szCs w:val="24"/>
        </w:rPr>
        <w:t>injection zone and will not leak into areas that could result in contaminated USDWs.</w:t>
      </w:r>
    </w:p>
    <w:p w:rsidR="00A717F4" w:rsidP="00A22206" w:rsidRDefault="00C25838" w14:paraId="37DB0CE0" w14:textId="52C1CBFA">
      <w:pPr>
        <w:pStyle w:val="ListParagraph"/>
        <w:numPr>
          <w:ilvl w:val="1"/>
          <w:numId w:val="53"/>
        </w:numPr>
        <w:spacing w:after="120"/>
        <w:ind w:left="1080"/>
        <w:rPr>
          <w:sz w:val="24"/>
          <w:szCs w:val="24"/>
        </w:rPr>
      </w:pPr>
      <w:r w:rsidRPr="00A22206">
        <w:rPr>
          <w:sz w:val="24"/>
          <w:szCs w:val="24"/>
        </w:rPr>
        <w:t xml:space="preserve">Following permit </w:t>
      </w:r>
      <w:r w:rsidRPr="00A22206" w:rsidR="002505E7">
        <w:rPr>
          <w:sz w:val="24"/>
          <w:szCs w:val="24"/>
        </w:rPr>
        <w:t xml:space="preserve">issuance </w:t>
      </w:r>
      <w:r w:rsidRPr="00A22206">
        <w:rPr>
          <w:sz w:val="24"/>
          <w:szCs w:val="24"/>
        </w:rPr>
        <w:t xml:space="preserve">and </w:t>
      </w:r>
      <w:r w:rsidRPr="00A22206" w:rsidR="00BC725A">
        <w:rPr>
          <w:sz w:val="24"/>
          <w:szCs w:val="24"/>
        </w:rPr>
        <w:t xml:space="preserve">well </w:t>
      </w:r>
      <w:r w:rsidRPr="00A22206">
        <w:rPr>
          <w:sz w:val="24"/>
          <w:szCs w:val="24"/>
        </w:rPr>
        <w:t xml:space="preserve">completion, the permitting authority uses </w:t>
      </w:r>
      <w:r w:rsidRPr="00A22206" w:rsidR="000B4486">
        <w:rPr>
          <w:sz w:val="24"/>
          <w:szCs w:val="24"/>
        </w:rPr>
        <w:t xml:space="preserve">annual, semi-annual, or quarterly </w:t>
      </w:r>
      <w:r w:rsidRPr="00A22206">
        <w:rPr>
          <w:sz w:val="24"/>
          <w:szCs w:val="24"/>
        </w:rPr>
        <w:t>monitoring and testing reports submitted by operators to determine if (l) there is a leak in the casing, tubing, or packer, or (2) there is significant fluid movement into a USDW through vertical channels adjacent to the well bore.</w:t>
      </w:r>
      <w:r w:rsidRPr="00A22206" w:rsidR="00BC725A">
        <w:rPr>
          <w:sz w:val="24"/>
          <w:szCs w:val="24"/>
        </w:rPr>
        <w:t xml:space="preserve"> Environmental monitoring data required of </w:t>
      </w:r>
      <w:r w:rsidRPr="00A22206" w:rsidR="00C17B20">
        <w:rPr>
          <w:sz w:val="24"/>
          <w:szCs w:val="24"/>
        </w:rPr>
        <w:t xml:space="preserve">operators of </w:t>
      </w:r>
      <w:r w:rsidRPr="00A22206" w:rsidR="00BC725A">
        <w:rPr>
          <w:sz w:val="24"/>
          <w:szCs w:val="24"/>
        </w:rPr>
        <w:t xml:space="preserve">certain </w:t>
      </w:r>
      <w:r w:rsidRPr="00A22206" w:rsidR="00C17B20">
        <w:rPr>
          <w:sz w:val="24"/>
          <w:szCs w:val="24"/>
        </w:rPr>
        <w:t xml:space="preserve">well </w:t>
      </w:r>
      <w:r w:rsidRPr="00A22206" w:rsidR="00BC725A">
        <w:rPr>
          <w:sz w:val="24"/>
          <w:szCs w:val="24"/>
        </w:rPr>
        <w:t xml:space="preserve">classes can provide early </w:t>
      </w:r>
      <w:r w:rsidRPr="00A22206" w:rsidR="005033E6">
        <w:rPr>
          <w:sz w:val="24"/>
          <w:szCs w:val="24"/>
        </w:rPr>
        <w:t xml:space="preserve">indication </w:t>
      </w:r>
      <w:r w:rsidRPr="00A22206" w:rsidR="00BC725A">
        <w:rPr>
          <w:sz w:val="24"/>
          <w:szCs w:val="24"/>
        </w:rPr>
        <w:t>of USDW endangerment.</w:t>
      </w:r>
      <w:r w:rsidR="00A717F4">
        <w:rPr>
          <w:sz w:val="24"/>
          <w:szCs w:val="24"/>
        </w:rPr>
        <w:t xml:space="preserve"> Information on the results of Class VI AoR reevaluations is reviewed </w:t>
      </w:r>
      <w:r w:rsidRPr="00A717F4" w:rsidR="00A717F4">
        <w:rPr>
          <w:sz w:val="24"/>
          <w:szCs w:val="24"/>
        </w:rPr>
        <w:t xml:space="preserve">to ensure that all observed/measured project data support the existing </w:t>
      </w:r>
      <w:r w:rsidR="00A717F4">
        <w:rPr>
          <w:sz w:val="24"/>
          <w:szCs w:val="24"/>
        </w:rPr>
        <w:t>AoR</w:t>
      </w:r>
      <w:r w:rsidR="00C13BFE">
        <w:rPr>
          <w:sz w:val="24"/>
          <w:szCs w:val="24"/>
        </w:rPr>
        <w:t xml:space="preserve"> delineation</w:t>
      </w:r>
      <w:r w:rsidR="00A717F4">
        <w:rPr>
          <w:sz w:val="24"/>
          <w:szCs w:val="24"/>
        </w:rPr>
        <w:t>.</w:t>
      </w:r>
    </w:p>
    <w:p w:rsidRPr="00A22206" w:rsidR="002D0D52" w:rsidP="00A22206" w:rsidRDefault="00A717F4" w14:paraId="5A015C94" w14:textId="00030C94">
      <w:pPr>
        <w:pStyle w:val="ListParagraph"/>
        <w:numPr>
          <w:ilvl w:val="1"/>
          <w:numId w:val="53"/>
        </w:numPr>
        <w:spacing w:after="120"/>
        <w:ind w:left="1080"/>
        <w:rPr>
          <w:sz w:val="24"/>
          <w:szCs w:val="24"/>
        </w:rPr>
      </w:pPr>
      <w:r w:rsidRPr="00A22206">
        <w:rPr>
          <w:sz w:val="24"/>
          <w:szCs w:val="24"/>
        </w:rPr>
        <w:t xml:space="preserve">Information on the plugging of injection wells </w:t>
      </w:r>
      <w:r>
        <w:rPr>
          <w:sz w:val="24"/>
          <w:szCs w:val="24"/>
        </w:rPr>
        <w:t xml:space="preserve">is used to </w:t>
      </w:r>
      <w:r w:rsidRPr="00A22206">
        <w:rPr>
          <w:sz w:val="24"/>
          <w:szCs w:val="24"/>
        </w:rPr>
        <w:t xml:space="preserve">ensure that </w:t>
      </w:r>
      <w:r>
        <w:rPr>
          <w:sz w:val="24"/>
          <w:szCs w:val="24"/>
        </w:rPr>
        <w:t>a well will</w:t>
      </w:r>
      <w:r w:rsidRPr="00A22206">
        <w:rPr>
          <w:sz w:val="24"/>
          <w:szCs w:val="24"/>
        </w:rPr>
        <w:t xml:space="preserve"> not serve as </w:t>
      </w:r>
      <w:r>
        <w:rPr>
          <w:sz w:val="24"/>
          <w:szCs w:val="24"/>
        </w:rPr>
        <w:t xml:space="preserve">a </w:t>
      </w:r>
      <w:r w:rsidRPr="00A717F4">
        <w:rPr>
          <w:sz w:val="24"/>
          <w:szCs w:val="24"/>
        </w:rPr>
        <w:t>conduit</w:t>
      </w:r>
      <w:r w:rsidRPr="00A22206">
        <w:rPr>
          <w:sz w:val="24"/>
          <w:szCs w:val="24"/>
        </w:rPr>
        <w:t xml:space="preserve"> for fluid movement into USDWs following cessation of injection</w:t>
      </w:r>
      <w:r>
        <w:rPr>
          <w:sz w:val="24"/>
          <w:szCs w:val="24"/>
        </w:rPr>
        <w:t>.</w:t>
      </w:r>
      <w:r w:rsidRPr="00A22206">
        <w:rPr>
          <w:sz w:val="24"/>
          <w:szCs w:val="24"/>
        </w:rPr>
        <w:t xml:space="preserve"> </w:t>
      </w:r>
    </w:p>
    <w:bookmarkEnd w:id="21"/>
    <w:p w:rsidR="002D0D52" w:rsidP="002D0D52" w:rsidRDefault="002D0D52" w14:paraId="7E909D2D" w14:textId="77777777">
      <w:pPr>
        <w:rPr>
          <w:sz w:val="24"/>
          <w:szCs w:val="24"/>
        </w:rPr>
      </w:pPr>
    </w:p>
    <w:p w:rsidRPr="00A22206" w:rsidR="00266F1A" w:rsidP="00A22206" w:rsidRDefault="002D0D52" w14:paraId="0877E070" w14:textId="1A3A361A">
      <w:pPr>
        <w:ind w:firstLine="720"/>
        <w:rPr>
          <w:sz w:val="24"/>
        </w:rPr>
      </w:pPr>
      <w:r w:rsidRPr="00266F1A">
        <w:rPr>
          <w:sz w:val="24"/>
          <w:szCs w:val="24"/>
        </w:rPr>
        <w:t xml:space="preserve">Primacy and DI programs maintain detailed data about each well that they oversee, and </w:t>
      </w:r>
      <w:r w:rsidRPr="00266F1A" w:rsidR="00C25838">
        <w:rPr>
          <w:sz w:val="24"/>
          <w:szCs w:val="24"/>
        </w:rPr>
        <w:t xml:space="preserve">use </w:t>
      </w:r>
      <w:r w:rsidRPr="00266F1A">
        <w:rPr>
          <w:sz w:val="24"/>
          <w:szCs w:val="24"/>
        </w:rPr>
        <w:t xml:space="preserve">this </w:t>
      </w:r>
      <w:r w:rsidRPr="00266F1A" w:rsidR="00C25838">
        <w:rPr>
          <w:sz w:val="24"/>
          <w:szCs w:val="24"/>
        </w:rPr>
        <w:t xml:space="preserve">information </w:t>
      </w:r>
      <w:r w:rsidRPr="00605389" w:rsidR="00C25838">
        <w:rPr>
          <w:sz w:val="24"/>
          <w:szCs w:val="24"/>
        </w:rPr>
        <w:t xml:space="preserve">to focus efforts on </w:t>
      </w:r>
      <w:r w:rsidR="000B4486">
        <w:rPr>
          <w:sz w:val="24"/>
          <w:szCs w:val="24"/>
        </w:rPr>
        <w:t xml:space="preserve">those </w:t>
      </w:r>
      <w:r w:rsidRPr="00605389" w:rsidR="00C25838">
        <w:rPr>
          <w:sz w:val="24"/>
          <w:szCs w:val="24"/>
        </w:rPr>
        <w:t xml:space="preserve">injection wells </w:t>
      </w:r>
      <w:r w:rsidR="000B4486">
        <w:rPr>
          <w:sz w:val="24"/>
          <w:szCs w:val="24"/>
        </w:rPr>
        <w:t xml:space="preserve">that are </w:t>
      </w:r>
      <w:r w:rsidRPr="00605389" w:rsidR="00C25838">
        <w:rPr>
          <w:sz w:val="24"/>
          <w:szCs w:val="24"/>
        </w:rPr>
        <w:t>in need of enforcement attention</w:t>
      </w:r>
      <w:r w:rsidRPr="00605389" w:rsidR="00F84502">
        <w:rPr>
          <w:sz w:val="24"/>
          <w:szCs w:val="24"/>
        </w:rPr>
        <w:t xml:space="preserve">. </w:t>
      </w:r>
      <w:r w:rsidRPr="00B2153D" w:rsidR="00DD473B">
        <w:rPr>
          <w:sz w:val="24"/>
          <w:szCs w:val="24"/>
        </w:rPr>
        <w:t>T</w:t>
      </w:r>
      <w:r w:rsidRPr="00B2153D" w:rsidR="00C50E26">
        <w:rPr>
          <w:sz w:val="24"/>
          <w:szCs w:val="24"/>
        </w:rPr>
        <w:t xml:space="preserve">he permitting authority reviews testing and monitoring reports to track the performance of the project and, if necessary identify violations, assess their significance for enforcement, and target inspection and enforcement activities. </w:t>
      </w:r>
      <w:r w:rsidRPr="00B2153D" w:rsidR="00C25838">
        <w:rPr>
          <w:sz w:val="24"/>
          <w:szCs w:val="24"/>
        </w:rPr>
        <w:t>Operators who have been out of compliance for at least two consecutive quarters are identified on the exceptions list</w:t>
      </w:r>
      <w:r w:rsidRPr="00B2153D" w:rsidR="00F84502">
        <w:rPr>
          <w:sz w:val="24"/>
          <w:szCs w:val="24"/>
        </w:rPr>
        <w:t>.</w:t>
      </w:r>
    </w:p>
    <w:bookmarkEnd w:id="14"/>
    <w:p w:rsidRPr="001941A8" w:rsidR="00C25838" w:rsidP="00A22206" w:rsidRDefault="00C25838" w14:paraId="0BC12372" w14:textId="77777777">
      <w:pPr>
        <w:pStyle w:val="Heading1"/>
        <w:ind w:left="720" w:hanging="630"/>
      </w:pPr>
      <w:r>
        <w:rPr>
          <w:sz w:val="24"/>
        </w:rPr>
        <w:br w:type="page"/>
      </w:r>
      <w:r w:rsidRPr="001941A8">
        <w:lastRenderedPageBreak/>
        <w:t>3.</w:t>
      </w:r>
      <w:r w:rsidRPr="001941A8">
        <w:tab/>
        <w:t>Nonduplication, Consultations, and Other Collection Criteria</w:t>
      </w:r>
      <w:r w:rsidRPr="001941A8" w:rsidR="00766F8E">
        <w:fldChar w:fldCharType="begin"/>
      </w:r>
      <w:r w:rsidRPr="001941A8">
        <w:instrText>tc "</w:instrText>
      </w:r>
      <w:bookmarkStart w:name="_Toc511659997" w:id="22"/>
      <w:bookmarkStart w:name="_Toc511713506" w:id="23"/>
      <w:r w:rsidRPr="001941A8">
        <w:instrText>3.</w:instrText>
      </w:r>
      <w:r w:rsidRPr="001941A8">
        <w:tab/>
        <w:instrText>Nonduplication, Consultations, and Other Collection Criteria</w:instrText>
      </w:r>
      <w:bookmarkEnd w:id="22"/>
      <w:bookmarkEnd w:id="23"/>
      <w:r w:rsidRPr="001941A8">
        <w:instrText>"</w:instrText>
      </w:r>
      <w:r w:rsidRPr="001941A8" w:rsidR="00766F8E">
        <w:fldChar w:fldCharType="end"/>
      </w:r>
    </w:p>
    <w:p w:rsidR="00C25838" w:rsidRDefault="00C25838" w14:paraId="0B797B3F" w14:textId="77777777">
      <w:pPr>
        <w:rPr>
          <w:sz w:val="24"/>
          <w:szCs w:val="24"/>
        </w:rPr>
      </w:pPr>
    </w:p>
    <w:p w:rsidR="00C25838" w:rsidRDefault="00C25838" w14:paraId="4E79E785" w14:textId="00F18ECF">
      <w:pPr>
        <w:rPr>
          <w:sz w:val="24"/>
          <w:szCs w:val="24"/>
        </w:rPr>
      </w:pPr>
      <w:r>
        <w:rPr>
          <w:sz w:val="24"/>
          <w:szCs w:val="24"/>
        </w:rPr>
        <w:tab/>
        <w:t xml:space="preserve">This Section </w:t>
      </w:r>
      <w:r w:rsidR="007D248F">
        <w:rPr>
          <w:sz w:val="24"/>
          <w:szCs w:val="24"/>
        </w:rPr>
        <w:t xml:space="preserve">explains </w:t>
      </w:r>
      <w:r w:rsidR="00B31024">
        <w:rPr>
          <w:sz w:val="24"/>
          <w:szCs w:val="24"/>
        </w:rPr>
        <w:t>how</w:t>
      </w:r>
      <w:r>
        <w:rPr>
          <w:sz w:val="24"/>
          <w:szCs w:val="24"/>
        </w:rPr>
        <w:t xml:space="preserve"> EPA has no other means available to gather the requested information</w:t>
      </w:r>
      <w:r w:rsidR="00F84502">
        <w:rPr>
          <w:sz w:val="24"/>
          <w:szCs w:val="24"/>
        </w:rPr>
        <w:t xml:space="preserve">. </w:t>
      </w:r>
      <w:r>
        <w:rPr>
          <w:sz w:val="24"/>
          <w:szCs w:val="24"/>
        </w:rPr>
        <w:t xml:space="preserve">It also describes EPA’s solicitation of public comments in the </w:t>
      </w:r>
      <w:r w:rsidRPr="00B31024">
        <w:rPr>
          <w:i/>
          <w:sz w:val="24"/>
          <w:szCs w:val="24"/>
        </w:rPr>
        <w:t>Federal Register</w:t>
      </w:r>
      <w:r>
        <w:rPr>
          <w:sz w:val="24"/>
          <w:szCs w:val="24"/>
        </w:rPr>
        <w:t xml:space="preserve"> and </w:t>
      </w:r>
      <w:r w:rsidR="008A5A4D">
        <w:rPr>
          <w:sz w:val="24"/>
          <w:szCs w:val="24"/>
        </w:rPr>
        <w:t>a</w:t>
      </w:r>
      <w:r>
        <w:rPr>
          <w:sz w:val="24"/>
          <w:szCs w:val="24"/>
        </w:rPr>
        <w:t xml:space="preserve">gency consultations in developing the burden and cost estimates; describes how less frequent reporting may </w:t>
      </w:r>
      <w:r w:rsidR="002505E7">
        <w:rPr>
          <w:sz w:val="24"/>
          <w:szCs w:val="24"/>
        </w:rPr>
        <w:t xml:space="preserve">lead to the </w:t>
      </w:r>
      <w:r>
        <w:rPr>
          <w:sz w:val="24"/>
          <w:szCs w:val="24"/>
        </w:rPr>
        <w:t>endanger</w:t>
      </w:r>
      <w:r w:rsidR="002505E7">
        <w:rPr>
          <w:sz w:val="24"/>
          <w:szCs w:val="24"/>
        </w:rPr>
        <w:t>ment of</w:t>
      </w:r>
      <w:r>
        <w:rPr>
          <w:sz w:val="24"/>
          <w:szCs w:val="24"/>
        </w:rPr>
        <w:t xml:space="preserve"> USDWs; and discusses </w:t>
      </w:r>
      <w:r w:rsidR="00713D6B">
        <w:rPr>
          <w:sz w:val="24"/>
          <w:szCs w:val="24"/>
        </w:rPr>
        <w:t xml:space="preserve">the </w:t>
      </w:r>
      <w:r>
        <w:rPr>
          <w:sz w:val="24"/>
          <w:szCs w:val="24"/>
        </w:rPr>
        <w:t>Paperwork Reduction Act (PRA) general guidelines and provisions for confidentiality.</w:t>
      </w:r>
      <w:r w:rsidR="00C55F47">
        <w:rPr>
          <w:sz w:val="24"/>
          <w:szCs w:val="24"/>
        </w:rPr>
        <w:t xml:space="preserve"> </w:t>
      </w:r>
    </w:p>
    <w:p w:rsidR="00C25838" w:rsidRDefault="00C25838" w14:paraId="35B3A5AB" w14:textId="77777777">
      <w:pPr>
        <w:rPr>
          <w:sz w:val="24"/>
          <w:szCs w:val="24"/>
        </w:rPr>
      </w:pPr>
    </w:p>
    <w:p w:rsidR="00C25838" w:rsidP="001941A8" w:rsidRDefault="00C25838" w14:paraId="47E76E7B" w14:textId="77777777">
      <w:pPr>
        <w:pStyle w:val="Heading2"/>
      </w:pPr>
      <w:r>
        <w:rPr>
          <w:szCs w:val="28"/>
        </w:rPr>
        <w:t>3(a)</w:t>
      </w:r>
      <w:r>
        <w:rPr>
          <w:szCs w:val="28"/>
        </w:rPr>
        <w:tab/>
        <w:t xml:space="preserve">Nonduplication </w:t>
      </w:r>
      <w:r w:rsidR="00766F8E">
        <w:fldChar w:fldCharType="begin"/>
      </w:r>
      <w:r>
        <w:instrText>tc "</w:instrText>
      </w:r>
      <w:bookmarkStart w:name="_Toc511659998" w:id="24"/>
      <w:bookmarkStart w:name="_Toc511713507" w:id="25"/>
      <w:r>
        <w:instrText>3(a)</w:instrText>
      </w:r>
      <w:r>
        <w:tab/>
        <w:instrText>Nonduplication</w:instrText>
      </w:r>
      <w:bookmarkEnd w:id="24"/>
      <w:bookmarkEnd w:id="25"/>
      <w:r>
        <w:instrText xml:space="preserve"> " \l 2</w:instrText>
      </w:r>
      <w:r w:rsidR="00766F8E">
        <w:fldChar w:fldCharType="end"/>
      </w:r>
    </w:p>
    <w:p w:rsidR="00C25838" w:rsidRDefault="00C25838" w14:paraId="14864AF7" w14:textId="77777777">
      <w:pPr>
        <w:keepNext/>
        <w:rPr>
          <w:sz w:val="24"/>
          <w:szCs w:val="24"/>
        </w:rPr>
      </w:pPr>
    </w:p>
    <w:p w:rsidR="00C25838" w:rsidRDefault="00C25838" w14:paraId="7EF696E1" w14:textId="587A68A3">
      <w:pPr>
        <w:rPr>
          <w:sz w:val="24"/>
          <w:szCs w:val="24"/>
        </w:rPr>
      </w:pPr>
      <w:r>
        <w:rPr>
          <w:sz w:val="24"/>
          <w:szCs w:val="24"/>
        </w:rPr>
        <w:tab/>
        <w:t xml:space="preserve">Well-specific data obtained from </w:t>
      </w:r>
      <w:r w:rsidR="00B31024">
        <w:rPr>
          <w:sz w:val="24"/>
          <w:szCs w:val="24"/>
        </w:rPr>
        <w:t>injection well</w:t>
      </w:r>
      <w:r>
        <w:rPr>
          <w:sz w:val="24"/>
          <w:szCs w:val="24"/>
        </w:rPr>
        <w:t xml:space="preserve"> </w:t>
      </w:r>
      <w:r w:rsidR="00B31024">
        <w:rPr>
          <w:sz w:val="24"/>
          <w:szCs w:val="24"/>
        </w:rPr>
        <w:t>operators</w:t>
      </w:r>
      <w:r w:rsidR="007D248F">
        <w:rPr>
          <w:sz w:val="24"/>
          <w:szCs w:val="24"/>
        </w:rPr>
        <w:t>,</w:t>
      </w:r>
      <w:r w:rsidR="00B31024">
        <w:rPr>
          <w:sz w:val="24"/>
          <w:szCs w:val="24"/>
        </w:rPr>
        <w:t xml:space="preserve"> </w:t>
      </w:r>
      <w:r>
        <w:rPr>
          <w:sz w:val="24"/>
          <w:szCs w:val="24"/>
        </w:rPr>
        <w:t xml:space="preserve">and the </w:t>
      </w:r>
      <w:r w:rsidR="008176C6">
        <w:rPr>
          <w:sz w:val="24"/>
          <w:szCs w:val="24"/>
        </w:rPr>
        <w:t xml:space="preserve">primacy </w:t>
      </w:r>
      <w:r>
        <w:rPr>
          <w:sz w:val="24"/>
          <w:szCs w:val="24"/>
        </w:rPr>
        <w:t xml:space="preserve">state reports </w:t>
      </w:r>
      <w:r w:rsidR="000B4486">
        <w:rPr>
          <w:sz w:val="24"/>
          <w:szCs w:val="24"/>
        </w:rPr>
        <w:t xml:space="preserve">based on </w:t>
      </w:r>
      <w:r>
        <w:rPr>
          <w:sz w:val="24"/>
          <w:szCs w:val="24"/>
        </w:rPr>
        <w:t>that data</w:t>
      </w:r>
      <w:r w:rsidR="007D248F">
        <w:rPr>
          <w:sz w:val="24"/>
          <w:szCs w:val="24"/>
        </w:rPr>
        <w:t>,</w:t>
      </w:r>
      <w:r>
        <w:rPr>
          <w:sz w:val="24"/>
          <w:szCs w:val="24"/>
        </w:rPr>
        <w:t xml:space="preserve"> comprise virtually all of the information covered by this ICR</w:t>
      </w:r>
      <w:r w:rsidR="00F84502">
        <w:rPr>
          <w:sz w:val="24"/>
          <w:szCs w:val="24"/>
        </w:rPr>
        <w:t xml:space="preserve">. </w:t>
      </w:r>
      <w:r>
        <w:rPr>
          <w:sz w:val="24"/>
          <w:szCs w:val="24"/>
        </w:rPr>
        <w:t xml:space="preserve">To the best of </w:t>
      </w:r>
      <w:r w:rsidR="0066181D">
        <w:rPr>
          <w:sz w:val="24"/>
          <w:szCs w:val="24"/>
        </w:rPr>
        <w:t>EPA’</w:t>
      </w:r>
      <w:r>
        <w:rPr>
          <w:sz w:val="24"/>
          <w:szCs w:val="24"/>
        </w:rPr>
        <w:t xml:space="preserve">s knowledge, this information is not required or collected by any other agency or </w:t>
      </w:r>
      <w:r w:rsidR="009A03FF">
        <w:rPr>
          <w:sz w:val="24"/>
          <w:szCs w:val="24"/>
        </w:rPr>
        <w:t xml:space="preserve">under </w:t>
      </w:r>
      <w:r w:rsidR="00D21761">
        <w:rPr>
          <w:sz w:val="24"/>
          <w:szCs w:val="24"/>
        </w:rPr>
        <w:t xml:space="preserve">any other </w:t>
      </w:r>
      <w:r>
        <w:rPr>
          <w:sz w:val="24"/>
          <w:szCs w:val="24"/>
        </w:rPr>
        <w:t>regulation</w:t>
      </w:r>
      <w:r w:rsidR="00F84502">
        <w:rPr>
          <w:sz w:val="24"/>
          <w:szCs w:val="24"/>
        </w:rPr>
        <w:t xml:space="preserve">. </w:t>
      </w:r>
      <w:r>
        <w:rPr>
          <w:sz w:val="24"/>
          <w:szCs w:val="24"/>
        </w:rPr>
        <w:t xml:space="preserve">The Department of Energy does collect information relating to production for enhanced </w:t>
      </w:r>
      <w:r w:rsidR="00B31024">
        <w:rPr>
          <w:sz w:val="24"/>
          <w:szCs w:val="24"/>
        </w:rPr>
        <w:t xml:space="preserve">oil and gas </w:t>
      </w:r>
      <w:r>
        <w:rPr>
          <w:sz w:val="24"/>
          <w:szCs w:val="24"/>
        </w:rPr>
        <w:t xml:space="preserve">recovery wells in its “Annual Report for Enhanced Oil Recovery (EOR) Incentive” (OMB Clearance No. </w:t>
      </w:r>
      <w:r w:rsidRPr="00D96FD6">
        <w:rPr>
          <w:sz w:val="24"/>
          <w:szCs w:val="24"/>
        </w:rPr>
        <w:t>19054135)</w:t>
      </w:r>
      <w:r w:rsidR="00F84502">
        <w:rPr>
          <w:sz w:val="24"/>
          <w:szCs w:val="24"/>
        </w:rPr>
        <w:t xml:space="preserve">. </w:t>
      </w:r>
      <w:r w:rsidRPr="00D96FD6">
        <w:rPr>
          <w:sz w:val="24"/>
          <w:szCs w:val="24"/>
        </w:rPr>
        <w:t>This</w:t>
      </w:r>
      <w:r>
        <w:rPr>
          <w:sz w:val="24"/>
          <w:szCs w:val="24"/>
        </w:rPr>
        <w:t xml:space="preserve"> information p</w:t>
      </w:r>
      <w:r w:rsidRPr="009A3178">
        <w:rPr>
          <w:sz w:val="24"/>
          <w:szCs w:val="24"/>
        </w:rPr>
        <w:t>ertains only to oil production, and is re</w:t>
      </w:r>
      <w:r>
        <w:rPr>
          <w:sz w:val="24"/>
          <w:szCs w:val="24"/>
        </w:rPr>
        <w:t>lated to</w:t>
      </w:r>
      <w:r w:rsidR="00B31024">
        <w:rPr>
          <w:sz w:val="24"/>
          <w:szCs w:val="24"/>
        </w:rPr>
        <w:t>,</w:t>
      </w:r>
      <w:r>
        <w:rPr>
          <w:sz w:val="24"/>
          <w:szCs w:val="24"/>
        </w:rPr>
        <w:t xml:space="preserve"> but different from</w:t>
      </w:r>
      <w:r w:rsidR="00B31024">
        <w:rPr>
          <w:sz w:val="24"/>
          <w:szCs w:val="24"/>
        </w:rPr>
        <w:t>,</w:t>
      </w:r>
      <w:r>
        <w:rPr>
          <w:sz w:val="24"/>
          <w:szCs w:val="24"/>
        </w:rPr>
        <w:t xml:space="preserve"> the information EPA uses to evaluate injection well operators</w:t>
      </w:r>
      <w:r w:rsidR="00F84502">
        <w:rPr>
          <w:sz w:val="24"/>
          <w:szCs w:val="24"/>
        </w:rPr>
        <w:t xml:space="preserve">. </w:t>
      </w:r>
      <w:r>
        <w:rPr>
          <w:sz w:val="24"/>
          <w:szCs w:val="24"/>
        </w:rPr>
        <w:t xml:space="preserve">However, on a case-by-case basis, permitting authorities may use this information to supplement existing information on </w:t>
      </w:r>
      <w:r w:rsidR="002505E7">
        <w:rPr>
          <w:sz w:val="24"/>
          <w:szCs w:val="24"/>
        </w:rPr>
        <w:t xml:space="preserve">Class II EOR </w:t>
      </w:r>
      <w:r>
        <w:rPr>
          <w:sz w:val="24"/>
          <w:szCs w:val="24"/>
        </w:rPr>
        <w:t>wells.</w:t>
      </w:r>
    </w:p>
    <w:p w:rsidR="00C25838" w:rsidRDefault="00C25838" w14:paraId="55073BEF" w14:textId="77777777">
      <w:pPr>
        <w:pStyle w:val="test"/>
      </w:pPr>
    </w:p>
    <w:p w:rsidR="00C25838" w:rsidRDefault="00C25838" w14:paraId="119325F4" w14:textId="455AFE0E">
      <w:pPr>
        <w:rPr>
          <w:sz w:val="24"/>
          <w:szCs w:val="24"/>
        </w:rPr>
      </w:pPr>
      <w:r>
        <w:rPr>
          <w:sz w:val="24"/>
          <w:szCs w:val="24"/>
        </w:rPr>
        <w:tab/>
        <w:t>Since both Class I hazardous and Class IV wells (</w:t>
      </w:r>
      <w:r w:rsidR="000519A8">
        <w:rPr>
          <w:sz w:val="24"/>
          <w:szCs w:val="24"/>
        </w:rPr>
        <w:t xml:space="preserve">which are </w:t>
      </w:r>
      <w:r>
        <w:rPr>
          <w:sz w:val="24"/>
          <w:szCs w:val="24"/>
        </w:rPr>
        <w:t xml:space="preserve">banned) involve the injection of hazardous wastes, there is potential overlap between </w:t>
      </w:r>
      <w:r w:rsidR="000B604F">
        <w:rPr>
          <w:sz w:val="24"/>
          <w:szCs w:val="24"/>
        </w:rPr>
        <w:t xml:space="preserve">the </w:t>
      </w:r>
      <w:r>
        <w:rPr>
          <w:sz w:val="24"/>
          <w:szCs w:val="24"/>
        </w:rPr>
        <w:t xml:space="preserve">UIC </w:t>
      </w:r>
      <w:r w:rsidR="002505E7">
        <w:rPr>
          <w:sz w:val="24"/>
          <w:szCs w:val="24"/>
        </w:rPr>
        <w:t xml:space="preserve">regulations </w:t>
      </w:r>
      <w:r>
        <w:rPr>
          <w:sz w:val="24"/>
          <w:szCs w:val="24"/>
        </w:rPr>
        <w:t>under SDWA and hazardous waste regulations promulgated under RCRA</w:t>
      </w:r>
      <w:r w:rsidR="00F84502">
        <w:rPr>
          <w:sz w:val="24"/>
          <w:szCs w:val="24"/>
        </w:rPr>
        <w:t xml:space="preserve">. </w:t>
      </w:r>
      <w:r>
        <w:rPr>
          <w:sz w:val="24"/>
          <w:szCs w:val="24"/>
        </w:rPr>
        <w:t>Historically, the regulations established provisions for RCRA interim status (Part A permit) [40 CFR 270.64] for Class I hazardous wells in states in which no UIC program had been approved or promulgated</w:t>
      </w:r>
      <w:r w:rsidR="00F84502">
        <w:rPr>
          <w:sz w:val="24"/>
          <w:szCs w:val="24"/>
        </w:rPr>
        <w:t xml:space="preserve">. </w:t>
      </w:r>
      <w:r>
        <w:rPr>
          <w:sz w:val="24"/>
          <w:szCs w:val="24"/>
        </w:rPr>
        <w:t>The regulations allow the UIC permit to be issued in lieu of a Part B RCRA permit if the Class I hazardous waste well meets certain conditions specified in 40 CFR 270.64(c). Thus, although Class I hazardous waste wells are co-regulated under RCRA and the SDWA, there is no duplication of information collection between RCRA and the UIC Program.</w:t>
      </w:r>
    </w:p>
    <w:p w:rsidR="00691DBC" w:rsidRDefault="00691DBC" w14:paraId="5523CB38" w14:textId="77777777">
      <w:pPr>
        <w:rPr>
          <w:sz w:val="24"/>
          <w:szCs w:val="24"/>
        </w:rPr>
      </w:pPr>
    </w:p>
    <w:p w:rsidR="00E00A27" w:rsidRDefault="00E00A27" w14:paraId="59380B6B" w14:textId="77777777">
      <w:pPr>
        <w:rPr>
          <w:sz w:val="24"/>
          <w:szCs w:val="24"/>
        </w:rPr>
      </w:pPr>
      <w:bookmarkStart w:name="_Hlk508289806" w:id="26"/>
      <w:r>
        <w:rPr>
          <w:sz w:val="24"/>
          <w:szCs w:val="24"/>
        </w:rPr>
        <w:tab/>
      </w:r>
      <w:bookmarkStart w:name="_Hlk508288821" w:id="27"/>
      <w:r>
        <w:rPr>
          <w:sz w:val="24"/>
          <w:szCs w:val="24"/>
        </w:rPr>
        <w:t xml:space="preserve">Data requirements for Class VI wells </w:t>
      </w:r>
      <w:r w:rsidR="002430ED">
        <w:rPr>
          <w:sz w:val="24"/>
          <w:szCs w:val="24"/>
        </w:rPr>
        <w:t xml:space="preserve">under </w:t>
      </w:r>
      <w:r w:rsidRPr="00E00A27" w:rsidR="002430ED">
        <w:rPr>
          <w:sz w:val="24"/>
          <w:szCs w:val="24"/>
        </w:rPr>
        <w:t>the Class VI Rule</w:t>
      </w:r>
      <w:r w:rsidR="002430ED">
        <w:rPr>
          <w:sz w:val="24"/>
          <w:szCs w:val="24"/>
        </w:rPr>
        <w:t xml:space="preserve"> </w:t>
      </w:r>
      <w:r>
        <w:rPr>
          <w:sz w:val="24"/>
          <w:szCs w:val="24"/>
        </w:rPr>
        <w:t xml:space="preserve">have some overlap with those associated with </w:t>
      </w:r>
      <w:r w:rsidRPr="00E00A27">
        <w:rPr>
          <w:sz w:val="24"/>
          <w:szCs w:val="24"/>
        </w:rPr>
        <w:t>the Mandatory Reporting of Greenhouse Gases</w:t>
      </w:r>
      <w:r w:rsidR="00BF258B">
        <w:rPr>
          <w:sz w:val="24"/>
          <w:szCs w:val="24"/>
        </w:rPr>
        <w:t xml:space="preserve"> [GHG]</w:t>
      </w:r>
      <w:r w:rsidRPr="00E00A27">
        <w:rPr>
          <w:sz w:val="24"/>
          <w:szCs w:val="24"/>
        </w:rPr>
        <w:t>: Injection and Geologic Sequestration of CO</w:t>
      </w:r>
      <w:r w:rsidRPr="002430ED">
        <w:rPr>
          <w:sz w:val="24"/>
          <w:szCs w:val="24"/>
          <w:vertAlign w:val="subscript"/>
        </w:rPr>
        <w:t>2</w:t>
      </w:r>
      <w:r w:rsidRPr="00E00A27">
        <w:rPr>
          <w:sz w:val="24"/>
          <w:szCs w:val="24"/>
        </w:rPr>
        <w:t xml:space="preserve"> Rule (Subpart RR)</w:t>
      </w:r>
      <w:r w:rsidR="002430ED">
        <w:rPr>
          <w:sz w:val="24"/>
          <w:szCs w:val="24"/>
        </w:rPr>
        <w:t xml:space="preserve">, </w:t>
      </w:r>
      <w:r w:rsidRPr="002430ED" w:rsidR="002430ED">
        <w:rPr>
          <w:sz w:val="24"/>
          <w:szCs w:val="24"/>
        </w:rPr>
        <w:t xml:space="preserve">40 CFR </w:t>
      </w:r>
      <w:r w:rsidR="002505E7">
        <w:rPr>
          <w:sz w:val="24"/>
          <w:szCs w:val="24"/>
        </w:rPr>
        <w:t>P</w:t>
      </w:r>
      <w:r w:rsidRPr="002430ED" w:rsidR="002430ED">
        <w:rPr>
          <w:sz w:val="24"/>
          <w:szCs w:val="24"/>
        </w:rPr>
        <w:t>art 98</w:t>
      </w:r>
      <w:r w:rsidR="00F84502">
        <w:rPr>
          <w:sz w:val="24"/>
          <w:szCs w:val="24"/>
        </w:rPr>
        <w:t xml:space="preserve">. </w:t>
      </w:r>
      <w:r>
        <w:rPr>
          <w:sz w:val="24"/>
          <w:szCs w:val="24"/>
        </w:rPr>
        <w:t>In developing the two rules, staff of the Office of</w:t>
      </w:r>
      <w:r w:rsidR="005D59B9">
        <w:rPr>
          <w:sz w:val="24"/>
          <w:szCs w:val="24"/>
        </w:rPr>
        <w:t xml:space="preserve"> Air and Radiation and the UIC P</w:t>
      </w:r>
      <w:r>
        <w:rPr>
          <w:sz w:val="24"/>
          <w:szCs w:val="24"/>
        </w:rPr>
        <w:t>rogram</w:t>
      </w:r>
      <w:r w:rsidRPr="00E00A27">
        <w:rPr>
          <w:sz w:val="24"/>
          <w:szCs w:val="24"/>
        </w:rPr>
        <w:t xml:space="preserve"> coordinated </w:t>
      </w:r>
      <w:r>
        <w:rPr>
          <w:sz w:val="24"/>
          <w:szCs w:val="24"/>
        </w:rPr>
        <w:t>to consider</w:t>
      </w:r>
      <w:r w:rsidRPr="00E00A27">
        <w:rPr>
          <w:sz w:val="24"/>
          <w:szCs w:val="24"/>
        </w:rPr>
        <w:t xml:space="preserve"> </w:t>
      </w:r>
      <w:r>
        <w:rPr>
          <w:sz w:val="24"/>
          <w:szCs w:val="24"/>
        </w:rPr>
        <w:t>and minimize</w:t>
      </w:r>
      <w:r w:rsidRPr="00E00A27">
        <w:rPr>
          <w:sz w:val="24"/>
          <w:szCs w:val="24"/>
        </w:rPr>
        <w:t xml:space="preserve"> the potential overlap in reporting and recordkeeping requirements </w:t>
      </w:r>
      <w:r w:rsidR="002430ED">
        <w:rPr>
          <w:sz w:val="24"/>
          <w:szCs w:val="24"/>
        </w:rPr>
        <w:t xml:space="preserve">on </w:t>
      </w:r>
      <w:r w:rsidRPr="00E00A27">
        <w:rPr>
          <w:sz w:val="24"/>
          <w:szCs w:val="24"/>
        </w:rPr>
        <w:t xml:space="preserve">operators of wells that may be </w:t>
      </w:r>
      <w:r>
        <w:rPr>
          <w:sz w:val="24"/>
          <w:szCs w:val="24"/>
        </w:rPr>
        <w:t xml:space="preserve">subject </w:t>
      </w:r>
      <w:r w:rsidRPr="00E00A27">
        <w:rPr>
          <w:sz w:val="24"/>
          <w:szCs w:val="24"/>
        </w:rPr>
        <w:t xml:space="preserve">to both rules. Burden and costs associated with air monitoring are accounted for under Subpart RR and therefore are not incorporated into this </w:t>
      </w:r>
      <w:r w:rsidR="00D21761">
        <w:rPr>
          <w:sz w:val="24"/>
          <w:szCs w:val="24"/>
        </w:rPr>
        <w:t xml:space="preserve">UIC </w:t>
      </w:r>
      <w:r w:rsidRPr="00E00A27">
        <w:rPr>
          <w:sz w:val="24"/>
          <w:szCs w:val="24"/>
        </w:rPr>
        <w:t xml:space="preserve">Programmatic ICR. </w:t>
      </w:r>
      <w:r w:rsidRPr="007D019C" w:rsidR="007D019C">
        <w:rPr>
          <w:sz w:val="24"/>
          <w:szCs w:val="24"/>
        </w:rPr>
        <w:t xml:space="preserve">To avoid duplication, EPA provides flexibility to allow owners or operators of Class VI wells to use the same submittals to meet the </w:t>
      </w:r>
      <w:r w:rsidR="007D019C">
        <w:rPr>
          <w:sz w:val="24"/>
          <w:szCs w:val="24"/>
        </w:rPr>
        <w:t>requirements to submit a monitoring, reporting</w:t>
      </w:r>
      <w:r w:rsidR="002505E7">
        <w:rPr>
          <w:sz w:val="24"/>
          <w:szCs w:val="24"/>
        </w:rPr>
        <w:t>,</w:t>
      </w:r>
      <w:r w:rsidR="007D019C">
        <w:rPr>
          <w:sz w:val="24"/>
          <w:szCs w:val="24"/>
        </w:rPr>
        <w:t xml:space="preserve"> and verification plan under </w:t>
      </w:r>
      <w:r w:rsidRPr="007D019C" w:rsidR="007D019C">
        <w:rPr>
          <w:sz w:val="24"/>
          <w:szCs w:val="24"/>
        </w:rPr>
        <w:t>Subpart RR and certain elements of a Class VI Testing and Monitoring Plan</w:t>
      </w:r>
      <w:r>
        <w:rPr>
          <w:sz w:val="24"/>
          <w:szCs w:val="24"/>
        </w:rPr>
        <w:t xml:space="preserve">. </w:t>
      </w:r>
      <w:bookmarkEnd w:id="27"/>
      <w:r w:rsidR="00673873">
        <w:rPr>
          <w:sz w:val="24"/>
          <w:szCs w:val="24"/>
        </w:rPr>
        <w:t>Additionally, s</w:t>
      </w:r>
      <w:r w:rsidRPr="008A5249" w:rsidR="008A5249">
        <w:rPr>
          <w:sz w:val="24"/>
          <w:szCs w:val="24"/>
        </w:rPr>
        <w:t xml:space="preserve">ome </w:t>
      </w:r>
      <w:r w:rsidRPr="00367993" w:rsidR="00367993">
        <w:rPr>
          <w:sz w:val="24"/>
          <w:szCs w:val="24"/>
        </w:rPr>
        <w:t xml:space="preserve">Class VI owners or operators may inject </w:t>
      </w:r>
      <w:r w:rsidRPr="00E00A27" w:rsidR="00572698">
        <w:rPr>
          <w:sz w:val="24"/>
          <w:szCs w:val="24"/>
        </w:rPr>
        <w:t>CO</w:t>
      </w:r>
      <w:r w:rsidRPr="002430ED" w:rsidR="00572698">
        <w:rPr>
          <w:sz w:val="24"/>
          <w:szCs w:val="24"/>
          <w:vertAlign w:val="subscript"/>
        </w:rPr>
        <w:t>2</w:t>
      </w:r>
      <w:r w:rsidRPr="00E00A27" w:rsidR="00572698">
        <w:rPr>
          <w:sz w:val="24"/>
          <w:szCs w:val="24"/>
        </w:rPr>
        <w:t xml:space="preserve"> </w:t>
      </w:r>
      <w:r w:rsidRPr="00367993" w:rsidR="00367993">
        <w:rPr>
          <w:sz w:val="24"/>
          <w:szCs w:val="24"/>
        </w:rPr>
        <w:t xml:space="preserve">that is subject to the </w:t>
      </w:r>
      <w:r w:rsidRPr="008A5249" w:rsidR="008A5249">
        <w:rPr>
          <w:sz w:val="24"/>
          <w:szCs w:val="24"/>
        </w:rPr>
        <w:t xml:space="preserve">Conditional Exemption from RCRA Definition of Hazardous Waste for Carbon Dioxide Streams </w:t>
      </w:r>
      <w:r w:rsidRPr="008A5249" w:rsidR="008A5249">
        <w:rPr>
          <w:sz w:val="24"/>
          <w:szCs w:val="24"/>
        </w:rPr>
        <w:lastRenderedPageBreak/>
        <w:t>Injected into Class VI UIC Wells at 40 CFR 261.4(h)</w:t>
      </w:r>
      <w:r w:rsidR="00F84502">
        <w:rPr>
          <w:sz w:val="24"/>
          <w:szCs w:val="24"/>
        </w:rPr>
        <w:t xml:space="preserve">. </w:t>
      </w:r>
      <w:r w:rsidRPr="008A5249" w:rsidR="008A5249">
        <w:rPr>
          <w:sz w:val="24"/>
          <w:szCs w:val="24"/>
        </w:rPr>
        <w:t xml:space="preserve">Owners or operators who claim that a </w:t>
      </w:r>
      <w:r w:rsidRPr="00E00A27" w:rsidR="008A5249">
        <w:rPr>
          <w:sz w:val="24"/>
          <w:szCs w:val="24"/>
        </w:rPr>
        <w:t>CO</w:t>
      </w:r>
      <w:r w:rsidRPr="002430ED" w:rsidR="008A5249">
        <w:rPr>
          <w:sz w:val="24"/>
          <w:szCs w:val="24"/>
          <w:vertAlign w:val="subscript"/>
        </w:rPr>
        <w:t>2</w:t>
      </w:r>
      <w:r w:rsidRPr="00E00A27" w:rsidR="008A5249">
        <w:rPr>
          <w:sz w:val="24"/>
          <w:szCs w:val="24"/>
        </w:rPr>
        <w:t xml:space="preserve"> </w:t>
      </w:r>
      <w:r w:rsidRPr="008A5249" w:rsidR="008A5249">
        <w:rPr>
          <w:sz w:val="24"/>
          <w:szCs w:val="24"/>
        </w:rPr>
        <w:t xml:space="preserve">stream is exempt under </w:t>
      </w:r>
      <w:r w:rsidR="00673873">
        <w:rPr>
          <w:sz w:val="24"/>
          <w:szCs w:val="24"/>
        </w:rPr>
        <w:t xml:space="preserve">40 CFR </w:t>
      </w:r>
      <w:r w:rsidRPr="008A5249" w:rsidR="008A5249">
        <w:rPr>
          <w:sz w:val="24"/>
          <w:szCs w:val="24"/>
        </w:rPr>
        <w:t xml:space="preserve">261.4(h) </w:t>
      </w:r>
      <w:r w:rsidR="002505E7">
        <w:rPr>
          <w:sz w:val="24"/>
          <w:szCs w:val="24"/>
        </w:rPr>
        <w:t xml:space="preserve">must </w:t>
      </w:r>
      <w:r w:rsidRPr="008A5249" w:rsidR="008A5249">
        <w:rPr>
          <w:sz w:val="24"/>
          <w:szCs w:val="24"/>
        </w:rPr>
        <w:t xml:space="preserve">sign a certification statement that the </w:t>
      </w:r>
      <w:r w:rsidRPr="00E00A27" w:rsidR="008A5249">
        <w:rPr>
          <w:sz w:val="24"/>
          <w:szCs w:val="24"/>
        </w:rPr>
        <w:t>CO</w:t>
      </w:r>
      <w:r w:rsidRPr="002430ED" w:rsidR="008A5249">
        <w:rPr>
          <w:sz w:val="24"/>
          <w:szCs w:val="24"/>
          <w:vertAlign w:val="subscript"/>
        </w:rPr>
        <w:t>2</w:t>
      </w:r>
      <w:r w:rsidRPr="00E00A27" w:rsidR="008A5249">
        <w:rPr>
          <w:sz w:val="24"/>
          <w:szCs w:val="24"/>
        </w:rPr>
        <w:t xml:space="preserve"> </w:t>
      </w:r>
      <w:r w:rsidRPr="008A5249" w:rsidR="008A5249">
        <w:rPr>
          <w:sz w:val="24"/>
          <w:szCs w:val="24"/>
        </w:rPr>
        <w:t xml:space="preserve">is being injected and stored pursuant to the requirements of the Class VI </w:t>
      </w:r>
      <w:r w:rsidR="002505E7">
        <w:rPr>
          <w:sz w:val="24"/>
          <w:szCs w:val="24"/>
        </w:rPr>
        <w:t>R</w:t>
      </w:r>
      <w:r w:rsidRPr="008A5249" w:rsidR="008A5249">
        <w:rPr>
          <w:sz w:val="24"/>
          <w:szCs w:val="24"/>
        </w:rPr>
        <w:t>ule. None of the information in the certification statement duplicates information required by the UIC regulations.</w:t>
      </w:r>
    </w:p>
    <w:bookmarkEnd w:id="26"/>
    <w:p w:rsidR="00E00A27" w:rsidRDefault="00E00A27" w14:paraId="561AED2C" w14:textId="77777777">
      <w:pPr>
        <w:rPr>
          <w:sz w:val="24"/>
          <w:szCs w:val="24"/>
        </w:rPr>
      </w:pPr>
    </w:p>
    <w:p w:rsidR="00C25838" w:rsidP="001941A8" w:rsidRDefault="00C25838" w14:paraId="6209A100" w14:textId="77777777">
      <w:pPr>
        <w:pStyle w:val="Heading2"/>
        <w:rPr>
          <w:sz w:val="24"/>
        </w:rPr>
      </w:pPr>
      <w:r>
        <w:t>3(b)</w:t>
      </w:r>
      <w:r>
        <w:tab/>
        <w:t xml:space="preserve">Public Notice </w:t>
      </w:r>
      <w:r w:rsidR="00766F8E">
        <w:fldChar w:fldCharType="begin"/>
      </w:r>
      <w:r>
        <w:instrText>tc "</w:instrText>
      </w:r>
      <w:bookmarkStart w:name="_Toc511659999" w:id="28"/>
      <w:bookmarkStart w:name="_Toc511713508" w:id="29"/>
      <w:r>
        <w:instrText>3(b)</w:instrText>
      </w:r>
      <w:r>
        <w:tab/>
        <w:instrText>Public Notice</w:instrText>
      </w:r>
      <w:bookmarkEnd w:id="28"/>
      <w:bookmarkEnd w:id="29"/>
      <w:r>
        <w:instrText xml:space="preserve"> " \l 2</w:instrText>
      </w:r>
      <w:r w:rsidR="00766F8E">
        <w:fldChar w:fldCharType="end"/>
      </w:r>
    </w:p>
    <w:p w:rsidR="00C25838" w:rsidP="00C33C32" w:rsidRDefault="00C25838" w14:paraId="26726C0C" w14:textId="77777777">
      <w:pPr>
        <w:keepNext/>
        <w:keepLines/>
        <w:rPr>
          <w:sz w:val="24"/>
          <w:szCs w:val="24"/>
        </w:rPr>
      </w:pPr>
    </w:p>
    <w:p w:rsidR="00C25838" w:rsidP="00C33C32" w:rsidRDefault="00C25838" w14:paraId="0EA7C32E" w14:textId="53BD1883">
      <w:pPr>
        <w:keepNext/>
        <w:keepLines/>
        <w:rPr>
          <w:sz w:val="24"/>
          <w:szCs w:val="24"/>
        </w:rPr>
      </w:pPr>
      <w:bookmarkStart w:name="_Hlk523234827" w:id="30"/>
      <w:r w:rsidRPr="007E1A29">
        <w:rPr>
          <w:sz w:val="24"/>
          <w:szCs w:val="24"/>
        </w:rPr>
        <w:tab/>
      </w:r>
      <w:r w:rsidRPr="005A238D" w:rsidR="00857628">
        <w:rPr>
          <w:sz w:val="24"/>
          <w:szCs w:val="24"/>
        </w:rPr>
        <w:t xml:space="preserve">EPA published a notice requesting comment on the burden and cost associated with the UIC Program reporting requirements in the </w:t>
      </w:r>
      <w:r w:rsidRPr="005A238D" w:rsidR="00857628">
        <w:rPr>
          <w:i/>
          <w:sz w:val="24"/>
          <w:szCs w:val="24"/>
        </w:rPr>
        <w:t>Federal Register</w:t>
      </w:r>
      <w:r w:rsidRPr="005A238D" w:rsidR="00857628">
        <w:rPr>
          <w:sz w:val="24"/>
          <w:szCs w:val="24"/>
        </w:rPr>
        <w:t xml:space="preserve"> on </w:t>
      </w:r>
      <w:r w:rsidR="000B2955">
        <w:rPr>
          <w:sz w:val="24"/>
          <w:szCs w:val="24"/>
        </w:rPr>
        <w:t>August 25, 2021</w:t>
      </w:r>
      <w:r w:rsidRPr="005A238D" w:rsidR="005A238D">
        <w:rPr>
          <w:sz w:val="24"/>
          <w:szCs w:val="24"/>
        </w:rPr>
        <w:t xml:space="preserve"> (8</w:t>
      </w:r>
      <w:r w:rsidR="000B2955">
        <w:rPr>
          <w:sz w:val="24"/>
          <w:szCs w:val="24"/>
        </w:rPr>
        <w:t>6</w:t>
      </w:r>
      <w:r w:rsidRPr="005A238D" w:rsidR="005A238D">
        <w:rPr>
          <w:sz w:val="24"/>
          <w:szCs w:val="24"/>
        </w:rPr>
        <w:t xml:space="preserve"> FR </w:t>
      </w:r>
      <w:r w:rsidRPr="000B2955" w:rsidR="000B2955">
        <w:rPr>
          <w:sz w:val="24"/>
          <w:szCs w:val="24"/>
        </w:rPr>
        <w:t>47494</w:t>
      </w:r>
      <w:r w:rsidRPr="005A238D" w:rsidR="00857628">
        <w:rPr>
          <w:sz w:val="24"/>
          <w:szCs w:val="24"/>
        </w:rPr>
        <w:t xml:space="preserve">). </w:t>
      </w:r>
      <w:r w:rsidRPr="005A238D" w:rsidR="00812BF2">
        <w:rPr>
          <w:sz w:val="24"/>
          <w:szCs w:val="24"/>
        </w:rPr>
        <w:t xml:space="preserve">EPA received </w:t>
      </w:r>
      <w:r w:rsidR="0002049E">
        <w:rPr>
          <w:sz w:val="24"/>
          <w:szCs w:val="24"/>
        </w:rPr>
        <w:t xml:space="preserve">no </w:t>
      </w:r>
      <w:r w:rsidR="00DC0B9C">
        <w:rPr>
          <w:sz w:val="24"/>
          <w:szCs w:val="24"/>
        </w:rPr>
        <w:t xml:space="preserve">public </w:t>
      </w:r>
      <w:r w:rsidRPr="005A238D" w:rsidR="007E1A29">
        <w:rPr>
          <w:sz w:val="24"/>
          <w:szCs w:val="24"/>
        </w:rPr>
        <w:t>comment</w:t>
      </w:r>
      <w:r w:rsidRPr="005A238D" w:rsidR="005033E6">
        <w:rPr>
          <w:sz w:val="24"/>
          <w:szCs w:val="24"/>
        </w:rPr>
        <w:t>s</w:t>
      </w:r>
      <w:r w:rsidR="0002049E">
        <w:rPr>
          <w:sz w:val="24"/>
          <w:szCs w:val="24"/>
        </w:rPr>
        <w:t xml:space="preserve"> in response to the notice</w:t>
      </w:r>
      <w:r w:rsidRPr="005A238D" w:rsidR="007E1A29">
        <w:rPr>
          <w:sz w:val="24"/>
          <w:szCs w:val="24"/>
        </w:rPr>
        <w:t>.</w:t>
      </w:r>
      <w:r w:rsidRPr="005A238D" w:rsidR="000244E9">
        <w:rPr>
          <w:sz w:val="24"/>
          <w:szCs w:val="24"/>
        </w:rPr>
        <w:t xml:space="preserve"> </w:t>
      </w:r>
      <w:r w:rsidRPr="005A238D">
        <w:rPr>
          <w:sz w:val="24"/>
          <w:szCs w:val="24"/>
        </w:rPr>
        <w:t xml:space="preserve">A copy of the </w:t>
      </w:r>
      <w:r w:rsidRPr="005A238D">
        <w:rPr>
          <w:i/>
          <w:iCs/>
          <w:sz w:val="24"/>
          <w:szCs w:val="24"/>
        </w:rPr>
        <w:t>Federal Register</w:t>
      </w:r>
      <w:r w:rsidRPr="005A238D">
        <w:rPr>
          <w:sz w:val="24"/>
          <w:szCs w:val="24"/>
        </w:rPr>
        <w:t xml:space="preserve"> notice of this information collection is attached to this ICR as Appendix </w:t>
      </w:r>
      <w:r w:rsidRPr="005A238D" w:rsidR="001F4497">
        <w:rPr>
          <w:sz w:val="24"/>
          <w:szCs w:val="24"/>
        </w:rPr>
        <w:t>B</w:t>
      </w:r>
      <w:r w:rsidRPr="005A238D">
        <w:rPr>
          <w:sz w:val="24"/>
          <w:szCs w:val="24"/>
        </w:rPr>
        <w:t>.</w:t>
      </w:r>
    </w:p>
    <w:bookmarkEnd w:id="30"/>
    <w:p w:rsidR="00C25838" w:rsidRDefault="00C25838" w14:paraId="54F785BD" w14:textId="77777777">
      <w:pPr>
        <w:rPr>
          <w:sz w:val="24"/>
          <w:szCs w:val="24"/>
        </w:rPr>
      </w:pPr>
    </w:p>
    <w:p w:rsidR="00C25838" w:rsidP="001941A8" w:rsidRDefault="00C25838" w14:paraId="36D28F2F" w14:textId="77777777">
      <w:pPr>
        <w:pStyle w:val="Heading2"/>
        <w:rPr>
          <w:sz w:val="24"/>
        </w:rPr>
      </w:pPr>
      <w:r>
        <w:t>3(c)</w:t>
      </w:r>
      <w:r>
        <w:tab/>
        <w:t xml:space="preserve">Consultations </w:t>
      </w:r>
      <w:r w:rsidR="00766F8E">
        <w:fldChar w:fldCharType="begin"/>
      </w:r>
      <w:r>
        <w:instrText>tc "</w:instrText>
      </w:r>
      <w:bookmarkStart w:name="_Toc511660000" w:id="31"/>
      <w:bookmarkStart w:name="_Toc511713509" w:id="32"/>
      <w:r>
        <w:instrText>3(c)</w:instrText>
      </w:r>
      <w:r>
        <w:tab/>
        <w:instrText>Consultations</w:instrText>
      </w:r>
      <w:bookmarkEnd w:id="31"/>
      <w:bookmarkEnd w:id="32"/>
      <w:r>
        <w:instrText xml:space="preserve"> " \l 2</w:instrText>
      </w:r>
      <w:r w:rsidR="00766F8E">
        <w:fldChar w:fldCharType="end"/>
      </w:r>
    </w:p>
    <w:p w:rsidR="00C25838" w:rsidRDefault="00C25838" w14:paraId="46CBCAA7" w14:textId="77777777">
      <w:pPr>
        <w:keepNext/>
        <w:rPr>
          <w:sz w:val="24"/>
          <w:szCs w:val="24"/>
        </w:rPr>
      </w:pPr>
    </w:p>
    <w:p w:rsidR="009B7DE8" w:rsidRDefault="00C25838" w14:paraId="132A3493" w14:textId="377F8A0B">
      <w:pPr>
        <w:rPr>
          <w:sz w:val="24"/>
          <w:szCs w:val="24"/>
        </w:rPr>
      </w:pPr>
      <w:r>
        <w:rPr>
          <w:sz w:val="24"/>
          <w:szCs w:val="24"/>
        </w:rPr>
        <w:tab/>
      </w:r>
      <w:r w:rsidR="00C059F8">
        <w:rPr>
          <w:sz w:val="24"/>
          <w:szCs w:val="24"/>
        </w:rPr>
        <w:t>Over the course of the ICR development, EPA solicited input from</w:t>
      </w:r>
      <w:r w:rsidR="009B3DC9">
        <w:rPr>
          <w:sz w:val="24"/>
          <w:szCs w:val="24"/>
        </w:rPr>
        <w:t xml:space="preserve"> interested parties on revising the UIC Program ICR on assumptions used</w:t>
      </w:r>
      <w:r w:rsidR="002F3114">
        <w:rPr>
          <w:sz w:val="24"/>
          <w:szCs w:val="24"/>
        </w:rPr>
        <w:t>, which impact the burden calculation,</w:t>
      </w:r>
      <w:r w:rsidR="009B3DC9">
        <w:rPr>
          <w:sz w:val="24"/>
          <w:szCs w:val="24"/>
        </w:rPr>
        <w:t xml:space="preserve"> and suggestions for burden reduction</w:t>
      </w:r>
      <w:r w:rsidR="002F3114">
        <w:rPr>
          <w:sz w:val="24"/>
          <w:szCs w:val="24"/>
        </w:rPr>
        <w:t>,</w:t>
      </w:r>
      <w:r w:rsidR="00D7080E">
        <w:rPr>
          <w:sz w:val="24"/>
          <w:szCs w:val="24"/>
        </w:rPr>
        <w:t xml:space="preserve"> among other topics</w:t>
      </w:r>
      <w:r w:rsidR="00F84502">
        <w:rPr>
          <w:sz w:val="24"/>
          <w:szCs w:val="24"/>
        </w:rPr>
        <w:t xml:space="preserve">. </w:t>
      </w:r>
      <w:r w:rsidR="003C675D">
        <w:rPr>
          <w:sz w:val="24"/>
          <w:szCs w:val="24"/>
        </w:rPr>
        <w:t xml:space="preserve">For example, working with the Ground Water Protection Council, an organization that includes state UIC permitting authorities, EPA invited states to comment on the ICR. EPA regional staff also </w:t>
      </w:r>
      <w:r w:rsidR="000C52DF">
        <w:rPr>
          <w:sz w:val="24"/>
          <w:szCs w:val="24"/>
        </w:rPr>
        <w:t xml:space="preserve">provided input on revising the 7520 reporting forms based on the experiences of well operators. </w:t>
      </w:r>
      <w:r w:rsidR="00594679">
        <w:rPr>
          <w:sz w:val="24"/>
          <w:szCs w:val="24"/>
        </w:rPr>
        <w:t xml:space="preserve">EPA evaluates the effects of </w:t>
      </w:r>
      <w:r w:rsidR="006E46B1">
        <w:rPr>
          <w:sz w:val="24"/>
          <w:szCs w:val="24"/>
        </w:rPr>
        <w:t xml:space="preserve">combining, simplifying, or eliminating some of the 7520 forms or reducing the frequency at which primacy </w:t>
      </w:r>
      <w:r w:rsidRPr="00805F29" w:rsidR="006E46B1">
        <w:rPr>
          <w:sz w:val="24"/>
          <w:szCs w:val="24"/>
        </w:rPr>
        <w:t xml:space="preserve">agencies </w:t>
      </w:r>
      <w:r w:rsidR="006E46B1">
        <w:rPr>
          <w:sz w:val="24"/>
          <w:szCs w:val="24"/>
        </w:rPr>
        <w:t xml:space="preserve">report this information to EPA </w:t>
      </w:r>
      <w:r w:rsidR="00317DE8">
        <w:rPr>
          <w:sz w:val="24"/>
          <w:szCs w:val="24"/>
        </w:rPr>
        <w:t>each time the a</w:t>
      </w:r>
      <w:r w:rsidR="00594679">
        <w:rPr>
          <w:sz w:val="24"/>
          <w:szCs w:val="24"/>
        </w:rPr>
        <w:t>gency renews the ICR</w:t>
      </w:r>
      <w:r w:rsidR="00F84502">
        <w:rPr>
          <w:sz w:val="24"/>
          <w:szCs w:val="24"/>
        </w:rPr>
        <w:t xml:space="preserve">. </w:t>
      </w:r>
      <w:r w:rsidR="002505E7">
        <w:rPr>
          <w:sz w:val="24"/>
          <w:szCs w:val="24"/>
        </w:rPr>
        <w:t xml:space="preserve">See Section </w:t>
      </w:r>
      <w:r w:rsidR="00594679">
        <w:rPr>
          <w:sz w:val="24"/>
          <w:szCs w:val="24"/>
        </w:rPr>
        <w:t>3(d)</w:t>
      </w:r>
      <w:r w:rsidR="002505E7">
        <w:rPr>
          <w:sz w:val="24"/>
          <w:szCs w:val="24"/>
        </w:rPr>
        <w:t xml:space="preserve"> and Appendix C</w:t>
      </w:r>
      <w:r w:rsidR="00594679">
        <w:rPr>
          <w:sz w:val="24"/>
          <w:szCs w:val="24"/>
        </w:rPr>
        <w:t>.</w:t>
      </w:r>
    </w:p>
    <w:p w:rsidR="00C25838" w:rsidRDefault="00C25838" w14:paraId="552F9EF4" w14:textId="77777777">
      <w:pPr>
        <w:rPr>
          <w:sz w:val="24"/>
          <w:szCs w:val="24"/>
        </w:rPr>
      </w:pPr>
    </w:p>
    <w:p w:rsidR="00103586" w:rsidP="001941A8" w:rsidRDefault="00103586" w14:paraId="23AFB981" w14:textId="77777777">
      <w:pPr>
        <w:pStyle w:val="Heading2"/>
        <w:rPr>
          <w:sz w:val="24"/>
        </w:rPr>
      </w:pPr>
      <w:r>
        <w:t>3(d)</w:t>
      </w:r>
      <w:r>
        <w:tab/>
        <w:t xml:space="preserve">Effects of Less Frequent Collection </w:t>
      </w:r>
      <w:r>
        <w:fldChar w:fldCharType="begin"/>
      </w:r>
      <w:r>
        <w:instrText>tc "</w:instrText>
      </w:r>
      <w:bookmarkStart w:name="_Toc511660001" w:id="33"/>
      <w:bookmarkStart w:name="_Toc511713510" w:id="34"/>
      <w:r>
        <w:instrText>3(d)</w:instrText>
      </w:r>
      <w:r>
        <w:tab/>
        <w:instrText>Effects of Less Frequent Collection</w:instrText>
      </w:r>
      <w:bookmarkEnd w:id="33"/>
      <w:bookmarkEnd w:id="34"/>
      <w:r>
        <w:instrText xml:space="preserve"> " \l 2</w:instrText>
      </w:r>
      <w:r>
        <w:fldChar w:fldCharType="end"/>
      </w:r>
    </w:p>
    <w:p w:rsidR="00103586" w:rsidP="00103586" w:rsidRDefault="00103586" w14:paraId="276C565E" w14:textId="77777777">
      <w:pPr>
        <w:rPr>
          <w:sz w:val="24"/>
          <w:szCs w:val="24"/>
        </w:rPr>
      </w:pPr>
    </w:p>
    <w:p w:rsidR="00103586" w:rsidP="00103586" w:rsidRDefault="00103586" w14:paraId="023A1916" w14:textId="00F1D5D8">
      <w:pPr>
        <w:rPr>
          <w:sz w:val="24"/>
          <w:szCs w:val="24"/>
        </w:rPr>
      </w:pPr>
      <w:r>
        <w:rPr>
          <w:sz w:val="24"/>
          <w:szCs w:val="24"/>
        </w:rPr>
        <w:tab/>
        <w:t xml:space="preserve">There are two types of respondents for whom efforts could be made to minimize burden: (1) operators of injection wells and (2) state primacy agencies. The paragraphs below describe why it is necessary to collect the information at the required frequency to ensure the protection of USDWs, as well as ways that EPA has identified to reduce the burden on </w:t>
      </w:r>
      <w:r w:rsidR="008176C6">
        <w:rPr>
          <w:sz w:val="24"/>
          <w:szCs w:val="24"/>
        </w:rPr>
        <w:t xml:space="preserve">primacy </w:t>
      </w:r>
      <w:r>
        <w:rPr>
          <w:sz w:val="24"/>
          <w:szCs w:val="24"/>
        </w:rPr>
        <w:t xml:space="preserve">states while ensuring the continued protection of USDWs. </w:t>
      </w:r>
    </w:p>
    <w:p w:rsidR="00C25838" w:rsidRDefault="00C25838" w14:paraId="406262C2" w14:textId="77777777">
      <w:pPr>
        <w:rPr>
          <w:sz w:val="24"/>
          <w:szCs w:val="24"/>
        </w:rPr>
      </w:pPr>
    </w:p>
    <w:p w:rsidR="00C25838" w:rsidRDefault="00C25838" w14:paraId="19738A37" w14:textId="1DA1E5E0">
      <w:pPr>
        <w:keepNext/>
        <w:keepLines/>
        <w:rPr>
          <w:sz w:val="24"/>
          <w:szCs w:val="24"/>
        </w:rPr>
      </w:pPr>
      <w:r>
        <w:rPr>
          <w:sz w:val="24"/>
          <w:szCs w:val="24"/>
        </w:rPr>
        <w:tab/>
      </w:r>
      <w:r>
        <w:rPr>
          <w:b/>
          <w:bCs/>
          <w:sz w:val="24"/>
          <w:szCs w:val="24"/>
        </w:rPr>
        <w:t>Operators</w:t>
      </w:r>
    </w:p>
    <w:p w:rsidR="00C25838" w:rsidRDefault="00C25838" w14:paraId="008A1C60" w14:textId="77777777">
      <w:pPr>
        <w:keepNext/>
        <w:rPr>
          <w:sz w:val="24"/>
          <w:szCs w:val="24"/>
        </w:rPr>
      </w:pPr>
    </w:p>
    <w:p w:rsidR="00C25838" w:rsidRDefault="00C25838" w14:paraId="4D6F51C9" w14:textId="5070AB1B">
      <w:pPr>
        <w:rPr>
          <w:sz w:val="24"/>
          <w:szCs w:val="24"/>
        </w:rPr>
      </w:pPr>
      <w:r>
        <w:rPr>
          <w:sz w:val="24"/>
          <w:szCs w:val="24"/>
        </w:rPr>
        <w:tab/>
        <w:t>All Class I, II, III</w:t>
      </w:r>
      <w:r w:rsidR="00691DBC">
        <w:rPr>
          <w:sz w:val="24"/>
          <w:szCs w:val="24"/>
        </w:rPr>
        <w:t>, and VI</w:t>
      </w:r>
      <w:r>
        <w:rPr>
          <w:sz w:val="24"/>
          <w:szCs w:val="24"/>
        </w:rPr>
        <w:t xml:space="preserve"> operators are required to observe pressure, flow, and cumulative volume of injected </w:t>
      </w:r>
      <w:r w:rsidR="00CA2A38">
        <w:rPr>
          <w:sz w:val="24"/>
          <w:szCs w:val="24"/>
        </w:rPr>
        <w:t>fluids</w:t>
      </w:r>
      <w:r>
        <w:rPr>
          <w:sz w:val="24"/>
          <w:szCs w:val="24"/>
        </w:rPr>
        <w:t xml:space="preserve"> and demonstrate mechanical integrity</w:t>
      </w:r>
      <w:r w:rsidR="00F84502">
        <w:rPr>
          <w:sz w:val="24"/>
          <w:szCs w:val="24"/>
        </w:rPr>
        <w:t xml:space="preserve">. </w:t>
      </w:r>
      <w:r>
        <w:rPr>
          <w:sz w:val="24"/>
          <w:szCs w:val="24"/>
        </w:rPr>
        <w:t>Some operators must sample and analyze their injectate and conduct ambient monitoring</w:t>
      </w:r>
      <w:r w:rsidR="00F84502">
        <w:rPr>
          <w:sz w:val="24"/>
          <w:szCs w:val="24"/>
        </w:rPr>
        <w:t xml:space="preserve">. </w:t>
      </w:r>
      <w:r>
        <w:rPr>
          <w:sz w:val="24"/>
          <w:szCs w:val="24"/>
        </w:rPr>
        <w:t xml:space="preserve">These requirements provide </w:t>
      </w:r>
      <w:r w:rsidR="00936897">
        <w:rPr>
          <w:sz w:val="24"/>
          <w:szCs w:val="24"/>
        </w:rPr>
        <w:t xml:space="preserve">permitting authorities </w:t>
      </w:r>
      <w:r>
        <w:rPr>
          <w:sz w:val="24"/>
          <w:szCs w:val="24"/>
        </w:rPr>
        <w:t xml:space="preserve">with crucial information to assess whether injection wells pose a </w:t>
      </w:r>
      <w:r w:rsidR="002505E7">
        <w:rPr>
          <w:sz w:val="24"/>
          <w:szCs w:val="24"/>
        </w:rPr>
        <w:t xml:space="preserve">risk of </w:t>
      </w:r>
      <w:r w:rsidR="00CA2A38">
        <w:rPr>
          <w:sz w:val="24"/>
          <w:szCs w:val="24"/>
        </w:rPr>
        <w:t xml:space="preserve">endangerment </w:t>
      </w:r>
      <w:r>
        <w:rPr>
          <w:sz w:val="24"/>
          <w:szCs w:val="24"/>
        </w:rPr>
        <w:t>to USDWs</w:t>
      </w:r>
      <w:r w:rsidR="00F84502">
        <w:rPr>
          <w:sz w:val="24"/>
          <w:szCs w:val="24"/>
        </w:rPr>
        <w:t xml:space="preserve">. </w:t>
      </w:r>
      <w:r>
        <w:rPr>
          <w:sz w:val="24"/>
          <w:szCs w:val="24"/>
        </w:rPr>
        <w:t xml:space="preserve">In developing the </w:t>
      </w:r>
      <w:r w:rsidR="00CA2A38">
        <w:rPr>
          <w:sz w:val="24"/>
          <w:szCs w:val="24"/>
        </w:rPr>
        <w:t xml:space="preserve">required </w:t>
      </w:r>
      <w:r>
        <w:rPr>
          <w:sz w:val="24"/>
          <w:szCs w:val="24"/>
        </w:rPr>
        <w:t>monitoring and testing frequencies, EPA attempted to strike a balance between ensuring protection of USDWs and placing an excessive burden on operators</w:t>
      </w:r>
      <w:r w:rsidR="00F84502">
        <w:rPr>
          <w:sz w:val="24"/>
          <w:szCs w:val="24"/>
        </w:rPr>
        <w:t xml:space="preserve">. </w:t>
      </w:r>
    </w:p>
    <w:p w:rsidR="00C25838" w:rsidRDefault="00C25838" w14:paraId="42A16DBA" w14:textId="77777777">
      <w:pPr>
        <w:rPr>
          <w:sz w:val="24"/>
          <w:szCs w:val="24"/>
        </w:rPr>
      </w:pPr>
    </w:p>
    <w:p w:rsidR="00B403DA" w:rsidP="00014829" w:rsidRDefault="00C25838" w14:paraId="50C48F71" w14:textId="36D4D4A7">
      <w:pPr>
        <w:rPr>
          <w:sz w:val="24"/>
          <w:szCs w:val="24"/>
        </w:rPr>
      </w:pPr>
      <w:r>
        <w:rPr>
          <w:sz w:val="24"/>
          <w:szCs w:val="24"/>
        </w:rPr>
        <w:tab/>
      </w:r>
      <w:r w:rsidR="00103586">
        <w:rPr>
          <w:sz w:val="24"/>
          <w:szCs w:val="24"/>
        </w:rPr>
        <w:t xml:space="preserve">The frequency at which operators must conduct various monitoring and testing activities </w:t>
      </w:r>
      <w:r w:rsidRPr="009A3178" w:rsidR="00103586">
        <w:rPr>
          <w:sz w:val="24"/>
          <w:szCs w:val="24"/>
        </w:rPr>
        <w:t xml:space="preserve">varies </w:t>
      </w:r>
      <w:r w:rsidR="00103586">
        <w:rPr>
          <w:sz w:val="24"/>
          <w:szCs w:val="24"/>
        </w:rPr>
        <w:t xml:space="preserve">with the </w:t>
      </w:r>
      <w:r w:rsidRPr="009A3178" w:rsidR="00103586">
        <w:rPr>
          <w:sz w:val="24"/>
          <w:szCs w:val="24"/>
        </w:rPr>
        <w:t xml:space="preserve">potential </w:t>
      </w:r>
      <w:r w:rsidR="00103586">
        <w:rPr>
          <w:sz w:val="24"/>
          <w:szCs w:val="24"/>
        </w:rPr>
        <w:t>for</w:t>
      </w:r>
      <w:r w:rsidR="00936897">
        <w:rPr>
          <w:sz w:val="24"/>
          <w:szCs w:val="24"/>
        </w:rPr>
        <w:t xml:space="preserve"> the activities associated with</w:t>
      </w:r>
      <w:r w:rsidR="00103586">
        <w:rPr>
          <w:sz w:val="24"/>
          <w:szCs w:val="24"/>
        </w:rPr>
        <w:t xml:space="preserve"> a particular well class </w:t>
      </w:r>
      <w:r w:rsidRPr="009A3178" w:rsidR="00103586">
        <w:rPr>
          <w:sz w:val="24"/>
          <w:szCs w:val="24"/>
        </w:rPr>
        <w:t>to endanger</w:t>
      </w:r>
      <w:r w:rsidR="00103586">
        <w:rPr>
          <w:sz w:val="24"/>
          <w:szCs w:val="24"/>
        </w:rPr>
        <w:t xml:space="preserve"> </w:t>
      </w:r>
      <w:r w:rsidR="00103586">
        <w:rPr>
          <w:sz w:val="24"/>
          <w:szCs w:val="24"/>
        </w:rPr>
        <w:lastRenderedPageBreak/>
        <w:t xml:space="preserve">USDWs. </w:t>
      </w:r>
      <w:r w:rsidR="006379E7">
        <w:rPr>
          <w:sz w:val="24"/>
          <w:szCs w:val="24"/>
        </w:rPr>
        <w:t>Periodic monitoring that is specific to the potential risk to USDWs based on the injection activity</w:t>
      </w:r>
      <w:r w:rsidR="00B403DA">
        <w:rPr>
          <w:sz w:val="24"/>
          <w:szCs w:val="24"/>
        </w:rPr>
        <w:t xml:space="preserve"> allows the permitting authority–and owners or operators—to ensure that the project is operating as designed and the well is operating the way it was engineered.</w:t>
      </w:r>
      <w:r w:rsidR="006379E7">
        <w:rPr>
          <w:sz w:val="24"/>
          <w:szCs w:val="24"/>
        </w:rPr>
        <w:t xml:space="preserve"> </w:t>
      </w:r>
      <w:r w:rsidR="00103586">
        <w:rPr>
          <w:sz w:val="24"/>
          <w:szCs w:val="24"/>
        </w:rPr>
        <w:t xml:space="preserve">Less frequent monitoring and testing might allow injection wells to operate in a manner that could threaten or cause considerable damage to USDWs if evidence of such a situation were to not </w:t>
      </w:r>
      <w:r w:rsidR="005A238D">
        <w:rPr>
          <w:sz w:val="24"/>
          <w:szCs w:val="24"/>
        </w:rPr>
        <w:t xml:space="preserve">be </w:t>
      </w:r>
      <w:r w:rsidR="00103586">
        <w:rPr>
          <w:sz w:val="24"/>
          <w:szCs w:val="24"/>
        </w:rPr>
        <w:t>discovered for a long time</w:t>
      </w:r>
      <w:r w:rsidR="00910272">
        <w:rPr>
          <w:sz w:val="24"/>
          <w:szCs w:val="24"/>
        </w:rPr>
        <w:t xml:space="preserve">, e.g., </w:t>
      </w:r>
      <w:r w:rsidR="00EF3910">
        <w:rPr>
          <w:sz w:val="24"/>
          <w:szCs w:val="24"/>
        </w:rPr>
        <w:t xml:space="preserve">by </w:t>
      </w:r>
      <w:r w:rsidR="00910272">
        <w:rPr>
          <w:sz w:val="24"/>
          <w:szCs w:val="24"/>
        </w:rPr>
        <w:t>allowing mechanical integrity defects to allow leakage of fluids out of the well</w:t>
      </w:r>
      <w:r w:rsidR="00103586">
        <w:rPr>
          <w:sz w:val="24"/>
          <w:szCs w:val="24"/>
        </w:rPr>
        <w:t xml:space="preserve">. EPA determined that the specified monitoring </w:t>
      </w:r>
      <w:r w:rsidR="007D248F">
        <w:rPr>
          <w:sz w:val="24"/>
          <w:szCs w:val="24"/>
        </w:rPr>
        <w:t xml:space="preserve">and reporting </w:t>
      </w:r>
      <w:r w:rsidR="00103586">
        <w:rPr>
          <w:sz w:val="24"/>
          <w:szCs w:val="24"/>
        </w:rPr>
        <w:t xml:space="preserve">frequencies for each well class are at the minimum protective frequency. </w:t>
      </w:r>
    </w:p>
    <w:p w:rsidR="00B403DA" w:rsidP="00014829" w:rsidRDefault="00B403DA" w14:paraId="18B4D5B8" w14:textId="77777777">
      <w:pPr>
        <w:rPr>
          <w:sz w:val="24"/>
          <w:szCs w:val="24"/>
        </w:rPr>
      </w:pPr>
    </w:p>
    <w:p w:rsidR="00014829" w:rsidP="00014829" w:rsidRDefault="00B403DA" w14:paraId="0E2497D0" w14:textId="5C7AF74E">
      <w:pPr>
        <w:rPr>
          <w:sz w:val="24"/>
          <w:szCs w:val="24"/>
        </w:rPr>
      </w:pPr>
      <w:r>
        <w:rPr>
          <w:sz w:val="24"/>
          <w:szCs w:val="24"/>
        </w:rPr>
        <w:tab/>
      </w:r>
      <w:r w:rsidR="00103586">
        <w:rPr>
          <w:sz w:val="24"/>
          <w:szCs w:val="24"/>
        </w:rPr>
        <w:t xml:space="preserve">Injection well </w:t>
      </w:r>
      <w:r>
        <w:rPr>
          <w:sz w:val="24"/>
          <w:szCs w:val="24"/>
        </w:rPr>
        <w:t>operators also submit information associated with permit renewals. O</w:t>
      </w:r>
      <w:r w:rsidR="00103586">
        <w:rPr>
          <w:sz w:val="24"/>
          <w:szCs w:val="24"/>
        </w:rPr>
        <w:t>perating permits are renewed or reviewed at varying intervals (typically every five to 10 years, depending on the well class)</w:t>
      </w:r>
      <w:r w:rsidR="00E51ADA">
        <w:rPr>
          <w:sz w:val="24"/>
          <w:szCs w:val="24"/>
        </w:rPr>
        <w:t>; Class VI project reviews</w:t>
      </w:r>
      <w:r w:rsidR="0025465A">
        <w:rPr>
          <w:sz w:val="24"/>
          <w:szCs w:val="24"/>
        </w:rPr>
        <w:t xml:space="preserve"> </w:t>
      </w:r>
      <w:r w:rsidR="00E51ADA">
        <w:rPr>
          <w:sz w:val="24"/>
          <w:szCs w:val="24"/>
        </w:rPr>
        <w:t xml:space="preserve">are </w:t>
      </w:r>
      <w:r w:rsidR="0025465A">
        <w:rPr>
          <w:sz w:val="24"/>
          <w:szCs w:val="24"/>
        </w:rPr>
        <w:t>associated with AoR reevaluations</w:t>
      </w:r>
      <w:r w:rsidR="00103586">
        <w:rPr>
          <w:sz w:val="24"/>
          <w:szCs w:val="24"/>
        </w:rPr>
        <w:t>.</w:t>
      </w:r>
      <w:bookmarkStart w:name="_Hlk511394667" w:id="35"/>
      <w:r w:rsidRPr="00014829" w:rsidR="00014829">
        <w:rPr>
          <w:sz w:val="24"/>
          <w:szCs w:val="24"/>
        </w:rPr>
        <w:t xml:space="preserve"> </w:t>
      </w:r>
      <w:r w:rsidR="00014829">
        <w:rPr>
          <w:sz w:val="24"/>
          <w:szCs w:val="24"/>
        </w:rPr>
        <w:t>This</w:t>
      </w:r>
      <w:r>
        <w:rPr>
          <w:sz w:val="24"/>
          <w:szCs w:val="24"/>
        </w:rPr>
        <w:t xml:space="preserve"> frequency</w:t>
      </w:r>
      <w:r w:rsidR="00014829">
        <w:rPr>
          <w:sz w:val="24"/>
          <w:szCs w:val="24"/>
        </w:rPr>
        <w:t xml:space="preserve"> </w:t>
      </w:r>
      <w:r w:rsidR="00EF3910">
        <w:rPr>
          <w:sz w:val="24"/>
          <w:szCs w:val="24"/>
        </w:rPr>
        <w:t xml:space="preserve">of review </w:t>
      </w:r>
      <w:r w:rsidR="00014829">
        <w:rPr>
          <w:sz w:val="24"/>
          <w:szCs w:val="24"/>
        </w:rPr>
        <w:t>is necessary to provide permitting authorities an opportunity to review facility operations to ensure that injection operations will not endanger USDWs.</w:t>
      </w:r>
    </w:p>
    <w:bookmarkEnd w:id="35"/>
    <w:p w:rsidR="00014829" w:rsidP="00014829" w:rsidRDefault="00014829" w14:paraId="2CE0B625" w14:textId="77777777">
      <w:pPr>
        <w:rPr>
          <w:sz w:val="24"/>
          <w:szCs w:val="24"/>
        </w:rPr>
      </w:pPr>
    </w:p>
    <w:p w:rsidR="00014829" w:rsidP="00014829" w:rsidRDefault="00014829" w14:paraId="43B86A08" w14:textId="77777777">
      <w:pPr>
        <w:rPr>
          <w:sz w:val="24"/>
          <w:szCs w:val="24"/>
        </w:rPr>
      </w:pPr>
      <w:r>
        <w:rPr>
          <w:b/>
          <w:bCs/>
          <w:sz w:val="24"/>
          <w:szCs w:val="24"/>
        </w:rPr>
        <w:tab/>
        <w:t>Primacy Agencies</w:t>
      </w:r>
    </w:p>
    <w:p w:rsidR="00014829" w:rsidP="00014829" w:rsidRDefault="00014829" w14:paraId="14C87E6A" w14:textId="77777777">
      <w:pPr>
        <w:rPr>
          <w:sz w:val="24"/>
          <w:szCs w:val="24"/>
        </w:rPr>
      </w:pPr>
    </w:p>
    <w:p w:rsidRPr="00CD64C4" w:rsidR="00186DC8" w:rsidP="00A00D4C" w:rsidRDefault="00EC327E" w14:paraId="532EFA4F" w14:textId="4E5A8751">
      <w:pPr>
        <w:pStyle w:val="CommentText"/>
        <w:ind w:firstLine="720"/>
        <w:rPr>
          <w:sz w:val="24"/>
          <w:szCs w:val="24"/>
        </w:rPr>
      </w:pPr>
      <w:bookmarkStart w:name="_Hlk511740792" w:id="36"/>
      <w:r>
        <w:rPr>
          <w:sz w:val="24"/>
          <w:szCs w:val="24"/>
        </w:rPr>
        <w:t xml:space="preserve">Several years ago, </w:t>
      </w:r>
      <w:r w:rsidRPr="00CD64C4" w:rsidR="00186DC8">
        <w:rPr>
          <w:sz w:val="24"/>
          <w:szCs w:val="24"/>
        </w:rPr>
        <w:t xml:space="preserve">EPA began </w:t>
      </w:r>
      <w:r w:rsidRPr="00CD64C4" w:rsidR="007C65C1">
        <w:rPr>
          <w:sz w:val="24"/>
          <w:szCs w:val="24"/>
        </w:rPr>
        <w:t xml:space="preserve">a </w:t>
      </w:r>
      <w:r w:rsidRPr="00CD64C4" w:rsidR="0037387C">
        <w:rPr>
          <w:sz w:val="24"/>
          <w:szCs w:val="24"/>
        </w:rPr>
        <w:t xml:space="preserve">burden reduction initiative </w:t>
      </w:r>
      <w:r w:rsidRPr="00CD64C4" w:rsidR="00186DC8">
        <w:rPr>
          <w:sz w:val="24"/>
          <w:szCs w:val="24"/>
        </w:rPr>
        <w:t xml:space="preserve">to address </w:t>
      </w:r>
      <w:r w:rsidR="008176C6">
        <w:rPr>
          <w:sz w:val="24"/>
          <w:szCs w:val="24"/>
        </w:rPr>
        <w:t xml:space="preserve">primacy </w:t>
      </w:r>
      <w:r w:rsidRPr="00CD64C4" w:rsidR="00186DC8">
        <w:rPr>
          <w:sz w:val="24"/>
          <w:szCs w:val="24"/>
        </w:rPr>
        <w:t>state concerns over escalating reporting requirements</w:t>
      </w:r>
      <w:r w:rsidRPr="00CD64C4" w:rsidR="00BF258B">
        <w:rPr>
          <w:sz w:val="24"/>
          <w:szCs w:val="24"/>
        </w:rPr>
        <w:t>,</w:t>
      </w:r>
      <w:r w:rsidRPr="00CD64C4" w:rsidR="00186DC8">
        <w:rPr>
          <w:sz w:val="24"/>
          <w:szCs w:val="24"/>
        </w:rPr>
        <w:t xml:space="preserve"> accompanied by decreases in federal funding. UIC reporting was identified as one of the </w:t>
      </w:r>
      <w:r w:rsidRPr="00CD64C4" w:rsidR="0066181D">
        <w:rPr>
          <w:sz w:val="24"/>
          <w:szCs w:val="24"/>
        </w:rPr>
        <w:t>a</w:t>
      </w:r>
      <w:r w:rsidRPr="00CD64C4" w:rsidR="00186DC8">
        <w:rPr>
          <w:sz w:val="24"/>
          <w:szCs w:val="24"/>
        </w:rPr>
        <w:t xml:space="preserve">gency’s 16 priority areas for burden reduction. </w:t>
      </w:r>
      <w:r w:rsidR="008176C6">
        <w:rPr>
          <w:sz w:val="24"/>
          <w:szCs w:val="24"/>
        </w:rPr>
        <w:t>Primacy s</w:t>
      </w:r>
      <w:r w:rsidRPr="00CD64C4" w:rsidR="00186DC8">
        <w:rPr>
          <w:sz w:val="24"/>
          <w:szCs w:val="24"/>
        </w:rPr>
        <w:t xml:space="preserve">tates asked </w:t>
      </w:r>
      <w:r w:rsidRPr="00CD64C4" w:rsidR="007C65C1">
        <w:rPr>
          <w:sz w:val="24"/>
          <w:szCs w:val="24"/>
        </w:rPr>
        <w:t xml:space="preserve">EPA </w:t>
      </w:r>
      <w:r w:rsidRPr="00CD64C4" w:rsidR="00186DC8">
        <w:rPr>
          <w:sz w:val="24"/>
          <w:szCs w:val="24"/>
        </w:rPr>
        <w:t xml:space="preserve">to eliminate duplicative reporting, reduce </w:t>
      </w:r>
      <w:r w:rsidRPr="00CD64C4" w:rsidR="0089017A">
        <w:rPr>
          <w:sz w:val="24"/>
          <w:szCs w:val="24"/>
        </w:rPr>
        <w:t xml:space="preserve">reporting </w:t>
      </w:r>
      <w:r w:rsidRPr="00CD64C4" w:rsidR="00186DC8">
        <w:rPr>
          <w:sz w:val="24"/>
          <w:szCs w:val="24"/>
        </w:rPr>
        <w:t>frequency, and reduce the data elements requested. </w:t>
      </w:r>
      <w:r w:rsidRPr="00CD64C4" w:rsidR="00EE3000">
        <w:rPr>
          <w:sz w:val="24"/>
          <w:szCs w:val="24"/>
        </w:rPr>
        <w:t xml:space="preserve">In evaluating the state and operator input, EPA determined that very </w:t>
      </w:r>
      <w:r w:rsidR="00C17B20">
        <w:rPr>
          <w:sz w:val="24"/>
          <w:szCs w:val="24"/>
        </w:rPr>
        <w:t>few</w:t>
      </w:r>
      <w:r w:rsidRPr="00CD64C4" w:rsidR="00EE3000">
        <w:rPr>
          <w:sz w:val="24"/>
          <w:szCs w:val="24"/>
        </w:rPr>
        <w:t>, if any data elements</w:t>
      </w:r>
      <w:r w:rsidR="00C17B20">
        <w:rPr>
          <w:sz w:val="24"/>
          <w:szCs w:val="24"/>
        </w:rPr>
        <w:t>,</w:t>
      </w:r>
      <w:r w:rsidRPr="00CD64C4" w:rsidR="00EE3000">
        <w:rPr>
          <w:sz w:val="24"/>
          <w:szCs w:val="24"/>
        </w:rPr>
        <w:t xml:space="preserve"> could be removed from the 7520 forms </w:t>
      </w:r>
      <w:r w:rsidR="008176C6">
        <w:rPr>
          <w:sz w:val="24"/>
          <w:szCs w:val="24"/>
        </w:rPr>
        <w:t xml:space="preserve">that primacy </w:t>
      </w:r>
      <w:r w:rsidR="0015036D">
        <w:rPr>
          <w:sz w:val="24"/>
          <w:szCs w:val="24"/>
        </w:rPr>
        <w:t xml:space="preserve">states submit to EPA </w:t>
      </w:r>
      <w:r w:rsidR="00C17B20">
        <w:rPr>
          <w:sz w:val="24"/>
          <w:szCs w:val="24"/>
        </w:rPr>
        <w:t xml:space="preserve">while </w:t>
      </w:r>
      <w:r w:rsidRPr="00CD64C4" w:rsidR="00EE3000">
        <w:rPr>
          <w:sz w:val="24"/>
          <w:szCs w:val="24"/>
        </w:rPr>
        <w:t xml:space="preserve">still </w:t>
      </w:r>
      <w:r w:rsidR="00C17B20">
        <w:rPr>
          <w:sz w:val="24"/>
          <w:szCs w:val="24"/>
        </w:rPr>
        <w:t xml:space="preserve">ensuring </w:t>
      </w:r>
      <w:r w:rsidRPr="00CD64C4" w:rsidR="00C17B20">
        <w:rPr>
          <w:sz w:val="24"/>
          <w:szCs w:val="24"/>
        </w:rPr>
        <w:t>maintena</w:t>
      </w:r>
      <w:r w:rsidR="00C17B20">
        <w:rPr>
          <w:sz w:val="24"/>
          <w:szCs w:val="24"/>
        </w:rPr>
        <w:t>nce of</w:t>
      </w:r>
      <w:r w:rsidRPr="00CD64C4" w:rsidR="00EE3000">
        <w:rPr>
          <w:sz w:val="24"/>
          <w:szCs w:val="24"/>
        </w:rPr>
        <w:t xml:space="preserve"> a robust UIC program that tracks information crucial to the protection of USDWs</w:t>
      </w:r>
      <w:r w:rsidR="00F84502">
        <w:rPr>
          <w:sz w:val="24"/>
          <w:szCs w:val="24"/>
        </w:rPr>
        <w:t xml:space="preserve">. </w:t>
      </w:r>
      <w:r w:rsidR="00722073">
        <w:rPr>
          <w:sz w:val="24"/>
          <w:szCs w:val="24"/>
        </w:rPr>
        <w:t>(</w:t>
      </w:r>
      <w:r w:rsidRPr="00CD64C4" w:rsidR="00EE3000">
        <w:rPr>
          <w:sz w:val="24"/>
          <w:szCs w:val="24"/>
        </w:rPr>
        <w:t>EPA reduce</w:t>
      </w:r>
      <w:r w:rsidR="00722073">
        <w:rPr>
          <w:sz w:val="24"/>
          <w:szCs w:val="24"/>
        </w:rPr>
        <w:t>d</w:t>
      </w:r>
      <w:r w:rsidRPr="00CD64C4" w:rsidR="00EE3000">
        <w:rPr>
          <w:sz w:val="24"/>
          <w:szCs w:val="24"/>
        </w:rPr>
        <w:t xml:space="preserve"> reporting frequency in response to </w:t>
      </w:r>
      <w:r w:rsidR="002F4F71">
        <w:rPr>
          <w:sz w:val="24"/>
          <w:szCs w:val="24"/>
        </w:rPr>
        <w:t xml:space="preserve">the states’ </w:t>
      </w:r>
      <w:r w:rsidR="00731ACC">
        <w:rPr>
          <w:sz w:val="24"/>
          <w:szCs w:val="24"/>
        </w:rPr>
        <w:t>requests</w:t>
      </w:r>
      <w:r w:rsidR="00722073">
        <w:rPr>
          <w:sz w:val="24"/>
          <w:szCs w:val="24"/>
        </w:rPr>
        <w:t xml:space="preserve"> in 2013</w:t>
      </w:r>
      <w:r w:rsidR="009B6843">
        <w:rPr>
          <w:sz w:val="24"/>
          <w:szCs w:val="24"/>
        </w:rPr>
        <w:t>, however</w:t>
      </w:r>
      <w:r w:rsidRPr="00CD64C4" w:rsidR="007C65C1">
        <w:rPr>
          <w:sz w:val="24"/>
          <w:szCs w:val="24"/>
        </w:rPr>
        <w:t>.</w:t>
      </w:r>
      <w:r w:rsidR="000C52DF">
        <w:rPr>
          <w:sz w:val="24"/>
          <w:szCs w:val="24"/>
        </w:rPr>
        <w:t>)</w:t>
      </w:r>
      <w:r w:rsidRPr="00CD64C4" w:rsidR="007C65C1">
        <w:rPr>
          <w:sz w:val="24"/>
          <w:szCs w:val="24"/>
        </w:rPr>
        <w:t xml:space="preserve"> </w:t>
      </w:r>
    </w:p>
    <w:bookmarkEnd w:id="36"/>
    <w:p w:rsidR="00C25838" w:rsidRDefault="00C25838" w14:paraId="4C4587A2" w14:textId="77777777">
      <w:pPr>
        <w:rPr>
          <w:sz w:val="24"/>
          <w:szCs w:val="24"/>
        </w:rPr>
      </w:pPr>
    </w:p>
    <w:p w:rsidR="00C25838" w:rsidP="001941A8" w:rsidRDefault="00C25838" w14:paraId="22713103" w14:textId="77777777">
      <w:pPr>
        <w:pStyle w:val="Heading2"/>
        <w:rPr>
          <w:sz w:val="24"/>
        </w:rPr>
      </w:pPr>
      <w:r>
        <w:t>3(e)</w:t>
      </w:r>
      <w:r>
        <w:tab/>
        <w:t xml:space="preserve">General Guidelines </w:t>
      </w:r>
      <w:r w:rsidR="00766F8E">
        <w:fldChar w:fldCharType="begin"/>
      </w:r>
      <w:r>
        <w:instrText>tc "</w:instrText>
      </w:r>
      <w:bookmarkStart w:name="_Toc511660002" w:id="37"/>
      <w:bookmarkStart w:name="_Toc511713511" w:id="38"/>
      <w:r>
        <w:instrText>3(e)</w:instrText>
      </w:r>
      <w:r>
        <w:tab/>
        <w:instrText>General Guidelines</w:instrText>
      </w:r>
      <w:bookmarkEnd w:id="37"/>
      <w:bookmarkEnd w:id="38"/>
      <w:r>
        <w:instrText xml:space="preserve"> " \l 2</w:instrText>
      </w:r>
      <w:r w:rsidR="00766F8E">
        <w:fldChar w:fldCharType="end"/>
      </w:r>
    </w:p>
    <w:p w:rsidR="00C25838" w:rsidRDefault="00C25838" w14:paraId="6B720DCA" w14:textId="77777777">
      <w:pPr>
        <w:keepNext/>
        <w:rPr>
          <w:sz w:val="24"/>
          <w:szCs w:val="24"/>
        </w:rPr>
      </w:pPr>
    </w:p>
    <w:p w:rsidR="00C25838" w:rsidRDefault="00C25838" w14:paraId="1187E616" w14:textId="656F88C3">
      <w:pPr>
        <w:keepNext/>
        <w:rPr>
          <w:sz w:val="24"/>
          <w:szCs w:val="24"/>
        </w:rPr>
      </w:pPr>
      <w:r>
        <w:rPr>
          <w:sz w:val="24"/>
          <w:szCs w:val="24"/>
        </w:rPr>
        <w:tab/>
        <w:t>T</w:t>
      </w:r>
      <w:r w:rsidR="002505E7">
        <w:rPr>
          <w:sz w:val="24"/>
          <w:szCs w:val="24"/>
        </w:rPr>
        <w:t>hree</w:t>
      </w:r>
      <w:r>
        <w:rPr>
          <w:sz w:val="24"/>
          <w:szCs w:val="24"/>
        </w:rPr>
        <w:t xml:space="preserve"> provisions of the UIC regulations exceed the PRA guideline for response ti</w:t>
      </w:r>
      <w:r w:rsidR="000244E9">
        <w:rPr>
          <w:sz w:val="24"/>
          <w:szCs w:val="24"/>
        </w:rPr>
        <w:t>me</w:t>
      </w:r>
      <w:r w:rsidR="00F84502">
        <w:rPr>
          <w:sz w:val="24"/>
          <w:szCs w:val="24"/>
        </w:rPr>
        <w:t xml:space="preserve">. </w:t>
      </w:r>
      <w:r w:rsidR="000244E9">
        <w:rPr>
          <w:sz w:val="24"/>
          <w:szCs w:val="24"/>
        </w:rPr>
        <w:t>Pursuant to 40 CFR 144.51(l</w:t>
      </w:r>
      <w:r>
        <w:rPr>
          <w:sz w:val="24"/>
          <w:szCs w:val="24"/>
        </w:rPr>
        <w:t>)</w:t>
      </w:r>
      <w:r w:rsidR="002F4542">
        <w:rPr>
          <w:sz w:val="24"/>
          <w:szCs w:val="24"/>
        </w:rPr>
        <w:t>,</w:t>
      </w:r>
      <w:r w:rsidR="004A01C8">
        <w:rPr>
          <w:sz w:val="24"/>
          <w:szCs w:val="24"/>
        </w:rPr>
        <w:t xml:space="preserve"> </w:t>
      </w:r>
      <w:r>
        <w:rPr>
          <w:sz w:val="24"/>
          <w:szCs w:val="24"/>
        </w:rPr>
        <w:t>144.28(b)</w:t>
      </w:r>
      <w:r w:rsidR="007D248F">
        <w:rPr>
          <w:sz w:val="24"/>
          <w:szCs w:val="24"/>
        </w:rPr>
        <w:t>,</w:t>
      </w:r>
      <w:r w:rsidR="002F4542">
        <w:rPr>
          <w:sz w:val="24"/>
          <w:szCs w:val="24"/>
        </w:rPr>
        <w:t xml:space="preserve"> and 146.</w:t>
      </w:r>
      <w:r w:rsidR="00D61E1E">
        <w:rPr>
          <w:sz w:val="24"/>
          <w:szCs w:val="24"/>
        </w:rPr>
        <w:t>94</w:t>
      </w:r>
      <w:r w:rsidR="002F4542">
        <w:rPr>
          <w:sz w:val="24"/>
          <w:szCs w:val="24"/>
        </w:rPr>
        <w:t>(</w:t>
      </w:r>
      <w:r w:rsidR="00D61E1E">
        <w:rPr>
          <w:sz w:val="24"/>
          <w:szCs w:val="24"/>
        </w:rPr>
        <w:t>b</w:t>
      </w:r>
      <w:r w:rsidR="002F4542">
        <w:rPr>
          <w:sz w:val="24"/>
          <w:szCs w:val="24"/>
        </w:rPr>
        <w:t>)</w:t>
      </w:r>
      <w:r>
        <w:rPr>
          <w:sz w:val="24"/>
          <w:szCs w:val="24"/>
        </w:rPr>
        <w:t xml:space="preserve">, operators are required to report within 24 hours </w:t>
      </w:r>
      <w:r w:rsidR="007D248F">
        <w:rPr>
          <w:sz w:val="24"/>
          <w:szCs w:val="24"/>
        </w:rPr>
        <w:t xml:space="preserve">about </w:t>
      </w:r>
      <w:r>
        <w:rPr>
          <w:sz w:val="24"/>
          <w:szCs w:val="24"/>
        </w:rPr>
        <w:t>“any noncompliance which may endanger health or the environment.”</w:t>
      </w:r>
      <w:r w:rsidR="00F84502">
        <w:rPr>
          <w:sz w:val="24"/>
          <w:szCs w:val="24"/>
        </w:rPr>
        <w:t xml:space="preserve"> </w:t>
      </w:r>
      <w:r>
        <w:rPr>
          <w:sz w:val="24"/>
          <w:szCs w:val="24"/>
        </w:rPr>
        <w:t>This is an emergency provision necessary to enable permitting authorities to take timely and appropriate steps to reduce or eliminate any potential threat to public health</w:t>
      </w:r>
      <w:r w:rsidR="007D248F">
        <w:rPr>
          <w:sz w:val="24"/>
          <w:szCs w:val="24"/>
        </w:rPr>
        <w:t>, and this reporting is only necessary for a small s</w:t>
      </w:r>
      <w:r w:rsidRPr="007D248F" w:rsidR="007D248F">
        <w:rPr>
          <w:sz w:val="24"/>
          <w:szCs w:val="24"/>
        </w:rPr>
        <w:t>ubset of injection well operators</w:t>
      </w:r>
      <w:r>
        <w:rPr>
          <w:sz w:val="24"/>
          <w:szCs w:val="24"/>
        </w:rPr>
        <w:t>.</w:t>
      </w:r>
    </w:p>
    <w:p w:rsidR="00C25838" w:rsidRDefault="00C25838" w14:paraId="25929C75" w14:textId="77777777">
      <w:pPr>
        <w:rPr>
          <w:sz w:val="24"/>
          <w:szCs w:val="24"/>
        </w:rPr>
      </w:pPr>
    </w:p>
    <w:p w:rsidR="00C25838" w:rsidP="001941A8" w:rsidRDefault="00C25838" w14:paraId="0488EC68" w14:textId="77777777">
      <w:pPr>
        <w:pStyle w:val="Heading2"/>
        <w:rPr>
          <w:sz w:val="24"/>
        </w:rPr>
      </w:pPr>
      <w:r>
        <w:t>3(f)</w:t>
      </w:r>
      <w:r>
        <w:tab/>
        <w:t xml:space="preserve">Confidentiality </w:t>
      </w:r>
      <w:r w:rsidR="00766F8E">
        <w:fldChar w:fldCharType="begin"/>
      </w:r>
      <w:r>
        <w:instrText>tc "</w:instrText>
      </w:r>
      <w:bookmarkStart w:name="_Toc511660003" w:id="39"/>
      <w:bookmarkStart w:name="_Toc511713512" w:id="40"/>
      <w:r>
        <w:instrText>3(f)</w:instrText>
      </w:r>
      <w:r>
        <w:tab/>
        <w:instrText>Confidentiality</w:instrText>
      </w:r>
      <w:bookmarkEnd w:id="39"/>
      <w:bookmarkEnd w:id="40"/>
      <w:r>
        <w:instrText xml:space="preserve"> " \l 2</w:instrText>
      </w:r>
      <w:r w:rsidR="00766F8E">
        <w:fldChar w:fldCharType="end"/>
      </w:r>
    </w:p>
    <w:p w:rsidR="00C25838" w:rsidRDefault="00C25838" w14:paraId="13E1F23A" w14:textId="77777777">
      <w:pPr>
        <w:keepNext/>
        <w:rPr>
          <w:sz w:val="24"/>
          <w:szCs w:val="24"/>
        </w:rPr>
      </w:pPr>
    </w:p>
    <w:p w:rsidR="00C17B20" w:rsidP="0037387C" w:rsidRDefault="00C25838" w14:paraId="5E16677F" w14:textId="77777777">
      <w:pPr>
        <w:rPr>
          <w:sz w:val="24"/>
          <w:szCs w:val="24"/>
        </w:rPr>
      </w:pPr>
      <w:r>
        <w:rPr>
          <w:sz w:val="24"/>
          <w:szCs w:val="24"/>
        </w:rPr>
        <w:tab/>
        <w:t xml:space="preserve">Operators of injection wells may claim confidentiality, as provided in 40 CFR 144.5 </w:t>
      </w:r>
      <w:r>
        <w:rPr>
          <w:i/>
          <w:iCs/>
          <w:sz w:val="24"/>
          <w:szCs w:val="24"/>
        </w:rPr>
        <w:t>Confidentiality of Information</w:t>
      </w:r>
      <w:r w:rsidR="00F84502">
        <w:rPr>
          <w:i/>
          <w:iCs/>
          <w:sz w:val="24"/>
          <w:szCs w:val="24"/>
        </w:rPr>
        <w:t xml:space="preserve">. </w:t>
      </w:r>
      <w:r>
        <w:rPr>
          <w:sz w:val="24"/>
          <w:szCs w:val="24"/>
        </w:rPr>
        <w:t xml:space="preserve">If confidentiality is requested, the information is treated in accordance with the provisions of 40 CFR Part 2, </w:t>
      </w:r>
      <w:r>
        <w:rPr>
          <w:i/>
          <w:iCs/>
          <w:sz w:val="24"/>
          <w:szCs w:val="24"/>
        </w:rPr>
        <w:t>Public Information</w:t>
      </w:r>
      <w:r w:rsidR="00F84502">
        <w:rPr>
          <w:sz w:val="24"/>
          <w:szCs w:val="24"/>
        </w:rPr>
        <w:t xml:space="preserve">. </w:t>
      </w:r>
      <w:r>
        <w:rPr>
          <w:sz w:val="24"/>
          <w:szCs w:val="24"/>
        </w:rPr>
        <w:t>Any confidentiality claim must be made at the time of submission in the manner prescribed by the application form or its instructions</w:t>
      </w:r>
      <w:r w:rsidR="00F84502">
        <w:rPr>
          <w:sz w:val="24"/>
          <w:szCs w:val="24"/>
        </w:rPr>
        <w:t xml:space="preserve">. </w:t>
      </w:r>
      <w:r>
        <w:rPr>
          <w:sz w:val="24"/>
          <w:szCs w:val="24"/>
        </w:rPr>
        <w:t>In the case of other submissions, respondents may claim confidentiality by stamping the words “confidential business information” on each page containing such information</w:t>
      </w:r>
      <w:r w:rsidR="00F84502">
        <w:rPr>
          <w:sz w:val="24"/>
          <w:szCs w:val="24"/>
        </w:rPr>
        <w:t xml:space="preserve">. </w:t>
      </w:r>
    </w:p>
    <w:p w:rsidR="00C17B20" w:rsidP="0037387C" w:rsidRDefault="00C17B20" w14:paraId="1C8D5778" w14:textId="77777777">
      <w:pPr>
        <w:rPr>
          <w:sz w:val="24"/>
          <w:szCs w:val="24"/>
        </w:rPr>
      </w:pPr>
    </w:p>
    <w:p w:rsidR="00C25838" w:rsidP="006D47D8" w:rsidRDefault="00C25838" w14:paraId="75615262" w14:textId="77777777">
      <w:pPr>
        <w:ind w:firstLine="720"/>
        <w:rPr>
          <w:sz w:val="24"/>
          <w:szCs w:val="24"/>
        </w:rPr>
      </w:pPr>
      <w:r>
        <w:rPr>
          <w:sz w:val="24"/>
          <w:szCs w:val="24"/>
        </w:rPr>
        <w:t>Claims of confidentiality for the following information will be denied: the name and address of any permit applicant or permittee; and information regarding the existence, absence, or level of contaminants in drinking water.</w:t>
      </w:r>
      <w:r w:rsidR="006C7C2F">
        <w:rPr>
          <w:sz w:val="24"/>
          <w:szCs w:val="24"/>
        </w:rPr>
        <w:t xml:space="preserve"> </w:t>
      </w:r>
      <w:r>
        <w:rPr>
          <w:sz w:val="24"/>
          <w:szCs w:val="24"/>
        </w:rPr>
        <w:t>If no claim of confidentiality is made at the time of submission, EPA may make the information available to the public without further notice</w:t>
      </w:r>
      <w:r w:rsidR="00F84502">
        <w:rPr>
          <w:sz w:val="24"/>
          <w:szCs w:val="24"/>
        </w:rPr>
        <w:t xml:space="preserve">. </w:t>
      </w:r>
      <w:r>
        <w:rPr>
          <w:sz w:val="24"/>
          <w:szCs w:val="24"/>
        </w:rPr>
        <w:t xml:space="preserve">However, the information is collected for the </w:t>
      </w:r>
      <w:r w:rsidR="0066181D">
        <w:rPr>
          <w:sz w:val="24"/>
          <w:szCs w:val="24"/>
        </w:rPr>
        <w:t>a</w:t>
      </w:r>
      <w:r>
        <w:rPr>
          <w:sz w:val="24"/>
          <w:szCs w:val="24"/>
        </w:rPr>
        <w:t>gency’s internal use and there are no plans to routinely release or publish any of the data.</w:t>
      </w:r>
    </w:p>
    <w:p w:rsidR="00C25838" w:rsidRDefault="00C25838" w14:paraId="31A277DB" w14:textId="77777777">
      <w:pPr>
        <w:rPr>
          <w:sz w:val="24"/>
          <w:szCs w:val="24"/>
        </w:rPr>
      </w:pPr>
    </w:p>
    <w:p w:rsidR="00C25838" w:rsidP="001941A8" w:rsidRDefault="00C25838" w14:paraId="40DCE8F2" w14:textId="77777777">
      <w:pPr>
        <w:pStyle w:val="Heading2"/>
        <w:rPr>
          <w:sz w:val="24"/>
        </w:rPr>
      </w:pPr>
      <w:r>
        <w:t>3(g)</w:t>
      </w:r>
      <w:r>
        <w:tab/>
        <w:t xml:space="preserve">Sensitive Questions </w:t>
      </w:r>
      <w:r w:rsidR="00766F8E">
        <w:fldChar w:fldCharType="begin"/>
      </w:r>
      <w:r>
        <w:instrText>tc "</w:instrText>
      </w:r>
      <w:bookmarkStart w:name="_Toc511660004" w:id="41"/>
      <w:bookmarkStart w:name="_Toc511713513" w:id="42"/>
      <w:r>
        <w:instrText>3(g)</w:instrText>
      </w:r>
      <w:r>
        <w:tab/>
        <w:instrText>Sensitive Questions</w:instrText>
      </w:r>
      <w:bookmarkEnd w:id="41"/>
      <w:bookmarkEnd w:id="42"/>
      <w:r>
        <w:instrText xml:space="preserve"> " \l 2</w:instrText>
      </w:r>
      <w:r w:rsidR="00766F8E">
        <w:fldChar w:fldCharType="end"/>
      </w:r>
    </w:p>
    <w:p w:rsidR="00C25838" w:rsidRDefault="00C25838" w14:paraId="75E16454" w14:textId="77777777">
      <w:pPr>
        <w:keepNext/>
        <w:rPr>
          <w:sz w:val="24"/>
          <w:szCs w:val="24"/>
        </w:rPr>
      </w:pPr>
    </w:p>
    <w:p w:rsidR="006C7C2F" w:rsidP="0037387C" w:rsidRDefault="00C25838" w14:paraId="62D2D13E" w14:textId="77777777">
      <w:pPr>
        <w:rPr>
          <w:sz w:val="24"/>
          <w:szCs w:val="24"/>
        </w:rPr>
      </w:pPr>
      <w:r>
        <w:rPr>
          <w:sz w:val="24"/>
          <w:szCs w:val="24"/>
        </w:rPr>
        <w:tab/>
        <w:t>There are no sensitive questions pertaining to this ICR.</w:t>
      </w:r>
      <w:r w:rsidR="006C7C2F">
        <w:rPr>
          <w:sz w:val="24"/>
          <w:szCs w:val="24"/>
        </w:rPr>
        <w:br w:type="page"/>
      </w:r>
    </w:p>
    <w:p w:rsidR="00C25838" w:rsidP="001941A8" w:rsidRDefault="00C25838" w14:paraId="4CB21290" w14:textId="77777777">
      <w:pPr>
        <w:pStyle w:val="Heading1"/>
        <w:rPr>
          <w:sz w:val="24"/>
        </w:rPr>
      </w:pPr>
      <w:r>
        <w:lastRenderedPageBreak/>
        <w:t>4.</w:t>
      </w:r>
      <w:r>
        <w:tab/>
        <w:t>Respondents and Information Requested</w:t>
      </w:r>
      <w:r w:rsidR="00766F8E">
        <w:fldChar w:fldCharType="begin"/>
      </w:r>
      <w:r>
        <w:instrText>tc "</w:instrText>
      </w:r>
      <w:bookmarkStart w:name="_Toc511660005" w:id="43"/>
      <w:bookmarkStart w:name="_Toc511713514" w:id="44"/>
      <w:r>
        <w:instrText>4.</w:instrText>
      </w:r>
      <w:r>
        <w:tab/>
        <w:instrText>Respondents and Information Requested</w:instrText>
      </w:r>
      <w:bookmarkEnd w:id="43"/>
      <w:bookmarkEnd w:id="44"/>
      <w:r>
        <w:instrText>"</w:instrText>
      </w:r>
      <w:r w:rsidR="00766F8E">
        <w:fldChar w:fldCharType="end"/>
      </w:r>
    </w:p>
    <w:p w:rsidR="00C25838" w:rsidRDefault="00C25838" w14:paraId="667EEC63" w14:textId="77777777">
      <w:pPr>
        <w:rPr>
          <w:sz w:val="24"/>
          <w:szCs w:val="24"/>
        </w:rPr>
      </w:pPr>
    </w:p>
    <w:p w:rsidR="00C25838" w:rsidRDefault="00C25838" w14:paraId="2E3F7625" w14:textId="77777777">
      <w:pPr>
        <w:rPr>
          <w:sz w:val="24"/>
          <w:szCs w:val="24"/>
        </w:rPr>
      </w:pPr>
    </w:p>
    <w:p w:rsidR="00C25838" w:rsidRDefault="00C25838" w14:paraId="53A43DA9" w14:textId="3D98374A">
      <w:pPr>
        <w:rPr>
          <w:sz w:val="24"/>
          <w:szCs w:val="24"/>
        </w:rPr>
      </w:pPr>
      <w:r>
        <w:rPr>
          <w:sz w:val="24"/>
          <w:szCs w:val="24"/>
        </w:rPr>
        <w:tab/>
        <w:t xml:space="preserve">This Section identifies respondents affected by this information collection and describes the data items and activities required of operators, </w:t>
      </w:r>
      <w:r w:rsidR="008176C6">
        <w:rPr>
          <w:sz w:val="24"/>
          <w:szCs w:val="24"/>
        </w:rPr>
        <w:t xml:space="preserve">primacy </w:t>
      </w:r>
      <w:r>
        <w:rPr>
          <w:sz w:val="24"/>
          <w:szCs w:val="24"/>
        </w:rPr>
        <w:t>states, and DI programs.</w:t>
      </w:r>
    </w:p>
    <w:p w:rsidR="00C25838" w:rsidRDefault="00C25838" w14:paraId="5EDE5C87" w14:textId="77777777">
      <w:pPr>
        <w:rPr>
          <w:sz w:val="24"/>
          <w:szCs w:val="24"/>
        </w:rPr>
      </w:pPr>
    </w:p>
    <w:p w:rsidR="00C25838" w:rsidP="001941A8" w:rsidRDefault="00C25838" w14:paraId="1390829C" w14:textId="77777777">
      <w:pPr>
        <w:pStyle w:val="Heading2"/>
        <w:rPr>
          <w:sz w:val="24"/>
        </w:rPr>
      </w:pPr>
      <w:r>
        <w:t>4(a)</w:t>
      </w:r>
      <w:r>
        <w:tab/>
        <w:t xml:space="preserve">Respondents/NAICS Codes </w:t>
      </w:r>
      <w:r w:rsidR="00766F8E">
        <w:fldChar w:fldCharType="begin"/>
      </w:r>
      <w:r>
        <w:instrText>tc "</w:instrText>
      </w:r>
      <w:bookmarkStart w:name="_Toc511660006" w:id="45"/>
      <w:bookmarkStart w:name="_Toc511713515" w:id="46"/>
      <w:r>
        <w:instrText>4(a)</w:instrText>
      </w:r>
      <w:r>
        <w:tab/>
        <w:instrText>Respondents/NAICS Codes</w:instrText>
      </w:r>
      <w:bookmarkEnd w:id="45"/>
      <w:bookmarkEnd w:id="46"/>
      <w:r>
        <w:instrText xml:space="preserve"> " \l 2</w:instrText>
      </w:r>
      <w:r w:rsidR="00766F8E">
        <w:fldChar w:fldCharType="end"/>
      </w:r>
    </w:p>
    <w:p w:rsidR="00C25838" w:rsidRDefault="00C25838" w14:paraId="29EF4CCD" w14:textId="77777777">
      <w:pPr>
        <w:rPr>
          <w:sz w:val="24"/>
          <w:szCs w:val="24"/>
        </w:rPr>
      </w:pPr>
    </w:p>
    <w:p w:rsidR="00C25838" w:rsidRDefault="00C25838" w14:paraId="5C621BCE" w14:textId="4EE63F7A">
      <w:pPr>
        <w:rPr>
          <w:sz w:val="24"/>
          <w:szCs w:val="24"/>
        </w:rPr>
      </w:pPr>
      <w:r>
        <w:rPr>
          <w:sz w:val="24"/>
          <w:szCs w:val="24"/>
        </w:rPr>
        <w:tab/>
        <w:t>Operators of injection wells are identified by Standard Industrial Classification (SIC) and North American Industry Classification System (NAICS) codes</w:t>
      </w:r>
      <w:r w:rsidR="00F84502">
        <w:rPr>
          <w:sz w:val="24"/>
          <w:szCs w:val="24"/>
        </w:rPr>
        <w:t xml:space="preserve">. </w:t>
      </w:r>
      <w:r>
        <w:rPr>
          <w:sz w:val="24"/>
          <w:szCs w:val="24"/>
        </w:rPr>
        <w:t>Operator respondents for injection wells are categorized by the industries that produce fluid wastes and the type of fluid injected into each well class</w:t>
      </w:r>
      <w:r w:rsidR="00F84502">
        <w:rPr>
          <w:sz w:val="24"/>
          <w:szCs w:val="24"/>
        </w:rPr>
        <w:t xml:space="preserve">. </w:t>
      </w:r>
      <w:r>
        <w:rPr>
          <w:sz w:val="24"/>
          <w:szCs w:val="24"/>
        </w:rPr>
        <w:t>The SIC and NAICS codes for the operator respondents associated with each well class are listed in Exhibit 4-1</w:t>
      </w:r>
      <w:r w:rsidR="00F84502">
        <w:rPr>
          <w:sz w:val="24"/>
          <w:szCs w:val="24"/>
        </w:rPr>
        <w:t xml:space="preserve">. </w:t>
      </w:r>
    </w:p>
    <w:p w:rsidR="00C25838" w:rsidRDefault="00C25838" w14:paraId="3AD184AE" w14:textId="77777777">
      <w:pPr>
        <w:rPr>
          <w:sz w:val="24"/>
          <w:szCs w:val="24"/>
        </w:rPr>
      </w:pPr>
    </w:p>
    <w:p w:rsidR="00C25838" w:rsidRDefault="00C25838" w14:paraId="12DBCEB2" w14:textId="70019B8A">
      <w:pPr>
        <w:ind w:firstLine="720"/>
        <w:rPr>
          <w:sz w:val="24"/>
          <w:szCs w:val="24"/>
        </w:rPr>
      </w:pPr>
      <w:r>
        <w:rPr>
          <w:sz w:val="24"/>
          <w:szCs w:val="24"/>
        </w:rPr>
        <w:t xml:space="preserve">The NAICS code for </w:t>
      </w:r>
      <w:r w:rsidR="008176C6">
        <w:rPr>
          <w:sz w:val="24"/>
          <w:szCs w:val="24"/>
        </w:rPr>
        <w:t>s</w:t>
      </w:r>
      <w:r>
        <w:rPr>
          <w:sz w:val="24"/>
          <w:szCs w:val="24"/>
        </w:rPr>
        <w:t>tate agencies that include drinking water programs is 92411 (Administration of Air and Water Resources and Solid Waste Management Programs) or 92312 (Administration of Public Health Programs)</w:t>
      </w:r>
      <w:r w:rsidR="00F84502">
        <w:rPr>
          <w:sz w:val="24"/>
          <w:szCs w:val="24"/>
        </w:rPr>
        <w:t xml:space="preserve">. </w:t>
      </w:r>
    </w:p>
    <w:p w:rsidR="00B61C69" w:rsidP="00B61C69" w:rsidRDefault="00B61C69" w14:paraId="1E554750" w14:textId="77777777">
      <w:pPr>
        <w:spacing w:before="100"/>
        <w:jc w:val="center"/>
        <w:rPr>
          <w:rFonts w:ascii="Arial" w:hAnsi="Arial" w:cs="Arial"/>
          <w:b/>
          <w:bCs/>
          <w:sz w:val="24"/>
          <w:szCs w:val="24"/>
          <w:lang w:val="fr-FR"/>
        </w:rPr>
      </w:pPr>
      <w:r>
        <w:rPr>
          <w:rFonts w:ascii="Arial" w:hAnsi="Arial" w:cs="Arial"/>
          <w:b/>
          <w:bCs/>
          <w:sz w:val="24"/>
          <w:szCs w:val="24"/>
          <w:lang w:val="fr-FR"/>
        </w:rPr>
        <w:t>Exhibit 4-1</w:t>
      </w:r>
    </w:p>
    <w:p w:rsidR="00C25838" w:rsidP="00B61C69" w:rsidRDefault="00B61C69" w14:paraId="0C0CEED0" w14:textId="5C0F3503">
      <w:pPr>
        <w:jc w:val="center"/>
        <w:rPr>
          <w:rFonts w:ascii="Arial" w:hAnsi="Arial" w:cs="Arial"/>
          <w:b/>
          <w:bCs/>
          <w:sz w:val="24"/>
          <w:szCs w:val="24"/>
          <w:lang w:val="fr-FR"/>
        </w:rPr>
      </w:pPr>
      <w:r>
        <w:rPr>
          <w:rFonts w:ascii="Arial" w:hAnsi="Arial" w:cs="Arial"/>
          <w:b/>
          <w:bCs/>
          <w:sz w:val="24"/>
          <w:szCs w:val="24"/>
          <w:lang w:val="fr-FR"/>
        </w:rPr>
        <w:t>Respondents’ SIC/NAICS Codes*</w:t>
      </w:r>
    </w:p>
    <w:p w:rsidR="00B61C69" w:rsidP="00B61C69" w:rsidRDefault="00B61C69" w14:paraId="4E719379" w14:textId="77777777"/>
    <w:tbl>
      <w:tblPr>
        <w:tblW w:w="9630" w:type="dxa"/>
        <w:tblInd w:w="66" w:type="dxa"/>
        <w:tblLayout w:type="fixed"/>
        <w:tblCellMar>
          <w:left w:w="81" w:type="dxa"/>
          <w:right w:w="81" w:type="dxa"/>
        </w:tblCellMar>
        <w:tblLook w:val="0000" w:firstRow="0" w:lastRow="0" w:firstColumn="0" w:lastColumn="0" w:noHBand="0" w:noVBand="0"/>
      </w:tblPr>
      <w:tblGrid>
        <w:gridCol w:w="810"/>
        <w:gridCol w:w="1980"/>
        <w:gridCol w:w="1980"/>
        <w:gridCol w:w="4860"/>
      </w:tblGrid>
      <w:tr w:rsidRPr="00B031F6" w:rsidR="00C25838" w:rsidTr="00B61C69" w14:paraId="09F65C06" w14:textId="77777777">
        <w:trPr>
          <w:cantSplit/>
          <w:tblHeader/>
        </w:trPr>
        <w:tc>
          <w:tcPr>
            <w:tcW w:w="810" w:type="dxa"/>
            <w:tcBorders>
              <w:top w:val="single" w:color="000000" w:sz="12" w:space="0"/>
              <w:left w:val="single" w:color="000000" w:sz="12" w:space="0"/>
              <w:bottom w:val="nil"/>
              <w:right w:val="nil"/>
            </w:tcBorders>
          </w:tcPr>
          <w:p w:rsidRPr="00B031F6" w:rsidR="00C25838" w:rsidRDefault="00C25838" w14:paraId="4DBFEE4A" w14:textId="77777777">
            <w:pPr>
              <w:spacing w:before="100" w:after="51"/>
              <w:rPr>
                <w:rFonts w:asciiTheme="minorHAnsi" w:hAnsiTheme="minorHAnsi"/>
              </w:rPr>
            </w:pPr>
            <w:r w:rsidRPr="00B031F6">
              <w:rPr>
                <w:rFonts w:cs="Arial" w:asciiTheme="minorHAnsi" w:hAnsiTheme="minorHAnsi"/>
                <w:b/>
                <w:bCs/>
              </w:rPr>
              <w:t>UIC Class</w:t>
            </w:r>
          </w:p>
        </w:tc>
        <w:tc>
          <w:tcPr>
            <w:tcW w:w="1980" w:type="dxa"/>
            <w:tcBorders>
              <w:top w:val="single" w:color="000000" w:sz="12" w:space="0"/>
              <w:left w:val="single" w:color="000000" w:sz="6" w:space="0"/>
              <w:bottom w:val="nil"/>
              <w:right w:val="nil"/>
            </w:tcBorders>
          </w:tcPr>
          <w:p w:rsidRPr="00B031F6" w:rsidR="00C25838" w:rsidRDefault="00C25838" w14:paraId="57255FE7" w14:textId="77777777">
            <w:pPr>
              <w:spacing w:before="100"/>
              <w:rPr>
                <w:rFonts w:cs="Arial" w:asciiTheme="minorHAnsi" w:hAnsiTheme="minorHAnsi"/>
                <w:b/>
                <w:bCs/>
              </w:rPr>
            </w:pPr>
          </w:p>
          <w:p w:rsidRPr="00B031F6" w:rsidR="00C25838" w:rsidRDefault="00C25838" w14:paraId="4FDD04A6" w14:textId="77777777">
            <w:pPr>
              <w:spacing w:after="51"/>
              <w:rPr>
                <w:rFonts w:asciiTheme="minorHAnsi" w:hAnsiTheme="minorHAnsi"/>
              </w:rPr>
            </w:pPr>
            <w:r w:rsidRPr="00B031F6">
              <w:rPr>
                <w:rFonts w:cs="Arial" w:asciiTheme="minorHAnsi" w:hAnsiTheme="minorHAnsi"/>
                <w:b/>
                <w:bCs/>
              </w:rPr>
              <w:t>SIC Code</w:t>
            </w:r>
          </w:p>
        </w:tc>
        <w:tc>
          <w:tcPr>
            <w:tcW w:w="1980" w:type="dxa"/>
            <w:tcBorders>
              <w:top w:val="single" w:color="000000" w:sz="12" w:space="0"/>
              <w:left w:val="single" w:color="000000" w:sz="6" w:space="0"/>
              <w:bottom w:val="nil"/>
              <w:right w:val="nil"/>
            </w:tcBorders>
          </w:tcPr>
          <w:p w:rsidRPr="00B031F6" w:rsidR="00C25838" w:rsidRDefault="00C25838" w14:paraId="6D082513" w14:textId="77777777">
            <w:pPr>
              <w:spacing w:before="100"/>
              <w:rPr>
                <w:rFonts w:cs="Arial" w:asciiTheme="minorHAnsi" w:hAnsiTheme="minorHAnsi"/>
                <w:b/>
                <w:bCs/>
              </w:rPr>
            </w:pPr>
          </w:p>
          <w:p w:rsidRPr="00B031F6" w:rsidR="00C25838" w:rsidRDefault="00C25838" w14:paraId="6C8342C2" w14:textId="77777777">
            <w:pPr>
              <w:spacing w:after="51"/>
              <w:rPr>
                <w:rFonts w:asciiTheme="minorHAnsi" w:hAnsiTheme="minorHAnsi"/>
              </w:rPr>
            </w:pPr>
            <w:r w:rsidRPr="00B031F6">
              <w:rPr>
                <w:rFonts w:cs="Arial" w:asciiTheme="minorHAnsi" w:hAnsiTheme="minorHAnsi"/>
                <w:b/>
                <w:bCs/>
              </w:rPr>
              <w:t>NAICS Code (2002)</w:t>
            </w:r>
          </w:p>
        </w:tc>
        <w:tc>
          <w:tcPr>
            <w:tcW w:w="4860" w:type="dxa"/>
            <w:tcBorders>
              <w:top w:val="single" w:color="000000" w:sz="12" w:space="0"/>
              <w:left w:val="single" w:color="000000" w:sz="6" w:space="0"/>
              <w:bottom w:val="nil"/>
              <w:right w:val="single" w:color="000000" w:sz="12" w:space="0"/>
            </w:tcBorders>
          </w:tcPr>
          <w:p w:rsidRPr="00B031F6" w:rsidR="00C25838" w:rsidRDefault="00C25838" w14:paraId="02A50C3C" w14:textId="77777777">
            <w:pPr>
              <w:spacing w:before="100"/>
              <w:rPr>
                <w:rFonts w:cs="Arial" w:asciiTheme="minorHAnsi" w:hAnsiTheme="minorHAnsi"/>
                <w:b/>
                <w:bCs/>
              </w:rPr>
            </w:pPr>
          </w:p>
          <w:p w:rsidRPr="00B031F6" w:rsidR="00C25838" w:rsidRDefault="00C25838" w14:paraId="10D301BD" w14:textId="77777777">
            <w:pPr>
              <w:spacing w:after="51"/>
              <w:rPr>
                <w:rFonts w:asciiTheme="minorHAnsi" w:hAnsiTheme="minorHAnsi"/>
              </w:rPr>
            </w:pPr>
            <w:r w:rsidRPr="00B031F6">
              <w:rPr>
                <w:rFonts w:cs="Arial" w:asciiTheme="minorHAnsi" w:hAnsiTheme="minorHAnsi"/>
                <w:b/>
                <w:bCs/>
              </w:rPr>
              <w:t>Description</w:t>
            </w:r>
          </w:p>
        </w:tc>
      </w:tr>
      <w:tr w:rsidRPr="00B031F6" w:rsidR="00C25838" w:rsidTr="00B61C69" w14:paraId="34F44802" w14:textId="77777777">
        <w:trPr>
          <w:cantSplit/>
        </w:trPr>
        <w:tc>
          <w:tcPr>
            <w:tcW w:w="810" w:type="dxa"/>
            <w:tcBorders>
              <w:top w:val="single" w:color="000000" w:sz="6" w:space="0"/>
              <w:left w:val="single" w:color="000000" w:sz="12" w:space="0"/>
              <w:bottom w:val="nil"/>
              <w:right w:val="nil"/>
            </w:tcBorders>
          </w:tcPr>
          <w:p w:rsidRPr="00B031F6" w:rsidR="00C25838" w:rsidRDefault="00C25838" w14:paraId="4B350AAD" w14:textId="77777777">
            <w:pPr>
              <w:spacing w:before="100" w:after="51"/>
              <w:jc w:val="center"/>
              <w:rPr>
                <w:rFonts w:asciiTheme="minorHAnsi" w:hAnsiTheme="minorHAnsi"/>
              </w:rPr>
            </w:pPr>
            <w:r w:rsidRPr="00B031F6">
              <w:rPr>
                <w:rFonts w:cs="Arial" w:asciiTheme="minorHAnsi" w:hAnsiTheme="minorHAnsi"/>
              </w:rPr>
              <w:t>I</w:t>
            </w:r>
          </w:p>
        </w:tc>
        <w:tc>
          <w:tcPr>
            <w:tcW w:w="1980" w:type="dxa"/>
            <w:tcBorders>
              <w:top w:val="single" w:color="000000" w:sz="6" w:space="0"/>
              <w:left w:val="single" w:color="000000" w:sz="6" w:space="0"/>
              <w:bottom w:val="nil"/>
              <w:right w:val="nil"/>
            </w:tcBorders>
          </w:tcPr>
          <w:p w:rsidRPr="00B031F6" w:rsidR="00C25838" w:rsidRDefault="00D96FD6" w14:paraId="4CE7670A" w14:textId="77777777">
            <w:pPr>
              <w:pStyle w:val="a"/>
              <w:tabs>
                <w:tab w:val="left" w:pos="-1440"/>
                <w:tab w:val="left" w:pos="-720"/>
                <w:tab w:val="left" w:pos="0"/>
                <w:tab w:val="left" w:pos="240"/>
                <w:tab w:val="left" w:pos="1440"/>
              </w:tabs>
              <w:spacing w:before="100"/>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Pr>
                <w:rFonts w:cs="Arial" w:asciiTheme="minorHAnsi" w:hAnsiTheme="minorHAnsi"/>
                <w:sz w:val="20"/>
                <w:szCs w:val="20"/>
              </w:rPr>
              <w:tab/>
            </w:r>
            <w:r w:rsidRPr="00B031F6" w:rsidR="00C25838">
              <w:rPr>
                <w:rFonts w:cs="Arial" w:asciiTheme="minorHAnsi" w:hAnsiTheme="minorHAnsi"/>
                <w:sz w:val="20"/>
                <w:szCs w:val="20"/>
              </w:rPr>
              <w:t>Major Group 13</w:t>
            </w:r>
          </w:p>
          <w:p w:rsidRPr="00B031F6" w:rsidR="00C25838" w:rsidRDefault="00D96FD6" w14:paraId="6468BC74"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Major Group 28</w:t>
            </w:r>
          </w:p>
          <w:p w:rsidRPr="00B031F6" w:rsidR="00C25838" w:rsidRDefault="00D96FD6" w14:paraId="21129578"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Pr>
                <w:rFonts w:cs="Arial" w:asciiTheme="minorHAnsi" w:hAnsiTheme="minorHAnsi"/>
                <w:sz w:val="20"/>
                <w:szCs w:val="20"/>
              </w:rPr>
              <w:tab/>
            </w:r>
            <w:r w:rsidRPr="00B031F6" w:rsidR="00C25838">
              <w:rPr>
                <w:rFonts w:cs="Arial" w:asciiTheme="minorHAnsi" w:hAnsiTheme="minorHAnsi"/>
                <w:sz w:val="20"/>
                <w:szCs w:val="20"/>
              </w:rPr>
              <w:t>Major Group 26</w:t>
            </w:r>
          </w:p>
          <w:p w:rsidRPr="00B031F6" w:rsidR="00C25838" w:rsidRDefault="00D96FD6" w14:paraId="60FCE293"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Pr>
                <w:rFonts w:cs="Arial" w:asciiTheme="minorHAnsi" w:hAnsiTheme="minorHAnsi"/>
                <w:sz w:val="20"/>
                <w:szCs w:val="20"/>
              </w:rPr>
              <w:tab/>
            </w:r>
            <w:r w:rsidRPr="00B031F6" w:rsidR="00C25838">
              <w:rPr>
                <w:rFonts w:cs="Arial" w:asciiTheme="minorHAnsi" w:hAnsiTheme="minorHAnsi"/>
                <w:sz w:val="20"/>
                <w:szCs w:val="20"/>
              </w:rPr>
              <w:t>Major Group 29</w:t>
            </w:r>
          </w:p>
          <w:p w:rsidRPr="00B031F6" w:rsidR="00C25838" w:rsidRDefault="00D96FD6" w14:paraId="608D1444"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Pr>
                <w:rFonts w:cs="Arial" w:asciiTheme="minorHAnsi" w:hAnsiTheme="minorHAnsi"/>
                <w:sz w:val="20"/>
                <w:szCs w:val="20"/>
              </w:rPr>
              <w:tab/>
            </w:r>
            <w:r w:rsidRPr="00B031F6" w:rsidR="00C25838">
              <w:rPr>
                <w:rFonts w:cs="Arial" w:asciiTheme="minorHAnsi" w:hAnsiTheme="minorHAnsi"/>
                <w:sz w:val="20"/>
                <w:szCs w:val="20"/>
              </w:rPr>
              <w:t>Major Group 32</w:t>
            </w:r>
          </w:p>
          <w:p w:rsidRPr="00B031F6" w:rsidR="00C25838" w:rsidRDefault="00D96FD6" w14:paraId="1F4F6001"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Pr>
                <w:rFonts w:cs="Arial" w:asciiTheme="minorHAnsi" w:hAnsiTheme="minorHAnsi"/>
                <w:sz w:val="20"/>
                <w:szCs w:val="20"/>
              </w:rPr>
              <w:tab/>
            </w:r>
            <w:r w:rsidRPr="00B031F6" w:rsidR="00C25838">
              <w:rPr>
                <w:rFonts w:cs="Arial" w:asciiTheme="minorHAnsi" w:hAnsiTheme="minorHAnsi"/>
                <w:sz w:val="20"/>
                <w:szCs w:val="20"/>
              </w:rPr>
              <w:t xml:space="preserve">Major Group 33 </w:t>
            </w:r>
          </w:p>
          <w:p w:rsidRPr="00B031F6" w:rsidR="00C25838" w:rsidRDefault="00D96FD6" w14:paraId="4322BE09"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Pr>
                <w:rFonts w:cs="Arial" w:asciiTheme="minorHAnsi" w:hAnsiTheme="minorHAnsi"/>
                <w:sz w:val="20"/>
                <w:szCs w:val="20"/>
              </w:rPr>
              <w:tab/>
            </w:r>
            <w:r w:rsidRPr="00B031F6" w:rsidR="00C25838">
              <w:rPr>
                <w:rFonts w:cs="Arial" w:asciiTheme="minorHAnsi" w:hAnsiTheme="minorHAnsi"/>
                <w:sz w:val="20"/>
                <w:szCs w:val="20"/>
              </w:rPr>
              <w:t>Major Group 36</w:t>
            </w:r>
          </w:p>
          <w:p w:rsidRPr="00B031F6" w:rsidR="00C25838" w:rsidRDefault="00D96FD6" w14:paraId="26E13789"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Pr>
                <w:rFonts w:cs="Arial" w:asciiTheme="minorHAnsi" w:hAnsiTheme="minorHAnsi"/>
                <w:sz w:val="20"/>
                <w:szCs w:val="20"/>
              </w:rPr>
              <w:tab/>
            </w:r>
            <w:r w:rsidRPr="00B031F6" w:rsidR="00C25838">
              <w:rPr>
                <w:rFonts w:cs="Arial" w:asciiTheme="minorHAnsi" w:hAnsiTheme="minorHAnsi"/>
                <w:sz w:val="20"/>
                <w:szCs w:val="20"/>
              </w:rPr>
              <w:t xml:space="preserve">Major Group 37 </w:t>
            </w:r>
          </w:p>
          <w:p w:rsidRPr="00B031F6" w:rsidR="00C25838" w:rsidRDefault="00D96FD6" w14:paraId="291C5B90"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Pr>
                <w:rFonts w:cs="Arial" w:asciiTheme="minorHAnsi" w:hAnsiTheme="minorHAnsi"/>
                <w:sz w:val="20"/>
                <w:szCs w:val="20"/>
              </w:rPr>
              <w:tab/>
            </w:r>
            <w:r w:rsidRPr="00B031F6" w:rsidR="00C25838">
              <w:rPr>
                <w:rFonts w:cs="Arial" w:asciiTheme="minorHAnsi" w:hAnsiTheme="minorHAnsi"/>
                <w:sz w:val="20"/>
                <w:szCs w:val="20"/>
              </w:rPr>
              <w:t>Major Group 45</w:t>
            </w:r>
          </w:p>
          <w:p w:rsidRPr="00B031F6" w:rsidR="00C25838" w:rsidRDefault="00D96FD6" w14:paraId="3FF16028"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Major Group 49</w:t>
            </w:r>
          </w:p>
          <w:p w:rsidRPr="00B031F6" w:rsidR="00C25838" w:rsidP="00356421" w:rsidRDefault="00D96FD6" w14:paraId="2A02A4E4" w14:textId="77777777">
            <w:pPr>
              <w:pStyle w:val="a"/>
              <w:tabs>
                <w:tab w:val="left" w:pos="-1440"/>
                <w:tab w:val="left" w:pos="-720"/>
                <w:tab w:val="left" w:pos="0"/>
                <w:tab w:val="left" w:pos="240"/>
                <w:tab w:val="left" w:pos="1440"/>
              </w:tabs>
              <w:ind w:left="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Major Group 89</w:t>
            </w:r>
          </w:p>
          <w:p w:rsidRPr="00B031F6" w:rsidR="00C25838" w:rsidRDefault="00D96FD6" w14:paraId="427C87CF" w14:textId="77777777">
            <w:pPr>
              <w:pStyle w:val="a"/>
              <w:tabs>
                <w:tab w:val="left" w:pos="-1440"/>
                <w:tab w:val="left" w:pos="-720"/>
                <w:tab w:val="left" w:pos="0"/>
                <w:tab w:val="left" w:pos="240"/>
                <w:tab w:val="left" w:pos="1440"/>
              </w:tabs>
              <w:spacing w:after="51"/>
              <w:ind w:left="360" w:hanging="360"/>
              <w:rPr>
                <w:rFonts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Major Group 99</w:t>
            </w:r>
          </w:p>
        </w:tc>
        <w:tc>
          <w:tcPr>
            <w:tcW w:w="1980" w:type="dxa"/>
            <w:tcBorders>
              <w:top w:val="single" w:color="000000" w:sz="6" w:space="0"/>
              <w:left w:val="single" w:color="000000" w:sz="6" w:space="0"/>
              <w:bottom w:val="nil"/>
              <w:right w:val="nil"/>
            </w:tcBorders>
          </w:tcPr>
          <w:p w:rsidRPr="00B031F6" w:rsidR="00C25838" w:rsidRDefault="00D96FD6" w14:paraId="3E72E6E4" w14:textId="77777777">
            <w:pPr>
              <w:pStyle w:val="a"/>
              <w:tabs>
                <w:tab w:val="left" w:pos="-1440"/>
                <w:tab w:val="left" w:pos="-720"/>
                <w:tab w:val="left" w:pos="0"/>
                <w:tab w:val="left" w:pos="240"/>
                <w:tab w:val="left" w:pos="1440"/>
              </w:tabs>
              <w:spacing w:before="100"/>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211</w:t>
            </w:r>
          </w:p>
          <w:p w:rsidRPr="00B031F6" w:rsidR="00C25838" w:rsidRDefault="00D96FD6" w14:paraId="591098BC"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325</w:t>
            </w:r>
          </w:p>
          <w:p w:rsidRPr="00B031F6" w:rsidR="00C25838" w:rsidRDefault="00D96FD6" w14:paraId="6CC05151"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322</w:t>
            </w:r>
          </w:p>
          <w:p w:rsidRPr="00B031F6" w:rsidR="00C25838" w:rsidRDefault="00D96FD6" w14:paraId="28FC7548"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324</w:t>
            </w:r>
          </w:p>
          <w:p w:rsidRPr="00B031F6" w:rsidR="00C25838" w:rsidRDefault="00D96FD6" w14:paraId="782C1183"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327</w:t>
            </w:r>
          </w:p>
          <w:p w:rsidRPr="00B031F6" w:rsidR="00C25838" w:rsidRDefault="00D96FD6" w14:paraId="4DA8BDEF"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331</w:t>
            </w:r>
          </w:p>
          <w:p w:rsidRPr="00B031F6" w:rsidR="00C25838" w:rsidRDefault="00D96FD6" w14:paraId="5D8B50AA"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335</w:t>
            </w:r>
          </w:p>
          <w:p w:rsidRPr="00B031F6" w:rsidR="00C25838" w:rsidRDefault="00D96FD6" w14:paraId="44A2779A"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336</w:t>
            </w:r>
          </w:p>
          <w:p w:rsidRPr="00B031F6" w:rsidR="00C25838" w:rsidRDefault="00D96FD6" w14:paraId="27D333BA"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481</w:t>
            </w:r>
          </w:p>
          <w:p w:rsidRPr="00B031F6" w:rsidR="00C25838" w:rsidP="00356421" w:rsidRDefault="00D96FD6" w14:paraId="6C7425CF"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221</w:t>
            </w:r>
          </w:p>
          <w:p w:rsidRPr="00B031F6" w:rsidR="00C25838" w:rsidRDefault="00D96FD6" w14:paraId="3EDB5BBA"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54162</w:t>
            </w:r>
          </w:p>
          <w:p w:rsidRPr="00B031F6" w:rsidR="00C25838" w:rsidRDefault="00D96FD6" w14:paraId="005ACD35" w14:textId="77777777">
            <w:pPr>
              <w:pStyle w:val="a"/>
              <w:tabs>
                <w:tab w:val="left" w:pos="-1440"/>
                <w:tab w:val="left" w:pos="-720"/>
                <w:tab w:val="left" w:pos="0"/>
                <w:tab w:val="left" w:pos="240"/>
                <w:tab w:val="left" w:pos="1440"/>
              </w:tabs>
              <w:spacing w:after="51"/>
              <w:ind w:left="360" w:hanging="360"/>
              <w:rPr>
                <w:rFonts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54169</w:t>
            </w:r>
          </w:p>
        </w:tc>
        <w:tc>
          <w:tcPr>
            <w:tcW w:w="4860" w:type="dxa"/>
            <w:tcBorders>
              <w:top w:val="single" w:color="000000" w:sz="6" w:space="0"/>
              <w:left w:val="single" w:color="000000" w:sz="6" w:space="0"/>
              <w:bottom w:val="nil"/>
              <w:right w:val="single" w:color="000000" w:sz="12" w:space="0"/>
            </w:tcBorders>
          </w:tcPr>
          <w:p w:rsidRPr="00B031F6" w:rsidR="00C25838" w:rsidRDefault="00D96FD6" w14:paraId="367F2D8A" w14:textId="77777777">
            <w:pPr>
              <w:pStyle w:val="a"/>
              <w:tabs>
                <w:tab w:val="left" w:pos="-1440"/>
                <w:tab w:val="left" w:pos="-720"/>
                <w:tab w:val="left" w:pos="0"/>
                <w:tab w:val="left" w:pos="240"/>
                <w:tab w:val="left" w:pos="1440"/>
                <w:tab w:val="left" w:pos="2160"/>
                <w:tab w:val="left" w:pos="2880"/>
                <w:tab w:val="left" w:pos="3600"/>
                <w:tab w:val="left" w:pos="4320"/>
              </w:tabs>
              <w:spacing w:before="100"/>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Oil and Gas Extraction</w:t>
            </w:r>
          </w:p>
          <w:p w:rsidRPr="00B031F6" w:rsidR="00C25838" w:rsidRDefault="00D96FD6" w14:paraId="4802E552" w14:textId="77777777">
            <w:pPr>
              <w:pStyle w:val="a"/>
              <w:tabs>
                <w:tab w:val="left" w:pos="-1440"/>
                <w:tab w:val="left" w:pos="-720"/>
                <w:tab w:val="left" w:pos="0"/>
                <w:tab w:val="left" w:pos="240"/>
                <w:tab w:val="left" w:pos="1440"/>
                <w:tab w:val="left" w:pos="2160"/>
                <w:tab w:val="left" w:pos="2880"/>
                <w:tab w:val="left" w:pos="3600"/>
                <w:tab w:val="left" w:pos="432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Chemical Manufacturing</w:t>
            </w:r>
          </w:p>
          <w:p w:rsidRPr="00B031F6" w:rsidR="00C25838" w:rsidRDefault="00D96FD6" w14:paraId="32244904" w14:textId="77777777">
            <w:pPr>
              <w:pStyle w:val="a"/>
              <w:tabs>
                <w:tab w:val="left" w:pos="-1440"/>
                <w:tab w:val="left" w:pos="-720"/>
                <w:tab w:val="left" w:pos="0"/>
                <w:tab w:val="left" w:pos="240"/>
                <w:tab w:val="left" w:pos="1440"/>
                <w:tab w:val="left" w:pos="2160"/>
                <w:tab w:val="left" w:pos="2880"/>
                <w:tab w:val="left" w:pos="3600"/>
                <w:tab w:val="left" w:pos="432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Paper Manufacturing</w:t>
            </w:r>
          </w:p>
          <w:p w:rsidRPr="00B031F6" w:rsidR="00C25838" w:rsidRDefault="00D96FD6" w14:paraId="3511EA35" w14:textId="77777777">
            <w:pPr>
              <w:pStyle w:val="a"/>
              <w:tabs>
                <w:tab w:val="left" w:pos="-1440"/>
                <w:tab w:val="left" w:pos="-720"/>
                <w:tab w:val="left" w:pos="0"/>
                <w:tab w:val="left" w:pos="240"/>
                <w:tab w:val="left" w:pos="1440"/>
                <w:tab w:val="left" w:pos="2160"/>
                <w:tab w:val="left" w:pos="2880"/>
                <w:tab w:val="left" w:pos="3600"/>
                <w:tab w:val="left" w:pos="432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Petroleum and Coal Products Manufacturing</w:t>
            </w:r>
          </w:p>
          <w:p w:rsidRPr="00B031F6" w:rsidR="00C25838" w:rsidRDefault="00D96FD6" w14:paraId="0B52BF3C" w14:textId="77777777">
            <w:pPr>
              <w:pStyle w:val="a"/>
              <w:tabs>
                <w:tab w:val="left" w:pos="-1440"/>
                <w:tab w:val="left" w:pos="-720"/>
                <w:tab w:val="left" w:pos="0"/>
                <w:tab w:val="left" w:pos="240"/>
                <w:tab w:val="left" w:pos="1440"/>
                <w:tab w:val="left" w:pos="2160"/>
                <w:tab w:val="left" w:pos="2880"/>
                <w:tab w:val="left" w:pos="3600"/>
                <w:tab w:val="left" w:pos="432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Nonmetallic Mineral Product Manufacturing</w:t>
            </w:r>
          </w:p>
          <w:p w:rsidRPr="00B031F6" w:rsidR="00C25838" w:rsidRDefault="00D96FD6" w14:paraId="007F1B52" w14:textId="77777777">
            <w:pPr>
              <w:pStyle w:val="a"/>
              <w:tabs>
                <w:tab w:val="left" w:pos="-1440"/>
                <w:tab w:val="left" w:pos="-720"/>
                <w:tab w:val="left" w:pos="0"/>
                <w:tab w:val="left" w:pos="240"/>
                <w:tab w:val="left" w:pos="1440"/>
                <w:tab w:val="left" w:pos="2160"/>
                <w:tab w:val="left" w:pos="2880"/>
                <w:tab w:val="left" w:pos="3600"/>
                <w:tab w:val="left" w:pos="432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Primary Metal Manufacturing</w:t>
            </w:r>
          </w:p>
          <w:p w:rsidRPr="00B031F6" w:rsidR="00C25838" w:rsidRDefault="00D96FD6" w14:paraId="2747C6F2" w14:textId="77777777">
            <w:pPr>
              <w:pStyle w:val="a"/>
              <w:tabs>
                <w:tab w:val="left" w:pos="-1440"/>
                <w:tab w:val="left" w:pos="-720"/>
                <w:tab w:val="left" w:pos="0"/>
                <w:tab w:val="left" w:pos="240"/>
                <w:tab w:val="left" w:pos="1440"/>
                <w:tab w:val="left" w:pos="2160"/>
                <w:tab w:val="left" w:pos="2880"/>
                <w:tab w:val="left" w:pos="3600"/>
                <w:tab w:val="left" w:pos="432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Electrical Equipment, Appliance, &amp; Component Mfg.</w:t>
            </w:r>
          </w:p>
          <w:p w:rsidRPr="00B031F6" w:rsidR="00C25838" w:rsidRDefault="00D96FD6" w14:paraId="07A80790" w14:textId="77777777">
            <w:pPr>
              <w:pStyle w:val="a"/>
              <w:tabs>
                <w:tab w:val="left" w:pos="-1440"/>
                <w:tab w:val="left" w:pos="-720"/>
                <w:tab w:val="left" w:pos="0"/>
                <w:tab w:val="left" w:pos="240"/>
                <w:tab w:val="left" w:pos="1440"/>
                <w:tab w:val="left" w:pos="2160"/>
                <w:tab w:val="left" w:pos="2880"/>
                <w:tab w:val="left" w:pos="3600"/>
                <w:tab w:val="left" w:pos="432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Transportation Equipment Manufacturing</w:t>
            </w:r>
          </w:p>
          <w:p w:rsidRPr="00B031F6" w:rsidR="00C25838" w:rsidRDefault="00D96FD6" w14:paraId="5436CF87" w14:textId="77777777">
            <w:pPr>
              <w:pStyle w:val="a"/>
              <w:tabs>
                <w:tab w:val="left" w:pos="-1440"/>
                <w:tab w:val="left" w:pos="-720"/>
                <w:tab w:val="left" w:pos="0"/>
                <w:tab w:val="left" w:pos="240"/>
                <w:tab w:val="left" w:pos="1440"/>
                <w:tab w:val="left" w:pos="2160"/>
                <w:tab w:val="left" w:pos="2880"/>
                <w:tab w:val="left" w:pos="3600"/>
                <w:tab w:val="left" w:pos="432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Air Transportation</w:t>
            </w:r>
          </w:p>
          <w:p w:rsidRPr="00B031F6" w:rsidR="00C25838" w:rsidRDefault="00D96FD6" w14:paraId="55C456AE" w14:textId="77777777">
            <w:pPr>
              <w:pStyle w:val="a"/>
              <w:tabs>
                <w:tab w:val="left" w:pos="-1440"/>
                <w:tab w:val="left" w:pos="-720"/>
                <w:tab w:val="left" w:pos="0"/>
                <w:tab w:val="left" w:pos="240"/>
                <w:tab w:val="left" w:pos="1440"/>
                <w:tab w:val="left" w:pos="2160"/>
                <w:tab w:val="left" w:pos="2880"/>
                <w:tab w:val="left" w:pos="3600"/>
                <w:tab w:val="left" w:pos="432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Utilities</w:t>
            </w:r>
          </w:p>
          <w:p w:rsidRPr="00B031F6" w:rsidR="00C25838" w:rsidRDefault="00D96FD6" w14:paraId="683E3144" w14:textId="77777777">
            <w:pPr>
              <w:pStyle w:val="a"/>
              <w:tabs>
                <w:tab w:val="left" w:pos="-1440"/>
                <w:tab w:val="left" w:pos="-720"/>
                <w:tab w:val="left" w:pos="0"/>
                <w:tab w:val="left" w:pos="240"/>
                <w:tab w:val="left" w:pos="1440"/>
                <w:tab w:val="left" w:pos="2160"/>
                <w:tab w:val="left" w:pos="2880"/>
                <w:tab w:val="left" w:pos="3600"/>
                <w:tab w:val="left" w:pos="432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Environmental Consulting Services</w:t>
            </w:r>
          </w:p>
          <w:p w:rsidRPr="00B031F6" w:rsidR="00C25838" w:rsidRDefault="00D96FD6" w14:paraId="34F4F8A9" w14:textId="77777777">
            <w:pPr>
              <w:pStyle w:val="a"/>
              <w:tabs>
                <w:tab w:val="left" w:pos="-1440"/>
                <w:tab w:val="left" w:pos="-720"/>
                <w:tab w:val="left" w:pos="0"/>
                <w:tab w:val="left" w:pos="240"/>
                <w:tab w:val="left" w:pos="1440"/>
                <w:tab w:val="left" w:pos="2160"/>
                <w:tab w:val="left" w:pos="2880"/>
                <w:tab w:val="left" w:pos="3600"/>
                <w:tab w:val="left" w:pos="4320"/>
              </w:tabs>
              <w:spacing w:after="51"/>
              <w:ind w:left="360" w:hanging="360"/>
              <w:rPr>
                <w:rFonts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Other Scientific and Technical Consulting Services</w:t>
            </w:r>
          </w:p>
        </w:tc>
      </w:tr>
      <w:tr w:rsidRPr="00B031F6" w:rsidR="00C25838" w:rsidTr="00B61C69" w14:paraId="43BCCCAB" w14:textId="77777777">
        <w:trPr>
          <w:cantSplit/>
        </w:trPr>
        <w:tc>
          <w:tcPr>
            <w:tcW w:w="810" w:type="dxa"/>
            <w:tcBorders>
              <w:top w:val="single" w:color="000000" w:sz="6" w:space="0"/>
              <w:left w:val="single" w:color="000000" w:sz="12" w:space="0"/>
              <w:bottom w:val="nil"/>
              <w:right w:val="nil"/>
            </w:tcBorders>
          </w:tcPr>
          <w:p w:rsidRPr="00B031F6" w:rsidR="00C25838" w:rsidRDefault="00C25838" w14:paraId="1A7B3BB0" w14:textId="77777777">
            <w:pPr>
              <w:tabs>
                <w:tab w:val="left" w:pos="-1440"/>
                <w:tab w:val="left" w:pos="-720"/>
                <w:tab w:val="left" w:pos="0"/>
                <w:tab w:val="left" w:pos="240"/>
              </w:tabs>
              <w:spacing w:before="100" w:after="51"/>
              <w:jc w:val="center"/>
              <w:rPr>
                <w:rFonts w:asciiTheme="minorHAnsi" w:hAnsiTheme="minorHAnsi"/>
              </w:rPr>
            </w:pPr>
            <w:r w:rsidRPr="00B031F6">
              <w:rPr>
                <w:rFonts w:cs="Arial" w:asciiTheme="minorHAnsi" w:hAnsiTheme="minorHAnsi"/>
              </w:rPr>
              <w:t>II</w:t>
            </w:r>
          </w:p>
        </w:tc>
        <w:tc>
          <w:tcPr>
            <w:tcW w:w="1980" w:type="dxa"/>
            <w:tcBorders>
              <w:top w:val="single" w:color="000000" w:sz="6" w:space="0"/>
              <w:left w:val="single" w:color="000000" w:sz="6" w:space="0"/>
              <w:bottom w:val="nil"/>
              <w:right w:val="nil"/>
            </w:tcBorders>
          </w:tcPr>
          <w:p w:rsidRPr="00B031F6" w:rsidR="00C25838" w:rsidRDefault="00D96FD6" w14:paraId="04AD82F1" w14:textId="77777777">
            <w:pPr>
              <w:pStyle w:val="a"/>
              <w:tabs>
                <w:tab w:val="left" w:pos="-1440"/>
                <w:tab w:val="left" w:pos="-720"/>
                <w:tab w:val="left" w:pos="0"/>
                <w:tab w:val="left" w:pos="240"/>
                <w:tab w:val="left" w:pos="1440"/>
              </w:tabs>
              <w:spacing w:before="100"/>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1311</w:t>
            </w:r>
          </w:p>
          <w:p w:rsidRPr="00B031F6" w:rsidR="00C25838" w:rsidRDefault="00D96FD6" w14:paraId="0F850D47"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1321</w:t>
            </w:r>
          </w:p>
          <w:p w:rsidRPr="00B031F6" w:rsidR="00C25838" w:rsidRDefault="00D96FD6" w14:paraId="7E5B1955" w14:textId="77777777">
            <w:pPr>
              <w:pStyle w:val="a"/>
              <w:tabs>
                <w:tab w:val="left" w:pos="-1440"/>
                <w:tab w:val="left" w:pos="-720"/>
                <w:tab w:val="left" w:pos="0"/>
                <w:tab w:val="left" w:pos="240"/>
                <w:tab w:val="left" w:pos="1440"/>
              </w:tabs>
              <w:spacing w:after="51"/>
              <w:ind w:left="360" w:hanging="360"/>
              <w:rPr>
                <w:rFonts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 xml:space="preserve">1381 </w:t>
            </w:r>
          </w:p>
        </w:tc>
        <w:tc>
          <w:tcPr>
            <w:tcW w:w="1980" w:type="dxa"/>
            <w:tcBorders>
              <w:top w:val="single" w:color="000000" w:sz="6" w:space="0"/>
              <w:left w:val="single" w:color="000000" w:sz="6" w:space="0"/>
              <w:bottom w:val="nil"/>
              <w:right w:val="nil"/>
            </w:tcBorders>
          </w:tcPr>
          <w:p w:rsidRPr="00B031F6" w:rsidR="00C25838" w:rsidRDefault="00D96FD6" w14:paraId="07E7C918" w14:textId="77777777">
            <w:pPr>
              <w:pStyle w:val="a"/>
              <w:tabs>
                <w:tab w:val="left" w:pos="-1440"/>
                <w:tab w:val="left" w:pos="-720"/>
                <w:tab w:val="left" w:pos="0"/>
                <w:tab w:val="left" w:pos="240"/>
                <w:tab w:val="left" w:pos="1440"/>
              </w:tabs>
              <w:spacing w:before="100"/>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211111</w:t>
            </w:r>
          </w:p>
          <w:p w:rsidRPr="00B031F6" w:rsidR="00C25838" w:rsidRDefault="00D96FD6" w14:paraId="621A50E5"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211112</w:t>
            </w:r>
          </w:p>
          <w:p w:rsidRPr="00B031F6" w:rsidR="00C25838" w:rsidRDefault="00D96FD6" w14:paraId="269E3D5B" w14:textId="77777777">
            <w:pPr>
              <w:pStyle w:val="a"/>
              <w:tabs>
                <w:tab w:val="left" w:pos="-1440"/>
                <w:tab w:val="left" w:pos="-720"/>
                <w:tab w:val="left" w:pos="0"/>
                <w:tab w:val="left" w:pos="240"/>
                <w:tab w:val="left" w:pos="1440"/>
              </w:tabs>
              <w:spacing w:after="51"/>
              <w:ind w:left="360" w:hanging="360"/>
              <w:rPr>
                <w:rFonts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213111</w:t>
            </w:r>
          </w:p>
        </w:tc>
        <w:tc>
          <w:tcPr>
            <w:tcW w:w="4860" w:type="dxa"/>
            <w:tcBorders>
              <w:top w:val="single" w:color="000000" w:sz="6" w:space="0"/>
              <w:left w:val="single" w:color="000000" w:sz="6" w:space="0"/>
              <w:bottom w:val="nil"/>
              <w:right w:val="single" w:color="000000" w:sz="12" w:space="0"/>
            </w:tcBorders>
          </w:tcPr>
          <w:p w:rsidRPr="00B031F6" w:rsidR="00C25838" w:rsidRDefault="00D96FD6" w14:paraId="1FA48F92" w14:textId="77777777">
            <w:pPr>
              <w:pStyle w:val="a"/>
              <w:tabs>
                <w:tab w:val="left" w:pos="-1440"/>
                <w:tab w:val="left" w:pos="-720"/>
                <w:tab w:val="left" w:pos="0"/>
                <w:tab w:val="left" w:pos="240"/>
                <w:tab w:val="left" w:pos="1440"/>
                <w:tab w:val="left" w:pos="2160"/>
                <w:tab w:val="left" w:pos="2880"/>
                <w:tab w:val="left" w:pos="3600"/>
                <w:tab w:val="left" w:pos="4320"/>
              </w:tabs>
              <w:spacing w:before="100"/>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Crude Petroleum and Natural Gas Extraction</w:t>
            </w:r>
          </w:p>
          <w:p w:rsidRPr="00B031F6" w:rsidR="00C25838" w:rsidRDefault="00D96FD6" w14:paraId="0724A0C5" w14:textId="77777777">
            <w:pPr>
              <w:pStyle w:val="a"/>
              <w:tabs>
                <w:tab w:val="left" w:pos="-1440"/>
                <w:tab w:val="left" w:pos="-720"/>
                <w:tab w:val="left" w:pos="0"/>
                <w:tab w:val="left" w:pos="240"/>
                <w:tab w:val="left" w:pos="1440"/>
                <w:tab w:val="left" w:pos="2160"/>
                <w:tab w:val="left" w:pos="2880"/>
                <w:tab w:val="left" w:pos="3600"/>
                <w:tab w:val="left" w:pos="432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Natural Gas Liquid Extraction</w:t>
            </w:r>
          </w:p>
          <w:p w:rsidRPr="00B031F6" w:rsidR="00C25838" w:rsidRDefault="00D96FD6" w14:paraId="2338590B" w14:textId="77777777">
            <w:pPr>
              <w:pStyle w:val="a"/>
              <w:tabs>
                <w:tab w:val="left" w:pos="-1440"/>
                <w:tab w:val="left" w:pos="-720"/>
                <w:tab w:val="left" w:pos="0"/>
                <w:tab w:val="left" w:pos="240"/>
                <w:tab w:val="left" w:pos="1440"/>
                <w:tab w:val="left" w:pos="2160"/>
                <w:tab w:val="left" w:pos="2880"/>
                <w:tab w:val="left" w:pos="3600"/>
                <w:tab w:val="left" w:pos="4320"/>
              </w:tabs>
              <w:spacing w:after="51"/>
              <w:ind w:left="360" w:hanging="360"/>
              <w:rPr>
                <w:rFonts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Drilling Oil and Gas Wells</w:t>
            </w:r>
          </w:p>
        </w:tc>
      </w:tr>
      <w:tr w:rsidRPr="00B031F6" w:rsidR="00C25838" w:rsidTr="00B61C69" w14:paraId="57D04A33" w14:textId="77777777">
        <w:trPr>
          <w:cantSplit/>
        </w:trPr>
        <w:tc>
          <w:tcPr>
            <w:tcW w:w="810" w:type="dxa"/>
            <w:tcBorders>
              <w:top w:val="single" w:color="000000" w:sz="6" w:space="0"/>
              <w:left w:val="single" w:color="000000" w:sz="12" w:space="0"/>
              <w:bottom w:val="single" w:color="000000" w:sz="6" w:space="0"/>
              <w:right w:val="nil"/>
            </w:tcBorders>
          </w:tcPr>
          <w:p w:rsidRPr="00B031F6" w:rsidR="00C25838" w:rsidRDefault="00C25838" w14:paraId="3D049583" w14:textId="77777777">
            <w:pPr>
              <w:tabs>
                <w:tab w:val="left" w:pos="-1440"/>
                <w:tab w:val="left" w:pos="-720"/>
                <w:tab w:val="left" w:pos="0"/>
                <w:tab w:val="left" w:pos="240"/>
              </w:tabs>
              <w:spacing w:before="100" w:after="51"/>
              <w:jc w:val="center"/>
              <w:rPr>
                <w:rFonts w:asciiTheme="minorHAnsi" w:hAnsiTheme="minorHAnsi"/>
              </w:rPr>
            </w:pPr>
            <w:r w:rsidRPr="00B031F6">
              <w:rPr>
                <w:rFonts w:cs="Arial" w:asciiTheme="minorHAnsi" w:hAnsiTheme="minorHAnsi"/>
              </w:rPr>
              <w:t>III</w:t>
            </w:r>
          </w:p>
        </w:tc>
        <w:tc>
          <w:tcPr>
            <w:tcW w:w="1980" w:type="dxa"/>
            <w:tcBorders>
              <w:top w:val="single" w:color="000000" w:sz="6" w:space="0"/>
              <w:left w:val="single" w:color="000000" w:sz="6" w:space="0"/>
              <w:bottom w:val="single" w:color="000000" w:sz="6" w:space="0"/>
              <w:right w:val="nil"/>
            </w:tcBorders>
          </w:tcPr>
          <w:p w:rsidRPr="00B031F6" w:rsidR="00C25838" w:rsidRDefault="00D96FD6" w14:paraId="73E890D0" w14:textId="77777777">
            <w:pPr>
              <w:pStyle w:val="a"/>
              <w:tabs>
                <w:tab w:val="left" w:pos="-1440"/>
                <w:tab w:val="left" w:pos="-720"/>
                <w:tab w:val="left" w:pos="0"/>
                <w:tab w:val="left" w:pos="240"/>
                <w:tab w:val="left" w:pos="1440"/>
              </w:tabs>
              <w:spacing w:before="100"/>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Major Group 10</w:t>
            </w:r>
          </w:p>
          <w:p w:rsidRPr="00B031F6" w:rsidR="00C25838" w:rsidRDefault="00D96FD6" w14:paraId="3C086DAE" w14:textId="77777777">
            <w:pPr>
              <w:pStyle w:val="a"/>
              <w:tabs>
                <w:tab w:val="left" w:pos="-1440"/>
                <w:tab w:val="left" w:pos="-720"/>
                <w:tab w:val="left" w:pos="0"/>
                <w:tab w:val="left" w:pos="240"/>
                <w:tab w:val="left" w:pos="1440"/>
              </w:tabs>
              <w:spacing w:after="51"/>
              <w:ind w:left="360" w:hanging="360"/>
              <w:rPr>
                <w:rFonts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Major Group 14</w:t>
            </w:r>
          </w:p>
        </w:tc>
        <w:tc>
          <w:tcPr>
            <w:tcW w:w="1980" w:type="dxa"/>
            <w:tcBorders>
              <w:top w:val="single" w:color="000000" w:sz="6" w:space="0"/>
              <w:left w:val="single" w:color="000000" w:sz="6" w:space="0"/>
              <w:bottom w:val="single" w:color="000000" w:sz="6" w:space="0"/>
              <w:right w:val="nil"/>
            </w:tcBorders>
          </w:tcPr>
          <w:p w:rsidRPr="00B031F6" w:rsidR="00C25838" w:rsidRDefault="00D96FD6" w14:paraId="2A647844" w14:textId="77777777">
            <w:pPr>
              <w:pStyle w:val="a"/>
              <w:tabs>
                <w:tab w:val="left" w:pos="-1440"/>
                <w:tab w:val="left" w:pos="-720"/>
                <w:tab w:val="left" w:pos="0"/>
                <w:tab w:val="left" w:pos="240"/>
                <w:tab w:val="left" w:pos="1440"/>
              </w:tabs>
              <w:spacing w:before="100" w:after="51"/>
              <w:ind w:left="360" w:hanging="360"/>
              <w:rPr>
                <w:rFonts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212</w:t>
            </w:r>
          </w:p>
        </w:tc>
        <w:tc>
          <w:tcPr>
            <w:tcW w:w="4860" w:type="dxa"/>
            <w:tcBorders>
              <w:top w:val="single" w:color="000000" w:sz="6" w:space="0"/>
              <w:left w:val="single" w:color="000000" w:sz="6" w:space="0"/>
              <w:bottom w:val="single" w:color="000000" w:sz="6" w:space="0"/>
              <w:right w:val="single" w:color="000000" w:sz="12" w:space="0"/>
            </w:tcBorders>
          </w:tcPr>
          <w:p w:rsidRPr="00B031F6" w:rsidR="00C25838" w:rsidRDefault="00D96FD6" w14:paraId="6B668A30" w14:textId="77777777">
            <w:pPr>
              <w:pStyle w:val="a"/>
              <w:tabs>
                <w:tab w:val="left" w:pos="-1440"/>
                <w:tab w:val="left" w:pos="-720"/>
                <w:tab w:val="left" w:pos="0"/>
                <w:tab w:val="left" w:pos="240"/>
                <w:tab w:val="left" w:pos="1440"/>
                <w:tab w:val="left" w:pos="2160"/>
                <w:tab w:val="left" w:pos="2880"/>
                <w:tab w:val="left" w:pos="3600"/>
                <w:tab w:val="left" w:pos="4320"/>
              </w:tabs>
              <w:spacing w:before="100" w:after="51"/>
              <w:ind w:left="360" w:hanging="360"/>
              <w:rPr>
                <w:rFonts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Mining (except Oil and Gas)</w:t>
            </w:r>
          </w:p>
        </w:tc>
      </w:tr>
      <w:tr w:rsidRPr="00B031F6" w:rsidR="00C25838" w:rsidTr="00B61C69" w14:paraId="086C9CDD" w14:textId="77777777">
        <w:trPr>
          <w:cantSplit/>
        </w:trPr>
        <w:tc>
          <w:tcPr>
            <w:tcW w:w="810" w:type="dxa"/>
            <w:tcBorders>
              <w:top w:val="single" w:color="000000" w:sz="6" w:space="0"/>
              <w:left w:val="single" w:color="000000" w:sz="12" w:space="0"/>
              <w:bottom w:val="single" w:color="auto" w:sz="4" w:space="0"/>
              <w:right w:val="nil"/>
            </w:tcBorders>
          </w:tcPr>
          <w:p w:rsidRPr="00B031F6" w:rsidR="00C25838" w:rsidRDefault="00C25838" w14:paraId="6CBB5C9E" w14:textId="77777777">
            <w:pPr>
              <w:tabs>
                <w:tab w:val="left" w:pos="-1440"/>
                <w:tab w:val="left" w:pos="-720"/>
                <w:tab w:val="left" w:pos="0"/>
                <w:tab w:val="left" w:pos="240"/>
              </w:tabs>
              <w:spacing w:before="100" w:after="51"/>
              <w:jc w:val="center"/>
              <w:rPr>
                <w:rFonts w:asciiTheme="minorHAnsi" w:hAnsiTheme="minorHAnsi"/>
              </w:rPr>
            </w:pPr>
            <w:r w:rsidRPr="00B031F6">
              <w:rPr>
                <w:rFonts w:cs="Arial" w:asciiTheme="minorHAnsi" w:hAnsiTheme="minorHAnsi"/>
              </w:rPr>
              <w:t>IV</w:t>
            </w:r>
          </w:p>
        </w:tc>
        <w:tc>
          <w:tcPr>
            <w:tcW w:w="1980" w:type="dxa"/>
            <w:tcBorders>
              <w:top w:val="single" w:color="000000" w:sz="6" w:space="0"/>
              <w:left w:val="single" w:color="000000" w:sz="6" w:space="0"/>
              <w:bottom w:val="single" w:color="auto" w:sz="4" w:space="0"/>
              <w:right w:val="nil"/>
            </w:tcBorders>
            <w:vAlign w:val="center"/>
          </w:tcPr>
          <w:p w:rsidRPr="00B031F6" w:rsidR="00C25838" w:rsidP="00356421" w:rsidRDefault="00D96FD6" w14:paraId="6ADD0E49"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356421">
              <w:rPr>
                <w:rFonts w:cs="Arial" w:asciiTheme="minorHAnsi" w:hAnsiTheme="minorHAnsi"/>
                <w:sz w:val="20"/>
                <w:szCs w:val="20"/>
              </w:rPr>
              <w:tab/>
              <w:t>4953</w:t>
            </w:r>
          </w:p>
        </w:tc>
        <w:tc>
          <w:tcPr>
            <w:tcW w:w="1980" w:type="dxa"/>
            <w:tcBorders>
              <w:top w:val="single" w:color="000000" w:sz="6" w:space="0"/>
              <w:left w:val="single" w:color="000000" w:sz="6" w:space="0"/>
              <w:bottom w:val="single" w:color="auto" w:sz="4" w:space="0"/>
              <w:right w:val="nil"/>
            </w:tcBorders>
          </w:tcPr>
          <w:p w:rsidRPr="00B031F6" w:rsidR="00C25838" w:rsidP="00356421" w:rsidRDefault="00D96FD6" w14:paraId="3D79EE25" w14:textId="77777777">
            <w:pPr>
              <w:pStyle w:val="a"/>
              <w:tabs>
                <w:tab w:val="left" w:pos="-1440"/>
                <w:tab w:val="left" w:pos="-720"/>
                <w:tab w:val="left" w:pos="0"/>
                <w:tab w:val="left" w:pos="240"/>
                <w:tab w:val="left" w:pos="1440"/>
              </w:tabs>
              <w:spacing w:before="100" w:after="51"/>
              <w:ind w:left="0"/>
              <w:rPr>
                <w:rFonts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r>
            <w:r w:rsidRPr="00B031F6" w:rsidR="00356421">
              <w:rPr>
                <w:rFonts w:cs="Arial" w:asciiTheme="minorHAnsi" w:hAnsiTheme="minorHAnsi"/>
                <w:sz w:val="20"/>
                <w:szCs w:val="20"/>
              </w:rPr>
              <w:t>562</w:t>
            </w:r>
          </w:p>
        </w:tc>
        <w:tc>
          <w:tcPr>
            <w:tcW w:w="4860" w:type="dxa"/>
            <w:tcBorders>
              <w:top w:val="single" w:color="000000" w:sz="6" w:space="0"/>
              <w:left w:val="single" w:color="000000" w:sz="6" w:space="0"/>
              <w:bottom w:val="single" w:color="auto" w:sz="4" w:space="0"/>
              <w:right w:val="single" w:color="000000" w:sz="12" w:space="0"/>
            </w:tcBorders>
          </w:tcPr>
          <w:p w:rsidRPr="00B031F6" w:rsidR="00C25838" w:rsidRDefault="00D96FD6" w14:paraId="09B1E360" w14:textId="77777777">
            <w:pPr>
              <w:pStyle w:val="a"/>
              <w:tabs>
                <w:tab w:val="left" w:pos="-1440"/>
                <w:tab w:val="left" w:pos="-720"/>
                <w:tab w:val="left" w:pos="0"/>
                <w:tab w:val="left" w:pos="240"/>
                <w:tab w:val="left" w:pos="1440"/>
                <w:tab w:val="left" w:pos="2160"/>
                <w:tab w:val="left" w:pos="2880"/>
                <w:tab w:val="left" w:pos="3600"/>
                <w:tab w:val="left" w:pos="4320"/>
              </w:tabs>
              <w:spacing w:before="100" w:after="51"/>
              <w:ind w:left="360" w:hanging="360"/>
              <w:rPr>
                <w:rFonts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r>
            <w:r w:rsidRPr="00B031F6" w:rsidR="00356421">
              <w:rPr>
                <w:rFonts w:cs="Arial" w:asciiTheme="minorHAnsi" w:hAnsiTheme="minorHAnsi"/>
                <w:sz w:val="20"/>
                <w:szCs w:val="20"/>
              </w:rPr>
              <w:t>Waste Management and Remediation Services</w:t>
            </w:r>
          </w:p>
        </w:tc>
      </w:tr>
      <w:tr w:rsidRPr="00B031F6" w:rsidR="00C25838" w:rsidTr="00B61C69" w14:paraId="156BC07D" w14:textId="77777777">
        <w:trPr>
          <w:cantSplit/>
        </w:trPr>
        <w:tc>
          <w:tcPr>
            <w:tcW w:w="810" w:type="dxa"/>
            <w:tcBorders>
              <w:top w:val="single" w:color="auto" w:sz="4" w:space="0"/>
              <w:left w:val="single" w:color="000000" w:sz="12" w:space="0"/>
              <w:bottom w:val="single" w:color="000000" w:sz="12" w:space="0"/>
              <w:right w:val="nil"/>
            </w:tcBorders>
          </w:tcPr>
          <w:p w:rsidRPr="00B031F6" w:rsidR="00C25838" w:rsidP="00F83E70" w:rsidRDefault="00C25838" w14:paraId="49CA8C99" w14:textId="77777777">
            <w:pPr>
              <w:tabs>
                <w:tab w:val="left" w:pos="-1440"/>
                <w:tab w:val="left" w:pos="-720"/>
                <w:tab w:val="left" w:pos="0"/>
                <w:tab w:val="left" w:pos="240"/>
              </w:tabs>
              <w:jc w:val="center"/>
              <w:rPr>
                <w:rFonts w:asciiTheme="minorHAnsi" w:hAnsiTheme="minorHAnsi"/>
              </w:rPr>
            </w:pPr>
            <w:r w:rsidRPr="00B031F6">
              <w:rPr>
                <w:rFonts w:cs="Arial" w:asciiTheme="minorHAnsi" w:hAnsiTheme="minorHAnsi"/>
              </w:rPr>
              <w:lastRenderedPageBreak/>
              <w:t>V</w:t>
            </w:r>
          </w:p>
        </w:tc>
        <w:tc>
          <w:tcPr>
            <w:tcW w:w="1980" w:type="dxa"/>
            <w:tcBorders>
              <w:top w:val="single" w:color="auto" w:sz="4" w:space="0"/>
              <w:left w:val="single" w:color="000000" w:sz="6" w:space="0"/>
              <w:bottom w:val="single" w:color="000000" w:sz="12" w:space="0"/>
              <w:right w:val="nil"/>
            </w:tcBorders>
          </w:tcPr>
          <w:p w:rsidRPr="00B031F6" w:rsidR="00C25838" w:rsidP="00F83E70" w:rsidRDefault="00D96FD6" w14:paraId="7A8099E7"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01, 02, 074, 075</w:t>
            </w:r>
          </w:p>
          <w:p w:rsidRPr="00B031F6" w:rsidR="00C25838" w:rsidP="00F83E70" w:rsidRDefault="00C25838" w14:paraId="329D2855" w14:textId="77777777">
            <w:pPr>
              <w:tabs>
                <w:tab w:val="left" w:pos="-1440"/>
                <w:tab w:val="left" w:pos="-720"/>
                <w:tab w:val="left" w:pos="0"/>
                <w:tab w:val="left" w:pos="240"/>
                <w:tab w:val="left" w:pos="1440"/>
              </w:tabs>
              <w:rPr>
                <w:rFonts w:cs="Arial" w:asciiTheme="minorHAnsi" w:hAnsiTheme="minorHAnsi"/>
              </w:rPr>
            </w:pPr>
          </w:p>
          <w:p w:rsidRPr="00B031F6" w:rsidR="00C25838" w:rsidP="00F83E70" w:rsidRDefault="00D96FD6" w14:paraId="522110A1"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4789, 4953, 9511</w:t>
            </w:r>
          </w:p>
          <w:p w:rsidRPr="00B031F6" w:rsidR="00C25838" w:rsidP="00F83E70" w:rsidRDefault="00C25838" w14:paraId="5987E2D4" w14:textId="77777777">
            <w:pPr>
              <w:tabs>
                <w:tab w:val="left" w:pos="-1440"/>
                <w:tab w:val="left" w:pos="-720"/>
                <w:tab w:val="left" w:pos="0"/>
                <w:tab w:val="left" w:pos="240"/>
                <w:tab w:val="left" w:pos="1440"/>
              </w:tabs>
              <w:rPr>
                <w:rFonts w:cs="Arial" w:asciiTheme="minorHAnsi" w:hAnsiTheme="minorHAnsi"/>
              </w:rPr>
            </w:pPr>
          </w:p>
          <w:p w:rsidRPr="00B031F6" w:rsidR="00C25838" w:rsidP="00F83E70" w:rsidRDefault="00D96FD6" w14:paraId="4D15BFE6"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7542</w:t>
            </w:r>
          </w:p>
          <w:p w:rsidRPr="00B031F6" w:rsidR="00C25838" w:rsidP="00F83E70" w:rsidRDefault="00D96FD6" w14:paraId="566FAF13"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7033, 9111</w:t>
            </w:r>
          </w:p>
          <w:p w:rsidRPr="00B031F6" w:rsidR="00C25838" w:rsidP="00F83E70" w:rsidRDefault="00C25838" w14:paraId="159C418C" w14:textId="77777777">
            <w:pPr>
              <w:tabs>
                <w:tab w:val="left" w:pos="-1440"/>
                <w:tab w:val="left" w:pos="-720"/>
                <w:tab w:val="left" w:pos="0"/>
                <w:tab w:val="left" w:pos="240"/>
                <w:tab w:val="left" w:pos="1440"/>
              </w:tabs>
              <w:rPr>
                <w:rFonts w:cs="Arial" w:asciiTheme="minorHAnsi" w:hAnsiTheme="minorHAnsi"/>
              </w:rPr>
            </w:pPr>
          </w:p>
          <w:p w:rsidRPr="00B031F6" w:rsidR="00C25838" w:rsidP="00F83E70" w:rsidRDefault="00D96FD6" w14:paraId="268B62F0" w14:textId="77777777">
            <w:pPr>
              <w:pStyle w:val="a"/>
              <w:tabs>
                <w:tab w:val="left" w:pos="-1440"/>
                <w:tab w:val="left" w:pos="-720"/>
                <w:tab w:val="left" w:pos="0"/>
                <w:tab w:val="left" w:pos="240"/>
                <w:tab w:val="left" w:pos="1440"/>
              </w:tabs>
              <w:ind w:left="189" w:hanging="189"/>
              <w:rPr>
                <w:rFonts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4142, 4212, 4213, 4581, 5015, 5511, 5521, 5531, 5541, 7514, 7515, 7532, 7533, 7537, 7538, 7539, 7549, 9111</w:t>
            </w:r>
          </w:p>
        </w:tc>
        <w:tc>
          <w:tcPr>
            <w:tcW w:w="1980" w:type="dxa"/>
            <w:tcBorders>
              <w:top w:val="single" w:color="auto" w:sz="4" w:space="0"/>
              <w:left w:val="single" w:color="000000" w:sz="6" w:space="0"/>
              <w:bottom w:val="single" w:color="000000" w:sz="12" w:space="0"/>
              <w:right w:val="nil"/>
            </w:tcBorders>
          </w:tcPr>
          <w:p w:rsidRPr="00B031F6" w:rsidR="00F83E70" w:rsidP="00F83E70" w:rsidRDefault="00F83E70" w14:paraId="4C5F6B2D" w14:textId="77777777">
            <w:pPr>
              <w:numPr>
                <w:ilvl w:val="0"/>
                <w:numId w:val="42"/>
              </w:numPr>
              <w:tabs>
                <w:tab w:val="left" w:pos="-1440"/>
                <w:tab w:val="left" w:pos="-720"/>
                <w:tab w:val="left" w:pos="0"/>
                <w:tab w:val="left" w:pos="279"/>
                <w:tab w:val="left" w:pos="1440"/>
              </w:tabs>
              <w:ind w:left="279" w:hanging="270"/>
              <w:rPr>
                <w:rFonts w:cs="Arial" w:asciiTheme="minorHAnsi" w:hAnsiTheme="minorHAnsi"/>
              </w:rPr>
            </w:pPr>
            <w:r w:rsidRPr="00B031F6">
              <w:rPr>
                <w:rFonts w:cs="Arial" w:asciiTheme="minorHAnsi" w:hAnsiTheme="minorHAnsi"/>
              </w:rPr>
              <w:t>111, 112, 54194, 11521</w:t>
            </w:r>
          </w:p>
          <w:p w:rsidRPr="00B031F6" w:rsidR="00F83E70" w:rsidP="00F83E70" w:rsidRDefault="00F83E70" w14:paraId="039F7CF6" w14:textId="77777777">
            <w:pPr>
              <w:numPr>
                <w:ilvl w:val="0"/>
                <w:numId w:val="42"/>
              </w:numPr>
              <w:tabs>
                <w:tab w:val="left" w:pos="-1440"/>
                <w:tab w:val="left" w:pos="-720"/>
                <w:tab w:val="left" w:pos="0"/>
                <w:tab w:val="left" w:pos="279"/>
                <w:tab w:val="left" w:pos="1440"/>
              </w:tabs>
              <w:ind w:left="279" w:hanging="270"/>
              <w:rPr>
                <w:rFonts w:cs="Arial" w:asciiTheme="minorHAnsi" w:hAnsiTheme="minorHAnsi"/>
              </w:rPr>
            </w:pPr>
            <w:r w:rsidRPr="00B031F6">
              <w:rPr>
                <w:rFonts w:cs="Arial" w:asciiTheme="minorHAnsi" w:hAnsiTheme="minorHAnsi"/>
              </w:rPr>
              <w:t>488999, 562213, 562219, 92411</w:t>
            </w:r>
          </w:p>
          <w:p w:rsidRPr="00B031F6" w:rsidR="00F83E70" w:rsidP="00F83E70" w:rsidRDefault="00F83E70" w14:paraId="18899427" w14:textId="77777777">
            <w:pPr>
              <w:numPr>
                <w:ilvl w:val="0"/>
                <w:numId w:val="42"/>
              </w:numPr>
              <w:tabs>
                <w:tab w:val="left" w:pos="-1440"/>
                <w:tab w:val="left" w:pos="-720"/>
                <w:tab w:val="left" w:pos="0"/>
                <w:tab w:val="left" w:pos="279"/>
                <w:tab w:val="left" w:pos="1440"/>
              </w:tabs>
              <w:ind w:left="279" w:hanging="270"/>
              <w:rPr>
                <w:rFonts w:cs="Arial" w:asciiTheme="minorHAnsi" w:hAnsiTheme="minorHAnsi"/>
              </w:rPr>
            </w:pPr>
            <w:r w:rsidRPr="00B031F6">
              <w:rPr>
                <w:rFonts w:cs="Arial" w:asciiTheme="minorHAnsi" w:hAnsiTheme="minorHAnsi"/>
              </w:rPr>
              <w:t>811192</w:t>
            </w:r>
          </w:p>
          <w:p w:rsidRPr="00B031F6" w:rsidR="00C25838" w:rsidP="00F83E70" w:rsidRDefault="00F83E70" w14:paraId="71056B24" w14:textId="77777777">
            <w:pPr>
              <w:numPr>
                <w:ilvl w:val="0"/>
                <w:numId w:val="42"/>
              </w:numPr>
              <w:tabs>
                <w:tab w:val="left" w:pos="-1440"/>
                <w:tab w:val="left" w:pos="-720"/>
                <w:tab w:val="left" w:pos="0"/>
                <w:tab w:val="left" w:pos="279"/>
                <w:tab w:val="left" w:pos="1440"/>
              </w:tabs>
              <w:ind w:left="279" w:hanging="270"/>
              <w:rPr>
                <w:rFonts w:cs="Arial" w:asciiTheme="minorHAnsi" w:hAnsiTheme="minorHAnsi"/>
              </w:rPr>
            </w:pPr>
            <w:r w:rsidRPr="00B031F6">
              <w:rPr>
                <w:rFonts w:cs="Arial" w:asciiTheme="minorHAnsi" w:hAnsiTheme="minorHAnsi"/>
              </w:rPr>
              <w:t>7212, 92111</w:t>
            </w:r>
          </w:p>
          <w:p w:rsidRPr="00B031F6" w:rsidR="00F83E70" w:rsidP="00F83E70" w:rsidRDefault="00F83E70" w14:paraId="77EC2F26" w14:textId="77777777">
            <w:pPr>
              <w:tabs>
                <w:tab w:val="left" w:pos="-1440"/>
                <w:tab w:val="left" w:pos="-720"/>
                <w:tab w:val="left" w:pos="0"/>
                <w:tab w:val="left" w:pos="279"/>
                <w:tab w:val="left" w:pos="1440"/>
              </w:tabs>
              <w:ind w:left="279"/>
              <w:rPr>
                <w:rFonts w:cs="Arial" w:asciiTheme="minorHAnsi" w:hAnsiTheme="minorHAnsi"/>
              </w:rPr>
            </w:pPr>
          </w:p>
          <w:p w:rsidRPr="00B031F6" w:rsidR="00C25838" w:rsidP="00F83E70" w:rsidRDefault="00F83E70" w14:paraId="3AD9B460" w14:textId="77777777">
            <w:pPr>
              <w:pStyle w:val="a"/>
              <w:numPr>
                <w:ilvl w:val="0"/>
                <w:numId w:val="42"/>
              </w:numPr>
              <w:tabs>
                <w:tab w:val="left" w:pos="-1440"/>
                <w:tab w:val="left" w:pos="-720"/>
                <w:tab w:val="left" w:pos="0"/>
                <w:tab w:val="left" w:pos="279"/>
                <w:tab w:val="left" w:pos="1440"/>
              </w:tabs>
              <w:ind w:left="279" w:hanging="270"/>
              <w:rPr>
                <w:rFonts w:asciiTheme="minorHAnsi" w:hAnsiTheme="minorHAnsi"/>
                <w:sz w:val="20"/>
                <w:szCs w:val="20"/>
              </w:rPr>
            </w:pPr>
            <w:r w:rsidRPr="00B031F6">
              <w:rPr>
                <w:rFonts w:cs="Arial" w:asciiTheme="minorHAnsi" w:hAnsiTheme="minorHAnsi"/>
                <w:sz w:val="20"/>
                <w:szCs w:val="20"/>
              </w:rPr>
              <w:t>441, 484, 485, 488, 562, 811, 44711, 44719, 45299, 48841, 92111, 532111, 532112</w:t>
            </w:r>
          </w:p>
        </w:tc>
        <w:tc>
          <w:tcPr>
            <w:tcW w:w="4860" w:type="dxa"/>
            <w:tcBorders>
              <w:top w:val="single" w:color="auto" w:sz="4" w:space="0"/>
              <w:left w:val="single" w:color="000000" w:sz="6" w:space="0"/>
              <w:bottom w:val="single" w:color="000000" w:sz="12" w:space="0"/>
              <w:right w:val="single" w:color="000000" w:sz="12" w:space="0"/>
            </w:tcBorders>
          </w:tcPr>
          <w:p w:rsidRPr="00B031F6" w:rsidR="00C25838" w:rsidP="00F83E70" w:rsidRDefault="00D96FD6" w14:paraId="4CE98C2F" w14:textId="77777777">
            <w:pPr>
              <w:pStyle w:val="a"/>
              <w:tabs>
                <w:tab w:val="left" w:pos="-1440"/>
                <w:tab w:val="left" w:pos="-720"/>
                <w:tab w:val="left" w:pos="0"/>
                <w:tab w:val="left" w:pos="279"/>
                <w:tab w:val="left" w:pos="1440"/>
                <w:tab w:val="left" w:pos="2160"/>
                <w:tab w:val="left" w:pos="2880"/>
                <w:tab w:val="left" w:pos="3600"/>
                <w:tab w:val="left" w:pos="4320"/>
              </w:tabs>
              <w:ind w:left="279" w:hanging="27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Agricultural or storm drainage wells</w:t>
            </w:r>
          </w:p>
          <w:p w:rsidRPr="00B031F6" w:rsidR="00C25838" w:rsidP="00F83E70" w:rsidRDefault="00C25838" w14:paraId="36B3C197" w14:textId="77777777">
            <w:pPr>
              <w:tabs>
                <w:tab w:val="left" w:pos="-1440"/>
                <w:tab w:val="left" w:pos="-720"/>
                <w:tab w:val="left" w:pos="0"/>
                <w:tab w:val="left" w:pos="279"/>
                <w:tab w:val="left" w:pos="1440"/>
                <w:tab w:val="left" w:pos="2160"/>
                <w:tab w:val="left" w:pos="2880"/>
                <w:tab w:val="left" w:pos="3600"/>
                <w:tab w:val="left" w:pos="4320"/>
              </w:tabs>
              <w:ind w:left="279" w:hanging="270"/>
              <w:rPr>
                <w:rFonts w:cs="Arial" w:asciiTheme="minorHAnsi" w:hAnsiTheme="minorHAnsi"/>
              </w:rPr>
            </w:pPr>
          </w:p>
          <w:p w:rsidRPr="00B031F6" w:rsidR="00C25838" w:rsidP="00F83E70" w:rsidRDefault="00D96FD6" w14:paraId="29168184" w14:textId="77777777">
            <w:pPr>
              <w:pStyle w:val="a"/>
              <w:tabs>
                <w:tab w:val="left" w:pos="-1440"/>
                <w:tab w:val="left" w:pos="-720"/>
                <w:tab w:val="left" w:pos="0"/>
                <w:tab w:val="left" w:pos="279"/>
                <w:tab w:val="left" w:pos="1440"/>
                <w:tab w:val="left" w:pos="2160"/>
                <w:tab w:val="left" w:pos="2880"/>
                <w:tab w:val="left" w:pos="3600"/>
                <w:tab w:val="left" w:pos="4320"/>
              </w:tabs>
              <w:ind w:left="279" w:hanging="27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Domestic wastewater disposal wells</w:t>
            </w:r>
          </w:p>
          <w:p w:rsidRPr="00B031F6" w:rsidR="00C25838" w:rsidP="00F83E70" w:rsidRDefault="00C25838" w14:paraId="5F737F9D" w14:textId="77777777">
            <w:pPr>
              <w:tabs>
                <w:tab w:val="left" w:pos="-1440"/>
                <w:tab w:val="left" w:pos="-720"/>
                <w:tab w:val="left" w:pos="0"/>
                <w:tab w:val="left" w:pos="279"/>
                <w:tab w:val="left" w:pos="1440"/>
                <w:tab w:val="left" w:pos="2160"/>
                <w:tab w:val="left" w:pos="2880"/>
                <w:tab w:val="left" w:pos="3600"/>
                <w:tab w:val="left" w:pos="4320"/>
              </w:tabs>
              <w:ind w:left="279" w:hanging="270"/>
              <w:rPr>
                <w:rFonts w:cs="Arial" w:asciiTheme="minorHAnsi" w:hAnsiTheme="minorHAnsi"/>
              </w:rPr>
            </w:pPr>
          </w:p>
          <w:p w:rsidRPr="00B031F6" w:rsidR="00C25838" w:rsidP="00F83E70" w:rsidRDefault="00D96FD6" w14:paraId="6CF3A1FE" w14:textId="77777777">
            <w:pPr>
              <w:pStyle w:val="a"/>
              <w:tabs>
                <w:tab w:val="left" w:pos="-1440"/>
                <w:tab w:val="left" w:pos="-720"/>
                <w:tab w:val="left" w:pos="0"/>
                <w:tab w:val="left" w:pos="279"/>
                <w:tab w:val="left" w:pos="1440"/>
                <w:tab w:val="left" w:pos="2160"/>
                <w:tab w:val="left" w:pos="2880"/>
                <w:tab w:val="left" w:pos="3600"/>
                <w:tab w:val="left" w:pos="4320"/>
              </w:tabs>
              <w:ind w:left="279" w:hanging="27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Car washes</w:t>
            </w:r>
          </w:p>
          <w:p w:rsidRPr="00B031F6" w:rsidR="00C25838" w:rsidP="00F83E70" w:rsidRDefault="00D96FD6" w14:paraId="599A860E" w14:textId="77777777">
            <w:pPr>
              <w:pStyle w:val="a"/>
              <w:tabs>
                <w:tab w:val="left" w:pos="-1440"/>
                <w:tab w:val="left" w:pos="-720"/>
                <w:tab w:val="left" w:pos="0"/>
                <w:tab w:val="left" w:pos="279"/>
                <w:tab w:val="left" w:pos="1440"/>
                <w:tab w:val="left" w:pos="2160"/>
                <w:tab w:val="left" w:pos="2880"/>
                <w:tab w:val="left" w:pos="3600"/>
                <w:tab w:val="left" w:pos="4320"/>
              </w:tabs>
              <w:ind w:left="279" w:hanging="27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Recreational vehicle parks and campsites, executive offices (e.g., state parks and campgrounds)</w:t>
            </w:r>
          </w:p>
          <w:p w:rsidRPr="00B031F6" w:rsidR="00C25838" w:rsidP="00F83E70" w:rsidRDefault="00D96FD6" w14:paraId="1815BFCC" w14:textId="42A1A7D7">
            <w:pPr>
              <w:pStyle w:val="a"/>
              <w:tabs>
                <w:tab w:val="left" w:pos="-1440"/>
                <w:tab w:val="left" w:pos="-720"/>
                <w:tab w:val="left" w:pos="0"/>
                <w:tab w:val="left" w:pos="279"/>
                <w:tab w:val="left" w:pos="1440"/>
                <w:tab w:val="left" w:pos="2160"/>
                <w:tab w:val="left" w:pos="2880"/>
                <w:tab w:val="left" w:pos="3600"/>
                <w:tab w:val="left" w:pos="4320"/>
              </w:tabs>
              <w:ind w:left="279" w:hanging="270"/>
              <w:rPr>
                <w:rFonts w:asciiTheme="minorHAnsi" w:hAnsiTheme="minorHAnsi"/>
                <w:sz w:val="20"/>
                <w:szCs w:val="20"/>
              </w:rPr>
            </w:pPr>
            <w:r w:rsidRPr="00B031F6">
              <w:rPr>
                <w:rFonts w:cs="WP TypographicSymbols" w:asciiTheme="minorHAnsi" w:hAnsiTheme="minorHAnsi"/>
                <w:sz w:val="20"/>
                <w:szCs w:val="20"/>
              </w:rPr>
              <w:sym w:font="Symbol" w:char="F0B7"/>
            </w:r>
            <w:r w:rsidRPr="00B031F6" w:rsidR="00C25838">
              <w:rPr>
                <w:rFonts w:cs="Arial" w:asciiTheme="minorHAnsi" w:hAnsiTheme="minorHAnsi"/>
                <w:sz w:val="20"/>
                <w:szCs w:val="20"/>
              </w:rPr>
              <w:tab/>
              <w:t>Bus charter services, trucking, airports, flying fields, and airport terminal services; motor vehicle parts; motor vehicle dealers; auto and home supply stores; gasoline service stations; passenger car rental or leasing; automotive repair and services; executive offices</w:t>
            </w:r>
          </w:p>
        </w:tc>
      </w:tr>
      <w:tr w:rsidRPr="00B031F6" w:rsidR="00256C61" w:rsidTr="00B61C69" w14:paraId="0591878D" w14:textId="77777777">
        <w:trPr>
          <w:cantSplit/>
        </w:trPr>
        <w:tc>
          <w:tcPr>
            <w:tcW w:w="810" w:type="dxa"/>
            <w:tcBorders>
              <w:top w:val="single" w:color="000000" w:sz="6" w:space="0"/>
              <w:left w:val="single" w:color="000000" w:sz="12" w:space="0"/>
              <w:bottom w:val="single" w:color="000000" w:sz="12" w:space="0"/>
              <w:right w:val="nil"/>
            </w:tcBorders>
          </w:tcPr>
          <w:p w:rsidRPr="00B031F6" w:rsidR="00256C61" w:rsidP="00F83E70" w:rsidRDefault="00256C61" w14:paraId="61C44AE8" w14:textId="77777777">
            <w:pPr>
              <w:tabs>
                <w:tab w:val="left" w:pos="-1440"/>
                <w:tab w:val="left" w:pos="-720"/>
                <w:tab w:val="left" w:pos="0"/>
                <w:tab w:val="left" w:pos="240"/>
              </w:tabs>
              <w:jc w:val="center"/>
              <w:rPr>
                <w:rFonts w:cs="Arial" w:asciiTheme="minorHAnsi" w:hAnsiTheme="minorHAnsi"/>
              </w:rPr>
            </w:pPr>
            <w:r w:rsidRPr="00B031F6">
              <w:rPr>
                <w:rFonts w:cs="Arial" w:asciiTheme="minorHAnsi" w:hAnsiTheme="minorHAnsi"/>
              </w:rPr>
              <w:t>VI</w:t>
            </w:r>
          </w:p>
        </w:tc>
        <w:tc>
          <w:tcPr>
            <w:tcW w:w="1980" w:type="dxa"/>
            <w:tcBorders>
              <w:top w:val="single" w:color="000000" w:sz="6" w:space="0"/>
              <w:left w:val="single" w:color="000000" w:sz="6" w:space="0"/>
              <w:bottom w:val="single" w:color="000000" w:sz="12" w:space="0"/>
              <w:right w:val="nil"/>
            </w:tcBorders>
          </w:tcPr>
          <w:p w:rsidRPr="00B031F6" w:rsidR="00256C61" w:rsidP="00FC20AC" w:rsidRDefault="00FC20AC" w14:paraId="427A9BC5" w14:textId="77777777">
            <w:pPr>
              <w:pStyle w:val="a"/>
              <w:numPr>
                <w:ilvl w:val="0"/>
                <w:numId w:val="43"/>
              </w:numPr>
              <w:tabs>
                <w:tab w:val="left" w:pos="-1440"/>
                <w:tab w:val="left" w:pos="-720"/>
                <w:tab w:val="left" w:pos="0"/>
                <w:tab w:val="left" w:pos="240"/>
                <w:tab w:val="left" w:pos="1440"/>
              </w:tabs>
              <w:ind w:hanging="711"/>
              <w:rPr>
                <w:rFonts w:cs="Arial" w:asciiTheme="minorHAnsi" w:hAnsiTheme="minorHAnsi"/>
                <w:sz w:val="20"/>
                <w:szCs w:val="20"/>
              </w:rPr>
            </w:pPr>
            <w:r w:rsidRPr="00B031F6">
              <w:rPr>
                <w:rFonts w:cs="Arial" w:asciiTheme="minorHAnsi" w:hAnsiTheme="minorHAnsi"/>
                <w:sz w:val="20"/>
                <w:szCs w:val="20"/>
              </w:rPr>
              <w:t>4911</w:t>
            </w:r>
          </w:p>
          <w:p w:rsidRPr="00B031F6" w:rsidR="00FC20AC" w:rsidP="00FC20AC" w:rsidRDefault="00FC20AC" w14:paraId="74B6A736" w14:textId="77777777">
            <w:pPr>
              <w:pStyle w:val="a"/>
              <w:numPr>
                <w:ilvl w:val="0"/>
                <w:numId w:val="43"/>
              </w:numPr>
              <w:tabs>
                <w:tab w:val="left" w:pos="-1440"/>
                <w:tab w:val="left" w:pos="-720"/>
                <w:tab w:val="left" w:pos="0"/>
                <w:tab w:val="left" w:pos="240"/>
                <w:tab w:val="left" w:pos="1440"/>
              </w:tabs>
              <w:ind w:hanging="711"/>
              <w:rPr>
                <w:rFonts w:cs="Arial" w:asciiTheme="minorHAnsi" w:hAnsiTheme="minorHAnsi"/>
                <w:sz w:val="20"/>
                <w:szCs w:val="20"/>
              </w:rPr>
            </w:pPr>
            <w:r w:rsidRPr="00B031F6">
              <w:rPr>
                <w:rFonts w:cs="Arial" w:asciiTheme="minorHAnsi" w:hAnsiTheme="minorHAnsi"/>
                <w:sz w:val="20"/>
                <w:szCs w:val="20"/>
              </w:rPr>
              <w:t>4911</w:t>
            </w:r>
          </w:p>
          <w:p w:rsidRPr="00B031F6" w:rsidR="00FC20AC" w:rsidP="00FC20AC" w:rsidRDefault="00FC20AC" w14:paraId="1E39A9DF" w14:textId="77777777">
            <w:pPr>
              <w:pStyle w:val="a"/>
              <w:numPr>
                <w:ilvl w:val="0"/>
                <w:numId w:val="43"/>
              </w:numPr>
              <w:tabs>
                <w:tab w:val="left" w:pos="-1440"/>
                <w:tab w:val="left" w:pos="-720"/>
                <w:tab w:val="left" w:pos="0"/>
                <w:tab w:val="left" w:pos="240"/>
                <w:tab w:val="left" w:pos="1440"/>
              </w:tabs>
              <w:ind w:hanging="711"/>
              <w:rPr>
                <w:rFonts w:cs="Arial" w:asciiTheme="minorHAnsi" w:hAnsiTheme="minorHAnsi"/>
                <w:sz w:val="20"/>
                <w:szCs w:val="20"/>
              </w:rPr>
            </w:pPr>
            <w:r w:rsidRPr="00B031F6">
              <w:rPr>
                <w:rFonts w:cs="Arial" w:asciiTheme="minorHAnsi" w:hAnsiTheme="minorHAnsi"/>
                <w:sz w:val="20"/>
                <w:szCs w:val="20"/>
              </w:rPr>
              <w:t>2911</w:t>
            </w:r>
          </w:p>
        </w:tc>
        <w:tc>
          <w:tcPr>
            <w:tcW w:w="1980" w:type="dxa"/>
            <w:tcBorders>
              <w:top w:val="single" w:color="000000" w:sz="6" w:space="0"/>
              <w:left w:val="single" w:color="000000" w:sz="6" w:space="0"/>
              <w:bottom w:val="single" w:color="000000" w:sz="12" w:space="0"/>
              <w:right w:val="nil"/>
            </w:tcBorders>
          </w:tcPr>
          <w:p w:rsidRPr="00B031F6" w:rsidR="00256C61" w:rsidP="00F83E70" w:rsidRDefault="00D96FD6" w14:paraId="25368F2E"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D61E1E">
              <w:rPr>
                <w:rFonts w:cs="Arial" w:asciiTheme="minorHAnsi" w:hAnsiTheme="minorHAnsi"/>
                <w:sz w:val="20"/>
                <w:szCs w:val="20"/>
              </w:rPr>
              <w:tab/>
            </w:r>
            <w:r w:rsidRPr="00B031F6" w:rsidR="00256C61">
              <w:rPr>
                <w:rFonts w:cs="Arial" w:asciiTheme="minorHAnsi" w:hAnsiTheme="minorHAnsi"/>
                <w:sz w:val="20"/>
                <w:szCs w:val="20"/>
              </w:rPr>
              <w:t>221112</w:t>
            </w:r>
          </w:p>
          <w:p w:rsidRPr="00B031F6" w:rsidR="00256C61" w:rsidP="00F83E70" w:rsidRDefault="00D96FD6" w14:paraId="391F8FE8"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D61E1E">
              <w:rPr>
                <w:rFonts w:cs="Arial" w:asciiTheme="minorHAnsi" w:hAnsiTheme="minorHAnsi"/>
                <w:sz w:val="20"/>
                <w:szCs w:val="20"/>
              </w:rPr>
              <w:tab/>
            </w:r>
            <w:r w:rsidRPr="00B031F6" w:rsidR="0070536E">
              <w:rPr>
                <w:rFonts w:cs="Arial" w:asciiTheme="minorHAnsi" w:hAnsiTheme="minorHAnsi"/>
                <w:sz w:val="20"/>
                <w:szCs w:val="20"/>
              </w:rPr>
              <w:t>211111</w:t>
            </w:r>
          </w:p>
          <w:p w:rsidRPr="00B031F6" w:rsidR="00C07101" w:rsidP="00F83E70" w:rsidRDefault="00D96FD6" w14:paraId="0AE099F7" w14:textId="77777777">
            <w:pPr>
              <w:pStyle w:val="a"/>
              <w:tabs>
                <w:tab w:val="left" w:pos="-1440"/>
                <w:tab w:val="left" w:pos="-720"/>
                <w:tab w:val="left" w:pos="0"/>
                <w:tab w:val="left" w:pos="240"/>
                <w:tab w:val="left" w:pos="144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D61E1E">
              <w:rPr>
                <w:rFonts w:cs="Arial" w:asciiTheme="minorHAnsi" w:hAnsiTheme="minorHAnsi"/>
                <w:sz w:val="20"/>
                <w:szCs w:val="20"/>
              </w:rPr>
              <w:tab/>
            </w:r>
            <w:r w:rsidRPr="00B031F6" w:rsidR="0070536E">
              <w:rPr>
                <w:rFonts w:cs="Arial" w:asciiTheme="minorHAnsi" w:hAnsiTheme="minorHAnsi"/>
                <w:sz w:val="20"/>
                <w:szCs w:val="20"/>
              </w:rPr>
              <w:t>324110</w:t>
            </w:r>
          </w:p>
        </w:tc>
        <w:tc>
          <w:tcPr>
            <w:tcW w:w="4860" w:type="dxa"/>
            <w:tcBorders>
              <w:top w:val="single" w:color="000000" w:sz="6" w:space="0"/>
              <w:left w:val="single" w:color="000000" w:sz="6" w:space="0"/>
              <w:bottom w:val="single" w:color="000000" w:sz="12" w:space="0"/>
              <w:right w:val="single" w:color="000000" w:sz="12" w:space="0"/>
            </w:tcBorders>
          </w:tcPr>
          <w:p w:rsidRPr="00B031F6" w:rsidR="00256C61" w:rsidP="00F83E70" w:rsidRDefault="00D96FD6" w14:paraId="657F54AC" w14:textId="77777777">
            <w:pPr>
              <w:pStyle w:val="a"/>
              <w:tabs>
                <w:tab w:val="left" w:pos="-1440"/>
                <w:tab w:val="left" w:pos="-720"/>
                <w:tab w:val="left" w:pos="0"/>
                <w:tab w:val="left" w:pos="240"/>
                <w:tab w:val="left" w:pos="1440"/>
                <w:tab w:val="left" w:pos="2160"/>
                <w:tab w:val="left" w:pos="2880"/>
                <w:tab w:val="left" w:pos="3600"/>
                <w:tab w:val="left" w:pos="432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D61E1E">
              <w:rPr>
                <w:rFonts w:cs="Arial" w:asciiTheme="minorHAnsi" w:hAnsiTheme="minorHAnsi"/>
                <w:sz w:val="20"/>
                <w:szCs w:val="20"/>
              </w:rPr>
              <w:tab/>
            </w:r>
            <w:r w:rsidRPr="00B031F6" w:rsidR="00256C61">
              <w:rPr>
                <w:rFonts w:cs="Arial" w:asciiTheme="minorHAnsi" w:hAnsiTheme="minorHAnsi"/>
                <w:sz w:val="20"/>
                <w:szCs w:val="20"/>
              </w:rPr>
              <w:t>Fossil fuel electric power generation</w:t>
            </w:r>
          </w:p>
          <w:p w:rsidRPr="00B031F6" w:rsidR="0070536E" w:rsidP="00F83E70" w:rsidRDefault="00D96FD6" w14:paraId="60E0304F" w14:textId="77777777">
            <w:pPr>
              <w:pStyle w:val="a"/>
              <w:tabs>
                <w:tab w:val="left" w:pos="-1440"/>
                <w:tab w:val="left" w:pos="-720"/>
                <w:tab w:val="left" w:pos="0"/>
                <w:tab w:val="left" w:pos="240"/>
                <w:tab w:val="left" w:pos="1440"/>
                <w:tab w:val="left" w:pos="2160"/>
                <w:tab w:val="left" w:pos="2880"/>
                <w:tab w:val="left" w:pos="3600"/>
                <w:tab w:val="left" w:pos="432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D61E1E">
              <w:rPr>
                <w:rFonts w:cs="Arial" w:asciiTheme="minorHAnsi" w:hAnsiTheme="minorHAnsi"/>
                <w:sz w:val="20"/>
                <w:szCs w:val="20"/>
              </w:rPr>
              <w:tab/>
            </w:r>
            <w:r w:rsidRPr="00B031F6" w:rsidR="0070536E">
              <w:rPr>
                <w:rFonts w:cs="Arial" w:asciiTheme="minorHAnsi" w:hAnsiTheme="minorHAnsi"/>
                <w:sz w:val="20"/>
                <w:szCs w:val="20"/>
              </w:rPr>
              <w:t>Crude petroleum and natural gas extraction</w:t>
            </w:r>
          </w:p>
          <w:p w:rsidRPr="00B031F6" w:rsidR="00C07101" w:rsidP="00F83E70" w:rsidRDefault="00D96FD6" w14:paraId="13AA4123" w14:textId="77777777">
            <w:pPr>
              <w:pStyle w:val="a"/>
              <w:tabs>
                <w:tab w:val="left" w:pos="-1440"/>
                <w:tab w:val="left" w:pos="-720"/>
                <w:tab w:val="left" w:pos="0"/>
                <w:tab w:val="left" w:pos="240"/>
                <w:tab w:val="left" w:pos="1440"/>
                <w:tab w:val="left" w:pos="2160"/>
                <w:tab w:val="left" w:pos="2880"/>
                <w:tab w:val="left" w:pos="3600"/>
                <w:tab w:val="left" w:pos="4320"/>
              </w:tabs>
              <w:ind w:left="360" w:hanging="360"/>
              <w:rPr>
                <w:rFonts w:cs="Arial" w:asciiTheme="minorHAnsi" w:hAnsiTheme="minorHAnsi"/>
                <w:sz w:val="20"/>
                <w:szCs w:val="20"/>
              </w:rPr>
            </w:pPr>
            <w:r w:rsidRPr="00B031F6">
              <w:rPr>
                <w:rFonts w:cs="WP TypographicSymbols" w:asciiTheme="minorHAnsi" w:hAnsiTheme="minorHAnsi"/>
                <w:sz w:val="20"/>
                <w:szCs w:val="20"/>
              </w:rPr>
              <w:sym w:font="Symbol" w:char="F0B7"/>
            </w:r>
            <w:r w:rsidRPr="00B031F6" w:rsidR="00D61E1E">
              <w:rPr>
                <w:rFonts w:cs="Arial" w:asciiTheme="minorHAnsi" w:hAnsiTheme="minorHAnsi"/>
                <w:sz w:val="20"/>
                <w:szCs w:val="20"/>
              </w:rPr>
              <w:tab/>
            </w:r>
            <w:r w:rsidRPr="00B031F6" w:rsidR="00C07101">
              <w:rPr>
                <w:rFonts w:cs="Arial" w:asciiTheme="minorHAnsi" w:hAnsiTheme="minorHAnsi"/>
                <w:sz w:val="20"/>
                <w:szCs w:val="20"/>
              </w:rPr>
              <w:t>Petroleum refining</w:t>
            </w:r>
          </w:p>
        </w:tc>
      </w:tr>
      <w:tr w:rsidRPr="00B031F6" w:rsidR="00356421" w:rsidTr="00B61C69" w14:paraId="0655F681" w14:textId="77777777">
        <w:trPr>
          <w:cantSplit/>
        </w:trPr>
        <w:tc>
          <w:tcPr>
            <w:tcW w:w="9630" w:type="dxa"/>
            <w:gridSpan w:val="4"/>
            <w:tcBorders>
              <w:top w:val="single" w:color="000000" w:sz="12" w:space="0"/>
            </w:tcBorders>
          </w:tcPr>
          <w:p w:rsidRPr="00B031F6" w:rsidR="00356421" w:rsidRDefault="00356421" w14:paraId="3B09E9AA" w14:textId="77777777">
            <w:pPr>
              <w:pStyle w:val="a"/>
              <w:tabs>
                <w:tab w:val="left" w:pos="-1440"/>
                <w:tab w:val="left" w:pos="-720"/>
                <w:tab w:val="left" w:pos="0"/>
                <w:tab w:val="left" w:pos="240"/>
                <w:tab w:val="left" w:pos="1440"/>
                <w:tab w:val="left" w:pos="2160"/>
                <w:tab w:val="left" w:pos="2880"/>
                <w:tab w:val="left" w:pos="3600"/>
                <w:tab w:val="left" w:pos="4320"/>
              </w:tabs>
              <w:spacing w:before="100"/>
              <w:ind w:left="360" w:hanging="360"/>
              <w:rPr>
                <w:rFonts w:cs="WP TypographicSymbols" w:asciiTheme="minorHAnsi" w:hAnsiTheme="minorHAnsi"/>
                <w:sz w:val="20"/>
                <w:szCs w:val="20"/>
              </w:rPr>
            </w:pPr>
            <w:r w:rsidRPr="00B031F6">
              <w:rPr>
                <w:rFonts w:cs="Arial" w:asciiTheme="minorHAnsi" w:hAnsiTheme="minorHAnsi"/>
                <w:sz w:val="20"/>
                <w:szCs w:val="20"/>
              </w:rPr>
              <w:t xml:space="preserve">* Note: this list is not totally inclusive, but represents </w:t>
            </w:r>
            <w:r w:rsidRPr="00B031F6" w:rsidR="00E14C92">
              <w:rPr>
                <w:rFonts w:cs="Arial" w:asciiTheme="minorHAnsi" w:hAnsiTheme="minorHAnsi"/>
                <w:sz w:val="20"/>
                <w:szCs w:val="20"/>
              </w:rPr>
              <w:t xml:space="preserve">a large portion </w:t>
            </w:r>
            <w:r w:rsidRPr="00B031F6">
              <w:rPr>
                <w:rFonts w:cs="Arial" w:asciiTheme="minorHAnsi" w:hAnsiTheme="minorHAnsi"/>
                <w:sz w:val="20"/>
                <w:szCs w:val="20"/>
              </w:rPr>
              <w:t>of the industries that operate injection wells.</w:t>
            </w:r>
          </w:p>
        </w:tc>
      </w:tr>
    </w:tbl>
    <w:p w:rsidRPr="001941A8" w:rsidR="00356421" w:rsidP="007934B5" w:rsidRDefault="00356421" w14:paraId="2ADE5AE0" w14:textId="77777777"/>
    <w:p w:rsidR="00B61C69" w:rsidP="00B61C69" w:rsidRDefault="00B61C69" w14:paraId="71221448" w14:textId="77777777">
      <w:pPr>
        <w:rPr>
          <w:sz w:val="24"/>
          <w:szCs w:val="24"/>
        </w:rPr>
      </w:pPr>
    </w:p>
    <w:p w:rsidR="00B61C69" w:rsidP="00B61C69" w:rsidRDefault="00B61C69" w14:paraId="4370F376" w14:textId="77777777">
      <w:pPr>
        <w:pStyle w:val="Heading2"/>
        <w:rPr>
          <w:sz w:val="24"/>
        </w:rPr>
      </w:pPr>
      <w:r>
        <w:t>4(b)</w:t>
      </w:r>
      <w:r>
        <w:tab/>
        <w:t xml:space="preserve">Information Requested </w:t>
      </w:r>
      <w:r>
        <w:fldChar w:fldCharType="begin"/>
      </w:r>
      <w:r>
        <w:instrText>tc "</w:instrText>
      </w:r>
      <w:bookmarkStart w:name="_Toc511660007" w:id="47"/>
      <w:bookmarkStart w:name="_Toc511713516" w:id="48"/>
      <w:r>
        <w:instrText>4(b)</w:instrText>
      </w:r>
      <w:r>
        <w:tab/>
        <w:instrText>Information Requested</w:instrText>
      </w:r>
      <w:bookmarkEnd w:id="47"/>
      <w:bookmarkEnd w:id="48"/>
      <w:r>
        <w:instrText xml:space="preserve"> " \l 2</w:instrText>
      </w:r>
      <w:r>
        <w:fldChar w:fldCharType="end"/>
      </w:r>
    </w:p>
    <w:p w:rsidR="00B61C69" w:rsidP="00B61C69" w:rsidRDefault="00B61C69" w14:paraId="5F38BF85" w14:textId="77777777">
      <w:pPr>
        <w:keepNext/>
        <w:rPr>
          <w:sz w:val="24"/>
          <w:szCs w:val="24"/>
        </w:rPr>
      </w:pPr>
    </w:p>
    <w:p w:rsidR="00B61C69" w:rsidP="00B61C69" w:rsidRDefault="00B61C69" w14:paraId="1F18405D" w14:textId="77777777">
      <w:pPr>
        <w:keepNext/>
        <w:rPr>
          <w:b/>
          <w:bCs/>
          <w:sz w:val="24"/>
          <w:szCs w:val="24"/>
        </w:rPr>
      </w:pPr>
      <w:r>
        <w:rPr>
          <w:b/>
          <w:bCs/>
          <w:sz w:val="24"/>
          <w:szCs w:val="24"/>
        </w:rPr>
        <w:t>4(b)(1)</w:t>
      </w:r>
      <w:r>
        <w:rPr>
          <w:b/>
          <w:bCs/>
          <w:sz w:val="24"/>
          <w:szCs w:val="24"/>
        </w:rPr>
        <w:tab/>
        <w:t xml:space="preserve">Data Items, Including Recordkeeping, Required from Operators </w:t>
      </w:r>
    </w:p>
    <w:p w:rsidR="00B61C69" w:rsidP="00B61C69" w:rsidRDefault="00B61C69" w14:paraId="0069EA9C" w14:textId="77777777">
      <w:pPr>
        <w:keepNext/>
        <w:rPr>
          <w:sz w:val="24"/>
          <w:szCs w:val="24"/>
        </w:rPr>
      </w:pPr>
    </w:p>
    <w:p w:rsidR="00B61C69" w:rsidP="00B61C69" w:rsidRDefault="00B61C69" w14:paraId="7A5A0656" w14:textId="6CEFAD79">
      <w:pPr>
        <w:rPr>
          <w:sz w:val="24"/>
          <w:szCs w:val="24"/>
        </w:rPr>
      </w:pPr>
      <w:r>
        <w:rPr>
          <w:sz w:val="24"/>
          <w:szCs w:val="24"/>
        </w:rPr>
        <w:tab/>
      </w:r>
      <w:r w:rsidRPr="00AE41C4">
        <w:rPr>
          <w:sz w:val="24"/>
          <w:szCs w:val="24"/>
        </w:rPr>
        <w:t xml:space="preserve">Operators submit required information to their permitting authority using the 7520 reporting forms (or state equivalents). </w:t>
      </w:r>
      <w:r w:rsidRPr="00423777">
        <w:rPr>
          <w:sz w:val="24"/>
          <w:szCs w:val="24"/>
        </w:rPr>
        <w:t xml:space="preserve">Permitting authorities use </w:t>
      </w:r>
      <w:r>
        <w:rPr>
          <w:sz w:val="24"/>
          <w:szCs w:val="24"/>
        </w:rPr>
        <w:t xml:space="preserve">this </w:t>
      </w:r>
      <w:r w:rsidRPr="00423777">
        <w:rPr>
          <w:sz w:val="24"/>
          <w:szCs w:val="24"/>
        </w:rPr>
        <w:t xml:space="preserve">information to verify that the </w:t>
      </w:r>
      <w:r w:rsidR="00730060">
        <w:rPr>
          <w:sz w:val="24"/>
          <w:szCs w:val="24"/>
        </w:rPr>
        <w:t xml:space="preserve">proposed </w:t>
      </w:r>
      <w:r w:rsidRPr="00423777">
        <w:rPr>
          <w:sz w:val="24"/>
          <w:szCs w:val="24"/>
        </w:rPr>
        <w:t>well is sited and constructed in a manner that will prevent endangerment of USDWs; following commencement of injection, they use testing and monitoring data submitted by well o</w:t>
      </w:r>
      <w:r>
        <w:rPr>
          <w:sz w:val="24"/>
          <w:szCs w:val="24"/>
        </w:rPr>
        <w:t xml:space="preserve">perators </w:t>
      </w:r>
      <w:r w:rsidR="00936897">
        <w:rPr>
          <w:sz w:val="24"/>
          <w:szCs w:val="24"/>
        </w:rPr>
        <w:t xml:space="preserve">to </w:t>
      </w:r>
      <w:r>
        <w:rPr>
          <w:sz w:val="24"/>
          <w:szCs w:val="24"/>
        </w:rPr>
        <w:t>determine if the well h</w:t>
      </w:r>
      <w:r w:rsidRPr="00423777">
        <w:rPr>
          <w:sz w:val="24"/>
          <w:szCs w:val="24"/>
        </w:rPr>
        <w:t xml:space="preserve">as mechanical integrity or provide early indication of USDW endangerment. </w:t>
      </w:r>
      <w:r>
        <w:rPr>
          <w:sz w:val="24"/>
          <w:szCs w:val="24"/>
        </w:rPr>
        <w:t>See Exhibit 4-2.</w:t>
      </w:r>
    </w:p>
    <w:p w:rsidR="00B61C69" w:rsidP="00B61C69" w:rsidRDefault="00B61C69" w14:paraId="6AB1FCC3" w14:textId="77777777">
      <w:pPr>
        <w:rPr>
          <w:sz w:val="24"/>
          <w:szCs w:val="24"/>
        </w:rPr>
      </w:pPr>
    </w:p>
    <w:p w:rsidR="00B61C69" w:rsidP="00B61C69" w:rsidRDefault="00B61C69" w14:paraId="493AC63E" w14:textId="6F2A59D7">
      <w:pPr>
        <w:ind w:firstLine="720"/>
        <w:rPr>
          <w:sz w:val="24"/>
          <w:szCs w:val="24"/>
        </w:rPr>
      </w:pPr>
      <w:r w:rsidRPr="00AE41C4">
        <w:rPr>
          <w:sz w:val="24"/>
          <w:szCs w:val="24"/>
        </w:rPr>
        <w:t xml:space="preserve">Operators may sometimes </w:t>
      </w:r>
      <w:r>
        <w:rPr>
          <w:sz w:val="24"/>
          <w:szCs w:val="24"/>
        </w:rPr>
        <w:t>attach</w:t>
      </w:r>
      <w:r w:rsidRPr="00AE41C4">
        <w:rPr>
          <w:sz w:val="24"/>
          <w:szCs w:val="24"/>
        </w:rPr>
        <w:t xml:space="preserve"> additional information to the forms to provide all of the required information.</w:t>
      </w:r>
      <w:r>
        <w:rPr>
          <w:sz w:val="24"/>
          <w:szCs w:val="24"/>
        </w:rPr>
        <w:t xml:space="preserve"> Required data items vary according to well class and authorization category (i.e., permitted well vs. rule-authorized well). The information required of operators is listed in Exhibit 4-</w:t>
      </w:r>
      <w:r w:rsidR="00B031F6">
        <w:rPr>
          <w:sz w:val="24"/>
          <w:szCs w:val="24"/>
        </w:rPr>
        <w:t>3</w:t>
      </w:r>
      <w:r>
        <w:rPr>
          <w:sz w:val="24"/>
          <w:szCs w:val="24"/>
        </w:rPr>
        <w:t xml:space="preserve">. </w:t>
      </w:r>
    </w:p>
    <w:p w:rsidR="00B61C69" w:rsidP="00B61C69" w:rsidRDefault="00B61C69" w14:paraId="6ED40699" w14:textId="77777777">
      <w:pPr>
        <w:rPr>
          <w:sz w:val="24"/>
          <w:szCs w:val="24"/>
        </w:rPr>
      </w:pPr>
    </w:p>
    <w:p w:rsidR="00B61C69" w:rsidP="00B61C69" w:rsidRDefault="00B61C69" w14:paraId="570DFFC3" w14:textId="77777777">
      <w:pPr>
        <w:ind w:left="720"/>
        <w:rPr>
          <w:sz w:val="24"/>
          <w:szCs w:val="24"/>
        </w:rPr>
      </w:pPr>
      <w:r>
        <w:rPr>
          <w:b/>
          <w:bCs/>
          <w:sz w:val="24"/>
          <w:szCs w:val="24"/>
        </w:rPr>
        <w:t>Initial Reporting Requirements</w:t>
      </w:r>
    </w:p>
    <w:p w:rsidR="00B61C69" w:rsidP="00B61C69" w:rsidRDefault="00B61C69" w14:paraId="4F19B022" w14:textId="77777777">
      <w:pPr>
        <w:rPr>
          <w:sz w:val="24"/>
          <w:szCs w:val="24"/>
        </w:rPr>
      </w:pPr>
    </w:p>
    <w:p w:rsidRPr="001941A8" w:rsidR="00C25838" w:rsidP="00B61C69" w:rsidRDefault="00B61C69" w14:paraId="2F511D11" w14:textId="07A14613">
      <w:pPr>
        <w:ind w:firstLine="720"/>
        <w:rPr>
          <w:i/>
          <w:sz w:val="24"/>
          <w:szCs w:val="24"/>
        </w:rPr>
      </w:pPr>
      <w:r>
        <w:rPr>
          <w:sz w:val="24"/>
          <w:szCs w:val="24"/>
        </w:rPr>
        <w:t xml:space="preserve">Two methods are available for obtaining approval for underground injection: rule authorization and permitting. Class II enhanced recovery (II-R) and hydrocarbon storage wells (II-H) in existence before the promulgation of specific permitting regulations are authorized by rule for the life of the well and do not require permits. All new Class I, II, III, and VI wells require permits. Most new Class V wells may be rule-authorized, although operators of </w:t>
      </w:r>
      <w:r w:rsidR="00730060">
        <w:rPr>
          <w:sz w:val="24"/>
          <w:szCs w:val="24"/>
        </w:rPr>
        <w:t xml:space="preserve">a small number of </w:t>
      </w:r>
      <w:r>
        <w:rPr>
          <w:sz w:val="24"/>
          <w:szCs w:val="24"/>
        </w:rPr>
        <w:t xml:space="preserve">Class V wells may be required to obtain permits. </w:t>
      </w:r>
    </w:p>
    <w:p w:rsidRPr="001941A8" w:rsidR="00C25838" w:rsidRDefault="00C25838" w14:paraId="55D4D8E9"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61C69" w:rsidP="00B61C69" w:rsidRDefault="00B61C69" w14:paraId="01C20335" w14:textId="73F3B4D0">
      <w:pPr>
        <w:spacing w:before="100"/>
        <w:jc w:val="center"/>
        <w:rPr>
          <w:rFonts w:ascii="Arial" w:hAnsi="Arial" w:cs="Arial"/>
          <w:b/>
          <w:bCs/>
          <w:sz w:val="24"/>
          <w:szCs w:val="24"/>
          <w:lang w:val="fr-FR"/>
        </w:rPr>
      </w:pPr>
      <w:r>
        <w:rPr>
          <w:rFonts w:ascii="Arial" w:hAnsi="Arial" w:cs="Arial"/>
          <w:b/>
          <w:bCs/>
          <w:sz w:val="24"/>
          <w:szCs w:val="24"/>
          <w:lang w:val="fr-FR"/>
        </w:rPr>
        <w:t>Exhibit 4-2</w:t>
      </w:r>
    </w:p>
    <w:p w:rsidRPr="00886D9B" w:rsidR="00B61C69" w:rsidP="00886D9B" w:rsidRDefault="00B61C69" w14:paraId="5C244B43" w14:textId="2EF6AAB4">
      <w:pPr>
        <w:spacing w:after="120"/>
        <w:jc w:val="center"/>
        <w:rPr>
          <w:rFonts w:ascii="Arial" w:hAnsi="Arial" w:cs="Arial"/>
          <w:b/>
          <w:bCs/>
          <w:sz w:val="24"/>
          <w:szCs w:val="24"/>
          <w:lang w:val="fr-FR"/>
        </w:rPr>
      </w:pPr>
      <w:r>
        <w:rPr>
          <w:rFonts w:ascii="Arial" w:hAnsi="Arial" w:cs="Arial"/>
          <w:b/>
          <w:bCs/>
          <w:sz w:val="24"/>
          <w:szCs w:val="24"/>
          <w:lang w:val="fr-FR"/>
        </w:rPr>
        <w:t>Operator Reporting Forms</w:t>
      </w:r>
    </w:p>
    <w:tbl>
      <w:tblPr>
        <w:tblW w:w="1040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ook w:val="04A0" w:firstRow="1" w:lastRow="0" w:firstColumn="1" w:lastColumn="0" w:noHBand="0" w:noVBand="1"/>
      </w:tblPr>
      <w:tblGrid>
        <w:gridCol w:w="2870"/>
        <w:gridCol w:w="1350"/>
        <w:gridCol w:w="1800"/>
        <w:gridCol w:w="4389"/>
      </w:tblGrid>
      <w:tr w:rsidRPr="00B031F6" w:rsidR="00886D9B" w:rsidTr="005A238D" w14:paraId="1657F9B9" w14:textId="77777777">
        <w:trPr>
          <w:trHeight w:val="570"/>
          <w:jc w:val="center"/>
        </w:trPr>
        <w:tc>
          <w:tcPr>
            <w:tcW w:w="2870" w:type="dxa"/>
            <w:shd w:val="clear" w:color="auto" w:fill="auto"/>
            <w:vAlign w:val="center"/>
          </w:tcPr>
          <w:p w:rsidRPr="00B031F6" w:rsidR="00886D9B" w:rsidP="00886D9B" w:rsidRDefault="00886D9B" w14:paraId="673691D9" w14:textId="56CF5DFF">
            <w:pPr>
              <w:jc w:val="center"/>
              <w:rPr>
                <w:rFonts w:ascii="Calibri" w:hAnsi="Calibri"/>
                <w:b/>
              </w:rPr>
            </w:pPr>
            <w:r w:rsidRPr="00B031F6">
              <w:rPr>
                <w:rFonts w:ascii="Calibri" w:hAnsi="Calibri"/>
                <w:b/>
              </w:rPr>
              <w:t>Form</w:t>
            </w:r>
          </w:p>
        </w:tc>
        <w:tc>
          <w:tcPr>
            <w:tcW w:w="1350" w:type="dxa"/>
            <w:shd w:val="clear" w:color="auto" w:fill="auto"/>
            <w:vAlign w:val="center"/>
          </w:tcPr>
          <w:p w:rsidRPr="00B031F6" w:rsidR="00886D9B" w:rsidP="00886D9B" w:rsidRDefault="00886D9B" w14:paraId="33863089" w14:textId="0CAFB39D">
            <w:pPr>
              <w:jc w:val="center"/>
              <w:rPr>
                <w:rFonts w:ascii="Calibri" w:hAnsi="Calibri"/>
                <w:b/>
              </w:rPr>
            </w:pPr>
            <w:r w:rsidRPr="00B031F6">
              <w:rPr>
                <w:rFonts w:ascii="Calibri" w:hAnsi="Calibri"/>
                <w:b/>
              </w:rPr>
              <w:t>Well classes responding</w:t>
            </w:r>
          </w:p>
        </w:tc>
        <w:tc>
          <w:tcPr>
            <w:tcW w:w="1800" w:type="dxa"/>
          </w:tcPr>
          <w:p w:rsidRPr="00B031F6" w:rsidR="00886D9B" w:rsidP="00886D9B" w:rsidRDefault="00886D9B" w14:paraId="3E00D787" w14:textId="4B8A4D20">
            <w:pPr>
              <w:jc w:val="center"/>
              <w:rPr>
                <w:rFonts w:ascii="Calibri" w:hAnsi="Calibri"/>
                <w:b/>
              </w:rPr>
            </w:pPr>
            <w:r w:rsidRPr="00B031F6">
              <w:rPr>
                <w:rFonts w:ascii="Calibri" w:hAnsi="Calibri"/>
                <w:b/>
              </w:rPr>
              <w:t>When submitted</w:t>
            </w:r>
          </w:p>
        </w:tc>
        <w:tc>
          <w:tcPr>
            <w:tcW w:w="4389" w:type="dxa"/>
          </w:tcPr>
          <w:p w:rsidRPr="00B031F6" w:rsidR="00886D9B" w:rsidP="00886D9B" w:rsidRDefault="00886D9B" w14:paraId="41593521" w14:textId="13BD9C38">
            <w:pPr>
              <w:jc w:val="center"/>
              <w:rPr>
                <w:rFonts w:ascii="Calibri" w:hAnsi="Calibri"/>
                <w:b/>
              </w:rPr>
            </w:pPr>
            <w:r w:rsidRPr="00B031F6">
              <w:rPr>
                <w:rFonts w:ascii="Calibri" w:hAnsi="Calibri"/>
                <w:b/>
              </w:rPr>
              <w:t>Purpose</w:t>
            </w:r>
          </w:p>
        </w:tc>
      </w:tr>
      <w:tr w:rsidRPr="00B031F6" w:rsidR="00886D9B" w:rsidTr="005A238D" w14:paraId="4EE6EDA3" w14:textId="77777777">
        <w:trPr>
          <w:trHeight w:val="570"/>
          <w:jc w:val="center"/>
        </w:trPr>
        <w:tc>
          <w:tcPr>
            <w:tcW w:w="2870" w:type="dxa"/>
            <w:shd w:val="clear" w:color="auto" w:fill="auto"/>
          </w:tcPr>
          <w:p w:rsidRPr="00B031F6" w:rsidR="00886D9B" w:rsidP="00886D9B" w:rsidRDefault="00886D9B" w14:paraId="04FDB4A2" w14:textId="77777777">
            <w:pPr>
              <w:rPr>
                <w:rFonts w:ascii="Calibri" w:hAnsi="Calibri"/>
              </w:rPr>
            </w:pPr>
            <w:r w:rsidRPr="00B031F6">
              <w:rPr>
                <w:rFonts w:ascii="Calibri" w:hAnsi="Calibri"/>
              </w:rPr>
              <w:t>7520-6: UIC Permit Application</w:t>
            </w:r>
          </w:p>
        </w:tc>
        <w:tc>
          <w:tcPr>
            <w:tcW w:w="1350" w:type="dxa"/>
            <w:shd w:val="clear" w:color="auto" w:fill="auto"/>
            <w:noWrap/>
          </w:tcPr>
          <w:p w:rsidRPr="00B031F6" w:rsidR="00886D9B" w:rsidP="00886D9B" w:rsidRDefault="00886D9B" w14:paraId="14075C3B" w14:textId="600AC8F3">
            <w:pPr>
              <w:jc w:val="center"/>
              <w:rPr>
                <w:rFonts w:ascii="Calibri" w:hAnsi="Calibri"/>
              </w:rPr>
            </w:pPr>
            <w:r w:rsidRPr="00B031F6">
              <w:rPr>
                <w:rFonts w:ascii="Calibri" w:hAnsi="Calibri"/>
              </w:rPr>
              <w:t>I, II, III</w:t>
            </w:r>
            <w:r w:rsidR="006B10E5">
              <w:rPr>
                <w:rFonts w:ascii="Calibri" w:hAnsi="Calibri"/>
              </w:rPr>
              <w:t>, V</w:t>
            </w:r>
          </w:p>
        </w:tc>
        <w:tc>
          <w:tcPr>
            <w:tcW w:w="1800" w:type="dxa"/>
          </w:tcPr>
          <w:p w:rsidRPr="00B031F6" w:rsidR="00886D9B" w:rsidP="00886D9B" w:rsidRDefault="00886D9B" w14:paraId="796A11CE" w14:textId="77777777">
            <w:pPr>
              <w:rPr>
                <w:rFonts w:ascii="Calibri" w:hAnsi="Calibri"/>
              </w:rPr>
            </w:pPr>
            <w:r w:rsidRPr="00B031F6">
              <w:rPr>
                <w:rFonts w:ascii="Calibri" w:hAnsi="Calibri"/>
              </w:rPr>
              <w:t>Before well construction</w:t>
            </w:r>
          </w:p>
        </w:tc>
        <w:tc>
          <w:tcPr>
            <w:tcW w:w="4389" w:type="dxa"/>
            <w:vAlign w:val="center"/>
          </w:tcPr>
          <w:p w:rsidRPr="00B031F6" w:rsidR="00886D9B" w:rsidP="00886D9B" w:rsidRDefault="00886D9B" w14:paraId="753A0BE3" w14:textId="5E3761A5">
            <w:pPr>
              <w:rPr>
                <w:rFonts w:ascii="Calibri" w:hAnsi="Calibri"/>
              </w:rPr>
            </w:pPr>
            <w:r w:rsidRPr="00B031F6">
              <w:rPr>
                <w:rFonts w:ascii="Calibri" w:hAnsi="Calibri"/>
              </w:rPr>
              <w:t xml:space="preserve">Provides the UIC Program Director </w:t>
            </w:r>
            <w:r>
              <w:rPr>
                <w:rFonts w:ascii="Calibri" w:hAnsi="Calibri"/>
              </w:rPr>
              <w:t xml:space="preserve">information </w:t>
            </w:r>
            <w:r w:rsidRPr="00195639">
              <w:rPr>
                <w:rFonts w:ascii="Calibri" w:hAnsi="Calibri"/>
              </w:rPr>
              <w:t xml:space="preserve">to determine </w:t>
            </w:r>
            <w:r>
              <w:rPr>
                <w:rFonts w:ascii="Calibri" w:hAnsi="Calibri"/>
              </w:rPr>
              <w:t xml:space="preserve">whether </w:t>
            </w:r>
            <w:r w:rsidRPr="00195639">
              <w:rPr>
                <w:rFonts w:ascii="Calibri" w:hAnsi="Calibri"/>
              </w:rPr>
              <w:t xml:space="preserve">proposed injection wells will be properly designed, sited, and operated to reduce the risk of USDW </w:t>
            </w:r>
            <w:r w:rsidR="00936897">
              <w:rPr>
                <w:rFonts w:ascii="Calibri" w:hAnsi="Calibri"/>
              </w:rPr>
              <w:t>endangerment</w:t>
            </w:r>
            <w:r>
              <w:rPr>
                <w:rFonts w:ascii="Calibri" w:hAnsi="Calibri"/>
              </w:rPr>
              <w:t>.</w:t>
            </w:r>
          </w:p>
        </w:tc>
      </w:tr>
      <w:tr w:rsidRPr="00B031F6" w:rsidR="00886D9B" w:rsidTr="005A238D" w14:paraId="5A55EF30" w14:textId="77777777">
        <w:trPr>
          <w:trHeight w:val="570"/>
          <w:jc w:val="center"/>
        </w:trPr>
        <w:tc>
          <w:tcPr>
            <w:tcW w:w="2870" w:type="dxa"/>
            <w:shd w:val="clear" w:color="auto" w:fill="auto"/>
          </w:tcPr>
          <w:p w:rsidRPr="00B031F6" w:rsidR="00886D9B" w:rsidP="00886D9B" w:rsidRDefault="00886D9B" w14:paraId="0C376EE5" w14:textId="77777777">
            <w:pPr>
              <w:rPr>
                <w:rFonts w:ascii="Calibri" w:hAnsi="Calibri"/>
              </w:rPr>
            </w:pPr>
            <w:r w:rsidRPr="00B031F6">
              <w:rPr>
                <w:rFonts w:ascii="Calibri" w:hAnsi="Calibri"/>
              </w:rPr>
              <w:t>7520-7: Application to Transfer Permit</w:t>
            </w:r>
          </w:p>
        </w:tc>
        <w:tc>
          <w:tcPr>
            <w:tcW w:w="1350" w:type="dxa"/>
            <w:shd w:val="clear" w:color="auto" w:fill="auto"/>
            <w:noWrap/>
          </w:tcPr>
          <w:p w:rsidRPr="00B031F6" w:rsidR="00886D9B" w:rsidP="00886D9B" w:rsidRDefault="00886D9B" w14:paraId="45A5F127" w14:textId="77777777">
            <w:pPr>
              <w:ind w:leftChars="-8" w:hanging="16" w:hangingChars="8"/>
              <w:jc w:val="center"/>
              <w:rPr>
                <w:rFonts w:ascii="Calibri" w:hAnsi="Calibri"/>
              </w:rPr>
            </w:pPr>
            <w:r w:rsidRPr="00B031F6">
              <w:rPr>
                <w:rFonts w:ascii="Calibri" w:hAnsi="Calibri"/>
              </w:rPr>
              <w:t>I, II, III</w:t>
            </w:r>
          </w:p>
        </w:tc>
        <w:tc>
          <w:tcPr>
            <w:tcW w:w="1800" w:type="dxa"/>
          </w:tcPr>
          <w:p w:rsidRPr="00B031F6" w:rsidR="00886D9B" w:rsidP="00886D9B" w:rsidRDefault="00886D9B" w14:paraId="0A213439" w14:textId="77777777">
            <w:pPr>
              <w:rPr>
                <w:rFonts w:ascii="Calibri" w:hAnsi="Calibri"/>
              </w:rPr>
            </w:pPr>
            <w:r w:rsidRPr="00B031F6">
              <w:rPr>
                <w:rFonts w:ascii="Calibri" w:hAnsi="Calibri"/>
              </w:rPr>
              <w:t>Occasionally, during the permit term</w:t>
            </w:r>
          </w:p>
        </w:tc>
        <w:tc>
          <w:tcPr>
            <w:tcW w:w="4389" w:type="dxa"/>
          </w:tcPr>
          <w:p w:rsidRPr="00B031F6" w:rsidR="00886D9B" w:rsidP="00886D9B" w:rsidRDefault="008A49FB" w14:paraId="36DD1406" w14:textId="510A00D2">
            <w:pPr>
              <w:rPr>
                <w:rFonts w:ascii="Calibri" w:hAnsi="Calibri"/>
              </w:rPr>
            </w:pPr>
            <w:r w:rsidRPr="005A238D">
              <w:rPr>
                <w:rFonts w:ascii="Calibri" w:hAnsi="Calibri"/>
              </w:rPr>
              <w:t xml:space="preserve">Provides information to ensure </w:t>
            </w:r>
            <w:r w:rsidRPr="00B031F6" w:rsidR="00886D9B">
              <w:rPr>
                <w:rFonts w:ascii="Calibri" w:hAnsi="Calibri"/>
              </w:rPr>
              <w:t xml:space="preserve">that the Director has current information on </w:t>
            </w:r>
            <w:r w:rsidR="00886D9B">
              <w:rPr>
                <w:rFonts w:ascii="Calibri" w:hAnsi="Calibri"/>
              </w:rPr>
              <w:t xml:space="preserve">who owns/operates </w:t>
            </w:r>
            <w:r w:rsidRPr="00B031F6" w:rsidR="00886D9B">
              <w:rPr>
                <w:rFonts w:ascii="Calibri" w:hAnsi="Calibri"/>
              </w:rPr>
              <w:t xml:space="preserve">the well. </w:t>
            </w:r>
          </w:p>
        </w:tc>
      </w:tr>
      <w:tr w:rsidRPr="00B031F6" w:rsidR="00886D9B" w:rsidTr="005A238D" w14:paraId="0B4AB1A6" w14:textId="77777777">
        <w:trPr>
          <w:trHeight w:val="570"/>
          <w:jc w:val="center"/>
        </w:trPr>
        <w:tc>
          <w:tcPr>
            <w:tcW w:w="2870" w:type="dxa"/>
            <w:shd w:val="clear" w:color="auto" w:fill="auto"/>
            <w:hideMark/>
          </w:tcPr>
          <w:p w:rsidRPr="00B031F6" w:rsidR="00886D9B" w:rsidP="00886D9B" w:rsidRDefault="00886D9B" w14:paraId="2DC5E971" w14:textId="77777777">
            <w:pPr>
              <w:rPr>
                <w:rFonts w:ascii="Calibri" w:hAnsi="Calibri"/>
              </w:rPr>
            </w:pPr>
            <w:r w:rsidRPr="00B031F6">
              <w:rPr>
                <w:rFonts w:ascii="Calibri" w:hAnsi="Calibri"/>
              </w:rPr>
              <w:t>7520-8: Injection Well Monitoring Report</w:t>
            </w:r>
          </w:p>
        </w:tc>
        <w:tc>
          <w:tcPr>
            <w:tcW w:w="1350" w:type="dxa"/>
            <w:shd w:val="clear" w:color="auto" w:fill="auto"/>
            <w:noWrap/>
            <w:hideMark/>
          </w:tcPr>
          <w:p w:rsidRPr="00B031F6" w:rsidR="00886D9B" w:rsidP="00886D9B" w:rsidRDefault="00886D9B" w14:paraId="1C996833" w14:textId="77777777">
            <w:pPr>
              <w:jc w:val="center"/>
              <w:rPr>
                <w:rFonts w:ascii="Calibri" w:hAnsi="Calibri"/>
              </w:rPr>
            </w:pPr>
            <w:r w:rsidRPr="00B031F6">
              <w:rPr>
                <w:rFonts w:ascii="Calibri" w:hAnsi="Calibri"/>
              </w:rPr>
              <w:t>I, III</w:t>
            </w:r>
          </w:p>
        </w:tc>
        <w:tc>
          <w:tcPr>
            <w:tcW w:w="1800" w:type="dxa"/>
          </w:tcPr>
          <w:p w:rsidRPr="00B031F6" w:rsidR="00886D9B" w:rsidP="00886D9B" w:rsidRDefault="00886D9B" w14:paraId="443F1F54" w14:textId="77777777">
            <w:pPr>
              <w:rPr>
                <w:rFonts w:ascii="Calibri" w:hAnsi="Calibri"/>
              </w:rPr>
            </w:pPr>
            <w:r w:rsidRPr="00B031F6">
              <w:rPr>
                <w:rFonts w:ascii="Calibri" w:hAnsi="Calibri"/>
              </w:rPr>
              <w:t xml:space="preserve">During injection operations </w:t>
            </w:r>
          </w:p>
        </w:tc>
        <w:tc>
          <w:tcPr>
            <w:tcW w:w="4389" w:type="dxa"/>
          </w:tcPr>
          <w:p w:rsidRPr="00B031F6" w:rsidR="00886D9B" w:rsidP="00886D9B" w:rsidRDefault="00886D9B" w14:paraId="44A1B933" w14:textId="138A52A2">
            <w:pPr>
              <w:rPr>
                <w:rFonts w:ascii="Calibri" w:hAnsi="Calibri"/>
              </w:rPr>
            </w:pPr>
            <w:r w:rsidRPr="00B031F6">
              <w:rPr>
                <w:rFonts w:ascii="Calibri" w:hAnsi="Calibri"/>
              </w:rPr>
              <w:t xml:space="preserve">Provides information </w:t>
            </w:r>
            <w:r>
              <w:rPr>
                <w:rFonts w:ascii="Calibri" w:hAnsi="Calibri"/>
              </w:rPr>
              <w:t xml:space="preserve">to demonstrate that </w:t>
            </w:r>
            <w:r w:rsidRPr="00B031F6">
              <w:rPr>
                <w:rFonts w:ascii="Calibri" w:hAnsi="Calibri"/>
              </w:rPr>
              <w:t xml:space="preserve">the well </w:t>
            </w:r>
            <w:r w:rsidR="00730060">
              <w:rPr>
                <w:rFonts w:ascii="Calibri" w:hAnsi="Calibri"/>
              </w:rPr>
              <w:t>i</w:t>
            </w:r>
            <w:r w:rsidRPr="00730060" w:rsidR="00730060">
              <w:rPr>
                <w:rFonts w:ascii="Calibri" w:hAnsi="Calibri"/>
              </w:rPr>
              <w:t xml:space="preserve">s operating according to permit limits and </w:t>
            </w:r>
            <w:r w:rsidRPr="00B031F6">
              <w:rPr>
                <w:rFonts w:ascii="Calibri" w:hAnsi="Calibri"/>
              </w:rPr>
              <w:t>has mechanical integrity.</w:t>
            </w:r>
          </w:p>
        </w:tc>
      </w:tr>
      <w:tr w:rsidRPr="00B031F6" w:rsidR="00886D9B" w:rsidTr="005A238D" w14:paraId="4EE7C57D" w14:textId="77777777">
        <w:trPr>
          <w:trHeight w:val="570"/>
          <w:jc w:val="center"/>
        </w:trPr>
        <w:tc>
          <w:tcPr>
            <w:tcW w:w="2870" w:type="dxa"/>
            <w:shd w:val="clear" w:color="auto" w:fill="auto"/>
            <w:hideMark/>
          </w:tcPr>
          <w:p w:rsidRPr="00B031F6" w:rsidR="00886D9B" w:rsidP="00886D9B" w:rsidRDefault="00886D9B" w14:paraId="4A2BC3A6" w14:textId="77777777">
            <w:pPr>
              <w:rPr>
                <w:rFonts w:ascii="Calibri" w:hAnsi="Calibri"/>
              </w:rPr>
            </w:pPr>
            <w:r w:rsidRPr="00B031F6">
              <w:rPr>
                <w:rFonts w:ascii="Calibri" w:hAnsi="Calibri"/>
              </w:rPr>
              <w:t>7520-11: Annual Disposal/Injection Well Monitoring Report</w:t>
            </w:r>
          </w:p>
        </w:tc>
        <w:tc>
          <w:tcPr>
            <w:tcW w:w="1350" w:type="dxa"/>
            <w:shd w:val="clear" w:color="auto" w:fill="auto"/>
            <w:noWrap/>
            <w:hideMark/>
          </w:tcPr>
          <w:p w:rsidRPr="00B031F6" w:rsidR="00886D9B" w:rsidP="00886D9B" w:rsidRDefault="00886D9B" w14:paraId="0BFD95A5" w14:textId="77777777">
            <w:pPr>
              <w:jc w:val="center"/>
              <w:rPr>
                <w:rFonts w:ascii="Calibri" w:hAnsi="Calibri"/>
              </w:rPr>
            </w:pPr>
            <w:r w:rsidRPr="00B031F6">
              <w:rPr>
                <w:rFonts w:ascii="Calibri" w:hAnsi="Calibri"/>
              </w:rPr>
              <w:t>II</w:t>
            </w:r>
          </w:p>
        </w:tc>
        <w:tc>
          <w:tcPr>
            <w:tcW w:w="1800" w:type="dxa"/>
          </w:tcPr>
          <w:p w:rsidRPr="00B031F6" w:rsidR="00886D9B" w:rsidP="00886D9B" w:rsidRDefault="00886D9B" w14:paraId="1A62825B" w14:textId="77777777">
            <w:pPr>
              <w:rPr>
                <w:rFonts w:ascii="Calibri" w:hAnsi="Calibri"/>
              </w:rPr>
            </w:pPr>
            <w:r w:rsidRPr="00B031F6">
              <w:rPr>
                <w:rFonts w:ascii="Calibri" w:hAnsi="Calibri"/>
              </w:rPr>
              <w:t>During injection operations</w:t>
            </w:r>
          </w:p>
        </w:tc>
        <w:tc>
          <w:tcPr>
            <w:tcW w:w="4389" w:type="dxa"/>
          </w:tcPr>
          <w:p w:rsidRPr="00B031F6" w:rsidR="00886D9B" w:rsidP="00886D9B" w:rsidRDefault="00886D9B" w14:paraId="502FA55D" w14:textId="1BDF18A0">
            <w:pPr>
              <w:rPr>
                <w:rFonts w:ascii="Calibri" w:hAnsi="Calibri"/>
              </w:rPr>
            </w:pPr>
            <w:r w:rsidRPr="00B031F6">
              <w:rPr>
                <w:rFonts w:ascii="Calibri" w:hAnsi="Calibri"/>
              </w:rPr>
              <w:t xml:space="preserve">Provides information </w:t>
            </w:r>
            <w:r>
              <w:rPr>
                <w:rFonts w:ascii="Calibri" w:hAnsi="Calibri"/>
              </w:rPr>
              <w:t xml:space="preserve">to demonstrate that </w:t>
            </w:r>
            <w:r w:rsidRPr="00B031F6">
              <w:rPr>
                <w:rFonts w:ascii="Calibri" w:hAnsi="Calibri"/>
              </w:rPr>
              <w:t xml:space="preserve">the well </w:t>
            </w:r>
            <w:r w:rsidR="00730060">
              <w:rPr>
                <w:rFonts w:ascii="Calibri" w:hAnsi="Calibri"/>
              </w:rPr>
              <w:t>i</w:t>
            </w:r>
            <w:r w:rsidRPr="00730060" w:rsidR="00730060">
              <w:rPr>
                <w:rFonts w:ascii="Calibri" w:hAnsi="Calibri"/>
              </w:rPr>
              <w:t xml:space="preserve">s operating according to permit limits and </w:t>
            </w:r>
            <w:r w:rsidRPr="00B031F6">
              <w:rPr>
                <w:rFonts w:ascii="Calibri" w:hAnsi="Calibri"/>
              </w:rPr>
              <w:t>has mechanical integrity.</w:t>
            </w:r>
          </w:p>
        </w:tc>
      </w:tr>
      <w:tr w:rsidRPr="00B031F6" w:rsidR="00886D9B" w:rsidTr="005A238D" w14:paraId="2F0019C5" w14:textId="77777777">
        <w:trPr>
          <w:trHeight w:val="570"/>
          <w:jc w:val="center"/>
        </w:trPr>
        <w:tc>
          <w:tcPr>
            <w:tcW w:w="2870" w:type="dxa"/>
            <w:shd w:val="clear" w:color="auto" w:fill="auto"/>
          </w:tcPr>
          <w:p w:rsidRPr="00B031F6" w:rsidR="00886D9B" w:rsidP="00886D9B" w:rsidRDefault="00886D9B" w14:paraId="3AE7FB7B" w14:textId="062E4E90">
            <w:pPr>
              <w:rPr>
                <w:rFonts w:ascii="Calibri" w:hAnsi="Calibri"/>
              </w:rPr>
            </w:pPr>
            <w:bookmarkStart w:name="_Hlk84321439" w:id="49"/>
            <w:r w:rsidRPr="00B031F6">
              <w:rPr>
                <w:rFonts w:ascii="Calibri" w:hAnsi="Calibri"/>
              </w:rPr>
              <w:t xml:space="preserve">7520-16: Inventory of </w:t>
            </w:r>
            <w:r w:rsidR="00D4047D">
              <w:rPr>
                <w:rFonts w:ascii="Calibri" w:hAnsi="Calibri"/>
              </w:rPr>
              <w:t xml:space="preserve">Class V </w:t>
            </w:r>
            <w:r w:rsidRPr="00B031F6">
              <w:rPr>
                <w:rFonts w:ascii="Calibri" w:hAnsi="Calibri"/>
              </w:rPr>
              <w:t>Injection Wells</w:t>
            </w:r>
            <w:bookmarkEnd w:id="49"/>
          </w:p>
        </w:tc>
        <w:tc>
          <w:tcPr>
            <w:tcW w:w="1350" w:type="dxa"/>
            <w:shd w:val="clear" w:color="auto" w:fill="auto"/>
            <w:noWrap/>
          </w:tcPr>
          <w:p w:rsidRPr="00B031F6" w:rsidR="00886D9B" w:rsidP="00886D9B" w:rsidRDefault="00886D9B" w14:paraId="70A76EE7" w14:textId="77777777">
            <w:pPr>
              <w:jc w:val="center"/>
              <w:rPr>
                <w:rFonts w:ascii="Calibri" w:hAnsi="Calibri"/>
              </w:rPr>
            </w:pPr>
            <w:r w:rsidRPr="00B031F6">
              <w:rPr>
                <w:rFonts w:ascii="Calibri" w:hAnsi="Calibri"/>
              </w:rPr>
              <w:t>V</w:t>
            </w:r>
          </w:p>
        </w:tc>
        <w:tc>
          <w:tcPr>
            <w:tcW w:w="1800" w:type="dxa"/>
          </w:tcPr>
          <w:p w:rsidRPr="00B031F6" w:rsidR="00FA3584" w:rsidP="00886D9B" w:rsidRDefault="00886D9B" w14:paraId="62569039" w14:textId="0B8084B1">
            <w:pPr>
              <w:rPr>
                <w:rFonts w:ascii="Calibri" w:hAnsi="Calibri"/>
              </w:rPr>
            </w:pPr>
            <w:r w:rsidRPr="00B031F6">
              <w:rPr>
                <w:rFonts w:ascii="Calibri" w:hAnsi="Calibri"/>
              </w:rPr>
              <w:t>Before well construction</w:t>
            </w:r>
          </w:p>
        </w:tc>
        <w:tc>
          <w:tcPr>
            <w:tcW w:w="4389" w:type="dxa"/>
          </w:tcPr>
          <w:p w:rsidRPr="00B031F6" w:rsidR="00886D9B" w:rsidP="00886D9B" w:rsidRDefault="00886D9B" w14:paraId="2DE7C1BC" w14:textId="1526F2C3">
            <w:pPr>
              <w:rPr>
                <w:rFonts w:ascii="Calibri" w:hAnsi="Calibri"/>
              </w:rPr>
            </w:pPr>
            <w:r w:rsidRPr="00B031F6">
              <w:rPr>
                <w:rFonts w:ascii="Calibri" w:hAnsi="Calibri"/>
              </w:rPr>
              <w:t>Provides information to ensure that the Director</w:t>
            </w:r>
            <w:r>
              <w:rPr>
                <w:rFonts w:ascii="Calibri" w:hAnsi="Calibri"/>
              </w:rPr>
              <w:t xml:space="preserve"> is aware of the presence of a Class V well</w:t>
            </w:r>
            <w:r w:rsidRPr="00B031F6">
              <w:rPr>
                <w:rFonts w:ascii="Calibri" w:hAnsi="Calibri"/>
              </w:rPr>
              <w:t>.</w:t>
            </w:r>
          </w:p>
        </w:tc>
      </w:tr>
      <w:tr w:rsidRPr="00B031F6" w:rsidR="00886D9B" w:rsidTr="005A238D" w14:paraId="6525851A" w14:textId="77777777">
        <w:trPr>
          <w:trHeight w:val="570"/>
          <w:jc w:val="center"/>
        </w:trPr>
        <w:tc>
          <w:tcPr>
            <w:tcW w:w="2870" w:type="dxa"/>
            <w:shd w:val="clear" w:color="auto" w:fill="auto"/>
          </w:tcPr>
          <w:p w:rsidRPr="00B031F6" w:rsidR="00886D9B" w:rsidP="00886D9B" w:rsidRDefault="00886D9B" w14:paraId="31E9778E" w14:textId="7A626A56">
            <w:pPr>
              <w:rPr>
                <w:rFonts w:ascii="Calibri" w:hAnsi="Calibri"/>
              </w:rPr>
            </w:pPr>
            <w:r w:rsidRPr="00B031F6">
              <w:rPr>
                <w:rFonts w:ascii="Calibri" w:hAnsi="Calibri"/>
              </w:rPr>
              <w:t xml:space="preserve">7520-17: </w:t>
            </w:r>
            <w:r w:rsidR="00D4047D">
              <w:rPr>
                <w:rFonts w:ascii="Calibri" w:hAnsi="Calibri"/>
              </w:rPr>
              <w:t xml:space="preserve">Class V </w:t>
            </w:r>
            <w:r w:rsidRPr="00B031F6">
              <w:rPr>
                <w:rFonts w:ascii="Calibri" w:hAnsi="Calibri"/>
              </w:rPr>
              <w:t xml:space="preserve">Pre-Closure </w:t>
            </w:r>
            <w:r w:rsidRPr="00D4047D" w:rsidR="00D4047D">
              <w:rPr>
                <w:rFonts w:ascii="Calibri" w:hAnsi="Calibri"/>
              </w:rPr>
              <w:t xml:space="preserve">and Post-Closure </w:t>
            </w:r>
            <w:r w:rsidRPr="00B031F6">
              <w:rPr>
                <w:rFonts w:ascii="Calibri" w:hAnsi="Calibri"/>
              </w:rPr>
              <w:t>Notification Form</w:t>
            </w:r>
          </w:p>
        </w:tc>
        <w:tc>
          <w:tcPr>
            <w:tcW w:w="1350" w:type="dxa"/>
            <w:shd w:val="clear" w:color="auto" w:fill="auto"/>
            <w:noWrap/>
          </w:tcPr>
          <w:p w:rsidRPr="00B031F6" w:rsidR="00886D9B" w:rsidP="00886D9B" w:rsidRDefault="00886D9B" w14:paraId="649C4605" w14:textId="77777777">
            <w:pPr>
              <w:ind w:firstLine="64" w:firstLineChars="32"/>
              <w:jc w:val="center"/>
              <w:rPr>
                <w:rFonts w:ascii="Calibri" w:hAnsi="Calibri"/>
              </w:rPr>
            </w:pPr>
            <w:r w:rsidRPr="00B031F6">
              <w:rPr>
                <w:rFonts w:ascii="Calibri" w:hAnsi="Calibri"/>
              </w:rPr>
              <w:t>V</w:t>
            </w:r>
          </w:p>
        </w:tc>
        <w:tc>
          <w:tcPr>
            <w:tcW w:w="1800" w:type="dxa"/>
          </w:tcPr>
          <w:p w:rsidRPr="00B031F6" w:rsidR="00886D9B" w:rsidP="00886D9B" w:rsidRDefault="00886D9B" w14:paraId="5A3719F0" w14:textId="14C4FAD7">
            <w:pPr>
              <w:rPr>
                <w:rFonts w:ascii="Calibri" w:hAnsi="Calibri"/>
              </w:rPr>
            </w:pPr>
            <w:r w:rsidRPr="00B031F6">
              <w:rPr>
                <w:rFonts w:ascii="Calibri" w:hAnsi="Calibri"/>
              </w:rPr>
              <w:t>Before</w:t>
            </w:r>
            <w:r w:rsidR="00730060">
              <w:rPr>
                <w:rFonts w:ascii="Calibri" w:hAnsi="Calibri"/>
              </w:rPr>
              <w:t>/after</w:t>
            </w:r>
            <w:r w:rsidRPr="00B031F6">
              <w:rPr>
                <w:rFonts w:ascii="Calibri" w:hAnsi="Calibri"/>
              </w:rPr>
              <w:t xml:space="preserve"> the well is plugged</w:t>
            </w:r>
          </w:p>
        </w:tc>
        <w:tc>
          <w:tcPr>
            <w:tcW w:w="4389" w:type="dxa"/>
          </w:tcPr>
          <w:p w:rsidRPr="00B031F6" w:rsidR="00886D9B" w:rsidP="00886D9B" w:rsidRDefault="00886D9B" w14:paraId="0EEAEA27" w14:textId="5BFDBFCC">
            <w:pPr>
              <w:rPr>
                <w:rFonts w:ascii="Calibri" w:hAnsi="Calibri"/>
              </w:rPr>
            </w:pPr>
            <w:r w:rsidRPr="00B031F6">
              <w:rPr>
                <w:rFonts w:ascii="Calibri" w:hAnsi="Calibri"/>
              </w:rPr>
              <w:t xml:space="preserve">Provides information to </w:t>
            </w:r>
            <w:r w:rsidR="00936897">
              <w:rPr>
                <w:rFonts w:ascii="Calibri" w:hAnsi="Calibri"/>
              </w:rPr>
              <w:t xml:space="preserve">ensure </w:t>
            </w:r>
            <w:r w:rsidRPr="00B031F6">
              <w:rPr>
                <w:rFonts w:ascii="Calibri" w:hAnsi="Calibri"/>
              </w:rPr>
              <w:t>that a Class V well will be</w:t>
            </w:r>
            <w:r w:rsidR="00730060">
              <w:rPr>
                <w:rFonts w:ascii="Calibri" w:hAnsi="Calibri"/>
              </w:rPr>
              <w:t>/was</w:t>
            </w:r>
            <w:r w:rsidRPr="00B031F6">
              <w:rPr>
                <w:rFonts w:ascii="Calibri" w:hAnsi="Calibri"/>
              </w:rPr>
              <w:t xml:space="preserve"> plugged in a manner that will not allow it to become a conduit for fluid movement</w:t>
            </w:r>
            <w:r w:rsidR="00730060">
              <w:rPr>
                <w:rFonts w:ascii="Calibri" w:hAnsi="Calibri"/>
              </w:rPr>
              <w:t>.</w:t>
            </w:r>
          </w:p>
        </w:tc>
      </w:tr>
      <w:tr w:rsidRPr="00B031F6" w:rsidR="005A238D" w:rsidTr="005A238D" w14:paraId="72828C4C" w14:textId="77777777">
        <w:trPr>
          <w:trHeight w:val="570"/>
          <w:jc w:val="center"/>
        </w:trPr>
        <w:tc>
          <w:tcPr>
            <w:tcW w:w="2870" w:type="dxa"/>
            <w:shd w:val="clear" w:color="auto" w:fill="auto"/>
          </w:tcPr>
          <w:p w:rsidRPr="00B031F6" w:rsidR="005A238D" w:rsidP="005A238D" w:rsidRDefault="005A238D" w14:paraId="07F3023E" w14:textId="1D2CE858">
            <w:pPr>
              <w:rPr>
                <w:rFonts w:ascii="Calibri" w:hAnsi="Calibri"/>
              </w:rPr>
            </w:pPr>
            <w:r w:rsidRPr="00B031F6">
              <w:rPr>
                <w:rFonts w:ascii="Calibri" w:hAnsi="Calibri"/>
              </w:rPr>
              <w:t>7520-</w:t>
            </w:r>
            <w:r>
              <w:rPr>
                <w:rFonts w:ascii="Calibri" w:hAnsi="Calibri"/>
              </w:rPr>
              <w:t>18</w:t>
            </w:r>
            <w:r w:rsidRPr="00B031F6">
              <w:rPr>
                <w:rFonts w:ascii="Calibri" w:hAnsi="Calibri"/>
              </w:rPr>
              <w:t>: Completion Form for Injection Wells</w:t>
            </w:r>
          </w:p>
        </w:tc>
        <w:tc>
          <w:tcPr>
            <w:tcW w:w="1350" w:type="dxa"/>
            <w:shd w:val="clear" w:color="auto" w:fill="auto"/>
            <w:noWrap/>
          </w:tcPr>
          <w:p w:rsidRPr="00B031F6" w:rsidR="005A238D" w:rsidP="005A238D" w:rsidRDefault="005A238D" w14:paraId="10A9B54E" w14:textId="162B6702">
            <w:pPr>
              <w:ind w:firstLine="64" w:firstLineChars="32"/>
              <w:jc w:val="center"/>
              <w:rPr>
                <w:rFonts w:ascii="Calibri" w:hAnsi="Calibri"/>
              </w:rPr>
            </w:pPr>
            <w:r w:rsidRPr="00B031F6">
              <w:rPr>
                <w:rFonts w:ascii="Calibri" w:hAnsi="Calibri"/>
              </w:rPr>
              <w:t>I,</w:t>
            </w:r>
            <w:r>
              <w:rPr>
                <w:rFonts w:ascii="Calibri" w:hAnsi="Calibri"/>
              </w:rPr>
              <w:t xml:space="preserve"> II,</w:t>
            </w:r>
            <w:r w:rsidRPr="00B031F6">
              <w:rPr>
                <w:rFonts w:ascii="Calibri" w:hAnsi="Calibri"/>
              </w:rPr>
              <w:t xml:space="preserve"> III</w:t>
            </w:r>
          </w:p>
        </w:tc>
        <w:tc>
          <w:tcPr>
            <w:tcW w:w="1800" w:type="dxa"/>
          </w:tcPr>
          <w:p w:rsidRPr="00B031F6" w:rsidR="005A238D" w:rsidP="005A238D" w:rsidRDefault="005A238D" w14:paraId="599D2E54" w14:textId="7AD2D9C5">
            <w:pPr>
              <w:rPr>
                <w:rFonts w:ascii="Calibri" w:hAnsi="Calibri"/>
              </w:rPr>
            </w:pPr>
            <w:r w:rsidRPr="00B031F6">
              <w:rPr>
                <w:rFonts w:ascii="Calibri" w:hAnsi="Calibri"/>
              </w:rPr>
              <w:t>Following well construction</w:t>
            </w:r>
          </w:p>
        </w:tc>
        <w:tc>
          <w:tcPr>
            <w:tcW w:w="4389" w:type="dxa"/>
          </w:tcPr>
          <w:p w:rsidRPr="00B031F6" w:rsidR="005A238D" w:rsidP="005A238D" w:rsidRDefault="005A238D" w14:paraId="7E0720CE" w14:textId="05F95D18">
            <w:pPr>
              <w:rPr>
                <w:rFonts w:ascii="Calibri" w:hAnsi="Calibri"/>
              </w:rPr>
            </w:pPr>
            <w:r w:rsidRPr="00B031F6">
              <w:rPr>
                <w:rFonts w:ascii="Calibri" w:hAnsi="Calibri"/>
              </w:rPr>
              <w:t>Provides information to verify that the well was constructed as d</w:t>
            </w:r>
            <w:r>
              <w:rPr>
                <w:rFonts w:ascii="Calibri" w:hAnsi="Calibri"/>
              </w:rPr>
              <w:t>escribed in the UIC permit/</w:t>
            </w:r>
            <w:r w:rsidRPr="00195639">
              <w:rPr>
                <w:rFonts w:ascii="Calibri" w:hAnsi="Calibri"/>
              </w:rPr>
              <w:t>ensure that injected fluids will remain in the identified injection zone</w:t>
            </w:r>
            <w:r w:rsidRPr="00B031F6">
              <w:rPr>
                <w:rFonts w:ascii="Calibri" w:hAnsi="Calibri"/>
              </w:rPr>
              <w:t>.</w:t>
            </w:r>
          </w:p>
        </w:tc>
      </w:tr>
      <w:tr w:rsidRPr="00B031F6" w:rsidR="005A238D" w:rsidTr="005A238D" w14:paraId="63289825" w14:textId="77777777">
        <w:trPr>
          <w:trHeight w:val="570"/>
          <w:jc w:val="center"/>
        </w:trPr>
        <w:tc>
          <w:tcPr>
            <w:tcW w:w="2870" w:type="dxa"/>
            <w:shd w:val="clear" w:color="auto" w:fill="auto"/>
          </w:tcPr>
          <w:p w:rsidRPr="00B031F6" w:rsidR="005A238D" w:rsidP="005A238D" w:rsidRDefault="005A238D" w14:paraId="2A8C3E19" w14:textId="72E92B55">
            <w:pPr>
              <w:rPr>
                <w:rFonts w:ascii="Calibri" w:hAnsi="Calibri"/>
              </w:rPr>
            </w:pPr>
            <w:r w:rsidRPr="005A238D">
              <w:rPr>
                <w:rFonts w:ascii="Calibri" w:hAnsi="Calibri"/>
              </w:rPr>
              <w:t>7520-19: Well Rework, Plugging &amp; Abandonment Plan, or Plugging &amp; Abandonment Affidavit</w:t>
            </w:r>
          </w:p>
        </w:tc>
        <w:tc>
          <w:tcPr>
            <w:tcW w:w="1350" w:type="dxa"/>
            <w:shd w:val="clear" w:color="auto" w:fill="auto"/>
            <w:noWrap/>
          </w:tcPr>
          <w:p w:rsidRPr="00B031F6" w:rsidR="005A238D" w:rsidP="005A238D" w:rsidRDefault="005A238D" w14:paraId="61370212" w14:textId="51A4A0CB">
            <w:pPr>
              <w:ind w:firstLine="64" w:firstLineChars="32"/>
              <w:jc w:val="center"/>
              <w:rPr>
                <w:rFonts w:ascii="Calibri" w:hAnsi="Calibri"/>
              </w:rPr>
            </w:pPr>
            <w:r w:rsidRPr="00B031F6">
              <w:rPr>
                <w:rFonts w:ascii="Calibri" w:hAnsi="Calibri"/>
              </w:rPr>
              <w:t>I,</w:t>
            </w:r>
            <w:r>
              <w:rPr>
                <w:rFonts w:ascii="Calibri" w:hAnsi="Calibri"/>
              </w:rPr>
              <w:t xml:space="preserve"> II,</w:t>
            </w:r>
            <w:r w:rsidRPr="00B031F6">
              <w:rPr>
                <w:rFonts w:ascii="Calibri" w:hAnsi="Calibri"/>
              </w:rPr>
              <w:t xml:space="preserve"> III</w:t>
            </w:r>
          </w:p>
        </w:tc>
        <w:tc>
          <w:tcPr>
            <w:tcW w:w="1800" w:type="dxa"/>
          </w:tcPr>
          <w:p w:rsidRPr="00B031F6" w:rsidR="005A238D" w:rsidP="005A238D" w:rsidRDefault="005A238D" w14:paraId="16576733" w14:textId="2B5EA40A">
            <w:pPr>
              <w:rPr>
                <w:rFonts w:ascii="Calibri" w:hAnsi="Calibri"/>
              </w:rPr>
            </w:pPr>
            <w:r w:rsidRPr="005A238D">
              <w:rPr>
                <w:rFonts w:ascii="Calibri" w:hAnsi="Calibri"/>
              </w:rPr>
              <w:t>Before well construction; occasionally during the permit term; following plugging</w:t>
            </w:r>
          </w:p>
        </w:tc>
        <w:tc>
          <w:tcPr>
            <w:tcW w:w="4389" w:type="dxa"/>
          </w:tcPr>
          <w:p w:rsidRPr="00B031F6" w:rsidR="005A238D" w:rsidP="005A238D" w:rsidRDefault="005A238D" w14:paraId="321ED044" w14:textId="44010E46">
            <w:pPr>
              <w:rPr>
                <w:rFonts w:ascii="Calibri" w:hAnsi="Calibri"/>
              </w:rPr>
            </w:pPr>
            <w:r w:rsidRPr="005A238D">
              <w:rPr>
                <w:rFonts w:ascii="Calibri" w:hAnsi="Calibri"/>
              </w:rPr>
              <w:t>Provides information to ensure that well maintenance activities will be conducted in a manner that does not compromise the well’s mechanical integrity</w:t>
            </w:r>
            <w:r w:rsidR="00570E93">
              <w:rPr>
                <w:rFonts w:ascii="Calibri" w:hAnsi="Calibri"/>
              </w:rPr>
              <w:t>;</w:t>
            </w:r>
            <w:r w:rsidRPr="005A238D">
              <w:rPr>
                <w:rFonts w:ascii="Calibri" w:hAnsi="Calibri"/>
              </w:rPr>
              <w:t xml:space="preserve"> or that the well will be</w:t>
            </w:r>
            <w:r w:rsidR="00730060">
              <w:rPr>
                <w:rFonts w:ascii="Calibri" w:hAnsi="Calibri"/>
              </w:rPr>
              <w:t>/was</w:t>
            </w:r>
            <w:r w:rsidRPr="005A238D">
              <w:rPr>
                <w:rFonts w:ascii="Calibri" w:hAnsi="Calibri"/>
              </w:rPr>
              <w:t xml:space="preserve"> plugged in a manner that will not allow it to become a conduit for fluid movement.</w:t>
            </w:r>
          </w:p>
        </w:tc>
      </w:tr>
    </w:tbl>
    <w:p w:rsidR="00B61C69" w:rsidP="00B61C69" w:rsidRDefault="00B61C69" w14:paraId="6B70135B"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61C69" w:rsidP="00B61C69" w:rsidRDefault="00B61C69" w14:paraId="252A5BC4" w14:textId="7274B148">
      <w:pPr>
        <w:spacing w:before="100"/>
        <w:jc w:val="center"/>
        <w:rPr>
          <w:sz w:val="24"/>
          <w:szCs w:val="24"/>
        </w:rPr>
      </w:pPr>
    </w:p>
    <w:p w:rsidR="00886D9B" w:rsidP="00886D9B" w:rsidRDefault="00886D9B" w14:paraId="2E7F44E5" w14:textId="6764E32C">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lastRenderedPageBreak/>
        <w:tab/>
      </w:r>
      <w:r w:rsidRPr="001941A8">
        <w:rPr>
          <w:i/>
          <w:sz w:val="24"/>
          <w:szCs w:val="24"/>
        </w:rPr>
        <w:t xml:space="preserve">Rule-Authorized Wells </w:t>
      </w:r>
    </w:p>
    <w:p w:rsidR="00886D9B" w:rsidP="00886D9B" w:rsidRDefault="00886D9B" w14:paraId="6F0F2B46" w14:textId="77777777">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C25838" w:rsidP="00886D9B" w:rsidRDefault="00C25838" w14:paraId="61924446" w14:textId="26E30A4E">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941A8">
        <w:rPr>
          <w:sz w:val="24"/>
          <w:szCs w:val="24"/>
        </w:rPr>
        <w:t>Wells in existence before the promulgation of specific permitting regulations are authorized by rule until regulations require them to be permitted</w:t>
      </w:r>
      <w:r w:rsidRPr="001941A8" w:rsidR="00F84502">
        <w:rPr>
          <w:sz w:val="24"/>
          <w:szCs w:val="24"/>
        </w:rPr>
        <w:t xml:space="preserve">. </w:t>
      </w:r>
      <w:r w:rsidRPr="001941A8">
        <w:rPr>
          <w:sz w:val="24"/>
          <w:szCs w:val="24"/>
        </w:rPr>
        <w:t>To meet initial reporting requirements, operators</w:t>
      </w:r>
      <w:r>
        <w:rPr>
          <w:sz w:val="24"/>
          <w:szCs w:val="24"/>
        </w:rPr>
        <w:t xml:space="preserve"> of rule-authorized wells are required to submit inventory information (i.e., facility name; name and address of the facility’s legal contact; ownership status; and operating status of the injection well) to the permitting authority using Form 7520-16</w:t>
      </w:r>
      <w:r w:rsidR="009C2E35">
        <w:rPr>
          <w:sz w:val="24"/>
          <w:szCs w:val="24"/>
        </w:rPr>
        <w:t xml:space="preserve"> (or a state-develop</w:t>
      </w:r>
      <w:r w:rsidR="00E46259">
        <w:rPr>
          <w:sz w:val="24"/>
          <w:szCs w:val="24"/>
        </w:rPr>
        <w:t>ed</w:t>
      </w:r>
      <w:r w:rsidR="009C2E35">
        <w:rPr>
          <w:sz w:val="24"/>
          <w:szCs w:val="24"/>
        </w:rPr>
        <w:t xml:space="preserve"> equivalent form)</w:t>
      </w:r>
      <w:r>
        <w:rPr>
          <w:sz w:val="24"/>
          <w:szCs w:val="24"/>
        </w:rPr>
        <w:t>. Operators must also submit a plugging and abandonment plan and information regarding financial responsibility (this requirement does not apply to rule-authorized Class V wells)</w:t>
      </w:r>
      <w:r w:rsidR="00F84502">
        <w:rPr>
          <w:sz w:val="24"/>
          <w:szCs w:val="24"/>
        </w:rPr>
        <w:t xml:space="preserve">. </w:t>
      </w:r>
      <w:r>
        <w:rPr>
          <w:sz w:val="24"/>
          <w:szCs w:val="24"/>
        </w:rPr>
        <w:t>Authorization terminates if the operator fails to supply any required information or if the well loses mechanical integrity or contaminates a USDW.</w:t>
      </w:r>
      <w:r w:rsidR="001F663E">
        <w:rPr>
          <w:sz w:val="24"/>
          <w:szCs w:val="24"/>
        </w:rPr>
        <w:t xml:space="preserve"> </w:t>
      </w:r>
    </w:p>
    <w:p w:rsidR="00C25838" w:rsidRDefault="00C25838" w14:paraId="43522545"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416C9ADD"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sz w:val="24"/>
          <w:szCs w:val="24"/>
        </w:rPr>
      </w:pPr>
      <w:r>
        <w:rPr>
          <w:i/>
          <w:iCs/>
          <w:sz w:val="24"/>
          <w:szCs w:val="24"/>
        </w:rPr>
        <w:t>Permitted Wells</w:t>
      </w:r>
      <w:r>
        <w:rPr>
          <w:rStyle w:val="FootnoteReference"/>
          <w:i/>
          <w:iCs/>
          <w:sz w:val="24"/>
          <w:szCs w:val="24"/>
        </w:rPr>
        <w:footnoteReference w:id="6"/>
      </w:r>
      <w:r>
        <w:rPr>
          <w:i/>
          <w:iCs/>
          <w:sz w:val="24"/>
          <w:szCs w:val="24"/>
        </w:rPr>
        <w:t xml:space="preserve"> </w:t>
      </w:r>
    </w:p>
    <w:p w:rsidR="00C25838" w:rsidRDefault="00C25838" w14:paraId="7E7DDF1B"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3DE5124F" w14:textId="3E85ED19">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Operators of permitted wells must follow a two-step permit application procedure</w:t>
      </w:r>
      <w:r w:rsidR="00F84502">
        <w:rPr>
          <w:sz w:val="24"/>
          <w:szCs w:val="24"/>
        </w:rPr>
        <w:t xml:space="preserve">. </w:t>
      </w:r>
      <w:r>
        <w:rPr>
          <w:sz w:val="24"/>
          <w:szCs w:val="24"/>
        </w:rPr>
        <w:t xml:space="preserve">The operator must submit a permit application </w:t>
      </w:r>
      <w:r w:rsidR="00AE41C4">
        <w:rPr>
          <w:sz w:val="24"/>
          <w:szCs w:val="24"/>
        </w:rPr>
        <w:t xml:space="preserve">(via </w:t>
      </w:r>
      <w:r w:rsidR="00970A5C">
        <w:rPr>
          <w:sz w:val="24"/>
          <w:szCs w:val="24"/>
        </w:rPr>
        <w:t xml:space="preserve">Form </w:t>
      </w:r>
      <w:r w:rsidR="00AE41C4">
        <w:rPr>
          <w:sz w:val="24"/>
          <w:szCs w:val="24"/>
        </w:rPr>
        <w:t xml:space="preserve">7520-6 or a state equivalent) </w:t>
      </w:r>
      <w:r>
        <w:rPr>
          <w:sz w:val="24"/>
          <w:szCs w:val="24"/>
        </w:rPr>
        <w:t xml:space="preserve">prior to construction, and a completion report </w:t>
      </w:r>
      <w:r w:rsidR="00AE41C4">
        <w:rPr>
          <w:sz w:val="24"/>
          <w:szCs w:val="24"/>
        </w:rPr>
        <w:t>(</w:t>
      </w:r>
      <w:r w:rsidR="00970A5C">
        <w:rPr>
          <w:sz w:val="24"/>
          <w:szCs w:val="24"/>
        </w:rPr>
        <w:t>Form 75</w:t>
      </w:r>
      <w:r w:rsidR="00AE41C4">
        <w:rPr>
          <w:sz w:val="24"/>
          <w:szCs w:val="24"/>
        </w:rPr>
        <w:t>20-1</w:t>
      </w:r>
      <w:r w:rsidR="004713E1">
        <w:rPr>
          <w:sz w:val="24"/>
          <w:szCs w:val="24"/>
        </w:rPr>
        <w:t>8</w:t>
      </w:r>
      <w:r w:rsidR="00AE41C4">
        <w:rPr>
          <w:sz w:val="24"/>
          <w:szCs w:val="24"/>
        </w:rPr>
        <w:t xml:space="preserve"> or </w:t>
      </w:r>
      <w:r w:rsidR="00730060">
        <w:rPr>
          <w:sz w:val="24"/>
          <w:szCs w:val="24"/>
        </w:rPr>
        <w:t xml:space="preserve">a </w:t>
      </w:r>
      <w:r w:rsidR="00AE41C4">
        <w:rPr>
          <w:sz w:val="24"/>
          <w:szCs w:val="24"/>
        </w:rPr>
        <w:t xml:space="preserve">state equivalent) </w:t>
      </w:r>
      <w:r>
        <w:rPr>
          <w:sz w:val="24"/>
          <w:szCs w:val="24"/>
        </w:rPr>
        <w:t>before commencing injection</w:t>
      </w:r>
      <w:r w:rsidR="00F84502">
        <w:rPr>
          <w:sz w:val="24"/>
          <w:szCs w:val="24"/>
        </w:rPr>
        <w:t xml:space="preserve">. </w:t>
      </w:r>
      <w:r w:rsidR="00852825">
        <w:rPr>
          <w:sz w:val="24"/>
          <w:szCs w:val="24"/>
        </w:rPr>
        <w:t xml:space="preserve">(Instead of submitting a completion report, owners or operators of Class VI wells must submit final site characterization information before commencing injection.) </w:t>
      </w:r>
      <w:r>
        <w:rPr>
          <w:sz w:val="24"/>
          <w:szCs w:val="24"/>
        </w:rPr>
        <w:t>Operators must include the following information with their permit applications:</w:t>
      </w:r>
    </w:p>
    <w:p w:rsidR="00C25838" w:rsidRDefault="00C25838" w14:paraId="17FC3226"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3B62B7" w:rsidRDefault="00C25838" w14:paraId="411CA04A"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Inventory Information:</w:t>
      </w:r>
      <w:r w:rsidR="00F84502">
        <w:rPr>
          <w:sz w:val="24"/>
          <w:szCs w:val="24"/>
        </w:rPr>
        <w:t xml:space="preserve"> </w:t>
      </w:r>
      <w:r>
        <w:rPr>
          <w:sz w:val="24"/>
          <w:szCs w:val="24"/>
        </w:rPr>
        <w:t xml:space="preserve">name of the facility, name and address of legal contact, ownership of facility, </w:t>
      </w:r>
      <w:r w:rsidR="00210B9A">
        <w:rPr>
          <w:sz w:val="24"/>
          <w:szCs w:val="24"/>
        </w:rPr>
        <w:t>NAICS/</w:t>
      </w:r>
      <w:r>
        <w:rPr>
          <w:sz w:val="24"/>
          <w:szCs w:val="24"/>
        </w:rPr>
        <w:t>SIC code(s), and a description of the activities requiring a permit [all well Classes];</w:t>
      </w:r>
    </w:p>
    <w:p w:rsidR="00C25838" w:rsidP="003B62B7" w:rsidRDefault="00C25838" w14:paraId="22311996" w14:textId="77777777">
      <w:pPr>
        <w:pStyle w:val="a0"/>
        <w:numPr>
          <w:ilvl w:val="0"/>
          <w:numId w:val="1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pPr>
      <w:r>
        <w:rPr>
          <w:b/>
          <w:bCs/>
          <w:i/>
          <w:iCs/>
        </w:rPr>
        <w:t xml:space="preserve">List of Landowners: </w:t>
      </w:r>
      <w:r>
        <w:t>a list of landowners within one-quarter mile of the facility</w:t>
      </w:r>
      <w:r w:rsidR="00F84502">
        <w:t xml:space="preserve"> </w:t>
      </w:r>
      <w:r>
        <w:t>(in DI programs) [all well Classes];</w:t>
      </w:r>
      <w:r>
        <w:rPr>
          <w:rStyle w:val="FootnoteReference"/>
        </w:rPr>
        <w:footnoteReference w:id="7"/>
      </w:r>
    </w:p>
    <w:p w:rsidR="00C25838" w:rsidP="003B62B7" w:rsidRDefault="00C25838" w14:paraId="73EA503E" w14:textId="2EB2A5DC">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sz w:val="24"/>
          <w:szCs w:val="24"/>
        </w:rPr>
      </w:pPr>
      <w:r>
        <w:rPr>
          <w:sz w:val="24"/>
          <w:szCs w:val="24"/>
        </w:rPr>
        <w:tab/>
        <w:t>•</w:t>
      </w:r>
      <w:r>
        <w:rPr>
          <w:sz w:val="24"/>
          <w:szCs w:val="24"/>
        </w:rPr>
        <w:tab/>
      </w:r>
      <w:r>
        <w:rPr>
          <w:b/>
          <w:bCs/>
          <w:i/>
          <w:iCs/>
          <w:sz w:val="24"/>
          <w:szCs w:val="24"/>
        </w:rPr>
        <w:t>Area of Review Methods:</w:t>
      </w:r>
      <w:r w:rsidR="00F84502">
        <w:rPr>
          <w:b/>
          <w:bCs/>
          <w:i/>
          <w:iCs/>
          <w:sz w:val="24"/>
          <w:szCs w:val="24"/>
        </w:rPr>
        <w:t xml:space="preserve"> </w:t>
      </w:r>
      <w:r>
        <w:rPr>
          <w:sz w:val="24"/>
          <w:szCs w:val="24"/>
        </w:rPr>
        <w:t>methods and calculations used to determine the AoR [Classes I, II, III</w:t>
      </w:r>
      <w:r w:rsidR="00210B9A">
        <w:rPr>
          <w:sz w:val="24"/>
          <w:szCs w:val="24"/>
        </w:rPr>
        <w:t>, and VI</w:t>
      </w:r>
      <w:r>
        <w:rPr>
          <w:sz w:val="24"/>
          <w:szCs w:val="24"/>
        </w:rPr>
        <w:t>];</w:t>
      </w:r>
    </w:p>
    <w:p w:rsidR="00C25838" w:rsidP="003B62B7" w:rsidRDefault="00C25838" w14:paraId="6E46E5C5" w14:textId="3B49521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Maps of Wells/Area of Review:</w:t>
      </w:r>
      <w:r w:rsidR="00F84502">
        <w:rPr>
          <w:b/>
          <w:bCs/>
          <w:i/>
          <w:iCs/>
          <w:sz w:val="24"/>
          <w:szCs w:val="24"/>
        </w:rPr>
        <w:t xml:space="preserve"> </w:t>
      </w:r>
      <w:r>
        <w:rPr>
          <w:sz w:val="24"/>
          <w:szCs w:val="24"/>
        </w:rPr>
        <w:t>a tabulation of all wells within the AoR (within</w:t>
      </w:r>
      <w:r w:rsidR="00326921">
        <w:rPr>
          <w:sz w:val="24"/>
          <w:szCs w:val="24"/>
        </w:rPr>
        <w:t xml:space="preserve"> one-quarter</w:t>
      </w:r>
      <w:r>
        <w:rPr>
          <w:sz w:val="24"/>
          <w:szCs w:val="24"/>
        </w:rPr>
        <w:t xml:space="preserve"> mile of the well, or within 2 miles of a Class I hazardous well</w:t>
      </w:r>
      <w:r w:rsidR="00210B9A">
        <w:rPr>
          <w:sz w:val="24"/>
          <w:szCs w:val="24"/>
        </w:rPr>
        <w:t xml:space="preserve">, or as defined by </w:t>
      </w:r>
      <w:r w:rsidRPr="00210B9A" w:rsidR="00210B9A">
        <w:rPr>
          <w:sz w:val="24"/>
          <w:szCs w:val="24"/>
        </w:rPr>
        <w:t xml:space="preserve">computational </w:t>
      </w:r>
      <w:r w:rsidR="0080180C">
        <w:rPr>
          <w:sz w:val="24"/>
          <w:szCs w:val="24"/>
        </w:rPr>
        <w:t>modeling</w:t>
      </w:r>
      <w:r w:rsidR="00210B9A">
        <w:rPr>
          <w:sz w:val="24"/>
          <w:szCs w:val="24"/>
        </w:rPr>
        <w:t xml:space="preserve"> for </w:t>
      </w:r>
      <w:r w:rsidR="0080180C">
        <w:rPr>
          <w:sz w:val="24"/>
          <w:szCs w:val="24"/>
        </w:rPr>
        <w:t xml:space="preserve">a </w:t>
      </w:r>
      <w:r w:rsidR="00210B9A">
        <w:rPr>
          <w:sz w:val="24"/>
          <w:szCs w:val="24"/>
        </w:rPr>
        <w:t>Class VI well</w:t>
      </w:r>
      <w:r>
        <w:rPr>
          <w:sz w:val="24"/>
          <w:szCs w:val="24"/>
        </w:rPr>
        <w:t>) that penetrate the injection zone or the confining zone [Classes I, II, III</w:t>
      </w:r>
      <w:r w:rsidR="00210B9A">
        <w:rPr>
          <w:sz w:val="24"/>
          <w:szCs w:val="24"/>
        </w:rPr>
        <w:t>, and VI</w:t>
      </w:r>
      <w:r>
        <w:rPr>
          <w:sz w:val="24"/>
          <w:szCs w:val="24"/>
        </w:rPr>
        <w:t>];</w:t>
      </w:r>
    </w:p>
    <w:p w:rsidR="00C25838" w:rsidP="003B62B7" w:rsidRDefault="00C25838" w14:paraId="0F328B0B" w14:textId="1691A39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Corrective Action Plan:</w:t>
      </w:r>
      <w:r w:rsidR="00F84502">
        <w:rPr>
          <w:b/>
          <w:bCs/>
          <w:i/>
          <w:iCs/>
          <w:sz w:val="24"/>
          <w:szCs w:val="24"/>
        </w:rPr>
        <w:t xml:space="preserve"> </w:t>
      </w:r>
      <w:r>
        <w:rPr>
          <w:sz w:val="24"/>
          <w:szCs w:val="24"/>
        </w:rPr>
        <w:t xml:space="preserve">a plan for corrective action for </w:t>
      </w:r>
      <w:r w:rsidR="00730060">
        <w:rPr>
          <w:sz w:val="24"/>
          <w:szCs w:val="24"/>
        </w:rPr>
        <w:t xml:space="preserve">deficient </w:t>
      </w:r>
      <w:r>
        <w:rPr>
          <w:sz w:val="24"/>
          <w:szCs w:val="24"/>
        </w:rPr>
        <w:t>wells within the AoR [Classes I, II, III</w:t>
      </w:r>
      <w:r w:rsidR="00210B9A">
        <w:rPr>
          <w:sz w:val="24"/>
          <w:szCs w:val="24"/>
        </w:rPr>
        <w:t>, and VI</w:t>
      </w:r>
      <w:r>
        <w:rPr>
          <w:sz w:val="24"/>
          <w:szCs w:val="24"/>
        </w:rPr>
        <w:t>];</w:t>
      </w:r>
    </w:p>
    <w:p w:rsidR="00C25838" w:rsidP="003B62B7" w:rsidRDefault="00C25838" w14:paraId="06187D47"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Geologic and Hydrogeologic Data:</w:t>
      </w:r>
      <w:r w:rsidR="00F84502">
        <w:rPr>
          <w:sz w:val="24"/>
          <w:szCs w:val="24"/>
        </w:rPr>
        <w:t xml:space="preserve"> </w:t>
      </w:r>
      <w:r>
        <w:rPr>
          <w:sz w:val="24"/>
          <w:szCs w:val="24"/>
        </w:rPr>
        <w:t>maps and cross sections of USDWs, and data (including maps and cross sections) on the local and regional geology of the confining zone [Classes I</w:t>
      </w:r>
      <w:r w:rsidR="00535D3F">
        <w:rPr>
          <w:sz w:val="24"/>
          <w:szCs w:val="24"/>
        </w:rPr>
        <w:t>,</w:t>
      </w:r>
      <w:r w:rsidR="00F84502">
        <w:rPr>
          <w:sz w:val="24"/>
          <w:szCs w:val="24"/>
        </w:rPr>
        <w:t xml:space="preserve"> </w:t>
      </w:r>
      <w:r>
        <w:rPr>
          <w:sz w:val="24"/>
          <w:szCs w:val="24"/>
        </w:rPr>
        <w:t>III</w:t>
      </w:r>
      <w:r w:rsidR="00535D3F">
        <w:rPr>
          <w:sz w:val="24"/>
          <w:szCs w:val="24"/>
        </w:rPr>
        <w:t>, and VI</w:t>
      </w:r>
      <w:r w:rsidR="0080180C">
        <w:rPr>
          <w:sz w:val="24"/>
          <w:szCs w:val="24"/>
        </w:rPr>
        <w:t>]</w:t>
      </w:r>
      <w:r>
        <w:rPr>
          <w:sz w:val="24"/>
          <w:szCs w:val="24"/>
        </w:rPr>
        <w:t xml:space="preserve"> </w:t>
      </w:r>
      <w:r w:rsidR="0080180C">
        <w:rPr>
          <w:sz w:val="24"/>
          <w:szCs w:val="24"/>
        </w:rPr>
        <w:t xml:space="preserve">or </w:t>
      </w:r>
      <w:r>
        <w:rPr>
          <w:sz w:val="24"/>
          <w:szCs w:val="24"/>
        </w:rPr>
        <w:t>names and depths of USDWs [Class II];</w:t>
      </w:r>
    </w:p>
    <w:p w:rsidR="00C25838" w:rsidRDefault="00C25838" w14:paraId="748AC2BD" w14:textId="06DF351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Pr>
          <w:sz w:val="24"/>
          <w:szCs w:val="24"/>
        </w:rPr>
        <w:br w:type="page"/>
      </w:r>
      <w:r>
        <w:rPr>
          <w:rFonts w:ascii="Arial" w:hAnsi="Arial" w:cs="Arial"/>
          <w:b/>
          <w:bCs/>
          <w:sz w:val="24"/>
          <w:szCs w:val="24"/>
        </w:rPr>
        <w:lastRenderedPageBreak/>
        <w:t>Exhibit 4-</w:t>
      </w:r>
      <w:r w:rsidR="00B031F6">
        <w:rPr>
          <w:rFonts w:ascii="Arial" w:hAnsi="Arial" w:cs="Arial"/>
          <w:b/>
          <w:bCs/>
          <w:sz w:val="24"/>
          <w:szCs w:val="24"/>
        </w:rPr>
        <w:t>3</w:t>
      </w:r>
    </w:p>
    <w:p w:rsidR="00C25838" w:rsidRDefault="00C25838" w14:paraId="0A5DC479"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Pr>
          <w:rFonts w:ascii="Arial" w:hAnsi="Arial" w:cs="Arial"/>
          <w:b/>
          <w:bCs/>
          <w:sz w:val="24"/>
          <w:szCs w:val="24"/>
        </w:rPr>
        <w:t>Operator Paperwork Requirements</w:t>
      </w:r>
    </w:p>
    <w:tbl>
      <w:tblPr>
        <w:tblW w:w="9676" w:type="dxa"/>
        <w:jc w:val="center"/>
        <w:tblLayout w:type="fixed"/>
        <w:tblCellMar>
          <w:left w:w="7" w:type="dxa"/>
          <w:right w:w="7" w:type="dxa"/>
        </w:tblCellMar>
        <w:tblLook w:val="0000" w:firstRow="0" w:lastRow="0" w:firstColumn="0" w:lastColumn="0" w:noHBand="0" w:noVBand="0"/>
      </w:tblPr>
      <w:tblGrid>
        <w:gridCol w:w="5624"/>
        <w:gridCol w:w="630"/>
        <w:gridCol w:w="630"/>
        <w:gridCol w:w="630"/>
        <w:gridCol w:w="720"/>
        <w:gridCol w:w="721"/>
        <w:gridCol w:w="721"/>
      </w:tblGrid>
      <w:tr w:rsidR="00535D3F" w:rsidTr="00535D3F" w14:paraId="0519371A" w14:textId="77777777">
        <w:trPr>
          <w:cantSplit/>
          <w:tblHeader/>
          <w:jc w:val="center"/>
        </w:trPr>
        <w:tc>
          <w:tcPr>
            <w:tcW w:w="5624" w:type="dxa"/>
            <w:tcBorders>
              <w:top w:val="single" w:color="000000" w:sz="12" w:space="0"/>
              <w:left w:val="single" w:color="000000" w:sz="12" w:space="0"/>
              <w:bottom w:val="nil"/>
              <w:right w:val="nil"/>
            </w:tcBorders>
          </w:tcPr>
          <w:p w:rsidR="00535D3F" w:rsidP="004A5766" w:rsidRDefault="004A5766" w14:paraId="4A471A84" w14:textId="77777777">
            <w:pPr>
              <w:tabs>
                <w:tab w:val="left" w:pos="-1080"/>
                <w:tab w:val="left" w:pos="-720"/>
                <w:tab w:val="left" w:pos="720"/>
                <w:tab w:val="left" w:pos="1440"/>
                <w:tab w:val="left" w:pos="2160"/>
                <w:tab w:val="left" w:pos="2880"/>
                <w:tab w:val="left" w:pos="3600"/>
                <w:tab w:val="left" w:pos="4320"/>
                <w:tab w:val="left" w:pos="5040"/>
              </w:tabs>
              <w:spacing w:before="32"/>
              <w:jc w:val="center"/>
              <w:rPr>
                <w:sz w:val="18"/>
                <w:szCs w:val="18"/>
              </w:rPr>
            </w:pPr>
            <w:r>
              <w:rPr>
                <w:rFonts w:ascii="Arial" w:hAnsi="Arial" w:cs="Arial"/>
                <w:b/>
                <w:bCs/>
                <w:sz w:val="18"/>
                <w:szCs w:val="18"/>
              </w:rPr>
              <w:t>Information Submitted</w:t>
            </w:r>
          </w:p>
        </w:tc>
        <w:tc>
          <w:tcPr>
            <w:tcW w:w="4052" w:type="dxa"/>
            <w:gridSpan w:val="6"/>
            <w:tcBorders>
              <w:top w:val="single" w:color="000000" w:sz="12" w:space="0"/>
              <w:left w:val="single" w:color="000000" w:sz="6" w:space="0"/>
              <w:bottom w:val="nil"/>
              <w:right w:val="single" w:color="000000" w:sz="12" w:space="0"/>
            </w:tcBorders>
          </w:tcPr>
          <w:p w:rsidR="00535D3F" w:rsidRDefault="00535D3F" w14:paraId="24D11B83" w14:textId="77777777">
            <w:pPr>
              <w:tabs>
                <w:tab w:val="left" w:pos="-1080"/>
                <w:tab w:val="left" w:pos="-720"/>
              </w:tabs>
              <w:spacing w:before="32"/>
              <w:jc w:val="center"/>
              <w:rPr>
                <w:rFonts w:ascii="Arial" w:hAnsi="Arial" w:cs="Arial"/>
                <w:b/>
                <w:bCs/>
                <w:sz w:val="18"/>
                <w:szCs w:val="18"/>
              </w:rPr>
            </w:pPr>
            <w:r>
              <w:rPr>
                <w:rFonts w:ascii="Arial" w:hAnsi="Arial" w:cs="Arial"/>
                <w:b/>
                <w:bCs/>
                <w:sz w:val="18"/>
                <w:szCs w:val="18"/>
              </w:rPr>
              <w:t>Class</w:t>
            </w:r>
          </w:p>
        </w:tc>
      </w:tr>
      <w:tr w:rsidR="00535D3F" w:rsidTr="000A266A" w14:paraId="1E5DCBC5" w14:textId="77777777">
        <w:trPr>
          <w:cantSplit/>
          <w:tblHeader/>
          <w:jc w:val="center"/>
        </w:trPr>
        <w:tc>
          <w:tcPr>
            <w:tcW w:w="5624" w:type="dxa"/>
            <w:tcBorders>
              <w:top w:val="single" w:color="000000" w:sz="6" w:space="0"/>
              <w:left w:val="single" w:color="000000" w:sz="12" w:space="0"/>
              <w:bottom w:val="nil"/>
              <w:right w:val="nil"/>
            </w:tcBorders>
            <w:shd w:val="pct5" w:color="000000" w:fill="FFFFFF"/>
          </w:tcPr>
          <w:p w:rsidR="00535D3F" w:rsidRDefault="00535D3F" w14:paraId="33639100"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p>
        </w:tc>
        <w:tc>
          <w:tcPr>
            <w:tcW w:w="630" w:type="dxa"/>
            <w:tcBorders>
              <w:top w:val="single" w:color="000000" w:sz="6" w:space="0"/>
              <w:left w:val="single" w:color="000000" w:sz="6" w:space="0"/>
              <w:bottom w:val="nil"/>
              <w:right w:val="nil"/>
            </w:tcBorders>
          </w:tcPr>
          <w:p w:rsidR="00535D3F" w:rsidRDefault="00535D3F" w14:paraId="0DBE7B74" w14:textId="77777777">
            <w:pPr>
              <w:tabs>
                <w:tab w:val="left" w:pos="-1080"/>
                <w:tab w:val="left" w:pos="-720"/>
              </w:tabs>
              <w:spacing w:before="32"/>
              <w:jc w:val="center"/>
              <w:rPr>
                <w:sz w:val="18"/>
                <w:szCs w:val="18"/>
              </w:rPr>
            </w:pPr>
            <w:r>
              <w:rPr>
                <w:rFonts w:ascii="Arial" w:hAnsi="Arial" w:cs="Arial"/>
                <w:sz w:val="18"/>
                <w:szCs w:val="18"/>
              </w:rPr>
              <w:t>I-H</w:t>
            </w:r>
          </w:p>
        </w:tc>
        <w:tc>
          <w:tcPr>
            <w:tcW w:w="630" w:type="dxa"/>
            <w:tcBorders>
              <w:top w:val="single" w:color="000000" w:sz="6" w:space="0"/>
              <w:left w:val="single" w:color="000000" w:sz="6" w:space="0"/>
              <w:bottom w:val="nil"/>
              <w:right w:val="nil"/>
            </w:tcBorders>
          </w:tcPr>
          <w:p w:rsidR="00535D3F" w:rsidRDefault="00535D3F" w14:paraId="5F92CB6F" w14:textId="77777777">
            <w:pPr>
              <w:tabs>
                <w:tab w:val="left" w:pos="-1080"/>
                <w:tab w:val="left" w:pos="-720"/>
              </w:tabs>
              <w:spacing w:before="32"/>
              <w:jc w:val="center"/>
              <w:rPr>
                <w:sz w:val="18"/>
                <w:szCs w:val="18"/>
              </w:rPr>
            </w:pPr>
            <w:r>
              <w:rPr>
                <w:rFonts w:ascii="Arial" w:hAnsi="Arial" w:cs="Arial"/>
                <w:sz w:val="18"/>
                <w:szCs w:val="18"/>
              </w:rPr>
              <w:t>I-N</w:t>
            </w:r>
          </w:p>
        </w:tc>
        <w:tc>
          <w:tcPr>
            <w:tcW w:w="630" w:type="dxa"/>
            <w:tcBorders>
              <w:top w:val="single" w:color="000000" w:sz="6" w:space="0"/>
              <w:left w:val="single" w:color="000000" w:sz="6" w:space="0"/>
              <w:bottom w:val="nil"/>
              <w:right w:val="nil"/>
            </w:tcBorders>
          </w:tcPr>
          <w:p w:rsidR="00535D3F" w:rsidRDefault="00535D3F" w14:paraId="1D93474E" w14:textId="77777777">
            <w:pPr>
              <w:tabs>
                <w:tab w:val="left" w:pos="-1080"/>
                <w:tab w:val="left" w:pos="-720"/>
              </w:tabs>
              <w:spacing w:before="32"/>
              <w:jc w:val="center"/>
              <w:rPr>
                <w:sz w:val="18"/>
                <w:szCs w:val="18"/>
              </w:rPr>
            </w:pPr>
            <w:r>
              <w:rPr>
                <w:rFonts w:ascii="Arial" w:hAnsi="Arial" w:cs="Arial"/>
                <w:sz w:val="18"/>
                <w:szCs w:val="18"/>
              </w:rPr>
              <w:t>II</w:t>
            </w:r>
          </w:p>
        </w:tc>
        <w:tc>
          <w:tcPr>
            <w:tcW w:w="720" w:type="dxa"/>
            <w:tcBorders>
              <w:top w:val="single" w:color="000000" w:sz="6" w:space="0"/>
              <w:left w:val="single" w:color="000000" w:sz="6" w:space="0"/>
              <w:bottom w:val="nil"/>
              <w:right w:val="nil"/>
            </w:tcBorders>
          </w:tcPr>
          <w:p w:rsidR="00535D3F" w:rsidRDefault="00535D3F" w14:paraId="362336FB" w14:textId="77777777">
            <w:pPr>
              <w:tabs>
                <w:tab w:val="left" w:pos="-1080"/>
                <w:tab w:val="left" w:pos="-720"/>
              </w:tabs>
              <w:spacing w:before="32"/>
              <w:jc w:val="center"/>
              <w:rPr>
                <w:sz w:val="18"/>
                <w:szCs w:val="18"/>
              </w:rPr>
            </w:pPr>
            <w:r>
              <w:rPr>
                <w:rFonts w:ascii="Arial" w:hAnsi="Arial" w:cs="Arial"/>
                <w:sz w:val="18"/>
                <w:szCs w:val="18"/>
              </w:rPr>
              <w:t>III</w:t>
            </w:r>
          </w:p>
        </w:tc>
        <w:tc>
          <w:tcPr>
            <w:tcW w:w="721" w:type="dxa"/>
            <w:tcBorders>
              <w:top w:val="single" w:color="000000" w:sz="6" w:space="0"/>
              <w:left w:val="single" w:color="000000" w:sz="6" w:space="0"/>
              <w:bottom w:val="single" w:color="000000" w:sz="6" w:space="0"/>
              <w:right w:val="single" w:color="000000" w:sz="6" w:space="0"/>
            </w:tcBorders>
          </w:tcPr>
          <w:p w:rsidR="00535D3F" w:rsidRDefault="00535D3F" w14:paraId="00010524" w14:textId="77777777">
            <w:pPr>
              <w:tabs>
                <w:tab w:val="left" w:pos="-1080"/>
                <w:tab w:val="left" w:pos="-720"/>
                <w:tab w:val="left" w:pos="720"/>
              </w:tabs>
              <w:spacing w:before="32"/>
              <w:jc w:val="center"/>
              <w:rPr>
                <w:sz w:val="18"/>
                <w:szCs w:val="18"/>
              </w:rPr>
            </w:pPr>
            <w:r>
              <w:rPr>
                <w:rFonts w:ascii="Arial" w:hAnsi="Arial" w:cs="Arial"/>
                <w:sz w:val="18"/>
                <w:szCs w:val="18"/>
              </w:rPr>
              <w:t>V *</w:t>
            </w:r>
          </w:p>
        </w:tc>
        <w:tc>
          <w:tcPr>
            <w:tcW w:w="721" w:type="dxa"/>
            <w:tcBorders>
              <w:top w:val="single" w:color="000000" w:sz="6" w:space="0"/>
              <w:left w:val="single" w:color="000000" w:sz="6" w:space="0"/>
              <w:bottom w:val="nil"/>
              <w:right w:val="single" w:color="000000" w:sz="12" w:space="0"/>
            </w:tcBorders>
          </w:tcPr>
          <w:p w:rsidR="00535D3F" w:rsidRDefault="00535D3F" w14:paraId="422EF445" w14:textId="77777777">
            <w:pPr>
              <w:tabs>
                <w:tab w:val="left" w:pos="-1080"/>
                <w:tab w:val="left" w:pos="-720"/>
                <w:tab w:val="left" w:pos="720"/>
              </w:tabs>
              <w:spacing w:before="32"/>
              <w:jc w:val="center"/>
              <w:rPr>
                <w:rFonts w:ascii="Arial" w:hAnsi="Arial" w:cs="Arial"/>
                <w:sz w:val="18"/>
                <w:szCs w:val="18"/>
              </w:rPr>
            </w:pPr>
            <w:r>
              <w:rPr>
                <w:rFonts w:ascii="Arial" w:hAnsi="Arial" w:cs="Arial"/>
                <w:sz w:val="18"/>
                <w:szCs w:val="18"/>
              </w:rPr>
              <w:t>VI</w:t>
            </w:r>
          </w:p>
        </w:tc>
      </w:tr>
      <w:tr w:rsidR="00535D3F" w:rsidTr="000A266A" w14:paraId="7167DDC4" w14:textId="77777777">
        <w:trPr>
          <w:cantSplit/>
          <w:jc w:val="center"/>
        </w:trPr>
        <w:tc>
          <w:tcPr>
            <w:tcW w:w="5624" w:type="dxa"/>
            <w:tcBorders>
              <w:top w:val="single" w:color="000000" w:sz="6" w:space="0"/>
              <w:left w:val="single" w:color="000000" w:sz="12" w:space="0"/>
              <w:bottom w:val="nil"/>
              <w:right w:val="nil"/>
            </w:tcBorders>
          </w:tcPr>
          <w:p w:rsidR="00535D3F" w:rsidP="002748F1" w:rsidRDefault="00966D64" w14:paraId="0F5EF799"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535D3F">
              <w:rPr>
                <w:rFonts w:ascii="Arial" w:hAnsi="Arial" w:cs="Arial"/>
                <w:sz w:val="18"/>
                <w:szCs w:val="18"/>
              </w:rPr>
              <w:t>Inventory Information</w:t>
            </w:r>
          </w:p>
        </w:tc>
        <w:tc>
          <w:tcPr>
            <w:tcW w:w="630" w:type="dxa"/>
            <w:tcBorders>
              <w:top w:val="single" w:color="000000" w:sz="6" w:space="0"/>
              <w:left w:val="single" w:color="000000" w:sz="6" w:space="0"/>
              <w:bottom w:val="nil"/>
              <w:right w:val="nil"/>
            </w:tcBorders>
          </w:tcPr>
          <w:p w:rsidRPr="005F7AD4" w:rsidR="00535D3F" w:rsidRDefault="00535D3F" w14:paraId="494D5072" w14:textId="77777777">
            <w:pPr>
              <w:tabs>
                <w:tab w:val="left" w:pos="-1080"/>
                <w:tab w:val="left" w:pos="-720"/>
              </w:tabs>
              <w:spacing w:before="32"/>
              <w:rPr>
                <w:rFonts w:ascii="Arial" w:hAnsi="Arial" w:cs="Arial"/>
                <w:b/>
                <w:sz w:val="18"/>
                <w:szCs w:val="18"/>
              </w:rPr>
            </w:pPr>
          </w:p>
        </w:tc>
        <w:tc>
          <w:tcPr>
            <w:tcW w:w="630" w:type="dxa"/>
            <w:tcBorders>
              <w:top w:val="single" w:color="000000" w:sz="6" w:space="0"/>
              <w:left w:val="single" w:color="000000" w:sz="6" w:space="0"/>
              <w:bottom w:val="nil"/>
              <w:right w:val="nil"/>
            </w:tcBorders>
          </w:tcPr>
          <w:p w:rsidRPr="005F7AD4" w:rsidR="00535D3F" w:rsidRDefault="00535D3F" w14:paraId="3613F12B" w14:textId="77777777">
            <w:pPr>
              <w:tabs>
                <w:tab w:val="left" w:pos="-1080"/>
                <w:tab w:val="left" w:pos="-720"/>
              </w:tabs>
              <w:spacing w:before="32"/>
              <w:rPr>
                <w:rFonts w:ascii="Arial" w:hAnsi="Arial" w:cs="Arial"/>
                <w:b/>
                <w:sz w:val="18"/>
                <w:szCs w:val="18"/>
              </w:rPr>
            </w:pPr>
          </w:p>
        </w:tc>
        <w:tc>
          <w:tcPr>
            <w:tcW w:w="630" w:type="dxa"/>
            <w:tcBorders>
              <w:top w:val="single" w:color="000000" w:sz="6" w:space="0"/>
              <w:left w:val="single" w:color="000000" w:sz="6" w:space="0"/>
              <w:bottom w:val="nil"/>
              <w:right w:val="nil"/>
            </w:tcBorders>
          </w:tcPr>
          <w:p w:rsidRPr="005F7AD4" w:rsidR="00535D3F" w:rsidRDefault="00535D3F" w14:paraId="3617CA99" w14:textId="77777777">
            <w:pPr>
              <w:tabs>
                <w:tab w:val="left" w:pos="-1080"/>
                <w:tab w:val="left" w:pos="-720"/>
              </w:tabs>
              <w:spacing w:before="32"/>
              <w:rPr>
                <w:rFonts w:ascii="Arial" w:hAnsi="Arial" w:cs="Arial"/>
                <w:b/>
                <w:sz w:val="18"/>
                <w:szCs w:val="18"/>
              </w:rPr>
            </w:pPr>
          </w:p>
        </w:tc>
        <w:tc>
          <w:tcPr>
            <w:tcW w:w="720" w:type="dxa"/>
            <w:tcBorders>
              <w:top w:val="single" w:color="000000" w:sz="6" w:space="0"/>
              <w:left w:val="single" w:color="000000" w:sz="6" w:space="0"/>
              <w:bottom w:val="nil"/>
              <w:right w:val="nil"/>
            </w:tcBorders>
          </w:tcPr>
          <w:p w:rsidRPr="005F7AD4" w:rsidR="00535D3F" w:rsidRDefault="00535D3F" w14:paraId="49C43077" w14:textId="77777777">
            <w:pPr>
              <w:tabs>
                <w:tab w:val="left" w:pos="-108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6" w:space="0"/>
            </w:tcBorders>
          </w:tcPr>
          <w:p w:rsidRPr="005F7AD4" w:rsidR="00535D3F" w:rsidRDefault="005F7AD4" w14:paraId="068419C1" w14:textId="77777777">
            <w:pPr>
              <w:tabs>
                <w:tab w:val="left" w:pos="-1080"/>
                <w:tab w:val="left" w:pos="-72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nil"/>
              <w:right w:val="single" w:color="000000" w:sz="12" w:space="0"/>
            </w:tcBorders>
          </w:tcPr>
          <w:p w:rsidRPr="005F7AD4" w:rsidR="00535D3F" w:rsidRDefault="00535D3F" w14:paraId="14DCB065" w14:textId="77777777">
            <w:pPr>
              <w:tabs>
                <w:tab w:val="left" w:pos="-1080"/>
                <w:tab w:val="left" w:pos="-720"/>
                <w:tab w:val="left" w:pos="720"/>
              </w:tabs>
              <w:spacing w:before="32"/>
              <w:jc w:val="center"/>
              <w:rPr>
                <w:rFonts w:ascii="Arial" w:hAnsi="Arial" w:cs="Arial"/>
                <w:b/>
                <w:sz w:val="18"/>
                <w:szCs w:val="18"/>
              </w:rPr>
            </w:pPr>
          </w:p>
        </w:tc>
      </w:tr>
      <w:tr w:rsidR="000A266A" w:rsidTr="00873C9F" w14:paraId="5F562F45" w14:textId="77777777">
        <w:trPr>
          <w:cantSplit/>
          <w:jc w:val="center"/>
        </w:trPr>
        <w:tc>
          <w:tcPr>
            <w:tcW w:w="9676" w:type="dxa"/>
            <w:gridSpan w:val="7"/>
            <w:tcBorders>
              <w:top w:val="single" w:color="000000" w:sz="6" w:space="0"/>
              <w:left w:val="single" w:color="000000" w:sz="12" w:space="0"/>
              <w:bottom w:val="nil"/>
              <w:right w:val="single" w:color="000000" w:sz="12" w:space="0"/>
            </w:tcBorders>
          </w:tcPr>
          <w:p w:rsidRPr="005F7AD4" w:rsidR="000A266A" w:rsidRDefault="00966D64" w14:paraId="38B3A88E" w14:textId="77777777">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b/>
                <w:bCs/>
                <w:sz w:val="18"/>
                <w:szCs w:val="18"/>
              </w:rPr>
            </w:pPr>
            <w:r w:rsidRPr="005F7AD4">
              <w:rPr>
                <w:rFonts w:ascii="Arial" w:hAnsi="Arial" w:cs="Arial"/>
                <w:b/>
                <w:bCs/>
                <w:sz w:val="18"/>
                <w:szCs w:val="18"/>
              </w:rPr>
              <w:t xml:space="preserve"> </w:t>
            </w:r>
            <w:r w:rsidRPr="005F7AD4" w:rsidR="000A266A">
              <w:rPr>
                <w:rFonts w:ascii="Arial" w:hAnsi="Arial" w:cs="Arial"/>
                <w:b/>
                <w:bCs/>
                <w:sz w:val="18"/>
                <w:szCs w:val="18"/>
              </w:rPr>
              <w:t>Permit Application</w:t>
            </w:r>
          </w:p>
        </w:tc>
      </w:tr>
      <w:tr w:rsidR="00852825" w:rsidTr="000A266A" w14:paraId="29A37CF2"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08604230"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List of Landowners</w:t>
            </w:r>
          </w:p>
        </w:tc>
        <w:tc>
          <w:tcPr>
            <w:tcW w:w="630" w:type="dxa"/>
            <w:tcBorders>
              <w:top w:val="single" w:color="000000" w:sz="6" w:space="0"/>
              <w:left w:val="single" w:color="000000" w:sz="6" w:space="0"/>
              <w:bottom w:val="nil"/>
              <w:right w:val="nil"/>
            </w:tcBorders>
          </w:tcPr>
          <w:p w:rsidRPr="005F7AD4" w:rsidR="00852825" w:rsidRDefault="005F7AD4" w14:paraId="6FD7CFED"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4550A28B"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41789A9E"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852825" w:rsidRDefault="005F7AD4" w14:paraId="4AD07D5C"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852825" w:rsidRDefault="005F7AD4" w14:paraId="3B6603B8" w14:textId="77777777">
            <w:pPr>
              <w:tabs>
                <w:tab w:val="left" w:pos="-1080"/>
                <w:tab w:val="left" w:pos="-72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53A986C1" w14:textId="77777777">
            <w:pPr>
              <w:jc w:val="center"/>
              <w:rPr>
                <w:rFonts w:ascii="Arial" w:hAnsi="Arial" w:cs="Arial"/>
                <w:b/>
              </w:rPr>
            </w:pPr>
            <w:r w:rsidRPr="005F7AD4">
              <w:rPr>
                <w:rFonts w:ascii="Arial" w:hAnsi="Arial" w:cs="Arial"/>
                <w:b/>
                <w:sz w:val="18"/>
                <w:szCs w:val="18"/>
              </w:rPr>
              <w:t>X</w:t>
            </w:r>
          </w:p>
        </w:tc>
      </w:tr>
      <w:tr w:rsidR="00852825" w:rsidTr="000A266A" w14:paraId="17728B9A"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7FFD19CA"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Area of Review Methods</w:t>
            </w:r>
          </w:p>
        </w:tc>
        <w:tc>
          <w:tcPr>
            <w:tcW w:w="630" w:type="dxa"/>
            <w:tcBorders>
              <w:top w:val="single" w:color="000000" w:sz="6" w:space="0"/>
              <w:left w:val="single" w:color="000000" w:sz="6" w:space="0"/>
              <w:bottom w:val="nil"/>
              <w:right w:val="nil"/>
            </w:tcBorders>
          </w:tcPr>
          <w:p w:rsidRPr="005F7AD4" w:rsidR="00852825" w:rsidRDefault="005F7AD4" w14:paraId="2BD35E55"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66D6B7C5"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5654F90D"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852825" w:rsidRDefault="005F7AD4" w14:paraId="14E34490"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852825" w:rsidRDefault="00852825" w14:paraId="6DC9FDCF"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791AE28F" w14:textId="77777777">
            <w:pPr>
              <w:jc w:val="center"/>
              <w:rPr>
                <w:rFonts w:ascii="Arial" w:hAnsi="Arial" w:cs="Arial"/>
                <w:b/>
              </w:rPr>
            </w:pPr>
            <w:r w:rsidRPr="005F7AD4">
              <w:rPr>
                <w:rFonts w:ascii="Arial" w:hAnsi="Arial" w:cs="Arial"/>
                <w:b/>
                <w:sz w:val="18"/>
                <w:szCs w:val="18"/>
              </w:rPr>
              <w:t>X</w:t>
            </w:r>
          </w:p>
        </w:tc>
      </w:tr>
      <w:tr w:rsidR="00852825" w:rsidTr="000A266A" w14:paraId="10E41BF2"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20624BF8"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Maps of Wells/Area of Review</w:t>
            </w:r>
          </w:p>
        </w:tc>
        <w:tc>
          <w:tcPr>
            <w:tcW w:w="630" w:type="dxa"/>
            <w:tcBorders>
              <w:top w:val="single" w:color="000000" w:sz="6" w:space="0"/>
              <w:left w:val="single" w:color="000000" w:sz="6" w:space="0"/>
              <w:bottom w:val="nil"/>
              <w:right w:val="nil"/>
            </w:tcBorders>
          </w:tcPr>
          <w:p w:rsidRPr="005F7AD4" w:rsidR="00852825" w:rsidRDefault="005F7AD4" w14:paraId="76092555"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57EA2F94"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4E302ACA"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852825" w:rsidRDefault="005F7AD4" w14:paraId="28E6620C"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852825" w:rsidRDefault="00852825" w14:paraId="294C37F5"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6C0B846C" w14:textId="77777777">
            <w:pPr>
              <w:jc w:val="center"/>
              <w:rPr>
                <w:rFonts w:ascii="Arial" w:hAnsi="Arial" w:cs="Arial"/>
                <w:b/>
              </w:rPr>
            </w:pPr>
            <w:r w:rsidRPr="005F7AD4">
              <w:rPr>
                <w:rFonts w:ascii="Arial" w:hAnsi="Arial" w:cs="Arial"/>
                <w:b/>
                <w:sz w:val="18"/>
                <w:szCs w:val="18"/>
              </w:rPr>
              <w:t>X</w:t>
            </w:r>
          </w:p>
        </w:tc>
      </w:tr>
      <w:tr w:rsidR="00852825" w:rsidTr="000A266A" w14:paraId="1A30BF1B"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1A10DE5F"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Corrective Action Plan</w:t>
            </w:r>
          </w:p>
        </w:tc>
        <w:tc>
          <w:tcPr>
            <w:tcW w:w="630" w:type="dxa"/>
            <w:tcBorders>
              <w:top w:val="single" w:color="000000" w:sz="6" w:space="0"/>
              <w:left w:val="single" w:color="000000" w:sz="6" w:space="0"/>
              <w:bottom w:val="nil"/>
              <w:right w:val="nil"/>
            </w:tcBorders>
          </w:tcPr>
          <w:p w:rsidRPr="005F7AD4" w:rsidR="00852825" w:rsidRDefault="005F7AD4" w14:paraId="142F929E"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00188268"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474F7C70"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852825" w:rsidRDefault="005F7AD4" w14:paraId="4F65B86B"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852825" w:rsidRDefault="00852825" w14:paraId="0C60BF49"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769701E6" w14:textId="77777777">
            <w:pPr>
              <w:jc w:val="center"/>
              <w:rPr>
                <w:rFonts w:ascii="Arial" w:hAnsi="Arial" w:cs="Arial"/>
                <w:b/>
              </w:rPr>
            </w:pPr>
            <w:r w:rsidRPr="005F7AD4">
              <w:rPr>
                <w:rFonts w:ascii="Arial" w:hAnsi="Arial" w:cs="Arial"/>
                <w:b/>
                <w:sz w:val="18"/>
                <w:szCs w:val="18"/>
              </w:rPr>
              <w:t>X</w:t>
            </w:r>
          </w:p>
        </w:tc>
      </w:tr>
      <w:tr w:rsidR="00852825" w:rsidTr="000A266A" w14:paraId="2B970814"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5B202DAC"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Maps and Cross Sections of USDWs</w:t>
            </w:r>
          </w:p>
        </w:tc>
        <w:tc>
          <w:tcPr>
            <w:tcW w:w="630" w:type="dxa"/>
            <w:tcBorders>
              <w:top w:val="single" w:color="000000" w:sz="6" w:space="0"/>
              <w:left w:val="single" w:color="000000" w:sz="6" w:space="0"/>
              <w:bottom w:val="nil"/>
              <w:right w:val="nil"/>
            </w:tcBorders>
          </w:tcPr>
          <w:p w:rsidRPr="005F7AD4" w:rsidR="00852825" w:rsidRDefault="005F7AD4" w14:paraId="7C850888"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16A53C93"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852825" w14:paraId="5C118DEC" w14:textId="77777777">
            <w:pPr>
              <w:tabs>
                <w:tab w:val="left" w:pos="-1080"/>
                <w:tab w:val="left" w:pos="-720"/>
              </w:tabs>
              <w:spacing w:before="32"/>
              <w:rPr>
                <w:rFonts w:ascii="Arial" w:hAnsi="Arial" w:cs="Arial"/>
                <w:b/>
                <w:sz w:val="18"/>
                <w:szCs w:val="18"/>
              </w:rPr>
            </w:pPr>
          </w:p>
        </w:tc>
        <w:tc>
          <w:tcPr>
            <w:tcW w:w="720" w:type="dxa"/>
            <w:tcBorders>
              <w:top w:val="single" w:color="000000" w:sz="6" w:space="0"/>
              <w:left w:val="single" w:color="000000" w:sz="6" w:space="0"/>
              <w:bottom w:val="nil"/>
              <w:right w:val="nil"/>
            </w:tcBorders>
          </w:tcPr>
          <w:p w:rsidRPr="005F7AD4" w:rsidR="00852825" w:rsidRDefault="005F7AD4" w14:paraId="287E6B41"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852825" w:rsidRDefault="00852825" w14:paraId="14E57242"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415D190E" w14:textId="77777777">
            <w:pPr>
              <w:jc w:val="center"/>
              <w:rPr>
                <w:rFonts w:ascii="Arial" w:hAnsi="Arial" w:cs="Arial"/>
                <w:b/>
              </w:rPr>
            </w:pPr>
            <w:r w:rsidRPr="005F7AD4">
              <w:rPr>
                <w:rFonts w:ascii="Arial" w:hAnsi="Arial" w:cs="Arial"/>
                <w:b/>
                <w:sz w:val="18"/>
                <w:szCs w:val="18"/>
              </w:rPr>
              <w:t>X</w:t>
            </w:r>
          </w:p>
        </w:tc>
      </w:tr>
      <w:tr w:rsidR="00535D3F" w:rsidTr="000A266A" w14:paraId="791732CE" w14:textId="77777777">
        <w:trPr>
          <w:cantSplit/>
          <w:jc w:val="center"/>
        </w:trPr>
        <w:tc>
          <w:tcPr>
            <w:tcW w:w="5624" w:type="dxa"/>
            <w:tcBorders>
              <w:top w:val="single" w:color="000000" w:sz="6" w:space="0"/>
              <w:left w:val="single" w:color="000000" w:sz="12" w:space="0"/>
              <w:bottom w:val="nil"/>
              <w:right w:val="nil"/>
            </w:tcBorders>
          </w:tcPr>
          <w:p w:rsidR="00535D3F" w:rsidRDefault="00966D64" w14:paraId="5C1DA082"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535D3F">
              <w:rPr>
                <w:rFonts w:ascii="Arial" w:hAnsi="Arial" w:cs="Arial"/>
                <w:sz w:val="18"/>
                <w:szCs w:val="18"/>
              </w:rPr>
              <w:t>Names and Depths of USDWs</w:t>
            </w:r>
          </w:p>
        </w:tc>
        <w:tc>
          <w:tcPr>
            <w:tcW w:w="630" w:type="dxa"/>
            <w:tcBorders>
              <w:top w:val="single" w:color="000000" w:sz="6" w:space="0"/>
              <w:left w:val="single" w:color="000000" w:sz="6" w:space="0"/>
              <w:bottom w:val="nil"/>
              <w:right w:val="nil"/>
            </w:tcBorders>
          </w:tcPr>
          <w:p w:rsidRPr="005F7AD4" w:rsidR="00535D3F" w:rsidRDefault="00535D3F" w14:paraId="77A392BC" w14:textId="77777777">
            <w:pPr>
              <w:tabs>
                <w:tab w:val="left" w:pos="-1080"/>
                <w:tab w:val="left" w:pos="-720"/>
              </w:tabs>
              <w:spacing w:before="32"/>
              <w:rPr>
                <w:rFonts w:ascii="Arial" w:hAnsi="Arial" w:cs="Arial"/>
                <w:b/>
                <w:sz w:val="18"/>
                <w:szCs w:val="18"/>
              </w:rPr>
            </w:pPr>
          </w:p>
        </w:tc>
        <w:tc>
          <w:tcPr>
            <w:tcW w:w="630" w:type="dxa"/>
            <w:tcBorders>
              <w:top w:val="single" w:color="000000" w:sz="6" w:space="0"/>
              <w:left w:val="single" w:color="000000" w:sz="6" w:space="0"/>
              <w:bottom w:val="nil"/>
              <w:right w:val="nil"/>
            </w:tcBorders>
          </w:tcPr>
          <w:p w:rsidRPr="005F7AD4" w:rsidR="00535D3F" w:rsidRDefault="00535D3F" w14:paraId="59412BA2" w14:textId="77777777">
            <w:pPr>
              <w:tabs>
                <w:tab w:val="left" w:pos="-1080"/>
                <w:tab w:val="left" w:pos="-720"/>
              </w:tabs>
              <w:spacing w:before="32"/>
              <w:rPr>
                <w:rFonts w:ascii="Arial" w:hAnsi="Arial" w:cs="Arial"/>
                <w:b/>
                <w:sz w:val="18"/>
                <w:szCs w:val="18"/>
              </w:rPr>
            </w:pPr>
          </w:p>
        </w:tc>
        <w:tc>
          <w:tcPr>
            <w:tcW w:w="630" w:type="dxa"/>
            <w:tcBorders>
              <w:top w:val="single" w:color="000000" w:sz="6" w:space="0"/>
              <w:left w:val="single" w:color="000000" w:sz="6" w:space="0"/>
              <w:bottom w:val="nil"/>
              <w:right w:val="nil"/>
            </w:tcBorders>
          </w:tcPr>
          <w:p w:rsidRPr="005F7AD4" w:rsidR="00535D3F" w:rsidRDefault="005F7AD4" w14:paraId="3433D113"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535D3F" w:rsidRDefault="00535D3F" w14:paraId="42E89CF8" w14:textId="77777777">
            <w:pPr>
              <w:tabs>
                <w:tab w:val="left" w:pos="-1080"/>
                <w:tab w:val="left" w:pos="-720"/>
              </w:tabs>
              <w:spacing w:before="32"/>
              <w:rPr>
                <w:rFonts w:ascii="Arial" w:hAnsi="Arial" w:cs="Arial"/>
                <w:b/>
                <w:sz w:val="18"/>
                <w:szCs w:val="18"/>
              </w:rPr>
            </w:pPr>
          </w:p>
        </w:tc>
        <w:tc>
          <w:tcPr>
            <w:tcW w:w="721" w:type="dxa"/>
            <w:tcBorders>
              <w:top w:val="single" w:color="000000" w:sz="6" w:space="0"/>
              <w:left w:val="single" w:color="000000" w:sz="6" w:space="0"/>
              <w:bottom w:val="single" w:color="000000" w:sz="6" w:space="0"/>
              <w:right w:val="single" w:color="000000" w:sz="6" w:space="0"/>
            </w:tcBorders>
          </w:tcPr>
          <w:p w:rsidRPr="005F7AD4" w:rsidR="00535D3F" w:rsidRDefault="00535D3F" w14:paraId="70DAB27A"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535D3F" w:rsidP="002B5655" w:rsidRDefault="00535D3F" w14:paraId="10FDF11A" w14:textId="77777777">
            <w:pPr>
              <w:tabs>
                <w:tab w:val="left" w:pos="-1080"/>
                <w:tab w:val="left" w:pos="-720"/>
                <w:tab w:val="left" w:pos="720"/>
              </w:tabs>
              <w:spacing w:before="32"/>
              <w:jc w:val="center"/>
              <w:rPr>
                <w:rFonts w:ascii="Arial" w:hAnsi="Arial" w:cs="Arial"/>
                <w:b/>
                <w:sz w:val="18"/>
                <w:szCs w:val="18"/>
              </w:rPr>
            </w:pPr>
          </w:p>
        </w:tc>
      </w:tr>
      <w:tr w:rsidR="00852825" w:rsidTr="000A266A" w14:paraId="1F0725E7"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0A050A2A"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 xml:space="preserve">Maps and Cross Sections of Local </w:t>
            </w:r>
            <w:r>
              <w:rPr>
                <w:rFonts w:ascii="Arial" w:hAnsi="Arial" w:cs="Arial"/>
                <w:sz w:val="18"/>
                <w:szCs w:val="18"/>
              </w:rPr>
              <w:t xml:space="preserve">and Regional </w:t>
            </w:r>
            <w:r w:rsidR="00852825">
              <w:rPr>
                <w:rFonts w:ascii="Arial" w:hAnsi="Arial" w:cs="Arial"/>
                <w:sz w:val="18"/>
                <w:szCs w:val="18"/>
              </w:rPr>
              <w:t>Geology</w:t>
            </w:r>
          </w:p>
        </w:tc>
        <w:tc>
          <w:tcPr>
            <w:tcW w:w="630" w:type="dxa"/>
            <w:tcBorders>
              <w:top w:val="single" w:color="000000" w:sz="6" w:space="0"/>
              <w:left w:val="single" w:color="000000" w:sz="6" w:space="0"/>
              <w:bottom w:val="nil"/>
              <w:right w:val="nil"/>
            </w:tcBorders>
          </w:tcPr>
          <w:p w:rsidRPr="005F7AD4" w:rsidR="00852825" w:rsidRDefault="005F7AD4" w14:paraId="7E63B483"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5210FBD3"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852825" w14:paraId="7099BFC4" w14:textId="77777777">
            <w:pPr>
              <w:tabs>
                <w:tab w:val="left" w:pos="-1080"/>
                <w:tab w:val="left" w:pos="-720"/>
              </w:tabs>
              <w:spacing w:before="32"/>
              <w:rPr>
                <w:rFonts w:ascii="Arial" w:hAnsi="Arial" w:cs="Arial"/>
                <w:b/>
                <w:sz w:val="18"/>
                <w:szCs w:val="18"/>
              </w:rPr>
            </w:pPr>
          </w:p>
        </w:tc>
        <w:tc>
          <w:tcPr>
            <w:tcW w:w="720" w:type="dxa"/>
            <w:tcBorders>
              <w:top w:val="single" w:color="000000" w:sz="6" w:space="0"/>
              <w:left w:val="single" w:color="000000" w:sz="6" w:space="0"/>
              <w:bottom w:val="nil"/>
              <w:right w:val="nil"/>
            </w:tcBorders>
          </w:tcPr>
          <w:p w:rsidRPr="005F7AD4" w:rsidR="00852825" w:rsidRDefault="005F7AD4" w14:paraId="555EB48B"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852825" w:rsidRDefault="00852825" w14:paraId="2D411988"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357D3280" w14:textId="77777777">
            <w:pPr>
              <w:jc w:val="center"/>
              <w:rPr>
                <w:rFonts w:ascii="Arial" w:hAnsi="Arial" w:cs="Arial"/>
                <w:b/>
              </w:rPr>
            </w:pPr>
            <w:r w:rsidRPr="005F7AD4">
              <w:rPr>
                <w:rFonts w:ascii="Arial" w:hAnsi="Arial" w:cs="Arial"/>
                <w:b/>
                <w:sz w:val="18"/>
                <w:szCs w:val="18"/>
              </w:rPr>
              <w:t>X</w:t>
            </w:r>
          </w:p>
        </w:tc>
      </w:tr>
      <w:tr w:rsidR="00852825" w:rsidTr="000A266A" w14:paraId="100BB604"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7045DABE"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Geologic Data on Injection and Confining Zones</w:t>
            </w:r>
          </w:p>
        </w:tc>
        <w:tc>
          <w:tcPr>
            <w:tcW w:w="630" w:type="dxa"/>
            <w:tcBorders>
              <w:top w:val="single" w:color="000000" w:sz="6" w:space="0"/>
              <w:left w:val="single" w:color="000000" w:sz="6" w:space="0"/>
              <w:bottom w:val="nil"/>
              <w:right w:val="nil"/>
            </w:tcBorders>
          </w:tcPr>
          <w:p w:rsidRPr="005F7AD4" w:rsidR="00852825" w:rsidRDefault="00852825" w14:paraId="42E5A455" w14:textId="77777777">
            <w:pPr>
              <w:tabs>
                <w:tab w:val="left" w:pos="-1080"/>
                <w:tab w:val="left" w:pos="-720"/>
              </w:tabs>
              <w:spacing w:before="32"/>
              <w:rPr>
                <w:rFonts w:ascii="Arial" w:hAnsi="Arial" w:cs="Arial"/>
                <w:b/>
                <w:sz w:val="18"/>
                <w:szCs w:val="18"/>
              </w:rPr>
            </w:pPr>
          </w:p>
        </w:tc>
        <w:tc>
          <w:tcPr>
            <w:tcW w:w="630" w:type="dxa"/>
            <w:tcBorders>
              <w:top w:val="single" w:color="000000" w:sz="6" w:space="0"/>
              <w:left w:val="single" w:color="000000" w:sz="6" w:space="0"/>
              <w:bottom w:val="nil"/>
              <w:right w:val="nil"/>
            </w:tcBorders>
          </w:tcPr>
          <w:p w:rsidRPr="005F7AD4" w:rsidR="00852825" w:rsidRDefault="00852825" w14:paraId="7EDE2DB6" w14:textId="77777777">
            <w:pPr>
              <w:tabs>
                <w:tab w:val="left" w:pos="-1080"/>
                <w:tab w:val="left" w:pos="-720"/>
              </w:tabs>
              <w:spacing w:before="32"/>
              <w:rPr>
                <w:rFonts w:ascii="Arial" w:hAnsi="Arial" w:cs="Arial"/>
                <w:b/>
                <w:sz w:val="18"/>
                <w:szCs w:val="18"/>
              </w:rPr>
            </w:pPr>
          </w:p>
        </w:tc>
        <w:tc>
          <w:tcPr>
            <w:tcW w:w="630" w:type="dxa"/>
            <w:tcBorders>
              <w:top w:val="single" w:color="000000" w:sz="6" w:space="0"/>
              <w:left w:val="single" w:color="000000" w:sz="6" w:space="0"/>
              <w:bottom w:val="nil"/>
              <w:right w:val="nil"/>
            </w:tcBorders>
          </w:tcPr>
          <w:p w:rsidRPr="005F7AD4" w:rsidR="00852825" w:rsidRDefault="005F7AD4" w14:paraId="2C8CA158"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852825" w:rsidRDefault="00852825" w14:paraId="2A167B1F" w14:textId="77777777">
            <w:pPr>
              <w:tabs>
                <w:tab w:val="left" w:pos="-1080"/>
                <w:tab w:val="left" w:pos="-720"/>
              </w:tabs>
              <w:spacing w:before="32"/>
              <w:rPr>
                <w:rFonts w:ascii="Arial" w:hAnsi="Arial" w:cs="Arial"/>
                <w:b/>
                <w:sz w:val="18"/>
                <w:szCs w:val="18"/>
              </w:rPr>
            </w:pPr>
          </w:p>
        </w:tc>
        <w:tc>
          <w:tcPr>
            <w:tcW w:w="721" w:type="dxa"/>
            <w:tcBorders>
              <w:top w:val="single" w:color="000000" w:sz="6" w:space="0"/>
              <w:left w:val="single" w:color="000000" w:sz="6" w:space="0"/>
              <w:bottom w:val="single" w:color="000000" w:sz="6" w:space="0"/>
              <w:right w:val="single" w:color="000000" w:sz="6" w:space="0"/>
            </w:tcBorders>
          </w:tcPr>
          <w:p w:rsidRPr="005F7AD4" w:rsidR="00852825" w:rsidRDefault="00852825" w14:paraId="3B7E190C"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6F93B175" w14:textId="77777777">
            <w:pPr>
              <w:jc w:val="center"/>
              <w:rPr>
                <w:rFonts w:ascii="Arial" w:hAnsi="Arial" w:cs="Arial"/>
                <w:b/>
              </w:rPr>
            </w:pPr>
            <w:r w:rsidRPr="005F7AD4">
              <w:rPr>
                <w:rFonts w:ascii="Arial" w:hAnsi="Arial" w:cs="Arial"/>
                <w:b/>
                <w:sz w:val="18"/>
                <w:szCs w:val="18"/>
              </w:rPr>
              <w:t>X</w:t>
            </w:r>
          </w:p>
        </w:tc>
      </w:tr>
      <w:tr w:rsidR="00852825" w:rsidTr="000A266A" w14:paraId="7DDDE603"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2C526922"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D21761">
              <w:rPr>
                <w:rFonts w:ascii="Arial" w:hAnsi="Arial" w:cs="Arial"/>
                <w:sz w:val="18"/>
                <w:szCs w:val="18"/>
              </w:rPr>
              <w:t xml:space="preserve">Proposed </w:t>
            </w:r>
            <w:r w:rsidR="00852825">
              <w:rPr>
                <w:rFonts w:ascii="Arial" w:hAnsi="Arial" w:cs="Arial"/>
                <w:sz w:val="18"/>
                <w:szCs w:val="18"/>
              </w:rPr>
              <w:t>Operating Data</w:t>
            </w:r>
          </w:p>
        </w:tc>
        <w:tc>
          <w:tcPr>
            <w:tcW w:w="630" w:type="dxa"/>
            <w:tcBorders>
              <w:top w:val="single" w:color="000000" w:sz="6" w:space="0"/>
              <w:left w:val="single" w:color="000000" w:sz="6" w:space="0"/>
              <w:bottom w:val="nil"/>
              <w:right w:val="nil"/>
            </w:tcBorders>
          </w:tcPr>
          <w:p w:rsidRPr="005F7AD4" w:rsidR="00852825" w:rsidRDefault="005F7AD4" w14:paraId="7098013C"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12744A5E"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1255BD76"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852825" w:rsidRDefault="005F7AD4" w14:paraId="7E520C04"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852825" w:rsidRDefault="00852825" w14:paraId="2CA3DF7A"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25C1260F" w14:textId="77777777">
            <w:pPr>
              <w:jc w:val="center"/>
              <w:rPr>
                <w:rFonts w:ascii="Arial" w:hAnsi="Arial" w:cs="Arial"/>
                <w:b/>
              </w:rPr>
            </w:pPr>
            <w:r w:rsidRPr="005F7AD4">
              <w:rPr>
                <w:rFonts w:ascii="Arial" w:hAnsi="Arial" w:cs="Arial"/>
                <w:b/>
                <w:sz w:val="18"/>
                <w:szCs w:val="18"/>
              </w:rPr>
              <w:t>X</w:t>
            </w:r>
          </w:p>
        </w:tc>
      </w:tr>
      <w:tr w:rsidR="00852825" w:rsidTr="000A266A" w14:paraId="0D63278F"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44CDF5C1"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D21761">
              <w:rPr>
                <w:rFonts w:ascii="Arial" w:hAnsi="Arial" w:cs="Arial"/>
                <w:sz w:val="18"/>
                <w:szCs w:val="18"/>
              </w:rPr>
              <w:t xml:space="preserve">Proposed </w:t>
            </w:r>
            <w:r w:rsidR="00852825">
              <w:rPr>
                <w:rFonts w:ascii="Arial" w:hAnsi="Arial" w:cs="Arial"/>
                <w:sz w:val="18"/>
                <w:szCs w:val="18"/>
              </w:rPr>
              <w:t>Formation Testing Program</w:t>
            </w:r>
          </w:p>
        </w:tc>
        <w:tc>
          <w:tcPr>
            <w:tcW w:w="630" w:type="dxa"/>
            <w:tcBorders>
              <w:top w:val="single" w:color="000000" w:sz="6" w:space="0"/>
              <w:left w:val="single" w:color="000000" w:sz="6" w:space="0"/>
              <w:bottom w:val="nil"/>
              <w:right w:val="nil"/>
            </w:tcBorders>
          </w:tcPr>
          <w:p w:rsidRPr="005F7AD4" w:rsidR="00852825" w:rsidRDefault="005F7AD4" w14:paraId="2C59BFE9"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0A241C79"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852825" w14:paraId="266504BB" w14:textId="77777777">
            <w:pPr>
              <w:tabs>
                <w:tab w:val="left" w:pos="-1080"/>
                <w:tab w:val="left" w:pos="-720"/>
              </w:tabs>
              <w:spacing w:before="32"/>
              <w:jc w:val="center"/>
              <w:rPr>
                <w:rFonts w:ascii="Arial" w:hAnsi="Arial" w:cs="Arial"/>
                <w:b/>
                <w:sz w:val="18"/>
                <w:szCs w:val="18"/>
              </w:rPr>
            </w:pPr>
          </w:p>
        </w:tc>
        <w:tc>
          <w:tcPr>
            <w:tcW w:w="720" w:type="dxa"/>
            <w:tcBorders>
              <w:top w:val="single" w:color="000000" w:sz="6" w:space="0"/>
              <w:left w:val="single" w:color="000000" w:sz="6" w:space="0"/>
              <w:bottom w:val="nil"/>
              <w:right w:val="nil"/>
            </w:tcBorders>
          </w:tcPr>
          <w:p w:rsidRPr="005F7AD4" w:rsidR="00852825" w:rsidRDefault="005F7AD4" w14:paraId="0C734B4F"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852825" w:rsidRDefault="00852825" w14:paraId="3E1CD337"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72DFC3B0" w14:textId="77777777">
            <w:pPr>
              <w:jc w:val="center"/>
              <w:rPr>
                <w:rFonts w:ascii="Arial" w:hAnsi="Arial" w:cs="Arial"/>
                <w:b/>
              </w:rPr>
            </w:pPr>
            <w:r w:rsidRPr="005F7AD4">
              <w:rPr>
                <w:rFonts w:ascii="Arial" w:hAnsi="Arial" w:cs="Arial"/>
                <w:b/>
                <w:sz w:val="18"/>
                <w:szCs w:val="18"/>
              </w:rPr>
              <w:t>X</w:t>
            </w:r>
          </w:p>
        </w:tc>
      </w:tr>
      <w:tr w:rsidR="00852825" w:rsidTr="000A266A" w14:paraId="055912CE"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2FF14CBA"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D21761">
              <w:rPr>
                <w:rFonts w:ascii="Arial" w:hAnsi="Arial" w:cs="Arial"/>
                <w:sz w:val="18"/>
                <w:szCs w:val="18"/>
              </w:rPr>
              <w:t xml:space="preserve">Proposed </w:t>
            </w:r>
            <w:r w:rsidR="00852825">
              <w:rPr>
                <w:rFonts w:ascii="Arial" w:hAnsi="Arial" w:cs="Arial"/>
                <w:sz w:val="18"/>
                <w:szCs w:val="18"/>
              </w:rPr>
              <w:t>Stimulation Program</w:t>
            </w:r>
          </w:p>
        </w:tc>
        <w:tc>
          <w:tcPr>
            <w:tcW w:w="630" w:type="dxa"/>
            <w:tcBorders>
              <w:top w:val="single" w:color="000000" w:sz="6" w:space="0"/>
              <w:left w:val="single" w:color="000000" w:sz="6" w:space="0"/>
              <w:bottom w:val="nil"/>
              <w:right w:val="nil"/>
            </w:tcBorders>
          </w:tcPr>
          <w:p w:rsidRPr="005F7AD4" w:rsidR="00852825" w:rsidRDefault="005F7AD4" w14:paraId="571942C0"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7F22AF04"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852825" w14:paraId="70A1228A" w14:textId="77777777">
            <w:pPr>
              <w:tabs>
                <w:tab w:val="left" w:pos="-1080"/>
                <w:tab w:val="left" w:pos="-720"/>
              </w:tabs>
              <w:spacing w:before="32"/>
              <w:jc w:val="center"/>
              <w:rPr>
                <w:rFonts w:ascii="Arial" w:hAnsi="Arial" w:cs="Arial"/>
                <w:b/>
                <w:sz w:val="18"/>
                <w:szCs w:val="18"/>
              </w:rPr>
            </w:pPr>
          </w:p>
        </w:tc>
        <w:tc>
          <w:tcPr>
            <w:tcW w:w="720" w:type="dxa"/>
            <w:tcBorders>
              <w:top w:val="single" w:color="000000" w:sz="6" w:space="0"/>
              <w:left w:val="single" w:color="000000" w:sz="6" w:space="0"/>
              <w:bottom w:val="nil"/>
              <w:right w:val="nil"/>
            </w:tcBorders>
          </w:tcPr>
          <w:p w:rsidRPr="005F7AD4" w:rsidR="00852825" w:rsidRDefault="005F7AD4" w14:paraId="70B6EC29"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852825" w:rsidRDefault="00852825" w14:paraId="348ECD9E"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6572EF74" w14:textId="77777777">
            <w:pPr>
              <w:jc w:val="center"/>
              <w:rPr>
                <w:rFonts w:ascii="Arial" w:hAnsi="Arial" w:cs="Arial"/>
                <w:b/>
              </w:rPr>
            </w:pPr>
            <w:r w:rsidRPr="005F7AD4">
              <w:rPr>
                <w:rFonts w:ascii="Arial" w:hAnsi="Arial" w:cs="Arial"/>
                <w:b/>
                <w:sz w:val="18"/>
                <w:szCs w:val="18"/>
              </w:rPr>
              <w:t>X</w:t>
            </w:r>
          </w:p>
        </w:tc>
      </w:tr>
      <w:tr w:rsidR="00852825" w:rsidTr="000A266A" w14:paraId="6475BFF8"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45331E43"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D21761">
              <w:rPr>
                <w:rFonts w:ascii="Arial" w:hAnsi="Arial" w:cs="Arial"/>
                <w:sz w:val="18"/>
                <w:szCs w:val="18"/>
              </w:rPr>
              <w:t xml:space="preserve">Proposed </w:t>
            </w:r>
            <w:r w:rsidR="00852825">
              <w:rPr>
                <w:rFonts w:ascii="Arial" w:hAnsi="Arial" w:cs="Arial"/>
                <w:sz w:val="18"/>
                <w:szCs w:val="18"/>
              </w:rPr>
              <w:t>Injection Procedures</w:t>
            </w:r>
          </w:p>
        </w:tc>
        <w:tc>
          <w:tcPr>
            <w:tcW w:w="630" w:type="dxa"/>
            <w:tcBorders>
              <w:top w:val="single" w:color="000000" w:sz="6" w:space="0"/>
              <w:left w:val="single" w:color="000000" w:sz="6" w:space="0"/>
              <w:bottom w:val="nil"/>
              <w:right w:val="nil"/>
            </w:tcBorders>
          </w:tcPr>
          <w:p w:rsidRPr="005F7AD4" w:rsidR="00852825" w:rsidRDefault="005F7AD4" w14:paraId="551CB75F"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49B398D8"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852825" w14:paraId="09FB6E70" w14:textId="77777777">
            <w:pPr>
              <w:tabs>
                <w:tab w:val="left" w:pos="-1080"/>
                <w:tab w:val="left" w:pos="-720"/>
              </w:tabs>
              <w:spacing w:before="32"/>
              <w:jc w:val="center"/>
              <w:rPr>
                <w:rFonts w:ascii="Arial" w:hAnsi="Arial" w:cs="Arial"/>
                <w:b/>
                <w:sz w:val="18"/>
                <w:szCs w:val="18"/>
              </w:rPr>
            </w:pPr>
          </w:p>
        </w:tc>
        <w:tc>
          <w:tcPr>
            <w:tcW w:w="720" w:type="dxa"/>
            <w:tcBorders>
              <w:top w:val="single" w:color="000000" w:sz="6" w:space="0"/>
              <w:left w:val="single" w:color="000000" w:sz="6" w:space="0"/>
              <w:bottom w:val="nil"/>
              <w:right w:val="nil"/>
            </w:tcBorders>
          </w:tcPr>
          <w:p w:rsidRPr="005F7AD4" w:rsidR="00852825" w:rsidRDefault="005F7AD4" w14:paraId="0DC87B9C"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852825" w:rsidRDefault="00852825" w14:paraId="5F3AB6A2"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6A7D5012" w14:textId="77777777">
            <w:pPr>
              <w:jc w:val="center"/>
              <w:rPr>
                <w:rFonts w:ascii="Arial" w:hAnsi="Arial" w:cs="Arial"/>
                <w:b/>
              </w:rPr>
            </w:pPr>
            <w:r w:rsidRPr="005F7AD4">
              <w:rPr>
                <w:rFonts w:ascii="Arial" w:hAnsi="Arial" w:cs="Arial"/>
                <w:b/>
                <w:sz w:val="18"/>
                <w:szCs w:val="18"/>
              </w:rPr>
              <w:t>X</w:t>
            </w:r>
          </w:p>
        </w:tc>
      </w:tr>
      <w:tr w:rsidR="00852825" w:rsidTr="000A266A" w14:paraId="290B5779"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1452697C"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Construction Details</w:t>
            </w:r>
          </w:p>
        </w:tc>
        <w:tc>
          <w:tcPr>
            <w:tcW w:w="630" w:type="dxa"/>
            <w:tcBorders>
              <w:top w:val="single" w:color="000000" w:sz="6" w:space="0"/>
              <w:left w:val="single" w:color="000000" w:sz="6" w:space="0"/>
              <w:bottom w:val="nil"/>
              <w:right w:val="nil"/>
            </w:tcBorders>
          </w:tcPr>
          <w:p w:rsidRPr="005F7AD4" w:rsidR="00852825" w:rsidRDefault="005F7AD4" w14:paraId="38A56C1A"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3D30E1CF"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17539D2A"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852825" w:rsidRDefault="00852825" w14:paraId="7DC11B5C" w14:textId="77777777">
            <w:pPr>
              <w:tabs>
                <w:tab w:val="left" w:pos="-1080"/>
                <w:tab w:val="left" w:pos="-720"/>
              </w:tabs>
              <w:spacing w:before="32"/>
              <w:jc w:val="center"/>
              <w:rPr>
                <w:rFonts w:ascii="Arial" w:hAnsi="Arial" w:cs="Arial"/>
                <w:b/>
                <w:sz w:val="18"/>
                <w:szCs w:val="18"/>
              </w:rPr>
            </w:pPr>
          </w:p>
        </w:tc>
        <w:tc>
          <w:tcPr>
            <w:tcW w:w="721" w:type="dxa"/>
            <w:tcBorders>
              <w:top w:val="single" w:color="000000" w:sz="6" w:space="0"/>
              <w:left w:val="single" w:color="000000" w:sz="6" w:space="0"/>
              <w:bottom w:val="single" w:color="000000" w:sz="6" w:space="0"/>
              <w:right w:val="single" w:color="000000" w:sz="6" w:space="0"/>
            </w:tcBorders>
          </w:tcPr>
          <w:p w:rsidRPr="005F7AD4" w:rsidR="00852825" w:rsidRDefault="00852825" w14:paraId="7443A715"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626DCAD6" w14:textId="77777777">
            <w:pPr>
              <w:jc w:val="center"/>
              <w:rPr>
                <w:rFonts w:ascii="Arial" w:hAnsi="Arial" w:cs="Arial"/>
                <w:b/>
              </w:rPr>
            </w:pPr>
            <w:r w:rsidRPr="005F7AD4">
              <w:rPr>
                <w:rFonts w:ascii="Arial" w:hAnsi="Arial" w:cs="Arial"/>
                <w:b/>
                <w:sz w:val="18"/>
                <w:szCs w:val="18"/>
              </w:rPr>
              <w:t>X</w:t>
            </w:r>
          </w:p>
        </w:tc>
      </w:tr>
      <w:tr w:rsidR="00852825" w:rsidTr="000A266A" w14:paraId="5B4FC472"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33278DBB"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Changes in Injected Fluid</w:t>
            </w:r>
          </w:p>
        </w:tc>
        <w:tc>
          <w:tcPr>
            <w:tcW w:w="630" w:type="dxa"/>
            <w:tcBorders>
              <w:top w:val="single" w:color="000000" w:sz="6" w:space="0"/>
              <w:left w:val="single" w:color="000000" w:sz="6" w:space="0"/>
              <w:bottom w:val="nil"/>
              <w:right w:val="nil"/>
            </w:tcBorders>
          </w:tcPr>
          <w:p w:rsidRPr="005F7AD4" w:rsidR="00852825" w:rsidRDefault="00852825" w14:paraId="0F75116F" w14:textId="77777777">
            <w:pPr>
              <w:tabs>
                <w:tab w:val="left" w:pos="-1080"/>
                <w:tab w:val="left" w:pos="-720"/>
              </w:tabs>
              <w:spacing w:before="32"/>
              <w:rPr>
                <w:rFonts w:ascii="Arial" w:hAnsi="Arial" w:cs="Arial"/>
                <w:b/>
                <w:sz w:val="18"/>
                <w:szCs w:val="18"/>
              </w:rPr>
            </w:pPr>
          </w:p>
        </w:tc>
        <w:tc>
          <w:tcPr>
            <w:tcW w:w="630" w:type="dxa"/>
            <w:tcBorders>
              <w:top w:val="single" w:color="000000" w:sz="6" w:space="0"/>
              <w:left w:val="single" w:color="000000" w:sz="6" w:space="0"/>
              <w:bottom w:val="nil"/>
              <w:right w:val="nil"/>
            </w:tcBorders>
          </w:tcPr>
          <w:p w:rsidRPr="005F7AD4" w:rsidR="00852825" w:rsidRDefault="00852825" w14:paraId="192A8247" w14:textId="77777777">
            <w:pPr>
              <w:tabs>
                <w:tab w:val="left" w:pos="-1080"/>
                <w:tab w:val="left" w:pos="-720"/>
              </w:tabs>
              <w:spacing w:before="32"/>
              <w:rPr>
                <w:rFonts w:ascii="Arial" w:hAnsi="Arial" w:cs="Arial"/>
                <w:b/>
                <w:sz w:val="18"/>
                <w:szCs w:val="18"/>
              </w:rPr>
            </w:pPr>
          </w:p>
        </w:tc>
        <w:tc>
          <w:tcPr>
            <w:tcW w:w="630" w:type="dxa"/>
            <w:tcBorders>
              <w:top w:val="single" w:color="000000" w:sz="6" w:space="0"/>
              <w:left w:val="single" w:color="000000" w:sz="6" w:space="0"/>
              <w:bottom w:val="nil"/>
              <w:right w:val="nil"/>
            </w:tcBorders>
          </w:tcPr>
          <w:p w:rsidRPr="005F7AD4" w:rsidR="00852825" w:rsidRDefault="00852825" w14:paraId="0ED4A50E" w14:textId="77777777">
            <w:pPr>
              <w:tabs>
                <w:tab w:val="left" w:pos="-1080"/>
                <w:tab w:val="left" w:pos="-720"/>
              </w:tabs>
              <w:spacing w:before="32"/>
              <w:rPr>
                <w:rFonts w:ascii="Arial" w:hAnsi="Arial" w:cs="Arial"/>
                <w:b/>
                <w:sz w:val="18"/>
                <w:szCs w:val="18"/>
              </w:rPr>
            </w:pPr>
          </w:p>
        </w:tc>
        <w:tc>
          <w:tcPr>
            <w:tcW w:w="720" w:type="dxa"/>
            <w:tcBorders>
              <w:top w:val="single" w:color="000000" w:sz="6" w:space="0"/>
              <w:left w:val="single" w:color="000000" w:sz="6" w:space="0"/>
              <w:bottom w:val="nil"/>
              <w:right w:val="nil"/>
            </w:tcBorders>
          </w:tcPr>
          <w:p w:rsidRPr="005F7AD4" w:rsidR="00852825" w:rsidRDefault="005F7AD4" w14:paraId="0ECCB399"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852825" w:rsidRDefault="00852825" w14:paraId="5E12C02F"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1063AF7B" w14:textId="77777777">
            <w:pPr>
              <w:jc w:val="center"/>
              <w:rPr>
                <w:rFonts w:ascii="Arial" w:hAnsi="Arial" w:cs="Arial"/>
                <w:b/>
              </w:rPr>
            </w:pPr>
            <w:r w:rsidRPr="005F7AD4">
              <w:rPr>
                <w:rFonts w:ascii="Arial" w:hAnsi="Arial" w:cs="Arial"/>
                <w:b/>
                <w:sz w:val="18"/>
                <w:szCs w:val="18"/>
              </w:rPr>
              <w:t>X</w:t>
            </w:r>
          </w:p>
        </w:tc>
      </w:tr>
      <w:tr w:rsidR="00852825" w:rsidTr="000A266A" w14:paraId="784E69F7"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1E301D30"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Plans for Well Failures</w:t>
            </w:r>
            <w:r>
              <w:rPr>
                <w:rFonts w:ascii="Arial" w:hAnsi="Arial" w:cs="Arial"/>
                <w:sz w:val="18"/>
                <w:szCs w:val="18"/>
              </w:rPr>
              <w:t>/Emergency and Remedial Response Plan</w:t>
            </w:r>
          </w:p>
        </w:tc>
        <w:tc>
          <w:tcPr>
            <w:tcW w:w="630" w:type="dxa"/>
            <w:tcBorders>
              <w:top w:val="single" w:color="000000" w:sz="6" w:space="0"/>
              <w:left w:val="single" w:color="000000" w:sz="6" w:space="0"/>
              <w:bottom w:val="nil"/>
              <w:right w:val="nil"/>
            </w:tcBorders>
          </w:tcPr>
          <w:p w:rsidRPr="005F7AD4" w:rsidR="00852825" w:rsidRDefault="005F7AD4" w14:paraId="36DC70C3"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41DEB6C4"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852825" w14:paraId="18165373" w14:textId="77777777">
            <w:pPr>
              <w:tabs>
                <w:tab w:val="left" w:pos="-1080"/>
                <w:tab w:val="left" w:pos="-720"/>
              </w:tabs>
              <w:spacing w:before="32"/>
              <w:jc w:val="center"/>
              <w:rPr>
                <w:rFonts w:ascii="Arial" w:hAnsi="Arial" w:cs="Arial"/>
                <w:b/>
                <w:sz w:val="18"/>
                <w:szCs w:val="18"/>
              </w:rPr>
            </w:pPr>
          </w:p>
        </w:tc>
        <w:tc>
          <w:tcPr>
            <w:tcW w:w="720" w:type="dxa"/>
            <w:tcBorders>
              <w:top w:val="single" w:color="000000" w:sz="6" w:space="0"/>
              <w:left w:val="single" w:color="000000" w:sz="6" w:space="0"/>
              <w:bottom w:val="nil"/>
              <w:right w:val="nil"/>
            </w:tcBorders>
          </w:tcPr>
          <w:p w:rsidRPr="005F7AD4" w:rsidR="00852825" w:rsidRDefault="005F7AD4" w14:paraId="2B8C18E1"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852825" w:rsidRDefault="00852825" w14:paraId="38A328C2"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665F7D15" w14:textId="77777777">
            <w:pPr>
              <w:jc w:val="center"/>
              <w:rPr>
                <w:rFonts w:ascii="Arial" w:hAnsi="Arial" w:cs="Arial"/>
                <w:b/>
              </w:rPr>
            </w:pPr>
            <w:r w:rsidRPr="005F7AD4">
              <w:rPr>
                <w:rFonts w:ascii="Arial" w:hAnsi="Arial" w:cs="Arial"/>
                <w:b/>
                <w:sz w:val="18"/>
                <w:szCs w:val="18"/>
              </w:rPr>
              <w:t>X</w:t>
            </w:r>
          </w:p>
        </w:tc>
      </w:tr>
      <w:tr w:rsidR="00852825" w:rsidTr="000A266A" w14:paraId="45A20F78"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734412AD"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Ambient Monitoring Program</w:t>
            </w:r>
          </w:p>
        </w:tc>
        <w:tc>
          <w:tcPr>
            <w:tcW w:w="630" w:type="dxa"/>
            <w:tcBorders>
              <w:top w:val="single" w:color="000000" w:sz="6" w:space="0"/>
              <w:left w:val="single" w:color="000000" w:sz="6" w:space="0"/>
              <w:bottom w:val="nil"/>
              <w:right w:val="nil"/>
            </w:tcBorders>
          </w:tcPr>
          <w:p w:rsidRPr="005F7AD4" w:rsidR="00852825" w:rsidRDefault="005F7AD4" w14:paraId="158D710F"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6E3709D0"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852825" w14:paraId="508067B3" w14:textId="77777777">
            <w:pPr>
              <w:tabs>
                <w:tab w:val="left" w:pos="-1080"/>
                <w:tab w:val="left" w:pos="-720"/>
              </w:tabs>
              <w:spacing w:before="32"/>
              <w:jc w:val="center"/>
              <w:rPr>
                <w:rFonts w:ascii="Arial" w:hAnsi="Arial" w:cs="Arial"/>
                <w:b/>
                <w:sz w:val="18"/>
                <w:szCs w:val="18"/>
              </w:rPr>
            </w:pPr>
          </w:p>
        </w:tc>
        <w:tc>
          <w:tcPr>
            <w:tcW w:w="720" w:type="dxa"/>
            <w:tcBorders>
              <w:top w:val="single" w:color="000000" w:sz="6" w:space="0"/>
              <w:left w:val="single" w:color="000000" w:sz="6" w:space="0"/>
              <w:bottom w:val="nil"/>
              <w:right w:val="nil"/>
            </w:tcBorders>
          </w:tcPr>
          <w:p w:rsidRPr="005F7AD4" w:rsidR="00852825" w:rsidRDefault="005F7AD4" w14:paraId="691710AC"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852825" w:rsidRDefault="00852825" w14:paraId="34E77DBD"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2FCF7AAD" w14:textId="77777777">
            <w:pPr>
              <w:jc w:val="center"/>
              <w:rPr>
                <w:rFonts w:ascii="Arial" w:hAnsi="Arial" w:cs="Arial"/>
                <w:b/>
              </w:rPr>
            </w:pPr>
            <w:r w:rsidRPr="005F7AD4">
              <w:rPr>
                <w:rFonts w:ascii="Arial" w:hAnsi="Arial" w:cs="Arial"/>
                <w:b/>
                <w:sz w:val="18"/>
                <w:szCs w:val="18"/>
              </w:rPr>
              <w:t>X</w:t>
            </w:r>
          </w:p>
        </w:tc>
      </w:tr>
      <w:tr w:rsidR="00852825" w:rsidTr="000A266A" w14:paraId="2D7151AF"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75385983"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Plugging and Abandonment Plan</w:t>
            </w:r>
          </w:p>
        </w:tc>
        <w:tc>
          <w:tcPr>
            <w:tcW w:w="630" w:type="dxa"/>
            <w:tcBorders>
              <w:top w:val="single" w:color="000000" w:sz="6" w:space="0"/>
              <w:left w:val="single" w:color="000000" w:sz="6" w:space="0"/>
              <w:bottom w:val="nil"/>
              <w:right w:val="nil"/>
            </w:tcBorders>
          </w:tcPr>
          <w:p w:rsidRPr="005F7AD4" w:rsidR="00852825" w:rsidRDefault="005F7AD4" w14:paraId="0DCEFE83"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5906AE3F"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70578BBD"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852825" w:rsidRDefault="005F7AD4" w14:paraId="6998BE3B"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852825" w:rsidRDefault="00852825" w14:paraId="23C6BEEB" w14:textId="77777777">
            <w:pPr>
              <w:tabs>
                <w:tab w:val="left" w:pos="-1080"/>
                <w:tab w:val="left" w:pos="-720"/>
                <w:tab w:val="left" w:pos="720"/>
              </w:tabs>
              <w:spacing w:before="32"/>
              <w:jc w:val="center"/>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1A96FCEA" w14:textId="77777777">
            <w:pPr>
              <w:jc w:val="center"/>
              <w:rPr>
                <w:rFonts w:ascii="Arial" w:hAnsi="Arial" w:cs="Arial"/>
                <w:b/>
              </w:rPr>
            </w:pPr>
            <w:r w:rsidRPr="005F7AD4">
              <w:rPr>
                <w:rFonts w:ascii="Arial" w:hAnsi="Arial" w:cs="Arial"/>
                <w:b/>
                <w:sz w:val="18"/>
                <w:szCs w:val="18"/>
              </w:rPr>
              <w:t>X</w:t>
            </w:r>
          </w:p>
        </w:tc>
      </w:tr>
      <w:tr w:rsidR="00852825" w:rsidTr="000A266A" w14:paraId="6B87A215"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6F5774A6"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Financial Assurance</w:t>
            </w:r>
          </w:p>
        </w:tc>
        <w:tc>
          <w:tcPr>
            <w:tcW w:w="630" w:type="dxa"/>
            <w:tcBorders>
              <w:top w:val="single" w:color="000000" w:sz="6" w:space="0"/>
              <w:left w:val="single" w:color="000000" w:sz="6" w:space="0"/>
              <w:bottom w:val="nil"/>
              <w:right w:val="nil"/>
            </w:tcBorders>
          </w:tcPr>
          <w:p w:rsidRPr="005F7AD4" w:rsidR="00852825" w:rsidRDefault="005F7AD4" w14:paraId="0922E87D"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1B3DB158"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852825" w:rsidRDefault="005F7AD4" w14:paraId="28C93DB5"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852825" w:rsidRDefault="005F7AD4" w14:paraId="4B512032"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nil"/>
              <w:right w:val="single" w:color="000000" w:sz="6" w:space="0"/>
            </w:tcBorders>
          </w:tcPr>
          <w:p w:rsidRPr="005F7AD4" w:rsidR="00852825" w:rsidRDefault="00852825" w14:paraId="024CF708"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5DADB1B7" w14:textId="77777777">
            <w:pPr>
              <w:jc w:val="center"/>
              <w:rPr>
                <w:rFonts w:ascii="Arial" w:hAnsi="Arial" w:cs="Arial"/>
                <w:b/>
              </w:rPr>
            </w:pPr>
            <w:r w:rsidRPr="005F7AD4">
              <w:rPr>
                <w:rFonts w:ascii="Arial" w:hAnsi="Arial" w:cs="Arial"/>
                <w:b/>
                <w:sz w:val="18"/>
                <w:szCs w:val="18"/>
              </w:rPr>
              <w:t>X</w:t>
            </w:r>
          </w:p>
        </w:tc>
      </w:tr>
      <w:tr w:rsidR="00852825" w:rsidTr="000A266A" w14:paraId="519050DE" w14:textId="77777777">
        <w:trPr>
          <w:cantSplit/>
          <w:jc w:val="center"/>
        </w:trPr>
        <w:tc>
          <w:tcPr>
            <w:tcW w:w="5624" w:type="dxa"/>
            <w:tcBorders>
              <w:top w:val="single" w:color="000000" w:sz="6" w:space="0"/>
              <w:left w:val="single" w:color="000000" w:sz="12" w:space="0"/>
              <w:bottom w:val="nil"/>
              <w:right w:val="nil"/>
            </w:tcBorders>
          </w:tcPr>
          <w:p w:rsidR="00852825" w:rsidRDefault="00966D64" w14:paraId="4D61DFFC" w14:textId="6C3DBA4F">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sz w:val="18"/>
                <w:szCs w:val="18"/>
              </w:rPr>
            </w:pPr>
            <w:r>
              <w:rPr>
                <w:rFonts w:ascii="Arial" w:hAnsi="Arial" w:cs="Arial"/>
                <w:sz w:val="18"/>
                <w:szCs w:val="18"/>
              </w:rPr>
              <w:t xml:space="preserve"> </w:t>
            </w:r>
            <w:r w:rsidR="00852825">
              <w:rPr>
                <w:rFonts w:ascii="Arial" w:hAnsi="Arial" w:cs="Arial"/>
                <w:sz w:val="18"/>
                <w:szCs w:val="18"/>
              </w:rPr>
              <w:t>Post</w:t>
            </w:r>
            <w:r w:rsidR="00730060">
              <w:rPr>
                <w:rFonts w:ascii="Arial" w:hAnsi="Arial" w:cs="Arial"/>
                <w:sz w:val="18"/>
                <w:szCs w:val="18"/>
              </w:rPr>
              <w:t>-</w:t>
            </w:r>
            <w:r w:rsidR="00852825">
              <w:rPr>
                <w:rFonts w:ascii="Arial" w:hAnsi="Arial" w:cs="Arial"/>
                <w:sz w:val="18"/>
                <w:szCs w:val="18"/>
              </w:rPr>
              <w:t>Injection Site Care Plan</w:t>
            </w:r>
          </w:p>
        </w:tc>
        <w:tc>
          <w:tcPr>
            <w:tcW w:w="630" w:type="dxa"/>
            <w:tcBorders>
              <w:top w:val="single" w:color="000000" w:sz="6" w:space="0"/>
              <w:left w:val="single" w:color="000000" w:sz="6" w:space="0"/>
              <w:bottom w:val="nil"/>
              <w:right w:val="nil"/>
            </w:tcBorders>
          </w:tcPr>
          <w:p w:rsidRPr="005F7AD4" w:rsidR="00852825" w:rsidRDefault="00852825" w14:paraId="3EDAB72A" w14:textId="77777777">
            <w:pPr>
              <w:tabs>
                <w:tab w:val="left" w:pos="-1080"/>
                <w:tab w:val="left" w:pos="-720"/>
              </w:tabs>
              <w:spacing w:before="32"/>
              <w:jc w:val="center"/>
              <w:rPr>
                <w:rFonts w:ascii="Arial" w:hAnsi="Arial" w:cs="Arial"/>
                <w:b/>
                <w:sz w:val="18"/>
                <w:szCs w:val="18"/>
              </w:rPr>
            </w:pPr>
          </w:p>
        </w:tc>
        <w:tc>
          <w:tcPr>
            <w:tcW w:w="630" w:type="dxa"/>
            <w:tcBorders>
              <w:top w:val="single" w:color="000000" w:sz="6" w:space="0"/>
              <w:left w:val="single" w:color="000000" w:sz="6" w:space="0"/>
              <w:bottom w:val="nil"/>
              <w:right w:val="nil"/>
            </w:tcBorders>
          </w:tcPr>
          <w:p w:rsidRPr="005F7AD4" w:rsidR="00852825" w:rsidRDefault="00852825" w14:paraId="67B1A052" w14:textId="77777777">
            <w:pPr>
              <w:tabs>
                <w:tab w:val="left" w:pos="-1080"/>
                <w:tab w:val="left" w:pos="-720"/>
              </w:tabs>
              <w:spacing w:before="32"/>
              <w:jc w:val="center"/>
              <w:rPr>
                <w:rFonts w:ascii="Arial" w:hAnsi="Arial" w:cs="Arial"/>
                <w:b/>
                <w:sz w:val="18"/>
                <w:szCs w:val="18"/>
              </w:rPr>
            </w:pPr>
          </w:p>
        </w:tc>
        <w:tc>
          <w:tcPr>
            <w:tcW w:w="630" w:type="dxa"/>
            <w:tcBorders>
              <w:top w:val="single" w:color="000000" w:sz="6" w:space="0"/>
              <w:left w:val="single" w:color="000000" w:sz="6" w:space="0"/>
              <w:bottom w:val="nil"/>
              <w:right w:val="nil"/>
            </w:tcBorders>
          </w:tcPr>
          <w:p w:rsidRPr="005F7AD4" w:rsidR="00852825" w:rsidRDefault="00852825" w14:paraId="2460505E" w14:textId="77777777">
            <w:pPr>
              <w:tabs>
                <w:tab w:val="left" w:pos="-1080"/>
                <w:tab w:val="left" w:pos="-720"/>
              </w:tabs>
              <w:spacing w:before="32"/>
              <w:jc w:val="center"/>
              <w:rPr>
                <w:rFonts w:ascii="Arial" w:hAnsi="Arial" w:cs="Arial"/>
                <w:b/>
                <w:sz w:val="18"/>
                <w:szCs w:val="18"/>
              </w:rPr>
            </w:pPr>
          </w:p>
        </w:tc>
        <w:tc>
          <w:tcPr>
            <w:tcW w:w="720" w:type="dxa"/>
            <w:tcBorders>
              <w:top w:val="single" w:color="000000" w:sz="6" w:space="0"/>
              <w:left w:val="single" w:color="000000" w:sz="6" w:space="0"/>
              <w:bottom w:val="nil"/>
              <w:right w:val="nil"/>
            </w:tcBorders>
          </w:tcPr>
          <w:p w:rsidRPr="005F7AD4" w:rsidR="00852825" w:rsidRDefault="00852825" w14:paraId="1DF7F32D" w14:textId="77777777">
            <w:pPr>
              <w:tabs>
                <w:tab w:val="left" w:pos="-1080"/>
                <w:tab w:val="left" w:pos="-720"/>
              </w:tabs>
              <w:spacing w:before="32"/>
              <w:jc w:val="center"/>
              <w:rPr>
                <w:rFonts w:ascii="Arial" w:hAnsi="Arial" w:cs="Arial"/>
                <w:b/>
                <w:sz w:val="18"/>
                <w:szCs w:val="18"/>
              </w:rPr>
            </w:pPr>
          </w:p>
        </w:tc>
        <w:tc>
          <w:tcPr>
            <w:tcW w:w="721" w:type="dxa"/>
            <w:tcBorders>
              <w:top w:val="single" w:color="000000" w:sz="6" w:space="0"/>
              <w:left w:val="single" w:color="000000" w:sz="6" w:space="0"/>
              <w:bottom w:val="nil"/>
              <w:right w:val="single" w:color="000000" w:sz="6" w:space="0"/>
            </w:tcBorders>
          </w:tcPr>
          <w:p w:rsidRPr="005F7AD4" w:rsidR="00852825" w:rsidRDefault="00852825" w14:paraId="4C38D4B2"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852825" w:rsidP="00852825" w:rsidRDefault="005F7AD4" w14:paraId="3B449837" w14:textId="77777777">
            <w:pPr>
              <w:jc w:val="center"/>
              <w:rPr>
                <w:rFonts w:ascii="Arial" w:hAnsi="Arial" w:cs="Arial"/>
                <w:b/>
              </w:rPr>
            </w:pPr>
            <w:r w:rsidRPr="005F7AD4">
              <w:rPr>
                <w:rFonts w:ascii="Arial" w:hAnsi="Arial" w:cs="Arial"/>
                <w:b/>
                <w:sz w:val="18"/>
                <w:szCs w:val="18"/>
              </w:rPr>
              <w:t>X</w:t>
            </w:r>
          </w:p>
        </w:tc>
      </w:tr>
      <w:tr w:rsidR="00E80706" w:rsidTr="000A266A" w14:paraId="038908F2" w14:textId="77777777">
        <w:trPr>
          <w:cantSplit/>
          <w:jc w:val="center"/>
        </w:trPr>
        <w:tc>
          <w:tcPr>
            <w:tcW w:w="5624" w:type="dxa"/>
            <w:tcBorders>
              <w:top w:val="single" w:color="000000" w:sz="6" w:space="0"/>
              <w:left w:val="single" w:color="000000" w:sz="12" w:space="0"/>
              <w:bottom w:val="nil"/>
              <w:right w:val="nil"/>
            </w:tcBorders>
          </w:tcPr>
          <w:p w:rsidR="00E80706" w:rsidP="00191CC6" w:rsidRDefault="00CF389A" w14:paraId="287B3B27" w14:textId="77777777">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sz w:val="18"/>
                <w:szCs w:val="18"/>
              </w:rPr>
            </w:pPr>
            <w:r>
              <w:rPr>
                <w:rFonts w:ascii="Arial" w:hAnsi="Arial" w:cs="Arial"/>
                <w:sz w:val="18"/>
                <w:szCs w:val="18"/>
              </w:rPr>
              <w:t xml:space="preserve"> </w:t>
            </w:r>
            <w:r w:rsidR="00E80706">
              <w:rPr>
                <w:rFonts w:ascii="Arial" w:hAnsi="Arial" w:cs="Arial"/>
                <w:sz w:val="18"/>
                <w:szCs w:val="18"/>
              </w:rPr>
              <w:t>Aquifer Exemption Request</w:t>
            </w:r>
            <w:r w:rsidR="00D21761">
              <w:rPr>
                <w:rFonts w:ascii="Arial" w:hAnsi="Arial" w:cs="Arial"/>
                <w:sz w:val="18"/>
                <w:szCs w:val="18"/>
              </w:rPr>
              <w:t xml:space="preserve"> (if needed)</w:t>
            </w:r>
          </w:p>
        </w:tc>
        <w:tc>
          <w:tcPr>
            <w:tcW w:w="630" w:type="dxa"/>
            <w:tcBorders>
              <w:top w:val="single" w:color="000000" w:sz="6" w:space="0"/>
              <w:left w:val="single" w:color="000000" w:sz="6" w:space="0"/>
              <w:bottom w:val="nil"/>
              <w:right w:val="nil"/>
            </w:tcBorders>
          </w:tcPr>
          <w:p w:rsidRPr="005F7AD4" w:rsidR="00E80706" w:rsidP="00191CC6" w:rsidRDefault="00E80706" w14:paraId="1A990D3B" w14:textId="77777777">
            <w:pPr>
              <w:tabs>
                <w:tab w:val="left" w:pos="-1080"/>
                <w:tab w:val="left" w:pos="-720"/>
              </w:tabs>
              <w:spacing w:before="32"/>
              <w:jc w:val="center"/>
              <w:rPr>
                <w:rFonts w:ascii="Arial" w:hAnsi="Arial" w:cs="Arial"/>
                <w:b/>
                <w:sz w:val="18"/>
                <w:szCs w:val="18"/>
              </w:rPr>
            </w:pPr>
            <w:r>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P="00191CC6" w:rsidRDefault="00E80706" w14:paraId="7C9D3D89" w14:textId="77777777">
            <w:pPr>
              <w:tabs>
                <w:tab w:val="left" w:pos="-1080"/>
                <w:tab w:val="left" w:pos="-720"/>
              </w:tabs>
              <w:spacing w:before="32"/>
              <w:jc w:val="center"/>
              <w:rPr>
                <w:rFonts w:ascii="Arial" w:hAnsi="Arial" w:cs="Arial"/>
                <w:b/>
                <w:sz w:val="18"/>
                <w:szCs w:val="18"/>
              </w:rPr>
            </w:pPr>
            <w:r>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P="00191CC6" w:rsidRDefault="00E80706" w14:paraId="374EBE4F" w14:textId="77777777">
            <w:pPr>
              <w:tabs>
                <w:tab w:val="left" w:pos="-1080"/>
                <w:tab w:val="left" w:pos="-720"/>
              </w:tabs>
              <w:spacing w:before="32"/>
              <w:jc w:val="center"/>
              <w:rPr>
                <w:rFonts w:ascii="Arial" w:hAnsi="Arial" w:cs="Arial"/>
                <w:b/>
                <w:sz w:val="18"/>
                <w:szCs w:val="18"/>
              </w:rPr>
            </w:pPr>
            <w:r>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E80706" w:rsidP="00191CC6" w:rsidRDefault="00E80706" w14:paraId="62E7BB2F" w14:textId="77777777">
            <w:pPr>
              <w:tabs>
                <w:tab w:val="left" w:pos="-1080"/>
                <w:tab w:val="left" w:pos="-720"/>
              </w:tabs>
              <w:spacing w:before="32"/>
              <w:jc w:val="center"/>
              <w:rPr>
                <w:rFonts w:ascii="Arial" w:hAnsi="Arial" w:cs="Arial"/>
                <w:b/>
                <w:sz w:val="18"/>
                <w:szCs w:val="18"/>
              </w:rPr>
            </w:pPr>
            <w:r>
              <w:rPr>
                <w:rFonts w:ascii="Arial" w:hAnsi="Arial" w:cs="Arial"/>
                <w:b/>
                <w:sz w:val="18"/>
                <w:szCs w:val="18"/>
              </w:rPr>
              <w:t>X</w:t>
            </w:r>
          </w:p>
        </w:tc>
        <w:tc>
          <w:tcPr>
            <w:tcW w:w="721" w:type="dxa"/>
            <w:tcBorders>
              <w:top w:val="single" w:color="000000" w:sz="6" w:space="0"/>
              <w:left w:val="single" w:color="000000" w:sz="6" w:space="0"/>
              <w:bottom w:val="nil"/>
              <w:right w:val="single" w:color="000000" w:sz="6" w:space="0"/>
            </w:tcBorders>
          </w:tcPr>
          <w:p w:rsidRPr="005F7AD4" w:rsidR="00E80706" w:rsidP="00191CC6" w:rsidRDefault="00E80706" w14:paraId="6F04D5C9"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E80706" w:rsidP="00191CC6" w:rsidRDefault="00E80706" w14:paraId="278A6673" w14:textId="77777777">
            <w:pPr>
              <w:jc w:val="center"/>
              <w:rPr>
                <w:rFonts w:ascii="Arial" w:hAnsi="Arial" w:cs="Arial"/>
                <w:b/>
                <w:sz w:val="18"/>
                <w:szCs w:val="18"/>
              </w:rPr>
            </w:pPr>
            <w:r>
              <w:rPr>
                <w:rFonts w:ascii="Arial" w:hAnsi="Arial" w:cs="Arial"/>
                <w:b/>
                <w:sz w:val="18"/>
                <w:szCs w:val="18"/>
              </w:rPr>
              <w:t>X</w:t>
            </w:r>
          </w:p>
        </w:tc>
      </w:tr>
      <w:tr w:rsidR="00E80706" w:rsidTr="000A266A" w14:paraId="0018CAA4" w14:textId="77777777">
        <w:trPr>
          <w:cantSplit/>
          <w:jc w:val="center"/>
        </w:trPr>
        <w:tc>
          <w:tcPr>
            <w:tcW w:w="5624" w:type="dxa"/>
            <w:tcBorders>
              <w:top w:val="single" w:color="000000" w:sz="6" w:space="0"/>
              <w:left w:val="single" w:color="000000" w:sz="12" w:space="0"/>
              <w:bottom w:val="nil"/>
              <w:right w:val="nil"/>
            </w:tcBorders>
          </w:tcPr>
          <w:p w:rsidR="00E80706" w:rsidP="000B29A9" w:rsidRDefault="00CF389A" w14:paraId="3B28E41C" w14:textId="77777777">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sz w:val="18"/>
                <w:szCs w:val="18"/>
              </w:rPr>
            </w:pPr>
            <w:r>
              <w:rPr>
                <w:rFonts w:ascii="Arial" w:hAnsi="Arial" w:cs="Arial"/>
                <w:sz w:val="18"/>
                <w:szCs w:val="18"/>
              </w:rPr>
              <w:t xml:space="preserve"> </w:t>
            </w:r>
            <w:r w:rsidR="00E80706">
              <w:rPr>
                <w:rFonts w:ascii="Arial" w:hAnsi="Arial" w:cs="Arial"/>
                <w:sz w:val="18"/>
                <w:szCs w:val="18"/>
              </w:rPr>
              <w:t>Injection Depth Waiver Application</w:t>
            </w:r>
            <w:r w:rsidR="00F84502">
              <w:rPr>
                <w:rFonts w:ascii="Arial" w:hAnsi="Arial" w:cs="Arial"/>
                <w:sz w:val="18"/>
                <w:szCs w:val="18"/>
              </w:rPr>
              <w:t xml:space="preserve"> </w:t>
            </w:r>
          </w:p>
        </w:tc>
        <w:tc>
          <w:tcPr>
            <w:tcW w:w="630" w:type="dxa"/>
            <w:tcBorders>
              <w:top w:val="single" w:color="000000" w:sz="6" w:space="0"/>
              <w:left w:val="single" w:color="000000" w:sz="6" w:space="0"/>
              <w:bottom w:val="nil"/>
              <w:right w:val="nil"/>
            </w:tcBorders>
          </w:tcPr>
          <w:p w:rsidRPr="005F7AD4" w:rsidR="00E80706" w:rsidRDefault="00E80706" w14:paraId="2AC3E8DB" w14:textId="77777777">
            <w:pPr>
              <w:tabs>
                <w:tab w:val="left" w:pos="-1080"/>
                <w:tab w:val="left" w:pos="-720"/>
              </w:tabs>
              <w:spacing w:before="32"/>
              <w:jc w:val="center"/>
              <w:rPr>
                <w:rFonts w:ascii="Arial" w:hAnsi="Arial" w:cs="Arial"/>
                <w:b/>
                <w:sz w:val="18"/>
                <w:szCs w:val="18"/>
              </w:rPr>
            </w:pPr>
          </w:p>
        </w:tc>
        <w:tc>
          <w:tcPr>
            <w:tcW w:w="630" w:type="dxa"/>
            <w:tcBorders>
              <w:top w:val="single" w:color="000000" w:sz="6" w:space="0"/>
              <w:left w:val="single" w:color="000000" w:sz="6" w:space="0"/>
              <w:bottom w:val="nil"/>
              <w:right w:val="nil"/>
            </w:tcBorders>
          </w:tcPr>
          <w:p w:rsidRPr="005F7AD4" w:rsidR="00E80706" w:rsidRDefault="00E80706" w14:paraId="38C8D581" w14:textId="77777777">
            <w:pPr>
              <w:tabs>
                <w:tab w:val="left" w:pos="-1080"/>
                <w:tab w:val="left" w:pos="-720"/>
              </w:tabs>
              <w:spacing w:before="32"/>
              <w:jc w:val="center"/>
              <w:rPr>
                <w:rFonts w:ascii="Arial" w:hAnsi="Arial" w:cs="Arial"/>
                <w:b/>
                <w:sz w:val="18"/>
                <w:szCs w:val="18"/>
              </w:rPr>
            </w:pPr>
          </w:p>
        </w:tc>
        <w:tc>
          <w:tcPr>
            <w:tcW w:w="630" w:type="dxa"/>
            <w:tcBorders>
              <w:top w:val="single" w:color="000000" w:sz="6" w:space="0"/>
              <w:left w:val="single" w:color="000000" w:sz="6" w:space="0"/>
              <w:bottom w:val="nil"/>
              <w:right w:val="nil"/>
            </w:tcBorders>
          </w:tcPr>
          <w:p w:rsidRPr="005F7AD4" w:rsidR="00E80706" w:rsidRDefault="00E80706" w14:paraId="0BB37555" w14:textId="77777777">
            <w:pPr>
              <w:tabs>
                <w:tab w:val="left" w:pos="-1080"/>
                <w:tab w:val="left" w:pos="-720"/>
              </w:tabs>
              <w:spacing w:before="32"/>
              <w:jc w:val="center"/>
              <w:rPr>
                <w:rFonts w:ascii="Arial" w:hAnsi="Arial" w:cs="Arial"/>
                <w:b/>
                <w:sz w:val="18"/>
                <w:szCs w:val="18"/>
              </w:rPr>
            </w:pPr>
          </w:p>
        </w:tc>
        <w:tc>
          <w:tcPr>
            <w:tcW w:w="720" w:type="dxa"/>
            <w:tcBorders>
              <w:top w:val="single" w:color="000000" w:sz="6" w:space="0"/>
              <w:left w:val="single" w:color="000000" w:sz="6" w:space="0"/>
              <w:bottom w:val="nil"/>
              <w:right w:val="nil"/>
            </w:tcBorders>
          </w:tcPr>
          <w:p w:rsidRPr="005F7AD4" w:rsidR="00E80706" w:rsidRDefault="00E80706" w14:paraId="7EA8EB95" w14:textId="77777777">
            <w:pPr>
              <w:tabs>
                <w:tab w:val="left" w:pos="-1080"/>
                <w:tab w:val="left" w:pos="-720"/>
              </w:tabs>
              <w:spacing w:before="32"/>
              <w:jc w:val="center"/>
              <w:rPr>
                <w:rFonts w:ascii="Arial" w:hAnsi="Arial" w:cs="Arial"/>
                <w:b/>
                <w:sz w:val="18"/>
                <w:szCs w:val="18"/>
              </w:rPr>
            </w:pPr>
          </w:p>
        </w:tc>
        <w:tc>
          <w:tcPr>
            <w:tcW w:w="721" w:type="dxa"/>
            <w:tcBorders>
              <w:top w:val="single" w:color="000000" w:sz="6" w:space="0"/>
              <w:left w:val="single" w:color="000000" w:sz="6" w:space="0"/>
              <w:bottom w:val="nil"/>
              <w:right w:val="single" w:color="000000" w:sz="6" w:space="0"/>
            </w:tcBorders>
          </w:tcPr>
          <w:p w:rsidRPr="005F7AD4" w:rsidR="00E80706" w:rsidRDefault="00E80706" w14:paraId="3162ABB1"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E80706" w:rsidP="00852825" w:rsidRDefault="00E80706" w14:paraId="316162D1" w14:textId="77777777">
            <w:pPr>
              <w:jc w:val="center"/>
              <w:rPr>
                <w:rFonts w:ascii="Arial" w:hAnsi="Arial" w:cs="Arial"/>
                <w:b/>
                <w:sz w:val="18"/>
                <w:szCs w:val="18"/>
              </w:rPr>
            </w:pPr>
            <w:r>
              <w:rPr>
                <w:rFonts w:ascii="Arial" w:hAnsi="Arial" w:cs="Arial"/>
                <w:b/>
                <w:sz w:val="18"/>
                <w:szCs w:val="18"/>
              </w:rPr>
              <w:t>X</w:t>
            </w:r>
          </w:p>
        </w:tc>
      </w:tr>
      <w:tr w:rsidR="00E80706" w:rsidTr="00873C9F" w14:paraId="14666AA9" w14:textId="77777777">
        <w:trPr>
          <w:cantSplit/>
          <w:jc w:val="center"/>
        </w:trPr>
        <w:tc>
          <w:tcPr>
            <w:tcW w:w="9676" w:type="dxa"/>
            <w:gridSpan w:val="7"/>
            <w:tcBorders>
              <w:top w:val="single" w:color="000000" w:sz="6" w:space="0"/>
              <w:left w:val="single" w:color="000000" w:sz="12" w:space="0"/>
              <w:bottom w:val="nil"/>
              <w:right w:val="single" w:color="000000" w:sz="12" w:space="0"/>
            </w:tcBorders>
          </w:tcPr>
          <w:p w:rsidRPr="005F7AD4" w:rsidR="00E80706" w:rsidRDefault="00E80706" w14:paraId="52229978" w14:textId="77777777">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b/>
                <w:bCs/>
                <w:sz w:val="18"/>
                <w:szCs w:val="18"/>
              </w:rPr>
            </w:pPr>
            <w:r w:rsidRPr="005F7AD4">
              <w:rPr>
                <w:rFonts w:ascii="Arial" w:hAnsi="Arial" w:cs="Arial"/>
                <w:b/>
                <w:bCs/>
                <w:sz w:val="18"/>
                <w:szCs w:val="18"/>
              </w:rPr>
              <w:t xml:space="preserve"> Completion Report</w:t>
            </w:r>
          </w:p>
        </w:tc>
      </w:tr>
      <w:tr w:rsidR="00E80706" w:rsidTr="000A266A" w14:paraId="4413FDA2" w14:textId="77777777">
        <w:trPr>
          <w:cantSplit/>
          <w:jc w:val="center"/>
        </w:trPr>
        <w:tc>
          <w:tcPr>
            <w:tcW w:w="5624" w:type="dxa"/>
            <w:tcBorders>
              <w:top w:val="single" w:color="000000" w:sz="6" w:space="0"/>
              <w:left w:val="single" w:color="000000" w:sz="12" w:space="0"/>
              <w:bottom w:val="nil"/>
              <w:right w:val="nil"/>
            </w:tcBorders>
          </w:tcPr>
          <w:p w:rsidR="00E80706" w:rsidRDefault="00E80706" w14:paraId="3816A33F"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Results of Logs and Tests Performed During Construction</w:t>
            </w:r>
          </w:p>
        </w:tc>
        <w:tc>
          <w:tcPr>
            <w:tcW w:w="630" w:type="dxa"/>
            <w:tcBorders>
              <w:top w:val="single" w:color="000000" w:sz="6" w:space="0"/>
              <w:left w:val="single" w:color="000000" w:sz="6" w:space="0"/>
              <w:bottom w:val="nil"/>
              <w:right w:val="nil"/>
            </w:tcBorders>
          </w:tcPr>
          <w:p w:rsidRPr="005F7AD4" w:rsidR="00E80706" w:rsidRDefault="00E80706" w14:paraId="57817729"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1CC5407B"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56476754"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E80706" w:rsidRDefault="00E80706" w14:paraId="0C53E7A5"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E80706" w:rsidRDefault="00E80706" w14:paraId="09EA6E86"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E80706" w:rsidP="00852825" w:rsidRDefault="00E80706" w14:paraId="019ECC65" w14:textId="77777777">
            <w:pPr>
              <w:jc w:val="center"/>
              <w:rPr>
                <w:rFonts w:ascii="Arial" w:hAnsi="Arial" w:cs="Arial"/>
                <w:b/>
              </w:rPr>
            </w:pPr>
            <w:r w:rsidRPr="005F7AD4">
              <w:rPr>
                <w:rFonts w:ascii="Arial" w:hAnsi="Arial" w:cs="Arial"/>
                <w:b/>
                <w:sz w:val="18"/>
                <w:szCs w:val="18"/>
              </w:rPr>
              <w:t>X</w:t>
            </w:r>
          </w:p>
        </w:tc>
      </w:tr>
      <w:tr w:rsidR="00E80706" w:rsidTr="000A266A" w14:paraId="01980AD7" w14:textId="77777777">
        <w:trPr>
          <w:cantSplit/>
          <w:jc w:val="center"/>
        </w:trPr>
        <w:tc>
          <w:tcPr>
            <w:tcW w:w="5624" w:type="dxa"/>
            <w:tcBorders>
              <w:top w:val="single" w:color="000000" w:sz="6" w:space="0"/>
              <w:left w:val="single" w:color="000000" w:sz="12" w:space="0"/>
              <w:bottom w:val="nil"/>
              <w:right w:val="nil"/>
            </w:tcBorders>
          </w:tcPr>
          <w:p w:rsidR="00E80706" w:rsidRDefault="00E80706" w14:paraId="4DF5F982"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MIT Results</w:t>
            </w:r>
          </w:p>
        </w:tc>
        <w:tc>
          <w:tcPr>
            <w:tcW w:w="630" w:type="dxa"/>
            <w:tcBorders>
              <w:top w:val="single" w:color="000000" w:sz="6" w:space="0"/>
              <w:left w:val="single" w:color="000000" w:sz="6" w:space="0"/>
              <w:bottom w:val="nil"/>
              <w:right w:val="nil"/>
            </w:tcBorders>
          </w:tcPr>
          <w:p w:rsidRPr="005F7AD4" w:rsidR="00E80706" w:rsidRDefault="00E80706" w14:paraId="7071C45E"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578749AD"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7C2251AD"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E80706" w:rsidRDefault="00E80706" w14:paraId="4BA46643"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E80706" w:rsidRDefault="00E80706" w14:paraId="7CF40176"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E80706" w:rsidP="00852825" w:rsidRDefault="00E80706" w14:paraId="37E90600" w14:textId="77777777">
            <w:pPr>
              <w:jc w:val="center"/>
              <w:rPr>
                <w:rFonts w:ascii="Arial" w:hAnsi="Arial" w:cs="Arial"/>
                <w:b/>
              </w:rPr>
            </w:pPr>
            <w:r w:rsidRPr="005F7AD4">
              <w:rPr>
                <w:rFonts w:ascii="Arial" w:hAnsi="Arial" w:cs="Arial"/>
                <w:b/>
                <w:sz w:val="18"/>
                <w:szCs w:val="18"/>
              </w:rPr>
              <w:t>X</w:t>
            </w:r>
          </w:p>
        </w:tc>
      </w:tr>
      <w:tr w:rsidR="00E80706" w:rsidTr="000A266A" w14:paraId="0BA5FF51" w14:textId="77777777">
        <w:trPr>
          <w:cantSplit/>
          <w:jc w:val="center"/>
        </w:trPr>
        <w:tc>
          <w:tcPr>
            <w:tcW w:w="5624" w:type="dxa"/>
            <w:tcBorders>
              <w:top w:val="single" w:color="000000" w:sz="6" w:space="0"/>
              <w:left w:val="single" w:color="000000" w:sz="12" w:space="0"/>
              <w:bottom w:val="nil"/>
              <w:right w:val="nil"/>
            </w:tcBorders>
          </w:tcPr>
          <w:p w:rsidR="00E80706" w:rsidRDefault="00E80706" w14:paraId="40E48F9B"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Anticipated Maximum Injection Pressure &amp; Flow Rate</w:t>
            </w:r>
          </w:p>
        </w:tc>
        <w:tc>
          <w:tcPr>
            <w:tcW w:w="630" w:type="dxa"/>
            <w:tcBorders>
              <w:top w:val="single" w:color="000000" w:sz="6" w:space="0"/>
              <w:left w:val="single" w:color="000000" w:sz="6" w:space="0"/>
              <w:bottom w:val="nil"/>
              <w:right w:val="nil"/>
            </w:tcBorders>
          </w:tcPr>
          <w:p w:rsidRPr="005F7AD4" w:rsidR="00E80706" w:rsidRDefault="00E80706" w14:paraId="1B65FB50"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3266EE60"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31D3A933"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E80706" w:rsidRDefault="00E80706" w14:paraId="200ED894"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E80706" w:rsidRDefault="00E80706" w14:paraId="74977171"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E80706" w:rsidP="00852825" w:rsidRDefault="00E80706" w14:paraId="70E7E76C" w14:textId="77777777">
            <w:pPr>
              <w:jc w:val="center"/>
              <w:rPr>
                <w:rFonts w:ascii="Arial" w:hAnsi="Arial" w:cs="Arial"/>
                <w:b/>
              </w:rPr>
            </w:pPr>
            <w:r w:rsidRPr="005F7AD4">
              <w:rPr>
                <w:rFonts w:ascii="Arial" w:hAnsi="Arial" w:cs="Arial"/>
                <w:b/>
                <w:sz w:val="18"/>
                <w:szCs w:val="18"/>
              </w:rPr>
              <w:t>X</w:t>
            </w:r>
          </w:p>
        </w:tc>
      </w:tr>
      <w:tr w:rsidR="00E80706" w:rsidTr="000A266A" w14:paraId="00729F0D" w14:textId="77777777">
        <w:trPr>
          <w:cantSplit/>
          <w:jc w:val="center"/>
        </w:trPr>
        <w:tc>
          <w:tcPr>
            <w:tcW w:w="5624" w:type="dxa"/>
            <w:tcBorders>
              <w:top w:val="single" w:color="000000" w:sz="6" w:space="0"/>
              <w:left w:val="single" w:color="000000" w:sz="12" w:space="0"/>
              <w:bottom w:val="nil"/>
              <w:right w:val="nil"/>
            </w:tcBorders>
          </w:tcPr>
          <w:p w:rsidR="00E80706" w:rsidRDefault="00E80706" w14:paraId="7A407B3F"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Formation Testing Results</w:t>
            </w:r>
          </w:p>
        </w:tc>
        <w:tc>
          <w:tcPr>
            <w:tcW w:w="630" w:type="dxa"/>
            <w:tcBorders>
              <w:top w:val="single" w:color="000000" w:sz="6" w:space="0"/>
              <w:left w:val="single" w:color="000000" w:sz="6" w:space="0"/>
              <w:bottom w:val="nil"/>
              <w:right w:val="nil"/>
            </w:tcBorders>
          </w:tcPr>
          <w:p w:rsidRPr="005F7AD4" w:rsidR="00E80706" w:rsidRDefault="00E80706" w14:paraId="16C52244"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23C04047"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216EB8C4"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E80706" w:rsidRDefault="00E80706" w14:paraId="2FB2E9EE"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E80706" w:rsidRDefault="00E80706" w14:paraId="7DC5282C"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E80706" w:rsidP="00852825" w:rsidRDefault="00E80706" w14:paraId="0FA32296" w14:textId="77777777">
            <w:pPr>
              <w:jc w:val="center"/>
              <w:rPr>
                <w:rFonts w:ascii="Arial" w:hAnsi="Arial" w:cs="Arial"/>
                <w:b/>
              </w:rPr>
            </w:pPr>
            <w:r w:rsidRPr="005F7AD4">
              <w:rPr>
                <w:rFonts w:ascii="Arial" w:hAnsi="Arial" w:cs="Arial"/>
                <w:b/>
                <w:sz w:val="18"/>
                <w:szCs w:val="18"/>
              </w:rPr>
              <w:t>X</w:t>
            </w:r>
          </w:p>
        </w:tc>
      </w:tr>
      <w:tr w:rsidR="00E80706" w:rsidTr="000A266A" w14:paraId="3AE5FDCF" w14:textId="77777777">
        <w:trPr>
          <w:cantSplit/>
          <w:jc w:val="center"/>
        </w:trPr>
        <w:tc>
          <w:tcPr>
            <w:tcW w:w="5624" w:type="dxa"/>
            <w:tcBorders>
              <w:top w:val="single" w:color="000000" w:sz="6" w:space="0"/>
              <w:left w:val="single" w:color="000000" w:sz="12" w:space="0"/>
              <w:bottom w:val="nil"/>
              <w:right w:val="nil"/>
            </w:tcBorders>
          </w:tcPr>
          <w:p w:rsidR="00E80706" w:rsidRDefault="00E80706" w14:paraId="484C5EEF"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Actual Injection Procedure</w:t>
            </w:r>
          </w:p>
        </w:tc>
        <w:tc>
          <w:tcPr>
            <w:tcW w:w="630" w:type="dxa"/>
            <w:tcBorders>
              <w:top w:val="single" w:color="000000" w:sz="6" w:space="0"/>
              <w:left w:val="single" w:color="000000" w:sz="6" w:space="0"/>
              <w:bottom w:val="nil"/>
              <w:right w:val="nil"/>
            </w:tcBorders>
          </w:tcPr>
          <w:p w:rsidRPr="005F7AD4" w:rsidR="00E80706" w:rsidRDefault="00E80706" w14:paraId="34E2CCEB"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7BDC2D5B"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48C50208"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E80706" w:rsidRDefault="00E80706" w14:paraId="48EBBE0E"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E80706" w:rsidRDefault="00E80706" w14:paraId="16E6EE10"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E80706" w:rsidP="00852825" w:rsidRDefault="00E80706" w14:paraId="3447A086" w14:textId="77777777">
            <w:pPr>
              <w:jc w:val="center"/>
              <w:rPr>
                <w:rFonts w:ascii="Arial" w:hAnsi="Arial" w:cs="Arial"/>
                <w:b/>
              </w:rPr>
            </w:pPr>
            <w:r w:rsidRPr="005F7AD4">
              <w:rPr>
                <w:rFonts w:ascii="Arial" w:hAnsi="Arial" w:cs="Arial"/>
                <w:b/>
                <w:sz w:val="18"/>
                <w:szCs w:val="18"/>
              </w:rPr>
              <w:t>X</w:t>
            </w:r>
          </w:p>
        </w:tc>
      </w:tr>
      <w:tr w:rsidR="00E80706" w:rsidTr="000A266A" w14:paraId="034AF128" w14:textId="77777777">
        <w:trPr>
          <w:cantSplit/>
          <w:jc w:val="center"/>
        </w:trPr>
        <w:tc>
          <w:tcPr>
            <w:tcW w:w="5624" w:type="dxa"/>
            <w:tcBorders>
              <w:top w:val="single" w:color="000000" w:sz="6" w:space="0"/>
              <w:left w:val="single" w:color="000000" w:sz="12" w:space="0"/>
              <w:bottom w:val="nil"/>
              <w:right w:val="nil"/>
            </w:tcBorders>
          </w:tcPr>
          <w:p w:rsidR="00E80706" w:rsidRDefault="00E80706" w14:paraId="2446D2D4"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Hydrogeologic Compatibility/ Compatibility of Well Materials</w:t>
            </w:r>
          </w:p>
        </w:tc>
        <w:tc>
          <w:tcPr>
            <w:tcW w:w="630" w:type="dxa"/>
            <w:tcBorders>
              <w:top w:val="single" w:color="000000" w:sz="6" w:space="0"/>
              <w:left w:val="single" w:color="000000" w:sz="6" w:space="0"/>
              <w:bottom w:val="nil"/>
              <w:right w:val="nil"/>
            </w:tcBorders>
          </w:tcPr>
          <w:p w:rsidRPr="005F7AD4" w:rsidR="00E80706" w:rsidRDefault="00E80706" w14:paraId="4C12E6AE"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0C288EFC"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0B0210FF" w14:textId="77777777">
            <w:pPr>
              <w:tabs>
                <w:tab w:val="left" w:pos="-1080"/>
                <w:tab w:val="left" w:pos="-720"/>
              </w:tabs>
              <w:spacing w:before="32"/>
              <w:rPr>
                <w:rFonts w:ascii="Arial" w:hAnsi="Arial" w:cs="Arial"/>
                <w:b/>
                <w:sz w:val="18"/>
                <w:szCs w:val="18"/>
              </w:rPr>
            </w:pPr>
          </w:p>
        </w:tc>
        <w:tc>
          <w:tcPr>
            <w:tcW w:w="720" w:type="dxa"/>
            <w:tcBorders>
              <w:top w:val="single" w:color="000000" w:sz="6" w:space="0"/>
              <w:left w:val="single" w:color="000000" w:sz="6" w:space="0"/>
              <w:bottom w:val="nil"/>
              <w:right w:val="nil"/>
            </w:tcBorders>
          </w:tcPr>
          <w:p w:rsidRPr="005F7AD4" w:rsidR="00E80706" w:rsidRDefault="00E80706" w14:paraId="6952C9FF"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E80706" w:rsidRDefault="00E80706" w14:paraId="281C20CB"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E80706" w:rsidP="00852825" w:rsidRDefault="00E80706" w14:paraId="5A22C776" w14:textId="77777777">
            <w:pPr>
              <w:jc w:val="center"/>
              <w:rPr>
                <w:rFonts w:ascii="Arial" w:hAnsi="Arial" w:cs="Arial"/>
                <w:b/>
              </w:rPr>
            </w:pPr>
            <w:r w:rsidRPr="005F7AD4">
              <w:rPr>
                <w:rFonts w:ascii="Arial" w:hAnsi="Arial" w:cs="Arial"/>
                <w:b/>
                <w:sz w:val="18"/>
                <w:szCs w:val="18"/>
              </w:rPr>
              <w:t>X</w:t>
            </w:r>
          </w:p>
        </w:tc>
      </w:tr>
      <w:tr w:rsidR="00E80706" w:rsidTr="000A266A" w14:paraId="2FEDBE5B" w14:textId="77777777">
        <w:trPr>
          <w:cantSplit/>
          <w:jc w:val="center"/>
        </w:trPr>
        <w:tc>
          <w:tcPr>
            <w:tcW w:w="5624" w:type="dxa"/>
            <w:tcBorders>
              <w:top w:val="single" w:color="000000" w:sz="6" w:space="0"/>
              <w:left w:val="single" w:color="000000" w:sz="12" w:space="0"/>
              <w:bottom w:val="nil"/>
              <w:right w:val="nil"/>
            </w:tcBorders>
          </w:tcPr>
          <w:p w:rsidR="00E80706" w:rsidRDefault="00E80706" w14:paraId="6D124599"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Status of Corrective Action</w:t>
            </w:r>
          </w:p>
        </w:tc>
        <w:tc>
          <w:tcPr>
            <w:tcW w:w="630" w:type="dxa"/>
            <w:tcBorders>
              <w:top w:val="single" w:color="000000" w:sz="6" w:space="0"/>
              <w:left w:val="single" w:color="000000" w:sz="6" w:space="0"/>
              <w:bottom w:val="nil"/>
              <w:right w:val="nil"/>
            </w:tcBorders>
          </w:tcPr>
          <w:p w:rsidRPr="005F7AD4" w:rsidR="00E80706" w:rsidRDefault="00E80706" w14:paraId="7104F604"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665EFCE6"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6518F0B9"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E80706" w:rsidRDefault="00E80706" w14:paraId="08D7DC00"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nil"/>
              <w:right w:val="single" w:color="000000" w:sz="6" w:space="0"/>
            </w:tcBorders>
          </w:tcPr>
          <w:p w:rsidRPr="005F7AD4" w:rsidR="00E80706" w:rsidRDefault="00E80706" w14:paraId="5C1FA9F7"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E80706" w:rsidP="00852825" w:rsidRDefault="00E80706" w14:paraId="45C84AE3" w14:textId="77777777">
            <w:pPr>
              <w:jc w:val="center"/>
              <w:rPr>
                <w:rFonts w:ascii="Arial" w:hAnsi="Arial" w:cs="Arial"/>
                <w:b/>
              </w:rPr>
            </w:pPr>
            <w:r w:rsidRPr="005F7AD4">
              <w:rPr>
                <w:rFonts w:ascii="Arial" w:hAnsi="Arial" w:cs="Arial"/>
                <w:b/>
                <w:sz w:val="18"/>
                <w:szCs w:val="18"/>
              </w:rPr>
              <w:t>X</w:t>
            </w:r>
          </w:p>
        </w:tc>
      </w:tr>
      <w:tr w:rsidR="00E80706" w:rsidTr="00873C9F" w14:paraId="4B855EF5" w14:textId="77777777">
        <w:trPr>
          <w:cantSplit/>
          <w:jc w:val="center"/>
        </w:trPr>
        <w:tc>
          <w:tcPr>
            <w:tcW w:w="9676" w:type="dxa"/>
            <w:gridSpan w:val="7"/>
            <w:tcBorders>
              <w:top w:val="single" w:color="000000" w:sz="6" w:space="0"/>
              <w:left w:val="single" w:color="000000" w:sz="12" w:space="0"/>
              <w:bottom w:val="nil"/>
              <w:right w:val="single" w:color="000000" w:sz="12" w:space="0"/>
            </w:tcBorders>
          </w:tcPr>
          <w:p w:rsidRPr="005F7AD4" w:rsidR="00E80706" w:rsidRDefault="00E80706" w14:paraId="4EAC855F" w14:textId="77777777">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b/>
                <w:bCs/>
                <w:sz w:val="18"/>
                <w:szCs w:val="18"/>
              </w:rPr>
            </w:pPr>
            <w:r w:rsidRPr="005F7AD4">
              <w:rPr>
                <w:rFonts w:ascii="Arial" w:hAnsi="Arial" w:cs="Arial"/>
                <w:b/>
                <w:bCs/>
                <w:sz w:val="18"/>
                <w:szCs w:val="18"/>
              </w:rPr>
              <w:t xml:space="preserve"> Monitoring and Reporting</w:t>
            </w:r>
          </w:p>
        </w:tc>
      </w:tr>
      <w:tr w:rsidR="00E80706" w:rsidTr="000A266A" w14:paraId="2B167AE0" w14:textId="77777777">
        <w:trPr>
          <w:cantSplit/>
          <w:jc w:val="center"/>
        </w:trPr>
        <w:tc>
          <w:tcPr>
            <w:tcW w:w="5624" w:type="dxa"/>
            <w:tcBorders>
              <w:top w:val="single" w:color="000000" w:sz="6" w:space="0"/>
              <w:left w:val="single" w:color="000000" w:sz="12" w:space="0"/>
              <w:bottom w:val="nil"/>
              <w:right w:val="nil"/>
            </w:tcBorders>
          </w:tcPr>
          <w:p w:rsidR="00E80706" w:rsidP="004A5766" w:rsidRDefault="00E80706" w14:paraId="5698C7DA"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Chemical Composition of Injectate</w:t>
            </w:r>
          </w:p>
        </w:tc>
        <w:tc>
          <w:tcPr>
            <w:tcW w:w="630" w:type="dxa"/>
            <w:tcBorders>
              <w:top w:val="single" w:color="000000" w:sz="6" w:space="0"/>
              <w:left w:val="single" w:color="000000" w:sz="6" w:space="0"/>
              <w:bottom w:val="nil"/>
              <w:right w:val="nil"/>
            </w:tcBorders>
          </w:tcPr>
          <w:p w:rsidRPr="005F7AD4" w:rsidR="00E80706" w:rsidRDefault="00E80706" w14:paraId="3E37D0C9"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7E5179A5"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16B4ABDA"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E80706" w:rsidRDefault="00E80706" w14:paraId="2C3175E1"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E80706" w:rsidRDefault="00E80706" w14:paraId="00840E9C" w14:textId="77777777">
            <w:pPr>
              <w:tabs>
                <w:tab w:val="left" w:pos="-1080"/>
                <w:tab w:val="left" w:pos="-72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nil"/>
              <w:right w:val="single" w:color="000000" w:sz="12" w:space="0"/>
            </w:tcBorders>
          </w:tcPr>
          <w:p w:rsidRPr="005F7AD4" w:rsidR="00E80706" w:rsidP="00852825" w:rsidRDefault="00E80706" w14:paraId="6531304A" w14:textId="77777777">
            <w:pPr>
              <w:jc w:val="center"/>
              <w:rPr>
                <w:rFonts w:ascii="Arial" w:hAnsi="Arial" w:cs="Arial"/>
                <w:b/>
              </w:rPr>
            </w:pPr>
            <w:r w:rsidRPr="005F7AD4">
              <w:rPr>
                <w:rFonts w:ascii="Arial" w:hAnsi="Arial" w:cs="Arial"/>
                <w:b/>
                <w:sz w:val="18"/>
                <w:szCs w:val="18"/>
              </w:rPr>
              <w:t>X</w:t>
            </w:r>
          </w:p>
        </w:tc>
      </w:tr>
      <w:tr w:rsidR="00E80706" w:rsidTr="000A266A" w14:paraId="065AA1A8" w14:textId="77777777">
        <w:trPr>
          <w:cantSplit/>
          <w:jc w:val="center"/>
        </w:trPr>
        <w:tc>
          <w:tcPr>
            <w:tcW w:w="5624" w:type="dxa"/>
            <w:tcBorders>
              <w:top w:val="single" w:color="000000" w:sz="6" w:space="0"/>
              <w:left w:val="single" w:color="000000" w:sz="12" w:space="0"/>
              <w:bottom w:val="nil"/>
              <w:right w:val="nil"/>
            </w:tcBorders>
          </w:tcPr>
          <w:p w:rsidR="00E80706" w:rsidP="004A5766" w:rsidRDefault="00E80706" w14:paraId="1874A936"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Injection Pressure, Volume, &amp; Flow Rate</w:t>
            </w:r>
          </w:p>
        </w:tc>
        <w:tc>
          <w:tcPr>
            <w:tcW w:w="630" w:type="dxa"/>
            <w:tcBorders>
              <w:top w:val="single" w:color="000000" w:sz="6" w:space="0"/>
              <w:left w:val="single" w:color="000000" w:sz="6" w:space="0"/>
              <w:bottom w:val="nil"/>
              <w:right w:val="nil"/>
            </w:tcBorders>
          </w:tcPr>
          <w:p w:rsidRPr="005F7AD4" w:rsidR="00E80706" w:rsidRDefault="00E80706" w14:paraId="4E8C3B2F"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74C7473F"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1C053F8A"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E80706" w:rsidRDefault="00E80706" w14:paraId="10634A28"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E80706" w:rsidRDefault="00E80706" w14:paraId="4C209CC6"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E80706" w:rsidP="00852825" w:rsidRDefault="00E80706" w14:paraId="1A2B3345" w14:textId="77777777">
            <w:pPr>
              <w:jc w:val="center"/>
              <w:rPr>
                <w:rFonts w:ascii="Arial" w:hAnsi="Arial" w:cs="Arial"/>
                <w:b/>
              </w:rPr>
            </w:pPr>
            <w:r w:rsidRPr="005F7AD4">
              <w:rPr>
                <w:rFonts w:ascii="Arial" w:hAnsi="Arial" w:cs="Arial"/>
                <w:b/>
                <w:sz w:val="18"/>
                <w:szCs w:val="18"/>
              </w:rPr>
              <w:t>X</w:t>
            </w:r>
          </w:p>
        </w:tc>
      </w:tr>
      <w:tr w:rsidR="00E80706" w:rsidTr="000A266A" w14:paraId="42BE33C8" w14:textId="77777777">
        <w:trPr>
          <w:cantSplit/>
          <w:jc w:val="center"/>
        </w:trPr>
        <w:tc>
          <w:tcPr>
            <w:tcW w:w="5624" w:type="dxa"/>
            <w:tcBorders>
              <w:top w:val="single" w:color="000000" w:sz="6" w:space="0"/>
              <w:left w:val="single" w:color="000000" w:sz="12" w:space="0"/>
              <w:bottom w:val="nil"/>
              <w:right w:val="nil"/>
            </w:tcBorders>
          </w:tcPr>
          <w:p w:rsidR="00E80706" w:rsidP="004A5766" w:rsidRDefault="00E80706" w14:paraId="5DF8575D"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MIT</w:t>
            </w:r>
            <w:r w:rsidR="00D21761">
              <w:rPr>
                <w:rFonts w:ascii="Arial" w:hAnsi="Arial" w:cs="Arial"/>
                <w:sz w:val="18"/>
                <w:szCs w:val="18"/>
              </w:rPr>
              <w:t xml:space="preserve"> Results</w:t>
            </w:r>
          </w:p>
        </w:tc>
        <w:tc>
          <w:tcPr>
            <w:tcW w:w="630" w:type="dxa"/>
            <w:tcBorders>
              <w:top w:val="single" w:color="000000" w:sz="6" w:space="0"/>
              <w:left w:val="single" w:color="000000" w:sz="6" w:space="0"/>
              <w:bottom w:val="nil"/>
              <w:right w:val="nil"/>
            </w:tcBorders>
          </w:tcPr>
          <w:p w:rsidRPr="005F7AD4" w:rsidR="00E80706" w:rsidRDefault="00E80706" w14:paraId="1B3C6081"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764F06E8"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50C8EE83"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E80706" w:rsidRDefault="00E80706" w14:paraId="4772F7B9"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E80706" w:rsidRDefault="00E80706" w14:paraId="20964FC6"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E80706" w:rsidP="00852825" w:rsidRDefault="00E80706" w14:paraId="417F110F" w14:textId="77777777">
            <w:pPr>
              <w:jc w:val="center"/>
              <w:rPr>
                <w:rFonts w:ascii="Arial" w:hAnsi="Arial" w:cs="Arial"/>
                <w:b/>
              </w:rPr>
            </w:pPr>
            <w:r w:rsidRPr="005F7AD4">
              <w:rPr>
                <w:rFonts w:ascii="Arial" w:hAnsi="Arial" w:cs="Arial"/>
                <w:b/>
                <w:sz w:val="18"/>
                <w:szCs w:val="18"/>
              </w:rPr>
              <w:t>X</w:t>
            </w:r>
          </w:p>
        </w:tc>
      </w:tr>
      <w:tr w:rsidR="00E80706" w:rsidTr="000A266A" w14:paraId="158CAD56" w14:textId="77777777">
        <w:trPr>
          <w:cantSplit/>
          <w:jc w:val="center"/>
        </w:trPr>
        <w:tc>
          <w:tcPr>
            <w:tcW w:w="5624" w:type="dxa"/>
            <w:tcBorders>
              <w:top w:val="single" w:color="000000" w:sz="6" w:space="0"/>
              <w:left w:val="single" w:color="000000" w:sz="12" w:space="0"/>
              <w:bottom w:val="nil"/>
              <w:right w:val="nil"/>
            </w:tcBorders>
          </w:tcPr>
          <w:p w:rsidR="00E80706" w:rsidP="004A5766" w:rsidRDefault="00E80706" w14:paraId="15D55680"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Ambient </w:t>
            </w:r>
            <w:r w:rsidR="005308F6">
              <w:rPr>
                <w:rFonts w:ascii="Arial" w:hAnsi="Arial" w:cs="Arial"/>
                <w:sz w:val="18"/>
                <w:szCs w:val="18"/>
              </w:rPr>
              <w:t xml:space="preserve">Ground Water Quality </w:t>
            </w:r>
            <w:r>
              <w:rPr>
                <w:rFonts w:ascii="Arial" w:hAnsi="Arial" w:cs="Arial"/>
                <w:sz w:val="18"/>
                <w:szCs w:val="18"/>
              </w:rPr>
              <w:t>Monitoring</w:t>
            </w:r>
            <w:r w:rsidR="00D21761">
              <w:rPr>
                <w:rFonts w:ascii="Arial" w:hAnsi="Arial" w:cs="Arial"/>
                <w:sz w:val="18"/>
                <w:szCs w:val="18"/>
              </w:rPr>
              <w:t xml:space="preserve"> Results</w:t>
            </w:r>
          </w:p>
        </w:tc>
        <w:tc>
          <w:tcPr>
            <w:tcW w:w="630" w:type="dxa"/>
            <w:tcBorders>
              <w:top w:val="single" w:color="000000" w:sz="6" w:space="0"/>
              <w:left w:val="single" w:color="000000" w:sz="6" w:space="0"/>
              <w:bottom w:val="nil"/>
              <w:right w:val="nil"/>
            </w:tcBorders>
          </w:tcPr>
          <w:p w:rsidRPr="005F7AD4" w:rsidR="00E80706" w:rsidRDefault="00E80706" w14:paraId="346433FC"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032B08F7"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2503AAF9" w14:textId="77777777">
            <w:pPr>
              <w:tabs>
                <w:tab w:val="left" w:pos="-1080"/>
                <w:tab w:val="left" w:pos="-720"/>
              </w:tabs>
              <w:spacing w:before="32"/>
              <w:rPr>
                <w:rFonts w:ascii="Arial" w:hAnsi="Arial" w:cs="Arial"/>
                <w:b/>
                <w:sz w:val="18"/>
                <w:szCs w:val="18"/>
              </w:rPr>
            </w:pPr>
          </w:p>
        </w:tc>
        <w:tc>
          <w:tcPr>
            <w:tcW w:w="720" w:type="dxa"/>
            <w:tcBorders>
              <w:top w:val="single" w:color="000000" w:sz="6" w:space="0"/>
              <w:left w:val="single" w:color="000000" w:sz="6" w:space="0"/>
              <w:bottom w:val="nil"/>
              <w:right w:val="nil"/>
            </w:tcBorders>
          </w:tcPr>
          <w:p w:rsidRPr="005F7AD4" w:rsidR="00E80706" w:rsidRDefault="00E80706" w14:paraId="18C2D1A0"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single" w:color="000000" w:sz="6" w:space="0"/>
              <w:right w:val="single" w:color="000000" w:sz="6" w:space="0"/>
            </w:tcBorders>
          </w:tcPr>
          <w:p w:rsidRPr="005F7AD4" w:rsidR="00E80706" w:rsidRDefault="00E80706" w14:paraId="04F0B654"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E80706" w:rsidP="00852825" w:rsidRDefault="00E80706" w14:paraId="218F67C5" w14:textId="77777777">
            <w:pPr>
              <w:jc w:val="center"/>
              <w:rPr>
                <w:rFonts w:ascii="Arial" w:hAnsi="Arial" w:cs="Arial"/>
                <w:b/>
              </w:rPr>
            </w:pPr>
            <w:r w:rsidRPr="005F7AD4">
              <w:rPr>
                <w:rFonts w:ascii="Arial" w:hAnsi="Arial" w:cs="Arial"/>
                <w:b/>
                <w:sz w:val="18"/>
                <w:szCs w:val="18"/>
              </w:rPr>
              <w:t>X</w:t>
            </w:r>
          </w:p>
        </w:tc>
      </w:tr>
      <w:tr w:rsidR="00E80706" w:rsidTr="000A266A" w14:paraId="530B9637" w14:textId="77777777">
        <w:trPr>
          <w:cantSplit/>
          <w:jc w:val="center"/>
        </w:trPr>
        <w:tc>
          <w:tcPr>
            <w:tcW w:w="5624" w:type="dxa"/>
            <w:tcBorders>
              <w:top w:val="single" w:color="000000" w:sz="6" w:space="0"/>
              <w:left w:val="single" w:color="000000" w:sz="12" w:space="0"/>
              <w:bottom w:val="nil"/>
              <w:right w:val="nil"/>
            </w:tcBorders>
          </w:tcPr>
          <w:p w:rsidR="00E80706" w:rsidP="004A5766" w:rsidRDefault="00E80706" w14:paraId="50E27BA1"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Pressure Fall-Off Test</w:t>
            </w:r>
            <w:r w:rsidR="00D21761">
              <w:rPr>
                <w:rFonts w:ascii="Arial" w:hAnsi="Arial" w:cs="Arial"/>
                <w:sz w:val="18"/>
                <w:szCs w:val="18"/>
              </w:rPr>
              <w:t xml:space="preserve"> Results</w:t>
            </w:r>
          </w:p>
        </w:tc>
        <w:tc>
          <w:tcPr>
            <w:tcW w:w="630" w:type="dxa"/>
            <w:tcBorders>
              <w:top w:val="single" w:color="000000" w:sz="6" w:space="0"/>
              <w:left w:val="single" w:color="000000" w:sz="6" w:space="0"/>
              <w:bottom w:val="nil"/>
              <w:right w:val="nil"/>
            </w:tcBorders>
          </w:tcPr>
          <w:p w:rsidRPr="005F7AD4" w:rsidR="00E80706" w:rsidRDefault="00E80706" w14:paraId="1BADC2F5"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741CE0F5"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12EEFA70" w14:textId="77777777">
            <w:pPr>
              <w:tabs>
                <w:tab w:val="left" w:pos="-1080"/>
                <w:tab w:val="left" w:pos="-720"/>
              </w:tabs>
              <w:spacing w:before="32"/>
              <w:rPr>
                <w:rFonts w:ascii="Arial" w:hAnsi="Arial" w:cs="Arial"/>
                <w:b/>
                <w:sz w:val="18"/>
                <w:szCs w:val="18"/>
              </w:rPr>
            </w:pPr>
          </w:p>
        </w:tc>
        <w:tc>
          <w:tcPr>
            <w:tcW w:w="720" w:type="dxa"/>
            <w:tcBorders>
              <w:top w:val="single" w:color="000000" w:sz="6" w:space="0"/>
              <w:left w:val="single" w:color="000000" w:sz="6" w:space="0"/>
              <w:bottom w:val="nil"/>
              <w:right w:val="nil"/>
            </w:tcBorders>
          </w:tcPr>
          <w:p w:rsidRPr="005F7AD4" w:rsidR="00E80706" w:rsidRDefault="00E80706" w14:paraId="750A4FA9" w14:textId="77777777">
            <w:pPr>
              <w:tabs>
                <w:tab w:val="left" w:pos="-108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6" w:space="0"/>
            </w:tcBorders>
          </w:tcPr>
          <w:p w:rsidRPr="005F7AD4" w:rsidR="00E80706" w:rsidRDefault="00E80706" w14:paraId="279EF058"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E80706" w:rsidP="00852825" w:rsidRDefault="00E80706" w14:paraId="177733D1" w14:textId="77777777">
            <w:pPr>
              <w:jc w:val="center"/>
              <w:rPr>
                <w:rFonts w:ascii="Arial" w:hAnsi="Arial" w:cs="Arial"/>
                <w:b/>
              </w:rPr>
            </w:pPr>
            <w:r w:rsidRPr="005F7AD4">
              <w:rPr>
                <w:rFonts w:ascii="Arial" w:hAnsi="Arial" w:cs="Arial"/>
                <w:b/>
                <w:sz w:val="18"/>
                <w:szCs w:val="18"/>
              </w:rPr>
              <w:t>X</w:t>
            </w:r>
          </w:p>
        </w:tc>
      </w:tr>
      <w:tr w:rsidR="005308F6" w:rsidTr="000A266A" w14:paraId="271D90B8" w14:textId="77777777">
        <w:trPr>
          <w:cantSplit/>
          <w:jc w:val="center"/>
        </w:trPr>
        <w:tc>
          <w:tcPr>
            <w:tcW w:w="5624" w:type="dxa"/>
            <w:tcBorders>
              <w:top w:val="single" w:color="000000" w:sz="6" w:space="0"/>
              <w:left w:val="single" w:color="000000" w:sz="12" w:space="0"/>
              <w:bottom w:val="nil"/>
              <w:right w:val="nil"/>
            </w:tcBorders>
          </w:tcPr>
          <w:p w:rsidR="005308F6" w:rsidP="004A5766" w:rsidRDefault="002505E7" w14:paraId="7E8EAC25" w14:textId="77777777">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sz w:val="18"/>
                <w:szCs w:val="18"/>
              </w:rPr>
            </w:pPr>
            <w:r>
              <w:rPr>
                <w:rFonts w:ascii="Arial" w:hAnsi="Arial" w:cs="Arial"/>
                <w:sz w:val="18"/>
                <w:szCs w:val="18"/>
              </w:rPr>
              <w:t xml:space="preserve"> </w:t>
            </w:r>
            <w:r w:rsidR="005308F6">
              <w:rPr>
                <w:rFonts w:ascii="Arial" w:hAnsi="Arial" w:cs="Arial"/>
                <w:sz w:val="18"/>
                <w:szCs w:val="18"/>
              </w:rPr>
              <w:t>CO</w:t>
            </w:r>
            <w:r w:rsidRPr="005308F6" w:rsidR="005308F6">
              <w:rPr>
                <w:rFonts w:ascii="Arial" w:hAnsi="Arial" w:cs="Arial"/>
                <w:sz w:val="18"/>
                <w:szCs w:val="18"/>
                <w:vertAlign w:val="subscript"/>
              </w:rPr>
              <w:t>2</w:t>
            </w:r>
            <w:r w:rsidR="005308F6">
              <w:rPr>
                <w:rFonts w:ascii="Arial" w:hAnsi="Arial" w:cs="Arial"/>
                <w:sz w:val="18"/>
                <w:szCs w:val="18"/>
              </w:rPr>
              <w:t xml:space="preserve"> Plume and Pressure Front Tracking</w:t>
            </w:r>
            <w:r w:rsidR="00D21761">
              <w:rPr>
                <w:rFonts w:ascii="Arial" w:hAnsi="Arial" w:cs="Arial"/>
                <w:sz w:val="18"/>
                <w:szCs w:val="18"/>
              </w:rPr>
              <w:t xml:space="preserve"> Data</w:t>
            </w:r>
          </w:p>
        </w:tc>
        <w:tc>
          <w:tcPr>
            <w:tcW w:w="630" w:type="dxa"/>
            <w:tcBorders>
              <w:top w:val="single" w:color="000000" w:sz="6" w:space="0"/>
              <w:left w:val="single" w:color="000000" w:sz="6" w:space="0"/>
              <w:bottom w:val="nil"/>
              <w:right w:val="nil"/>
            </w:tcBorders>
          </w:tcPr>
          <w:p w:rsidRPr="005F7AD4" w:rsidR="005308F6" w:rsidRDefault="005308F6" w14:paraId="426F046C" w14:textId="77777777">
            <w:pPr>
              <w:tabs>
                <w:tab w:val="left" w:pos="-1080"/>
                <w:tab w:val="left" w:pos="-720"/>
              </w:tabs>
              <w:spacing w:before="32"/>
              <w:jc w:val="center"/>
              <w:rPr>
                <w:rFonts w:ascii="Arial" w:hAnsi="Arial" w:cs="Arial"/>
                <w:b/>
                <w:sz w:val="18"/>
                <w:szCs w:val="18"/>
              </w:rPr>
            </w:pPr>
          </w:p>
        </w:tc>
        <w:tc>
          <w:tcPr>
            <w:tcW w:w="630" w:type="dxa"/>
            <w:tcBorders>
              <w:top w:val="single" w:color="000000" w:sz="6" w:space="0"/>
              <w:left w:val="single" w:color="000000" w:sz="6" w:space="0"/>
              <w:bottom w:val="nil"/>
              <w:right w:val="nil"/>
            </w:tcBorders>
          </w:tcPr>
          <w:p w:rsidRPr="005F7AD4" w:rsidR="005308F6" w:rsidRDefault="005308F6" w14:paraId="38097C2D" w14:textId="77777777">
            <w:pPr>
              <w:tabs>
                <w:tab w:val="left" w:pos="-1080"/>
                <w:tab w:val="left" w:pos="-720"/>
              </w:tabs>
              <w:spacing w:before="32"/>
              <w:jc w:val="center"/>
              <w:rPr>
                <w:rFonts w:ascii="Arial" w:hAnsi="Arial" w:cs="Arial"/>
                <w:b/>
                <w:sz w:val="18"/>
                <w:szCs w:val="18"/>
              </w:rPr>
            </w:pPr>
          </w:p>
        </w:tc>
        <w:tc>
          <w:tcPr>
            <w:tcW w:w="630" w:type="dxa"/>
            <w:tcBorders>
              <w:top w:val="single" w:color="000000" w:sz="6" w:space="0"/>
              <w:left w:val="single" w:color="000000" w:sz="6" w:space="0"/>
              <w:bottom w:val="nil"/>
              <w:right w:val="nil"/>
            </w:tcBorders>
          </w:tcPr>
          <w:p w:rsidRPr="005F7AD4" w:rsidR="005308F6" w:rsidRDefault="005308F6" w14:paraId="5EED9520" w14:textId="77777777">
            <w:pPr>
              <w:tabs>
                <w:tab w:val="left" w:pos="-1080"/>
                <w:tab w:val="left" w:pos="-720"/>
              </w:tabs>
              <w:spacing w:before="32"/>
              <w:rPr>
                <w:rFonts w:ascii="Arial" w:hAnsi="Arial" w:cs="Arial"/>
                <w:b/>
                <w:sz w:val="18"/>
                <w:szCs w:val="18"/>
              </w:rPr>
            </w:pPr>
          </w:p>
        </w:tc>
        <w:tc>
          <w:tcPr>
            <w:tcW w:w="720" w:type="dxa"/>
            <w:tcBorders>
              <w:top w:val="single" w:color="000000" w:sz="6" w:space="0"/>
              <w:left w:val="single" w:color="000000" w:sz="6" w:space="0"/>
              <w:bottom w:val="nil"/>
              <w:right w:val="nil"/>
            </w:tcBorders>
          </w:tcPr>
          <w:p w:rsidRPr="005F7AD4" w:rsidR="005308F6" w:rsidRDefault="005308F6" w14:paraId="5B7ED11A" w14:textId="77777777">
            <w:pPr>
              <w:tabs>
                <w:tab w:val="left" w:pos="-108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6" w:space="0"/>
            </w:tcBorders>
          </w:tcPr>
          <w:p w:rsidRPr="005F7AD4" w:rsidR="005308F6" w:rsidRDefault="005308F6" w14:paraId="2B28C28A" w14:textId="77777777">
            <w:pPr>
              <w:tabs>
                <w:tab w:val="left" w:pos="-1080"/>
                <w:tab w:val="left" w:pos="-720"/>
                <w:tab w:val="left" w:pos="720"/>
              </w:tabs>
              <w:spacing w:before="32"/>
              <w:rPr>
                <w:rFonts w:ascii="Arial" w:hAnsi="Arial" w:cs="Arial"/>
                <w:b/>
                <w:sz w:val="18"/>
                <w:szCs w:val="18"/>
              </w:rPr>
            </w:pPr>
          </w:p>
        </w:tc>
        <w:tc>
          <w:tcPr>
            <w:tcW w:w="721" w:type="dxa"/>
            <w:tcBorders>
              <w:top w:val="single" w:color="000000" w:sz="6" w:space="0"/>
              <w:left w:val="single" w:color="000000" w:sz="6" w:space="0"/>
              <w:bottom w:val="nil"/>
              <w:right w:val="single" w:color="000000" w:sz="12" w:space="0"/>
            </w:tcBorders>
          </w:tcPr>
          <w:p w:rsidRPr="005F7AD4" w:rsidR="005308F6" w:rsidP="00852825" w:rsidRDefault="005308F6" w14:paraId="55BBF7C8" w14:textId="77777777">
            <w:pPr>
              <w:jc w:val="center"/>
              <w:rPr>
                <w:rFonts w:ascii="Arial" w:hAnsi="Arial" w:cs="Arial"/>
                <w:b/>
                <w:sz w:val="18"/>
                <w:szCs w:val="18"/>
              </w:rPr>
            </w:pPr>
            <w:r w:rsidRPr="005F7AD4">
              <w:rPr>
                <w:rFonts w:ascii="Arial" w:hAnsi="Arial" w:cs="Arial"/>
                <w:b/>
                <w:sz w:val="18"/>
                <w:szCs w:val="18"/>
              </w:rPr>
              <w:t>X</w:t>
            </w:r>
          </w:p>
        </w:tc>
      </w:tr>
      <w:tr w:rsidR="00E80706" w:rsidTr="00873C9F" w14:paraId="701431E2" w14:textId="77777777">
        <w:trPr>
          <w:cantSplit/>
          <w:jc w:val="center"/>
        </w:trPr>
        <w:tc>
          <w:tcPr>
            <w:tcW w:w="9676" w:type="dxa"/>
            <w:gridSpan w:val="7"/>
            <w:tcBorders>
              <w:top w:val="single" w:color="000000" w:sz="6" w:space="0"/>
              <w:left w:val="single" w:color="000000" w:sz="12" w:space="0"/>
              <w:bottom w:val="nil"/>
              <w:right w:val="single" w:color="000000" w:sz="12" w:space="0"/>
            </w:tcBorders>
          </w:tcPr>
          <w:p w:rsidRPr="005F7AD4" w:rsidR="00E80706" w:rsidRDefault="00E80706" w14:paraId="3445AD40" w14:textId="77777777">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b/>
                <w:bCs/>
                <w:sz w:val="18"/>
                <w:szCs w:val="18"/>
              </w:rPr>
            </w:pPr>
            <w:r w:rsidRPr="005F7AD4">
              <w:rPr>
                <w:rFonts w:ascii="Arial" w:hAnsi="Arial" w:cs="Arial"/>
                <w:b/>
                <w:bCs/>
                <w:sz w:val="18"/>
                <w:szCs w:val="18"/>
              </w:rPr>
              <w:t xml:space="preserve"> Recordkeeping</w:t>
            </w:r>
          </w:p>
        </w:tc>
      </w:tr>
      <w:tr w:rsidR="00E80706" w:rsidTr="000A266A" w14:paraId="522E9458" w14:textId="77777777">
        <w:trPr>
          <w:cantSplit/>
          <w:jc w:val="center"/>
        </w:trPr>
        <w:tc>
          <w:tcPr>
            <w:tcW w:w="5624" w:type="dxa"/>
            <w:tcBorders>
              <w:top w:val="single" w:color="000000" w:sz="6" w:space="0"/>
              <w:left w:val="single" w:color="000000" w:sz="12" w:space="0"/>
              <w:bottom w:val="nil"/>
              <w:right w:val="nil"/>
            </w:tcBorders>
          </w:tcPr>
          <w:p w:rsidR="00E80706" w:rsidRDefault="00E80706" w14:paraId="51CAAFCC"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Retain Monitoring, Testing, Permitting Records </w:t>
            </w:r>
          </w:p>
        </w:tc>
        <w:tc>
          <w:tcPr>
            <w:tcW w:w="630" w:type="dxa"/>
            <w:tcBorders>
              <w:top w:val="single" w:color="000000" w:sz="6" w:space="0"/>
              <w:left w:val="single" w:color="000000" w:sz="6" w:space="0"/>
              <w:bottom w:val="nil"/>
              <w:right w:val="nil"/>
            </w:tcBorders>
          </w:tcPr>
          <w:p w:rsidRPr="005F7AD4" w:rsidR="00E80706" w:rsidRDefault="00E80706" w14:paraId="67C71952"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5C23546D"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nil"/>
              <w:right w:val="nil"/>
            </w:tcBorders>
          </w:tcPr>
          <w:p w:rsidRPr="005F7AD4" w:rsidR="00E80706" w:rsidRDefault="00E80706" w14:paraId="526ABA2E"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nil"/>
              <w:right w:val="nil"/>
            </w:tcBorders>
          </w:tcPr>
          <w:p w:rsidRPr="005F7AD4" w:rsidR="00E80706" w:rsidRDefault="00E80706" w14:paraId="637555B8"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6" w:space="0"/>
              <w:bottom w:val="nil"/>
              <w:right w:val="single" w:color="000000" w:sz="4" w:space="0"/>
            </w:tcBorders>
          </w:tcPr>
          <w:p w:rsidRPr="005F7AD4" w:rsidR="00E80706" w:rsidRDefault="00E80706" w14:paraId="276659F9" w14:textId="77777777">
            <w:pPr>
              <w:tabs>
                <w:tab w:val="left" w:pos="-1080"/>
                <w:tab w:val="left" w:pos="-72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4" w:space="0"/>
              <w:bottom w:val="nil"/>
              <w:right w:val="single" w:color="000000" w:sz="12" w:space="0"/>
            </w:tcBorders>
          </w:tcPr>
          <w:p w:rsidRPr="005F7AD4" w:rsidR="00E80706" w:rsidRDefault="00E80706" w14:paraId="1C966F0A" w14:textId="77777777">
            <w:pPr>
              <w:tabs>
                <w:tab w:val="left" w:pos="-1080"/>
                <w:tab w:val="left" w:pos="-720"/>
                <w:tab w:val="left" w:pos="720"/>
              </w:tabs>
              <w:spacing w:before="32"/>
              <w:jc w:val="center"/>
              <w:rPr>
                <w:rFonts w:ascii="Arial" w:hAnsi="Arial" w:cs="Arial"/>
                <w:b/>
                <w:sz w:val="18"/>
                <w:szCs w:val="18"/>
              </w:rPr>
            </w:pPr>
            <w:r w:rsidRPr="005F7AD4">
              <w:rPr>
                <w:rFonts w:ascii="Arial" w:hAnsi="Arial" w:cs="Arial"/>
                <w:b/>
                <w:sz w:val="18"/>
                <w:szCs w:val="18"/>
              </w:rPr>
              <w:t>X</w:t>
            </w:r>
          </w:p>
        </w:tc>
      </w:tr>
      <w:tr w:rsidR="00E80706" w:rsidTr="00873C9F" w14:paraId="28851C16" w14:textId="77777777">
        <w:trPr>
          <w:cantSplit/>
          <w:jc w:val="center"/>
        </w:trPr>
        <w:tc>
          <w:tcPr>
            <w:tcW w:w="9676" w:type="dxa"/>
            <w:gridSpan w:val="7"/>
            <w:tcBorders>
              <w:top w:val="single" w:color="000000" w:sz="6" w:space="0"/>
              <w:left w:val="single" w:color="000000" w:sz="12" w:space="0"/>
              <w:bottom w:val="single" w:color="000000" w:sz="6" w:space="0"/>
              <w:right w:val="single" w:color="000000" w:sz="12" w:space="0"/>
            </w:tcBorders>
          </w:tcPr>
          <w:p w:rsidRPr="005F7AD4" w:rsidR="00E80706" w:rsidRDefault="00E80706" w14:paraId="5FFDD945" w14:textId="77777777">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b/>
                <w:bCs/>
                <w:sz w:val="18"/>
                <w:szCs w:val="18"/>
              </w:rPr>
            </w:pPr>
            <w:r w:rsidRPr="005F7AD4">
              <w:rPr>
                <w:rFonts w:ascii="Arial" w:hAnsi="Arial" w:cs="Arial"/>
                <w:b/>
                <w:bCs/>
                <w:sz w:val="18"/>
                <w:szCs w:val="18"/>
              </w:rPr>
              <w:t xml:space="preserve"> Closure</w:t>
            </w:r>
          </w:p>
        </w:tc>
      </w:tr>
      <w:tr w:rsidR="00E80706" w:rsidTr="000A266A" w14:paraId="77C0EF7C" w14:textId="77777777">
        <w:trPr>
          <w:cantSplit/>
          <w:jc w:val="center"/>
        </w:trPr>
        <w:tc>
          <w:tcPr>
            <w:tcW w:w="5624" w:type="dxa"/>
            <w:tcBorders>
              <w:top w:val="single" w:color="000000" w:sz="6" w:space="0"/>
              <w:left w:val="single" w:color="000000" w:sz="12" w:space="0"/>
              <w:bottom w:val="single" w:color="000000" w:sz="12" w:space="0"/>
              <w:right w:val="nil"/>
            </w:tcBorders>
          </w:tcPr>
          <w:p w:rsidR="00E80706" w:rsidP="004A5766" w:rsidRDefault="00E80706" w14:paraId="159340AD" w14:textId="77777777">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Closure Report </w:t>
            </w:r>
          </w:p>
        </w:tc>
        <w:tc>
          <w:tcPr>
            <w:tcW w:w="630" w:type="dxa"/>
            <w:tcBorders>
              <w:top w:val="single" w:color="000000" w:sz="6" w:space="0"/>
              <w:left w:val="single" w:color="000000" w:sz="6" w:space="0"/>
              <w:bottom w:val="single" w:color="000000" w:sz="12" w:space="0"/>
              <w:right w:val="nil"/>
            </w:tcBorders>
          </w:tcPr>
          <w:p w:rsidRPr="005F7AD4" w:rsidR="00E80706" w:rsidRDefault="00E80706" w14:paraId="4D24E7AA"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single" w:color="000000" w:sz="12" w:space="0"/>
              <w:right w:val="nil"/>
            </w:tcBorders>
          </w:tcPr>
          <w:p w:rsidRPr="005F7AD4" w:rsidR="00E80706" w:rsidRDefault="00E80706" w14:paraId="1BD85527"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color="000000" w:sz="6" w:space="0"/>
              <w:left w:val="single" w:color="000000" w:sz="6" w:space="0"/>
              <w:bottom w:val="single" w:color="000000" w:sz="12" w:space="0"/>
              <w:right w:val="nil"/>
            </w:tcBorders>
          </w:tcPr>
          <w:p w:rsidRPr="005F7AD4" w:rsidR="00E80706" w:rsidRDefault="00E80706" w14:paraId="55477E53"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color="000000" w:sz="6" w:space="0"/>
              <w:left w:val="single" w:color="000000" w:sz="6" w:space="0"/>
              <w:bottom w:val="single" w:color="000000" w:sz="12" w:space="0"/>
              <w:right w:val="single" w:color="000000" w:sz="4" w:space="0"/>
            </w:tcBorders>
          </w:tcPr>
          <w:p w:rsidRPr="005F7AD4" w:rsidR="00E80706" w:rsidRDefault="00E80706" w14:paraId="32C62918" w14:textId="77777777">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color="000000" w:sz="6" w:space="0"/>
              <w:left w:val="single" w:color="000000" w:sz="4" w:space="0"/>
              <w:bottom w:val="single" w:color="000000" w:sz="12" w:space="0"/>
              <w:right w:val="single" w:color="000000" w:sz="4" w:space="0"/>
            </w:tcBorders>
          </w:tcPr>
          <w:p w:rsidRPr="005F7AD4" w:rsidR="00E80706" w:rsidRDefault="00E80706" w14:paraId="7723499E" w14:textId="77777777">
            <w:pPr>
              <w:tabs>
                <w:tab w:val="left" w:pos="-1080"/>
                <w:tab w:val="left" w:pos="-720"/>
                <w:tab w:val="left" w:pos="720"/>
              </w:tabs>
              <w:spacing w:before="32"/>
              <w:jc w:val="center"/>
              <w:rPr>
                <w:rFonts w:ascii="Arial" w:hAnsi="Arial" w:cs="Arial"/>
                <w:b/>
              </w:rPr>
            </w:pPr>
          </w:p>
        </w:tc>
        <w:tc>
          <w:tcPr>
            <w:tcW w:w="721" w:type="dxa"/>
            <w:tcBorders>
              <w:top w:val="single" w:color="000000" w:sz="6" w:space="0"/>
              <w:left w:val="single" w:color="000000" w:sz="4" w:space="0"/>
              <w:bottom w:val="single" w:color="000000" w:sz="12" w:space="0"/>
              <w:right w:val="single" w:color="000000" w:sz="12" w:space="0"/>
            </w:tcBorders>
          </w:tcPr>
          <w:p w:rsidRPr="005F7AD4" w:rsidR="00E80706" w:rsidRDefault="00E80706" w14:paraId="1FCC32AE" w14:textId="77777777">
            <w:pPr>
              <w:tabs>
                <w:tab w:val="left" w:pos="-1080"/>
                <w:tab w:val="left" w:pos="-720"/>
                <w:tab w:val="left" w:pos="720"/>
              </w:tabs>
              <w:spacing w:before="32"/>
              <w:jc w:val="center"/>
              <w:rPr>
                <w:rFonts w:ascii="Arial" w:hAnsi="Arial" w:cs="Arial"/>
                <w:b/>
              </w:rPr>
            </w:pPr>
            <w:r w:rsidRPr="005F7AD4">
              <w:rPr>
                <w:rFonts w:ascii="Arial" w:hAnsi="Arial" w:cs="Arial"/>
                <w:b/>
                <w:sz w:val="18"/>
                <w:szCs w:val="18"/>
              </w:rPr>
              <w:t>X</w:t>
            </w:r>
          </w:p>
        </w:tc>
      </w:tr>
      <w:tr w:rsidR="00E80706" w:rsidTr="00535D3F" w14:paraId="554C2B89" w14:textId="77777777">
        <w:trPr>
          <w:cantSplit/>
          <w:jc w:val="center"/>
        </w:trPr>
        <w:tc>
          <w:tcPr>
            <w:tcW w:w="8955" w:type="dxa"/>
            <w:gridSpan w:val="6"/>
            <w:tcBorders>
              <w:top w:val="single" w:color="000000" w:sz="12" w:space="0"/>
            </w:tcBorders>
          </w:tcPr>
          <w:p w:rsidR="00E80706" w:rsidRDefault="00E80706" w14:paraId="3FB063AE" w14:textId="77777777">
            <w:pPr>
              <w:tabs>
                <w:tab w:val="left" w:pos="-1080"/>
                <w:tab w:val="left" w:pos="-720"/>
                <w:tab w:val="left" w:pos="720"/>
              </w:tabs>
              <w:spacing w:before="32"/>
              <w:rPr>
                <w:rFonts w:ascii="Arial" w:hAnsi="Arial" w:cs="Arial"/>
                <w:sz w:val="18"/>
                <w:szCs w:val="18"/>
              </w:rPr>
            </w:pPr>
            <w:r>
              <w:rPr>
                <w:rFonts w:ascii="Arial" w:hAnsi="Arial" w:cs="Arial"/>
                <w:sz w:val="18"/>
                <w:szCs w:val="18"/>
              </w:rPr>
              <w:t xml:space="preserve"> * </w:t>
            </w:r>
            <w:r w:rsidRPr="00AF41AC">
              <w:rPr>
                <w:rFonts w:ascii="Arial" w:hAnsi="Arial" w:cs="Arial"/>
                <w:sz w:val="16"/>
                <w:szCs w:val="16"/>
              </w:rPr>
              <w:t>Operators of rule-authorized Class V wells will submit inventory information only; Class V wells that are issued permits will be subject to the other paperwork requirements listed.</w:t>
            </w:r>
          </w:p>
        </w:tc>
        <w:tc>
          <w:tcPr>
            <w:tcW w:w="721" w:type="dxa"/>
            <w:tcBorders>
              <w:top w:val="single" w:color="000000" w:sz="12" w:space="0"/>
            </w:tcBorders>
          </w:tcPr>
          <w:p w:rsidR="00E80706" w:rsidRDefault="00E80706" w14:paraId="6CECD8F5" w14:textId="77777777">
            <w:pPr>
              <w:tabs>
                <w:tab w:val="left" w:pos="-1080"/>
                <w:tab w:val="left" w:pos="-720"/>
                <w:tab w:val="left" w:pos="720"/>
              </w:tabs>
              <w:spacing w:before="32"/>
              <w:rPr>
                <w:rFonts w:ascii="Arial" w:hAnsi="Arial" w:cs="Arial"/>
                <w:sz w:val="18"/>
                <w:szCs w:val="18"/>
              </w:rPr>
            </w:pPr>
          </w:p>
        </w:tc>
      </w:tr>
    </w:tbl>
    <w:p w:rsidR="00852825" w:rsidP="00E73F90" w:rsidRDefault="00C25838" w14:paraId="662EFC69"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br w:type="page"/>
      </w:r>
      <w:r w:rsidR="00852825">
        <w:rPr>
          <w:sz w:val="24"/>
          <w:szCs w:val="24"/>
        </w:rPr>
        <w:lastRenderedPageBreak/>
        <w:t>•</w:t>
      </w:r>
      <w:r w:rsidR="00852825">
        <w:rPr>
          <w:sz w:val="24"/>
          <w:szCs w:val="24"/>
        </w:rPr>
        <w:tab/>
      </w:r>
      <w:bookmarkStart w:name="_Hlk508628331" w:id="50"/>
      <w:r w:rsidR="00D21761">
        <w:rPr>
          <w:b/>
          <w:bCs/>
          <w:i/>
          <w:iCs/>
          <w:sz w:val="24"/>
          <w:szCs w:val="24"/>
        </w:rPr>
        <w:t xml:space="preserve">Proposed </w:t>
      </w:r>
      <w:bookmarkEnd w:id="50"/>
      <w:r w:rsidR="00D21761">
        <w:rPr>
          <w:b/>
          <w:bCs/>
          <w:i/>
          <w:iCs/>
          <w:sz w:val="24"/>
          <w:szCs w:val="24"/>
        </w:rPr>
        <w:t>O</w:t>
      </w:r>
      <w:r w:rsidR="00852825">
        <w:rPr>
          <w:b/>
          <w:bCs/>
          <w:i/>
          <w:iCs/>
          <w:sz w:val="24"/>
          <w:szCs w:val="24"/>
        </w:rPr>
        <w:t>perating Data:</w:t>
      </w:r>
      <w:r w:rsidR="00F84502">
        <w:rPr>
          <w:sz w:val="24"/>
          <w:szCs w:val="24"/>
        </w:rPr>
        <w:t xml:space="preserve"> </w:t>
      </w:r>
      <w:r w:rsidR="00852825">
        <w:rPr>
          <w:sz w:val="24"/>
          <w:szCs w:val="24"/>
        </w:rPr>
        <w:t>a description of the proposed operation, including rates and volumes of fluids to be injected, injection pressures, and sources and constituent analyses of injection fluids [Classes I, II, III</w:t>
      </w:r>
      <w:r w:rsidR="005F28F3">
        <w:rPr>
          <w:sz w:val="24"/>
          <w:szCs w:val="24"/>
        </w:rPr>
        <w:t>, and VI</w:t>
      </w:r>
      <w:r w:rsidR="00852825">
        <w:rPr>
          <w:sz w:val="24"/>
          <w:szCs w:val="24"/>
        </w:rPr>
        <w:t>];</w:t>
      </w:r>
    </w:p>
    <w:p w:rsidR="00C25838" w:rsidP="00E73F90" w:rsidRDefault="00C25838" w14:paraId="252C097C"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sidR="00D21761">
        <w:rPr>
          <w:b/>
          <w:bCs/>
          <w:i/>
          <w:iCs/>
          <w:sz w:val="24"/>
          <w:szCs w:val="24"/>
        </w:rPr>
        <w:t xml:space="preserve">Proposed </w:t>
      </w:r>
      <w:r>
        <w:rPr>
          <w:b/>
          <w:bCs/>
          <w:i/>
          <w:iCs/>
          <w:sz w:val="24"/>
          <w:szCs w:val="24"/>
        </w:rPr>
        <w:t>Formation Testing Program:</w:t>
      </w:r>
      <w:r w:rsidR="00F84502">
        <w:rPr>
          <w:sz w:val="24"/>
          <w:szCs w:val="24"/>
        </w:rPr>
        <w:t xml:space="preserve"> </w:t>
      </w:r>
      <w:r>
        <w:rPr>
          <w:sz w:val="24"/>
          <w:szCs w:val="24"/>
        </w:rPr>
        <w:t>a description of the proposed formation testing program [Classes I</w:t>
      </w:r>
      <w:r w:rsidR="00A26CE1">
        <w:rPr>
          <w:sz w:val="24"/>
          <w:szCs w:val="24"/>
        </w:rPr>
        <w:t>,</w:t>
      </w:r>
      <w:r>
        <w:rPr>
          <w:sz w:val="24"/>
          <w:szCs w:val="24"/>
        </w:rPr>
        <w:t xml:space="preserve"> III</w:t>
      </w:r>
      <w:r w:rsidR="00A26CE1">
        <w:rPr>
          <w:sz w:val="24"/>
          <w:szCs w:val="24"/>
        </w:rPr>
        <w:t>, and VI</w:t>
      </w:r>
      <w:r>
        <w:rPr>
          <w:sz w:val="24"/>
          <w:szCs w:val="24"/>
        </w:rPr>
        <w:t>, optional for Class II];</w:t>
      </w:r>
    </w:p>
    <w:p w:rsidR="00C25838" w:rsidP="00E73F90" w:rsidRDefault="00C25838" w14:paraId="04437566"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sidR="00D21761">
        <w:rPr>
          <w:b/>
          <w:bCs/>
          <w:i/>
          <w:iCs/>
          <w:sz w:val="24"/>
          <w:szCs w:val="24"/>
        </w:rPr>
        <w:t xml:space="preserve">Proposed </w:t>
      </w:r>
      <w:r>
        <w:rPr>
          <w:b/>
          <w:bCs/>
          <w:i/>
          <w:iCs/>
          <w:sz w:val="24"/>
          <w:szCs w:val="24"/>
        </w:rPr>
        <w:t>Stimulation Program:</w:t>
      </w:r>
      <w:r w:rsidR="00F84502">
        <w:rPr>
          <w:sz w:val="24"/>
          <w:szCs w:val="24"/>
        </w:rPr>
        <w:t xml:space="preserve"> </w:t>
      </w:r>
      <w:r>
        <w:rPr>
          <w:sz w:val="24"/>
          <w:szCs w:val="24"/>
        </w:rPr>
        <w:t>a description of the proposed stimulation program [Classes I</w:t>
      </w:r>
      <w:r w:rsidR="00A26CE1">
        <w:rPr>
          <w:sz w:val="24"/>
          <w:szCs w:val="24"/>
        </w:rPr>
        <w:t>,</w:t>
      </w:r>
      <w:r>
        <w:rPr>
          <w:sz w:val="24"/>
          <w:szCs w:val="24"/>
        </w:rPr>
        <w:t xml:space="preserve"> III</w:t>
      </w:r>
      <w:r w:rsidR="00A26CE1">
        <w:rPr>
          <w:sz w:val="24"/>
          <w:szCs w:val="24"/>
        </w:rPr>
        <w:t>, and VI</w:t>
      </w:r>
      <w:r>
        <w:rPr>
          <w:sz w:val="24"/>
          <w:szCs w:val="24"/>
        </w:rPr>
        <w:t>, optional for Class II];</w:t>
      </w:r>
    </w:p>
    <w:p w:rsidR="00C25838" w:rsidP="00E73F90" w:rsidRDefault="00C25838" w14:paraId="0B6ACED5"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sidR="00D21761">
        <w:rPr>
          <w:b/>
          <w:bCs/>
          <w:i/>
          <w:iCs/>
          <w:sz w:val="24"/>
          <w:szCs w:val="24"/>
        </w:rPr>
        <w:t xml:space="preserve">Proposed </w:t>
      </w:r>
      <w:r>
        <w:rPr>
          <w:b/>
          <w:bCs/>
          <w:i/>
          <w:iCs/>
          <w:sz w:val="24"/>
          <w:szCs w:val="24"/>
        </w:rPr>
        <w:t>Injection Procedures:</w:t>
      </w:r>
      <w:r w:rsidR="00F84502">
        <w:rPr>
          <w:sz w:val="24"/>
          <w:szCs w:val="24"/>
        </w:rPr>
        <w:t xml:space="preserve"> </w:t>
      </w:r>
      <w:r>
        <w:rPr>
          <w:sz w:val="24"/>
          <w:szCs w:val="24"/>
        </w:rPr>
        <w:t>a description of the proposed injection procedure [Classes I</w:t>
      </w:r>
      <w:r w:rsidR="00A26CE1">
        <w:rPr>
          <w:sz w:val="24"/>
          <w:szCs w:val="24"/>
        </w:rPr>
        <w:t>,</w:t>
      </w:r>
      <w:r>
        <w:rPr>
          <w:sz w:val="24"/>
          <w:szCs w:val="24"/>
        </w:rPr>
        <w:t xml:space="preserve"> III</w:t>
      </w:r>
      <w:r w:rsidR="00A26CE1">
        <w:rPr>
          <w:sz w:val="24"/>
          <w:szCs w:val="24"/>
        </w:rPr>
        <w:t>, and VI</w:t>
      </w:r>
      <w:r>
        <w:rPr>
          <w:sz w:val="24"/>
          <w:szCs w:val="24"/>
        </w:rPr>
        <w:t>, optional for Class II];</w:t>
      </w:r>
    </w:p>
    <w:p w:rsidR="00C25838" w:rsidP="00E73F90" w:rsidRDefault="00C25838" w14:paraId="200781DC" w14:textId="25F9F2B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Construction Details:</w:t>
      </w:r>
      <w:r w:rsidR="00F84502">
        <w:rPr>
          <w:sz w:val="24"/>
          <w:szCs w:val="24"/>
        </w:rPr>
        <w:t xml:space="preserve"> </w:t>
      </w:r>
      <w:r>
        <w:rPr>
          <w:sz w:val="24"/>
          <w:szCs w:val="24"/>
        </w:rPr>
        <w:t xml:space="preserve">construction plans, including schematic drawings of the surface and subsurface details of the </w:t>
      </w:r>
      <w:r w:rsidR="00730060">
        <w:rPr>
          <w:sz w:val="24"/>
          <w:szCs w:val="24"/>
        </w:rPr>
        <w:t xml:space="preserve">injection </w:t>
      </w:r>
      <w:r>
        <w:rPr>
          <w:sz w:val="24"/>
          <w:szCs w:val="24"/>
        </w:rPr>
        <w:t>system [Classes I</w:t>
      </w:r>
      <w:r w:rsidR="00A26CE1">
        <w:rPr>
          <w:sz w:val="24"/>
          <w:szCs w:val="24"/>
        </w:rPr>
        <w:t>,</w:t>
      </w:r>
      <w:r>
        <w:rPr>
          <w:sz w:val="24"/>
          <w:szCs w:val="24"/>
        </w:rPr>
        <w:t xml:space="preserve"> II</w:t>
      </w:r>
      <w:r w:rsidR="00A26CE1">
        <w:rPr>
          <w:sz w:val="24"/>
          <w:szCs w:val="24"/>
        </w:rPr>
        <w:t>, and VI</w:t>
      </w:r>
      <w:r>
        <w:rPr>
          <w:sz w:val="24"/>
          <w:szCs w:val="24"/>
        </w:rPr>
        <w:t>];</w:t>
      </w:r>
    </w:p>
    <w:p w:rsidR="00C25838" w:rsidP="00E73F90" w:rsidRDefault="00C25838" w14:paraId="30E3267A"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Changes in Injected Fluid:</w:t>
      </w:r>
      <w:r w:rsidR="00F84502">
        <w:rPr>
          <w:sz w:val="24"/>
          <w:szCs w:val="24"/>
        </w:rPr>
        <w:t xml:space="preserve"> </w:t>
      </w:r>
      <w:r>
        <w:rPr>
          <w:sz w:val="24"/>
          <w:szCs w:val="24"/>
        </w:rPr>
        <w:t>expected changes in pressure, native fluid displacement, and direction of movement of injected fluid [Classes I</w:t>
      </w:r>
      <w:r w:rsidR="00A26CE1">
        <w:rPr>
          <w:sz w:val="24"/>
          <w:szCs w:val="24"/>
        </w:rPr>
        <w:t>,</w:t>
      </w:r>
      <w:r>
        <w:rPr>
          <w:sz w:val="24"/>
          <w:szCs w:val="24"/>
        </w:rPr>
        <w:t xml:space="preserve"> III</w:t>
      </w:r>
      <w:r w:rsidR="00A26CE1">
        <w:rPr>
          <w:sz w:val="24"/>
          <w:szCs w:val="24"/>
        </w:rPr>
        <w:t>, and VI</w:t>
      </w:r>
      <w:r>
        <w:rPr>
          <w:sz w:val="24"/>
          <w:szCs w:val="24"/>
        </w:rPr>
        <w:t>];</w:t>
      </w:r>
    </w:p>
    <w:p w:rsidR="00C25838" w:rsidP="00E73F90" w:rsidRDefault="00C25838" w14:paraId="046D7FB7"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Plans for Well Failures:</w:t>
      </w:r>
      <w:r w:rsidR="00F84502">
        <w:rPr>
          <w:b/>
          <w:bCs/>
          <w:i/>
          <w:iCs/>
          <w:sz w:val="24"/>
          <w:szCs w:val="24"/>
        </w:rPr>
        <w:t xml:space="preserve"> </w:t>
      </w:r>
      <w:r>
        <w:rPr>
          <w:sz w:val="24"/>
          <w:szCs w:val="24"/>
        </w:rPr>
        <w:t>plans for contingency action in the case of shut-ins or well failures [Classes I and III, optional for Class II]</w:t>
      </w:r>
      <w:r w:rsidR="002505E7">
        <w:rPr>
          <w:sz w:val="24"/>
          <w:szCs w:val="24"/>
        </w:rPr>
        <w:t xml:space="preserve"> or </w:t>
      </w:r>
      <w:r w:rsidR="00852825">
        <w:rPr>
          <w:sz w:val="24"/>
          <w:szCs w:val="24"/>
        </w:rPr>
        <w:t xml:space="preserve">an </w:t>
      </w:r>
      <w:r w:rsidR="00EB55CA">
        <w:rPr>
          <w:sz w:val="24"/>
          <w:szCs w:val="24"/>
        </w:rPr>
        <w:t>Emergency and Remedial Response Plan</w:t>
      </w:r>
      <w:r w:rsidR="002505E7">
        <w:rPr>
          <w:sz w:val="24"/>
          <w:szCs w:val="24"/>
        </w:rPr>
        <w:t xml:space="preserve"> [Class VI]</w:t>
      </w:r>
      <w:r>
        <w:rPr>
          <w:sz w:val="24"/>
          <w:szCs w:val="24"/>
        </w:rPr>
        <w:t>;</w:t>
      </w:r>
    </w:p>
    <w:p w:rsidR="00C25838" w:rsidP="00E73F90" w:rsidRDefault="00C25838" w14:paraId="00CC8F27"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Ambient Monitoring Program:</w:t>
      </w:r>
      <w:r w:rsidR="00F84502">
        <w:rPr>
          <w:sz w:val="24"/>
          <w:szCs w:val="24"/>
        </w:rPr>
        <w:t xml:space="preserve"> </w:t>
      </w:r>
      <w:r>
        <w:rPr>
          <w:sz w:val="24"/>
          <w:szCs w:val="24"/>
        </w:rPr>
        <w:t>planned ambient monitoring, including the location of monitoring wells and monitoring devices and the proposed sampling frequency</w:t>
      </w:r>
      <w:r w:rsidR="00D21761">
        <w:rPr>
          <w:sz w:val="24"/>
          <w:szCs w:val="24"/>
        </w:rPr>
        <w:t xml:space="preserve"> [Classes I, III, and VI, optional for Class II]</w:t>
      </w:r>
      <w:r w:rsidR="002505E7">
        <w:rPr>
          <w:sz w:val="24"/>
          <w:szCs w:val="24"/>
        </w:rPr>
        <w:t xml:space="preserve"> and </w:t>
      </w:r>
      <w:r w:rsidR="00966D64">
        <w:rPr>
          <w:sz w:val="24"/>
          <w:szCs w:val="24"/>
        </w:rPr>
        <w:t xml:space="preserve">how </w:t>
      </w:r>
      <w:r w:rsidR="002505E7">
        <w:rPr>
          <w:sz w:val="24"/>
          <w:szCs w:val="24"/>
        </w:rPr>
        <w:t xml:space="preserve">Class VI operators </w:t>
      </w:r>
      <w:r w:rsidR="00966D64">
        <w:rPr>
          <w:sz w:val="24"/>
          <w:szCs w:val="24"/>
        </w:rPr>
        <w:t>will monitor the position of the CO</w:t>
      </w:r>
      <w:r w:rsidRPr="00966D64" w:rsidR="00966D64">
        <w:rPr>
          <w:sz w:val="24"/>
          <w:szCs w:val="24"/>
          <w:vertAlign w:val="subscript"/>
        </w:rPr>
        <w:t>2</w:t>
      </w:r>
      <w:r w:rsidR="00966D64">
        <w:rPr>
          <w:sz w:val="24"/>
          <w:szCs w:val="24"/>
        </w:rPr>
        <w:t xml:space="preserve"> plume and pressure front</w:t>
      </w:r>
      <w:r>
        <w:rPr>
          <w:sz w:val="24"/>
          <w:szCs w:val="24"/>
        </w:rPr>
        <w:t>;</w:t>
      </w:r>
    </w:p>
    <w:p w:rsidR="00C25838" w:rsidP="00E73F90" w:rsidRDefault="00C25838" w14:paraId="076020E1" w14:textId="3ACC839D">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Plugging and Abandonment Plan:</w:t>
      </w:r>
      <w:r w:rsidR="00F84502">
        <w:rPr>
          <w:sz w:val="24"/>
          <w:szCs w:val="24"/>
        </w:rPr>
        <w:t xml:space="preserve"> </w:t>
      </w:r>
      <w:r>
        <w:rPr>
          <w:sz w:val="24"/>
          <w:szCs w:val="24"/>
        </w:rPr>
        <w:t xml:space="preserve">plans for closing the well, including </w:t>
      </w:r>
      <w:r w:rsidR="00454CFB">
        <w:rPr>
          <w:sz w:val="24"/>
          <w:szCs w:val="24"/>
        </w:rPr>
        <w:t xml:space="preserve">the </w:t>
      </w:r>
      <w:r>
        <w:rPr>
          <w:sz w:val="24"/>
          <w:szCs w:val="24"/>
        </w:rPr>
        <w:t xml:space="preserve">type and placement of </w:t>
      </w:r>
      <w:r w:rsidR="00454CFB">
        <w:rPr>
          <w:sz w:val="24"/>
          <w:szCs w:val="24"/>
        </w:rPr>
        <w:t xml:space="preserve">the </w:t>
      </w:r>
      <w:r>
        <w:rPr>
          <w:sz w:val="24"/>
          <w:szCs w:val="24"/>
        </w:rPr>
        <w:t xml:space="preserve">plugs to be used </w:t>
      </w:r>
      <w:r w:rsidR="002505E7">
        <w:rPr>
          <w:sz w:val="24"/>
          <w:szCs w:val="24"/>
        </w:rPr>
        <w:t>on</w:t>
      </w:r>
      <w:r w:rsidR="00AE41C4">
        <w:rPr>
          <w:sz w:val="24"/>
          <w:szCs w:val="24"/>
        </w:rPr>
        <w:t xml:space="preserve"> </w:t>
      </w:r>
      <w:r w:rsidR="00970A5C">
        <w:rPr>
          <w:sz w:val="24"/>
          <w:szCs w:val="24"/>
        </w:rPr>
        <w:t xml:space="preserve">Form </w:t>
      </w:r>
      <w:r w:rsidR="00AE41C4">
        <w:rPr>
          <w:sz w:val="24"/>
          <w:szCs w:val="24"/>
        </w:rPr>
        <w:t>7520-1</w:t>
      </w:r>
      <w:r w:rsidR="004713E1">
        <w:rPr>
          <w:sz w:val="24"/>
          <w:szCs w:val="24"/>
        </w:rPr>
        <w:t>9</w:t>
      </w:r>
      <w:r w:rsidR="00AE41C4">
        <w:rPr>
          <w:sz w:val="24"/>
          <w:szCs w:val="24"/>
        </w:rPr>
        <w:t xml:space="preserve"> or a state equivalent </w:t>
      </w:r>
      <w:r>
        <w:rPr>
          <w:sz w:val="24"/>
          <w:szCs w:val="24"/>
        </w:rPr>
        <w:t xml:space="preserve">[Classes I, II, </w:t>
      </w:r>
      <w:r w:rsidR="00F635A1">
        <w:rPr>
          <w:sz w:val="24"/>
          <w:szCs w:val="24"/>
        </w:rPr>
        <w:t xml:space="preserve">and </w:t>
      </w:r>
      <w:r>
        <w:rPr>
          <w:sz w:val="24"/>
          <w:szCs w:val="24"/>
        </w:rPr>
        <w:t>III]</w:t>
      </w:r>
      <w:r w:rsidR="00E71F53">
        <w:rPr>
          <w:sz w:val="24"/>
          <w:szCs w:val="24"/>
        </w:rPr>
        <w:t xml:space="preserve"> </w:t>
      </w:r>
      <w:r w:rsidR="00454CFB">
        <w:rPr>
          <w:sz w:val="24"/>
          <w:szCs w:val="24"/>
        </w:rPr>
        <w:t xml:space="preserve">or </w:t>
      </w:r>
      <w:r w:rsidR="00F635A1">
        <w:rPr>
          <w:sz w:val="24"/>
          <w:szCs w:val="24"/>
        </w:rPr>
        <w:t>Well Plugging and</w:t>
      </w:r>
      <w:r w:rsidR="00A26CE1">
        <w:rPr>
          <w:sz w:val="24"/>
          <w:szCs w:val="24"/>
        </w:rPr>
        <w:t xml:space="preserve"> </w:t>
      </w:r>
      <w:r w:rsidR="00EB55CA">
        <w:rPr>
          <w:sz w:val="24"/>
          <w:szCs w:val="24"/>
        </w:rPr>
        <w:t>Post Injection Site Care</w:t>
      </w:r>
      <w:r w:rsidR="00A26CE1">
        <w:rPr>
          <w:sz w:val="24"/>
          <w:szCs w:val="24"/>
        </w:rPr>
        <w:t xml:space="preserve"> </w:t>
      </w:r>
      <w:r w:rsidR="00E71F53">
        <w:rPr>
          <w:sz w:val="24"/>
          <w:szCs w:val="24"/>
        </w:rPr>
        <w:t>(PISC)</w:t>
      </w:r>
      <w:r w:rsidR="00A26CE1">
        <w:rPr>
          <w:sz w:val="24"/>
          <w:szCs w:val="24"/>
        </w:rPr>
        <w:t xml:space="preserve"> </w:t>
      </w:r>
      <w:r w:rsidR="00EB55CA">
        <w:rPr>
          <w:sz w:val="24"/>
          <w:szCs w:val="24"/>
        </w:rPr>
        <w:t>and Site Closure Plan</w:t>
      </w:r>
      <w:r w:rsidR="00F635A1">
        <w:rPr>
          <w:sz w:val="24"/>
          <w:szCs w:val="24"/>
        </w:rPr>
        <w:t>s</w:t>
      </w:r>
      <w:r w:rsidR="00EB55CA">
        <w:rPr>
          <w:sz w:val="24"/>
          <w:szCs w:val="24"/>
        </w:rPr>
        <w:t xml:space="preserve"> </w:t>
      </w:r>
      <w:r w:rsidR="002505E7">
        <w:rPr>
          <w:sz w:val="24"/>
          <w:szCs w:val="24"/>
        </w:rPr>
        <w:t>[</w:t>
      </w:r>
      <w:r w:rsidR="00A26CE1">
        <w:rPr>
          <w:sz w:val="24"/>
          <w:szCs w:val="24"/>
        </w:rPr>
        <w:t>Class VI</w:t>
      </w:r>
      <w:r w:rsidR="002505E7">
        <w:rPr>
          <w:sz w:val="24"/>
          <w:szCs w:val="24"/>
        </w:rPr>
        <w:t>]</w:t>
      </w:r>
      <w:r>
        <w:rPr>
          <w:sz w:val="24"/>
          <w:szCs w:val="24"/>
        </w:rPr>
        <w:t>; and</w:t>
      </w:r>
    </w:p>
    <w:p w:rsidR="00C25838" w:rsidP="00E73F90" w:rsidRDefault="00C25838" w14:paraId="00B6711D"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Financial Assurance:</w:t>
      </w:r>
      <w:r w:rsidR="00F84502">
        <w:rPr>
          <w:b/>
          <w:bCs/>
          <w:i/>
          <w:iCs/>
          <w:sz w:val="24"/>
          <w:szCs w:val="24"/>
        </w:rPr>
        <w:t xml:space="preserve"> </w:t>
      </w:r>
      <w:r>
        <w:rPr>
          <w:sz w:val="24"/>
          <w:szCs w:val="24"/>
        </w:rPr>
        <w:t>evidence of financial responsibility for clos</w:t>
      </w:r>
      <w:r w:rsidR="00966D64">
        <w:rPr>
          <w:sz w:val="24"/>
          <w:szCs w:val="24"/>
        </w:rPr>
        <w:t>ing the w</w:t>
      </w:r>
      <w:r>
        <w:rPr>
          <w:sz w:val="24"/>
          <w:szCs w:val="24"/>
        </w:rPr>
        <w:t>e</w:t>
      </w:r>
      <w:r w:rsidR="00966D64">
        <w:rPr>
          <w:sz w:val="24"/>
          <w:szCs w:val="24"/>
        </w:rPr>
        <w:t>ll</w:t>
      </w:r>
      <w:r>
        <w:rPr>
          <w:sz w:val="24"/>
          <w:szCs w:val="24"/>
        </w:rPr>
        <w:t xml:space="preserve"> [Classes I, II, III</w:t>
      </w:r>
      <w:r w:rsidR="00A26CE1">
        <w:rPr>
          <w:sz w:val="24"/>
          <w:szCs w:val="24"/>
        </w:rPr>
        <w:t>, and VI</w:t>
      </w:r>
      <w:r>
        <w:rPr>
          <w:sz w:val="24"/>
          <w:szCs w:val="24"/>
        </w:rPr>
        <w:t>]</w:t>
      </w:r>
      <w:r w:rsidR="00454CFB">
        <w:rPr>
          <w:sz w:val="24"/>
          <w:szCs w:val="24"/>
        </w:rPr>
        <w:t xml:space="preserve"> and for </w:t>
      </w:r>
      <w:r w:rsidR="00966D64">
        <w:rPr>
          <w:sz w:val="24"/>
          <w:szCs w:val="24"/>
        </w:rPr>
        <w:t>corrective action, PISC, and emergency and remedial response</w:t>
      </w:r>
      <w:r w:rsidR="00454CFB">
        <w:rPr>
          <w:sz w:val="24"/>
          <w:szCs w:val="24"/>
        </w:rPr>
        <w:t xml:space="preserve"> [Class VI]</w:t>
      </w:r>
      <w:r w:rsidR="00966D64">
        <w:rPr>
          <w:sz w:val="24"/>
          <w:szCs w:val="24"/>
        </w:rPr>
        <w:t>.</w:t>
      </w:r>
    </w:p>
    <w:p w:rsidR="00C25838" w:rsidRDefault="00C25838" w14:paraId="721E1A22"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07DD77D4" w14:textId="77777777">
      <w:pPr>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Upon approval of the permit application, the operator may begin </w:t>
      </w:r>
      <w:r w:rsidR="00966D64">
        <w:rPr>
          <w:sz w:val="24"/>
          <w:szCs w:val="24"/>
        </w:rPr>
        <w:t>to construct</w:t>
      </w:r>
      <w:r>
        <w:rPr>
          <w:sz w:val="24"/>
          <w:szCs w:val="24"/>
        </w:rPr>
        <w:t xml:space="preserve"> the well</w:t>
      </w:r>
      <w:r w:rsidR="00F84502">
        <w:rPr>
          <w:sz w:val="24"/>
          <w:szCs w:val="24"/>
        </w:rPr>
        <w:t xml:space="preserve">. </w:t>
      </w:r>
      <w:r>
        <w:rPr>
          <w:sz w:val="24"/>
          <w:szCs w:val="24"/>
        </w:rPr>
        <w:t>Following construction, the operator must submit a completion report prior to being authorized to inject</w:t>
      </w:r>
      <w:r w:rsidR="00F84502">
        <w:rPr>
          <w:sz w:val="24"/>
          <w:szCs w:val="24"/>
        </w:rPr>
        <w:t xml:space="preserve">. </w:t>
      </w:r>
      <w:r>
        <w:rPr>
          <w:sz w:val="24"/>
          <w:szCs w:val="24"/>
        </w:rPr>
        <w:t xml:space="preserve">Completion reports must include the following </w:t>
      </w:r>
      <w:r w:rsidR="00966D64">
        <w:rPr>
          <w:sz w:val="24"/>
          <w:szCs w:val="24"/>
        </w:rPr>
        <w:t>information</w:t>
      </w:r>
      <w:r>
        <w:rPr>
          <w:sz w:val="24"/>
          <w:szCs w:val="24"/>
        </w:rPr>
        <w:t>:</w:t>
      </w:r>
    </w:p>
    <w:p w:rsidR="00C25838" w:rsidRDefault="00C25838" w14:paraId="564AA734"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E73F90" w:rsidRDefault="00C25838" w14:paraId="08FD4FA9"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sidR="000B604F">
        <w:rPr>
          <w:sz w:val="24"/>
          <w:szCs w:val="24"/>
        </w:rPr>
        <w:t>R</w:t>
      </w:r>
      <w:r>
        <w:rPr>
          <w:sz w:val="24"/>
          <w:szCs w:val="24"/>
        </w:rPr>
        <w:t xml:space="preserve">esults of deviation checks, </w:t>
      </w:r>
      <w:r w:rsidR="00454CFB">
        <w:rPr>
          <w:sz w:val="24"/>
          <w:szCs w:val="24"/>
        </w:rPr>
        <w:t xml:space="preserve">and </w:t>
      </w:r>
      <w:r>
        <w:rPr>
          <w:sz w:val="24"/>
          <w:szCs w:val="24"/>
        </w:rPr>
        <w:t>other logs and tests [Classes I, II, III</w:t>
      </w:r>
      <w:r w:rsidR="00A26CE1">
        <w:rPr>
          <w:sz w:val="24"/>
          <w:szCs w:val="24"/>
        </w:rPr>
        <w:t>, and VI</w:t>
      </w:r>
      <w:r>
        <w:rPr>
          <w:sz w:val="24"/>
          <w:szCs w:val="24"/>
        </w:rPr>
        <w:t>];</w:t>
      </w:r>
    </w:p>
    <w:p w:rsidR="00C25838" w:rsidP="00E73F90" w:rsidRDefault="00C25838" w14:paraId="1DD3CBCF"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t>Demonstration of mechanical integrity (i.e., the results of a casing pressure test; radioactive tracer survey of the bottom-hole cement; and/or temperature, noise, or other logs to check for movement along the borehole) [Classes I, II, III</w:t>
      </w:r>
      <w:r w:rsidR="00A26CE1">
        <w:rPr>
          <w:sz w:val="24"/>
          <w:szCs w:val="24"/>
        </w:rPr>
        <w:t>, and VI</w:t>
      </w:r>
      <w:r>
        <w:rPr>
          <w:sz w:val="24"/>
          <w:szCs w:val="24"/>
        </w:rPr>
        <w:t>];</w:t>
      </w:r>
    </w:p>
    <w:p w:rsidR="00C25838" w:rsidP="00E73F90" w:rsidRDefault="00C25838" w14:paraId="3875CBFF"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t>Anticipated maximum injection pressure and flow rate [Classes I, II, III</w:t>
      </w:r>
      <w:r w:rsidR="00A26CE1">
        <w:rPr>
          <w:sz w:val="24"/>
          <w:szCs w:val="24"/>
        </w:rPr>
        <w:t>, and VI</w:t>
      </w:r>
      <w:r>
        <w:rPr>
          <w:sz w:val="24"/>
          <w:szCs w:val="24"/>
        </w:rPr>
        <w:t>];</w:t>
      </w:r>
    </w:p>
    <w:p w:rsidR="00C25838" w:rsidP="00E73F90" w:rsidRDefault="00C25838" w14:paraId="526A015A"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t>The results of formation fluid sampling, and testing of the injection and confining zones [Classes I, II, III</w:t>
      </w:r>
      <w:r w:rsidR="00A26CE1">
        <w:rPr>
          <w:sz w:val="24"/>
          <w:szCs w:val="24"/>
        </w:rPr>
        <w:t>, VI</w:t>
      </w:r>
      <w:r>
        <w:rPr>
          <w:sz w:val="24"/>
          <w:szCs w:val="24"/>
        </w:rPr>
        <w:t>];</w:t>
      </w:r>
    </w:p>
    <w:p w:rsidR="00C25838" w:rsidP="00E73F90" w:rsidRDefault="00C25838" w14:paraId="1545CB3C"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lastRenderedPageBreak/>
        <w:t>•</w:t>
      </w:r>
      <w:r>
        <w:rPr>
          <w:sz w:val="24"/>
          <w:szCs w:val="24"/>
        </w:rPr>
        <w:tab/>
        <w:t>Actual injection procedure</w:t>
      </w:r>
      <w:r w:rsidR="00966D64">
        <w:rPr>
          <w:sz w:val="24"/>
          <w:szCs w:val="24"/>
        </w:rPr>
        <w:t>s</w:t>
      </w:r>
      <w:r>
        <w:rPr>
          <w:sz w:val="24"/>
          <w:szCs w:val="24"/>
        </w:rPr>
        <w:t xml:space="preserve"> [Classes I, II, III</w:t>
      </w:r>
      <w:r w:rsidR="00A26CE1">
        <w:rPr>
          <w:sz w:val="24"/>
          <w:szCs w:val="24"/>
        </w:rPr>
        <w:t>, and VI</w:t>
      </w:r>
      <w:r>
        <w:rPr>
          <w:sz w:val="24"/>
          <w:szCs w:val="24"/>
        </w:rPr>
        <w:t>];</w:t>
      </w:r>
    </w:p>
    <w:p w:rsidR="00C25838" w:rsidP="00E73F90" w:rsidRDefault="00C25838" w14:paraId="5C0C2687" w14:textId="387E278C">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t>Report on hydrogeologic compatibility and the compatibility of well materials [Classes I</w:t>
      </w:r>
      <w:r w:rsidR="00A26CE1">
        <w:rPr>
          <w:sz w:val="24"/>
          <w:szCs w:val="24"/>
        </w:rPr>
        <w:t>,</w:t>
      </w:r>
      <w:r>
        <w:rPr>
          <w:sz w:val="24"/>
          <w:szCs w:val="24"/>
        </w:rPr>
        <w:t xml:space="preserve"> III</w:t>
      </w:r>
      <w:r w:rsidR="00A26CE1">
        <w:rPr>
          <w:sz w:val="24"/>
          <w:szCs w:val="24"/>
        </w:rPr>
        <w:t>, and VI</w:t>
      </w:r>
      <w:r w:rsidR="00B029A9">
        <w:rPr>
          <w:sz w:val="24"/>
          <w:szCs w:val="24"/>
        </w:rPr>
        <w:t xml:space="preserve">]; </w:t>
      </w:r>
    </w:p>
    <w:p w:rsidR="00BB4952" w:rsidP="00E73F90" w:rsidRDefault="00C25838" w14:paraId="7A15A37D"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t xml:space="preserve">The status of corrective action </w:t>
      </w:r>
      <w:r w:rsidR="00454CFB">
        <w:rPr>
          <w:sz w:val="24"/>
          <w:szCs w:val="24"/>
        </w:rPr>
        <w:t xml:space="preserve">on deficient </w:t>
      </w:r>
      <w:r>
        <w:rPr>
          <w:sz w:val="24"/>
          <w:szCs w:val="24"/>
        </w:rPr>
        <w:t>wells within the AoR [Classes I, II, III</w:t>
      </w:r>
      <w:r w:rsidR="00966D64">
        <w:rPr>
          <w:sz w:val="24"/>
          <w:szCs w:val="24"/>
        </w:rPr>
        <w:t>,</w:t>
      </w:r>
      <w:r w:rsidRPr="00966D64" w:rsidR="00966D64">
        <w:rPr>
          <w:sz w:val="24"/>
          <w:szCs w:val="24"/>
        </w:rPr>
        <w:t xml:space="preserve"> </w:t>
      </w:r>
      <w:r w:rsidR="00966D64">
        <w:rPr>
          <w:sz w:val="24"/>
          <w:szCs w:val="24"/>
        </w:rPr>
        <w:t>and VI</w:t>
      </w:r>
      <w:r>
        <w:rPr>
          <w:sz w:val="24"/>
          <w:szCs w:val="24"/>
        </w:rPr>
        <w:t>]</w:t>
      </w:r>
      <w:r w:rsidR="00BB4952">
        <w:rPr>
          <w:sz w:val="24"/>
          <w:szCs w:val="24"/>
        </w:rPr>
        <w:t>; and</w:t>
      </w:r>
    </w:p>
    <w:p w:rsidR="00B029A9" w:rsidP="00E73F90" w:rsidRDefault="00BB4952" w14:paraId="1DDAF61C"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t xml:space="preserve">The final delineated </w:t>
      </w:r>
      <w:r w:rsidR="00454CFB">
        <w:rPr>
          <w:sz w:val="24"/>
          <w:szCs w:val="24"/>
        </w:rPr>
        <w:t xml:space="preserve">AoR </w:t>
      </w:r>
      <w:r>
        <w:rPr>
          <w:sz w:val="24"/>
          <w:szCs w:val="24"/>
        </w:rPr>
        <w:t>and any updates to the required project plans based on computational</w:t>
      </w:r>
      <w:r w:rsidR="00966D64">
        <w:rPr>
          <w:sz w:val="24"/>
          <w:szCs w:val="24"/>
        </w:rPr>
        <w:t xml:space="preserve"> modeling of the AoR [Class VI].</w:t>
      </w:r>
    </w:p>
    <w:p w:rsidR="00B029A9" w:rsidRDefault="00B029A9" w14:paraId="74205C4C"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4"/>
          <w:szCs w:val="24"/>
        </w:rPr>
      </w:pPr>
    </w:p>
    <w:p w:rsidR="00C25838" w:rsidRDefault="00C25838" w14:paraId="1881BE6E" w14:textId="0AF88E4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Operators of Class I hazardous waste </w:t>
      </w:r>
      <w:r w:rsidR="003B62B7">
        <w:rPr>
          <w:sz w:val="24"/>
          <w:szCs w:val="24"/>
        </w:rPr>
        <w:t xml:space="preserve">injection </w:t>
      </w:r>
      <w:r>
        <w:rPr>
          <w:sz w:val="24"/>
          <w:szCs w:val="24"/>
        </w:rPr>
        <w:t xml:space="preserve">wells </w:t>
      </w:r>
      <w:r w:rsidR="00D21761">
        <w:rPr>
          <w:sz w:val="24"/>
          <w:szCs w:val="24"/>
        </w:rPr>
        <w:t>(i.e., that are</w:t>
      </w:r>
      <w:r>
        <w:rPr>
          <w:sz w:val="24"/>
          <w:szCs w:val="24"/>
        </w:rPr>
        <w:t xml:space="preserve"> seeking an exemption from the prohibition from injecting any of the Class I listed hazardous wastes</w:t>
      </w:r>
      <w:r w:rsidR="00D21761">
        <w:rPr>
          <w:sz w:val="24"/>
          <w:szCs w:val="24"/>
        </w:rPr>
        <w:t>)</w:t>
      </w:r>
      <w:r>
        <w:rPr>
          <w:sz w:val="24"/>
          <w:szCs w:val="24"/>
        </w:rPr>
        <w:t xml:space="preserve"> must submit the following information in addition to the information described above:</w:t>
      </w:r>
    </w:p>
    <w:p w:rsidR="00C25838" w:rsidRDefault="00C25838" w14:paraId="44734E50"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3B62B7" w:rsidRDefault="00C25838" w14:paraId="1690306D" w14:textId="17215C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No Migration Petition</w:t>
      </w:r>
      <w:r w:rsidR="00F84502">
        <w:rPr>
          <w:b/>
          <w:bCs/>
          <w:i/>
          <w:iCs/>
          <w:sz w:val="24"/>
          <w:szCs w:val="24"/>
        </w:rPr>
        <w:t xml:space="preserve">. </w:t>
      </w:r>
      <w:r>
        <w:rPr>
          <w:sz w:val="24"/>
          <w:szCs w:val="24"/>
        </w:rPr>
        <w:t>Operators of Class I hazardous waste injection wells must demonstrate, usually by comput</w:t>
      </w:r>
      <w:r w:rsidR="00730060">
        <w:rPr>
          <w:sz w:val="24"/>
          <w:szCs w:val="24"/>
        </w:rPr>
        <w:t xml:space="preserve">ational </w:t>
      </w:r>
      <w:r>
        <w:rPr>
          <w:sz w:val="24"/>
          <w:szCs w:val="24"/>
        </w:rPr>
        <w:t>modeling, that their wastes will not endanger USDWs</w:t>
      </w:r>
      <w:r w:rsidR="00F84502">
        <w:rPr>
          <w:sz w:val="24"/>
          <w:szCs w:val="24"/>
        </w:rPr>
        <w:t xml:space="preserve">. </w:t>
      </w:r>
      <w:r>
        <w:rPr>
          <w:sz w:val="24"/>
          <w:szCs w:val="24"/>
        </w:rPr>
        <w:t>The operator must provide sufficient information to demonstrate that the hazardous constituents of wastes will not migrate from the</w:t>
      </w:r>
      <w:r w:rsidR="00297607">
        <w:rPr>
          <w:sz w:val="24"/>
          <w:szCs w:val="24"/>
        </w:rPr>
        <w:t xml:space="preserve"> injection zone</w:t>
      </w:r>
      <w:r w:rsidR="00F84502">
        <w:rPr>
          <w:sz w:val="24"/>
          <w:szCs w:val="24"/>
        </w:rPr>
        <w:t xml:space="preserve">. </w:t>
      </w:r>
      <w:r>
        <w:rPr>
          <w:sz w:val="24"/>
          <w:szCs w:val="24"/>
        </w:rPr>
        <w:t xml:space="preserve">In particular, the petition must prove that the waste will not reach </w:t>
      </w:r>
      <w:r w:rsidR="00297607">
        <w:rPr>
          <w:sz w:val="24"/>
          <w:szCs w:val="24"/>
        </w:rPr>
        <w:t xml:space="preserve">beyond the top of </w:t>
      </w:r>
      <w:r>
        <w:rPr>
          <w:sz w:val="24"/>
          <w:szCs w:val="24"/>
        </w:rPr>
        <w:t xml:space="preserve">the injection zone or </w:t>
      </w:r>
      <w:r w:rsidR="00297607">
        <w:rPr>
          <w:sz w:val="24"/>
          <w:szCs w:val="24"/>
        </w:rPr>
        <w:t xml:space="preserve">escape through </w:t>
      </w:r>
      <w:r>
        <w:rPr>
          <w:sz w:val="24"/>
          <w:szCs w:val="24"/>
        </w:rPr>
        <w:t>a conduit within the injection zone within 10,000 years</w:t>
      </w:r>
      <w:r w:rsidR="00F84502">
        <w:rPr>
          <w:sz w:val="24"/>
          <w:szCs w:val="24"/>
        </w:rPr>
        <w:t xml:space="preserve">. </w:t>
      </w:r>
      <w:r>
        <w:rPr>
          <w:sz w:val="24"/>
          <w:szCs w:val="24"/>
        </w:rPr>
        <w:t xml:space="preserve">This is </w:t>
      </w:r>
      <w:r w:rsidR="00EB55CA">
        <w:rPr>
          <w:sz w:val="24"/>
          <w:szCs w:val="24"/>
        </w:rPr>
        <w:t xml:space="preserve">also </w:t>
      </w:r>
      <w:r>
        <w:rPr>
          <w:sz w:val="24"/>
          <w:szCs w:val="24"/>
        </w:rPr>
        <w:t>known as the Fluid Flow Petition.</w:t>
      </w:r>
      <w:r w:rsidR="00297607">
        <w:rPr>
          <w:sz w:val="24"/>
          <w:szCs w:val="24"/>
        </w:rPr>
        <w:t xml:space="preserve"> A chemical fate demonstration may also </w:t>
      </w:r>
      <w:r w:rsidR="00A66709">
        <w:rPr>
          <w:sz w:val="24"/>
          <w:szCs w:val="24"/>
        </w:rPr>
        <w:t xml:space="preserve">be </w:t>
      </w:r>
      <w:r w:rsidR="00303BCD">
        <w:rPr>
          <w:sz w:val="24"/>
          <w:szCs w:val="24"/>
        </w:rPr>
        <w:t xml:space="preserve">submitted to </w:t>
      </w:r>
      <w:r w:rsidR="00A66709">
        <w:rPr>
          <w:sz w:val="24"/>
          <w:szCs w:val="24"/>
        </w:rPr>
        <w:t>satisfy this requirement.</w:t>
      </w:r>
    </w:p>
    <w:p w:rsidR="00C25838" w:rsidP="003B62B7" w:rsidRDefault="00C25838" w14:paraId="4074CA1B" w14:textId="77777777">
      <w:pPr>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sidR="00454CFB">
        <w:rPr>
          <w:b/>
          <w:bCs/>
          <w:i/>
          <w:iCs/>
          <w:sz w:val="24"/>
          <w:szCs w:val="24"/>
        </w:rPr>
        <w:t xml:space="preserve">Report on </w:t>
      </w:r>
      <w:r>
        <w:rPr>
          <w:b/>
          <w:bCs/>
          <w:i/>
          <w:iCs/>
          <w:sz w:val="24"/>
          <w:szCs w:val="24"/>
        </w:rPr>
        <w:t>Hydrogeologic Compatibility/Compatibility of Well Material</w:t>
      </w:r>
      <w:r w:rsidR="000B604F">
        <w:rPr>
          <w:b/>
          <w:bCs/>
          <w:i/>
          <w:iCs/>
          <w:sz w:val="24"/>
          <w:szCs w:val="24"/>
        </w:rPr>
        <w:t>s</w:t>
      </w:r>
      <w:r w:rsidR="00F84502">
        <w:rPr>
          <w:b/>
          <w:bCs/>
          <w:i/>
          <w:iCs/>
          <w:sz w:val="24"/>
          <w:szCs w:val="24"/>
        </w:rPr>
        <w:t xml:space="preserve">. </w:t>
      </w:r>
      <w:r>
        <w:rPr>
          <w:sz w:val="24"/>
          <w:szCs w:val="24"/>
        </w:rPr>
        <w:t xml:space="preserve">Operators of Class I hazardous waste </w:t>
      </w:r>
      <w:r w:rsidR="00454CFB">
        <w:rPr>
          <w:sz w:val="24"/>
          <w:szCs w:val="24"/>
        </w:rPr>
        <w:t xml:space="preserve">injection </w:t>
      </w:r>
      <w:r>
        <w:rPr>
          <w:sz w:val="24"/>
          <w:szCs w:val="24"/>
        </w:rPr>
        <w:t>wells must demonstrate hydrogeologic compatibility (i.e., that the waste stream and its anticipated reaction products will be compatible with both the geologic material of the injection zone and any previously injected fluids), and compatibility of well materials (i.e., that the waste stream will be compatible with the well materials that come in contact with the waste).</w:t>
      </w:r>
    </w:p>
    <w:p w:rsidR="00C25838" w:rsidP="003B62B7" w:rsidRDefault="00C25838" w14:paraId="7E0172A1"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Waste Analysis Plan</w:t>
      </w:r>
      <w:r w:rsidR="00F84502">
        <w:rPr>
          <w:b/>
          <w:bCs/>
          <w:i/>
          <w:iCs/>
          <w:sz w:val="24"/>
          <w:szCs w:val="24"/>
        </w:rPr>
        <w:t xml:space="preserve">. </w:t>
      </w:r>
      <w:r>
        <w:rPr>
          <w:sz w:val="24"/>
          <w:szCs w:val="24"/>
        </w:rPr>
        <w:t>Class I hazardous waste well operators must develop and follow an approved waste analysis plan that describes procedures for a detailed chemical and physical analysis of a representative sample of their waste</w:t>
      </w:r>
      <w:r w:rsidR="00F84502">
        <w:rPr>
          <w:sz w:val="24"/>
          <w:szCs w:val="24"/>
        </w:rPr>
        <w:t xml:space="preserve">. </w:t>
      </w:r>
      <w:r>
        <w:rPr>
          <w:sz w:val="24"/>
          <w:szCs w:val="24"/>
        </w:rPr>
        <w:t>The waste analysis plan must specify</w:t>
      </w:r>
      <w:r w:rsidR="00F635A1">
        <w:rPr>
          <w:sz w:val="24"/>
          <w:szCs w:val="24"/>
        </w:rPr>
        <w:t>:</w:t>
      </w:r>
      <w:r>
        <w:rPr>
          <w:sz w:val="24"/>
          <w:szCs w:val="24"/>
        </w:rPr>
        <w:t xml:space="preserve"> (1) the parameters within which the waste will be analyzed and the rationale for selecting these parameters; (2) the test methods that will be used to test for these parameters; and (3) the sampling method that will be used to obtain a representative sample of the waste to be analyzed.</w:t>
      </w:r>
    </w:p>
    <w:p w:rsidR="00C25838" w:rsidP="003B62B7" w:rsidRDefault="00C25838" w14:paraId="05356224" w14:textId="78F8285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sz w:val="24"/>
          <w:szCs w:val="24"/>
        </w:rPr>
      </w:pPr>
      <w:r>
        <w:rPr>
          <w:sz w:val="24"/>
          <w:szCs w:val="24"/>
        </w:rPr>
        <w:tab/>
        <w:t>•</w:t>
      </w:r>
      <w:r>
        <w:rPr>
          <w:sz w:val="24"/>
          <w:szCs w:val="24"/>
        </w:rPr>
        <w:tab/>
      </w:r>
      <w:r>
        <w:rPr>
          <w:b/>
          <w:bCs/>
          <w:i/>
          <w:iCs/>
          <w:sz w:val="24"/>
          <w:szCs w:val="24"/>
        </w:rPr>
        <w:t>Other Information</w:t>
      </w:r>
      <w:r w:rsidR="00F84502">
        <w:rPr>
          <w:b/>
          <w:bCs/>
          <w:i/>
          <w:iCs/>
          <w:sz w:val="24"/>
          <w:szCs w:val="24"/>
        </w:rPr>
        <w:t xml:space="preserve">. </w:t>
      </w:r>
      <w:r>
        <w:rPr>
          <w:sz w:val="24"/>
          <w:szCs w:val="24"/>
        </w:rPr>
        <w:t>Operators of Class I hazardous waste wells must also submit a description of the hydrogeologic and geochemical conditions at the site</w:t>
      </w:r>
      <w:r w:rsidR="00730060">
        <w:rPr>
          <w:sz w:val="24"/>
          <w:szCs w:val="24"/>
        </w:rPr>
        <w:t xml:space="preserve"> and</w:t>
      </w:r>
      <w:r>
        <w:rPr>
          <w:sz w:val="24"/>
          <w:szCs w:val="24"/>
        </w:rPr>
        <w:t xml:space="preserve"> the physicochemical nature of the waste stream.</w:t>
      </w:r>
    </w:p>
    <w:p w:rsidR="00C25838" w:rsidRDefault="00C25838" w14:paraId="6C02C49C"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413D8417"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Class V facilities generally are rule-authorized</w:t>
      </w:r>
      <w:r w:rsidR="00F84502">
        <w:rPr>
          <w:sz w:val="24"/>
          <w:szCs w:val="24"/>
        </w:rPr>
        <w:t xml:space="preserve">. </w:t>
      </w:r>
      <w:r>
        <w:rPr>
          <w:sz w:val="24"/>
          <w:szCs w:val="24"/>
        </w:rPr>
        <w:t xml:space="preserve">Permitting authorities may require </w:t>
      </w:r>
      <w:r w:rsidR="00EB55CA">
        <w:rPr>
          <w:sz w:val="24"/>
          <w:szCs w:val="24"/>
        </w:rPr>
        <w:t xml:space="preserve">some </w:t>
      </w:r>
      <w:r>
        <w:rPr>
          <w:sz w:val="24"/>
          <w:szCs w:val="24"/>
        </w:rPr>
        <w:t>Class V operators to apply for a permit to commence or to continue injecting</w:t>
      </w:r>
      <w:r w:rsidR="00F84502">
        <w:rPr>
          <w:sz w:val="24"/>
          <w:szCs w:val="24"/>
        </w:rPr>
        <w:t xml:space="preserve">. </w:t>
      </w:r>
      <w:r>
        <w:rPr>
          <w:sz w:val="24"/>
          <w:szCs w:val="24"/>
        </w:rPr>
        <w:t>Typically, the permit application process for Class V operators is less complex than for other well classes—</w:t>
      </w:r>
      <w:r>
        <w:rPr>
          <w:sz w:val="24"/>
          <w:szCs w:val="24"/>
        </w:rPr>
        <w:lastRenderedPageBreak/>
        <w:t>operators are typically required to submit a description of the activities requiring a permit, inventory information, topographic maps, and a plugging and abandonment plan</w:t>
      </w:r>
      <w:r w:rsidR="00D21761">
        <w:rPr>
          <w:sz w:val="24"/>
          <w:szCs w:val="24"/>
        </w:rPr>
        <w:t xml:space="preserve"> that </w:t>
      </w:r>
      <w:r>
        <w:rPr>
          <w:sz w:val="24"/>
          <w:szCs w:val="24"/>
        </w:rPr>
        <w:t>includes a demonstration of financial responsibility for closure</w:t>
      </w:r>
      <w:r w:rsidR="00F84502">
        <w:rPr>
          <w:sz w:val="24"/>
          <w:szCs w:val="24"/>
        </w:rPr>
        <w:t xml:space="preserve">. </w:t>
      </w:r>
    </w:p>
    <w:p w:rsidR="00C25838" w:rsidRDefault="00C25838" w14:paraId="70014417"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029A9" w:rsidRDefault="00B029A9" w14:paraId="7B9E091C" w14:textId="2334BC4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Operators of Class VI wells must submit and gain approval for a series of </w:t>
      </w:r>
      <w:r w:rsidRPr="00B029A9">
        <w:rPr>
          <w:sz w:val="24"/>
          <w:szCs w:val="24"/>
        </w:rPr>
        <w:t>project-specific plans, including: an Area of Review and Corrective Action Plan, a Testing and Monitoring Plan, an Injection Well Plugging Plan, a PISC</w:t>
      </w:r>
      <w:r w:rsidR="00BF258B">
        <w:rPr>
          <w:sz w:val="24"/>
          <w:szCs w:val="24"/>
        </w:rPr>
        <w:t xml:space="preserve"> </w:t>
      </w:r>
      <w:r w:rsidRPr="00B029A9">
        <w:rPr>
          <w:sz w:val="24"/>
          <w:szCs w:val="24"/>
        </w:rPr>
        <w:t>and Site Closure Plan, and an Emergency and Remedial Response Plan</w:t>
      </w:r>
      <w:r>
        <w:rPr>
          <w:sz w:val="24"/>
          <w:szCs w:val="24"/>
        </w:rPr>
        <w:t xml:space="preserve">. </w:t>
      </w:r>
      <w:r w:rsidRPr="00142C5A" w:rsidR="00142C5A">
        <w:rPr>
          <w:sz w:val="24"/>
          <w:szCs w:val="24"/>
        </w:rPr>
        <w:t xml:space="preserve">In addition, applicants seeking to inject </w:t>
      </w:r>
      <w:r w:rsidR="00454CFB">
        <w:rPr>
          <w:sz w:val="24"/>
          <w:szCs w:val="24"/>
        </w:rPr>
        <w:t>CO</w:t>
      </w:r>
      <w:r w:rsidRPr="001758DB" w:rsidR="00454CFB">
        <w:rPr>
          <w:sz w:val="24"/>
          <w:szCs w:val="24"/>
          <w:vertAlign w:val="subscript"/>
        </w:rPr>
        <w:t>2</w:t>
      </w:r>
      <w:r w:rsidR="00454CFB">
        <w:rPr>
          <w:sz w:val="24"/>
          <w:szCs w:val="24"/>
        </w:rPr>
        <w:t xml:space="preserve"> </w:t>
      </w:r>
      <w:r w:rsidRPr="00142C5A" w:rsidR="00142C5A">
        <w:rPr>
          <w:sz w:val="24"/>
          <w:szCs w:val="24"/>
        </w:rPr>
        <w:t>for geologic storage above or between USDWs must apply for an injection depth waiver</w:t>
      </w:r>
      <w:r w:rsidR="00142C5A">
        <w:rPr>
          <w:sz w:val="24"/>
          <w:szCs w:val="24"/>
        </w:rPr>
        <w:t xml:space="preserve">; this application is separate from, but submitted at the same time as, the Class VI </w:t>
      </w:r>
      <w:r w:rsidR="003D67FA">
        <w:rPr>
          <w:sz w:val="24"/>
          <w:szCs w:val="24"/>
        </w:rPr>
        <w:t xml:space="preserve">permit </w:t>
      </w:r>
      <w:r w:rsidR="00142C5A">
        <w:rPr>
          <w:sz w:val="24"/>
          <w:szCs w:val="24"/>
        </w:rPr>
        <w:t>application</w:t>
      </w:r>
      <w:r w:rsidRPr="00142C5A" w:rsidR="00142C5A">
        <w:rPr>
          <w:sz w:val="24"/>
          <w:szCs w:val="24"/>
        </w:rPr>
        <w:t>.</w:t>
      </w:r>
    </w:p>
    <w:p w:rsidR="00CC0069" w:rsidP="00CC0069" w:rsidRDefault="00CC0069" w14:paraId="78D06098" w14:textId="77777777">
      <w:pPr>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C0069" w:rsidP="00CC0069" w:rsidRDefault="00CC0069" w14:paraId="6D1696EF" w14:textId="56CF9B7D">
      <w:pPr>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Operators of Class I, Class II, or Class III wells </w:t>
      </w:r>
      <w:r w:rsidRPr="00DC6AAC">
        <w:rPr>
          <w:sz w:val="24"/>
          <w:szCs w:val="24"/>
        </w:rPr>
        <w:t xml:space="preserve">seeking to inject into an aquifer that meets the definition of a USDW and is not exempted must </w:t>
      </w:r>
      <w:r>
        <w:rPr>
          <w:sz w:val="24"/>
          <w:szCs w:val="24"/>
        </w:rPr>
        <w:t>request and receive an aquifer exemption.</w:t>
      </w:r>
      <w:r w:rsidRPr="00DC6AAC">
        <w:rPr>
          <w:sz w:val="24"/>
          <w:szCs w:val="24"/>
        </w:rPr>
        <w:t xml:space="preserve"> </w:t>
      </w:r>
      <w:r>
        <w:rPr>
          <w:sz w:val="24"/>
          <w:szCs w:val="24"/>
        </w:rPr>
        <w:t xml:space="preserve">This request includes a delineation of the </w:t>
      </w:r>
      <w:r w:rsidR="00F635A1">
        <w:rPr>
          <w:sz w:val="24"/>
          <w:szCs w:val="24"/>
        </w:rPr>
        <w:t>area proposed for ex</w:t>
      </w:r>
      <w:r w:rsidR="00416F75">
        <w:rPr>
          <w:sz w:val="24"/>
          <w:szCs w:val="24"/>
        </w:rPr>
        <w:t>e</w:t>
      </w:r>
      <w:r w:rsidR="00F635A1">
        <w:rPr>
          <w:sz w:val="24"/>
          <w:szCs w:val="24"/>
        </w:rPr>
        <w:t>mption</w:t>
      </w:r>
      <w:r>
        <w:rPr>
          <w:sz w:val="24"/>
          <w:szCs w:val="24"/>
        </w:rPr>
        <w:t xml:space="preserve"> and a demonstration that the request meets the criteria at </w:t>
      </w:r>
      <w:r w:rsidRPr="00CC0069">
        <w:rPr>
          <w:sz w:val="24"/>
          <w:szCs w:val="24"/>
        </w:rPr>
        <w:t>40 CFR 146.4</w:t>
      </w:r>
      <w:r>
        <w:rPr>
          <w:sz w:val="24"/>
          <w:szCs w:val="24"/>
        </w:rPr>
        <w:t xml:space="preserve">. (Owners or operators of Class VI wells transitioning from Class II </w:t>
      </w:r>
      <w:r w:rsidR="007C5DD3">
        <w:rPr>
          <w:sz w:val="24"/>
          <w:szCs w:val="24"/>
        </w:rPr>
        <w:t xml:space="preserve">EOR </w:t>
      </w:r>
      <w:r>
        <w:rPr>
          <w:sz w:val="24"/>
          <w:szCs w:val="24"/>
        </w:rPr>
        <w:t xml:space="preserve">wells may apply to </w:t>
      </w:r>
      <w:r w:rsidRPr="00DC6AAC">
        <w:rPr>
          <w:sz w:val="24"/>
          <w:szCs w:val="24"/>
        </w:rPr>
        <w:t>expan</w:t>
      </w:r>
      <w:r>
        <w:rPr>
          <w:sz w:val="24"/>
          <w:szCs w:val="24"/>
        </w:rPr>
        <w:t xml:space="preserve">d </w:t>
      </w:r>
      <w:r w:rsidRPr="00DC6AAC">
        <w:rPr>
          <w:sz w:val="24"/>
          <w:szCs w:val="24"/>
        </w:rPr>
        <w:t xml:space="preserve">the areal extent of existing </w:t>
      </w:r>
      <w:r>
        <w:rPr>
          <w:sz w:val="24"/>
          <w:szCs w:val="24"/>
        </w:rPr>
        <w:t xml:space="preserve">Class II </w:t>
      </w:r>
      <w:r w:rsidRPr="00DC6AAC">
        <w:rPr>
          <w:sz w:val="24"/>
          <w:szCs w:val="24"/>
        </w:rPr>
        <w:t>aquifer exemptions</w:t>
      </w:r>
      <w:r>
        <w:rPr>
          <w:sz w:val="24"/>
          <w:szCs w:val="24"/>
        </w:rPr>
        <w:t>; new aquifer exemptions for Class VI wells are prohibited, however.)</w:t>
      </w:r>
    </w:p>
    <w:p w:rsidR="00B029A9" w:rsidRDefault="00B029A9" w14:paraId="16A94870"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774C9CAB"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sz w:val="24"/>
          <w:szCs w:val="24"/>
        </w:rPr>
        <w:tab/>
      </w:r>
      <w:r>
        <w:rPr>
          <w:b/>
          <w:bCs/>
          <w:sz w:val="24"/>
          <w:szCs w:val="24"/>
        </w:rPr>
        <w:t>Monitoring and Testing Requirements</w:t>
      </w:r>
    </w:p>
    <w:p w:rsidR="00C25838" w:rsidRDefault="00C25838" w14:paraId="51233DDD"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500916EF"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All Class I, II, III</w:t>
      </w:r>
      <w:r w:rsidR="00E71F53">
        <w:rPr>
          <w:sz w:val="24"/>
          <w:szCs w:val="24"/>
        </w:rPr>
        <w:t>, and VI</w:t>
      </w:r>
      <w:r>
        <w:rPr>
          <w:sz w:val="24"/>
          <w:szCs w:val="24"/>
        </w:rPr>
        <w:t xml:space="preserve"> </w:t>
      </w:r>
      <w:r w:rsidR="00EB55CA">
        <w:rPr>
          <w:sz w:val="24"/>
          <w:szCs w:val="24"/>
        </w:rPr>
        <w:t xml:space="preserve">well </w:t>
      </w:r>
      <w:r>
        <w:rPr>
          <w:sz w:val="24"/>
          <w:szCs w:val="24"/>
        </w:rPr>
        <w:t>operators must observe injection pressure, rate, and cumulative volume and demonstrate mechanical integrity</w:t>
      </w:r>
      <w:r w:rsidR="00F84502">
        <w:rPr>
          <w:sz w:val="24"/>
          <w:szCs w:val="24"/>
        </w:rPr>
        <w:t xml:space="preserve">. </w:t>
      </w:r>
      <w:r>
        <w:rPr>
          <w:sz w:val="24"/>
          <w:szCs w:val="24"/>
        </w:rPr>
        <w:t>Requirements for other monitoring and testing activities vary by class</w:t>
      </w:r>
      <w:r w:rsidR="00F84502">
        <w:rPr>
          <w:sz w:val="24"/>
          <w:szCs w:val="24"/>
        </w:rPr>
        <w:t xml:space="preserve">. </w:t>
      </w:r>
      <w:r w:rsidR="00454CFB">
        <w:rPr>
          <w:sz w:val="24"/>
          <w:szCs w:val="24"/>
        </w:rPr>
        <w:t>S</w:t>
      </w:r>
      <w:r>
        <w:rPr>
          <w:sz w:val="24"/>
          <w:szCs w:val="24"/>
        </w:rPr>
        <w:t xml:space="preserve">pecific </w:t>
      </w:r>
      <w:r w:rsidR="00454CFB">
        <w:rPr>
          <w:sz w:val="24"/>
          <w:szCs w:val="24"/>
        </w:rPr>
        <w:t xml:space="preserve">UIC </w:t>
      </w:r>
      <w:r>
        <w:rPr>
          <w:sz w:val="24"/>
          <w:szCs w:val="24"/>
        </w:rPr>
        <w:t>monitoring and testing activities</w:t>
      </w:r>
      <w:r w:rsidR="000B604F">
        <w:rPr>
          <w:sz w:val="24"/>
          <w:szCs w:val="24"/>
        </w:rPr>
        <w:t xml:space="preserve"> </w:t>
      </w:r>
      <w:r w:rsidR="00064FC4">
        <w:rPr>
          <w:sz w:val="24"/>
          <w:szCs w:val="24"/>
        </w:rPr>
        <w:t>include</w:t>
      </w:r>
      <w:r>
        <w:rPr>
          <w:sz w:val="24"/>
          <w:szCs w:val="24"/>
        </w:rPr>
        <w:t>:</w:t>
      </w:r>
    </w:p>
    <w:p w:rsidRPr="00BB4952" w:rsidR="00C25838" w:rsidRDefault="00C25838" w14:paraId="07C1ABE4"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E71F53" w:rsidRDefault="00C25838" w14:paraId="2BEBEDDF" w14:textId="77777777">
      <w:pPr>
        <w:pStyle w:val="a0"/>
        <w:numPr>
          <w:ilvl w:val="0"/>
          <w:numId w:val="2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Monitor injection pressure, flow rate, and cumulative volume of injected fluids [continuously for Class I</w:t>
      </w:r>
      <w:r w:rsidR="00E71F53">
        <w:t xml:space="preserve"> </w:t>
      </w:r>
      <w:r w:rsidR="004E46AD">
        <w:t xml:space="preserve">hazardous </w:t>
      </w:r>
      <w:r w:rsidR="00E71F53">
        <w:t xml:space="preserve">and </w:t>
      </w:r>
      <w:r w:rsidR="00DF13BC">
        <w:t xml:space="preserve">Class </w:t>
      </w:r>
      <w:r w:rsidR="00E71F53">
        <w:t>VI</w:t>
      </w:r>
      <w:r>
        <w:t>, weekly for Class II disposal wells (II-D), monthly for Class II-R, and semi-monthly for Class III]</w:t>
      </w:r>
      <w:r w:rsidR="00D21761">
        <w:t xml:space="preserve"> and</w:t>
      </w:r>
      <w:r>
        <w:t xml:space="preserve"> temperature of injected fluids and annulus pressure between the tubing and the long string casing [Class I];</w:t>
      </w:r>
    </w:p>
    <w:p w:rsidR="00C25838" w:rsidRDefault="00C25838" w14:paraId="151145A7"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E71F53" w:rsidRDefault="00C25838" w14:paraId="52A9CFA3" w14:textId="77777777">
      <w:pPr>
        <w:pStyle w:val="a0"/>
        <w:numPr>
          <w:ilvl w:val="0"/>
          <w:numId w:val="2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Conduct chemical monitoring of injectate as described in a waste analysis plan or as specified by the permitting authority [Classes I, II, </w:t>
      </w:r>
      <w:r w:rsidR="00D21761">
        <w:t xml:space="preserve">III, </w:t>
      </w:r>
      <w:r w:rsidR="00DF13BC">
        <w:t xml:space="preserve">VI, </w:t>
      </w:r>
      <w:r>
        <w:t>and permitted Class V MVWDWs];</w:t>
      </w:r>
    </w:p>
    <w:p w:rsidR="00C25838" w:rsidRDefault="00C25838" w14:paraId="578F945A"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3D67FA" w:rsidRDefault="00C25838" w14:paraId="3A3B2F5D" w14:textId="77777777">
      <w:pPr>
        <w:pStyle w:val="a0"/>
        <w:numPr>
          <w:ilvl w:val="0"/>
          <w:numId w:val="25"/>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Test for internal and external mechanical integrity of the well casing, via:</w:t>
      </w:r>
    </w:p>
    <w:p w:rsidR="00C25838" w:rsidP="003D67FA" w:rsidRDefault="00C25838" w14:paraId="0B94E77E"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3D67FA" w:rsidRDefault="001E34C3" w14:paraId="6A81850B" w14:textId="11CC0D88">
      <w:pPr>
        <w:numPr>
          <w:ilvl w:val="0"/>
          <w:numId w:val="2"/>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sz w:val="24"/>
          <w:szCs w:val="24"/>
        </w:rPr>
      </w:pPr>
      <w:r>
        <w:rPr>
          <w:sz w:val="24"/>
          <w:szCs w:val="24"/>
        </w:rPr>
        <w:t xml:space="preserve">Casing </w:t>
      </w:r>
      <w:r w:rsidR="00C25838">
        <w:rPr>
          <w:sz w:val="24"/>
          <w:szCs w:val="24"/>
        </w:rPr>
        <w:t>pressure test [annually for Class I hazardous</w:t>
      </w:r>
      <w:r w:rsidR="00E71F53">
        <w:rPr>
          <w:sz w:val="24"/>
          <w:szCs w:val="24"/>
        </w:rPr>
        <w:t xml:space="preserve"> and Class VI</w:t>
      </w:r>
      <w:r w:rsidR="00805F29">
        <w:rPr>
          <w:sz w:val="24"/>
          <w:szCs w:val="24"/>
        </w:rPr>
        <w:t>,</w:t>
      </w:r>
      <w:r w:rsidR="00C25838">
        <w:rPr>
          <w:sz w:val="24"/>
          <w:szCs w:val="24"/>
        </w:rPr>
        <w:t xml:space="preserve"> every </w:t>
      </w:r>
      <w:r w:rsidR="00BF258B">
        <w:rPr>
          <w:sz w:val="24"/>
          <w:szCs w:val="24"/>
        </w:rPr>
        <w:t xml:space="preserve">five </w:t>
      </w:r>
      <w:r w:rsidR="00C25838">
        <w:rPr>
          <w:sz w:val="24"/>
          <w:szCs w:val="24"/>
        </w:rPr>
        <w:t>years for Class I nonhazardous, Class II, and Class III salt solution mining]</w:t>
      </w:r>
      <w:r w:rsidR="00DF13BC">
        <w:rPr>
          <w:sz w:val="24"/>
          <w:szCs w:val="24"/>
        </w:rPr>
        <w:t>;</w:t>
      </w:r>
    </w:p>
    <w:p w:rsidR="00C25838" w:rsidP="003D67FA" w:rsidRDefault="001E34C3" w14:paraId="05D9E0A6" w14:textId="30A10CC9">
      <w:pPr>
        <w:numPr>
          <w:ilvl w:val="0"/>
          <w:numId w:val="2"/>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sz w:val="24"/>
          <w:szCs w:val="24"/>
        </w:rPr>
      </w:pPr>
      <w:r>
        <w:rPr>
          <w:sz w:val="24"/>
          <w:szCs w:val="24"/>
        </w:rPr>
        <w:t xml:space="preserve">Radioactive </w:t>
      </w:r>
      <w:r w:rsidR="00454CFB">
        <w:rPr>
          <w:sz w:val="24"/>
          <w:szCs w:val="24"/>
        </w:rPr>
        <w:t>t</w:t>
      </w:r>
      <w:r w:rsidR="00C25838">
        <w:rPr>
          <w:sz w:val="24"/>
          <w:szCs w:val="24"/>
        </w:rPr>
        <w:t>racer survey of the bottom-hole cement [annually for Class I hazardous];</w:t>
      </w:r>
    </w:p>
    <w:p w:rsidR="00C25838" w:rsidP="003D67FA" w:rsidRDefault="001E34C3" w14:paraId="128BF821" w14:textId="758CE598">
      <w:pPr>
        <w:numPr>
          <w:ilvl w:val="0"/>
          <w:numId w:val="2"/>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sz w:val="24"/>
          <w:szCs w:val="24"/>
        </w:rPr>
      </w:pPr>
      <w:r>
        <w:rPr>
          <w:sz w:val="24"/>
          <w:szCs w:val="24"/>
        </w:rPr>
        <w:lastRenderedPageBreak/>
        <w:t>T</w:t>
      </w:r>
      <w:r w:rsidR="00C25838">
        <w:rPr>
          <w:sz w:val="24"/>
          <w:szCs w:val="24"/>
        </w:rPr>
        <w:t>emperature, noise, or other logs to test for movement of fluid along the borehole [</w:t>
      </w:r>
      <w:r w:rsidR="00805F29">
        <w:rPr>
          <w:sz w:val="24"/>
          <w:szCs w:val="24"/>
        </w:rPr>
        <w:t xml:space="preserve">annually for Class VI, </w:t>
      </w:r>
      <w:r w:rsidR="00C25838">
        <w:rPr>
          <w:sz w:val="24"/>
          <w:szCs w:val="24"/>
        </w:rPr>
        <w:t xml:space="preserve">every </w:t>
      </w:r>
      <w:r w:rsidR="00BF258B">
        <w:rPr>
          <w:sz w:val="24"/>
          <w:szCs w:val="24"/>
        </w:rPr>
        <w:t>five</w:t>
      </w:r>
      <w:r w:rsidR="00C25838">
        <w:rPr>
          <w:sz w:val="24"/>
          <w:szCs w:val="24"/>
        </w:rPr>
        <w:t xml:space="preserve"> years for Class I and Class III salt solution mining];</w:t>
      </w:r>
      <w:r w:rsidR="00C25838">
        <w:rPr>
          <w:rStyle w:val="FootnoteReference"/>
          <w:sz w:val="24"/>
          <w:szCs w:val="24"/>
        </w:rPr>
        <w:footnoteReference w:id="8"/>
      </w:r>
      <w:r w:rsidR="00A455B3">
        <w:rPr>
          <w:sz w:val="24"/>
          <w:szCs w:val="24"/>
        </w:rPr>
        <w:t xml:space="preserve"> </w:t>
      </w:r>
    </w:p>
    <w:p w:rsidR="00BB4952" w:rsidP="003B6334" w:rsidRDefault="001E34C3" w14:paraId="1EBAC9D4" w14:textId="123BD0C6">
      <w:pPr>
        <w:numPr>
          <w:ilvl w:val="0"/>
          <w:numId w:val="2"/>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sz w:val="24"/>
          <w:szCs w:val="24"/>
        </w:rPr>
      </w:pPr>
      <w:r>
        <w:rPr>
          <w:sz w:val="24"/>
          <w:szCs w:val="24"/>
        </w:rPr>
        <w:t>C</w:t>
      </w:r>
      <w:r w:rsidR="00BB4952">
        <w:rPr>
          <w:sz w:val="24"/>
          <w:szCs w:val="24"/>
        </w:rPr>
        <w:t xml:space="preserve">ontinuous monitoring of injection pressure, volume, and rate to demonstrate internal </w:t>
      </w:r>
      <w:r w:rsidRPr="00BB4952" w:rsidR="00BB4952">
        <w:rPr>
          <w:sz w:val="24"/>
          <w:szCs w:val="24"/>
        </w:rPr>
        <w:t xml:space="preserve">mechanical integrity </w:t>
      </w:r>
      <w:r w:rsidR="00BB4952">
        <w:rPr>
          <w:sz w:val="24"/>
          <w:szCs w:val="24"/>
        </w:rPr>
        <w:t>[Class VI];</w:t>
      </w:r>
      <w:r w:rsidR="00195639">
        <w:rPr>
          <w:sz w:val="24"/>
          <w:szCs w:val="24"/>
        </w:rPr>
        <w:t xml:space="preserve"> </w:t>
      </w:r>
      <w:r w:rsidR="00A66709">
        <w:rPr>
          <w:sz w:val="24"/>
          <w:szCs w:val="24"/>
        </w:rPr>
        <w:t>and</w:t>
      </w:r>
    </w:p>
    <w:p w:rsidR="00A66709" w:rsidP="003B6334" w:rsidRDefault="001E34C3" w14:paraId="7EDD9A8F" w14:textId="3950FA98">
      <w:pPr>
        <w:numPr>
          <w:ilvl w:val="0"/>
          <w:numId w:val="2"/>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sz w:val="24"/>
          <w:szCs w:val="24"/>
        </w:rPr>
      </w:pPr>
      <w:r>
        <w:rPr>
          <w:sz w:val="24"/>
          <w:szCs w:val="24"/>
        </w:rPr>
        <w:t>C</w:t>
      </w:r>
      <w:r w:rsidR="00A66709">
        <w:rPr>
          <w:sz w:val="24"/>
          <w:szCs w:val="24"/>
        </w:rPr>
        <w:t>asing inspection log to evaluate the internal condition of a well's casing</w:t>
      </w:r>
      <w:r w:rsidR="00B5446B">
        <w:rPr>
          <w:sz w:val="24"/>
          <w:szCs w:val="24"/>
        </w:rPr>
        <w:t>, if required by the Director</w:t>
      </w:r>
      <w:r w:rsidR="00A66709">
        <w:rPr>
          <w:sz w:val="24"/>
          <w:szCs w:val="24"/>
        </w:rPr>
        <w:t xml:space="preserve"> [Class I hazardous and Class VI]</w:t>
      </w:r>
      <w:r w:rsidR="00B5446B">
        <w:rPr>
          <w:sz w:val="24"/>
          <w:szCs w:val="24"/>
        </w:rPr>
        <w:t>.</w:t>
      </w:r>
    </w:p>
    <w:p w:rsidR="00C25838" w:rsidRDefault="00C25838" w14:paraId="167F6A45"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3571" w:rsidP="00E71F53" w:rsidRDefault="00C25838" w14:paraId="311C9888" w14:textId="77777777">
      <w:pPr>
        <w:pStyle w:val="a0"/>
        <w:numPr>
          <w:ilvl w:val="0"/>
          <w:numId w:val="2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Conduct ambient monitoring, including</w:t>
      </w:r>
      <w:r w:rsidR="008B3571">
        <w:t>:</w:t>
      </w:r>
    </w:p>
    <w:p w:rsidR="00B029A9" w:rsidP="001758DB" w:rsidRDefault="00C25838" w14:paraId="31146D7A" w14:textId="77777777">
      <w:pPr>
        <w:pStyle w:val="a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 xml:space="preserve"> </w:t>
      </w:r>
    </w:p>
    <w:p w:rsidR="008B3571" w:rsidP="003B6334" w:rsidRDefault="001E34C3" w14:paraId="77B8B383" w14:textId="70BFE2A3">
      <w:pPr>
        <w:pStyle w:val="a0"/>
        <w:numPr>
          <w:ilvl w:val="0"/>
          <w:numId w:val="5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pPr>
      <w:r>
        <w:t>G</w:t>
      </w:r>
      <w:r w:rsidR="00B606A9">
        <w:t xml:space="preserve">round water quality </w:t>
      </w:r>
      <w:r w:rsidR="008B3571">
        <w:t xml:space="preserve">monitoring </w:t>
      </w:r>
      <w:r w:rsidR="00C25838">
        <w:t>[</w:t>
      </w:r>
      <w:r w:rsidR="008B3571">
        <w:t xml:space="preserve">annually for Class I, </w:t>
      </w:r>
      <w:r w:rsidR="00C25838">
        <w:t>semi-monthly for active Class III wells</w:t>
      </w:r>
      <w:r w:rsidR="008B3571">
        <w:t xml:space="preserve"> and</w:t>
      </w:r>
      <w:r w:rsidR="00C25838">
        <w:t xml:space="preserve"> monthly for Class III facilities in restoration</w:t>
      </w:r>
      <w:r w:rsidR="008B3571">
        <w:t>,</w:t>
      </w:r>
      <w:r w:rsidR="004E46AD">
        <w:t xml:space="preserve"> and </w:t>
      </w:r>
      <w:r w:rsidR="00271B51">
        <w:t xml:space="preserve">per the </w:t>
      </w:r>
      <w:r w:rsidR="00DF13BC">
        <w:t xml:space="preserve">approved </w:t>
      </w:r>
      <w:r w:rsidR="008B3571">
        <w:t xml:space="preserve">Testing and Monitoring Plan </w:t>
      </w:r>
      <w:r w:rsidR="00271B51">
        <w:t xml:space="preserve">for </w:t>
      </w:r>
      <w:r w:rsidR="004E46AD">
        <w:t>Class VI</w:t>
      </w:r>
      <w:r w:rsidR="00C25838">
        <w:t>]</w:t>
      </w:r>
      <w:r w:rsidR="00271B51">
        <w:t xml:space="preserve">; </w:t>
      </w:r>
    </w:p>
    <w:p w:rsidR="00B029A9" w:rsidP="003B6334" w:rsidRDefault="001E34C3" w14:paraId="03CBB2C3" w14:textId="72AE1E45">
      <w:pPr>
        <w:pStyle w:val="a0"/>
        <w:numPr>
          <w:ilvl w:val="0"/>
          <w:numId w:val="5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pPr>
      <w:r>
        <w:t>A</w:t>
      </w:r>
      <w:r w:rsidR="008B3571">
        <w:t xml:space="preserve"> pressure fall-off test [annually for Class I and VI];</w:t>
      </w:r>
    </w:p>
    <w:p w:rsidR="00B606A9" w:rsidP="003B6334" w:rsidRDefault="001E34C3" w14:paraId="38959438" w14:textId="511B998A">
      <w:pPr>
        <w:pStyle w:val="a0"/>
        <w:numPr>
          <w:ilvl w:val="0"/>
          <w:numId w:val="5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pPr>
      <w:r>
        <w:t>S</w:t>
      </w:r>
      <w:r w:rsidR="00B606A9">
        <w:t>ludge monitoring [</w:t>
      </w:r>
      <w:r w:rsidR="008B3571">
        <w:t xml:space="preserve">annually in </w:t>
      </w:r>
      <w:r w:rsidR="00B606A9">
        <w:t>permitted Class V MVWDWs];</w:t>
      </w:r>
      <w:r w:rsidR="00A455B3">
        <w:t xml:space="preserve"> and</w:t>
      </w:r>
    </w:p>
    <w:p w:rsidR="00C25838" w:rsidP="003B6334" w:rsidRDefault="00B029A9" w14:paraId="5D63F6B8" w14:textId="77777777">
      <w:pPr>
        <w:pStyle w:val="a0"/>
        <w:numPr>
          <w:ilvl w:val="0"/>
          <w:numId w:val="5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pPr>
      <w:r>
        <w:t>CO</w:t>
      </w:r>
      <w:r w:rsidRPr="00561972">
        <w:rPr>
          <w:vertAlign w:val="subscript"/>
        </w:rPr>
        <w:t>2</w:t>
      </w:r>
      <w:r>
        <w:t xml:space="preserve"> plume and pressure front </w:t>
      </w:r>
      <w:r w:rsidR="008B3571">
        <w:t xml:space="preserve">tracking </w:t>
      </w:r>
      <w:r>
        <w:t xml:space="preserve">using direct methods and </w:t>
      </w:r>
      <w:r w:rsidR="00561972">
        <w:t>indirect methods, unless the Director determines this is not feasible</w:t>
      </w:r>
      <w:r w:rsidR="00E054C1">
        <w:t xml:space="preserve"> given site-specific geologic conditions</w:t>
      </w:r>
      <w:r w:rsidR="00561972">
        <w:t xml:space="preserve"> [Class VI]</w:t>
      </w:r>
      <w:r w:rsidR="00C25838">
        <w:t>.</w:t>
      </w:r>
    </w:p>
    <w:p w:rsidR="00C25838" w:rsidRDefault="00C25838" w14:paraId="5EFCCA88"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C25838" w:rsidP="00CC0069" w:rsidRDefault="00C25838" w14:paraId="22F2AD82"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b/>
          <w:bCs/>
          <w:sz w:val="24"/>
          <w:szCs w:val="24"/>
        </w:rPr>
        <w:t xml:space="preserve">Reporting and Recordkeeping Requirements </w:t>
      </w:r>
    </w:p>
    <w:p w:rsidR="00C25838" w:rsidP="00CC0069" w:rsidRDefault="00C25838" w14:paraId="52F70F7E"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CC0069" w:rsidRDefault="00C25838" w14:paraId="6B1A489C" w14:textId="0E8FE9D6">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All </w:t>
      </w:r>
      <w:r w:rsidR="00454CFB">
        <w:rPr>
          <w:sz w:val="24"/>
          <w:szCs w:val="24"/>
        </w:rPr>
        <w:t xml:space="preserve">operators of </w:t>
      </w:r>
      <w:r>
        <w:rPr>
          <w:sz w:val="24"/>
          <w:szCs w:val="24"/>
        </w:rPr>
        <w:t xml:space="preserve">permitted and rule-authorized wells must report to </w:t>
      </w:r>
      <w:r w:rsidR="008176C6">
        <w:rPr>
          <w:sz w:val="24"/>
          <w:szCs w:val="24"/>
        </w:rPr>
        <w:t xml:space="preserve">primacy </w:t>
      </w:r>
      <w:r>
        <w:rPr>
          <w:sz w:val="24"/>
          <w:szCs w:val="24"/>
        </w:rPr>
        <w:t>state or DI agencies on the results of required monitoring and testing</w:t>
      </w:r>
      <w:r w:rsidR="00AE41C4">
        <w:rPr>
          <w:sz w:val="24"/>
          <w:szCs w:val="24"/>
        </w:rPr>
        <w:t xml:space="preserve"> (using </w:t>
      </w:r>
      <w:r w:rsidR="00970A5C">
        <w:rPr>
          <w:sz w:val="24"/>
          <w:szCs w:val="24"/>
        </w:rPr>
        <w:t>F</w:t>
      </w:r>
      <w:r w:rsidR="00AE41C4">
        <w:rPr>
          <w:sz w:val="24"/>
          <w:szCs w:val="24"/>
        </w:rPr>
        <w:t>orm 7520-8 or 7520-11, or state equivalents)</w:t>
      </w:r>
      <w:r>
        <w:rPr>
          <w:sz w:val="24"/>
          <w:szCs w:val="24"/>
        </w:rPr>
        <w:t>.</w:t>
      </w:r>
      <w:r>
        <w:rPr>
          <w:rStyle w:val="FootnoteReference"/>
          <w:sz w:val="24"/>
          <w:szCs w:val="24"/>
        </w:rPr>
        <w:footnoteReference w:id="9"/>
      </w:r>
      <w:r w:rsidR="00F84502">
        <w:rPr>
          <w:sz w:val="24"/>
          <w:szCs w:val="24"/>
        </w:rPr>
        <w:t xml:space="preserve"> </w:t>
      </w:r>
      <w:r>
        <w:rPr>
          <w:sz w:val="24"/>
          <w:szCs w:val="24"/>
        </w:rPr>
        <w:t>In addition, operators must notify the permitting authority of any planned changes to the facility; changes that may result in noncompliance; progress in meeting the milestones of a compliance schedule; any loss of mechanical integrity or other indication of possible endangerment of a USDW; or any noncompliance with permit conditions</w:t>
      </w:r>
      <w:r w:rsidRPr="00454CFB" w:rsidR="00454CFB">
        <w:rPr>
          <w:sz w:val="24"/>
          <w:szCs w:val="24"/>
        </w:rPr>
        <w:t xml:space="preserve"> </w:t>
      </w:r>
      <w:r w:rsidR="00454CFB">
        <w:rPr>
          <w:sz w:val="24"/>
          <w:szCs w:val="24"/>
        </w:rPr>
        <w:t>within 24 hours</w:t>
      </w:r>
      <w:r w:rsidR="00F84502">
        <w:rPr>
          <w:sz w:val="24"/>
          <w:szCs w:val="24"/>
        </w:rPr>
        <w:t xml:space="preserve">. </w:t>
      </w:r>
      <w:r w:rsidR="00AE41C4">
        <w:rPr>
          <w:sz w:val="24"/>
          <w:szCs w:val="24"/>
        </w:rPr>
        <w:t>O</w:t>
      </w:r>
      <w:r w:rsidRPr="00AE41C4" w:rsidR="00AE41C4">
        <w:rPr>
          <w:sz w:val="24"/>
          <w:szCs w:val="24"/>
        </w:rPr>
        <w:t xml:space="preserve">perators must also notify the permitting authority if they plan to work over the well (using </w:t>
      </w:r>
      <w:r w:rsidR="00970A5C">
        <w:rPr>
          <w:sz w:val="24"/>
          <w:szCs w:val="24"/>
        </w:rPr>
        <w:t>F</w:t>
      </w:r>
      <w:r w:rsidRPr="00AE41C4" w:rsidR="00AE41C4">
        <w:rPr>
          <w:sz w:val="24"/>
          <w:szCs w:val="24"/>
        </w:rPr>
        <w:t>orm 7520-</w:t>
      </w:r>
      <w:r w:rsidR="00AE41C4">
        <w:rPr>
          <w:sz w:val="24"/>
          <w:szCs w:val="24"/>
        </w:rPr>
        <w:t>1</w:t>
      </w:r>
      <w:r w:rsidR="004713E1">
        <w:rPr>
          <w:sz w:val="24"/>
          <w:szCs w:val="24"/>
        </w:rPr>
        <w:t>9</w:t>
      </w:r>
      <w:r w:rsidRPr="00AE41C4" w:rsidR="00AE41C4">
        <w:rPr>
          <w:sz w:val="24"/>
          <w:szCs w:val="24"/>
        </w:rPr>
        <w:t xml:space="preserve"> </w:t>
      </w:r>
      <w:r w:rsidR="00AE41C4">
        <w:rPr>
          <w:sz w:val="24"/>
          <w:szCs w:val="24"/>
        </w:rPr>
        <w:t>or a state equivalent</w:t>
      </w:r>
      <w:r w:rsidRPr="00AE41C4" w:rsidR="00AE41C4">
        <w:rPr>
          <w:sz w:val="24"/>
          <w:szCs w:val="24"/>
        </w:rPr>
        <w:t xml:space="preserve">) or of a transfer their permit (via </w:t>
      </w:r>
      <w:r w:rsidR="00970A5C">
        <w:rPr>
          <w:sz w:val="24"/>
          <w:szCs w:val="24"/>
        </w:rPr>
        <w:t>F</w:t>
      </w:r>
      <w:r w:rsidRPr="00AE41C4" w:rsidR="00AE41C4">
        <w:rPr>
          <w:sz w:val="24"/>
          <w:szCs w:val="24"/>
        </w:rPr>
        <w:t>orm 7520-</w:t>
      </w:r>
      <w:r w:rsidR="00AE41C4">
        <w:rPr>
          <w:sz w:val="24"/>
          <w:szCs w:val="24"/>
        </w:rPr>
        <w:t>7</w:t>
      </w:r>
      <w:r w:rsidRPr="00AE41C4" w:rsidR="00AE41C4">
        <w:rPr>
          <w:sz w:val="24"/>
          <w:szCs w:val="24"/>
        </w:rPr>
        <w:t xml:space="preserve"> </w:t>
      </w:r>
      <w:r w:rsidR="00AE41C4">
        <w:rPr>
          <w:sz w:val="24"/>
          <w:szCs w:val="24"/>
        </w:rPr>
        <w:t>or a state equivalent</w:t>
      </w:r>
      <w:r w:rsidRPr="00AE41C4" w:rsidR="00AE41C4">
        <w:rPr>
          <w:sz w:val="24"/>
          <w:szCs w:val="24"/>
        </w:rPr>
        <w:t>).</w:t>
      </w:r>
    </w:p>
    <w:p w:rsidR="00C25838" w:rsidP="00CC0069" w:rsidRDefault="00C25838" w14:paraId="6A6081D4"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3D67FA" w:rsidRDefault="00C25838" w14:paraId="13619748"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Scheduled reporting requirements include the following:</w:t>
      </w:r>
    </w:p>
    <w:p w:rsidRPr="00561972" w:rsidR="00561972" w:rsidP="003D67FA" w:rsidRDefault="00561972" w14:paraId="21F562E6"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61972" w:rsidR="00561972" w:rsidP="003D67FA" w:rsidRDefault="00561972" w14:paraId="5DDFDECE" w14:textId="77777777">
      <w:pPr>
        <w:numPr>
          <w:ilvl w:val="0"/>
          <w:numId w:val="38"/>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561972">
        <w:rPr>
          <w:sz w:val="24"/>
          <w:szCs w:val="24"/>
        </w:rPr>
        <w:t>Class I hazardous well operators report quarterly on monitoring results; and annually on MITs and to update their plugging and abandonment cost estimates.</w:t>
      </w:r>
    </w:p>
    <w:p w:rsidRPr="00561972" w:rsidR="00561972" w:rsidP="003D67FA" w:rsidRDefault="00561972" w14:paraId="1693728C" w14:textId="77777777">
      <w:pPr>
        <w:numPr>
          <w:ilvl w:val="0"/>
          <w:numId w:val="38"/>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561972">
        <w:rPr>
          <w:sz w:val="24"/>
          <w:szCs w:val="24"/>
        </w:rPr>
        <w:t>Class I nonhazardous well operators are required to report qu</w:t>
      </w:r>
      <w:r w:rsidR="00692454">
        <w:rPr>
          <w:sz w:val="24"/>
          <w:szCs w:val="24"/>
        </w:rPr>
        <w:t>arterly on injectate monitoring, annually on ambient monitoring,</w:t>
      </w:r>
      <w:r w:rsidRPr="00561972">
        <w:rPr>
          <w:sz w:val="24"/>
          <w:szCs w:val="24"/>
        </w:rPr>
        <w:t xml:space="preserve"> and on MITs every </w:t>
      </w:r>
      <w:r w:rsidR="00B257F5">
        <w:rPr>
          <w:sz w:val="24"/>
          <w:szCs w:val="24"/>
        </w:rPr>
        <w:t>five</w:t>
      </w:r>
      <w:r w:rsidRPr="00561972">
        <w:rPr>
          <w:sz w:val="24"/>
          <w:szCs w:val="24"/>
        </w:rPr>
        <w:t xml:space="preserve"> years.</w:t>
      </w:r>
    </w:p>
    <w:p w:rsidRPr="00561972" w:rsidR="00561972" w:rsidP="003D67FA" w:rsidRDefault="00561972" w14:paraId="196EA909" w14:textId="77777777">
      <w:pPr>
        <w:numPr>
          <w:ilvl w:val="0"/>
          <w:numId w:val="38"/>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561972">
        <w:rPr>
          <w:sz w:val="24"/>
          <w:szCs w:val="24"/>
        </w:rPr>
        <w:lastRenderedPageBreak/>
        <w:t>Class II operators must report monitoring data annually</w:t>
      </w:r>
      <w:r w:rsidR="002F149C">
        <w:rPr>
          <w:sz w:val="24"/>
          <w:szCs w:val="24"/>
        </w:rPr>
        <w:t>,</w:t>
      </w:r>
      <w:r w:rsidRPr="00561972">
        <w:rPr>
          <w:sz w:val="24"/>
          <w:szCs w:val="24"/>
        </w:rPr>
        <w:t xml:space="preserve"> and on MITs every </w:t>
      </w:r>
      <w:r w:rsidR="00B257F5">
        <w:rPr>
          <w:sz w:val="24"/>
          <w:szCs w:val="24"/>
        </w:rPr>
        <w:t>five</w:t>
      </w:r>
      <w:r w:rsidRPr="00561972">
        <w:rPr>
          <w:sz w:val="24"/>
          <w:szCs w:val="24"/>
        </w:rPr>
        <w:t xml:space="preserve"> years.</w:t>
      </w:r>
    </w:p>
    <w:p w:rsidRPr="00561972" w:rsidR="00561972" w:rsidP="003D67FA" w:rsidRDefault="00561972" w14:paraId="4B1A4B5D" w14:textId="77777777">
      <w:pPr>
        <w:numPr>
          <w:ilvl w:val="0"/>
          <w:numId w:val="38"/>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561972">
        <w:rPr>
          <w:sz w:val="24"/>
          <w:szCs w:val="24"/>
        </w:rPr>
        <w:t xml:space="preserve">Class III operators report quarterly on monitoring and on MITs every </w:t>
      </w:r>
      <w:r w:rsidR="00B257F5">
        <w:rPr>
          <w:sz w:val="24"/>
          <w:szCs w:val="24"/>
        </w:rPr>
        <w:t>five</w:t>
      </w:r>
      <w:r w:rsidRPr="00561972">
        <w:rPr>
          <w:sz w:val="24"/>
          <w:szCs w:val="24"/>
        </w:rPr>
        <w:t xml:space="preserve"> years.</w:t>
      </w:r>
    </w:p>
    <w:p w:rsidR="00561972" w:rsidP="003D67FA" w:rsidRDefault="00561972" w14:paraId="43077BD1" w14:textId="77777777">
      <w:pPr>
        <w:numPr>
          <w:ilvl w:val="0"/>
          <w:numId w:val="38"/>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561972">
        <w:rPr>
          <w:sz w:val="24"/>
          <w:szCs w:val="24"/>
        </w:rPr>
        <w:t xml:space="preserve">Class V </w:t>
      </w:r>
      <w:r w:rsidR="00692454">
        <w:rPr>
          <w:sz w:val="24"/>
          <w:szCs w:val="24"/>
        </w:rPr>
        <w:t xml:space="preserve">MVWDW </w:t>
      </w:r>
      <w:r w:rsidRPr="00561972">
        <w:rPr>
          <w:sz w:val="24"/>
          <w:szCs w:val="24"/>
        </w:rPr>
        <w:t>operators that obtain a permit must report annually on injectate and sludge monitoring.</w:t>
      </w:r>
    </w:p>
    <w:p w:rsidRPr="00561972" w:rsidR="00561972" w:rsidP="00E73F90" w:rsidRDefault="00561972" w14:paraId="7240FA27" w14:textId="77777777">
      <w:pPr>
        <w:numPr>
          <w:ilvl w:val="0"/>
          <w:numId w:val="38"/>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Pr>
          <w:sz w:val="24"/>
          <w:szCs w:val="24"/>
        </w:rPr>
        <w:t>Class VI well operators</w:t>
      </w:r>
      <w:r w:rsidR="00F41B44">
        <w:rPr>
          <w:sz w:val="24"/>
          <w:szCs w:val="24"/>
        </w:rPr>
        <w:t xml:space="preserve"> must </w:t>
      </w:r>
      <w:r w:rsidR="00692454">
        <w:rPr>
          <w:sz w:val="24"/>
          <w:szCs w:val="24"/>
        </w:rPr>
        <w:t>submit semi-annual reports</w:t>
      </w:r>
      <w:r w:rsidR="00F41B44">
        <w:rPr>
          <w:sz w:val="24"/>
          <w:szCs w:val="24"/>
        </w:rPr>
        <w:t>.</w:t>
      </w:r>
    </w:p>
    <w:p w:rsidRPr="00561972" w:rsidR="00561972" w:rsidP="00561972" w:rsidRDefault="00561972" w14:paraId="41C99072"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F0183" w:rsidRDefault="00C25838" w14:paraId="6CB73D01"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EF0183">
        <w:rPr>
          <w:sz w:val="24"/>
          <w:szCs w:val="24"/>
        </w:rPr>
        <w:t>Owners or operators of Class VI wells must also reevaluate the AoR at least every five years and submit a report to the permitting authority. Following the reevaluation, operators must update the A</w:t>
      </w:r>
      <w:r w:rsidR="00D84AF4">
        <w:rPr>
          <w:sz w:val="24"/>
          <w:szCs w:val="24"/>
        </w:rPr>
        <w:t>oR</w:t>
      </w:r>
      <w:r w:rsidR="00EF0183">
        <w:rPr>
          <w:sz w:val="24"/>
          <w:szCs w:val="24"/>
        </w:rPr>
        <w:t xml:space="preserve"> and </w:t>
      </w:r>
      <w:r w:rsidR="00BB4952">
        <w:rPr>
          <w:sz w:val="24"/>
          <w:szCs w:val="24"/>
        </w:rPr>
        <w:t xml:space="preserve">Corrective Action Plan, Testing and Monitoring Plan, and Emergency and Remedial Response Plan </w:t>
      </w:r>
      <w:r w:rsidR="00EF0183">
        <w:rPr>
          <w:sz w:val="24"/>
          <w:szCs w:val="24"/>
        </w:rPr>
        <w:t>based on the results of the revised AoR or submit information that no updates to the plans are necessary.</w:t>
      </w:r>
    </w:p>
    <w:p w:rsidR="00EF0183" w:rsidRDefault="00EF0183" w14:paraId="4CAC362A"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EF0183" w14:paraId="05A6CB31" w14:textId="6BD33D2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C25838">
        <w:rPr>
          <w:sz w:val="24"/>
          <w:szCs w:val="24"/>
        </w:rPr>
        <w:t xml:space="preserve">For rule-authorized wells in DI states, the Regional Administrator may require operators to submit additional information, as needed, to determine if a well poses a </w:t>
      </w:r>
      <w:r w:rsidR="00E054C1">
        <w:rPr>
          <w:sz w:val="24"/>
          <w:szCs w:val="24"/>
        </w:rPr>
        <w:t xml:space="preserve">risk of endangerment </w:t>
      </w:r>
      <w:r w:rsidR="00C25838">
        <w:rPr>
          <w:sz w:val="24"/>
          <w:szCs w:val="24"/>
        </w:rPr>
        <w:t>to USDWs</w:t>
      </w:r>
      <w:r w:rsidR="00F84502">
        <w:rPr>
          <w:sz w:val="24"/>
          <w:szCs w:val="24"/>
        </w:rPr>
        <w:t xml:space="preserve">. </w:t>
      </w:r>
      <w:r w:rsidR="00C25838">
        <w:rPr>
          <w:sz w:val="24"/>
          <w:szCs w:val="24"/>
        </w:rPr>
        <w:t xml:space="preserve">Such information may include periodic reports of </w:t>
      </w:r>
      <w:r w:rsidR="00730060">
        <w:rPr>
          <w:sz w:val="24"/>
          <w:szCs w:val="24"/>
        </w:rPr>
        <w:t xml:space="preserve">ground water </w:t>
      </w:r>
      <w:r w:rsidR="00C25838">
        <w:rPr>
          <w:sz w:val="24"/>
          <w:szCs w:val="24"/>
        </w:rPr>
        <w:t xml:space="preserve">monitoring; periodic reports on analysis of injected fluids; </w:t>
      </w:r>
      <w:r w:rsidR="00454CFB">
        <w:rPr>
          <w:sz w:val="24"/>
          <w:szCs w:val="24"/>
        </w:rPr>
        <w:t xml:space="preserve">or </w:t>
      </w:r>
      <w:r w:rsidR="00C25838">
        <w:rPr>
          <w:sz w:val="24"/>
          <w:szCs w:val="24"/>
        </w:rPr>
        <w:t>a description of the geologic strata through and into which injection is taking place.</w:t>
      </w:r>
    </w:p>
    <w:p w:rsidR="00C25838" w:rsidRDefault="00C25838" w14:paraId="6ACDD9C9"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7628DCB1" w14:textId="21DDF0BD">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Operators must maintain monitoring information, calibration and maintenance records, required reports, application data, and monitoring results for </w:t>
      </w:r>
      <w:r w:rsidR="00B257F5">
        <w:rPr>
          <w:sz w:val="24"/>
          <w:szCs w:val="24"/>
        </w:rPr>
        <w:t>three</w:t>
      </w:r>
      <w:r>
        <w:rPr>
          <w:sz w:val="24"/>
          <w:szCs w:val="24"/>
        </w:rPr>
        <w:t xml:space="preserve"> years and keep their most recent plugging and abandonment cost estimate for </w:t>
      </w:r>
      <w:r w:rsidR="00B257F5">
        <w:rPr>
          <w:sz w:val="24"/>
          <w:szCs w:val="24"/>
        </w:rPr>
        <w:t>one</w:t>
      </w:r>
      <w:r>
        <w:rPr>
          <w:sz w:val="24"/>
          <w:szCs w:val="24"/>
        </w:rPr>
        <w:t xml:space="preserve"> year.</w:t>
      </w:r>
    </w:p>
    <w:p w:rsidR="00C25838" w:rsidRDefault="00C25838" w14:paraId="18A76911"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697660E7" w14:textId="77777777">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b/>
          <w:bCs/>
          <w:sz w:val="24"/>
          <w:szCs w:val="24"/>
        </w:rPr>
        <w:t>Closure Requirements</w:t>
      </w:r>
    </w:p>
    <w:p w:rsidR="00C25838" w:rsidRDefault="00C25838" w14:paraId="7D7072CD" w14:textId="77777777">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5DF13076"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When closing their wells, operators must submit to the permitting authority a plugging and abandonment report </w:t>
      </w:r>
      <w:r w:rsidR="00692454">
        <w:rPr>
          <w:sz w:val="24"/>
          <w:szCs w:val="24"/>
        </w:rPr>
        <w:t>demonstrating</w:t>
      </w:r>
      <w:r>
        <w:rPr>
          <w:sz w:val="24"/>
          <w:szCs w:val="24"/>
        </w:rPr>
        <w:t xml:space="preserve"> that the well was plugged in accordance with the plugging and abandonment plan (this requirement does not apply to rule-authorized Class V wells)</w:t>
      </w:r>
      <w:r w:rsidR="00F84502">
        <w:rPr>
          <w:sz w:val="24"/>
          <w:szCs w:val="24"/>
        </w:rPr>
        <w:t xml:space="preserve">. </w:t>
      </w:r>
      <w:r>
        <w:rPr>
          <w:sz w:val="24"/>
          <w:szCs w:val="24"/>
        </w:rPr>
        <w:t>Operators who choose to plug</w:t>
      </w:r>
      <w:r w:rsidR="00E054C1">
        <w:rPr>
          <w:sz w:val="24"/>
          <w:szCs w:val="24"/>
        </w:rPr>
        <w:t xml:space="preserve"> their wells</w:t>
      </w:r>
      <w:r>
        <w:rPr>
          <w:sz w:val="24"/>
          <w:szCs w:val="24"/>
        </w:rPr>
        <w:t xml:space="preserve"> in a manner different from the one specified in their plugging and abandonment plan must first submit and obtain approval for a revised plugging and abandonment plan.</w:t>
      </w:r>
    </w:p>
    <w:p w:rsidR="00C25838" w:rsidRDefault="00C25838" w14:paraId="08DD00CD"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21747B76"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Class I hazardous waste well operators must also conduct a pressure fall-off test and demonstrate mechanical integrity before plugging the well and report the results of these tests with their closure reports.</w:t>
      </w:r>
    </w:p>
    <w:p w:rsidR="00E71F53" w:rsidRDefault="00E71F53" w14:paraId="0CB1202F"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E41C4" w:rsidRDefault="00E71F53" w14:paraId="022C550A" w14:textId="13FACF9C">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AE41C4">
        <w:rPr>
          <w:sz w:val="24"/>
          <w:szCs w:val="24"/>
        </w:rPr>
        <w:t xml:space="preserve">Owners or operators of </w:t>
      </w:r>
      <w:r w:rsidRPr="00AE41C4" w:rsidR="00AE41C4">
        <w:rPr>
          <w:sz w:val="24"/>
          <w:szCs w:val="24"/>
        </w:rPr>
        <w:t>Class IV and endangering Class V well</w:t>
      </w:r>
      <w:r w:rsidR="00AE41C4">
        <w:rPr>
          <w:sz w:val="24"/>
          <w:szCs w:val="24"/>
        </w:rPr>
        <w:t>s</w:t>
      </w:r>
      <w:r w:rsidRPr="00AE41C4" w:rsidR="00AE41C4">
        <w:rPr>
          <w:sz w:val="24"/>
          <w:szCs w:val="24"/>
        </w:rPr>
        <w:t xml:space="preserve"> will submit a pre-closure notification (via </w:t>
      </w:r>
      <w:r w:rsidR="00970A5C">
        <w:rPr>
          <w:sz w:val="24"/>
          <w:szCs w:val="24"/>
        </w:rPr>
        <w:t>F</w:t>
      </w:r>
      <w:r w:rsidRPr="00AE41C4" w:rsidR="00AE41C4">
        <w:rPr>
          <w:sz w:val="24"/>
          <w:szCs w:val="24"/>
        </w:rPr>
        <w:t>orm 7520-</w:t>
      </w:r>
      <w:r w:rsidR="00AE41C4">
        <w:rPr>
          <w:sz w:val="24"/>
          <w:szCs w:val="24"/>
        </w:rPr>
        <w:t>17</w:t>
      </w:r>
      <w:r w:rsidRPr="00AE41C4" w:rsidR="00AE41C4">
        <w:rPr>
          <w:sz w:val="24"/>
          <w:szCs w:val="24"/>
        </w:rPr>
        <w:t xml:space="preserve"> or </w:t>
      </w:r>
      <w:r w:rsidR="00454CFB">
        <w:rPr>
          <w:sz w:val="24"/>
          <w:szCs w:val="24"/>
        </w:rPr>
        <w:t xml:space="preserve">a </w:t>
      </w:r>
      <w:r w:rsidRPr="00AE41C4" w:rsidR="00AE41C4">
        <w:rPr>
          <w:sz w:val="24"/>
          <w:szCs w:val="24"/>
        </w:rPr>
        <w:t>state equivalent) before plugging their wells</w:t>
      </w:r>
      <w:r w:rsidR="00AE41C4">
        <w:rPr>
          <w:sz w:val="24"/>
          <w:szCs w:val="24"/>
        </w:rPr>
        <w:t>.</w:t>
      </w:r>
    </w:p>
    <w:p w:rsidR="00AE41C4" w:rsidRDefault="00AE41C4" w14:paraId="79C70951"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35B1D" w:rsidRDefault="00AE41C4" w14:paraId="33EC2BB6" w14:textId="3036919C">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692454">
        <w:rPr>
          <w:sz w:val="24"/>
          <w:szCs w:val="24"/>
        </w:rPr>
        <w:t xml:space="preserve">Additionally, </w:t>
      </w:r>
      <w:r w:rsidR="00E71F53">
        <w:rPr>
          <w:sz w:val="24"/>
          <w:szCs w:val="24"/>
        </w:rPr>
        <w:t xml:space="preserve">Class VI well operators must revise </w:t>
      </w:r>
      <w:r w:rsidR="00BB4952">
        <w:rPr>
          <w:sz w:val="24"/>
          <w:szCs w:val="24"/>
        </w:rPr>
        <w:t xml:space="preserve">their </w:t>
      </w:r>
      <w:r w:rsidR="00E71F53">
        <w:rPr>
          <w:sz w:val="24"/>
          <w:szCs w:val="24"/>
        </w:rPr>
        <w:t>PISC and Site Closure Plans or demonstrate that no revision is needed</w:t>
      </w:r>
      <w:r w:rsidR="000A16AF">
        <w:rPr>
          <w:sz w:val="24"/>
          <w:szCs w:val="24"/>
        </w:rPr>
        <w:t>;</w:t>
      </w:r>
      <w:r w:rsidR="00E71F53">
        <w:rPr>
          <w:sz w:val="24"/>
          <w:szCs w:val="24"/>
        </w:rPr>
        <w:t xml:space="preserve"> </w:t>
      </w:r>
      <w:r w:rsidR="00BB4952">
        <w:rPr>
          <w:sz w:val="24"/>
          <w:szCs w:val="24"/>
        </w:rPr>
        <w:t xml:space="preserve">conduct and </w:t>
      </w:r>
      <w:r w:rsidR="00E71F53">
        <w:rPr>
          <w:sz w:val="24"/>
          <w:szCs w:val="24"/>
        </w:rPr>
        <w:t xml:space="preserve">report the results of post-injection ground water quality monitoring and the position of the </w:t>
      </w:r>
      <w:r w:rsidR="00454CFB">
        <w:rPr>
          <w:sz w:val="24"/>
          <w:szCs w:val="24"/>
        </w:rPr>
        <w:t>CO</w:t>
      </w:r>
      <w:r w:rsidRPr="00170A5B" w:rsidR="00454CFB">
        <w:rPr>
          <w:sz w:val="24"/>
          <w:szCs w:val="24"/>
          <w:vertAlign w:val="subscript"/>
        </w:rPr>
        <w:t>2</w:t>
      </w:r>
      <w:r w:rsidR="00454CFB">
        <w:rPr>
          <w:sz w:val="24"/>
          <w:szCs w:val="24"/>
        </w:rPr>
        <w:t xml:space="preserve"> </w:t>
      </w:r>
      <w:r w:rsidR="00E71F53">
        <w:rPr>
          <w:sz w:val="24"/>
          <w:szCs w:val="24"/>
        </w:rPr>
        <w:t>plume and pressure front</w:t>
      </w:r>
      <w:r w:rsidR="00EF0183">
        <w:rPr>
          <w:sz w:val="24"/>
          <w:szCs w:val="24"/>
        </w:rPr>
        <w:t xml:space="preserve"> throughout the </w:t>
      </w:r>
      <w:r w:rsidR="00EF0183">
        <w:rPr>
          <w:sz w:val="24"/>
          <w:szCs w:val="24"/>
        </w:rPr>
        <w:lastRenderedPageBreak/>
        <w:t>PISC period</w:t>
      </w:r>
      <w:r w:rsidR="000A16AF">
        <w:rPr>
          <w:sz w:val="24"/>
          <w:szCs w:val="24"/>
        </w:rPr>
        <w:t>;</w:t>
      </w:r>
      <w:r w:rsidR="00E71F53">
        <w:rPr>
          <w:sz w:val="24"/>
          <w:szCs w:val="24"/>
        </w:rPr>
        <w:t xml:space="preserve"> complete a non-endangerment demonstration that</w:t>
      </w:r>
      <w:r w:rsidRPr="00142C5A" w:rsidR="00142C5A">
        <w:rPr>
          <w:sz w:val="24"/>
          <w:szCs w:val="24"/>
        </w:rPr>
        <w:t xml:space="preserve">, based on monitoring and other site-specific data, the project does not pose an endangerment </w:t>
      </w:r>
      <w:r w:rsidR="00E71F53">
        <w:rPr>
          <w:sz w:val="24"/>
          <w:szCs w:val="24"/>
        </w:rPr>
        <w:t xml:space="preserve">to USDWs </w:t>
      </w:r>
      <w:r w:rsidRPr="00142C5A" w:rsidR="00142C5A">
        <w:rPr>
          <w:sz w:val="24"/>
          <w:szCs w:val="24"/>
        </w:rPr>
        <w:t>prior to receiving authorization to perform site closure activities</w:t>
      </w:r>
      <w:r w:rsidR="000A16AF">
        <w:rPr>
          <w:sz w:val="24"/>
          <w:szCs w:val="24"/>
        </w:rPr>
        <w:t>;</w:t>
      </w:r>
      <w:r w:rsidR="00E71F53">
        <w:rPr>
          <w:sz w:val="24"/>
          <w:szCs w:val="24"/>
        </w:rPr>
        <w:t xml:space="preserve"> and submit a site closure report</w:t>
      </w:r>
      <w:r w:rsidR="000B604F">
        <w:rPr>
          <w:sz w:val="24"/>
          <w:szCs w:val="24"/>
        </w:rPr>
        <w:t>,</w:t>
      </w:r>
      <w:r w:rsidR="00E71F53">
        <w:rPr>
          <w:sz w:val="24"/>
          <w:szCs w:val="24"/>
        </w:rPr>
        <w:t xml:space="preserve"> including a c</w:t>
      </w:r>
      <w:r w:rsidR="000A16AF">
        <w:rPr>
          <w:sz w:val="24"/>
          <w:szCs w:val="24"/>
        </w:rPr>
        <w:t>opy of the notation o</w:t>
      </w:r>
      <w:r w:rsidR="00E71F53">
        <w:rPr>
          <w:sz w:val="24"/>
          <w:szCs w:val="24"/>
        </w:rPr>
        <w:t>n</w:t>
      </w:r>
      <w:r w:rsidR="000A16AF">
        <w:rPr>
          <w:sz w:val="24"/>
          <w:szCs w:val="24"/>
        </w:rPr>
        <w:t xml:space="preserve"> </w:t>
      </w:r>
      <w:r w:rsidR="00E71F53">
        <w:rPr>
          <w:sz w:val="24"/>
          <w:szCs w:val="24"/>
        </w:rPr>
        <w:t xml:space="preserve">the </w:t>
      </w:r>
      <w:r w:rsidR="000B604F">
        <w:rPr>
          <w:sz w:val="24"/>
          <w:szCs w:val="24"/>
        </w:rPr>
        <w:t xml:space="preserve">property </w:t>
      </w:r>
      <w:r w:rsidR="00E71F53">
        <w:rPr>
          <w:sz w:val="24"/>
          <w:szCs w:val="24"/>
        </w:rPr>
        <w:t>deed regarding the fact that injection occurred</w:t>
      </w:r>
      <w:r w:rsidR="00454CFB">
        <w:rPr>
          <w:sz w:val="24"/>
          <w:szCs w:val="24"/>
        </w:rPr>
        <w:t>.</w:t>
      </w:r>
    </w:p>
    <w:p w:rsidR="00C25838" w:rsidRDefault="00C25838" w14:paraId="724489AE"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0A26DF" w14:paraId="4A62BB1E" w14:textId="3051F0E5">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
          <w:bCs/>
          <w:sz w:val="24"/>
          <w:szCs w:val="24"/>
        </w:rPr>
        <w:t>4(b)(2)</w:t>
      </w:r>
      <w:r>
        <w:rPr>
          <w:b/>
          <w:bCs/>
          <w:sz w:val="24"/>
          <w:szCs w:val="24"/>
        </w:rPr>
        <w:tab/>
        <w:t>Data Items</w:t>
      </w:r>
      <w:r>
        <w:rPr>
          <w:sz w:val="24"/>
          <w:szCs w:val="24"/>
        </w:rPr>
        <w:t xml:space="preserve"> </w:t>
      </w:r>
      <w:r>
        <w:rPr>
          <w:b/>
          <w:bCs/>
          <w:sz w:val="24"/>
          <w:szCs w:val="24"/>
        </w:rPr>
        <w:t xml:space="preserve">Including Recordkeeping, </w:t>
      </w:r>
      <w:r w:rsidR="00C25838">
        <w:rPr>
          <w:b/>
          <w:bCs/>
          <w:sz w:val="24"/>
          <w:szCs w:val="24"/>
        </w:rPr>
        <w:t xml:space="preserve">Required from </w:t>
      </w:r>
      <w:r w:rsidR="008176C6">
        <w:rPr>
          <w:b/>
          <w:bCs/>
          <w:sz w:val="24"/>
          <w:szCs w:val="24"/>
        </w:rPr>
        <w:t xml:space="preserve">Primacy </w:t>
      </w:r>
      <w:r w:rsidR="00C25838">
        <w:rPr>
          <w:b/>
          <w:bCs/>
          <w:sz w:val="24"/>
          <w:szCs w:val="24"/>
        </w:rPr>
        <w:t>State</w:t>
      </w:r>
      <w:r w:rsidR="00303BCD">
        <w:rPr>
          <w:b/>
          <w:bCs/>
          <w:sz w:val="24"/>
          <w:szCs w:val="24"/>
        </w:rPr>
        <w:t>s and DI Program</w:t>
      </w:r>
      <w:r w:rsidR="00C25838">
        <w:rPr>
          <w:b/>
          <w:bCs/>
          <w:sz w:val="24"/>
          <w:szCs w:val="24"/>
        </w:rPr>
        <w:t xml:space="preserve">s </w:t>
      </w:r>
    </w:p>
    <w:p w:rsidR="00C25838" w:rsidRDefault="00C25838" w14:paraId="48B13EBF"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52C0FEDA" w14:textId="677F8BBD">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name="_Hlk508343530" w:id="51"/>
      <w:r>
        <w:rPr>
          <w:sz w:val="24"/>
          <w:szCs w:val="24"/>
        </w:rPr>
        <w:tab/>
      </w:r>
      <w:bookmarkStart w:name="_Hlk84916836" w:id="52"/>
      <w:r>
        <w:rPr>
          <w:sz w:val="24"/>
          <w:szCs w:val="24"/>
        </w:rPr>
        <w:t xml:space="preserve">Primacy </w:t>
      </w:r>
      <w:r w:rsidR="00E054C1">
        <w:rPr>
          <w:sz w:val="24"/>
          <w:szCs w:val="24"/>
        </w:rPr>
        <w:t xml:space="preserve">agencies </w:t>
      </w:r>
      <w:r>
        <w:rPr>
          <w:sz w:val="24"/>
          <w:szCs w:val="24"/>
        </w:rPr>
        <w:t>and DI</w:t>
      </w:r>
      <w:r w:rsidR="00E054C1">
        <w:rPr>
          <w:sz w:val="24"/>
          <w:szCs w:val="24"/>
        </w:rPr>
        <w:t xml:space="preserve"> programs </w:t>
      </w:r>
      <w:r>
        <w:rPr>
          <w:sz w:val="24"/>
          <w:szCs w:val="24"/>
        </w:rPr>
        <w:t xml:space="preserve">submit information on wells within their jurisdiction to </w:t>
      </w:r>
      <w:r w:rsidR="002B18F8">
        <w:rPr>
          <w:sz w:val="24"/>
          <w:szCs w:val="24"/>
        </w:rPr>
        <w:t xml:space="preserve">EPA </w:t>
      </w:r>
      <w:r>
        <w:rPr>
          <w:sz w:val="24"/>
          <w:szCs w:val="24"/>
        </w:rPr>
        <w:t>Headquarter</w:t>
      </w:r>
      <w:r w:rsidRPr="00D425E4">
        <w:rPr>
          <w:sz w:val="24"/>
          <w:szCs w:val="24"/>
        </w:rPr>
        <w:t>s</w:t>
      </w:r>
      <w:r w:rsidRPr="001F3AD5" w:rsidR="001F3AD5">
        <w:rPr>
          <w:sz w:val="24"/>
          <w:szCs w:val="24"/>
        </w:rPr>
        <w:t xml:space="preserve"> to target inspection and enforcement activit</w:t>
      </w:r>
      <w:r w:rsidR="00CC748D">
        <w:rPr>
          <w:sz w:val="24"/>
          <w:szCs w:val="24"/>
        </w:rPr>
        <w:t>ies</w:t>
      </w:r>
      <w:r w:rsidRPr="001F3AD5" w:rsidR="001F3AD5">
        <w:rPr>
          <w:sz w:val="24"/>
          <w:szCs w:val="24"/>
        </w:rPr>
        <w:t>, track performance against demands, and identify violations and assess their significance.</w:t>
      </w:r>
      <w:r w:rsidR="001F3AD5">
        <w:rPr>
          <w:sz w:val="24"/>
          <w:szCs w:val="24"/>
        </w:rPr>
        <w:t xml:space="preserve"> The following types of information are submitted</w:t>
      </w:r>
      <w:r w:rsidR="002B18F8">
        <w:rPr>
          <w:sz w:val="24"/>
          <w:szCs w:val="24"/>
        </w:rPr>
        <w:t>:</w:t>
      </w:r>
      <w:r w:rsidRPr="00D425E4">
        <w:rPr>
          <w:sz w:val="24"/>
          <w:szCs w:val="24"/>
        </w:rPr>
        <w:t xml:space="preserve"> </w:t>
      </w:r>
      <w:bookmarkEnd w:id="52"/>
    </w:p>
    <w:bookmarkEnd w:id="51"/>
    <w:p w:rsidR="00380D86" w:rsidRDefault="00380D86" w14:paraId="50FDC663"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B18F8" w:rsidR="002B18F8" w:rsidP="001758DB" w:rsidRDefault="002B18F8" w14:paraId="32B0B1F6" w14:textId="77777777">
      <w:pPr>
        <w:pStyle w:val="ListParagraph"/>
        <w:numPr>
          <w:ilvl w:val="0"/>
          <w:numId w:val="5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bookmarkStart w:name="_Hlk511637692" w:id="53"/>
      <w:bookmarkStart w:name="_Hlk84916886" w:id="54"/>
      <w:r w:rsidRPr="002B18F8">
        <w:rPr>
          <w:sz w:val="24"/>
          <w:szCs w:val="24"/>
        </w:rPr>
        <w:t>Permit Review and Issuance (7520-1): Information on permit determinations (i.e., the number of permits issued and not issued, and permit modifications), permit file reviews, the number of rule-authorized wells reviewed, AoR reviews, and corrective action performed. (Submitted annually.)</w:t>
      </w:r>
    </w:p>
    <w:p w:rsidRPr="002B18F8" w:rsidR="002B18F8" w:rsidP="001758DB" w:rsidRDefault="002B18F8" w14:paraId="3FA7F6B8" w14:textId="77777777">
      <w:pPr>
        <w:pStyle w:val="ListParagraph"/>
        <w:numPr>
          <w:ilvl w:val="0"/>
          <w:numId w:val="5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2B18F8">
        <w:rPr>
          <w:sz w:val="24"/>
          <w:szCs w:val="24"/>
        </w:rPr>
        <w:t>Compliance Evaluation (7520-2A): Summary of enforcement actions, including administrative actions and civil and criminal actions. (Submitted semi-annually.)</w:t>
      </w:r>
    </w:p>
    <w:p w:rsidRPr="002B18F8" w:rsidR="002B18F8" w:rsidP="001758DB" w:rsidRDefault="002B18F8" w14:paraId="29B0CE35" w14:textId="77777777">
      <w:pPr>
        <w:pStyle w:val="ListParagraph"/>
        <w:numPr>
          <w:ilvl w:val="0"/>
          <w:numId w:val="5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2B18F8">
        <w:rPr>
          <w:sz w:val="24"/>
          <w:szCs w:val="24"/>
        </w:rPr>
        <w:t>Compliance Evaluation - Significant Noncompliance (7520-2B): Summary information on operators identified as being in significant noncompliance (SNC) with requirements and enforcement actions against SNCs and returns of wells to compliance; contamination of USDWs; and closures. (Submitted semi-annually.)</w:t>
      </w:r>
    </w:p>
    <w:p w:rsidRPr="002B18F8" w:rsidR="002B18F8" w:rsidP="001758DB" w:rsidRDefault="002B18F8" w14:paraId="7EE3872A" w14:textId="77777777">
      <w:pPr>
        <w:pStyle w:val="ListParagraph"/>
        <w:numPr>
          <w:ilvl w:val="0"/>
          <w:numId w:val="5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2B18F8">
        <w:rPr>
          <w:sz w:val="24"/>
          <w:szCs w:val="24"/>
        </w:rPr>
        <w:t>Mechanical Integrity Test/Remedial Actions (7520-3): Results of inspections and MITs and remedial actions conducted for any test failures. (Submitted annually.)</w:t>
      </w:r>
    </w:p>
    <w:p w:rsidRPr="002B18F8" w:rsidR="002B18F8" w:rsidP="001758DB" w:rsidRDefault="002B18F8" w14:paraId="79C55422" w14:textId="77777777">
      <w:pPr>
        <w:pStyle w:val="ListParagraph"/>
        <w:numPr>
          <w:ilvl w:val="0"/>
          <w:numId w:val="5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2B18F8">
        <w:rPr>
          <w:sz w:val="24"/>
          <w:szCs w:val="24"/>
        </w:rPr>
        <w:t>Quarterly Exceptions List (7520-4): Summary information on wells that have remained in SNC for two or more consecutive quarters and have not been returned to compliance or been subject to a formal enforcement action. (Submitted quarterly.)</w:t>
      </w:r>
    </w:p>
    <w:bookmarkEnd w:id="53"/>
    <w:p w:rsidR="00E73F90" w:rsidP="00E73F90" w:rsidRDefault="002B18F8" w14:paraId="4E98BE40" w14:textId="77777777">
      <w:pPr>
        <w:pStyle w:val="ListParagraph"/>
        <w:numPr>
          <w:ilvl w:val="0"/>
          <w:numId w:val="5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2B18F8">
        <w:rPr>
          <w:sz w:val="24"/>
          <w:szCs w:val="24"/>
        </w:rPr>
        <w:t>Inventory: Class-specific numbers of injection wells and sites. (Submitted annually.)</w:t>
      </w:r>
      <w:bookmarkStart w:name="_Hlk508619280" w:id="55"/>
    </w:p>
    <w:bookmarkEnd w:id="55"/>
    <w:bookmarkEnd w:id="54"/>
    <w:p w:rsidRPr="00E73F90" w:rsidR="00E73F90" w:rsidP="004713E1" w:rsidRDefault="00E73F90" w14:paraId="6071759E" w14:textId="398301E0">
      <w:pPr>
        <w:pStyle w:val="ListParagraph"/>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br w:type="page"/>
      </w:r>
    </w:p>
    <w:p w:rsidR="000A26DF" w:rsidP="00E73F90" w:rsidRDefault="000A26DF" w14:paraId="6569553E" w14:textId="6BCADC47">
      <w:pPr>
        <w:pStyle w:val="Heading1"/>
        <w:ind w:left="720" w:hanging="720"/>
        <w:rPr>
          <w:sz w:val="24"/>
        </w:rPr>
      </w:pPr>
      <w:r>
        <w:lastRenderedPageBreak/>
        <w:t>5.</w:t>
      </w:r>
      <w:r>
        <w:tab/>
        <w:t>Information Collected: EPA Activities, Collection Methodology, and Information Management</w:t>
      </w:r>
      <w:r>
        <w:fldChar w:fldCharType="begin"/>
      </w:r>
      <w:r>
        <w:instrText>tc "</w:instrText>
      </w:r>
      <w:bookmarkStart w:name="_Toc511660008" w:id="56"/>
      <w:bookmarkStart w:name="_Toc511713517" w:id="57"/>
      <w:r>
        <w:instrText>5.</w:instrText>
      </w:r>
      <w:r>
        <w:tab/>
        <w:instrText>Information Collected\:  EPA Activities, Collection Methodology, and Information Management</w:instrText>
      </w:r>
      <w:bookmarkEnd w:id="56"/>
      <w:bookmarkEnd w:id="57"/>
      <w:r>
        <w:instrText>"</w:instrText>
      </w:r>
      <w:r>
        <w:fldChar w:fldCharType="end"/>
      </w:r>
    </w:p>
    <w:p w:rsidR="00C25838" w:rsidP="001758DB" w:rsidRDefault="00C25838" w14:paraId="7DA9DE59" w14:textId="77777777">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1758DB" w:rsidRDefault="00C25838" w14:paraId="78C3EC59" w14:textId="77777777">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1758DB" w:rsidRDefault="00C25838" w14:paraId="0F4F0174" w14:textId="19F97BD9">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Section 5(a) describes </w:t>
      </w:r>
      <w:r w:rsidR="008176C6">
        <w:rPr>
          <w:sz w:val="24"/>
          <w:szCs w:val="24"/>
        </w:rPr>
        <w:t xml:space="preserve">primacy </w:t>
      </w:r>
      <w:r>
        <w:rPr>
          <w:sz w:val="24"/>
          <w:szCs w:val="24"/>
        </w:rPr>
        <w:t xml:space="preserve">state oversight of operators and EPA activities </w:t>
      </w:r>
      <w:r w:rsidR="00E054C1">
        <w:rPr>
          <w:sz w:val="24"/>
          <w:szCs w:val="24"/>
        </w:rPr>
        <w:t>related</w:t>
      </w:r>
      <w:r>
        <w:rPr>
          <w:sz w:val="24"/>
          <w:szCs w:val="24"/>
        </w:rPr>
        <w:t xml:space="preserve"> to program management</w:t>
      </w:r>
      <w:r w:rsidR="00F84502">
        <w:rPr>
          <w:sz w:val="24"/>
          <w:szCs w:val="24"/>
        </w:rPr>
        <w:t xml:space="preserve">. </w:t>
      </w:r>
      <w:r>
        <w:rPr>
          <w:sz w:val="24"/>
          <w:szCs w:val="24"/>
        </w:rPr>
        <w:t xml:space="preserve">Section 5(b) describes how EPA will manage the information collected; Section 5(c) discusses how this information collection addresses the needs of small businesses; and Section 5(d) presents EPA’s justification for the </w:t>
      </w:r>
      <w:r w:rsidR="0027428E">
        <w:rPr>
          <w:sz w:val="24"/>
          <w:szCs w:val="24"/>
        </w:rPr>
        <w:t xml:space="preserve">information </w:t>
      </w:r>
      <w:r>
        <w:rPr>
          <w:sz w:val="24"/>
          <w:szCs w:val="24"/>
        </w:rPr>
        <w:t>collection schedule.</w:t>
      </w:r>
    </w:p>
    <w:p w:rsidR="00C25838" w:rsidRDefault="00C25838" w14:paraId="64F78100"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1941A8" w:rsidRDefault="00C25838" w14:paraId="061CD03E" w14:textId="6B4B64E7">
      <w:pPr>
        <w:pStyle w:val="Heading2"/>
        <w:rPr>
          <w:sz w:val="24"/>
        </w:rPr>
      </w:pPr>
      <w:r>
        <w:t>5(a)</w:t>
      </w:r>
      <w:r>
        <w:tab/>
      </w:r>
      <w:r w:rsidR="008176C6">
        <w:t xml:space="preserve">Primacy </w:t>
      </w:r>
      <w:r>
        <w:t xml:space="preserve">State and Agency Activities </w:t>
      </w:r>
      <w:r w:rsidR="00766F8E">
        <w:fldChar w:fldCharType="begin"/>
      </w:r>
      <w:r>
        <w:instrText>tc "</w:instrText>
      </w:r>
      <w:bookmarkStart w:name="_Toc511660009" w:id="58"/>
      <w:bookmarkStart w:name="_Toc511713518" w:id="59"/>
      <w:r>
        <w:instrText>5(a)</w:instrText>
      </w:r>
      <w:r>
        <w:tab/>
        <w:instrText>State and Agency Activities</w:instrText>
      </w:r>
      <w:bookmarkEnd w:id="58"/>
      <w:bookmarkEnd w:id="59"/>
      <w:r>
        <w:instrText xml:space="preserve"> " \l 2</w:instrText>
      </w:r>
      <w:r w:rsidR="00766F8E">
        <w:fldChar w:fldCharType="end"/>
      </w:r>
    </w:p>
    <w:p w:rsidR="00C25838" w:rsidRDefault="00C25838" w14:paraId="1A6D9BF0"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26DF" w:rsidP="000A26DF" w:rsidRDefault="000A26DF" w14:paraId="7A89A632"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5(a)(1)</w:t>
      </w:r>
      <w:r>
        <w:rPr>
          <w:b/>
          <w:bCs/>
          <w:sz w:val="24"/>
          <w:szCs w:val="24"/>
        </w:rPr>
        <w:tab/>
        <w:t>State Primacy Agency Activities</w:t>
      </w:r>
    </w:p>
    <w:p w:rsidR="00C25838" w:rsidRDefault="00C25838" w14:paraId="08D7FA8A"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60B34763"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Under Section 1422 of the SDWA, states that adopt UIC regulations that are at least as stringent as the federal requirements may be granted primacy for the UIC Program</w:t>
      </w:r>
      <w:r w:rsidR="00F84502">
        <w:rPr>
          <w:sz w:val="24"/>
          <w:szCs w:val="24"/>
        </w:rPr>
        <w:t xml:space="preserve">. </w:t>
      </w:r>
      <w:r>
        <w:rPr>
          <w:sz w:val="24"/>
          <w:szCs w:val="24"/>
        </w:rPr>
        <w:t xml:space="preserve">Under </w:t>
      </w:r>
      <w:r w:rsidR="0027428E">
        <w:rPr>
          <w:sz w:val="24"/>
          <w:szCs w:val="24"/>
        </w:rPr>
        <w:t xml:space="preserve">SDWA </w:t>
      </w:r>
      <w:r>
        <w:rPr>
          <w:sz w:val="24"/>
          <w:szCs w:val="24"/>
        </w:rPr>
        <w:t xml:space="preserve">Section 1425, state programs that regulate oil and gas-related injection </w:t>
      </w:r>
      <w:r w:rsidR="00D36208">
        <w:rPr>
          <w:sz w:val="24"/>
          <w:szCs w:val="24"/>
        </w:rPr>
        <w:t xml:space="preserve">activities </w:t>
      </w:r>
      <w:r>
        <w:rPr>
          <w:sz w:val="24"/>
          <w:szCs w:val="24"/>
        </w:rPr>
        <w:t>must demonstrate that their program “represents an effective program to prevent underground injection which endangers drinking water sources” in order to be granted primacy.</w:t>
      </w:r>
    </w:p>
    <w:p w:rsidR="00C25838" w:rsidRDefault="00C25838" w14:paraId="58C69733"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55A3717E" w14:textId="1310FE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In addition to the reporting activities described in Section 4(b)(2), state primacy agencies are responsible for permitting </w:t>
      </w:r>
      <w:r w:rsidR="0027428E">
        <w:rPr>
          <w:sz w:val="24"/>
          <w:szCs w:val="24"/>
        </w:rPr>
        <w:t xml:space="preserve">the </w:t>
      </w:r>
      <w:r>
        <w:rPr>
          <w:sz w:val="24"/>
          <w:szCs w:val="24"/>
        </w:rPr>
        <w:t>wells within their states</w:t>
      </w:r>
      <w:r w:rsidR="00F84502">
        <w:rPr>
          <w:sz w:val="24"/>
          <w:szCs w:val="24"/>
        </w:rPr>
        <w:t xml:space="preserve">. </w:t>
      </w:r>
      <w:r>
        <w:rPr>
          <w:sz w:val="24"/>
          <w:szCs w:val="24"/>
        </w:rPr>
        <w:t xml:space="preserve">Primacy </w:t>
      </w:r>
      <w:r w:rsidRPr="00805F29" w:rsidR="00CF389A">
        <w:rPr>
          <w:sz w:val="24"/>
          <w:szCs w:val="24"/>
        </w:rPr>
        <w:t xml:space="preserve">agencies </w:t>
      </w:r>
      <w:r>
        <w:rPr>
          <w:sz w:val="24"/>
          <w:szCs w:val="24"/>
        </w:rPr>
        <w:t>receive and review permit applications from operators, solicit and respond to public comments, and issue final decisions on permit applications</w:t>
      </w:r>
      <w:r w:rsidR="00F84502">
        <w:rPr>
          <w:sz w:val="24"/>
          <w:szCs w:val="24"/>
        </w:rPr>
        <w:t xml:space="preserve">. </w:t>
      </w:r>
      <w:r>
        <w:rPr>
          <w:sz w:val="24"/>
          <w:szCs w:val="24"/>
        </w:rPr>
        <w:t xml:space="preserve">State </w:t>
      </w:r>
      <w:r w:rsidR="00821CFA">
        <w:rPr>
          <w:sz w:val="24"/>
          <w:szCs w:val="24"/>
        </w:rPr>
        <w:t xml:space="preserve">primacy agencies </w:t>
      </w:r>
      <w:r>
        <w:rPr>
          <w:sz w:val="24"/>
          <w:szCs w:val="24"/>
        </w:rPr>
        <w:t xml:space="preserve">also review completion reports and associated testing results to verify that wells have been constructed in accordance with </w:t>
      </w:r>
      <w:r w:rsidR="00454CFB">
        <w:rPr>
          <w:sz w:val="24"/>
          <w:szCs w:val="24"/>
        </w:rPr>
        <w:t>the permit</w:t>
      </w:r>
      <w:r>
        <w:rPr>
          <w:sz w:val="24"/>
          <w:szCs w:val="24"/>
        </w:rPr>
        <w:t>.</w:t>
      </w:r>
    </w:p>
    <w:p w:rsidR="00C25838" w:rsidRDefault="00C25838" w14:paraId="7A45D32D"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63C34E78" w14:textId="03BE64EB">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State </w:t>
      </w:r>
      <w:r w:rsidR="00454CFB">
        <w:rPr>
          <w:sz w:val="24"/>
          <w:szCs w:val="24"/>
        </w:rPr>
        <w:t xml:space="preserve">primacy </w:t>
      </w:r>
      <w:r>
        <w:rPr>
          <w:sz w:val="24"/>
          <w:szCs w:val="24"/>
        </w:rPr>
        <w:t xml:space="preserve">agencies review injectate and ambient monitoring data </w:t>
      </w:r>
      <w:r w:rsidR="0030228D">
        <w:rPr>
          <w:sz w:val="24"/>
          <w:szCs w:val="24"/>
        </w:rPr>
        <w:t xml:space="preserve">and the results of MITs and pressure fall-off tests </w:t>
      </w:r>
      <w:r>
        <w:rPr>
          <w:sz w:val="24"/>
          <w:szCs w:val="24"/>
        </w:rPr>
        <w:t>submitted by operators</w:t>
      </w:r>
      <w:r w:rsidR="00F84502">
        <w:rPr>
          <w:sz w:val="24"/>
          <w:szCs w:val="24"/>
        </w:rPr>
        <w:t xml:space="preserve">. </w:t>
      </w:r>
      <w:r w:rsidR="00454CFB">
        <w:rPr>
          <w:sz w:val="24"/>
          <w:szCs w:val="24"/>
        </w:rPr>
        <w:t xml:space="preserve">They </w:t>
      </w:r>
      <w:r>
        <w:rPr>
          <w:sz w:val="24"/>
          <w:szCs w:val="24"/>
        </w:rPr>
        <w:t>also respond to occasional reporting submitted by operators, conduct periodic permit reviews, and respond to operators’ requests for permit modifications.</w:t>
      </w:r>
      <w:r w:rsidR="00D36208">
        <w:rPr>
          <w:sz w:val="24"/>
          <w:szCs w:val="24"/>
        </w:rPr>
        <w:t xml:space="preserve"> State</w:t>
      </w:r>
      <w:r w:rsidR="00821CFA">
        <w:rPr>
          <w:sz w:val="24"/>
          <w:szCs w:val="24"/>
        </w:rPr>
        <w:t xml:space="preserve"> primacy agencie</w:t>
      </w:r>
      <w:r w:rsidR="00D36208">
        <w:rPr>
          <w:sz w:val="24"/>
          <w:szCs w:val="24"/>
        </w:rPr>
        <w:t>s also review information submitted by owners or operators related to plugging their injection wells.</w:t>
      </w:r>
      <w:r w:rsidRPr="00D36208" w:rsidR="00D36208">
        <w:rPr>
          <w:sz w:val="24"/>
          <w:szCs w:val="24"/>
        </w:rPr>
        <w:t xml:space="preserve"> </w:t>
      </w:r>
      <w:r w:rsidR="00D36208">
        <w:rPr>
          <w:sz w:val="24"/>
          <w:szCs w:val="24"/>
        </w:rPr>
        <w:t>Many state</w:t>
      </w:r>
      <w:r w:rsidRPr="00821CFA" w:rsidR="00821CFA">
        <w:rPr>
          <w:sz w:val="24"/>
          <w:szCs w:val="24"/>
        </w:rPr>
        <w:t xml:space="preserve"> </w:t>
      </w:r>
      <w:r w:rsidR="00821CFA">
        <w:rPr>
          <w:sz w:val="24"/>
          <w:szCs w:val="24"/>
        </w:rPr>
        <w:t>primacy agencie</w:t>
      </w:r>
      <w:r w:rsidR="00D36208">
        <w:rPr>
          <w:sz w:val="24"/>
          <w:szCs w:val="24"/>
        </w:rPr>
        <w:t>s witness some or all MITs and well plugging</w:t>
      </w:r>
      <w:r w:rsidR="000B5DF3">
        <w:rPr>
          <w:sz w:val="24"/>
          <w:szCs w:val="24"/>
        </w:rPr>
        <w:t xml:space="preserve"> performed by operators</w:t>
      </w:r>
      <w:r w:rsidR="00F84502">
        <w:rPr>
          <w:sz w:val="24"/>
          <w:szCs w:val="24"/>
        </w:rPr>
        <w:t>.</w:t>
      </w:r>
    </w:p>
    <w:p w:rsidR="00C25838" w:rsidRDefault="00C25838" w14:paraId="56A64BCD"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302641" w:rsidRDefault="00C25838" w14:paraId="44B6DB21" w14:textId="6D8F666C">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B11F08">
        <w:rPr>
          <w:sz w:val="24"/>
          <w:szCs w:val="24"/>
        </w:rPr>
        <w:t xml:space="preserve">State primacy agencies also report to EPA on the status of their programs, including program summary information and well inventories. </w:t>
      </w:r>
      <w:r w:rsidRPr="00277152" w:rsidR="00B11F08">
        <w:rPr>
          <w:sz w:val="24"/>
          <w:szCs w:val="24"/>
        </w:rPr>
        <w:t xml:space="preserve">EPA </w:t>
      </w:r>
      <w:r w:rsidR="00B11F08">
        <w:rPr>
          <w:sz w:val="24"/>
          <w:szCs w:val="24"/>
        </w:rPr>
        <w:t>has developed</w:t>
      </w:r>
      <w:r w:rsidRPr="00277152" w:rsidR="00B11F08">
        <w:rPr>
          <w:sz w:val="24"/>
          <w:szCs w:val="24"/>
        </w:rPr>
        <w:t xml:space="preserve"> a web-based reporting system by which </w:t>
      </w:r>
      <w:r w:rsidR="00B11F08">
        <w:rPr>
          <w:sz w:val="24"/>
          <w:szCs w:val="24"/>
        </w:rPr>
        <w:t xml:space="preserve">primacy </w:t>
      </w:r>
      <w:r w:rsidRPr="00277152" w:rsidR="00B11F08">
        <w:rPr>
          <w:sz w:val="24"/>
          <w:szCs w:val="24"/>
        </w:rPr>
        <w:t>states report all of this information</w:t>
      </w:r>
      <w:r w:rsidR="00B11F08">
        <w:rPr>
          <w:sz w:val="24"/>
          <w:szCs w:val="24"/>
        </w:rPr>
        <w:t>, including information formerly submitted on the paper-based 7520 forms.</w:t>
      </w:r>
    </w:p>
    <w:p w:rsidR="00C25838" w:rsidRDefault="00C25838" w14:paraId="36014ACB"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423777" w:rsidRDefault="00C25838" w14:paraId="6A9F245C" w14:textId="77777777">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bookmarkStart w:name="_Hlk511647159" w:id="60"/>
      <w:r>
        <w:rPr>
          <w:b/>
          <w:bCs/>
          <w:sz w:val="24"/>
          <w:szCs w:val="24"/>
        </w:rPr>
        <w:lastRenderedPageBreak/>
        <w:t>5(a)(2)</w:t>
      </w:r>
      <w:r>
        <w:rPr>
          <w:b/>
          <w:bCs/>
          <w:sz w:val="24"/>
          <w:szCs w:val="24"/>
        </w:rPr>
        <w:tab/>
        <w:t>Agency Activities</w:t>
      </w:r>
    </w:p>
    <w:bookmarkEnd w:id="60"/>
    <w:p w:rsidR="00C25838" w:rsidP="00423777" w:rsidRDefault="00C25838" w14:paraId="7642DCB9" w14:textId="77777777">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423777" w:rsidRDefault="00C25838" w14:paraId="7E1A9658" w14:textId="0F454547">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EPA </w:t>
      </w:r>
      <w:r w:rsidR="00B257F5">
        <w:rPr>
          <w:sz w:val="24"/>
          <w:szCs w:val="24"/>
        </w:rPr>
        <w:t>R</w:t>
      </w:r>
      <w:r>
        <w:rPr>
          <w:sz w:val="24"/>
          <w:szCs w:val="24"/>
        </w:rPr>
        <w:t>egions oversee injection wells in those states</w:t>
      </w:r>
      <w:r w:rsidR="0023034A">
        <w:rPr>
          <w:sz w:val="24"/>
          <w:szCs w:val="24"/>
        </w:rPr>
        <w:t>,</w:t>
      </w:r>
      <w:r w:rsidRPr="0023034A" w:rsidR="0023034A">
        <w:t xml:space="preserve"> </w:t>
      </w:r>
      <w:r w:rsidR="0023034A">
        <w:rPr>
          <w:sz w:val="24"/>
          <w:szCs w:val="24"/>
        </w:rPr>
        <w:t>tribes</w:t>
      </w:r>
      <w:r w:rsidRPr="0023034A" w:rsidR="0023034A">
        <w:rPr>
          <w:sz w:val="24"/>
          <w:szCs w:val="24"/>
        </w:rPr>
        <w:t>, and territories</w:t>
      </w:r>
      <w:r>
        <w:rPr>
          <w:sz w:val="24"/>
          <w:szCs w:val="24"/>
        </w:rPr>
        <w:t xml:space="preserve"> that do not have approved primacy programs</w:t>
      </w:r>
      <w:r w:rsidR="00F84502">
        <w:rPr>
          <w:sz w:val="24"/>
          <w:szCs w:val="24"/>
        </w:rPr>
        <w:t xml:space="preserve">. </w:t>
      </w:r>
      <w:r>
        <w:rPr>
          <w:sz w:val="24"/>
          <w:szCs w:val="24"/>
        </w:rPr>
        <w:t xml:space="preserve">The </w:t>
      </w:r>
      <w:r w:rsidR="00B257F5">
        <w:rPr>
          <w:sz w:val="24"/>
          <w:szCs w:val="24"/>
        </w:rPr>
        <w:t>R</w:t>
      </w:r>
      <w:r>
        <w:rPr>
          <w:sz w:val="24"/>
          <w:szCs w:val="24"/>
        </w:rPr>
        <w:t xml:space="preserve">egions </w:t>
      </w:r>
      <w:r w:rsidR="00FD2409">
        <w:rPr>
          <w:sz w:val="24"/>
          <w:szCs w:val="24"/>
        </w:rPr>
        <w:t xml:space="preserve">that directly implement UIC programs </w:t>
      </w:r>
      <w:r>
        <w:rPr>
          <w:sz w:val="24"/>
          <w:szCs w:val="24"/>
        </w:rPr>
        <w:t xml:space="preserve">perform the same </w:t>
      </w:r>
      <w:r w:rsidR="00D36208">
        <w:rPr>
          <w:sz w:val="24"/>
          <w:szCs w:val="24"/>
        </w:rPr>
        <w:t xml:space="preserve">types </w:t>
      </w:r>
      <w:r w:rsidR="0030228D">
        <w:rPr>
          <w:sz w:val="24"/>
          <w:szCs w:val="24"/>
        </w:rPr>
        <w:t xml:space="preserve">of owner or operator oversight </w:t>
      </w:r>
      <w:r>
        <w:rPr>
          <w:sz w:val="24"/>
          <w:szCs w:val="24"/>
        </w:rPr>
        <w:t xml:space="preserve">activities as state primacy </w:t>
      </w:r>
      <w:r w:rsidRPr="00805F29" w:rsidR="00CF389A">
        <w:rPr>
          <w:sz w:val="24"/>
          <w:szCs w:val="24"/>
        </w:rPr>
        <w:t>agencies</w:t>
      </w:r>
      <w:r w:rsidR="00F84502">
        <w:rPr>
          <w:sz w:val="24"/>
          <w:szCs w:val="24"/>
        </w:rPr>
        <w:t xml:space="preserve">. </w:t>
      </w:r>
      <w:r>
        <w:rPr>
          <w:sz w:val="24"/>
          <w:szCs w:val="24"/>
        </w:rPr>
        <w:t xml:space="preserve">In addition, regional offices review no-migration petitions submitted by Class I hazardous facility operators </w:t>
      </w:r>
      <w:r w:rsidR="0030228D">
        <w:rPr>
          <w:sz w:val="24"/>
          <w:szCs w:val="24"/>
        </w:rPr>
        <w:t xml:space="preserve">and requests for aquifer exemptions </w:t>
      </w:r>
      <w:r w:rsidR="00A455B3">
        <w:rPr>
          <w:sz w:val="24"/>
          <w:szCs w:val="24"/>
        </w:rPr>
        <w:t xml:space="preserve">submitted by owners or operators </w:t>
      </w:r>
      <w:r>
        <w:rPr>
          <w:sz w:val="24"/>
          <w:szCs w:val="24"/>
        </w:rPr>
        <w:t>in both primacy and DI states</w:t>
      </w:r>
      <w:r w:rsidR="00F84502">
        <w:rPr>
          <w:sz w:val="24"/>
          <w:szCs w:val="24"/>
        </w:rPr>
        <w:t xml:space="preserve">. </w:t>
      </w:r>
      <w:r>
        <w:rPr>
          <w:sz w:val="24"/>
          <w:szCs w:val="24"/>
        </w:rPr>
        <w:t xml:space="preserve">Regional staff </w:t>
      </w:r>
      <w:r w:rsidR="0030228D">
        <w:rPr>
          <w:sz w:val="24"/>
          <w:szCs w:val="24"/>
        </w:rPr>
        <w:t xml:space="preserve">also </w:t>
      </w:r>
      <w:r>
        <w:rPr>
          <w:sz w:val="24"/>
          <w:szCs w:val="24"/>
        </w:rPr>
        <w:t xml:space="preserve">review reports on MITs and pressure fall-off tests performed in DI </w:t>
      </w:r>
      <w:r w:rsidR="0027428E">
        <w:rPr>
          <w:sz w:val="24"/>
          <w:szCs w:val="24"/>
        </w:rPr>
        <w:t>states</w:t>
      </w:r>
      <w:r>
        <w:rPr>
          <w:sz w:val="24"/>
          <w:szCs w:val="24"/>
        </w:rPr>
        <w:t>, and in some cases, tests on wells in primacy states</w:t>
      </w:r>
      <w:r w:rsidR="00F84502">
        <w:rPr>
          <w:sz w:val="24"/>
          <w:szCs w:val="24"/>
        </w:rPr>
        <w:t xml:space="preserve">. </w:t>
      </w:r>
    </w:p>
    <w:p w:rsidR="00C25838" w:rsidRDefault="00C25838" w14:paraId="5D06B8F6"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80D86" w:rsidRDefault="00C25838" w14:paraId="65F28D1B" w14:textId="4BD4CFEF">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EPA Headquarters activities consist of compiling the regional summary information on permit reviews and issuance</w:t>
      </w:r>
      <w:r w:rsidR="0027428E">
        <w:rPr>
          <w:sz w:val="24"/>
          <w:szCs w:val="24"/>
        </w:rPr>
        <w:t>,</w:t>
      </w:r>
      <w:r>
        <w:rPr>
          <w:sz w:val="24"/>
          <w:szCs w:val="24"/>
        </w:rPr>
        <w:t xml:space="preserve"> compliance evaluation, enforcement and inspections information, and inventory data. </w:t>
      </w:r>
      <w:r w:rsidR="00AD6661">
        <w:rPr>
          <w:sz w:val="24"/>
          <w:szCs w:val="24"/>
        </w:rPr>
        <w:t xml:space="preserve">EPA also processes applications </w:t>
      </w:r>
      <w:r w:rsidR="00D01261">
        <w:rPr>
          <w:sz w:val="24"/>
          <w:szCs w:val="24"/>
        </w:rPr>
        <w:t xml:space="preserve">submitted </w:t>
      </w:r>
      <w:r w:rsidR="00AD6661">
        <w:rPr>
          <w:sz w:val="24"/>
          <w:szCs w:val="24"/>
        </w:rPr>
        <w:t xml:space="preserve">by states </w:t>
      </w:r>
      <w:r w:rsidR="00D01261">
        <w:rPr>
          <w:sz w:val="24"/>
          <w:szCs w:val="24"/>
        </w:rPr>
        <w:t xml:space="preserve">seeking </w:t>
      </w:r>
      <w:r w:rsidR="00AD6661">
        <w:rPr>
          <w:sz w:val="24"/>
          <w:szCs w:val="24"/>
        </w:rPr>
        <w:t xml:space="preserve">UIC program primacy. </w:t>
      </w:r>
    </w:p>
    <w:p w:rsidR="00C25838" w:rsidRDefault="00380D86" w14:paraId="251C398D"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6F09B8" w:rsidRDefault="006F09B8" w14:paraId="46D8898C"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1941A8" w:rsidRDefault="00C25838" w14:paraId="7C21A9F4" w14:textId="77777777">
      <w:pPr>
        <w:pStyle w:val="Heading2"/>
        <w:rPr>
          <w:sz w:val="24"/>
        </w:rPr>
      </w:pPr>
      <w:r>
        <w:t>5(b)</w:t>
      </w:r>
      <w:r>
        <w:tab/>
        <w:t xml:space="preserve">Collection Methodology and Management </w:t>
      </w:r>
      <w:r w:rsidR="00766F8E">
        <w:fldChar w:fldCharType="begin"/>
      </w:r>
      <w:r>
        <w:instrText>tc "</w:instrText>
      </w:r>
      <w:bookmarkStart w:name="_Toc511660010" w:id="61"/>
      <w:bookmarkStart w:name="_Toc511713519" w:id="62"/>
      <w:r>
        <w:instrText>5(b)</w:instrText>
      </w:r>
      <w:r>
        <w:tab/>
        <w:instrText>Collection Methodology and Management</w:instrText>
      </w:r>
      <w:bookmarkEnd w:id="61"/>
      <w:bookmarkEnd w:id="62"/>
      <w:r>
        <w:instrText xml:space="preserve"> " \l 2</w:instrText>
      </w:r>
      <w:r w:rsidR="00766F8E">
        <w:fldChar w:fldCharType="end"/>
      </w:r>
    </w:p>
    <w:p w:rsidR="00C25838" w:rsidRDefault="00C25838" w14:paraId="3281FDA3" w14:textId="77777777">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26DF" w:rsidP="000A26DF" w:rsidRDefault="000A26DF" w14:paraId="7FE359F7" w14:textId="31592EFA">
      <w:pPr>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Current reporting from injection well owners or operators to </w:t>
      </w:r>
      <w:r w:rsidR="00821CFA">
        <w:rPr>
          <w:sz w:val="24"/>
          <w:szCs w:val="24"/>
        </w:rPr>
        <w:t xml:space="preserve">primacy </w:t>
      </w:r>
      <w:r>
        <w:rPr>
          <w:sz w:val="24"/>
          <w:szCs w:val="24"/>
        </w:rPr>
        <w:t>states/DI programs is primarily accomplished by completing the UIC Program’s 7520 reporting forms. The complete set of PDF-format 7520 reporting forms is available to be downloaded on OGWDW’s website (</w:t>
      </w:r>
      <w:hyperlink w:history="1" r:id="rId15">
        <w:r w:rsidRPr="006D3CB4">
          <w:rPr>
            <w:rStyle w:val="Hyperlink"/>
            <w:sz w:val="24"/>
            <w:szCs w:val="24"/>
          </w:rPr>
          <w:t>http://water.epa.gov/type/groundwater/uic/reportingforms.cfm</w:t>
        </w:r>
      </w:hyperlink>
      <w:r>
        <w:rPr>
          <w:sz w:val="24"/>
          <w:szCs w:val="24"/>
        </w:rPr>
        <w:t>). (Appendix D of this ICR contains copies of all the UIC reporting forms.)</w:t>
      </w:r>
    </w:p>
    <w:p w:rsidR="00C25838" w:rsidRDefault="00C25838" w14:paraId="6124EFF7" w14:textId="77777777">
      <w:pPr>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6116C7CC" w14:textId="7FC3A31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name="_Hlk508290379" w:id="63"/>
      <w:r>
        <w:rPr>
          <w:sz w:val="24"/>
          <w:szCs w:val="24"/>
        </w:rPr>
        <w:tab/>
      </w:r>
      <w:r w:rsidR="00D36208">
        <w:rPr>
          <w:sz w:val="24"/>
          <w:szCs w:val="24"/>
        </w:rPr>
        <w:t xml:space="preserve">Primacy </w:t>
      </w:r>
      <w:r w:rsidRPr="00793D78">
        <w:rPr>
          <w:sz w:val="24"/>
          <w:szCs w:val="24"/>
        </w:rPr>
        <w:t>and DI programs maintain detailed data about each well</w:t>
      </w:r>
      <w:r w:rsidR="000B5DF3">
        <w:rPr>
          <w:sz w:val="24"/>
          <w:szCs w:val="24"/>
        </w:rPr>
        <w:t xml:space="preserve"> that they oversee</w:t>
      </w:r>
      <w:r w:rsidR="00F84502">
        <w:rPr>
          <w:sz w:val="24"/>
          <w:szCs w:val="24"/>
        </w:rPr>
        <w:t xml:space="preserve">. </w:t>
      </w:r>
      <w:r w:rsidRPr="00793D78">
        <w:rPr>
          <w:sz w:val="24"/>
          <w:szCs w:val="24"/>
        </w:rPr>
        <w:t xml:space="preserve">Collection of data from individual operators and quality assurance is the responsibility of the individual </w:t>
      </w:r>
      <w:r w:rsidR="00821CFA">
        <w:rPr>
          <w:sz w:val="24"/>
          <w:szCs w:val="24"/>
        </w:rPr>
        <w:t xml:space="preserve">primacy </w:t>
      </w:r>
      <w:r w:rsidRPr="00793D78">
        <w:rPr>
          <w:sz w:val="24"/>
          <w:szCs w:val="24"/>
        </w:rPr>
        <w:t>state and DI programs. These data are the source of summary information submitted to</w:t>
      </w:r>
      <w:r w:rsidRPr="00177E5B">
        <w:rPr>
          <w:sz w:val="24"/>
          <w:szCs w:val="24"/>
        </w:rPr>
        <w:t xml:space="preserve"> the Regions and EPA Headquarters for oversight and program management</w:t>
      </w:r>
      <w:r w:rsidR="00F84502">
        <w:rPr>
          <w:sz w:val="24"/>
          <w:szCs w:val="24"/>
        </w:rPr>
        <w:t xml:space="preserve">. </w:t>
      </w:r>
      <w:r w:rsidRPr="00177E5B">
        <w:rPr>
          <w:sz w:val="24"/>
          <w:szCs w:val="24"/>
        </w:rPr>
        <w:t xml:space="preserve">Most </w:t>
      </w:r>
      <w:r w:rsidR="0003321F">
        <w:rPr>
          <w:sz w:val="24"/>
          <w:szCs w:val="24"/>
        </w:rPr>
        <w:t>primacy</w:t>
      </w:r>
      <w:r w:rsidR="00A9317C">
        <w:rPr>
          <w:sz w:val="24"/>
          <w:szCs w:val="24"/>
        </w:rPr>
        <w:t xml:space="preserve">/DI programs </w:t>
      </w:r>
      <w:r w:rsidRPr="00177E5B">
        <w:rPr>
          <w:sz w:val="24"/>
          <w:szCs w:val="24"/>
        </w:rPr>
        <w:t>use some type of electronic data management system to maintain this data</w:t>
      </w:r>
      <w:r w:rsidRPr="00793D78" w:rsidR="00FA6933">
        <w:rPr>
          <w:sz w:val="24"/>
          <w:szCs w:val="24"/>
        </w:rPr>
        <w:t xml:space="preserve"> to meet </w:t>
      </w:r>
      <w:r w:rsidRPr="00177E5B" w:rsidR="00BA7745">
        <w:rPr>
          <w:sz w:val="24"/>
          <w:szCs w:val="24"/>
        </w:rPr>
        <w:t xml:space="preserve">their specific </w:t>
      </w:r>
      <w:r w:rsidRPr="00177E5B" w:rsidR="00FA6933">
        <w:rPr>
          <w:sz w:val="24"/>
          <w:szCs w:val="24"/>
        </w:rPr>
        <w:t>programmatic needs.</w:t>
      </w:r>
      <w:r w:rsidRPr="00177E5B" w:rsidR="005F750F">
        <w:rPr>
          <w:sz w:val="24"/>
          <w:szCs w:val="24"/>
        </w:rPr>
        <w:t xml:space="preserve"> </w:t>
      </w:r>
    </w:p>
    <w:bookmarkEnd w:id="63"/>
    <w:p w:rsidR="00941D5E" w:rsidRDefault="00941D5E" w14:paraId="41FBBA9F" w14:textId="77777777">
      <w:pPr>
        <w:rPr>
          <w:sz w:val="24"/>
          <w:szCs w:val="24"/>
        </w:rPr>
      </w:pPr>
    </w:p>
    <w:p w:rsidR="00AB1DAB" w:rsidP="00AB1DAB" w:rsidRDefault="00AB1DAB" w14:paraId="7133339C" w14:textId="417942B4">
      <w:pPr>
        <w:ind w:firstLine="720"/>
        <w:rPr>
          <w:sz w:val="24"/>
          <w:szCs w:val="24"/>
        </w:rPr>
      </w:pPr>
      <w:r>
        <w:rPr>
          <w:sz w:val="24"/>
          <w:szCs w:val="24"/>
        </w:rPr>
        <w:t xml:space="preserve">EPA developed a data system to collect and manage </w:t>
      </w:r>
      <w:r w:rsidR="00302641">
        <w:rPr>
          <w:sz w:val="24"/>
          <w:szCs w:val="24"/>
        </w:rPr>
        <w:t xml:space="preserve">operator </w:t>
      </w:r>
      <w:r>
        <w:rPr>
          <w:sz w:val="24"/>
          <w:szCs w:val="24"/>
        </w:rPr>
        <w:t>data on Class VI wells</w:t>
      </w:r>
      <w:r w:rsidR="00F84502">
        <w:rPr>
          <w:sz w:val="24"/>
          <w:szCs w:val="24"/>
        </w:rPr>
        <w:t xml:space="preserve">. </w:t>
      </w:r>
      <w:r w:rsidR="00E26323">
        <w:rPr>
          <w:sz w:val="24"/>
          <w:szCs w:val="24"/>
        </w:rPr>
        <w:t xml:space="preserve">The </w:t>
      </w:r>
      <w:r w:rsidRPr="00E26323" w:rsidR="00E26323">
        <w:rPr>
          <w:sz w:val="24"/>
          <w:szCs w:val="24"/>
        </w:rPr>
        <w:t xml:space="preserve">Geologic Sequestration Data Tool </w:t>
      </w:r>
      <w:r w:rsidR="00E26323">
        <w:rPr>
          <w:sz w:val="24"/>
          <w:szCs w:val="24"/>
        </w:rPr>
        <w:t>(</w:t>
      </w:r>
      <w:r w:rsidRPr="00E26323" w:rsidR="00E26323">
        <w:rPr>
          <w:sz w:val="24"/>
          <w:szCs w:val="24"/>
        </w:rPr>
        <w:t xml:space="preserve">GSDT) </w:t>
      </w:r>
      <w:r w:rsidR="000B5DF3">
        <w:rPr>
          <w:sz w:val="24"/>
          <w:szCs w:val="24"/>
        </w:rPr>
        <w:t>support</w:t>
      </w:r>
      <w:r w:rsidR="00274001">
        <w:rPr>
          <w:sz w:val="24"/>
          <w:szCs w:val="24"/>
        </w:rPr>
        <w:t>s</w:t>
      </w:r>
      <w:r w:rsidR="000B5DF3">
        <w:rPr>
          <w:sz w:val="24"/>
          <w:szCs w:val="24"/>
        </w:rPr>
        <w:t xml:space="preserve"> </w:t>
      </w:r>
      <w:r w:rsidRPr="00E26323" w:rsidR="00E26323">
        <w:rPr>
          <w:sz w:val="24"/>
          <w:szCs w:val="24"/>
        </w:rPr>
        <w:t xml:space="preserve">organizing and retaining the large volume of material related to </w:t>
      </w:r>
      <w:r w:rsidR="00A92ED1">
        <w:rPr>
          <w:sz w:val="24"/>
          <w:szCs w:val="24"/>
        </w:rPr>
        <w:t xml:space="preserve">Class VI </w:t>
      </w:r>
      <w:r w:rsidRPr="00E26323" w:rsidR="00E26323">
        <w:rPr>
          <w:sz w:val="24"/>
          <w:szCs w:val="24"/>
        </w:rPr>
        <w:t xml:space="preserve">permit application reviews and subsequent project oversight activities. </w:t>
      </w:r>
      <w:r>
        <w:rPr>
          <w:sz w:val="24"/>
          <w:szCs w:val="24"/>
        </w:rPr>
        <w:t xml:space="preserve">All data, including permit applications, operating data, and testing and monitoring data, </w:t>
      </w:r>
      <w:r w:rsidR="00E054C1">
        <w:rPr>
          <w:sz w:val="24"/>
          <w:szCs w:val="24"/>
        </w:rPr>
        <w:t>is</w:t>
      </w:r>
      <w:r>
        <w:rPr>
          <w:sz w:val="24"/>
          <w:szCs w:val="24"/>
        </w:rPr>
        <w:t xml:space="preserve"> submitted directly to the </w:t>
      </w:r>
      <w:r w:rsidR="00E26323">
        <w:rPr>
          <w:sz w:val="24"/>
          <w:szCs w:val="24"/>
        </w:rPr>
        <w:t>GSDT</w:t>
      </w:r>
      <w:r w:rsidRPr="00E26323" w:rsidR="00E26323">
        <w:rPr>
          <w:sz w:val="24"/>
          <w:szCs w:val="24"/>
        </w:rPr>
        <w:t xml:space="preserve"> </w:t>
      </w:r>
      <w:r>
        <w:rPr>
          <w:sz w:val="24"/>
          <w:szCs w:val="24"/>
        </w:rPr>
        <w:t>by owners or operators, as required at 40 CFR 146.91(e)</w:t>
      </w:r>
      <w:r w:rsidR="00F84502">
        <w:rPr>
          <w:sz w:val="24"/>
          <w:szCs w:val="24"/>
        </w:rPr>
        <w:t xml:space="preserve">. </w:t>
      </w:r>
      <w:r w:rsidRPr="009B6843" w:rsidR="009B6843">
        <w:rPr>
          <w:sz w:val="24"/>
          <w:szCs w:val="24"/>
        </w:rPr>
        <w:t xml:space="preserve">EPA is continuously updating the </w:t>
      </w:r>
      <w:r w:rsidR="009B6843">
        <w:rPr>
          <w:sz w:val="24"/>
          <w:szCs w:val="24"/>
        </w:rPr>
        <w:t>GSDT</w:t>
      </w:r>
      <w:r w:rsidR="00A43113">
        <w:rPr>
          <w:sz w:val="24"/>
          <w:szCs w:val="24"/>
        </w:rPr>
        <w:t>.</w:t>
      </w:r>
      <w:r w:rsidR="009B6843">
        <w:rPr>
          <w:sz w:val="24"/>
          <w:szCs w:val="24"/>
        </w:rPr>
        <w:t xml:space="preserve"> </w:t>
      </w:r>
      <w:r w:rsidR="00A43113">
        <w:rPr>
          <w:sz w:val="24"/>
          <w:szCs w:val="24"/>
        </w:rPr>
        <w:t xml:space="preserve">EPA </w:t>
      </w:r>
      <w:r w:rsidR="009B6843">
        <w:rPr>
          <w:sz w:val="24"/>
          <w:szCs w:val="24"/>
        </w:rPr>
        <w:t>recent</w:t>
      </w:r>
      <w:r w:rsidR="00A43113">
        <w:rPr>
          <w:sz w:val="24"/>
          <w:szCs w:val="24"/>
        </w:rPr>
        <w:t>ly</w:t>
      </w:r>
      <w:r w:rsidR="009B6843">
        <w:rPr>
          <w:sz w:val="24"/>
          <w:szCs w:val="24"/>
        </w:rPr>
        <w:t xml:space="preserve"> </w:t>
      </w:r>
      <w:r w:rsidRPr="00A43113" w:rsidR="00A43113">
        <w:rPr>
          <w:sz w:val="24"/>
          <w:szCs w:val="24"/>
        </w:rPr>
        <w:t>modified the language in the GSDT reporting modules to better align with states with primacy who may wish to adopt the system</w:t>
      </w:r>
      <w:r w:rsidR="00A43113">
        <w:rPr>
          <w:sz w:val="24"/>
          <w:szCs w:val="24"/>
        </w:rPr>
        <w:t xml:space="preserve"> and benefit from the efficiencies it offers</w:t>
      </w:r>
      <w:r w:rsidRPr="00A43113" w:rsidR="00A43113">
        <w:rPr>
          <w:sz w:val="24"/>
          <w:szCs w:val="24"/>
        </w:rPr>
        <w:t xml:space="preserve">. Additionally, EPA is currently working to upgrade the security of the system so that it can store and transmit proprietary business information </w:t>
      </w:r>
      <w:r w:rsidR="00A43113">
        <w:rPr>
          <w:sz w:val="24"/>
          <w:szCs w:val="24"/>
        </w:rPr>
        <w:t xml:space="preserve">and streamline the submittal of </w:t>
      </w:r>
      <w:r w:rsidRPr="00A43113" w:rsidR="00A43113">
        <w:rPr>
          <w:sz w:val="24"/>
          <w:szCs w:val="24"/>
        </w:rPr>
        <w:t>Class VI permit applications</w:t>
      </w:r>
      <w:r w:rsidRPr="009B6843" w:rsidR="009B6843">
        <w:rPr>
          <w:sz w:val="24"/>
          <w:szCs w:val="24"/>
        </w:rPr>
        <w:t>.</w:t>
      </w:r>
    </w:p>
    <w:p w:rsidR="00AB1DAB" w:rsidP="00756561" w:rsidRDefault="00AB1DAB" w14:paraId="544FDD4F"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11F08" w:rsidP="00B11F08" w:rsidRDefault="00B11F08" w14:paraId="74866580" w14:textId="433E380F">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EPA developed a web-based reporting system by which primacy states electronically report the information on the paper-based forms 7520</w:t>
      </w:r>
      <w:r w:rsidR="00730060">
        <w:rPr>
          <w:sz w:val="24"/>
          <w:szCs w:val="24"/>
        </w:rPr>
        <w:t>-</w:t>
      </w:r>
      <w:r>
        <w:rPr>
          <w:sz w:val="24"/>
          <w:szCs w:val="24"/>
        </w:rPr>
        <w:t>1</w:t>
      </w:r>
      <w:r w:rsidR="00730060">
        <w:rPr>
          <w:sz w:val="24"/>
          <w:szCs w:val="24"/>
        </w:rPr>
        <w:t xml:space="preserve"> through 7520-</w:t>
      </w:r>
      <w:r>
        <w:rPr>
          <w:sz w:val="24"/>
          <w:szCs w:val="24"/>
        </w:rPr>
        <w:t xml:space="preserve">4. Electronic reporting </w:t>
      </w:r>
      <w:r>
        <w:rPr>
          <w:sz w:val="24"/>
          <w:szCs w:val="24"/>
        </w:rPr>
        <w:lastRenderedPageBreak/>
        <w:t xml:space="preserve">supports the agency’s effort to streamline the UIC Program by reducing the reporting burden on primacy states and improving EPA’s data collection and management. EPA has also developed a web-based version of the 7520-16 form used by Class V well operators. EPA plans to continue efforts to streamline and modernize data collection and management by adding electronic versions of </w:t>
      </w:r>
      <w:r w:rsidR="009B6843">
        <w:rPr>
          <w:sz w:val="24"/>
          <w:szCs w:val="24"/>
        </w:rPr>
        <w:t>other</w:t>
      </w:r>
      <w:r>
        <w:rPr>
          <w:sz w:val="24"/>
          <w:szCs w:val="24"/>
        </w:rPr>
        <w:t xml:space="preserve"> forms, and improving the interface of existing electronic forms based on feedback</w:t>
      </w:r>
      <w:r w:rsidR="009B6843">
        <w:rPr>
          <w:sz w:val="24"/>
          <w:szCs w:val="24"/>
        </w:rPr>
        <w:t xml:space="preserve"> from the states</w:t>
      </w:r>
      <w:r>
        <w:rPr>
          <w:sz w:val="24"/>
          <w:szCs w:val="24"/>
        </w:rPr>
        <w:t>.</w:t>
      </w:r>
    </w:p>
    <w:p w:rsidR="009B6843" w:rsidP="00B11F08" w:rsidRDefault="009B6843" w14:paraId="3AD7F796" w14:textId="777777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26DF" w:rsidP="001941A8" w:rsidRDefault="000A26DF" w14:paraId="2C2F2FD6" w14:textId="77777777">
      <w:pPr>
        <w:pStyle w:val="Heading2"/>
        <w:rPr>
          <w:sz w:val="24"/>
        </w:rPr>
      </w:pPr>
      <w:r>
        <w:t>5(c)</w:t>
      </w:r>
      <w:r>
        <w:tab/>
        <w:t>Small Entity Flexibility</w:t>
      </w:r>
      <w:r>
        <w:fldChar w:fldCharType="begin"/>
      </w:r>
      <w:r>
        <w:instrText>tc "</w:instrText>
      </w:r>
      <w:bookmarkStart w:name="_Toc511660011" w:id="64"/>
      <w:bookmarkStart w:name="_Toc511713520" w:id="65"/>
      <w:r>
        <w:instrText>5(c)</w:instrText>
      </w:r>
      <w:r>
        <w:tab/>
        <w:instrText>Small Entity Flexibility</w:instrText>
      </w:r>
      <w:bookmarkEnd w:id="64"/>
      <w:bookmarkEnd w:id="65"/>
      <w:r>
        <w:instrText xml:space="preserve"> " \l 2</w:instrText>
      </w:r>
      <w:r>
        <w:fldChar w:fldCharType="end"/>
      </w:r>
    </w:p>
    <w:p w:rsidR="000A26DF" w:rsidP="000A26DF" w:rsidRDefault="000A26DF" w14:paraId="294ADEAA" w14:textId="77777777">
      <w:pPr>
        <w:keepNext/>
        <w:keepLines/>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636CD" w:rsidP="000A26DF" w:rsidRDefault="000A26DF" w14:paraId="42D48B3E" w14:textId="44F9629A">
      <w:pPr>
        <w:keepNext/>
        <w:keepLines/>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1B269C">
        <w:rPr>
          <w:sz w:val="24"/>
          <w:szCs w:val="24"/>
        </w:rPr>
        <w:t xml:space="preserve">In this section, EPA </w:t>
      </w:r>
      <w:r w:rsidRPr="008636CD" w:rsidR="008636CD">
        <w:rPr>
          <w:sz w:val="24"/>
          <w:szCs w:val="24"/>
        </w:rPr>
        <w:t xml:space="preserve">discusses how this information collection addresses the needs of </w:t>
      </w:r>
      <w:r w:rsidR="001B269C">
        <w:rPr>
          <w:sz w:val="24"/>
          <w:szCs w:val="24"/>
        </w:rPr>
        <w:t xml:space="preserve">the </w:t>
      </w:r>
      <w:r w:rsidR="00730060">
        <w:rPr>
          <w:sz w:val="24"/>
          <w:szCs w:val="24"/>
        </w:rPr>
        <w:t xml:space="preserve">approximately </w:t>
      </w:r>
      <w:r w:rsidRPr="00862C68" w:rsidR="001B269C">
        <w:rPr>
          <w:sz w:val="24"/>
          <w:szCs w:val="24"/>
        </w:rPr>
        <w:t>29,</w:t>
      </w:r>
      <w:r w:rsidR="00730060">
        <w:rPr>
          <w:sz w:val="24"/>
          <w:szCs w:val="24"/>
        </w:rPr>
        <w:t>00</w:t>
      </w:r>
      <w:r w:rsidRPr="00862C68" w:rsidR="001B269C">
        <w:rPr>
          <w:sz w:val="24"/>
          <w:szCs w:val="24"/>
        </w:rPr>
        <w:t>0 injection</w:t>
      </w:r>
      <w:r w:rsidR="001B269C">
        <w:rPr>
          <w:sz w:val="24"/>
          <w:szCs w:val="24"/>
        </w:rPr>
        <w:t xml:space="preserve"> well operators that EPA estimates are </w:t>
      </w:r>
      <w:r w:rsidRPr="008636CD" w:rsidR="008636CD">
        <w:rPr>
          <w:sz w:val="24"/>
          <w:szCs w:val="24"/>
        </w:rPr>
        <w:t xml:space="preserve">small businesses </w:t>
      </w:r>
      <w:r w:rsidR="001B269C">
        <w:rPr>
          <w:sz w:val="24"/>
          <w:szCs w:val="24"/>
        </w:rPr>
        <w:t xml:space="preserve">and EPA’s efforts to reduce the burden on small entities. </w:t>
      </w:r>
    </w:p>
    <w:p w:rsidR="008636CD" w:rsidP="000A26DF" w:rsidRDefault="008636CD" w14:paraId="536B5F0D" w14:textId="77777777">
      <w:pPr>
        <w:keepNext/>
        <w:keepLines/>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26DF" w:rsidP="000A26DF" w:rsidRDefault="001B269C" w14:paraId="384CE2E5" w14:textId="2E488EE7">
      <w:pPr>
        <w:keepNext/>
        <w:keepLines/>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0A26DF">
        <w:rPr>
          <w:sz w:val="24"/>
          <w:szCs w:val="24"/>
        </w:rPr>
        <w:t>Few, if any, operators of Class I, Class III, or Class VI injection wells</w:t>
      </w:r>
      <w:r w:rsidRPr="00A92ED1" w:rsidR="000A26DF">
        <w:rPr>
          <w:sz w:val="24"/>
          <w:szCs w:val="24"/>
        </w:rPr>
        <w:t xml:space="preserve"> </w:t>
      </w:r>
      <w:r w:rsidR="000A26DF">
        <w:rPr>
          <w:sz w:val="24"/>
          <w:szCs w:val="24"/>
        </w:rPr>
        <w:t>are small businesses. In contrast, many Class II, Class IV, and Class V operators affected by this collection are small entities. EPA reduces, to the extent practicable and appropriate, the burden of this collection on persons that provide information to or for the agency, including with respect to small entities, as defined by the Regulatory Flexibility Act [5 USC 601(6)], using techniques such as:</w:t>
      </w:r>
    </w:p>
    <w:p w:rsidR="000A26DF" w:rsidP="000A26DF" w:rsidRDefault="000A26DF" w14:paraId="78A93B70" w14:textId="77777777">
      <w:pPr>
        <w:keepNext/>
        <w:keepLines/>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26DF" w:rsidP="000A26DF" w:rsidRDefault="000A26DF" w14:paraId="0F5A2623" w14:textId="77777777">
      <w:pPr>
        <w:pStyle w:val="a0"/>
        <w:keepNext/>
        <w:keepLines/>
        <w:numPr>
          <w:ilvl w:val="0"/>
          <w:numId w:val="40"/>
        </w:numPr>
        <w:tabs>
          <w:tab w:val="left" w:pos="-108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pPr>
      <w:r>
        <w:t>Establishing differing compliance or reporting requirements or timetables that take into account the resources available to those who are to respond;</w:t>
      </w:r>
    </w:p>
    <w:p w:rsidR="000A26DF" w:rsidP="000A26DF" w:rsidRDefault="000A26DF" w14:paraId="1075B64E" w14:textId="77777777">
      <w:pPr>
        <w:pStyle w:val="a0"/>
        <w:keepNext/>
        <w:keepLines/>
        <w:numPr>
          <w:ilvl w:val="0"/>
          <w:numId w:val="40"/>
        </w:numPr>
        <w:tabs>
          <w:tab w:val="left" w:pos="-108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pPr>
      <w:r>
        <w:t>Clarification, consolidation, or simplification of compliance and reporting requirements; or</w:t>
      </w:r>
    </w:p>
    <w:p w:rsidR="000A26DF" w:rsidP="000A26DF" w:rsidRDefault="000A26DF" w14:paraId="0EDF7A8C" w14:textId="77777777">
      <w:pPr>
        <w:pStyle w:val="a0"/>
        <w:numPr>
          <w:ilvl w:val="0"/>
          <w:numId w:val="40"/>
        </w:numPr>
        <w:tabs>
          <w:tab w:val="left" w:pos="-108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pPr>
      <w:r>
        <w:t>Exempting operators from the collection of information, or any part thereof.</w:t>
      </w:r>
    </w:p>
    <w:p w:rsidR="000A26DF" w:rsidP="000A26DF" w:rsidRDefault="000A26DF" w14:paraId="2E6D06C8" w14:textId="77777777">
      <w:pPr>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26DF" w:rsidP="000A26DF" w:rsidRDefault="000A26DF" w14:paraId="27A9E9CB" w14:textId="611EDA4D">
      <w:pPr>
        <w:keepNext/>
        <w:keepLines/>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EPA </w:t>
      </w:r>
      <w:r w:rsidR="009B6843">
        <w:rPr>
          <w:sz w:val="24"/>
          <w:szCs w:val="24"/>
        </w:rPr>
        <w:t xml:space="preserve">continues </w:t>
      </w:r>
      <w:r>
        <w:rPr>
          <w:sz w:val="24"/>
          <w:szCs w:val="24"/>
        </w:rPr>
        <w:t xml:space="preserve">to evaluate and, where appropriate, streamline or simplify the reporting forms that owners or operators of injection wells submit. For additional information on </w:t>
      </w:r>
      <w:r w:rsidR="008C1D47">
        <w:rPr>
          <w:sz w:val="24"/>
          <w:szCs w:val="24"/>
        </w:rPr>
        <w:t xml:space="preserve">EPA’s </w:t>
      </w:r>
      <w:r>
        <w:rPr>
          <w:sz w:val="24"/>
          <w:szCs w:val="24"/>
        </w:rPr>
        <w:t>burden reduction initiative</w:t>
      </w:r>
      <w:r w:rsidR="008C1D47">
        <w:rPr>
          <w:sz w:val="24"/>
          <w:szCs w:val="24"/>
        </w:rPr>
        <w:t>s</w:t>
      </w:r>
      <w:r>
        <w:rPr>
          <w:sz w:val="24"/>
          <w:szCs w:val="24"/>
        </w:rPr>
        <w:t>, see Appendix C.</w:t>
      </w:r>
    </w:p>
    <w:p w:rsidR="00FD2409" w:rsidRDefault="00FD2409" w14:paraId="27CE34AB" w14:textId="77777777">
      <w:pPr>
        <w:keepNext/>
        <w:keepLines/>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2CC73A72" w14:textId="77777777">
      <w:pPr>
        <w:keepNext/>
        <w:keepLines/>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b/>
          <w:bCs/>
          <w:sz w:val="24"/>
          <w:szCs w:val="24"/>
        </w:rPr>
        <w:t>Class I</w:t>
      </w:r>
    </w:p>
    <w:p w:rsidR="00C25838" w:rsidRDefault="00C25838" w14:paraId="7219F556" w14:textId="77777777">
      <w:pPr>
        <w:keepNext/>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68E5E0D9" w14:textId="77777777">
      <w:pPr>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The size standard the Small Business Administration uses to define “small business” varies by SIC code</w:t>
      </w:r>
      <w:r w:rsidR="00F84502">
        <w:rPr>
          <w:sz w:val="24"/>
          <w:szCs w:val="24"/>
        </w:rPr>
        <w:t xml:space="preserve">. </w:t>
      </w:r>
      <w:r>
        <w:rPr>
          <w:sz w:val="24"/>
          <w:szCs w:val="24"/>
        </w:rPr>
        <w:t xml:space="preserve">Class I wells typically involve the following </w:t>
      </w:r>
      <w:r w:rsidRPr="00BF636F">
        <w:rPr>
          <w:sz w:val="24"/>
          <w:szCs w:val="24"/>
        </w:rPr>
        <w:t>SIC</w:t>
      </w:r>
      <w:r>
        <w:rPr>
          <w:sz w:val="24"/>
          <w:szCs w:val="24"/>
        </w:rPr>
        <w:t xml:space="preserve"> codes:</w:t>
      </w:r>
    </w:p>
    <w:p w:rsidR="00C25838" w:rsidRDefault="00C25838" w14:paraId="55EFC15E" w14:textId="77777777">
      <w:pPr>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A0BB2" w:rsidP="005A0BB2" w:rsidRDefault="005A0BB2" w14:paraId="69DA1980" w14:textId="77777777">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13 (oil and gas extraction);</w:t>
      </w:r>
    </w:p>
    <w:p w:rsidR="005A0BB2" w:rsidP="005A0BB2" w:rsidRDefault="005A0BB2" w14:paraId="6F1121FB" w14:textId="77777777">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28 (chemicals and allied products);</w:t>
      </w:r>
    </w:p>
    <w:p w:rsidR="005A0BB2" w:rsidP="005A0BB2" w:rsidRDefault="005A0BB2" w14:paraId="7F519C41" w14:textId="77777777">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26 (paper and allied products);</w:t>
      </w:r>
    </w:p>
    <w:p w:rsidR="005A0BB2" w:rsidP="005A0BB2" w:rsidRDefault="005A0BB2" w14:paraId="78E47667" w14:textId="77777777">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29 (petroleum and coal products);</w:t>
      </w:r>
    </w:p>
    <w:p w:rsidR="005A0BB2" w:rsidP="005A0BB2" w:rsidRDefault="005A0BB2" w14:paraId="6F9F32F1" w14:textId="77777777">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32 (stone, clay and glass products);</w:t>
      </w:r>
    </w:p>
    <w:p w:rsidR="005A0BB2" w:rsidP="005A0BB2" w:rsidRDefault="005A0BB2" w14:paraId="49724C8C" w14:textId="77777777">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33 (primary metal industries);</w:t>
      </w:r>
    </w:p>
    <w:p w:rsidR="005A0BB2" w:rsidP="005A0BB2" w:rsidRDefault="005A0BB2" w14:paraId="40EF8095" w14:textId="77777777">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36 (electrical and electronic machinery);</w:t>
      </w:r>
    </w:p>
    <w:p w:rsidR="005A0BB2" w:rsidP="005A0BB2" w:rsidRDefault="005A0BB2" w14:paraId="3F24B948" w14:textId="77777777">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37 (transportation equipment);</w:t>
      </w:r>
    </w:p>
    <w:p w:rsidR="005A0BB2" w:rsidP="005A0BB2" w:rsidRDefault="005A0BB2" w14:paraId="7EE4E13C" w14:textId="77777777">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45 (transportation by air);</w:t>
      </w:r>
    </w:p>
    <w:p w:rsidR="005A0BB2" w:rsidP="005A0BB2" w:rsidRDefault="005A0BB2" w14:paraId="2DA1B216" w14:textId="77777777">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Major Group 49 (electric, gas, and sanitary services);</w:t>
      </w:r>
    </w:p>
    <w:p w:rsidR="005A0BB2" w:rsidP="005A0BB2" w:rsidRDefault="005A0BB2" w14:paraId="2F39B010" w14:textId="77777777">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89 (services not elsewhere classified); and</w:t>
      </w:r>
    </w:p>
    <w:p w:rsidR="005A0BB2" w:rsidP="005A0BB2" w:rsidRDefault="005A0BB2" w14:paraId="532426E2" w14:textId="77777777">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99 (non-classifiable establishments).</w:t>
      </w:r>
    </w:p>
    <w:p w:rsidR="00C25838" w:rsidRDefault="00C25838" w14:paraId="2CF49A79" w14:textId="77777777">
      <w:pPr>
        <w:pStyle w:val="a0"/>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C25838" w:rsidRDefault="00C25838" w14:paraId="3ED6DCCA" w14:textId="7B2996BA">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The small business size standards for firms in these </w:t>
      </w:r>
      <w:r w:rsidRPr="00BF636F">
        <w:rPr>
          <w:sz w:val="24"/>
          <w:szCs w:val="24"/>
        </w:rPr>
        <w:t>SIC</w:t>
      </w:r>
      <w:r>
        <w:rPr>
          <w:sz w:val="24"/>
          <w:szCs w:val="24"/>
        </w:rPr>
        <w:t xml:space="preserve"> code groups vary from 500 to 1,500 employees, except for </w:t>
      </w:r>
      <w:r w:rsidRPr="00BF636F">
        <w:rPr>
          <w:sz w:val="24"/>
          <w:szCs w:val="24"/>
        </w:rPr>
        <w:t>SIC</w:t>
      </w:r>
      <w:r>
        <w:rPr>
          <w:sz w:val="24"/>
          <w:szCs w:val="24"/>
        </w:rPr>
        <w:t xml:space="preserve"> code 4953,</w:t>
      </w:r>
      <w:r w:rsidRPr="009855B6" w:rsidR="009855B6">
        <w:rPr>
          <w:sz w:val="24"/>
          <w:szCs w:val="24"/>
        </w:rPr>
        <w:t xml:space="preserve"> </w:t>
      </w:r>
      <w:r w:rsidR="009855B6">
        <w:rPr>
          <w:sz w:val="24"/>
          <w:szCs w:val="24"/>
        </w:rPr>
        <w:t>hazardous waste disposal firms that own and operate Class I wells,</w:t>
      </w:r>
      <w:r>
        <w:rPr>
          <w:sz w:val="24"/>
          <w:szCs w:val="24"/>
        </w:rPr>
        <w:t xml:space="preserve"> for which the size standard is $3.5 million or less in revenues</w:t>
      </w:r>
      <w:r w:rsidR="00F84502">
        <w:rPr>
          <w:sz w:val="24"/>
          <w:szCs w:val="24"/>
        </w:rPr>
        <w:t xml:space="preserve">. </w:t>
      </w:r>
      <w:r>
        <w:rPr>
          <w:sz w:val="24"/>
          <w:szCs w:val="24"/>
        </w:rPr>
        <w:t>Most of the firms that own or operate Class I injection wells exceed both the 500-employee and the 1,500-employee standard</w:t>
      </w:r>
      <w:r w:rsidR="00F84502">
        <w:rPr>
          <w:sz w:val="24"/>
          <w:szCs w:val="24"/>
        </w:rPr>
        <w:t xml:space="preserve">. </w:t>
      </w:r>
      <w:r>
        <w:rPr>
          <w:sz w:val="24"/>
          <w:szCs w:val="24"/>
        </w:rPr>
        <w:t xml:space="preserve">Examples include Allied Chemical, Bethlehem Steel, Dow Chemical, DuPont, Exxon, General Electric, Monsanto, </w:t>
      </w:r>
      <w:r w:rsidR="00C13A29">
        <w:rPr>
          <w:sz w:val="24"/>
          <w:szCs w:val="24"/>
        </w:rPr>
        <w:t xml:space="preserve">and </w:t>
      </w:r>
      <w:r>
        <w:rPr>
          <w:sz w:val="24"/>
          <w:szCs w:val="24"/>
        </w:rPr>
        <w:t>Shell</w:t>
      </w:r>
      <w:r w:rsidR="00F84502">
        <w:rPr>
          <w:sz w:val="24"/>
          <w:szCs w:val="24"/>
        </w:rPr>
        <w:t xml:space="preserve">. </w:t>
      </w:r>
      <w:r>
        <w:rPr>
          <w:sz w:val="24"/>
          <w:szCs w:val="24"/>
        </w:rPr>
        <w:t xml:space="preserve">The hazardous waste disposal firms that own and operate Class I wells are </w:t>
      </w:r>
      <w:r w:rsidR="008F4D9C">
        <w:rPr>
          <w:sz w:val="24"/>
          <w:szCs w:val="24"/>
        </w:rPr>
        <w:t xml:space="preserve">anticipated </w:t>
      </w:r>
      <w:r>
        <w:rPr>
          <w:sz w:val="24"/>
          <w:szCs w:val="24"/>
        </w:rPr>
        <w:t>to exceed the $3.5 million revenue standard.</w:t>
      </w:r>
    </w:p>
    <w:p w:rsidR="00C25838" w:rsidRDefault="00C25838" w14:paraId="53E0FA23"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78E8F8DD" w14:textId="77777777">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rPr>
        <w:tab/>
      </w:r>
      <w:r>
        <w:rPr>
          <w:b/>
          <w:bCs/>
          <w:sz w:val="24"/>
          <w:szCs w:val="24"/>
        </w:rPr>
        <w:t>Class II</w:t>
      </w:r>
    </w:p>
    <w:p w:rsidR="00C25838" w:rsidRDefault="00C25838" w14:paraId="1CA0228F" w14:textId="77777777">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465A8D8F" w14:textId="77777777">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Oil and gas extraction firms fall into three </w:t>
      </w:r>
      <w:r w:rsidRPr="00BF636F">
        <w:rPr>
          <w:sz w:val="24"/>
          <w:szCs w:val="24"/>
        </w:rPr>
        <w:t>SIC</w:t>
      </w:r>
      <w:r>
        <w:rPr>
          <w:sz w:val="24"/>
          <w:szCs w:val="24"/>
        </w:rPr>
        <w:t xml:space="preserve"> categories:</w:t>
      </w:r>
    </w:p>
    <w:p w:rsidR="00C25838" w:rsidRDefault="00C25838" w14:paraId="1AF576FA" w14:textId="77777777">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C13A29" w:rsidRDefault="00C25838" w14:paraId="55E207FF" w14:textId="77777777">
      <w:pPr>
        <w:numPr>
          <w:ilvl w:val="0"/>
          <w:numId w:val="45"/>
        </w:numPr>
        <w:tabs>
          <w:tab w:val="left" w:pos="-119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r>
        <w:rPr>
          <w:sz w:val="24"/>
          <w:szCs w:val="24"/>
        </w:rPr>
        <w:t>SIC code 1311 (crude petroleum and natural gas);</w:t>
      </w:r>
    </w:p>
    <w:p w:rsidR="00C25838" w:rsidP="00C13A29" w:rsidRDefault="00C25838" w14:paraId="5B599DCC" w14:textId="77777777">
      <w:pPr>
        <w:numPr>
          <w:ilvl w:val="0"/>
          <w:numId w:val="45"/>
        </w:numPr>
        <w:tabs>
          <w:tab w:val="left" w:pos="-119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r>
        <w:rPr>
          <w:sz w:val="24"/>
          <w:szCs w:val="24"/>
        </w:rPr>
        <w:t>SIC code 1321 (natural gas liquids); and</w:t>
      </w:r>
    </w:p>
    <w:p w:rsidR="00C25838" w:rsidP="00C13A29" w:rsidRDefault="00C25838" w14:paraId="180784FC" w14:textId="77777777">
      <w:pPr>
        <w:numPr>
          <w:ilvl w:val="0"/>
          <w:numId w:val="45"/>
        </w:numPr>
        <w:tabs>
          <w:tab w:val="left" w:pos="-119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r>
        <w:rPr>
          <w:sz w:val="24"/>
          <w:szCs w:val="24"/>
        </w:rPr>
        <w:t>SIC code 1381 (drilling oil and gas wells).</w:t>
      </w:r>
    </w:p>
    <w:p w:rsidR="00C25838" w:rsidRDefault="00C25838" w14:paraId="73858445"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64304B44"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All of these categories have small business size standards of 500 employees</w:t>
      </w:r>
      <w:r w:rsidR="00F84502">
        <w:rPr>
          <w:sz w:val="24"/>
          <w:szCs w:val="24"/>
        </w:rPr>
        <w:t xml:space="preserve">. </w:t>
      </w:r>
      <w:r>
        <w:rPr>
          <w:sz w:val="24"/>
          <w:szCs w:val="24"/>
        </w:rPr>
        <w:t>According to Dun and Bradstreet Market Analysis Profile, more than 90 percent of the firms in these SIC codes are small businesses, using the 500-employee standard</w:t>
      </w:r>
      <w:r w:rsidR="00F84502">
        <w:rPr>
          <w:sz w:val="24"/>
          <w:szCs w:val="24"/>
        </w:rPr>
        <w:t xml:space="preserve">. </w:t>
      </w:r>
      <w:r>
        <w:rPr>
          <w:sz w:val="24"/>
          <w:szCs w:val="24"/>
        </w:rPr>
        <w:t>Even though many of the operable Class II injection wells are owned and operated by large businesses, industry observers believe that as many as half of the Class II wells are owned and operated by firms that are below the 500-employee size standard.</w:t>
      </w:r>
    </w:p>
    <w:p w:rsidR="00C25838" w:rsidRDefault="00C25838" w14:paraId="2BC467D1"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28CF76EC" w14:textId="058853F6">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Section 1421 of the SDWA states that regulation of Class II wells must be kept to a mi</w:t>
      </w:r>
      <w:r w:rsidR="00C13A29">
        <w:rPr>
          <w:sz w:val="24"/>
          <w:szCs w:val="24"/>
        </w:rPr>
        <w:t>nimum, while en</w:t>
      </w:r>
      <w:r>
        <w:rPr>
          <w:sz w:val="24"/>
          <w:szCs w:val="24"/>
        </w:rPr>
        <w:t>suring that USDWs will not be endangered</w:t>
      </w:r>
      <w:r w:rsidR="00F84502">
        <w:rPr>
          <w:sz w:val="24"/>
          <w:szCs w:val="24"/>
        </w:rPr>
        <w:t xml:space="preserve">. </w:t>
      </w:r>
      <w:r>
        <w:rPr>
          <w:sz w:val="24"/>
          <w:szCs w:val="24"/>
        </w:rPr>
        <w:t>Recognizing this intent, EPA has minimized reporting requirements for Class II wells in the following ways</w:t>
      </w:r>
      <w:r w:rsidR="009855B6">
        <w:rPr>
          <w:sz w:val="24"/>
          <w:szCs w:val="24"/>
        </w:rPr>
        <w:t>:</w:t>
      </w:r>
      <w:r w:rsidR="00F84502">
        <w:rPr>
          <w:sz w:val="24"/>
          <w:szCs w:val="24"/>
        </w:rPr>
        <w:t xml:space="preserve"> </w:t>
      </w:r>
      <w:r w:rsidR="008F4D9C">
        <w:rPr>
          <w:sz w:val="24"/>
          <w:szCs w:val="24"/>
        </w:rPr>
        <w:t>first</w:t>
      </w:r>
      <w:r>
        <w:rPr>
          <w:sz w:val="24"/>
          <w:szCs w:val="24"/>
        </w:rPr>
        <w:t>, while operators of Class I and Class III wells report injection fluid characteristics quarterly, Class II operators report th</w:t>
      </w:r>
      <w:r w:rsidR="00C13A29">
        <w:rPr>
          <w:sz w:val="24"/>
          <w:szCs w:val="24"/>
        </w:rPr>
        <w:t>is</w:t>
      </w:r>
      <w:r>
        <w:rPr>
          <w:sz w:val="24"/>
          <w:szCs w:val="24"/>
        </w:rPr>
        <w:t xml:space="preserve"> information annually</w:t>
      </w:r>
      <w:r w:rsidR="00F84502">
        <w:rPr>
          <w:sz w:val="24"/>
          <w:szCs w:val="24"/>
        </w:rPr>
        <w:t xml:space="preserve">. </w:t>
      </w:r>
      <w:r>
        <w:rPr>
          <w:sz w:val="24"/>
          <w:szCs w:val="24"/>
        </w:rPr>
        <w:t>Second, Class I monitoring requirements include the installation and use of continuous recording devices to monitor injection pressure, flow rate, volume, and annulus pressure [40 CFR 146.13]</w:t>
      </w:r>
      <w:r w:rsidR="00F84502">
        <w:rPr>
          <w:sz w:val="24"/>
          <w:szCs w:val="24"/>
        </w:rPr>
        <w:t xml:space="preserve">. </w:t>
      </w:r>
      <w:r>
        <w:rPr>
          <w:sz w:val="24"/>
          <w:szCs w:val="24"/>
        </w:rPr>
        <w:t>In contrast, Class II operators are only required to observe injection pressure, flow rate, and cumulative volume and to record these measurements at least monthly [40 CFR 146.23].</w:t>
      </w:r>
    </w:p>
    <w:p w:rsidR="00C25838" w:rsidRDefault="00C25838" w14:paraId="3A1205D7"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6076D53B"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The UIC regulations [40 CFR 146.14, 146.24, 146.34] define the information the UIC Program Director must consider in authorizing Class I, II, and III wells, respectively</w:t>
      </w:r>
      <w:r w:rsidR="00F84502">
        <w:rPr>
          <w:sz w:val="24"/>
          <w:szCs w:val="24"/>
        </w:rPr>
        <w:t xml:space="preserve">. </w:t>
      </w:r>
      <w:r>
        <w:rPr>
          <w:sz w:val="24"/>
          <w:szCs w:val="24"/>
        </w:rPr>
        <w:t xml:space="preserve">Less information is required </w:t>
      </w:r>
      <w:r w:rsidR="000B5DF3">
        <w:rPr>
          <w:sz w:val="24"/>
          <w:szCs w:val="24"/>
        </w:rPr>
        <w:t xml:space="preserve">about </w:t>
      </w:r>
      <w:r>
        <w:rPr>
          <w:sz w:val="24"/>
          <w:szCs w:val="24"/>
        </w:rPr>
        <w:t>Class II wells than other types of wells</w:t>
      </w:r>
      <w:r w:rsidR="00F84502">
        <w:rPr>
          <w:sz w:val="24"/>
          <w:szCs w:val="24"/>
        </w:rPr>
        <w:t xml:space="preserve">. </w:t>
      </w:r>
      <w:r>
        <w:rPr>
          <w:sz w:val="24"/>
          <w:szCs w:val="24"/>
        </w:rPr>
        <w:t>For permitting of Class I and Class III wells, maps and cross sections detailing geologic structure may be required, whereas Class II well operators must provide only a description of geologic conditions</w:t>
      </w:r>
      <w:r w:rsidR="00F84502">
        <w:rPr>
          <w:sz w:val="24"/>
          <w:szCs w:val="24"/>
        </w:rPr>
        <w:t xml:space="preserve">. </w:t>
      </w:r>
      <w:r>
        <w:rPr>
          <w:sz w:val="24"/>
          <w:szCs w:val="24"/>
        </w:rPr>
        <w:t xml:space="preserve">Finally, while the permitting authority may require Class I operators to provide detailed construction </w:t>
      </w:r>
      <w:r>
        <w:rPr>
          <w:sz w:val="24"/>
          <w:szCs w:val="24"/>
        </w:rPr>
        <w:lastRenderedPageBreak/>
        <w:t>procedures, including a cementing program; logging procedures; deviation checks; and a drilling, testing, and coring program, Class II well operators need not submit this information.</w:t>
      </w:r>
    </w:p>
    <w:p w:rsidR="00C25838" w:rsidRDefault="00C25838" w14:paraId="49DF2741"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4658F" w:rsidRDefault="00C25838" w14:paraId="6F719CE8"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EPA has also recognized the needs of Class II well </w:t>
      </w:r>
      <w:r w:rsidR="008F4D9C">
        <w:rPr>
          <w:sz w:val="24"/>
          <w:szCs w:val="24"/>
        </w:rPr>
        <w:t xml:space="preserve">operators </w:t>
      </w:r>
      <w:r>
        <w:rPr>
          <w:sz w:val="24"/>
          <w:szCs w:val="24"/>
        </w:rPr>
        <w:t>in other ways</w:t>
      </w:r>
      <w:r w:rsidR="00F84502">
        <w:rPr>
          <w:sz w:val="24"/>
          <w:szCs w:val="24"/>
        </w:rPr>
        <w:t xml:space="preserve">. </w:t>
      </w:r>
      <w:r>
        <w:rPr>
          <w:sz w:val="24"/>
          <w:szCs w:val="24"/>
        </w:rPr>
        <w:t>For example, oil and gas wells are often temporarily abandoned, especially by small businesses that operate at marginal production rates</w:t>
      </w:r>
      <w:r w:rsidR="00F84502">
        <w:rPr>
          <w:sz w:val="24"/>
          <w:szCs w:val="24"/>
        </w:rPr>
        <w:t xml:space="preserve">. </w:t>
      </w:r>
      <w:r>
        <w:rPr>
          <w:sz w:val="24"/>
          <w:szCs w:val="24"/>
        </w:rPr>
        <w:t>To accommodate this situation, the regulations specify that cessation of operation does not require plugging (and associated information collection) until two years have elapsed.</w:t>
      </w:r>
      <w:r w:rsidR="004713E1">
        <w:rPr>
          <w:sz w:val="24"/>
          <w:szCs w:val="24"/>
        </w:rPr>
        <w:t xml:space="preserve"> </w:t>
      </w:r>
    </w:p>
    <w:p w:rsidR="0004658F" w:rsidRDefault="0004658F" w14:paraId="0D90D60E"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04658F" w14:paraId="10F1B4E5" w14:textId="0361A94B">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4713E1" w:rsidR="004713E1">
        <w:rPr>
          <w:sz w:val="24"/>
          <w:szCs w:val="24"/>
        </w:rPr>
        <w:t xml:space="preserve">Many of the changes to the reporting forms that EPA made as part of </w:t>
      </w:r>
      <w:r w:rsidR="00F30C54">
        <w:rPr>
          <w:sz w:val="24"/>
          <w:szCs w:val="24"/>
        </w:rPr>
        <w:t xml:space="preserve">its </w:t>
      </w:r>
      <w:r w:rsidR="00730060">
        <w:rPr>
          <w:sz w:val="24"/>
          <w:szCs w:val="24"/>
        </w:rPr>
        <w:t xml:space="preserve">recent </w:t>
      </w:r>
      <w:r w:rsidRPr="004713E1" w:rsidR="004713E1">
        <w:rPr>
          <w:sz w:val="24"/>
          <w:szCs w:val="24"/>
        </w:rPr>
        <w:t xml:space="preserve">burden reduction efforts benefit Class II well owners or operators. </w:t>
      </w:r>
      <w:r w:rsidR="001F786B">
        <w:rPr>
          <w:sz w:val="24"/>
          <w:szCs w:val="24"/>
        </w:rPr>
        <w:t xml:space="preserve">Notably, </w:t>
      </w:r>
      <w:r w:rsidRPr="004713E1" w:rsidR="004713E1">
        <w:rPr>
          <w:sz w:val="24"/>
          <w:szCs w:val="24"/>
        </w:rPr>
        <w:t>EPA clarified the instructions to the permit applications that Class II owners or operators must complete. These changes will help permit applicants improve the quality of their submittals and potentially reduce the need for revisions/corrections to the</w:t>
      </w:r>
      <w:r w:rsidR="001F786B">
        <w:rPr>
          <w:sz w:val="24"/>
          <w:szCs w:val="24"/>
        </w:rPr>
        <w:t>ir</w:t>
      </w:r>
      <w:r w:rsidRPr="004713E1" w:rsidR="004713E1">
        <w:rPr>
          <w:sz w:val="24"/>
          <w:szCs w:val="24"/>
        </w:rPr>
        <w:t xml:space="preserve"> permit application. </w:t>
      </w:r>
      <w:r w:rsidR="006B10E5">
        <w:rPr>
          <w:sz w:val="24"/>
          <w:szCs w:val="24"/>
        </w:rPr>
        <w:t>T</w:t>
      </w:r>
      <w:r w:rsidRPr="004713E1" w:rsidR="004713E1">
        <w:rPr>
          <w:sz w:val="24"/>
          <w:szCs w:val="24"/>
        </w:rPr>
        <w:t xml:space="preserve">his will streamline the permitting process, save burden, and reduce the total time needed to complete the application process. EPA also significantly reduced the number of elements that Class II owners or operators must report associated with well completions; this resulted in a nearly 20 percent savings to owners or operators of Class II wells associated with completion reporting. </w:t>
      </w:r>
    </w:p>
    <w:p w:rsidR="00C25838" w:rsidRDefault="00C25838" w14:paraId="23B56539"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00F8FFBF" w14:textId="77777777">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b/>
          <w:bCs/>
          <w:sz w:val="24"/>
          <w:szCs w:val="24"/>
        </w:rPr>
        <w:t>Class III</w:t>
      </w:r>
    </w:p>
    <w:p w:rsidR="00C25838" w:rsidRDefault="00C25838" w14:paraId="6B77F32A" w14:textId="77777777">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73B8759C" w14:textId="77777777">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Operators of this class of wells fall into the following categories:</w:t>
      </w:r>
    </w:p>
    <w:p w:rsidR="00C25838" w:rsidRDefault="00C25838" w14:paraId="0684E7DF" w14:textId="77777777">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C13A29" w:rsidRDefault="00C25838" w14:paraId="33C015C7" w14:textId="77777777">
      <w:pPr>
        <w:numPr>
          <w:ilvl w:val="0"/>
          <w:numId w:val="46"/>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rPr>
          <w:sz w:val="24"/>
          <w:szCs w:val="24"/>
        </w:rPr>
      </w:pPr>
      <w:r w:rsidRPr="00BF636F">
        <w:rPr>
          <w:sz w:val="24"/>
          <w:szCs w:val="24"/>
        </w:rPr>
        <w:t>SIC</w:t>
      </w:r>
      <w:r>
        <w:rPr>
          <w:sz w:val="24"/>
          <w:szCs w:val="24"/>
        </w:rPr>
        <w:t xml:space="preserve"> Major Group 10 (metal mining) and</w:t>
      </w:r>
    </w:p>
    <w:p w:rsidR="00C25838" w:rsidP="00C13A29" w:rsidRDefault="00C25838" w14:paraId="6B103CDF" w14:textId="77777777">
      <w:pPr>
        <w:numPr>
          <w:ilvl w:val="0"/>
          <w:numId w:val="46"/>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rPr>
          <w:sz w:val="24"/>
          <w:szCs w:val="24"/>
        </w:rPr>
      </w:pPr>
      <w:r w:rsidRPr="00BF636F">
        <w:rPr>
          <w:sz w:val="24"/>
          <w:szCs w:val="24"/>
        </w:rPr>
        <w:t>SIC</w:t>
      </w:r>
      <w:r>
        <w:rPr>
          <w:sz w:val="24"/>
          <w:szCs w:val="24"/>
        </w:rPr>
        <w:t xml:space="preserve"> Major Group 14 (mining and quarrying of non-metallic minerals).</w:t>
      </w:r>
    </w:p>
    <w:p w:rsidR="00C25838" w:rsidRDefault="00C25838" w14:paraId="68FC1F16"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2B41745F"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The size standard for both groups is 500 or fewer employees</w:t>
      </w:r>
      <w:r w:rsidR="00F84502">
        <w:rPr>
          <w:sz w:val="24"/>
          <w:szCs w:val="24"/>
        </w:rPr>
        <w:t xml:space="preserve">. </w:t>
      </w:r>
      <w:r w:rsidR="00A92ED1">
        <w:rPr>
          <w:sz w:val="24"/>
          <w:szCs w:val="24"/>
        </w:rPr>
        <w:t xml:space="preserve">EPA understands that </w:t>
      </w:r>
      <w:r>
        <w:rPr>
          <w:sz w:val="24"/>
          <w:szCs w:val="24"/>
        </w:rPr>
        <w:t>the operators of these wells are large, diversified corporations, well above the size standard of 500 employees</w:t>
      </w:r>
      <w:r w:rsidR="00F84502">
        <w:rPr>
          <w:sz w:val="24"/>
          <w:szCs w:val="24"/>
        </w:rPr>
        <w:t xml:space="preserve">. </w:t>
      </w:r>
    </w:p>
    <w:p w:rsidR="00C25838" w:rsidRDefault="00C25838" w14:paraId="091A3123"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4CDBD046" w14:textId="77777777">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b/>
          <w:bCs/>
          <w:sz w:val="24"/>
          <w:szCs w:val="24"/>
        </w:rPr>
        <w:t xml:space="preserve">Class </w:t>
      </w:r>
      <w:r w:rsidR="000B5DF3">
        <w:rPr>
          <w:b/>
          <w:bCs/>
          <w:sz w:val="24"/>
          <w:szCs w:val="24"/>
        </w:rPr>
        <w:t>I</w:t>
      </w:r>
      <w:r>
        <w:rPr>
          <w:b/>
          <w:bCs/>
          <w:sz w:val="24"/>
          <w:szCs w:val="24"/>
        </w:rPr>
        <w:t>V</w:t>
      </w:r>
      <w:r w:rsidR="000B5DF3">
        <w:rPr>
          <w:b/>
          <w:bCs/>
          <w:sz w:val="24"/>
          <w:szCs w:val="24"/>
        </w:rPr>
        <w:t>, Endangering Class V, and Class V</w:t>
      </w:r>
    </w:p>
    <w:p w:rsidR="00C25838" w:rsidRDefault="00C25838" w14:paraId="27D1EEFD" w14:textId="77777777">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3BCA266B" w14:textId="215D89B9">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EPA estimates that </w:t>
      </w:r>
      <w:r w:rsidR="003D0D64">
        <w:rPr>
          <w:sz w:val="24"/>
          <w:szCs w:val="24"/>
        </w:rPr>
        <w:t xml:space="preserve">nearly all </w:t>
      </w:r>
      <w:r w:rsidR="00A92ED1">
        <w:rPr>
          <w:sz w:val="24"/>
          <w:szCs w:val="24"/>
        </w:rPr>
        <w:t xml:space="preserve">owners or operators </w:t>
      </w:r>
      <w:r w:rsidR="00FD2409">
        <w:rPr>
          <w:sz w:val="24"/>
          <w:szCs w:val="24"/>
        </w:rPr>
        <w:t>of</w:t>
      </w:r>
      <w:r w:rsidR="00A92ED1">
        <w:rPr>
          <w:sz w:val="24"/>
          <w:szCs w:val="24"/>
        </w:rPr>
        <w:t xml:space="preserve"> </w:t>
      </w:r>
      <w:r w:rsidR="000B5DF3">
        <w:rPr>
          <w:sz w:val="24"/>
          <w:szCs w:val="24"/>
        </w:rPr>
        <w:t xml:space="preserve">these </w:t>
      </w:r>
      <w:r w:rsidR="00A92ED1">
        <w:rPr>
          <w:sz w:val="24"/>
          <w:szCs w:val="24"/>
        </w:rPr>
        <w:t xml:space="preserve">wells are </w:t>
      </w:r>
      <w:r>
        <w:rPr>
          <w:sz w:val="24"/>
          <w:szCs w:val="24"/>
        </w:rPr>
        <w:t>small businesses</w:t>
      </w:r>
      <w:r w:rsidR="00F84502">
        <w:rPr>
          <w:sz w:val="24"/>
          <w:szCs w:val="24"/>
        </w:rPr>
        <w:t xml:space="preserve">. </w:t>
      </w:r>
      <w:r>
        <w:rPr>
          <w:sz w:val="24"/>
          <w:szCs w:val="24"/>
        </w:rPr>
        <w:t>EPA has attempted to keep recordkeeping, reporting, and other administrative requirements for these operators to a minimum in order to provide regulatory relief to small entities while protecting drinking water supplies</w:t>
      </w:r>
      <w:r w:rsidR="00F84502">
        <w:rPr>
          <w:sz w:val="24"/>
          <w:szCs w:val="24"/>
        </w:rPr>
        <w:t xml:space="preserve">. </w:t>
      </w:r>
      <w:r w:rsidR="00274001">
        <w:rPr>
          <w:sz w:val="24"/>
          <w:szCs w:val="24"/>
        </w:rPr>
        <w:t xml:space="preserve">Operators of </w:t>
      </w:r>
      <w:r w:rsidR="000B5DF3">
        <w:rPr>
          <w:sz w:val="24"/>
          <w:szCs w:val="24"/>
        </w:rPr>
        <w:t xml:space="preserve">Class IV and endangering Class V facilities that close their wells must only submit a brief report with basic information about the closure activities performed. </w:t>
      </w:r>
      <w:r>
        <w:rPr>
          <w:sz w:val="24"/>
          <w:szCs w:val="24"/>
        </w:rPr>
        <w:t>Most Class V facilities do not have collection requirements other than to provide inventory information</w:t>
      </w:r>
      <w:r w:rsidR="008C1D47">
        <w:rPr>
          <w:sz w:val="24"/>
          <w:szCs w:val="24"/>
        </w:rPr>
        <w:t xml:space="preserve"> (using </w:t>
      </w:r>
      <w:r w:rsidR="00970A5C">
        <w:rPr>
          <w:sz w:val="24"/>
          <w:szCs w:val="24"/>
        </w:rPr>
        <w:t xml:space="preserve">Form </w:t>
      </w:r>
      <w:r w:rsidRPr="008C1D47" w:rsidR="00970A5C">
        <w:rPr>
          <w:sz w:val="24"/>
          <w:szCs w:val="24"/>
        </w:rPr>
        <w:t>75</w:t>
      </w:r>
      <w:r w:rsidRPr="008C1D47" w:rsidR="008C1D47">
        <w:rPr>
          <w:sz w:val="24"/>
          <w:szCs w:val="24"/>
        </w:rPr>
        <w:t>20-16</w:t>
      </w:r>
      <w:r w:rsidR="008C1D47">
        <w:rPr>
          <w:sz w:val="24"/>
          <w:szCs w:val="24"/>
        </w:rPr>
        <w:t>)</w:t>
      </w:r>
      <w:r w:rsidR="00A92ED1">
        <w:rPr>
          <w:sz w:val="24"/>
          <w:szCs w:val="24"/>
        </w:rPr>
        <w:t xml:space="preserve">, and EPA’s recent efforts to streamline the reporting forms has reduced the </w:t>
      </w:r>
      <w:r w:rsidR="00FD2409">
        <w:rPr>
          <w:sz w:val="24"/>
          <w:szCs w:val="24"/>
        </w:rPr>
        <w:t xml:space="preserve">inventory </w:t>
      </w:r>
      <w:r w:rsidR="00A92ED1">
        <w:rPr>
          <w:sz w:val="24"/>
          <w:szCs w:val="24"/>
        </w:rPr>
        <w:t>burden to these operators</w:t>
      </w:r>
      <w:r>
        <w:rPr>
          <w:sz w:val="24"/>
          <w:szCs w:val="24"/>
        </w:rPr>
        <w:t>.</w:t>
      </w:r>
      <w:r w:rsidR="0004658F">
        <w:rPr>
          <w:sz w:val="24"/>
          <w:szCs w:val="24"/>
        </w:rPr>
        <w:t xml:space="preserve"> </w:t>
      </w:r>
      <w:r w:rsidR="00730060">
        <w:rPr>
          <w:sz w:val="24"/>
          <w:szCs w:val="24"/>
        </w:rPr>
        <w:t xml:space="preserve">In 2021, </w:t>
      </w:r>
      <w:r w:rsidR="008C1D47">
        <w:rPr>
          <w:sz w:val="24"/>
          <w:szCs w:val="24"/>
        </w:rPr>
        <w:t xml:space="preserve">EPA created an </w:t>
      </w:r>
      <w:r w:rsidRPr="008C1D47" w:rsidR="008C1D47">
        <w:rPr>
          <w:sz w:val="24"/>
          <w:szCs w:val="24"/>
        </w:rPr>
        <w:t xml:space="preserve">electronic version of the </w:t>
      </w:r>
      <w:r w:rsidR="008C1D47">
        <w:rPr>
          <w:sz w:val="24"/>
          <w:szCs w:val="24"/>
        </w:rPr>
        <w:t xml:space="preserve">inventory </w:t>
      </w:r>
      <w:r w:rsidRPr="008C1D47" w:rsidR="008C1D47">
        <w:rPr>
          <w:sz w:val="24"/>
          <w:szCs w:val="24"/>
        </w:rPr>
        <w:t>form</w:t>
      </w:r>
      <w:r w:rsidR="008C1D47">
        <w:rPr>
          <w:sz w:val="24"/>
          <w:szCs w:val="24"/>
        </w:rPr>
        <w:t xml:space="preserve"> that will </w:t>
      </w:r>
      <w:r w:rsidRPr="008C1D47" w:rsidR="008C1D47">
        <w:rPr>
          <w:sz w:val="24"/>
          <w:szCs w:val="24"/>
        </w:rPr>
        <w:t>reduce the burden on operators of Class V wells because they can report their wells electronically rather than via hard copy form submission.</w:t>
      </w:r>
      <w:r w:rsidR="008C1D47">
        <w:rPr>
          <w:sz w:val="24"/>
          <w:szCs w:val="24"/>
        </w:rPr>
        <w:t xml:space="preserve"> EPA </w:t>
      </w:r>
      <w:r w:rsidR="00730060">
        <w:rPr>
          <w:sz w:val="24"/>
          <w:szCs w:val="24"/>
        </w:rPr>
        <w:t xml:space="preserve">also </w:t>
      </w:r>
      <w:r w:rsidR="008C1D47">
        <w:rPr>
          <w:sz w:val="24"/>
          <w:szCs w:val="24"/>
        </w:rPr>
        <w:t xml:space="preserve">made several </w:t>
      </w:r>
      <w:r w:rsidRPr="0004658F" w:rsidR="0004658F">
        <w:rPr>
          <w:sz w:val="24"/>
          <w:szCs w:val="24"/>
        </w:rPr>
        <w:t xml:space="preserve">changes to the inventory (7520-16) and pre-closure notification forms </w:t>
      </w:r>
      <w:r w:rsidRPr="0004658F" w:rsidR="0004658F">
        <w:rPr>
          <w:sz w:val="24"/>
          <w:szCs w:val="24"/>
        </w:rPr>
        <w:lastRenderedPageBreak/>
        <w:t>(7520-17) that EPA implemented in 2018</w:t>
      </w:r>
      <w:r w:rsidR="008C1D47">
        <w:rPr>
          <w:sz w:val="24"/>
          <w:szCs w:val="24"/>
        </w:rPr>
        <w:t>, which</w:t>
      </w:r>
      <w:r w:rsidRPr="0004658F" w:rsidR="0004658F">
        <w:rPr>
          <w:sz w:val="24"/>
          <w:szCs w:val="24"/>
        </w:rPr>
        <w:t xml:space="preserve"> reduced the annual burden to Class V owners or operators.</w:t>
      </w:r>
      <w:r w:rsidR="003D0D64">
        <w:rPr>
          <w:sz w:val="24"/>
          <w:szCs w:val="24"/>
        </w:rPr>
        <w:t xml:space="preserve"> </w:t>
      </w:r>
    </w:p>
    <w:p w:rsidR="00C25838" w:rsidRDefault="00C25838" w14:paraId="5530ADC9" w14:textId="77777777">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F636F" w:rsidR="00F275CC" w:rsidRDefault="00F275CC" w14:paraId="4787ECD5" w14:textId="77777777">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sz w:val="24"/>
          <w:szCs w:val="24"/>
        </w:rPr>
        <w:tab/>
      </w:r>
      <w:r w:rsidRPr="00BF636F">
        <w:rPr>
          <w:b/>
          <w:sz w:val="24"/>
          <w:szCs w:val="24"/>
        </w:rPr>
        <w:t>Class VI</w:t>
      </w:r>
    </w:p>
    <w:p w:rsidR="00F275CC" w:rsidRDefault="00F275CC" w14:paraId="44958809" w14:textId="77777777">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275CC" w:rsidRDefault="00F275CC" w14:paraId="3790A73F" w14:textId="49D55202">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name="_Hlk511637915" w:id="66"/>
      <w:r>
        <w:rPr>
          <w:sz w:val="24"/>
          <w:szCs w:val="24"/>
        </w:rPr>
        <w:tab/>
      </w:r>
      <w:r w:rsidRPr="00F275CC">
        <w:rPr>
          <w:sz w:val="24"/>
          <w:szCs w:val="24"/>
        </w:rPr>
        <w:t>EPA expects that Class VI wells will be owned and operated by fossil fuel power generators, oil and gas extraction companies, oil and gas refineries</w:t>
      </w:r>
      <w:r w:rsidR="00C733F6">
        <w:rPr>
          <w:sz w:val="24"/>
          <w:szCs w:val="24"/>
        </w:rPr>
        <w:t xml:space="preserve">, </w:t>
      </w:r>
      <w:r w:rsidR="005556F8">
        <w:rPr>
          <w:sz w:val="24"/>
          <w:szCs w:val="24"/>
        </w:rPr>
        <w:t xml:space="preserve">and industrial facilities (e.g., </w:t>
      </w:r>
      <w:r w:rsidRPr="00C733F6" w:rsidR="00C733F6">
        <w:rPr>
          <w:sz w:val="24"/>
          <w:szCs w:val="24"/>
        </w:rPr>
        <w:t>ethanol facilities, iron and steel manufacturers, and cement process</w:t>
      </w:r>
      <w:r w:rsidR="00EC255D">
        <w:rPr>
          <w:sz w:val="24"/>
          <w:szCs w:val="24"/>
        </w:rPr>
        <w:t>ers</w:t>
      </w:r>
      <w:r w:rsidR="005556F8">
        <w:rPr>
          <w:sz w:val="24"/>
          <w:szCs w:val="24"/>
        </w:rPr>
        <w:t>)</w:t>
      </w:r>
      <w:r w:rsidRPr="00F275CC">
        <w:rPr>
          <w:sz w:val="24"/>
          <w:szCs w:val="24"/>
        </w:rPr>
        <w:t xml:space="preserve">. Because </w:t>
      </w:r>
      <w:bookmarkEnd w:id="66"/>
      <w:r w:rsidRPr="00F275CC">
        <w:rPr>
          <w:sz w:val="24"/>
          <w:szCs w:val="24"/>
        </w:rPr>
        <w:t xml:space="preserve">the resources necessary to construct injection wells that meet the standards of the </w:t>
      </w:r>
      <w:r w:rsidR="00BF636F">
        <w:rPr>
          <w:sz w:val="24"/>
          <w:szCs w:val="24"/>
        </w:rPr>
        <w:t xml:space="preserve">Class VI </w:t>
      </w:r>
      <w:r w:rsidRPr="00F275CC">
        <w:rPr>
          <w:sz w:val="24"/>
          <w:szCs w:val="24"/>
        </w:rPr>
        <w:t xml:space="preserve">Rule are significant, EPA believes that none of the owners or operators of Class VI wells will be small entities. Therefore, EPA assumes that the </w:t>
      </w:r>
      <w:r w:rsidR="003E55DE">
        <w:rPr>
          <w:sz w:val="24"/>
          <w:szCs w:val="24"/>
        </w:rPr>
        <w:t xml:space="preserve">reporting requirements for </w:t>
      </w:r>
      <w:r w:rsidR="00BF636F">
        <w:rPr>
          <w:sz w:val="24"/>
          <w:szCs w:val="24"/>
        </w:rPr>
        <w:t xml:space="preserve">Class VI </w:t>
      </w:r>
      <w:r w:rsidR="003E55DE">
        <w:rPr>
          <w:sz w:val="24"/>
          <w:szCs w:val="24"/>
        </w:rPr>
        <w:t xml:space="preserve">well owners or operators </w:t>
      </w:r>
      <w:r w:rsidRPr="00F275CC">
        <w:rPr>
          <w:sz w:val="24"/>
          <w:szCs w:val="24"/>
        </w:rPr>
        <w:t>will cause no significant impact on small entities.</w:t>
      </w:r>
    </w:p>
    <w:p w:rsidR="00C25838" w:rsidRDefault="00C25838" w14:paraId="436CFDE5"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1941A8" w:rsidRDefault="00C25838" w14:paraId="47550425" w14:textId="77777777">
      <w:pPr>
        <w:pStyle w:val="Heading2"/>
        <w:rPr>
          <w:sz w:val="24"/>
        </w:rPr>
      </w:pPr>
      <w:r>
        <w:t>5(d)</w:t>
      </w:r>
      <w:r>
        <w:tab/>
        <w:t xml:space="preserve">Collection Schedule </w:t>
      </w:r>
      <w:r w:rsidR="00766F8E">
        <w:fldChar w:fldCharType="begin"/>
      </w:r>
      <w:r>
        <w:instrText>tc "</w:instrText>
      </w:r>
      <w:bookmarkStart w:name="_Toc511660012" w:id="67"/>
      <w:bookmarkStart w:name="_Toc511713521" w:id="68"/>
      <w:r>
        <w:instrText>5(d)</w:instrText>
      </w:r>
      <w:r>
        <w:tab/>
        <w:instrText>Collection Schedule</w:instrText>
      </w:r>
      <w:bookmarkEnd w:id="67"/>
      <w:bookmarkEnd w:id="68"/>
      <w:r>
        <w:instrText xml:space="preserve"> " \l 2</w:instrText>
      </w:r>
      <w:r w:rsidR="00766F8E">
        <w:fldChar w:fldCharType="end"/>
      </w:r>
    </w:p>
    <w:p w:rsidR="00C25838" w:rsidRDefault="00C25838" w14:paraId="238CE3FF"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6F137E55" w14:textId="1DCD0BCE">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EPA developed the schedule for information collection and reporting to minimize the amount of information collected while ensuring that </w:t>
      </w:r>
      <w:r w:rsidR="00C13A29">
        <w:rPr>
          <w:sz w:val="24"/>
          <w:szCs w:val="24"/>
        </w:rPr>
        <w:t xml:space="preserve">sufficient </w:t>
      </w:r>
      <w:r>
        <w:rPr>
          <w:sz w:val="24"/>
          <w:szCs w:val="24"/>
        </w:rPr>
        <w:t xml:space="preserve">information is </w:t>
      </w:r>
      <w:r w:rsidR="00C13A29">
        <w:rPr>
          <w:sz w:val="24"/>
          <w:szCs w:val="24"/>
        </w:rPr>
        <w:t xml:space="preserve">available </w:t>
      </w:r>
      <w:r>
        <w:rPr>
          <w:sz w:val="24"/>
          <w:szCs w:val="24"/>
        </w:rPr>
        <w:t>for appropriate and timely oversight, evaluation, and enforcement</w:t>
      </w:r>
      <w:r w:rsidR="00FD2409">
        <w:rPr>
          <w:sz w:val="24"/>
          <w:szCs w:val="24"/>
        </w:rPr>
        <w:t xml:space="preserve"> to ensure the protection of USDWs</w:t>
      </w:r>
      <w:r w:rsidR="00F84502">
        <w:rPr>
          <w:sz w:val="24"/>
          <w:szCs w:val="24"/>
        </w:rPr>
        <w:t xml:space="preserve">. </w:t>
      </w:r>
      <w:r>
        <w:rPr>
          <w:sz w:val="24"/>
          <w:szCs w:val="24"/>
        </w:rPr>
        <w:t xml:space="preserve">The rationale for operator and </w:t>
      </w:r>
      <w:r w:rsidR="00821CFA">
        <w:rPr>
          <w:sz w:val="24"/>
          <w:szCs w:val="24"/>
        </w:rPr>
        <w:t xml:space="preserve">primacy </w:t>
      </w:r>
      <w:r>
        <w:rPr>
          <w:sz w:val="24"/>
          <w:szCs w:val="24"/>
        </w:rPr>
        <w:t>state reporting frequencies is described below</w:t>
      </w:r>
      <w:r w:rsidR="00F84502">
        <w:rPr>
          <w:sz w:val="24"/>
          <w:szCs w:val="24"/>
        </w:rPr>
        <w:t xml:space="preserve">. </w:t>
      </w:r>
      <w:r w:rsidR="00C13A29">
        <w:rPr>
          <w:sz w:val="24"/>
          <w:szCs w:val="24"/>
        </w:rPr>
        <w:t>Section 4 presents a</w:t>
      </w:r>
      <w:r>
        <w:rPr>
          <w:sz w:val="24"/>
          <w:szCs w:val="24"/>
        </w:rPr>
        <w:t xml:space="preserve"> complete description of the collection requirements</w:t>
      </w:r>
      <w:r w:rsidR="00FD2409">
        <w:rPr>
          <w:sz w:val="24"/>
          <w:szCs w:val="24"/>
        </w:rPr>
        <w:t xml:space="preserve"> and associated frequencies</w:t>
      </w:r>
      <w:r>
        <w:rPr>
          <w:sz w:val="24"/>
          <w:szCs w:val="24"/>
        </w:rPr>
        <w:t>.</w:t>
      </w:r>
    </w:p>
    <w:p w:rsidR="00C25838" w:rsidRDefault="00C25838" w14:paraId="59E274C5"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5FA68700" w14:textId="77777777">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ab/>
        <w:t>5(d)(1)</w:t>
      </w:r>
      <w:r>
        <w:rPr>
          <w:b/>
          <w:bCs/>
          <w:sz w:val="24"/>
          <w:szCs w:val="24"/>
        </w:rPr>
        <w:tab/>
        <w:t xml:space="preserve">Operator Reporting </w:t>
      </w:r>
    </w:p>
    <w:p w:rsidR="00C25838" w:rsidRDefault="00C25838" w14:paraId="1295F840" w14:textId="77777777">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1E615C49" w14:textId="77777777">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In determining the reporting schedule for each class of wells, EPA considered the potential for </w:t>
      </w:r>
      <w:r w:rsidR="00FD2409">
        <w:rPr>
          <w:sz w:val="24"/>
          <w:szCs w:val="24"/>
        </w:rPr>
        <w:t xml:space="preserve">the activities performed by </w:t>
      </w:r>
      <w:r>
        <w:rPr>
          <w:sz w:val="24"/>
          <w:szCs w:val="24"/>
        </w:rPr>
        <w:t xml:space="preserve">each </w:t>
      </w:r>
      <w:r w:rsidR="00FD2409">
        <w:rPr>
          <w:sz w:val="24"/>
          <w:szCs w:val="24"/>
        </w:rPr>
        <w:t xml:space="preserve">well </w:t>
      </w:r>
      <w:r>
        <w:rPr>
          <w:sz w:val="24"/>
          <w:szCs w:val="24"/>
        </w:rPr>
        <w:t xml:space="preserve">class to </w:t>
      </w:r>
      <w:r w:rsidR="00E26323">
        <w:rPr>
          <w:sz w:val="24"/>
          <w:szCs w:val="24"/>
        </w:rPr>
        <w:t xml:space="preserve">endanger </w:t>
      </w:r>
      <w:r>
        <w:rPr>
          <w:sz w:val="24"/>
          <w:szCs w:val="24"/>
        </w:rPr>
        <w:t>USDWs</w:t>
      </w:r>
      <w:r w:rsidR="00F84502">
        <w:rPr>
          <w:sz w:val="24"/>
          <w:szCs w:val="24"/>
        </w:rPr>
        <w:t xml:space="preserve">. </w:t>
      </w:r>
      <w:r>
        <w:rPr>
          <w:sz w:val="24"/>
          <w:szCs w:val="24"/>
        </w:rPr>
        <w:t>Operators of Class I, III, and some Class V wells must report monitoring results quarterly; Class II operators report annually</w:t>
      </w:r>
      <w:r w:rsidR="00C13A29">
        <w:rPr>
          <w:sz w:val="24"/>
          <w:szCs w:val="24"/>
        </w:rPr>
        <w:t xml:space="preserve">; </w:t>
      </w:r>
      <w:r w:rsidR="00EE7A3B">
        <w:rPr>
          <w:sz w:val="24"/>
          <w:szCs w:val="24"/>
        </w:rPr>
        <w:t xml:space="preserve">and </w:t>
      </w:r>
      <w:r w:rsidR="00C13A29">
        <w:rPr>
          <w:sz w:val="24"/>
          <w:szCs w:val="24"/>
        </w:rPr>
        <w:t>Class VI operators report semi-annually</w:t>
      </w:r>
      <w:r w:rsidR="00F84502">
        <w:rPr>
          <w:sz w:val="24"/>
          <w:szCs w:val="24"/>
        </w:rPr>
        <w:t xml:space="preserve">. </w:t>
      </w:r>
      <w:r>
        <w:rPr>
          <w:sz w:val="24"/>
          <w:szCs w:val="24"/>
        </w:rPr>
        <w:t>The regular reporting of these data is essential to protecting USDWs</w:t>
      </w:r>
      <w:r w:rsidR="00F84502">
        <w:rPr>
          <w:sz w:val="24"/>
          <w:szCs w:val="24"/>
        </w:rPr>
        <w:t xml:space="preserve">. </w:t>
      </w:r>
      <w:r>
        <w:rPr>
          <w:sz w:val="24"/>
          <w:szCs w:val="24"/>
        </w:rPr>
        <w:t xml:space="preserve">Specific operator reporting schedules for each well class are presented in Tables A-1 through A-6 of Appendix A. </w:t>
      </w:r>
    </w:p>
    <w:p w:rsidR="00C25838" w:rsidRDefault="00C25838" w14:paraId="181E165E"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697A01" w:rsidRDefault="00C25838" w14:paraId="554CD051" w14:textId="4084B3E8">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b/>
          <w:bCs/>
          <w:sz w:val="24"/>
          <w:szCs w:val="24"/>
        </w:rPr>
        <w:tab/>
        <w:t>5(d)(2)</w:t>
      </w:r>
      <w:r>
        <w:rPr>
          <w:b/>
          <w:bCs/>
          <w:sz w:val="24"/>
          <w:szCs w:val="24"/>
        </w:rPr>
        <w:tab/>
      </w:r>
      <w:r w:rsidR="00821CFA">
        <w:rPr>
          <w:b/>
          <w:bCs/>
          <w:sz w:val="24"/>
          <w:szCs w:val="24"/>
        </w:rPr>
        <w:t xml:space="preserve">Primacy </w:t>
      </w:r>
      <w:r>
        <w:rPr>
          <w:b/>
          <w:bCs/>
          <w:sz w:val="24"/>
          <w:szCs w:val="24"/>
        </w:rPr>
        <w:t xml:space="preserve">State Reporting </w:t>
      </w:r>
    </w:p>
    <w:p w:rsidR="00C25838" w:rsidP="00697A01" w:rsidRDefault="00C25838" w14:paraId="7EE087CB" w14:textId="77777777">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697A01" w:rsidRDefault="00C25838" w14:paraId="06C664D2" w14:textId="3C6A820B">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C733F6" w:rsidR="00C733F6">
        <w:rPr>
          <w:sz w:val="24"/>
          <w:szCs w:val="24"/>
        </w:rPr>
        <w:t xml:space="preserve">Per 40 CFR 144.8, permitting authorities must submit information </w:t>
      </w:r>
      <w:r w:rsidR="00C733F6">
        <w:rPr>
          <w:sz w:val="24"/>
          <w:szCs w:val="24"/>
        </w:rPr>
        <w:t>about the number of permits issued,</w:t>
      </w:r>
      <w:r w:rsidRPr="00C733F6" w:rsidR="00C733F6">
        <w:rPr>
          <w:sz w:val="24"/>
          <w:szCs w:val="24"/>
        </w:rPr>
        <w:t xml:space="preserve"> enforcement actions, operators identified as being in SNC, inspections and MITs performed, and wells that have remained in SNC for two or more consecutive quarters</w:t>
      </w:r>
      <w:r w:rsidR="00C733F6">
        <w:rPr>
          <w:sz w:val="24"/>
          <w:szCs w:val="24"/>
        </w:rPr>
        <w:t xml:space="preserve">. </w:t>
      </w:r>
      <w:r>
        <w:rPr>
          <w:sz w:val="24"/>
          <w:szCs w:val="24"/>
        </w:rPr>
        <w:t xml:space="preserve">Exhibit </w:t>
      </w:r>
      <w:r w:rsidR="000859F4">
        <w:rPr>
          <w:sz w:val="24"/>
          <w:szCs w:val="24"/>
        </w:rPr>
        <w:t>5-1</w:t>
      </w:r>
      <w:r>
        <w:rPr>
          <w:sz w:val="24"/>
          <w:szCs w:val="24"/>
        </w:rPr>
        <w:t xml:space="preserve"> summarizes the frequencies at which state primacy agencies must report </w:t>
      </w:r>
      <w:r w:rsidR="00C733F6">
        <w:rPr>
          <w:sz w:val="24"/>
          <w:szCs w:val="24"/>
        </w:rPr>
        <w:t xml:space="preserve">this </w:t>
      </w:r>
      <w:r>
        <w:rPr>
          <w:sz w:val="24"/>
          <w:szCs w:val="24"/>
        </w:rPr>
        <w:t xml:space="preserve">UIC </w:t>
      </w:r>
      <w:r w:rsidR="00FD2409">
        <w:rPr>
          <w:sz w:val="24"/>
          <w:szCs w:val="24"/>
        </w:rPr>
        <w:t xml:space="preserve">summary </w:t>
      </w:r>
      <w:r>
        <w:rPr>
          <w:sz w:val="24"/>
          <w:szCs w:val="24"/>
        </w:rPr>
        <w:t>data</w:t>
      </w:r>
      <w:r w:rsidR="00FD2409">
        <w:rPr>
          <w:sz w:val="24"/>
          <w:szCs w:val="24"/>
        </w:rPr>
        <w:t xml:space="preserve"> to EPA</w:t>
      </w:r>
      <w:r w:rsidR="00F84502">
        <w:rPr>
          <w:sz w:val="24"/>
          <w:szCs w:val="24"/>
        </w:rPr>
        <w:t xml:space="preserve">. </w:t>
      </w:r>
      <w:r>
        <w:rPr>
          <w:sz w:val="24"/>
          <w:szCs w:val="24"/>
        </w:rPr>
        <w:t>The paragraphs following the Exhibit present the justification for the reporting frequencies</w:t>
      </w:r>
      <w:r w:rsidR="00F84502">
        <w:rPr>
          <w:sz w:val="24"/>
          <w:szCs w:val="24"/>
        </w:rPr>
        <w:t xml:space="preserve">. </w:t>
      </w:r>
    </w:p>
    <w:p w:rsidR="00C25838" w:rsidRDefault="00C25838" w14:paraId="04167953"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6D391EFF" w14:textId="3557C196">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875349" w:rsidRDefault="00875349" w14:paraId="4366FF2B"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6157E910" w14:textId="77777777">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Pr>
          <w:rFonts w:ascii="Arial" w:hAnsi="Arial" w:cs="Arial"/>
          <w:b/>
          <w:bCs/>
          <w:sz w:val="24"/>
          <w:szCs w:val="24"/>
        </w:rPr>
        <w:lastRenderedPageBreak/>
        <w:t xml:space="preserve">Exhibit </w:t>
      </w:r>
      <w:r w:rsidR="000859F4">
        <w:rPr>
          <w:rFonts w:ascii="Arial" w:hAnsi="Arial" w:cs="Arial"/>
          <w:b/>
          <w:bCs/>
          <w:sz w:val="24"/>
          <w:szCs w:val="24"/>
        </w:rPr>
        <w:t>5-1</w:t>
      </w:r>
    </w:p>
    <w:p w:rsidR="00C25838" w:rsidRDefault="00821CFA" w14:paraId="0494FFDB" w14:textId="7F4A2D5C">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rFonts w:ascii="Arial" w:hAnsi="Arial" w:cs="Arial"/>
          <w:b/>
          <w:bCs/>
          <w:sz w:val="24"/>
          <w:szCs w:val="24"/>
        </w:rPr>
        <w:t xml:space="preserve">Primacy </w:t>
      </w:r>
      <w:r w:rsidR="00C25838">
        <w:rPr>
          <w:rFonts w:ascii="Arial" w:hAnsi="Arial" w:cs="Arial"/>
          <w:b/>
          <w:bCs/>
          <w:sz w:val="24"/>
          <w:szCs w:val="24"/>
        </w:rPr>
        <w:t>State Reporting Frequencies</w:t>
      </w:r>
    </w:p>
    <w:p w:rsidR="00C25838" w:rsidRDefault="00C25838" w14:paraId="63281D65" w14:textId="77777777">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91" w:type="dxa"/>
          <w:right w:w="91" w:type="dxa"/>
        </w:tblCellMar>
        <w:tblLook w:val="0000" w:firstRow="0" w:lastRow="0" w:firstColumn="0" w:lastColumn="0" w:noHBand="0" w:noVBand="0"/>
      </w:tblPr>
      <w:tblGrid>
        <w:gridCol w:w="5895"/>
        <w:gridCol w:w="1440"/>
      </w:tblGrid>
      <w:tr w:rsidR="00C25838" w:rsidTr="004554AB" w14:paraId="3C538EFC" w14:textId="77777777">
        <w:trPr>
          <w:cantSplit/>
          <w:trHeight w:val="393"/>
          <w:jc w:val="center"/>
        </w:trPr>
        <w:tc>
          <w:tcPr>
            <w:tcW w:w="5895" w:type="dxa"/>
            <w:vAlign w:val="center"/>
          </w:tcPr>
          <w:p w:rsidR="00C25838" w:rsidRDefault="00C25838" w14:paraId="14FC854F" w14:textId="77777777">
            <w:pPr>
              <w:keepNext/>
              <w:numPr>
                <w:ilvl w:val="12"/>
                <w:numId w:val="0"/>
              </w:numPr>
              <w:tabs>
                <w:tab w:val="left" w:pos="-1195"/>
                <w:tab w:val="left" w:pos="-720"/>
                <w:tab w:val="left" w:pos="720"/>
              </w:tabs>
              <w:spacing w:after="52"/>
              <w:rPr>
                <w:rFonts w:ascii="Arial" w:hAnsi="Arial" w:cs="Arial"/>
                <w:sz w:val="18"/>
                <w:szCs w:val="18"/>
              </w:rPr>
            </w:pPr>
            <w:r>
              <w:rPr>
                <w:rFonts w:ascii="Arial" w:hAnsi="Arial" w:cs="Arial"/>
                <w:b/>
                <w:bCs/>
                <w:sz w:val="18"/>
                <w:szCs w:val="18"/>
              </w:rPr>
              <w:t xml:space="preserve">Reporting Activity </w:t>
            </w:r>
          </w:p>
        </w:tc>
        <w:tc>
          <w:tcPr>
            <w:tcW w:w="1440" w:type="dxa"/>
            <w:vAlign w:val="center"/>
          </w:tcPr>
          <w:p w:rsidR="00C25838" w:rsidRDefault="00C25838" w14:paraId="3692E478" w14:textId="77777777">
            <w:pPr>
              <w:keepNext/>
              <w:numPr>
                <w:ilvl w:val="12"/>
                <w:numId w:val="0"/>
              </w:numPr>
              <w:tabs>
                <w:tab w:val="left" w:pos="-1195"/>
                <w:tab w:val="left" w:pos="-720"/>
                <w:tab w:val="left" w:pos="720"/>
              </w:tabs>
              <w:spacing w:after="52"/>
              <w:rPr>
                <w:rFonts w:ascii="Arial" w:hAnsi="Arial" w:cs="Arial"/>
                <w:sz w:val="18"/>
                <w:szCs w:val="18"/>
              </w:rPr>
            </w:pPr>
            <w:r>
              <w:rPr>
                <w:rFonts w:ascii="Arial" w:hAnsi="Arial" w:cs="Arial"/>
                <w:b/>
                <w:bCs/>
                <w:sz w:val="18"/>
                <w:szCs w:val="18"/>
              </w:rPr>
              <w:t>Frequency</w:t>
            </w:r>
          </w:p>
        </w:tc>
      </w:tr>
      <w:tr w:rsidR="00C25838" w:rsidTr="004554AB" w14:paraId="2E70AB31" w14:textId="77777777">
        <w:trPr>
          <w:cantSplit/>
          <w:jc w:val="center"/>
        </w:trPr>
        <w:tc>
          <w:tcPr>
            <w:tcW w:w="5895" w:type="dxa"/>
          </w:tcPr>
          <w:p w:rsidR="00C25838" w:rsidRDefault="00C25838" w14:paraId="6CA126A5" w14:textId="77777777">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Permit Review and Issuance</w:t>
            </w:r>
            <w:r w:rsidR="007D019C">
              <w:rPr>
                <w:rFonts w:ascii="Arial" w:hAnsi="Arial" w:cs="Arial"/>
                <w:sz w:val="18"/>
                <w:szCs w:val="18"/>
              </w:rPr>
              <w:t xml:space="preserve"> (7520-1)</w:t>
            </w:r>
          </w:p>
        </w:tc>
        <w:tc>
          <w:tcPr>
            <w:tcW w:w="1440" w:type="dxa"/>
          </w:tcPr>
          <w:p w:rsidR="00C25838" w:rsidRDefault="00C25838" w14:paraId="7D54849E" w14:textId="77777777">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Annual</w:t>
            </w:r>
          </w:p>
        </w:tc>
      </w:tr>
      <w:tr w:rsidR="00C25838" w:rsidTr="004554AB" w14:paraId="3AFD3774" w14:textId="77777777">
        <w:trPr>
          <w:cantSplit/>
          <w:jc w:val="center"/>
        </w:trPr>
        <w:tc>
          <w:tcPr>
            <w:tcW w:w="5895" w:type="dxa"/>
          </w:tcPr>
          <w:p w:rsidR="00C25838" w:rsidRDefault="00C25838" w14:paraId="33645224" w14:textId="77777777">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Compliance Evaluation</w:t>
            </w:r>
            <w:r w:rsidR="007D019C">
              <w:rPr>
                <w:rFonts w:ascii="Arial" w:hAnsi="Arial" w:cs="Arial"/>
                <w:sz w:val="18"/>
                <w:szCs w:val="18"/>
              </w:rPr>
              <w:t xml:space="preserve"> (7520-2A)</w:t>
            </w:r>
          </w:p>
        </w:tc>
        <w:tc>
          <w:tcPr>
            <w:tcW w:w="1440" w:type="dxa"/>
          </w:tcPr>
          <w:p w:rsidR="00C25838" w:rsidRDefault="00C25838" w14:paraId="2AAFF2AA" w14:textId="77777777">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Semi-annual</w:t>
            </w:r>
          </w:p>
        </w:tc>
      </w:tr>
      <w:tr w:rsidR="00C25838" w:rsidTr="004554AB" w14:paraId="37E846F6" w14:textId="77777777">
        <w:trPr>
          <w:cantSplit/>
          <w:jc w:val="center"/>
        </w:trPr>
        <w:tc>
          <w:tcPr>
            <w:tcW w:w="5895" w:type="dxa"/>
          </w:tcPr>
          <w:p w:rsidR="00C25838" w:rsidRDefault="00C25838" w14:paraId="1F4532DC" w14:textId="77777777">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Compliance Evaluation for Significant Noncompliance</w:t>
            </w:r>
            <w:r w:rsidR="007D019C">
              <w:rPr>
                <w:rFonts w:ascii="Arial" w:hAnsi="Arial" w:cs="Arial"/>
                <w:sz w:val="18"/>
                <w:szCs w:val="18"/>
              </w:rPr>
              <w:t xml:space="preserve"> (7520-2B)</w:t>
            </w:r>
          </w:p>
        </w:tc>
        <w:tc>
          <w:tcPr>
            <w:tcW w:w="1440" w:type="dxa"/>
          </w:tcPr>
          <w:p w:rsidR="00C25838" w:rsidRDefault="00C25838" w14:paraId="3CBCF3F8" w14:textId="77777777">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Semi-annual</w:t>
            </w:r>
          </w:p>
        </w:tc>
      </w:tr>
      <w:tr w:rsidR="00C25838" w:rsidTr="004554AB" w14:paraId="3071CF86" w14:textId="77777777">
        <w:trPr>
          <w:cantSplit/>
          <w:jc w:val="center"/>
        </w:trPr>
        <w:tc>
          <w:tcPr>
            <w:tcW w:w="5895" w:type="dxa"/>
          </w:tcPr>
          <w:p w:rsidR="00C25838" w:rsidRDefault="00C25838" w14:paraId="64F72B59" w14:textId="77777777">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Mechanical Integrity Test/Remedial Actions</w:t>
            </w:r>
            <w:r w:rsidR="007D019C">
              <w:rPr>
                <w:rFonts w:ascii="Arial" w:hAnsi="Arial" w:cs="Arial"/>
                <w:sz w:val="18"/>
                <w:szCs w:val="18"/>
              </w:rPr>
              <w:t xml:space="preserve"> (7520-3)</w:t>
            </w:r>
          </w:p>
        </w:tc>
        <w:tc>
          <w:tcPr>
            <w:tcW w:w="1440" w:type="dxa"/>
          </w:tcPr>
          <w:p w:rsidR="00C25838" w:rsidRDefault="00C25838" w14:paraId="7946E951" w14:textId="77777777">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Annual</w:t>
            </w:r>
          </w:p>
        </w:tc>
      </w:tr>
      <w:tr w:rsidR="00C25838" w:rsidTr="004554AB" w14:paraId="338A2B4A" w14:textId="77777777">
        <w:trPr>
          <w:cantSplit/>
          <w:jc w:val="center"/>
        </w:trPr>
        <w:tc>
          <w:tcPr>
            <w:tcW w:w="5895" w:type="dxa"/>
          </w:tcPr>
          <w:p w:rsidR="00C25838" w:rsidRDefault="000A26DF" w14:paraId="19330E57" w14:textId="4FFBBD1F">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Quarterly Exceptions List (7520-4)</w:t>
            </w:r>
          </w:p>
        </w:tc>
        <w:tc>
          <w:tcPr>
            <w:tcW w:w="1440" w:type="dxa"/>
          </w:tcPr>
          <w:p w:rsidR="00C25838" w:rsidRDefault="00C25838" w14:paraId="56B9DE18" w14:textId="77777777">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Quarterly</w:t>
            </w:r>
          </w:p>
        </w:tc>
      </w:tr>
      <w:tr w:rsidR="000B403D" w:rsidTr="004554AB" w14:paraId="6572C115" w14:textId="77777777">
        <w:trPr>
          <w:cantSplit/>
          <w:jc w:val="center"/>
        </w:trPr>
        <w:tc>
          <w:tcPr>
            <w:tcW w:w="5895" w:type="dxa"/>
          </w:tcPr>
          <w:p w:rsidR="000B403D" w:rsidP="000B403D" w:rsidRDefault="000B403D" w14:paraId="56AB974A" w14:textId="77777777">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Inventory Reporting</w:t>
            </w:r>
          </w:p>
        </w:tc>
        <w:tc>
          <w:tcPr>
            <w:tcW w:w="1440" w:type="dxa"/>
          </w:tcPr>
          <w:p w:rsidR="000B403D" w:rsidRDefault="000B403D" w14:paraId="0FD7D0D2" w14:textId="77777777">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Annual</w:t>
            </w:r>
          </w:p>
        </w:tc>
      </w:tr>
    </w:tbl>
    <w:p w:rsidR="00C25838" w:rsidRDefault="00C25838" w14:paraId="2DA730EA"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B23866" w:rsidRDefault="00C25838" w14:paraId="020C47D2" w14:textId="33978679">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i/>
          <w:iCs/>
          <w:sz w:val="24"/>
          <w:szCs w:val="24"/>
        </w:rPr>
        <w:t>Permit Review and Issuance</w:t>
      </w:r>
      <w:r w:rsidR="00F84502">
        <w:rPr>
          <w:b/>
          <w:bCs/>
          <w:i/>
          <w:iCs/>
          <w:sz w:val="24"/>
          <w:szCs w:val="24"/>
        </w:rPr>
        <w:t xml:space="preserve">. </w:t>
      </w:r>
      <w:r>
        <w:rPr>
          <w:sz w:val="24"/>
          <w:szCs w:val="24"/>
        </w:rPr>
        <w:t>Permits are the core of the UIC Program, and annual permit information is used for program management purposes</w:t>
      </w:r>
      <w:r w:rsidR="00F84502">
        <w:rPr>
          <w:sz w:val="24"/>
          <w:szCs w:val="24"/>
        </w:rPr>
        <w:t xml:space="preserve">. </w:t>
      </w:r>
      <w:r>
        <w:rPr>
          <w:sz w:val="24"/>
          <w:szCs w:val="24"/>
        </w:rPr>
        <w:t>The Program uses permit information to evaluate events that delay or accelerate the permitting process</w:t>
      </w:r>
      <w:r w:rsidR="00F84502">
        <w:rPr>
          <w:sz w:val="24"/>
          <w:szCs w:val="24"/>
        </w:rPr>
        <w:t xml:space="preserve">. </w:t>
      </w:r>
      <w:r>
        <w:rPr>
          <w:sz w:val="24"/>
          <w:szCs w:val="24"/>
        </w:rPr>
        <w:t xml:space="preserve">Delays in the permitting process may result in the </w:t>
      </w:r>
      <w:r w:rsidR="00821CFA">
        <w:rPr>
          <w:sz w:val="24"/>
          <w:szCs w:val="24"/>
        </w:rPr>
        <w:t xml:space="preserve">primacy </w:t>
      </w:r>
      <w:r>
        <w:rPr>
          <w:sz w:val="24"/>
          <w:szCs w:val="24"/>
        </w:rPr>
        <w:t>states</w:t>
      </w:r>
      <w:r w:rsidR="001F786B">
        <w:rPr>
          <w:sz w:val="24"/>
          <w:szCs w:val="24"/>
        </w:rPr>
        <w:t>’</w:t>
      </w:r>
      <w:r>
        <w:rPr>
          <w:sz w:val="24"/>
          <w:szCs w:val="24"/>
        </w:rPr>
        <w:t xml:space="preserve"> inability to meet program objectives and prevent states from meeting schedules</w:t>
      </w:r>
      <w:r w:rsidR="00F84502">
        <w:rPr>
          <w:sz w:val="24"/>
          <w:szCs w:val="24"/>
        </w:rPr>
        <w:t xml:space="preserve">. </w:t>
      </w:r>
      <w:r>
        <w:rPr>
          <w:sz w:val="24"/>
          <w:szCs w:val="24"/>
        </w:rPr>
        <w:t>A permitting process that is too lengthy could have a detrimental impact on industry</w:t>
      </w:r>
      <w:r w:rsidR="00F84502">
        <w:rPr>
          <w:sz w:val="24"/>
          <w:szCs w:val="24"/>
        </w:rPr>
        <w:t xml:space="preserve">. </w:t>
      </w:r>
      <w:r>
        <w:rPr>
          <w:sz w:val="24"/>
          <w:szCs w:val="24"/>
        </w:rPr>
        <w:t xml:space="preserve">Conversely, favorable developments may occur that enable </w:t>
      </w:r>
      <w:r w:rsidR="00821CFA">
        <w:rPr>
          <w:sz w:val="24"/>
          <w:szCs w:val="24"/>
        </w:rPr>
        <w:t xml:space="preserve">primacy </w:t>
      </w:r>
      <w:r>
        <w:rPr>
          <w:sz w:val="24"/>
          <w:szCs w:val="24"/>
        </w:rPr>
        <w:t>states to meet time schedules and goals sooner than anticipated</w:t>
      </w:r>
      <w:r w:rsidR="00F84502">
        <w:rPr>
          <w:sz w:val="24"/>
          <w:szCs w:val="24"/>
        </w:rPr>
        <w:t xml:space="preserve">. </w:t>
      </w:r>
      <w:r>
        <w:rPr>
          <w:sz w:val="24"/>
          <w:szCs w:val="24"/>
        </w:rPr>
        <w:t>Both occurrences have a potential for shifts in workload and resource distribution.</w:t>
      </w:r>
    </w:p>
    <w:p w:rsidR="00EC255D" w:rsidRDefault="00EC255D" w14:paraId="22A045BE"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5474916E" w14:textId="3C00A185">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i/>
          <w:iCs/>
          <w:sz w:val="24"/>
          <w:szCs w:val="24"/>
        </w:rPr>
        <w:t>Compliance Evaluation; Significant Noncompliance</w:t>
      </w:r>
      <w:r w:rsidR="00F84502">
        <w:rPr>
          <w:b/>
          <w:bCs/>
          <w:i/>
          <w:iCs/>
          <w:sz w:val="24"/>
          <w:szCs w:val="24"/>
        </w:rPr>
        <w:t xml:space="preserve">. </w:t>
      </w:r>
      <w:r>
        <w:rPr>
          <w:sz w:val="24"/>
          <w:szCs w:val="24"/>
        </w:rPr>
        <w:t xml:space="preserve">The justification for semi-annual reporting of compliance information is based on EPA efforts to be routinely and frequently informed of violations </w:t>
      </w:r>
      <w:r w:rsidR="009855B6">
        <w:rPr>
          <w:sz w:val="24"/>
          <w:szCs w:val="24"/>
        </w:rPr>
        <w:t>of</w:t>
      </w:r>
      <w:r>
        <w:rPr>
          <w:sz w:val="24"/>
          <w:szCs w:val="24"/>
        </w:rPr>
        <w:t xml:space="preserve"> regulations in effect under Section 1421 of the SDWA</w:t>
      </w:r>
      <w:r w:rsidR="00F84502">
        <w:rPr>
          <w:sz w:val="24"/>
          <w:szCs w:val="24"/>
        </w:rPr>
        <w:t xml:space="preserve">. </w:t>
      </w:r>
      <w:r>
        <w:rPr>
          <w:sz w:val="24"/>
          <w:szCs w:val="24"/>
        </w:rPr>
        <w:t xml:space="preserve">EPA must </w:t>
      </w:r>
      <w:r w:rsidR="00875349">
        <w:rPr>
          <w:sz w:val="24"/>
          <w:szCs w:val="24"/>
        </w:rPr>
        <w:t xml:space="preserve">remain </w:t>
      </w:r>
      <w:r>
        <w:rPr>
          <w:sz w:val="24"/>
          <w:szCs w:val="24"/>
        </w:rPr>
        <w:t>informed in order to</w:t>
      </w:r>
      <w:r w:rsidR="00CF0613">
        <w:rPr>
          <w:sz w:val="24"/>
          <w:szCs w:val="24"/>
        </w:rPr>
        <w:t>:</w:t>
      </w:r>
      <w:r>
        <w:rPr>
          <w:sz w:val="24"/>
          <w:szCs w:val="24"/>
        </w:rPr>
        <w:t xml:space="preserve"> (a) oversee and encourage </w:t>
      </w:r>
      <w:r w:rsidR="00821CFA">
        <w:rPr>
          <w:sz w:val="24"/>
          <w:szCs w:val="24"/>
        </w:rPr>
        <w:t xml:space="preserve">primacy </w:t>
      </w:r>
      <w:r>
        <w:rPr>
          <w:sz w:val="24"/>
          <w:szCs w:val="24"/>
        </w:rPr>
        <w:t>states</w:t>
      </w:r>
      <w:r w:rsidR="00164F15">
        <w:rPr>
          <w:sz w:val="24"/>
          <w:szCs w:val="24"/>
        </w:rPr>
        <w:t>’</w:t>
      </w:r>
      <w:r>
        <w:rPr>
          <w:sz w:val="24"/>
          <w:szCs w:val="24"/>
        </w:rPr>
        <w:t xml:space="preserve"> actions on resolving violations or enforcing against violators, and (b) take direct federal action where appropriate </w:t>
      </w:r>
      <w:r w:rsidR="00821CFA">
        <w:rPr>
          <w:sz w:val="24"/>
          <w:szCs w:val="24"/>
        </w:rPr>
        <w:t xml:space="preserve">primacy </w:t>
      </w:r>
      <w:r>
        <w:rPr>
          <w:sz w:val="24"/>
          <w:szCs w:val="24"/>
        </w:rPr>
        <w:t>state actions have not occurred in a timely manner or have not been successful.</w:t>
      </w:r>
    </w:p>
    <w:p w:rsidR="00C25838" w:rsidRDefault="00C25838" w14:paraId="16FC061A"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5D82BE74" w14:textId="7F413544">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EPA would be unable to effectively carry out the Congressional direction for federal enforcement on violators if it only had access to data annually</w:t>
      </w:r>
      <w:r w:rsidR="00F84502">
        <w:rPr>
          <w:sz w:val="24"/>
          <w:szCs w:val="24"/>
        </w:rPr>
        <w:t xml:space="preserve">. </w:t>
      </w:r>
      <w:r>
        <w:rPr>
          <w:sz w:val="24"/>
          <w:szCs w:val="24"/>
        </w:rPr>
        <w:t>Prior to 1987, state</w:t>
      </w:r>
      <w:r w:rsidRPr="00821CFA" w:rsidR="00821CFA">
        <w:rPr>
          <w:sz w:val="24"/>
          <w:szCs w:val="24"/>
        </w:rPr>
        <w:t xml:space="preserve"> </w:t>
      </w:r>
      <w:r w:rsidR="00821CFA">
        <w:rPr>
          <w:sz w:val="24"/>
          <w:szCs w:val="24"/>
        </w:rPr>
        <w:t>primacy agencie</w:t>
      </w:r>
      <w:r>
        <w:rPr>
          <w:sz w:val="24"/>
          <w:szCs w:val="24"/>
        </w:rPr>
        <w:t>s provided EPA with the above information on an annual basis</w:t>
      </w:r>
      <w:r w:rsidR="00F84502">
        <w:rPr>
          <w:sz w:val="24"/>
          <w:szCs w:val="24"/>
        </w:rPr>
        <w:t xml:space="preserve">. </w:t>
      </w:r>
      <w:r w:rsidR="00821CFA">
        <w:rPr>
          <w:sz w:val="24"/>
          <w:szCs w:val="24"/>
        </w:rPr>
        <w:t>Primacy s</w:t>
      </w:r>
      <w:r>
        <w:rPr>
          <w:sz w:val="24"/>
          <w:szCs w:val="24"/>
        </w:rPr>
        <w:t xml:space="preserve">tates then agreed to voluntarily supply the data on a quarterly basis when it became </w:t>
      </w:r>
      <w:r w:rsidR="000B5DF3">
        <w:rPr>
          <w:sz w:val="24"/>
          <w:szCs w:val="24"/>
        </w:rPr>
        <w:t xml:space="preserve">clear </w:t>
      </w:r>
      <w:r>
        <w:rPr>
          <w:sz w:val="24"/>
          <w:szCs w:val="24"/>
        </w:rPr>
        <w:t>that EPA Headquarters could not direct an effective federal enforcement program using data received only once a year</w:t>
      </w:r>
      <w:r w:rsidR="00F84502">
        <w:rPr>
          <w:sz w:val="24"/>
          <w:szCs w:val="24"/>
        </w:rPr>
        <w:t xml:space="preserve">. </w:t>
      </w:r>
      <w:r>
        <w:rPr>
          <w:sz w:val="24"/>
          <w:szCs w:val="24"/>
        </w:rPr>
        <w:t>EPA later determined that semi-annual reporting of this information is sufficiently frequent to track compliance information.</w:t>
      </w:r>
    </w:p>
    <w:p w:rsidR="00C25838" w:rsidRDefault="00C25838" w14:paraId="7BD14C04"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275E3A87" w14:textId="77777777">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i/>
          <w:iCs/>
          <w:sz w:val="24"/>
          <w:szCs w:val="24"/>
        </w:rPr>
        <w:t>Inspections/Mechanical Integrity Testing</w:t>
      </w:r>
      <w:r w:rsidR="00F84502">
        <w:rPr>
          <w:b/>
          <w:bCs/>
          <w:i/>
          <w:iCs/>
          <w:sz w:val="24"/>
          <w:szCs w:val="24"/>
        </w:rPr>
        <w:t xml:space="preserve">. </w:t>
      </w:r>
      <w:r>
        <w:rPr>
          <w:sz w:val="24"/>
          <w:szCs w:val="24"/>
        </w:rPr>
        <w:t>Inspections are the principal method of identifying instances of noncompliance</w:t>
      </w:r>
      <w:r w:rsidR="00F84502">
        <w:rPr>
          <w:sz w:val="24"/>
          <w:szCs w:val="24"/>
        </w:rPr>
        <w:t xml:space="preserve">. </w:t>
      </w:r>
      <w:r>
        <w:rPr>
          <w:sz w:val="24"/>
          <w:szCs w:val="24"/>
        </w:rPr>
        <w:t xml:space="preserve">Annual inspection information is used to </w:t>
      </w:r>
      <w:r w:rsidRPr="00875349" w:rsidR="00875349">
        <w:rPr>
          <w:rFonts w:ascii="assu" w:hAnsi="assu"/>
          <w:sz w:val="24"/>
          <w:szCs w:val="24"/>
        </w:rPr>
        <w:t>en</w:t>
      </w:r>
      <w:r w:rsidRPr="00875349">
        <w:rPr>
          <w:rFonts w:ascii="assu" w:hAnsi="assu"/>
          <w:sz w:val="24"/>
          <w:szCs w:val="24"/>
        </w:rPr>
        <w:t>sure</w:t>
      </w:r>
      <w:r>
        <w:rPr>
          <w:sz w:val="24"/>
          <w:szCs w:val="24"/>
        </w:rPr>
        <w:t xml:space="preserve"> that inspections are being performed on a continual basis throughout the year. The MIT is the principal method used to determine whether a well is operating in a protective manner</w:t>
      </w:r>
      <w:r w:rsidR="00FD2409">
        <w:rPr>
          <w:sz w:val="24"/>
          <w:szCs w:val="24"/>
        </w:rPr>
        <w:t>, and a</w:t>
      </w:r>
      <w:r>
        <w:rPr>
          <w:sz w:val="24"/>
          <w:szCs w:val="24"/>
        </w:rPr>
        <w:t>nnual MIT information is used to evaluate the</w:t>
      </w:r>
      <w:r w:rsidR="00FD2409">
        <w:rPr>
          <w:sz w:val="24"/>
          <w:szCs w:val="24"/>
        </w:rPr>
        <w:t>se activities</w:t>
      </w:r>
      <w:r w:rsidR="00F84502">
        <w:rPr>
          <w:sz w:val="24"/>
          <w:szCs w:val="24"/>
        </w:rPr>
        <w:t xml:space="preserve">. </w:t>
      </w:r>
    </w:p>
    <w:p w:rsidR="00C25838" w:rsidRDefault="00C25838" w14:paraId="64F8174C"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1CA298AD" w14:textId="6BCD8ACB">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i/>
          <w:iCs/>
          <w:sz w:val="24"/>
          <w:szCs w:val="24"/>
        </w:rPr>
        <w:lastRenderedPageBreak/>
        <w:t>Quarterly Exceptions List</w:t>
      </w:r>
      <w:r w:rsidR="00F84502">
        <w:rPr>
          <w:b/>
          <w:bCs/>
          <w:i/>
          <w:iCs/>
          <w:sz w:val="24"/>
          <w:szCs w:val="24"/>
        </w:rPr>
        <w:t xml:space="preserve">. </w:t>
      </w:r>
      <w:r>
        <w:rPr>
          <w:sz w:val="24"/>
          <w:szCs w:val="24"/>
        </w:rPr>
        <w:t xml:space="preserve">EPA needs quarterly information on </w:t>
      </w:r>
      <w:r w:rsidR="00EF3910">
        <w:rPr>
          <w:sz w:val="24"/>
          <w:szCs w:val="24"/>
        </w:rPr>
        <w:t>significant noncompliance</w:t>
      </w:r>
      <w:r w:rsidR="001E34C3">
        <w:rPr>
          <w:sz w:val="24"/>
          <w:szCs w:val="24"/>
        </w:rPr>
        <w:t xml:space="preserve"> </w:t>
      </w:r>
      <w:r w:rsidR="00A16BCB">
        <w:rPr>
          <w:sz w:val="24"/>
          <w:szCs w:val="24"/>
        </w:rPr>
        <w:t>(</w:t>
      </w:r>
      <w:r w:rsidR="001E34C3">
        <w:rPr>
          <w:sz w:val="24"/>
          <w:szCs w:val="24"/>
        </w:rPr>
        <w:t>i.e., operators</w:t>
      </w:r>
      <w:r>
        <w:rPr>
          <w:sz w:val="24"/>
          <w:szCs w:val="24"/>
        </w:rPr>
        <w:t xml:space="preserve"> that have been out of compliance for two or more consecutive quarters</w:t>
      </w:r>
      <w:r w:rsidR="00A16BCB">
        <w:rPr>
          <w:sz w:val="24"/>
          <w:szCs w:val="24"/>
        </w:rPr>
        <w:t>)</w:t>
      </w:r>
      <w:r>
        <w:rPr>
          <w:sz w:val="24"/>
          <w:szCs w:val="24"/>
        </w:rPr>
        <w:t xml:space="preserve"> to determine whether timely and appropriate actions have been taken by primacy authorities and to track enforcement activities, </w:t>
      </w:r>
      <w:r w:rsidR="00274001">
        <w:rPr>
          <w:sz w:val="24"/>
          <w:szCs w:val="24"/>
        </w:rPr>
        <w:t xml:space="preserve">since </w:t>
      </w:r>
      <w:r>
        <w:rPr>
          <w:sz w:val="24"/>
          <w:szCs w:val="24"/>
        </w:rPr>
        <w:t xml:space="preserve">wells </w:t>
      </w:r>
      <w:r w:rsidR="000B5DF3">
        <w:rPr>
          <w:sz w:val="24"/>
          <w:szCs w:val="24"/>
        </w:rPr>
        <w:t xml:space="preserve">that are out of compliance </w:t>
      </w:r>
      <w:r>
        <w:rPr>
          <w:sz w:val="24"/>
          <w:szCs w:val="24"/>
        </w:rPr>
        <w:t xml:space="preserve">pose the greatest </w:t>
      </w:r>
      <w:r w:rsidR="00CF0613">
        <w:rPr>
          <w:sz w:val="24"/>
          <w:szCs w:val="24"/>
        </w:rPr>
        <w:t xml:space="preserve">risk of endangerment </w:t>
      </w:r>
      <w:r>
        <w:rPr>
          <w:sz w:val="24"/>
          <w:szCs w:val="24"/>
        </w:rPr>
        <w:t xml:space="preserve">to USDWs. </w:t>
      </w:r>
    </w:p>
    <w:p w:rsidR="00C25838" w:rsidRDefault="00C25838" w14:paraId="24C7E510" w14:textId="77777777">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0DD8" w:rsidP="0004658F" w:rsidRDefault="00C25838" w14:paraId="102B8FB2" w14:textId="2EF10A31">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D80DD8">
          <w:footerReference w:type="default" r:id="rId16"/>
          <w:pgSz w:w="12240" w:h="15840"/>
          <w:pgMar w:top="1440" w:right="1440" w:bottom="1440" w:left="1440" w:header="1440" w:footer="1440" w:gutter="0"/>
          <w:cols w:space="720"/>
          <w:noEndnote/>
        </w:sectPr>
      </w:pPr>
      <w:r w:rsidRPr="000B403D">
        <w:rPr>
          <w:b/>
          <w:bCs/>
          <w:i/>
          <w:iCs/>
          <w:sz w:val="24"/>
          <w:szCs w:val="24"/>
        </w:rPr>
        <w:t xml:space="preserve">Inventory </w:t>
      </w:r>
      <w:r w:rsidRPr="000B403D" w:rsidR="000B403D">
        <w:rPr>
          <w:b/>
          <w:bCs/>
          <w:i/>
          <w:iCs/>
          <w:sz w:val="24"/>
          <w:szCs w:val="24"/>
        </w:rPr>
        <w:t>Reporting</w:t>
      </w:r>
      <w:r w:rsidR="00F84502">
        <w:rPr>
          <w:b/>
          <w:bCs/>
          <w:i/>
          <w:iCs/>
          <w:sz w:val="24"/>
          <w:szCs w:val="24"/>
        </w:rPr>
        <w:t xml:space="preserve">. </w:t>
      </w:r>
      <w:r w:rsidRPr="000B403D">
        <w:rPr>
          <w:sz w:val="24"/>
          <w:szCs w:val="24"/>
        </w:rPr>
        <w:t>Annual reporting on inventory data, as required by 40 CFR 144.8, is necessary for effective oversight of the UIC Program</w:t>
      </w:r>
      <w:r w:rsidR="00F84502">
        <w:rPr>
          <w:sz w:val="24"/>
          <w:szCs w:val="24"/>
        </w:rPr>
        <w:t xml:space="preserve">. </w:t>
      </w:r>
      <w:r w:rsidRPr="000B403D">
        <w:rPr>
          <w:sz w:val="24"/>
          <w:szCs w:val="24"/>
        </w:rPr>
        <w:t xml:space="preserve">Primacy </w:t>
      </w:r>
      <w:r w:rsidR="000B5DF3">
        <w:rPr>
          <w:sz w:val="24"/>
          <w:szCs w:val="24"/>
        </w:rPr>
        <w:t>agencies</w:t>
      </w:r>
      <w:r w:rsidRPr="000B403D">
        <w:rPr>
          <w:sz w:val="24"/>
          <w:szCs w:val="24"/>
        </w:rPr>
        <w:t>, Regions, and EPA Headquarters need to be routinely and frequently informed</w:t>
      </w:r>
      <w:r>
        <w:rPr>
          <w:sz w:val="24"/>
          <w:szCs w:val="24"/>
        </w:rPr>
        <w:t xml:space="preserve"> of changes in the number and operating characteristics of injection wells to monitor and regulate underground injection effectively and to continue protecting USDWs from contamination</w:t>
      </w:r>
      <w:r w:rsidR="003E55DE">
        <w:rPr>
          <w:sz w:val="24"/>
          <w:szCs w:val="24"/>
        </w:rPr>
        <w:t>.</w:t>
      </w:r>
      <w:r w:rsidR="00D80DD8">
        <w:rPr>
          <w:sz w:val="24"/>
          <w:szCs w:val="24"/>
        </w:rPr>
        <w:t xml:space="preserve"> </w:t>
      </w:r>
    </w:p>
    <w:p w:rsidR="00C25838" w:rsidP="001941A8" w:rsidRDefault="00C25838" w14:paraId="72345430" w14:textId="77777777">
      <w:pPr>
        <w:pStyle w:val="Heading1"/>
        <w:rPr>
          <w:sz w:val="24"/>
        </w:rPr>
      </w:pPr>
      <w:bookmarkStart w:name="_Hlk508720571" w:id="69"/>
      <w:r>
        <w:lastRenderedPageBreak/>
        <w:t>6.</w:t>
      </w:r>
      <w:r>
        <w:tab/>
        <w:t>Estimating the Burden and Cost of the Collection</w:t>
      </w:r>
      <w:r w:rsidR="00766F8E">
        <w:fldChar w:fldCharType="begin"/>
      </w:r>
      <w:r>
        <w:instrText xml:space="preserve"> TC "</w:instrText>
      </w:r>
      <w:bookmarkStart w:name="_Toc511660013" w:id="70"/>
      <w:bookmarkStart w:name="_Toc511713522" w:id="71"/>
      <w:r>
        <w:instrText>6.</w:instrText>
      </w:r>
      <w:r>
        <w:tab/>
        <w:instrText>Estimating the Burden and Cost of the Collection</w:instrText>
      </w:r>
      <w:bookmarkEnd w:id="70"/>
      <w:bookmarkEnd w:id="71"/>
      <w:r>
        <w:instrText xml:space="preserve">" \f C \l "1" </w:instrText>
      </w:r>
      <w:r w:rsidR="00766F8E">
        <w:fldChar w:fldCharType="end"/>
      </w:r>
    </w:p>
    <w:p w:rsidR="00C25838" w:rsidRDefault="00C25838" w14:paraId="5C8EA771" w14:textId="77777777">
      <w:pPr>
        <w:rPr>
          <w:sz w:val="24"/>
          <w:szCs w:val="24"/>
        </w:rPr>
      </w:pPr>
    </w:p>
    <w:p w:rsidR="00C25838" w:rsidP="008248A6" w:rsidRDefault="00C25838" w14:paraId="67BA6ECB" w14:textId="77777777">
      <w:pPr>
        <w:widowControl w:val="0"/>
        <w:ind w:firstLine="720"/>
        <w:rPr>
          <w:sz w:val="24"/>
          <w:szCs w:val="24"/>
        </w:rPr>
      </w:pPr>
      <w:r>
        <w:rPr>
          <w:sz w:val="24"/>
          <w:szCs w:val="24"/>
        </w:rPr>
        <w:t xml:space="preserve">This section </w:t>
      </w:r>
      <w:r w:rsidR="009A750D">
        <w:rPr>
          <w:sz w:val="24"/>
          <w:szCs w:val="24"/>
        </w:rPr>
        <w:t xml:space="preserve">presents </w:t>
      </w:r>
      <w:r>
        <w:rPr>
          <w:sz w:val="24"/>
          <w:szCs w:val="24"/>
        </w:rPr>
        <w:t xml:space="preserve">EPA’s estimates of the burden and costs to respondents (i.e., </w:t>
      </w:r>
      <w:r w:rsidR="002B0597">
        <w:rPr>
          <w:sz w:val="24"/>
          <w:szCs w:val="24"/>
        </w:rPr>
        <w:t xml:space="preserve">injection </w:t>
      </w:r>
      <w:r>
        <w:rPr>
          <w:sz w:val="24"/>
          <w:szCs w:val="24"/>
        </w:rPr>
        <w:t>well operators and state primacy agencies) associated with UIC paperwork requirements, and federal burden hours and costs for reviewing respondent submissions</w:t>
      </w:r>
      <w:r w:rsidR="00F84502">
        <w:rPr>
          <w:sz w:val="24"/>
          <w:szCs w:val="24"/>
        </w:rPr>
        <w:t xml:space="preserve">. </w:t>
      </w:r>
      <w:r>
        <w:rPr>
          <w:sz w:val="24"/>
          <w:szCs w:val="24"/>
        </w:rPr>
        <w:t>Section 6(a) provides estimates of burden hours for all respondent types</w:t>
      </w:r>
      <w:r w:rsidR="00F84502">
        <w:rPr>
          <w:sz w:val="24"/>
          <w:szCs w:val="24"/>
        </w:rPr>
        <w:t xml:space="preserve">. </w:t>
      </w:r>
      <w:r>
        <w:rPr>
          <w:sz w:val="24"/>
          <w:szCs w:val="24"/>
        </w:rPr>
        <w:t>Section 6(b) contains estimates of respondent costs for the information collection</w:t>
      </w:r>
      <w:r w:rsidR="00F84502">
        <w:rPr>
          <w:sz w:val="24"/>
          <w:szCs w:val="24"/>
        </w:rPr>
        <w:t xml:space="preserve">. </w:t>
      </w:r>
      <w:r>
        <w:rPr>
          <w:sz w:val="24"/>
          <w:szCs w:val="24"/>
        </w:rPr>
        <w:t xml:space="preserve">Section 6(c) summarizes </w:t>
      </w:r>
      <w:r w:rsidR="00F25A3D">
        <w:rPr>
          <w:sz w:val="24"/>
          <w:szCs w:val="24"/>
        </w:rPr>
        <w:t xml:space="preserve">the </w:t>
      </w:r>
      <w:r>
        <w:rPr>
          <w:sz w:val="24"/>
          <w:szCs w:val="24"/>
        </w:rPr>
        <w:t xml:space="preserve">burden and costs </w:t>
      </w:r>
      <w:r w:rsidR="00E62C5E">
        <w:rPr>
          <w:sz w:val="24"/>
          <w:szCs w:val="24"/>
        </w:rPr>
        <w:t xml:space="preserve">to the federal government </w:t>
      </w:r>
      <w:r>
        <w:rPr>
          <w:sz w:val="24"/>
          <w:szCs w:val="24"/>
        </w:rPr>
        <w:t>as users of respondent data</w:t>
      </w:r>
      <w:r w:rsidR="00F84502">
        <w:rPr>
          <w:sz w:val="24"/>
          <w:szCs w:val="24"/>
        </w:rPr>
        <w:t xml:space="preserve">. </w:t>
      </w:r>
      <w:r>
        <w:rPr>
          <w:sz w:val="24"/>
          <w:szCs w:val="24"/>
        </w:rPr>
        <w:t>Section 6(d) describes the respondent universe and the total burden and cost of this collection to respondents</w:t>
      </w:r>
      <w:r w:rsidR="00F84502">
        <w:rPr>
          <w:sz w:val="24"/>
          <w:szCs w:val="24"/>
        </w:rPr>
        <w:t xml:space="preserve">. </w:t>
      </w:r>
      <w:r>
        <w:rPr>
          <w:sz w:val="24"/>
          <w:szCs w:val="24"/>
        </w:rPr>
        <w:t xml:space="preserve">Section 6(e) covers aggregate burden hours and costs for all respondents, and Section 6(f) explains the reasons for the change in estimated respondent burden hours and costs from the </w:t>
      </w:r>
      <w:r w:rsidR="00CA39C6">
        <w:rPr>
          <w:sz w:val="24"/>
          <w:szCs w:val="24"/>
        </w:rPr>
        <w:t>approved ICR burden</w:t>
      </w:r>
      <w:r w:rsidR="00F84502">
        <w:rPr>
          <w:sz w:val="24"/>
          <w:szCs w:val="24"/>
        </w:rPr>
        <w:t xml:space="preserve">. </w:t>
      </w:r>
      <w:r w:rsidR="002B0597">
        <w:rPr>
          <w:sz w:val="24"/>
          <w:szCs w:val="24"/>
        </w:rPr>
        <w:t>Section 6(g) presents</w:t>
      </w:r>
      <w:r>
        <w:rPr>
          <w:sz w:val="24"/>
          <w:szCs w:val="24"/>
        </w:rPr>
        <w:t xml:space="preserve"> </w:t>
      </w:r>
      <w:r w:rsidR="002B0597">
        <w:rPr>
          <w:sz w:val="24"/>
          <w:szCs w:val="24"/>
        </w:rPr>
        <w:t>the burden statement for this information collection.</w:t>
      </w:r>
    </w:p>
    <w:p w:rsidR="00C25838" w:rsidRDefault="00C25838" w14:paraId="76394C4B" w14:textId="77777777">
      <w:pPr>
        <w:widowControl w:val="0"/>
        <w:ind w:left="-360"/>
        <w:rPr>
          <w:sz w:val="24"/>
          <w:szCs w:val="24"/>
        </w:rPr>
      </w:pPr>
    </w:p>
    <w:p w:rsidR="00C25838" w:rsidP="001941A8" w:rsidRDefault="00C25838" w14:paraId="0F30BE54" w14:textId="77777777">
      <w:pPr>
        <w:pStyle w:val="Heading2"/>
      </w:pPr>
      <w:r>
        <w:t>6(a)</w:t>
      </w:r>
      <w:r>
        <w:tab/>
        <w:t>Respondent Burden</w:t>
      </w:r>
      <w:r w:rsidR="00766F8E">
        <w:fldChar w:fldCharType="begin"/>
      </w:r>
      <w:r>
        <w:instrText xml:space="preserve"> TC \l2 "</w:instrText>
      </w:r>
      <w:bookmarkStart w:name="_Toc511660014" w:id="72"/>
      <w:bookmarkStart w:name="_Toc511713523" w:id="73"/>
      <w:r>
        <w:instrText>6(a)</w:instrText>
      </w:r>
      <w:r>
        <w:tab/>
        <w:instrText>Respondent Burden</w:instrText>
      </w:r>
      <w:bookmarkEnd w:id="72"/>
      <w:bookmarkEnd w:id="73"/>
      <w:r w:rsidR="00766F8E">
        <w:fldChar w:fldCharType="end"/>
      </w:r>
    </w:p>
    <w:p w:rsidR="00C25838" w:rsidP="008248A6" w:rsidRDefault="00C25838" w14:paraId="5C025157" w14:textId="77777777">
      <w:pPr>
        <w:widowControl w:val="0"/>
        <w:rPr>
          <w:b/>
          <w:sz w:val="24"/>
          <w:szCs w:val="24"/>
        </w:rPr>
      </w:pPr>
    </w:p>
    <w:p w:rsidR="00C25838" w:rsidP="008248A6" w:rsidRDefault="00C25838" w14:paraId="5FF7529E" w14:textId="77777777">
      <w:pPr>
        <w:widowControl w:val="0"/>
        <w:rPr>
          <w:b/>
          <w:sz w:val="24"/>
          <w:szCs w:val="24"/>
        </w:rPr>
      </w:pPr>
      <w:r>
        <w:rPr>
          <w:b/>
          <w:sz w:val="24"/>
          <w:szCs w:val="24"/>
        </w:rPr>
        <w:t>6(a)(</w:t>
      </w:r>
      <w:proofErr w:type="spellStart"/>
      <w:r>
        <w:rPr>
          <w:b/>
          <w:sz w:val="24"/>
          <w:szCs w:val="24"/>
        </w:rPr>
        <w:t>i</w:t>
      </w:r>
      <w:proofErr w:type="spellEnd"/>
      <w:r>
        <w:rPr>
          <w:b/>
          <w:sz w:val="24"/>
          <w:szCs w:val="24"/>
        </w:rPr>
        <w:t>)</w:t>
      </w:r>
      <w:r>
        <w:rPr>
          <w:b/>
          <w:sz w:val="24"/>
          <w:szCs w:val="24"/>
        </w:rPr>
        <w:tab/>
        <w:t>Burden to Owners and Operators of Injection Wells</w:t>
      </w:r>
    </w:p>
    <w:p w:rsidR="00C25838" w:rsidP="008248A6" w:rsidRDefault="00C25838" w14:paraId="2E295356" w14:textId="77777777">
      <w:pPr>
        <w:widowControl w:val="0"/>
        <w:rPr>
          <w:sz w:val="24"/>
          <w:szCs w:val="24"/>
        </w:rPr>
      </w:pPr>
    </w:p>
    <w:p w:rsidR="00C25838" w:rsidP="008248A6" w:rsidRDefault="00C25838" w14:paraId="026EDF37" w14:textId="7020C5ED">
      <w:pPr>
        <w:widowControl w:val="0"/>
        <w:rPr>
          <w:sz w:val="24"/>
          <w:szCs w:val="24"/>
        </w:rPr>
      </w:pPr>
      <w:r>
        <w:rPr>
          <w:sz w:val="24"/>
          <w:szCs w:val="24"/>
        </w:rPr>
        <w:tab/>
        <w:t>Operators of injection wells incur reporting burden associated with the following types of activities: permitting and startup of operations, ground water and injectate monitoring and well testing during well operation, reporting of monitoring results and other events, recordkeeping, and well closure</w:t>
      </w:r>
      <w:r w:rsidR="00F84502">
        <w:rPr>
          <w:sz w:val="24"/>
          <w:szCs w:val="24"/>
        </w:rPr>
        <w:t xml:space="preserve">. </w:t>
      </w:r>
      <w:r w:rsidRPr="00DA1037" w:rsidR="00DA1037">
        <w:rPr>
          <w:bCs/>
          <w:sz w:val="24"/>
          <w:szCs w:val="24"/>
        </w:rPr>
        <w:t xml:space="preserve">Non-labor costs include capital and </w:t>
      </w:r>
      <w:r w:rsidR="00DA1037">
        <w:rPr>
          <w:bCs/>
          <w:sz w:val="24"/>
          <w:szCs w:val="24"/>
        </w:rPr>
        <w:t xml:space="preserve">operation and maintenance </w:t>
      </w:r>
      <w:r w:rsidRPr="00DA1037" w:rsidR="00DA1037">
        <w:rPr>
          <w:bCs/>
          <w:sz w:val="24"/>
          <w:szCs w:val="24"/>
        </w:rPr>
        <w:t>costs</w:t>
      </w:r>
      <w:r w:rsidR="000B5DF3">
        <w:rPr>
          <w:bCs/>
          <w:sz w:val="24"/>
          <w:szCs w:val="24"/>
        </w:rPr>
        <w:t xml:space="preserve"> (e.g., </w:t>
      </w:r>
      <w:r w:rsidRPr="00DA1037" w:rsidR="00DA1037">
        <w:rPr>
          <w:bCs/>
          <w:sz w:val="24"/>
          <w:szCs w:val="24"/>
        </w:rPr>
        <w:t xml:space="preserve">to purchase well components or analyze samples to </w:t>
      </w:r>
      <w:r w:rsidR="00B058C8">
        <w:rPr>
          <w:bCs/>
          <w:sz w:val="24"/>
          <w:szCs w:val="24"/>
        </w:rPr>
        <w:t>comply with</w:t>
      </w:r>
      <w:r w:rsidRPr="00DA1037" w:rsidR="00B058C8">
        <w:rPr>
          <w:bCs/>
          <w:sz w:val="24"/>
          <w:szCs w:val="24"/>
        </w:rPr>
        <w:t xml:space="preserve"> </w:t>
      </w:r>
      <w:r w:rsidRPr="00DA1037" w:rsidR="00DA1037">
        <w:rPr>
          <w:bCs/>
          <w:sz w:val="24"/>
          <w:szCs w:val="24"/>
        </w:rPr>
        <w:t>the UIC requirements</w:t>
      </w:r>
      <w:r w:rsidR="000B5DF3">
        <w:rPr>
          <w:bCs/>
          <w:sz w:val="24"/>
          <w:szCs w:val="24"/>
        </w:rPr>
        <w:t>)</w:t>
      </w:r>
      <w:r w:rsidR="00E62C5E">
        <w:rPr>
          <w:bCs/>
          <w:sz w:val="24"/>
          <w:szCs w:val="24"/>
        </w:rPr>
        <w:t xml:space="preserve"> and the costs of retaining contractors to perform certain activities</w:t>
      </w:r>
      <w:r w:rsidR="00DA1037">
        <w:rPr>
          <w:bCs/>
          <w:sz w:val="24"/>
          <w:szCs w:val="24"/>
        </w:rPr>
        <w:t xml:space="preserve">. These are primarily operators’ costs; </w:t>
      </w:r>
      <w:r w:rsidR="00821CFA">
        <w:rPr>
          <w:sz w:val="24"/>
          <w:szCs w:val="24"/>
        </w:rPr>
        <w:t xml:space="preserve">primacy </w:t>
      </w:r>
      <w:r w:rsidRPr="00DA1037" w:rsidR="00DA1037">
        <w:rPr>
          <w:bCs/>
          <w:sz w:val="24"/>
          <w:szCs w:val="24"/>
        </w:rPr>
        <w:t>states and EPA regulators would typically not incur such costs.</w:t>
      </w:r>
    </w:p>
    <w:p w:rsidR="00C25838" w:rsidP="008248A6" w:rsidRDefault="00C25838" w14:paraId="7275F3B4" w14:textId="77777777">
      <w:pPr>
        <w:widowControl w:val="0"/>
        <w:rPr>
          <w:sz w:val="24"/>
          <w:szCs w:val="24"/>
        </w:rPr>
      </w:pPr>
    </w:p>
    <w:p w:rsidR="00C25838" w:rsidP="008248A6" w:rsidRDefault="00C25838" w14:paraId="32133F79" w14:textId="4032788E">
      <w:pPr>
        <w:widowControl w:val="0"/>
        <w:ind w:firstLine="720"/>
        <w:rPr>
          <w:sz w:val="24"/>
          <w:szCs w:val="24"/>
        </w:rPr>
      </w:pPr>
      <w:r w:rsidRPr="00924B1E">
        <w:rPr>
          <w:sz w:val="24"/>
          <w:szCs w:val="24"/>
        </w:rPr>
        <w:t xml:space="preserve">EPA estimates that the annual burden on the </w:t>
      </w:r>
      <w:r w:rsidRPr="009415B3" w:rsidR="009415B3">
        <w:rPr>
          <w:sz w:val="24"/>
          <w:szCs w:val="24"/>
        </w:rPr>
        <w:t>37,618</w:t>
      </w:r>
      <w:r w:rsidR="009415B3">
        <w:rPr>
          <w:sz w:val="24"/>
          <w:szCs w:val="24"/>
        </w:rPr>
        <w:t xml:space="preserve"> </w:t>
      </w:r>
      <w:r w:rsidRPr="00924B1E" w:rsidR="00E24E53">
        <w:rPr>
          <w:sz w:val="24"/>
          <w:szCs w:val="24"/>
        </w:rPr>
        <w:t xml:space="preserve">owners or </w:t>
      </w:r>
      <w:r w:rsidRPr="00924B1E">
        <w:rPr>
          <w:sz w:val="24"/>
          <w:szCs w:val="24"/>
        </w:rPr>
        <w:t xml:space="preserve">operators of injection wells </w:t>
      </w:r>
      <w:r w:rsidRPr="00D86B63">
        <w:rPr>
          <w:sz w:val="24"/>
          <w:szCs w:val="24"/>
        </w:rPr>
        <w:t>will be</w:t>
      </w:r>
      <w:r w:rsidR="000D24C5">
        <w:rPr>
          <w:sz w:val="24"/>
          <w:szCs w:val="24"/>
        </w:rPr>
        <w:t xml:space="preserve"> </w:t>
      </w:r>
      <w:r w:rsidRPr="002E7595" w:rsidR="002E7595">
        <w:rPr>
          <w:sz w:val="24"/>
          <w:szCs w:val="24"/>
        </w:rPr>
        <w:t>1,400,950</w:t>
      </w:r>
      <w:r w:rsidR="002E7595">
        <w:rPr>
          <w:sz w:val="24"/>
          <w:szCs w:val="24"/>
        </w:rPr>
        <w:t xml:space="preserve"> </w:t>
      </w:r>
      <w:r w:rsidRPr="00D86B63">
        <w:rPr>
          <w:sz w:val="24"/>
          <w:szCs w:val="24"/>
        </w:rPr>
        <w:t>hours</w:t>
      </w:r>
      <w:r w:rsidRPr="00924B1E">
        <w:rPr>
          <w:sz w:val="24"/>
          <w:szCs w:val="24"/>
        </w:rPr>
        <w:t xml:space="preserve"> over the </w:t>
      </w:r>
      <w:r w:rsidR="009855B6">
        <w:rPr>
          <w:sz w:val="24"/>
          <w:szCs w:val="24"/>
        </w:rPr>
        <w:t>three</w:t>
      </w:r>
      <w:r w:rsidRPr="00924B1E">
        <w:rPr>
          <w:sz w:val="24"/>
          <w:szCs w:val="24"/>
        </w:rPr>
        <w:t xml:space="preserve"> years covered by this ICR</w:t>
      </w:r>
      <w:r w:rsidR="00F84502">
        <w:rPr>
          <w:sz w:val="24"/>
          <w:szCs w:val="24"/>
        </w:rPr>
        <w:t xml:space="preserve">. </w:t>
      </w:r>
      <w:r w:rsidRPr="00924B1E">
        <w:rPr>
          <w:sz w:val="24"/>
          <w:szCs w:val="24"/>
        </w:rPr>
        <w:t xml:space="preserve">This is </w:t>
      </w:r>
      <w:r w:rsidR="00443F02">
        <w:rPr>
          <w:sz w:val="24"/>
          <w:szCs w:val="24"/>
        </w:rPr>
        <w:t>presented</w:t>
      </w:r>
      <w:r w:rsidRPr="00924B1E" w:rsidR="00443F02">
        <w:rPr>
          <w:sz w:val="24"/>
          <w:szCs w:val="24"/>
        </w:rPr>
        <w:t xml:space="preserve"> </w:t>
      </w:r>
      <w:r w:rsidRPr="00924B1E">
        <w:rPr>
          <w:sz w:val="24"/>
          <w:szCs w:val="24"/>
        </w:rPr>
        <w:t>in Exhibits 6-1A</w:t>
      </w:r>
      <w:r w:rsidR="00AA63B1">
        <w:rPr>
          <w:sz w:val="24"/>
          <w:szCs w:val="24"/>
        </w:rPr>
        <w:t xml:space="preserve"> through F</w:t>
      </w:r>
      <w:r w:rsidR="00443F02">
        <w:rPr>
          <w:sz w:val="24"/>
          <w:szCs w:val="24"/>
        </w:rPr>
        <w:t>, and summarized in Exhibit 6-1G</w:t>
      </w:r>
      <w:r w:rsidR="00F84502">
        <w:rPr>
          <w:sz w:val="24"/>
          <w:szCs w:val="24"/>
        </w:rPr>
        <w:t xml:space="preserve">. </w:t>
      </w:r>
      <w:r w:rsidRPr="00924B1E">
        <w:rPr>
          <w:sz w:val="24"/>
          <w:szCs w:val="24"/>
        </w:rPr>
        <w:t>See Appendix A for detail</w:t>
      </w:r>
      <w:r w:rsidR="00443F02">
        <w:rPr>
          <w:sz w:val="24"/>
          <w:szCs w:val="24"/>
        </w:rPr>
        <w:t>s</w:t>
      </w:r>
      <w:r w:rsidRPr="00924B1E">
        <w:rPr>
          <w:sz w:val="24"/>
          <w:szCs w:val="24"/>
        </w:rPr>
        <w:t xml:space="preserve"> on the assumptions used to </w:t>
      </w:r>
      <w:r w:rsidR="00E62C5E">
        <w:rPr>
          <w:sz w:val="24"/>
          <w:szCs w:val="24"/>
        </w:rPr>
        <w:t>estimate</w:t>
      </w:r>
      <w:r w:rsidRPr="00924B1E" w:rsidR="00E62C5E">
        <w:rPr>
          <w:sz w:val="24"/>
          <w:szCs w:val="24"/>
        </w:rPr>
        <w:t xml:space="preserve"> </w:t>
      </w:r>
      <w:r w:rsidRPr="00924B1E">
        <w:rPr>
          <w:sz w:val="24"/>
          <w:szCs w:val="24"/>
        </w:rPr>
        <w:t>the owner/operator burden and cost.</w:t>
      </w:r>
    </w:p>
    <w:p w:rsidR="00C25838" w:rsidP="008248A6" w:rsidRDefault="00C25838" w14:paraId="2776D1E9" w14:textId="77777777">
      <w:pPr>
        <w:widowControl w:val="0"/>
        <w:rPr>
          <w:sz w:val="24"/>
          <w:szCs w:val="24"/>
        </w:rPr>
      </w:pPr>
    </w:p>
    <w:p w:rsidR="00C25838" w:rsidP="008248A6" w:rsidRDefault="00C25838" w14:paraId="145FA007" w14:textId="77777777">
      <w:pPr>
        <w:widowControl w:val="0"/>
        <w:rPr>
          <w:b/>
          <w:sz w:val="24"/>
          <w:szCs w:val="24"/>
        </w:rPr>
      </w:pPr>
      <w:r>
        <w:rPr>
          <w:sz w:val="24"/>
          <w:szCs w:val="24"/>
        </w:rPr>
        <w:tab/>
      </w:r>
      <w:r>
        <w:rPr>
          <w:i/>
          <w:sz w:val="24"/>
          <w:szCs w:val="24"/>
        </w:rPr>
        <w:t>Class I Well Operators</w:t>
      </w:r>
    </w:p>
    <w:p w:rsidR="00C25838" w:rsidP="008248A6" w:rsidRDefault="00C25838" w14:paraId="338AF1DA" w14:textId="77777777">
      <w:pPr>
        <w:widowControl w:val="0"/>
        <w:rPr>
          <w:b/>
          <w:sz w:val="24"/>
          <w:szCs w:val="24"/>
        </w:rPr>
      </w:pPr>
    </w:p>
    <w:p w:rsidR="004112FC" w:rsidP="008248A6" w:rsidRDefault="00DF3E61" w14:paraId="2D9B8B7B" w14:textId="45B28293">
      <w:pPr>
        <w:widowControl w:val="0"/>
        <w:ind w:firstLine="720"/>
        <w:rPr>
          <w:sz w:val="24"/>
          <w:szCs w:val="24"/>
        </w:rPr>
      </w:pPr>
      <w:bookmarkStart w:name="_Hlk508356491" w:id="74"/>
      <w:r w:rsidRPr="00DF3E61">
        <w:rPr>
          <w:sz w:val="24"/>
          <w:szCs w:val="24"/>
        </w:rPr>
        <w:t xml:space="preserve">The total annual burden on the </w:t>
      </w:r>
      <w:r w:rsidRPr="004112FC" w:rsidR="004112FC">
        <w:rPr>
          <w:sz w:val="24"/>
          <w:szCs w:val="24"/>
        </w:rPr>
        <w:t xml:space="preserve">466 operators of Class I wells nation-wide is estimated to be 151,032 hours. See Exhibit 6-1A. Of this total, EPA estimates the annual burden for the 73 operators of Class I hazardous wells to be 38,187 hours, and the burden for the 393 operators of Class I non-hazardous wells to be 112,846 </w:t>
      </w:r>
      <w:bookmarkEnd w:id="74"/>
      <w:r w:rsidRPr="005D07C4" w:rsidR="005D07C4">
        <w:rPr>
          <w:sz w:val="24"/>
          <w:szCs w:val="24"/>
        </w:rPr>
        <w:t>hours annually</w:t>
      </w:r>
      <w:r w:rsidR="005D07C4">
        <w:rPr>
          <w:sz w:val="24"/>
          <w:szCs w:val="24"/>
        </w:rPr>
        <w:t>.</w:t>
      </w:r>
      <w:r w:rsidR="006158CC">
        <w:rPr>
          <w:rStyle w:val="FootnoteReference"/>
          <w:sz w:val="24"/>
          <w:szCs w:val="24"/>
        </w:rPr>
        <w:footnoteReference w:id="10"/>
      </w:r>
    </w:p>
    <w:p w:rsidR="000E4361" w:rsidP="008248A6" w:rsidRDefault="000E4361" w14:paraId="177393C8" w14:textId="77777777">
      <w:pPr>
        <w:widowControl w:val="0"/>
        <w:rPr>
          <w:sz w:val="24"/>
          <w:szCs w:val="24"/>
        </w:rPr>
      </w:pPr>
    </w:p>
    <w:p w:rsidR="00C25838" w:rsidP="008248A6" w:rsidRDefault="00C25838" w14:paraId="47F91408" w14:textId="6C481D56">
      <w:pPr>
        <w:widowControl w:val="0"/>
        <w:rPr>
          <w:b/>
        </w:rPr>
      </w:pPr>
      <w:r>
        <w:rPr>
          <w:sz w:val="24"/>
          <w:szCs w:val="24"/>
        </w:rPr>
        <w:tab/>
        <w:t xml:space="preserve">The requirements for Class I operators are </w:t>
      </w:r>
      <w:r w:rsidR="0011613D">
        <w:rPr>
          <w:sz w:val="24"/>
          <w:szCs w:val="24"/>
        </w:rPr>
        <w:t xml:space="preserve">among </w:t>
      </w:r>
      <w:r w:rsidRPr="009C5A2B">
        <w:rPr>
          <w:sz w:val="24"/>
          <w:szCs w:val="24"/>
        </w:rPr>
        <w:t>the most stringent in the UIC Program</w:t>
      </w:r>
      <w:r w:rsidR="00F84502">
        <w:rPr>
          <w:sz w:val="24"/>
          <w:szCs w:val="24"/>
        </w:rPr>
        <w:t xml:space="preserve">. </w:t>
      </w:r>
      <w:r>
        <w:rPr>
          <w:sz w:val="24"/>
          <w:szCs w:val="24"/>
        </w:rPr>
        <w:t>Operator activities associated with Class I facilities include permitting and start-up related reporting, permit renewals and modifications, monitoring, reporting and recordkeeping, and closure-related paperwork</w:t>
      </w:r>
      <w:r w:rsidR="00F84502">
        <w:rPr>
          <w:sz w:val="24"/>
          <w:szCs w:val="24"/>
        </w:rPr>
        <w:t xml:space="preserve">. </w:t>
      </w:r>
      <w:r>
        <w:rPr>
          <w:sz w:val="24"/>
          <w:szCs w:val="24"/>
        </w:rPr>
        <w:t xml:space="preserve">Operators of Class I hazardous wells must also perform an extensive no-migration demonstration </w:t>
      </w:r>
      <w:r w:rsidR="00E62C5E">
        <w:rPr>
          <w:sz w:val="24"/>
          <w:szCs w:val="24"/>
        </w:rPr>
        <w:t xml:space="preserve">and associated activities </w:t>
      </w:r>
      <w:r w:rsidR="009855B6">
        <w:rPr>
          <w:sz w:val="24"/>
          <w:szCs w:val="24"/>
        </w:rPr>
        <w:t xml:space="preserve">to </w:t>
      </w:r>
      <w:r w:rsidR="00792CF2">
        <w:rPr>
          <w:sz w:val="24"/>
          <w:szCs w:val="24"/>
        </w:rPr>
        <w:t xml:space="preserve">demonstrate </w:t>
      </w:r>
      <w:r>
        <w:rPr>
          <w:sz w:val="24"/>
          <w:szCs w:val="24"/>
        </w:rPr>
        <w:t>that their wastes will not endanger USDWs</w:t>
      </w:r>
      <w:r w:rsidR="00F84502">
        <w:rPr>
          <w:sz w:val="24"/>
          <w:szCs w:val="24"/>
        </w:rPr>
        <w:t xml:space="preserve">. </w:t>
      </w:r>
      <w:r>
        <w:rPr>
          <w:sz w:val="24"/>
          <w:szCs w:val="24"/>
        </w:rPr>
        <w:t>Appendix A summarizes the assumptions used to calculate the owner/operator burden and provides detailed burden and cost calculations</w:t>
      </w:r>
      <w:r w:rsidR="00F84502">
        <w:rPr>
          <w:sz w:val="24"/>
          <w:szCs w:val="24"/>
        </w:rPr>
        <w:t xml:space="preserve">. </w:t>
      </w:r>
      <w:r>
        <w:rPr>
          <w:sz w:val="24"/>
          <w:szCs w:val="24"/>
        </w:rPr>
        <w:t xml:space="preserve">Table A-1 of </w:t>
      </w:r>
      <w:r>
        <w:rPr>
          <w:sz w:val="24"/>
          <w:szCs w:val="24"/>
        </w:rPr>
        <w:lastRenderedPageBreak/>
        <w:t>Appendix A presents cost and burden estimates specific to Class I wells.</w:t>
      </w:r>
    </w:p>
    <w:p w:rsidR="00C25838" w:rsidRDefault="00C25838" w14:paraId="39824F79" w14:textId="77777777">
      <w:pPr>
        <w:keepNext/>
        <w:keepLines/>
        <w:widowControl w:val="0"/>
        <w:tabs>
          <w:tab w:val="center" w:pos="4680"/>
        </w:tabs>
        <w:rPr>
          <w:b/>
        </w:rPr>
      </w:pPr>
    </w:p>
    <w:tbl>
      <w:tblPr>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71"/>
        <w:gridCol w:w="1255"/>
        <w:gridCol w:w="1256"/>
        <w:gridCol w:w="1255"/>
        <w:gridCol w:w="1256"/>
        <w:gridCol w:w="1255"/>
        <w:gridCol w:w="1256"/>
        <w:gridCol w:w="1256"/>
      </w:tblGrid>
      <w:tr w:rsidR="0009214B" w:rsidTr="004B4910" w14:paraId="70E6C65B" w14:textId="77777777">
        <w:trPr>
          <w:jc w:val="center"/>
        </w:trPr>
        <w:tc>
          <w:tcPr>
            <w:tcW w:w="10260" w:type="dxa"/>
            <w:gridSpan w:val="8"/>
            <w:tcMar>
              <w:top w:w="58" w:type="dxa"/>
              <w:left w:w="115" w:type="dxa"/>
              <w:bottom w:w="58" w:type="dxa"/>
              <w:right w:w="115" w:type="dxa"/>
            </w:tcMar>
            <w:vAlign w:val="center"/>
          </w:tcPr>
          <w:p w:rsidR="0009214B" w:rsidP="0009214B" w:rsidRDefault="0009214B" w14:paraId="572FA342" w14:textId="77777777">
            <w:pPr>
              <w:keepNext/>
              <w:keepLines/>
              <w:widowControl w:val="0"/>
              <w:tabs>
                <w:tab w:val="center" w:pos="4680"/>
              </w:tabs>
              <w:jc w:val="center"/>
              <w:rPr>
                <w:rFonts w:ascii="Arial" w:hAnsi="Arial" w:cs="Arial"/>
                <w:b/>
              </w:rPr>
            </w:pPr>
            <w:r w:rsidRPr="00BF636F">
              <w:rPr>
                <w:rFonts w:ascii="Arial" w:hAnsi="Arial" w:cs="Arial"/>
                <w:b/>
              </w:rPr>
              <w:t>Exhibit 6-1A</w:t>
            </w:r>
          </w:p>
          <w:p w:rsidR="0009214B" w:rsidP="0009214B" w:rsidRDefault="0009214B" w14:paraId="5996EDB2" w14:textId="77777777">
            <w:pPr>
              <w:keepNext/>
              <w:keepLines/>
              <w:widowControl w:val="0"/>
              <w:tabs>
                <w:tab w:val="center" w:pos="4680"/>
              </w:tabs>
              <w:jc w:val="center"/>
              <w:rPr>
                <w:rFonts w:ascii="Arial" w:hAnsi="Arial" w:cs="Arial"/>
                <w:b/>
              </w:rPr>
            </w:pPr>
            <w:r>
              <w:rPr>
                <w:rFonts w:ascii="Arial" w:hAnsi="Arial" w:cs="Arial"/>
                <w:b/>
              </w:rPr>
              <w:t>Annual Burden and Cost Associated with Class I Wells</w:t>
            </w:r>
          </w:p>
          <w:p w:rsidRPr="0053789E" w:rsidR="0009214B" w:rsidP="00A7385E" w:rsidRDefault="00926C92" w14:paraId="0E29B3E3" w14:textId="259A6793">
            <w:pPr>
              <w:keepNext/>
              <w:keepLines/>
              <w:widowControl w:val="0"/>
              <w:tabs>
                <w:tab w:val="center" w:pos="4680"/>
              </w:tabs>
              <w:jc w:val="center"/>
              <w:rPr>
                <w:rFonts w:ascii="Arial" w:hAnsi="Arial" w:cs="Arial"/>
                <w:b/>
                <w:sz w:val="18"/>
                <w:szCs w:val="18"/>
              </w:rPr>
            </w:pPr>
            <w:r>
              <w:rPr>
                <w:rFonts w:ascii="Arial" w:hAnsi="Arial" w:cs="Arial"/>
                <w:b/>
              </w:rPr>
              <w:t>2022-2024</w:t>
            </w:r>
          </w:p>
        </w:tc>
      </w:tr>
      <w:tr w:rsidR="0053789E" w:rsidTr="004B4910" w14:paraId="0B536858" w14:textId="77777777">
        <w:trPr>
          <w:jc w:val="center"/>
        </w:trPr>
        <w:tc>
          <w:tcPr>
            <w:tcW w:w="1471" w:type="dxa"/>
            <w:tcMar>
              <w:top w:w="58" w:type="dxa"/>
              <w:left w:w="115" w:type="dxa"/>
              <w:bottom w:w="58" w:type="dxa"/>
              <w:right w:w="115" w:type="dxa"/>
            </w:tcMar>
          </w:tcPr>
          <w:p w:rsidRPr="0053789E" w:rsidR="0053789E" w:rsidRDefault="0053789E" w14:paraId="6054886B"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Respondent Type</w:t>
            </w:r>
          </w:p>
        </w:tc>
        <w:tc>
          <w:tcPr>
            <w:tcW w:w="1255" w:type="dxa"/>
            <w:tcMar>
              <w:top w:w="58" w:type="dxa"/>
              <w:left w:w="115" w:type="dxa"/>
              <w:bottom w:w="58" w:type="dxa"/>
              <w:right w:w="115" w:type="dxa"/>
            </w:tcMar>
          </w:tcPr>
          <w:p w:rsidRPr="0053789E" w:rsidR="0053789E" w:rsidRDefault="0053789E" w14:paraId="26025859"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Burden </w:t>
            </w:r>
            <w:r w:rsidR="0009214B">
              <w:rPr>
                <w:rFonts w:ascii="Arial" w:hAnsi="Arial" w:cs="Arial"/>
                <w:b/>
                <w:sz w:val="18"/>
                <w:szCs w:val="18"/>
              </w:rPr>
              <w:t>(hours)</w:t>
            </w:r>
          </w:p>
        </w:tc>
        <w:tc>
          <w:tcPr>
            <w:tcW w:w="1256" w:type="dxa"/>
            <w:tcMar>
              <w:top w:w="58" w:type="dxa"/>
              <w:left w:w="115" w:type="dxa"/>
              <w:bottom w:w="58" w:type="dxa"/>
              <w:right w:w="115" w:type="dxa"/>
            </w:tcMar>
          </w:tcPr>
          <w:p w:rsidRPr="0053789E" w:rsidR="0053789E" w:rsidRDefault="0053789E" w14:paraId="43042240"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Labor Cost</w:t>
            </w:r>
          </w:p>
        </w:tc>
        <w:tc>
          <w:tcPr>
            <w:tcW w:w="1255" w:type="dxa"/>
            <w:tcMar>
              <w:top w:w="58" w:type="dxa"/>
              <w:left w:w="115" w:type="dxa"/>
              <w:bottom w:w="58" w:type="dxa"/>
              <w:right w:w="115" w:type="dxa"/>
            </w:tcMar>
          </w:tcPr>
          <w:p w:rsidRPr="0053789E" w:rsidR="0053789E" w:rsidRDefault="0053789E" w14:paraId="10A2DBE0"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Non-Labor Cost</w:t>
            </w:r>
          </w:p>
        </w:tc>
        <w:tc>
          <w:tcPr>
            <w:tcW w:w="1256" w:type="dxa"/>
            <w:tcMar>
              <w:top w:w="58" w:type="dxa"/>
              <w:left w:w="115" w:type="dxa"/>
              <w:bottom w:w="58" w:type="dxa"/>
              <w:right w:w="115" w:type="dxa"/>
            </w:tcMar>
          </w:tcPr>
          <w:p w:rsidRPr="0053789E" w:rsidR="0053789E" w:rsidRDefault="0053789E" w14:paraId="52D9E60F"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Total Cost</w:t>
            </w:r>
          </w:p>
        </w:tc>
        <w:tc>
          <w:tcPr>
            <w:tcW w:w="1255" w:type="dxa"/>
          </w:tcPr>
          <w:p w:rsidRPr="0053789E" w:rsidR="0053789E" w:rsidP="00B1430F" w:rsidRDefault="0053789E" w14:paraId="0C5BA472"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Responses</w:t>
            </w:r>
          </w:p>
        </w:tc>
        <w:tc>
          <w:tcPr>
            <w:tcW w:w="1256" w:type="dxa"/>
          </w:tcPr>
          <w:p w:rsidRPr="0053789E" w:rsidR="0053789E" w:rsidRDefault="0053789E" w14:paraId="32C05878" w14:textId="77777777">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Burden/ Response</w:t>
            </w:r>
          </w:p>
        </w:tc>
        <w:tc>
          <w:tcPr>
            <w:tcW w:w="1256" w:type="dxa"/>
          </w:tcPr>
          <w:p w:rsidRPr="0053789E" w:rsidR="0053789E" w:rsidRDefault="0053789E" w14:paraId="180ED022" w14:textId="77777777">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Cost/ Response</w:t>
            </w:r>
          </w:p>
        </w:tc>
      </w:tr>
      <w:tr w:rsidR="005974B5" w:rsidTr="004B4910" w14:paraId="4A54EB58" w14:textId="77777777">
        <w:trPr>
          <w:jc w:val="center"/>
        </w:trPr>
        <w:tc>
          <w:tcPr>
            <w:tcW w:w="1471" w:type="dxa"/>
            <w:tcMar>
              <w:top w:w="58" w:type="dxa"/>
              <w:left w:w="115" w:type="dxa"/>
              <w:bottom w:w="58" w:type="dxa"/>
              <w:right w:w="115" w:type="dxa"/>
            </w:tcMar>
          </w:tcPr>
          <w:p w:rsidRPr="0053789E" w:rsidR="005974B5" w:rsidP="005974B5" w:rsidRDefault="005974B5" w14:paraId="19D6B018" w14:textId="77777777">
            <w:pPr>
              <w:keepNext/>
              <w:keepLines/>
              <w:widowControl w:val="0"/>
              <w:tabs>
                <w:tab w:val="center" w:pos="4680"/>
              </w:tabs>
              <w:rPr>
                <w:rFonts w:ascii="Arial" w:hAnsi="Arial" w:cs="Arial"/>
                <w:sz w:val="18"/>
                <w:szCs w:val="18"/>
              </w:rPr>
            </w:pPr>
            <w:r w:rsidRPr="0053789E">
              <w:rPr>
                <w:rFonts w:ascii="Arial" w:hAnsi="Arial" w:cs="Arial"/>
                <w:sz w:val="18"/>
                <w:szCs w:val="18"/>
              </w:rPr>
              <w:t>Operators</w:t>
            </w:r>
          </w:p>
        </w:tc>
        <w:tc>
          <w:tcPr>
            <w:tcW w:w="1255" w:type="dxa"/>
            <w:tcMar>
              <w:top w:w="58" w:type="dxa"/>
              <w:left w:w="115" w:type="dxa"/>
              <w:bottom w:w="58" w:type="dxa"/>
              <w:right w:w="115" w:type="dxa"/>
            </w:tcMar>
            <w:vAlign w:val="bottom"/>
          </w:tcPr>
          <w:p w:rsidRPr="007B78A4" w:rsidR="005974B5" w:rsidP="005974B5" w:rsidRDefault="005974B5" w14:paraId="5C2E3E11" w14:textId="24CDD77D">
            <w:pPr>
              <w:jc w:val="right"/>
              <w:rPr>
                <w:rFonts w:ascii="Arial" w:hAnsi="Arial" w:cs="Arial"/>
                <w:sz w:val="18"/>
                <w:szCs w:val="18"/>
              </w:rPr>
            </w:pPr>
            <w:r w:rsidRPr="005E1D19">
              <w:rPr>
                <w:rFonts w:ascii="Arial" w:hAnsi="Arial" w:cs="Arial"/>
                <w:sz w:val="18"/>
                <w:szCs w:val="18"/>
              </w:rPr>
              <w:t>151,032</w:t>
            </w:r>
          </w:p>
        </w:tc>
        <w:tc>
          <w:tcPr>
            <w:tcW w:w="1256" w:type="dxa"/>
            <w:tcMar>
              <w:top w:w="58" w:type="dxa"/>
              <w:left w:w="115" w:type="dxa"/>
              <w:bottom w:w="58" w:type="dxa"/>
              <w:right w:w="115" w:type="dxa"/>
            </w:tcMar>
            <w:vAlign w:val="bottom"/>
          </w:tcPr>
          <w:p w:rsidRPr="007B78A4" w:rsidR="005974B5" w:rsidP="005974B5" w:rsidRDefault="005974B5" w14:paraId="750FF89A" w14:textId="66DC1469">
            <w:pPr>
              <w:jc w:val="right"/>
              <w:rPr>
                <w:rFonts w:ascii="Arial" w:hAnsi="Arial" w:cs="Arial"/>
                <w:sz w:val="18"/>
                <w:szCs w:val="18"/>
              </w:rPr>
            </w:pPr>
            <w:r w:rsidRPr="005E1D19">
              <w:rPr>
                <w:rFonts w:ascii="Arial" w:hAnsi="Arial" w:cs="Arial"/>
                <w:sz w:val="18"/>
                <w:szCs w:val="18"/>
              </w:rPr>
              <w:t xml:space="preserve">$8,414,831 </w:t>
            </w:r>
          </w:p>
        </w:tc>
        <w:tc>
          <w:tcPr>
            <w:tcW w:w="1255" w:type="dxa"/>
            <w:tcMar>
              <w:top w:w="58" w:type="dxa"/>
              <w:left w:w="115" w:type="dxa"/>
              <w:bottom w:w="58" w:type="dxa"/>
              <w:right w:w="115" w:type="dxa"/>
            </w:tcMar>
            <w:vAlign w:val="bottom"/>
          </w:tcPr>
          <w:p w:rsidRPr="007B78A4" w:rsidR="005974B5" w:rsidP="005974B5" w:rsidRDefault="005974B5" w14:paraId="00C11167" w14:textId="5E928F93">
            <w:pPr>
              <w:jc w:val="right"/>
              <w:rPr>
                <w:rFonts w:ascii="Arial" w:hAnsi="Arial" w:cs="Arial"/>
                <w:sz w:val="18"/>
                <w:szCs w:val="18"/>
              </w:rPr>
            </w:pPr>
            <w:r w:rsidRPr="005E1D19">
              <w:rPr>
                <w:rFonts w:ascii="Arial" w:hAnsi="Arial" w:cs="Arial"/>
                <w:sz w:val="18"/>
                <w:szCs w:val="18"/>
              </w:rPr>
              <w:t xml:space="preserve">$84,170,257 </w:t>
            </w:r>
          </w:p>
        </w:tc>
        <w:tc>
          <w:tcPr>
            <w:tcW w:w="1256" w:type="dxa"/>
            <w:tcMar>
              <w:top w:w="58" w:type="dxa"/>
              <w:left w:w="115" w:type="dxa"/>
              <w:bottom w:w="58" w:type="dxa"/>
              <w:right w:w="115" w:type="dxa"/>
            </w:tcMar>
            <w:vAlign w:val="bottom"/>
          </w:tcPr>
          <w:p w:rsidRPr="007B78A4" w:rsidR="005974B5" w:rsidP="005974B5" w:rsidRDefault="005974B5" w14:paraId="09C54DCD" w14:textId="4EBDE74B">
            <w:pPr>
              <w:jc w:val="right"/>
              <w:rPr>
                <w:rFonts w:ascii="Arial" w:hAnsi="Arial" w:cs="Arial"/>
                <w:sz w:val="18"/>
                <w:szCs w:val="18"/>
              </w:rPr>
            </w:pPr>
            <w:r w:rsidRPr="005E1D19">
              <w:rPr>
                <w:rFonts w:ascii="Arial" w:hAnsi="Arial" w:cs="Arial"/>
                <w:sz w:val="18"/>
                <w:szCs w:val="18"/>
              </w:rPr>
              <w:t xml:space="preserve">$92,585,088 </w:t>
            </w:r>
          </w:p>
        </w:tc>
        <w:tc>
          <w:tcPr>
            <w:tcW w:w="1255" w:type="dxa"/>
            <w:vAlign w:val="bottom"/>
          </w:tcPr>
          <w:p w:rsidRPr="007B78A4" w:rsidR="005974B5" w:rsidP="005974B5" w:rsidRDefault="005974B5" w14:paraId="7146597C" w14:textId="6447AA07">
            <w:pPr>
              <w:jc w:val="right"/>
              <w:rPr>
                <w:rFonts w:ascii="Arial" w:hAnsi="Arial" w:cs="Arial"/>
                <w:sz w:val="18"/>
                <w:szCs w:val="18"/>
              </w:rPr>
            </w:pPr>
            <w:r w:rsidRPr="005E1D19">
              <w:rPr>
                <w:rFonts w:ascii="Arial" w:hAnsi="Arial" w:cs="Arial"/>
                <w:sz w:val="18"/>
                <w:szCs w:val="18"/>
              </w:rPr>
              <w:t>8,701.1</w:t>
            </w:r>
          </w:p>
        </w:tc>
        <w:tc>
          <w:tcPr>
            <w:tcW w:w="1256" w:type="dxa"/>
            <w:vAlign w:val="bottom"/>
          </w:tcPr>
          <w:p w:rsidRPr="007B78A4" w:rsidR="005974B5" w:rsidP="005974B5" w:rsidRDefault="005974B5" w14:paraId="32E3CF3D" w14:textId="7B76F93C">
            <w:pPr>
              <w:jc w:val="right"/>
              <w:rPr>
                <w:rFonts w:ascii="Arial" w:hAnsi="Arial" w:cs="Arial"/>
                <w:sz w:val="18"/>
                <w:szCs w:val="18"/>
              </w:rPr>
            </w:pPr>
            <w:r w:rsidRPr="005E1D19">
              <w:rPr>
                <w:rFonts w:ascii="Arial" w:hAnsi="Arial" w:cs="Arial"/>
                <w:sz w:val="18"/>
                <w:szCs w:val="18"/>
              </w:rPr>
              <w:t>17.36</w:t>
            </w:r>
          </w:p>
        </w:tc>
        <w:tc>
          <w:tcPr>
            <w:tcW w:w="1256" w:type="dxa"/>
            <w:vAlign w:val="bottom"/>
          </w:tcPr>
          <w:p w:rsidRPr="007B78A4" w:rsidR="005974B5" w:rsidP="005974B5" w:rsidRDefault="005974B5" w14:paraId="689229A7" w14:textId="4113EEBC">
            <w:pPr>
              <w:jc w:val="right"/>
              <w:rPr>
                <w:rFonts w:ascii="Arial" w:hAnsi="Arial" w:cs="Arial"/>
                <w:sz w:val="18"/>
                <w:szCs w:val="18"/>
              </w:rPr>
            </w:pPr>
            <w:r w:rsidRPr="005E1D19">
              <w:rPr>
                <w:rFonts w:ascii="Arial" w:hAnsi="Arial" w:cs="Arial"/>
                <w:sz w:val="18"/>
                <w:szCs w:val="18"/>
              </w:rPr>
              <w:t xml:space="preserve">$10,640.63 </w:t>
            </w:r>
          </w:p>
        </w:tc>
      </w:tr>
      <w:tr w:rsidR="005974B5" w:rsidTr="004B4910" w14:paraId="1D2C1D73" w14:textId="77777777">
        <w:trPr>
          <w:jc w:val="center"/>
        </w:trPr>
        <w:tc>
          <w:tcPr>
            <w:tcW w:w="1471" w:type="dxa"/>
            <w:tcMar>
              <w:top w:w="58" w:type="dxa"/>
              <w:left w:w="115" w:type="dxa"/>
              <w:bottom w:w="58" w:type="dxa"/>
              <w:right w:w="115" w:type="dxa"/>
            </w:tcMar>
          </w:tcPr>
          <w:p w:rsidRPr="0053789E" w:rsidR="005974B5" w:rsidP="005974B5" w:rsidRDefault="005974B5" w14:paraId="36D57C97" w14:textId="77777777">
            <w:pPr>
              <w:keepNext/>
              <w:keepLines/>
              <w:widowControl w:val="0"/>
              <w:tabs>
                <w:tab w:val="center" w:pos="4680"/>
              </w:tabs>
              <w:rPr>
                <w:rFonts w:ascii="Arial" w:hAnsi="Arial" w:cs="Arial"/>
                <w:sz w:val="18"/>
                <w:szCs w:val="18"/>
              </w:rPr>
            </w:pPr>
            <w:r w:rsidRPr="0053789E">
              <w:rPr>
                <w:rFonts w:ascii="Arial" w:hAnsi="Arial" w:cs="Arial"/>
                <w:sz w:val="18"/>
                <w:szCs w:val="18"/>
              </w:rPr>
              <w:t>Primacy States</w:t>
            </w:r>
          </w:p>
        </w:tc>
        <w:tc>
          <w:tcPr>
            <w:tcW w:w="1255" w:type="dxa"/>
            <w:tcMar>
              <w:top w:w="58" w:type="dxa"/>
              <w:left w:w="115" w:type="dxa"/>
              <w:bottom w:w="58" w:type="dxa"/>
              <w:right w:w="115" w:type="dxa"/>
            </w:tcMar>
            <w:vAlign w:val="bottom"/>
          </w:tcPr>
          <w:p w:rsidRPr="007B78A4" w:rsidR="005974B5" w:rsidP="005974B5" w:rsidRDefault="005974B5" w14:paraId="37197CBB" w14:textId="6DF4A205">
            <w:pPr>
              <w:jc w:val="right"/>
              <w:rPr>
                <w:rFonts w:ascii="Arial" w:hAnsi="Arial" w:cs="Arial"/>
                <w:sz w:val="18"/>
                <w:szCs w:val="18"/>
              </w:rPr>
            </w:pPr>
            <w:r w:rsidRPr="005E1D19">
              <w:rPr>
                <w:rFonts w:ascii="Arial" w:hAnsi="Arial" w:cs="Arial"/>
                <w:sz w:val="18"/>
                <w:szCs w:val="18"/>
              </w:rPr>
              <w:t>11,068</w:t>
            </w:r>
          </w:p>
        </w:tc>
        <w:tc>
          <w:tcPr>
            <w:tcW w:w="1256" w:type="dxa"/>
            <w:tcMar>
              <w:top w:w="58" w:type="dxa"/>
              <w:left w:w="115" w:type="dxa"/>
              <w:bottom w:w="58" w:type="dxa"/>
              <w:right w:w="115" w:type="dxa"/>
            </w:tcMar>
            <w:vAlign w:val="bottom"/>
          </w:tcPr>
          <w:p w:rsidRPr="007B78A4" w:rsidR="005974B5" w:rsidP="005974B5" w:rsidRDefault="005974B5" w14:paraId="67D2DD89" w14:textId="43E6D56E">
            <w:pPr>
              <w:jc w:val="right"/>
              <w:rPr>
                <w:rFonts w:ascii="Arial" w:hAnsi="Arial" w:cs="Arial"/>
                <w:sz w:val="18"/>
                <w:szCs w:val="18"/>
              </w:rPr>
            </w:pPr>
            <w:r w:rsidRPr="005E1D19">
              <w:rPr>
                <w:rFonts w:ascii="Arial" w:hAnsi="Arial" w:cs="Arial"/>
                <w:sz w:val="18"/>
                <w:szCs w:val="18"/>
              </w:rPr>
              <w:t xml:space="preserve">$508,222 </w:t>
            </w:r>
          </w:p>
        </w:tc>
        <w:tc>
          <w:tcPr>
            <w:tcW w:w="1255" w:type="dxa"/>
            <w:tcMar>
              <w:top w:w="58" w:type="dxa"/>
              <w:left w:w="115" w:type="dxa"/>
              <w:bottom w:w="58" w:type="dxa"/>
              <w:right w:w="115" w:type="dxa"/>
            </w:tcMar>
            <w:vAlign w:val="bottom"/>
          </w:tcPr>
          <w:p w:rsidRPr="007B78A4" w:rsidR="005974B5" w:rsidP="005974B5" w:rsidRDefault="005974B5" w14:paraId="1F89B52D" w14:textId="74435B69">
            <w:pPr>
              <w:jc w:val="right"/>
              <w:rPr>
                <w:rFonts w:ascii="Arial" w:hAnsi="Arial" w:cs="Arial"/>
                <w:sz w:val="18"/>
                <w:szCs w:val="18"/>
              </w:rPr>
            </w:pPr>
            <w:r w:rsidRPr="005E1D19">
              <w:rPr>
                <w:rFonts w:ascii="Arial" w:hAnsi="Arial" w:cs="Arial"/>
                <w:sz w:val="18"/>
                <w:szCs w:val="18"/>
              </w:rPr>
              <w:t xml:space="preserve">$0 </w:t>
            </w:r>
          </w:p>
        </w:tc>
        <w:tc>
          <w:tcPr>
            <w:tcW w:w="1256" w:type="dxa"/>
            <w:tcMar>
              <w:top w:w="58" w:type="dxa"/>
              <w:left w:w="115" w:type="dxa"/>
              <w:bottom w:w="58" w:type="dxa"/>
              <w:right w:w="115" w:type="dxa"/>
            </w:tcMar>
            <w:vAlign w:val="bottom"/>
          </w:tcPr>
          <w:p w:rsidRPr="007B78A4" w:rsidR="005974B5" w:rsidP="005974B5" w:rsidRDefault="005974B5" w14:paraId="00F8421D" w14:textId="207B4765">
            <w:pPr>
              <w:jc w:val="right"/>
              <w:rPr>
                <w:rFonts w:ascii="Arial" w:hAnsi="Arial" w:cs="Arial"/>
                <w:sz w:val="18"/>
                <w:szCs w:val="18"/>
              </w:rPr>
            </w:pPr>
            <w:r w:rsidRPr="005E1D19">
              <w:rPr>
                <w:rFonts w:ascii="Arial" w:hAnsi="Arial" w:cs="Arial"/>
                <w:sz w:val="18"/>
                <w:szCs w:val="18"/>
              </w:rPr>
              <w:t xml:space="preserve">$508,222 </w:t>
            </w:r>
          </w:p>
        </w:tc>
        <w:tc>
          <w:tcPr>
            <w:tcW w:w="1255" w:type="dxa"/>
            <w:vAlign w:val="bottom"/>
          </w:tcPr>
          <w:p w:rsidRPr="007B78A4" w:rsidR="005974B5" w:rsidP="005974B5" w:rsidRDefault="005974B5" w14:paraId="4F0CFFF1" w14:textId="14F2CBBC">
            <w:pPr>
              <w:jc w:val="right"/>
              <w:rPr>
                <w:rFonts w:ascii="Arial" w:hAnsi="Arial" w:cs="Arial"/>
                <w:sz w:val="18"/>
                <w:szCs w:val="18"/>
              </w:rPr>
            </w:pPr>
            <w:r w:rsidRPr="005E1D19">
              <w:rPr>
                <w:rFonts w:ascii="Arial" w:hAnsi="Arial" w:cs="Arial"/>
                <w:sz w:val="18"/>
                <w:szCs w:val="18"/>
              </w:rPr>
              <w:t>2,798.4</w:t>
            </w:r>
          </w:p>
        </w:tc>
        <w:tc>
          <w:tcPr>
            <w:tcW w:w="1256" w:type="dxa"/>
            <w:vAlign w:val="bottom"/>
          </w:tcPr>
          <w:p w:rsidRPr="007B78A4" w:rsidR="005974B5" w:rsidP="005974B5" w:rsidRDefault="005974B5" w14:paraId="40C39D3D" w14:textId="3116C9AE">
            <w:pPr>
              <w:jc w:val="right"/>
              <w:rPr>
                <w:rFonts w:ascii="Arial" w:hAnsi="Arial" w:cs="Arial"/>
                <w:sz w:val="18"/>
                <w:szCs w:val="18"/>
              </w:rPr>
            </w:pPr>
            <w:r w:rsidRPr="005E1D19">
              <w:rPr>
                <w:rFonts w:ascii="Arial" w:hAnsi="Arial" w:cs="Arial"/>
                <w:sz w:val="18"/>
                <w:szCs w:val="18"/>
              </w:rPr>
              <w:t>3.95</w:t>
            </w:r>
          </w:p>
        </w:tc>
        <w:tc>
          <w:tcPr>
            <w:tcW w:w="1256" w:type="dxa"/>
            <w:vAlign w:val="bottom"/>
          </w:tcPr>
          <w:p w:rsidRPr="007B78A4" w:rsidR="005974B5" w:rsidP="005974B5" w:rsidRDefault="005974B5" w14:paraId="2B74068D" w14:textId="13E04BF1">
            <w:pPr>
              <w:jc w:val="right"/>
              <w:rPr>
                <w:rFonts w:ascii="Arial" w:hAnsi="Arial" w:cs="Arial"/>
                <w:sz w:val="18"/>
                <w:szCs w:val="18"/>
              </w:rPr>
            </w:pPr>
            <w:r w:rsidRPr="005E1D19">
              <w:rPr>
                <w:rFonts w:ascii="Arial" w:hAnsi="Arial" w:cs="Arial"/>
                <w:sz w:val="18"/>
                <w:szCs w:val="18"/>
              </w:rPr>
              <w:t xml:space="preserve">$181.61 </w:t>
            </w:r>
          </w:p>
        </w:tc>
      </w:tr>
      <w:tr w:rsidR="005974B5" w:rsidTr="004B4910" w14:paraId="75904C95" w14:textId="77777777">
        <w:trPr>
          <w:jc w:val="center"/>
        </w:trPr>
        <w:tc>
          <w:tcPr>
            <w:tcW w:w="1471" w:type="dxa"/>
            <w:tcMar>
              <w:top w:w="58" w:type="dxa"/>
              <w:left w:w="115" w:type="dxa"/>
              <w:bottom w:w="58" w:type="dxa"/>
              <w:right w:w="115" w:type="dxa"/>
            </w:tcMar>
          </w:tcPr>
          <w:p w:rsidRPr="0053789E" w:rsidR="005974B5" w:rsidP="005974B5" w:rsidRDefault="005974B5" w14:paraId="40729088" w14:textId="77777777">
            <w:pPr>
              <w:keepNext/>
              <w:keepLines/>
              <w:widowControl w:val="0"/>
              <w:tabs>
                <w:tab w:val="center" w:pos="4680"/>
              </w:tabs>
              <w:rPr>
                <w:rFonts w:ascii="Arial" w:hAnsi="Arial" w:cs="Arial"/>
                <w:sz w:val="18"/>
                <w:szCs w:val="18"/>
              </w:rPr>
            </w:pPr>
            <w:r w:rsidRPr="0053789E">
              <w:rPr>
                <w:rFonts w:ascii="Arial" w:hAnsi="Arial" w:cs="Arial"/>
                <w:sz w:val="18"/>
                <w:szCs w:val="18"/>
              </w:rPr>
              <w:t>DI Programs</w:t>
            </w:r>
          </w:p>
        </w:tc>
        <w:tc>
          <w:tcPr>
            <w:tcW w:w="1255" w:type="dxa"/>
            <w:tcMar>
              <w:top w:w="58" w:type="dxa"/>
              <w:left w:w="115" w:type="dxa"/>
              <w:bottom w:w="58" w:type="dxa"/>
              <w:right w:w="115" w:type="dxa"/>
            </w:tcMar>
            <w:vAlign w:val="bottom"/>
          </w:tcPr>
          <w:p w:rsidRPr="007B78A4" w:rsidR="005974B5" w:rsidP="005974B5" w:rsidRDefault="005974B5" w14:paraId="061F7D63" w14:textId="61FC11B4">
            <w:pPr>
              <w:jc w:val="right"/>
              <w:rPr>
                <w:rFonts w:ascii="Arial" w:hAnsi="Arial" w:cs="Arial"/>
                <w:sz w:val="18"/>
                <w:szCs w:val="18"/>
              </w:rPr>
            </w:pPr>
            <w:r w:rsidRPr="005E1D19">
              <w:rPr>
                <w:rFonts w:ascii="Arial" w:hAnsi="Arial" w:cs="Arial"/>
                <w:sz w:val="18"/>
                <w:szCs w:val="18"/>
              </w:rPr>
              <w:t>19,885</w:t>
            </w:r>
          </w:p>
        </w:tc>
        <w:tc>
          <w:tcPr>
            <w:tcW w:w="1256" w:type="dxa"/>
            <w:tcMar>
              <w:top w:w="58" w:type="dxa"/>
              <w:left w:w="115" w:type="dxa"/>
              <w:bottom w:w="58" w:type="dxa"/>
              <w:right w:w="115" w:type="dxa"/>
            </w:tcMar>
            <w:vAlign w:val="bottom"/>
          </w:tcPr>
          <w:p w:rsidRPr="007B78A4" w:rsidR="005974B5" w:rsidP="005974B5" w:rsidRDefault="005974B5" w14:paraId="0119F97D" w14:textId="1D718E44">
            <w:pPr>
              <w:jc w:val="right"/>
              <w:rPr>
                <w:rFonts w:ascii="Arial" w:hAnsi="Arial" w:cs="Arial"/>
                <w:sz w:val="18"/>
                <w:szCs w:val="18"/>
              </w:rPr>
            </w:pPr>
            <w:r w:rsidRPr="005E1D19">
              <w:rPr>
                <w:rFonts w:ascii="Arial" w:hAnsi="Arial" w:cs="Arial"/>
                <w:sz w:val="18"/>
                <w:szCs w:val="18"/>
              </w:rPr>
              <w:t xml:space="preserve">$913,101 </w:t>
            </w:r>
          </w:p>
        </w:tc>
        <w:tc>
          <w:tcPr>
            <w:tcW w:w="1255" w:type="dxa"/>
            <w:tcMar>
              <w:top w:w="58" w:type="dxa"/>
              <w:left w:w="115" w:type="dxa"/>
              <w:bottom w:w="58" w:type="dxa"/>
              <w:right w:w="115" w:type="dxa"/>
            </w:tcMar>
            <w:vAlign w:val="bottom"/>
          </w:tcPr>
          <w:p w:rsidRPr="007B78A4" w:rsidR="005974B5" w:rsidP="005974B5" w:rsidRDefault="005974B5" w14:paraId="5C84DE91" w14:textId="3EDEE103">
            <w:pPr>
              <w:jc w:val="right"/>
              <w:rPr>
                <w:rFonts w:ascii="Arial" w:hAnsi="Arial" w:cs="Arial"/>
                <w:sz w:val="18"/>
                <w:szCs w:val="18"/>
              </w:rPr>
            </w:pPr>
            <w:r w:rsidRPr="005E1D19">
              <w:rPr>
                <w:rFonts w:ascii="Arial" w:hAnsi="Arial" w:cs="Arial"/>
                <w:sz w:val="18"/>
                <w:szCs w:val="18"/>
              </w:rPr>
              <w:t xml:space="preserve">$0 </w:t>
            </w:r>
          </w:p>
        </w:tc>
        <w:tc>
          <w:tcPr>
            <w:tcW w:w="1256" w:type="dxa"/>
            <w:tcMar>
              <w:top w:w="58" w:type="dxa"/>
              <w:left w:w="115" w:type="dxa"/>
              <w:bottom w:w="58" w:type="dxa"/>
              <w:right w:w="115" w:type="dxa"/>
            </w:tcMar>
            <w:vAlign w:val="bottom"/>
          </w:tcPr>
          <w:p w:rsidRPr="007B78A4" w:rsidR="005974B5" w:rsidP="005974B5" w:rsidRDefault="005974B5" w14:paraId="705B3651" w14:textId="2FA26A0F">
            <w:pPr>
              <w:jc w:val="right"/>
              <w:rPr>
                <w:rFonts w:ascii="Arial" w:hAnsi="Arial" w:cs="Arial"/>
                <w:sz w:val="18"/>
                <w:szCs w:val="18"/>
              </w:rPr>
            </w:pPr>
            <w:r w:rsidRPr="005E1D19">
              <w:rPr>
                <w:rFonts w:ascii="Arial" w:hAnsi="Arial" w:cs="Arial"/>
                <w:sz w:val="18"/>
                <w:szCs w:val="18"/>
              </w:rPr>
              <w:t xml:space="preserve">$913,101 </w:t>
            </w:r>
          </w:p>
        </w:tc>
        <w:tc>
          <w:tcPr>
            <w:tcW w:w="1255" w:type="dxa"/>
            <w:vAlign w:val="bottom"/>
          </w:tcPr>
          <w:p w:rsidRPr="007B78A4" w:rsidR="005974B5" w:rsidP="005974B5" w:rsidRDefault="005974B5" w14:paraId="763FBE54" w14:textId="0E9EBF43">
            <w:pPr>
              <w:jc w:val="right"/>
              <w:rPr>
                <w:rFonts w:ascii="Arial" w:hAnsi="Arial" w:cs="Arial"/>
                <w:sz w:val="18"/>
                <w:szCs w:val="18"/>
              </w:rPr>
            </w:pPr>
            <w:r w:rsidRPr="005E1D19">
              <w:rPr>
                <w:rFonts w:ascii="Arial" w:hAnsi="Arial" w:cs="Arial"/>
                <w:sz w:val="18"/>
                <w:szCs w:val="18"/>
              </w:rPr>
              <w:t>815.8</w:t>
            </w:r>
          </w:p>
        </w:tc>
        <w:tc>
          <w:tcPr>
            <w:tcW w:w="1256" w:type="dxa"/>
            <w:vAlign w:val="bottom"/>
          </w:tcPr>
          <w:p w:rsidRPr="007B78A4" w:rsidR="005974B5" w:rsidP="005974B5" w:rsidRDefault="005974B5" w14:paraId="067594EE" w14:textId="00F2E5CD">
            <w:pPr>
              <w:jc w:val="right"/>
              <w:rPr>
                <w:rFonts w:ascii="Arial" w:hAnsi="Arial" w:cs="Arial"/>
                <w:sz w:val="18"/>
                <w:szCs w:val="18"/>
              </w:rPr>
            </w:pPr>
            <w:r w:rsidRPr="005E1D19">
              <w:rPr>
                <w:rFonts w:ascii="Arial" w:hAnsi="Arial" w:cs="Arial"/>
                <w:sz w:val="18"/>
                <w:szCs w:val="18"/>
              </w:rPr>
              <w:t>24.37</w:t>
            </w:r>
          </w:p>
        </w:tc>
        <w:tc>
          <w:tcPr>
            <w:tcW w:w="1256" w:type="dxa"/>
            <w:vAlign w:val="bottom"/>
          </w:tcPr>
          <w:p w:rsidRPr="007B78A4" w:rsidR="005974B5" w:rsidP="005974B5" w:rsidRDefault="005974B5" w14:paraId="67DF1E0A" w14:textId="5791B41B">
            <w:pPr>
              <w:jc w:val="right"/>
              <w:rPr>
                <w:rFonts w:ascii="Arial" w:hAnsi="Arial" w:cs="Arial"/>
                <w:sz w:val="18"/>
                <w:szCs w:val="18"/>
              </w:rPr>
            </w:pPr>
            <w:r w:rsidRPr="005E1D19">
              <w:rPr>
                <w:rFonts w:ascii="Arial" w:hAnsi="Arial" w:cs="Arial"/>
                <w:sz w:val="18"/>
                <w:szCs w:val="18"/>
              </w:rPr>
              <w:t xml:space="preserve">$1,119.27 </w:t>
            </w:r>
          </w:p>
        </w:tc>
      </w:tr>
      <w:tr w:rsidR="005974B5" w:rsidTr="004B4910" w14:paraId="51386B17" w14:textId="77777777">
        <w:trPr>
          <w:jc w:val="center"/>
        </w:trPr>
        <w:tc>
          <w:tcPr>
            <w:tcW w:w="1471" w:type="dxa"/>
            <w:tcBorders>
              <w:bottom w:val="single" w:color="auto" w:sz="4" w:space="0"/>
            </w:tcBorders>
            <w:tcMar>
              <w:top w:w="58" w:type="dxa"/>
              <w:left w:w="115" w:type="dxa"/>
              <w:bottom w:w="58" w:type="dxa"/>
              <w:right w:w="115" w:type="dxa"/>
            </w:tcMar>
          </w:tcPr>
          <w:p w:rsidRPr="0053789E" w:rsidR="005974B5" w:rsidP="005974B5" w:rsidRDefault="005974B5" w14:paraId="3BD6DFFF" w14:textId="77777777">
            <w:pPr>
              <w:keepNext/>
              <w:keepLines/>
              <w:widowControl w:val="0"/>
              <w:tabs>
                <w:tab w:val="center" w:pos="4680"/>
              </w:tabs>
              <w:rPr>
                <w:rFonts w:ascii="Arial" w:hAnsi="Arial" w:cs="Arial"/>
                <w:b/>
                <w:sz w:val="18"/>
                <w:szCs w:val="18"/>
              </w:rPr>
            </w:pPr>
            <w:r w:rsidRPr="0053789E">
              <w:rPr>
                <w:rFonts w:ascii="Arial" w:hAnsi="Arial" w:cs="Arial"/>
                <w:b/>
                <w:sz w:val="18"/>
                <w:szCs w:val="18"/>
              </w:rPr>
              <w:t>TOTAL</w:t>
            </w:r>
          </w:p>
        </w:tc>
        <w:tc>
          <w:tcPr>
            <w:tcW w:w="1255" w:type="dxa"/>
            <w:tcBorders>
              <w:bottom w:val="single" w:color="auto" w:sz="4" w:space="0"/>
            </w:tcBorders>
            <w:tcMar>
              <w:top w:w="58" w:type="dxa"/>
              <w:left w:w="115" w:type="dxa"/>
              <w:bottom w:w="58" w:type="dxa"/>
              <w:right w:w="115" w:type="dxa"/>
            </w:tcMar>
            <w:vAlign w:val="bottom"/>
          </w:tcPr>
          <w:p w:rsidRPr="007B78A4" w:rsidR="005974B5" w:rsidP="005974B5" w:rsidRDefault="005974B5" w14:paraId="3D5C1AD2" w14:textId="13C8D679">
            <w:pPr>
              <w:jc w:val="right"/>
              <w:rPr>
                <w:rFonts w:ascii="Arial" w:hAnsi="Arial" w:cs="Arial"/>
                <w:b/>
                <w:bCs/>
                <w:sz w:val="18"/>
                <w:szCs w:val="18"/>
              </w:rPr>
            </w:pPr>
            <w:r w:rsidRPr="005E1D19">
              <w:rPr>
                <w:rFonts w:ascii="Arial" w:hAnsi="Arial" w:cs="Arial"/>
                <w:b/>
                <w:bCs/>
                <w:sz w:val="18"/>
                <w:szCs w:val="18"/>
              </w:rPr>
              <w:t>181,985</w:t>
            </w:r>
          </w:p>
        </w:tc>
        <w:tc>
          <w:tcPr>
            <w:tcW w:w="1256" w:type="dxa"/>
            <w:tcBorders>
              <w:bottom w:val="single" w:color="auto" w:sz="4" w:space="0"/>
            </w:tcBorders>
            <w:tcMar>
              <w:top w:w="58" w:type="dxa"/>
              <w:left w:w="115" w:type="dxa"/>
              <w:bottom w:w="58" w:type="dxa"/>
              <w:right w:w="115" w:type="dxa"/>
            </w:tcMar>
            <w:vAlign w:val="bottom"/>
          </w:tcPr>
          <w:p w:rsidRPr="007B78A4" w:rsidR="005974B5" w:rsidP="005974B5" w:rsidRDefault="005974B5" w14:paraId="117DB452" w14:textId="022F7468">
            <w:pPr>
              <w:jc w:val="right"/>
              <w:rPr>
                <w:rFonts w:ascii="Arial" w:hAnsi="Arial" w:cs="Arial"/>
                <w:b/>
                <w:bCs/>
                <w:sz w:val="18"/>
                <w:szCs w:val="18"/>
              </w:rPr>
            </w:pPr>
            <w:r w:rsidRPr="005E1D19">
              <w:rPr>
                <w:rFonts w:ascii="Arial" w:hAnsi="Arial" w:cs="Arial"/>
                <w:b/>
                <w:bCs/>
                <w:sz w:val="18"/>
                <w:szCs w:val="18"/>
              </w:rPr>
              <w:t xml:space="preserve">$9,836,154 </w:t>
            </w:r>
          </w:p>
        </w:tc>
        <w:tc>
          <w:tcPr>
            <w:tcW w:w="1255" w:type="dxa"/>
            <w:tcBorders>
              <w:bottom w:val="single" w:color="auto" w:sz="4" w:space="0"/>
            </w:tcBorders>
            <w:tcMar>
              <w:top w:w="58" w:type="dxa"/>
              <w:left w:w="115" w:type="dxa"/>
              <w:bottom w:w="58" w:type="dxa"/>
              <w:right w:w="115" w:type="dxa"/>
            </w:tcMar>
            <w:vAlign w:val="bottom"/>
          </w:tcPr>
          <w:p w:rsidRPr="007B78A4" w:rsidR="005974B5" w:rsidP="005974B5" w:rsidRDefault="005974B5" w14:paraId="1E7B72F3" w14:textId="7047CF1C">
            <w:pPr>
              <w:jc w:val="right"/>
              <w:rPr>
                <w:rFonts w:ascii="Arial" w:hAnsi="Arial" w:cs="Arial"/>
                <w:b/>
                <w:bCs/>
                <w:sz w:val="18"/>
                <w:szCs w:val="18"/>
              </w:rPr>
            </w:pPr>
            <w:r w:rsidRPr="005E1D19">
              <w:rPr>
                <w:rFonts w:ascii="Arial" w:hAnsi="Arial" w:cs="Arial"/>
                <w:b/>
                <w:bCs/>
                <w:sz w:val="18"/>
                <w:szCs w:val="18"/>
              </w:rPr>
              <w:t xml:space="preserve">$84,170,257 </w:t>
            </w:r>
          </w:p>
        </w:tc>
        <w:tc>
          <w:tcPr>
            <w:tcW w:w="1256" w:type="dxa"/>
            <w:tcBorders>
              <w:bottom w:val="single" w:color="auto" w:sz="4" w:space="0"/>
            </w:tcBorders>
            <w:tcMar>
              <w:top w:w="58" w:type="dxa"/>
              <w:left w:w="115" w:type="dxa"/>
              <w:bottom w:w="58" w:type="dxa"/>
              <w:right w:w="115" w:type="dxa"/>
            </w:tcMar>
            <w:vAlign w:val="bottom"/>
          </w:tcPr>
          <w:p w:rsidRPr="007B78A4" w:rsidR="005974B5" w:rsidP="005974B5" w:rsidRDefault="005974B5" w14:paraId="00F5A0DC" w14:textId="1865C35F">
            <w:pPr>
              <w:jc w:val="right"/>
              <w:rPr>
                <w:rFonts w:ascii="Arial" w:hAnsi="Arial" w:cs="Arial"/>
                <w:b/>
                <w:bCs/>
                <w:sz w:val="18"/>
                <w:szCs w:val="18"/>
              </w:rPr>
            </w:pPr>
            <w:r w:rsidRPr="005E1D19">
              <w:rPr>
                <w:rFonts w:ascii="Arial" w:hAnsi="Arial" w:cs="Arial"/>
                <w:b/>
                <w:bCs/>
                <w:sz w:val="18"/>
                <w:szCs w:val="18"/>
              </w:rPr>
              <w:t xml:space="preserve">$94,006,411 </w:t>
            </w:r>
          </w:p>
        </w:tc>
        <w:tc>
          <w:tcPr>
            <w:tcW w:w="1255" w:type="dxa"/>
            <w:tcBorders>
              <w:bottom w:val="single" w:color="auto" w:sz="4" w:space="0"/>
            </w:tcBorders>
            <w:vAlign w:val="bottom"/>
          </w:tcPr>
          <w:p w:rsidRPr="007B78A4" w:rsidR="005974B5" w:rsidP="005974B5" w:rsidRDefault="005974B5" w14:paraId="6A28BD75" w14:textId="389D91BB">
            <w:pPr>
              <w:jc w:val="right"/>
              <w:rPr>
                <w:rFonts w:ascii="Arial" w:hAnsi="Arial" w:cs="Arial"/>
                <w:b/>
                <w:bCs/>
                <w:sz w:val="18"/>
                <w:szCs w:val="18"/>
              </w:rPr>
            </w:pPr>
            <w:r w:rsidRPr="005E1D19">
              <w:rPr>
                <w:rFonts w:ascii="Arial" w:hAnsi="Arial" w:cs="Arial"/>
                <w:b/>
                <w:bCs/>
                <w:sz w:val="18"/>
                <w:szCs w:val="18"/>
              </w:rPr>
              <w:t>12,315.3</w:t>
            </w:r>
          </w:p>
        </w:tc>
        <w:tc>
          <w:tcPr>
            <w:tcW w:w="1256" w:type="dxa"/>
            <w:tcBorders>
              <w:bottom w:val="single" w:color="auto" w:sz="4" w:space="0"/>
            </w:tcBorders>
            <w:vAlign w:val="bottom"/>
          </w:tcPr>
          <w:p w:rsidRPr="007B78A4" w:rsidR="005974B5" w:rsidP="005974B5" w:rsidRDefault="005974B5" w14:paraId="37F931C8" w14:textId="7F7A09C4">
            <w:pPr>
              <w:jc w:val="right"/>
              <w:rPr>
                <w:rFonts w:ascii="Arial" w:hAnsi="Arial" w:cs="Arial"/>
                <w:b/>
                <w:bCs/>
                <w:sz w:val="18"/>
                <w:szCs w:val="18"/>
              </w:rPr>
            </w:pPr>
            <w:r w:rsidRPr="005E1D19">
              <w:rPr>
                <w:rFonts w:ascii="Arial" w:hAnsi="Arial" w:cs="Arial"/>
                <w:b/>
                <w:bCs/>
                <w:sz w:val="18"/>
                <w:szCs w:val="18"/>
              </w:rPr>
              <w:t>14.78</w:t>
            </w:r>
          </w:p>
        </w:tc>
        <w:tc>
          <w:tcPr>
            <w:tcW w:w="1256" w:type="dxa"/>
            <w:tcBorders>
              <w:bottom w:val="single" w:color="auto" w:sz="4" w:space="0"/>
            </w:tcBorders>
            <w:vAlign w:val="bottom"/>
          </w:tcPr>
          <w:p w:rsidRPr="007B78A4" w:rsidR="005974B5" w:rsidP="005974B5" w:rsidRDefault="005974B5" w14:paraId="6DF7A9C2" w14:textId="26B58220">
            <w:pPr>
              <w:jc w:val="right"/>
              <w:rPr>
                <w:rFonts w:ascii="Arial" w:hAnsi="Arial" w:cs="Arial"/>
                <w:b/>
                <w:bCs/>
                <w:sz w:val="18"/>
                <w:szCs w:val="18"/>
              </w:rPr>
            </w:pPr>
            <w:r w:rsidRPr="005E1D19">
              <w:rPr>
                <w:rFonts w:ascii="Arial" w:hAnsi="Arial" w:cs="Arial"/>
                <w:b/>
                <w:bCs/>
                <w:sz w:val="18"/>
                <w:szCs w:val="18"/>
              </w:rPr>
              <w:t xml:space="preserve">$7,633.30 </w:t>
            </w:r>
          </w:p>
        </w:tc>
      </w:tr>
      <w:tr w:rsidR="005974B5" w:rsidTr="004B4910" w14:paraId="1A6349FA" w14:textId="77777777">
        <w:trPr>
          <w:jc w:val="center"/>
        </w:trPr>
        <w:tc>
          <w:tcPr>
            <w:tcW w:w="10260" w:type="dxa"/>
            <w:gridSpan w:val="8"/>
            <w:tcBorders>
              <w:left w:val="nil"/>
              <w:bottom w:val="nil"/>
              <w:right w:val="nil"/>
            </w:tcBorders>
            <w:tcMar>
              <w:top w:w="58" w:type="dxa"/>
              <w:left w:w="115" w:type="dxa"/>
              <w:bottom w:w="58" w:type="dxa"/>
              <w:right w:w="115" w:type="dxa"/>
            </w:tcMar>
          </w:tcPr>
          <w:p w:rsidR="005974B5" w:rsidP="005974B5" w:rsidRDefault="005974B5" w14:paraId="7C7135AE" w14:textId="77777777">
            <w:pPr>
              <w:rPr>
                <w:rFonts w:ascii="Arial" w:hAnsi="Arial" w:cs="Arial"/>
                <w:bCs/>
                <w:sz w:val="18"/>
                <w:szCs w:val="18"/>
              </w:rPr>
            </w:pPr>
            <w:r w:rsidRPr="00B15016">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due to rounding.</w:t>
            </w:r>
          </w:p>
          <w:p w:rsidRPr="00B15016" w:rsidR="005974B5" w:rsidP="005974B5" w:rsidRDefault="005974B5" w14:paraId="1E255CBC" w14:textId="77777777">
            <w:pPr>
              <w:rPr>
                <w:rFonts w:ascii="Arial" w:hAnsi="Arial" w:cs="Arial"/>
                <w:bCs/>
                <w:sz w:val="18"/>
                <w:szCs w:val="18"/>
              </w:rPr>
            </w:pPr>
          </w:p>
        </w:tc>
      </w:tr>
    </w:tbl>
    <w:p w:rsidR="00C25838" w:rsidRDefault="00C25838" w14:paraId="6CDC4BF5" w14:textId="77777777">
      <w:pPr>
        <w:widowControl w:val="0"/>
        <w:rPr>
          <w:i/>
          <w:sz w:val="24"/>
          <w:szCs w:val="24"/>
        </w:rPr>
      </w:pPr>
      <w:r>
        <w:rPr>
          <w:sz w:val="24"/>
          <w:szCs w:val="24"/>
        </w:rPr>
        <w:tab/>
      </w:r>
      <w:r>
        <w:rPr>
          <w:i/>
          <w:sz w:val="24"/>
          <w:szCs w:val="24"/>
        </w:rPr>
        <w:t>Class II Well Operators</w:t>
      </w:r>
    </w:p>
    <w:p w:rsidR="00C25838" w:rsidRDefault="00C25838" w14:paraId="5A5AE1AD" w14:textId="77777777">
      <w:pPr>
        <w:widowControl w:val="0"/>
        <w:rPr>
          <w:sz w:val="24"/>
          <w:szCs w:val="24"/>
        </w:rPr>
      </w:pPr>
    </w:p>
    <w:p w:rsidR="00C25838" w:rsidRDefault="00C25838" w14:paraId="6B90846F" w14:textId="440AA731">
      <w:pPr>
        <w:widowControl w:val="0"/>
        <w:rPr>
          <w:sz w:val="24"/>
          <w:szCs w:val="24"/>
        </w:rPr>
      </w:pPr>
      <w:r>
        <w:rPr>
          <w:sz w:val="24"/>
          <w:szCs w:val="24"/>
        </w:rPr>
        <w:tab/>
        <w:t xml:space="preserve">As shown in Exhibit 6-1B, EPA estimates the total annual burden on the </w:t>
      </w:r>
      <w:r w:rsidRPr="005974B5" w:rsidR="005974B5">
        <w:rPr>
          <w:sz w:val="24"/>
          <w:szCs w:val="24"/>
        </w:rPr>
        <w:t>15,927</w:t>
      </w:r>
      <w:r w:rsidR="005974B5">
        <w:rPr>
          <w:sz w:val="24"/>
          <w:szCs w:val="24"/>
        </w:rPr>
        <w:t xml:space="preserve"> </w:t>
      </w:r>
      <w:r>
        <w:rPr>
          <w:sz w:val="24"/>
          <w:szCs w:val="24"/>
        </w:rPr>
        <w:t xml:space="preserve">operators of Class II wells (associated with the oil and natural gas industry) to be </w:t>
      </w:r>
      <w:r w:rsidRPr="002E7595" w:rsidR="002E7595">
        <w:rPr>
          <w:sz w:val="24"/>
          <w:szCs w:val="24"/>
        </w:rPr>
        <w:t>1,</w:t>
      </w:r>
      <w:r w:rsidRPr="006158CC" w:rsidR="006158CC">
        <w:rPr>
          <w:sz w:val="24"/>
          <w:szCs w:val="24"/>
        </w:rPr>
        <w:t>073,400</w:t>
      </w:r>
      <w:r w:rsidR="002E7595">
        <w:rPr>
          <w:sz w:val="24"/>
          <w:szCs w:val="24"/>
        </w:rPr>
        <w:t xml:space="preserve"> </w:t>
      </w:r>
      <w:r>
        <w:rPr>
          <w:sz w:val="24"/>
          <w:szCs w:val="24"/>
        </w:rPr>
        <w:t>hours</w:t>
      </w:r>
      <w:r w:rsidR="00F84502">
        <w:rPr>
          <w:sz w:val="24"/>
          <w:szCs w:val="24"/>
        </w:rPr>
        <w:t xml:space="preserve">. </w:t>
      </w:r>
      <w:r>
        <w:rPr>
          <w:sz w:val="24"/>
          <w:szCs w:val="24"/>
        </w:rPr>
        <w:t>Class II well operators perform many of the same types of activities as Class I well</w:t>
      </w:r>
      <w:r w:rsidR="007C5CEB">
        <w:rPr>
          <w:sz w:val="24"/>
          <w:szCs w:val="24"/>
        </w:rPr>
        <w:t xml:space="preserve"> owners or operator</w:t>
      </w:r>
      <w:r>
        <w:rPr>
          <w:sz w:val="24"/>
          <w:szCs w:val="24"/>
        </w:rPr>
        <w:t>s, including submitting permit applications and completion reports, monitoring and testing, reporting and recordkeeping, and closure-related paperwork</w:t>
      </w:r>
      <w:r w:rsidR="003E14C0">
        <w:rPr>
          <w:sz w:val="24"/>
          <w:szCs w:val="24"/>
        </w:rPr>
        <w:t xml:space="preserve">, although with </w:t>
      </w:r>
      <w:r w:rsidR="00807B77">
        <w:rPr>
          <w:sz w:val="24"/>
          <w:szCs w:val="24"/>
        </w:rPr>
        <w:t xml:space="preserve">significantly </w:t>
      </w:r>
      <w:r w:rsidR="003E14C0">
        <w:rPr>
          <w:sz w:val="24"/>
          <w:szCs w:val="24"/>
        </w:rPr>
        <w:t>less information and paperwork requir</w:t>
      </w:r>
      <w:r w:rsidR="00807B77">
        <w:rPr>
          <w:sz w:val="24"/>
          <w:szCs w:val="24"/>
        </w:rPr>
        <w:t>ed</w:t>
      </w:r>
      <w:r w:rsidR="003E14C0">
        <w:rPr>
          <w:sz w:val="24"/>
          <w:szCs w:val="24"/>
        </w:rPr>
        <w:t xml:space="preserve"> </w:t>
      </w:r>
      <w:r w:rsidR="00E62C5E">
        <w:rPr>
          <w:sz w:val="24"/>
          <w:szCs w:val="24"/>
        </w:rPr>
        <w:t xml:space="preserve">per operator </w:t>
      </w:r>
      <w:r w:rsidR="003E14C0">
        <w:rPr>
          <w:sz w:val="24"/>
          <w:szCs w:val="24"/>
        </w:rPr>
        <w:t>for each of these activities</w:t>
      </w:r>
      <w:r>
        <w:rPr>
          <w:sz w:val="24"/>
          <w:szCs w:val="24"/>
        </w:rPr>
        <w:t xml:space="preserve">. </w:t>
      </w:r>
    </w:p>
    <w:p w:rsidR="00596D7D" w:rsidRDefault="00596D7D" w14:paraId="22358751" w14:textId="77777777">
      <w:pPr>
        <w:widowControl w:val="0"/>
        <w:rPr>
          <w:sz w:val="24"/>
          <w:szCs w:val="24"/>
        </w:rPr>
      </w:pPr>
    </w:p>
    <w:p w:rsidR="00231DFB" w:rsidP="005135F0" w:rsidRDefault="00C25838" w14:paraId="7A9504F7" w14:textId="77777777">
      <w:pPr>
        <w:widowControl w:val="0"/>
        <w:rPr>
          <w:b/>
        </w:rPr>
      </w:pPr>
      <w:r>
        <w:rPr>
          <w:sz w:val="24"/>
          <w:szCs w:val="24"/>
        </w:rPr>
        <w:tab/>
        <w:t xml:space="preserve">See Appendix A (particularly Table A-2) for details on the assumptions used to calculate the owner/operator burden and cost associated with </w:t>
      </w:r>
      <w:r w:rsidR="000B5DF3">
        <w:rPr>
          <w:sz w:val="24"/>
          <w:szCs w:val="24"/>
        </w:rPr>
        <w:t xml:space="preserve">meeting </w:t>
      </w:r>
      <w:r>
        <w:rPr>
          <w:sz w:val="24"/>
          <w:szCs w:val="24"/>
        </w:rPr>
        <w:t>the requirements for Class II wells.</w:t>
      </w:r>
    </w:p>
    <w:p w:rsidR="00231DFB" w:rsidP="00231DFB" w:rsidRDefault="00231DFB" w14:paraId="41EC7011" w14:textId="77777777">
      <w:pPr>
        <w:keepNext/>
        <w:keepLines/>
        <w:widowControl w:val="0"/>
        <w:tabs>
          <w:tab w:val="center" w:pos="4680"/>
        </w:tabs>
        <w:rPr>
          <w:b/>
        </w:rPr>
      </w:pPr>
    </w:p>
    <w:tbl>
      <w:tblPr>
        <w:tblW w:w="10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71"/>
        <w:gridCol w:w="1255"/>
        <w:gridCol w:w="1369"/>
        <w:gridCol w:w="1407"/>
        <w:gridCol w:w="1333"/>
        <w:gridCol w:w="1178"/>
        <w:gridCol w:w="1256"/>
        <w:gridCol w:w="1256"/>
      </w:tblGrid>
      <w:tr w:rsidR="00231DFB" w:rsidTr="00A7385E" w14:paraId="42A3AC7B" w14:textId="77777777">
        <w:trPr>
          <w:jc w:val="center"/>
        </w:trPr>
        <w:tc>
          <w:tcPr>
            <w:tcW w:w="10525" w:type="dxa"/>
            <w:gridSpan w:val="8"/>
            <w:tcMar>
              <w:top w:w="58" w:type="dxa"/>
              <w:left w:w="115" w:type="dxa"/>
              <w:bottom w:w="58" w:type="dxa"/>
              <w:right w:w="115" w:type="dxa"/>
            </w:tcMar>
            <w:vAlign w:val="center"/>
          </w:tcPr>
          <w:p w:rsidR="00231DFB" w:rsidP="004B4910" w:rsidRDefault="00231DFB" w14:paraId="26940B3A" w14:textId="77777777">
            <w:pPr>
              <w:keepNext/>
              <w:keepLines/>
              <w:widowControl w:val="0"/>
              <w:tabs>
                <w:tab w:val="center" w:pos="4680"/>
              </w:tabs>
              <w:jc w:val="center"/>
              <w:rPr>
                <w:rFonts w:ascii="Arial" w:hAnsi="Arial" w:cs="Arial"/>
                <w:b/>
              </w:rPr>
            </w:pPr>
            <w:r w:rsidRPr="00BF636F">
              <w:rPr>
                <w:rFonts w:ascii="Arial" w:hAnsi="Arial" w:cs="Arial"/>
                <w:b/>
              </w:rPr>
              <w:t>Exhibit 6-1B</w:t>
            </w:r>
          </w:p>
          <w:p w:rsidR="00231DFB" w:rsidP="006C5F22" w:rsidRDefault="00231DFB" w14:paraId="187F7BC0" w14:textId="77777777">
            <w:pPr>
              <w:keepNext/>
              <w:keepLines/>
              <w:widowControl w:val="0"/>
              <w:tabs>
                <w:tab w:val="center" w:pos="4680"/>
              </w:tabs>
              <w:jc w:val="center"/>
              <w:rPr>
                <w:rFonts w:ascii="Arial" w:hAnsi="Arial" w:cs="Arial"/>
                <w:b/>
              </w:rPr>
            </w:pPr>
            <w:r>
              <w:rPr>
                <w:rFonts w:ascii="Arial" w:hAnsi="Arial" w:cs="Arial"/>
                <w:b/>
              </w:rPr>
              <w:t>Annual Burden and Cost Associated with Class II Wells</w:t>
            </w:r>
          </w:p>
          <w:p w:rsidRPr="0053789E" w:rsidR="00231DFB" w:rsidP="006C5F22" w:rsidRDefault="00926C92" w14:paraId="6DBB39C2" w14:textId="67BCCFE6">
            <w:pPr>
              <w:keepNext/>
              <w:keepLines/>
              <w:widowControl w:val="0"/>
              <w:tabs>
                <w:tab w:val="center" w:pos="4680"/>
              </w:tabs>
              <w:jc w:val="center"/>
              <w:rPr>
                <w:rFonts w:ascii="Arial" w:hAnsi="Arial" w:cs="Arial"/>
                <w:b/>
                <w:sz w:val="18"/>
                <w:szCs w:val="18"/>
              </w:rPr>
            </w:pPr>
            <w:r>
              <w:rPr>
                <w:rFonts w:ascii="Arial" w:hAnsi="Arial" w:cs="Arial"/>
                <w:b/>
              </w:rPr>
              <w:t>2022-2024</w:t>
            </w:r>
          </w:p>
        </w:tc>
      </w:tr>
      <w:tr w:rsidR="00231DFB" w:rsidTr="00A7385E" w14:paraId="32F53410" w14:textId="77777777">
        <w:trPr>
          <w:jc w:val="center"/>
        </w:trPr>
        <w:tc>
          <w:tcPr>
            <w:tcW w:w="1471" w:type="dxa"/>
            <w:tcMar>
              <w:top w:w="58" w:type="dxa"/>
              <w:left w:w="115" w:type="dxa"/>
              <w:bottom w:w="58" w:type="dxa"/>
              <w:right w:w="115" w:type="dxa"/>
            </w:tcMar>
          </w:tcPr>
          <w:p w:rsidRPr="0053789E" w:rsidR="00231DFB" w:rsidP="004B4910" w:rsidRDefault="00231DFB" w14:paraId="1C1CBED5"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Respondent Type</w:t>
            </w:r>
          </w:p>
        </w:tc>
        <w:tc>
          <w:tcPr>
            <w:tcW w:w="1255" w:type="dxa"/>
            <w:tcMar>
              <w:top w:w="58" w:type="dxa"/>
              <w:left w:w="115" w:type="dxa"/>
              <w:bottom w:w="58" w:type="dxa"/>
              <w:right w:w="115" w:type="dxa"/>
            </w:tcMar>
          </w:tcPr>
          <w:p w:rsidRPr="0053789E" w:rsidR="00231DFB" w:rsidP="006C5F22" w:rsidRDefault="00231DFB" w14:paraId="15D1A42F"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Burden </w:t>
            </w:r>
            <w:r>
              <w:rPr>
                <w:rFonts w:ascii="Arial" w:hAnsi="Arial" w:cs="Arial"/>
                <w:b/>
                <w:sz w:val="18"/>
                <w:szCs w:val="18"/>
              </w:rPr>
              <w:t>(hours)</w:t>
            </w:r>
          </w:p>
        </w:tc>
        <w:tc>
          <w:tcPr>
            <w:tcW w:w="1369" w:type="dxa"/>
            <w:tcMar>
              <w:top w:w="58" w:type="dxa"/>
              <w:left w:w="115" w:type="dxa"/>
              <w:bottom w:w="58" w:type="dxa"/>
              <w:right w:w="115" w:type="dxa"/>
            </w:tcMar>
          </w:tcPr>
          <w:p w:rsidRPr="0053789E" w:rsidR="00231DFB" w:rsidP="006C5F22" w:rsidRDefault="00231DFB" w14:paraId="26945865"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Labor Cost</w:t>
            </w:r>
          </w:p>
        </w:tc>
        <w:tc>
          <w:tcPr>
            <w:tcW w:w="1407" w:type="dxa"/>
            <w:tcMar>
              <w:top w:w="58" w:type="dxa"/>
              <w:left w:w="115" w:type="dxa"/>
              <w:bottom w:w="58" w:type="dxa"/>
              <w:right w:w="115" w:type="dxa"/>
            </w:tcMar>
          </w:tcPr>
          <w:p w:rsidRPr="0053789E" w:rsidR="00231DFB" w:rsidP="00DA1037" w:rsidRDefault="00231DFB" w14:paraId="240FF2CF"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Non-Labor </w:t>
            </w:r>
            <w:r w:rsidR="00DA1037">
              <w:rPr>
                <w:rFonts w:ascii="Arial" w:hAnsi="Arial" w:cs="Arial"/>
                <w:b/>
                <w:sz w:val="18"/>
                <w:szCs w:val="18"/>
              </w:rPr>
              <w:t>Cost</w:t>
            </w:r>
          </w:p>
        </w:tc>
        <w:tc>
          <w:tcPr>
            <w:tcW w:w="1333" w:type="dxa"/>
            <w:tcMar>
              <w:top w:w="58" w:type="dxa"/>
              <w:left w:w="115" w:type="dxa"/>
              <w:bottom w:w="58" w:type="dxa"/>
              <w:right w:w="115" w:type="dxa"/>
            </w:tcMar>
          </w:tcPr>
          <w:p w:rsidRPr="0053789E" w:rsidR="00231DFB" w:rsidP="000518FE" w:rsidRDefault="00231DFB" w14:paraId="12E2BA0E"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Total Cost</w:t>
            </w:r>
          </w:p>
        </w:tc>
        <w:tc>
          <w:tcPr>
            <w:tcW w:w="1178" w:type="dxa"/>
          </w:tcPr>
          <w:p w:rsidRPr="0053789E" w:rsidR="00231DFB" w:rsidP="000518FE" w:rsidRDefault="00231DFB" w14:paraId="1F08702C"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Responses</w:t>
            </w:r>
          </w:p>
        </w:tc>
        <w:tc>
          <w:tcPr>
            <w:tcW w:w="1256" w:type="dxa"/>
          </w:tcPr>
          <w:p w:rsidRPr="0053789E" w:rsidR="00231DFB" w:rsidP="00AA10D4" w:rsidRDefault="00231DFB" w14:paraId="21C40D98" w14:textId="77777777">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Burden/ Response</w:t>
            </w:r>
          </w:p>
        </w:tc>
        <w:tc>
          <w:tcPr>
            <w:tcW w:w="1256" w:type="dxa"/>
          </w:tcPr>
          <w:p w:rsidRPr="0053789E" w:rsidR="00231DFB" w:rsidP="00AA10D4" w:rsidRDefault="00231DFB" w14:paraId="794A503D" w14:textId="77777777">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Cost/ Response</w:t>
            </w:r>
          </w:p>
        </w:tc>
      </w:tr>
      <w:tr w:rsidR="005974B5" w:rsidTr="00A7385E" w14:paraId="6A9CD1FB" w14:textId="77777777">
        <w:trPr>
          <w:jc w:val="center"/>
        </w:trPr>
        <w:tc>
          <w:tcPr>
            <w:tcW w:w="1471" w:type="dxa"/>
            <w:tcMar>
              <w:top w:w="58" w:type="dxa"/>
              <w:left w:w="115" w:type="dxa"/>
              <w:bottom w:w="58" w:type="dxa"/>
              <w:right w:w="115" w:type="dxa"/>
            </w:tcMar>
          </w:tcPr>
          <w:p w:rsidRPr="0053789E" w:rsidR="005974B5" w:rsidP="005974B5" w:rsidRDefault="005974B5" w14:paraId="03DB260E" w14:textId="77777777">
            <w:pPr>
              <w:keepNext/>
              <w:keepLines/>
              <w:widowControl w:val="0"/>
              <w:tabs>
                <w:tab w:val="center" w:pos="4680"/>
              </w:tabs>
              <w:rPr>
                <w:rFonts w:ascii="Arial" w:hAnsi="Arial" w:cs="Arial"/>
                <w:sz w:val="18"/>
                <w:szCs w:val="18"/>
              </w:rPr>
            </w:pPr>
            <w:r w:rsidRPr="0053789E">
              <w:rPr>
                <w:rFonts w:ascii="Arial" w:hAnsi="Arial" w:cs="Arial"/>
                <w:sz w:val="18"/>
                <w:szCs w:val="18"/>
              </w:rPr>
              <w:t>Operators</w:t>
            </w:r>
          </w:p>
        </w:tc>
        <w:tc>
          <w:tcPr>
            <w:tcW w:w="1255" w:type="dxa"/>
            <w:tcMar>
              <w:top w:w="58" w:type="dxa"/>
              <w:left w:w="115" w:type="dxa"/>
              <w:bottom w:w="58" w:type="dxa"/>
              <w:right w:w="115" w:type="dxa"/>
            </w:tcMar>
            <w:vAlign w:val="bottom"/>
          </w:tcPr>
          <w:p w:rsidRPr="007B78A4" w:rsidR="005974B5" w:rsidP="005974B5" w:rsidRDefault="005974B5" w14:paraId="094F8B34" w14:textId="398D92BD">
            <w:pPr>
              <w:keepNext/>
              <w:keepLines/>
              <w:jc w:val="right"/>
              <w:rPr>
                <w:rFonts w:ascii="Arial" w:hAnsi="Arial" w:cs="Arial"/>
                <w:sz w:val="18"/>
                <w:szCs w:val="18"/>
              </w:rPr>
            </w:pPr>
            <w:r w:rsidRPr="005E1D19">
              <w:rPr>
                <w:rFonts w:ascii="Arial" w:hAnsi="Arial" w:cs="Arial"/>
                <w:sz w:val="18"/>
                <w:szCs w:val="18"/>
              </w:rPr>
              <w:t>1,073,400</w:t>
            </w:r>
          </w:p>
        </w:tc>
        <w:tc>
          <w:tcPr>
            <w:tcW w:w="1369" w:type="dxa"/>
            <w:tcMar>
              <w:top w:w="58" w:type="dxa"/>
              <w:left w:w="115" w:type="dxa"/>
              <w:bottom w:w="58" w:type="dxa"/>
              <w:right w:w="115" w:type="dxa"/>
            </w:tcMar>
            <w:vAlign w:val="bottom"/>
          </w:tcPr>
          <w:p w:rsidRPr="007B78A4" w:rsidR="005974B5" w:rsidP="005974B5" w:rsidRDefault="005974B5" w14:paraId="4B9C127F" w14:textId="35F3BC2D">
            <w:pPr>
              <w:keepNext/>
              <w:keepLines/>
              <w:jc w:val="right"/>
              <w:rPr>
                <w:rFonts w:ascii="Arial" w:hAnsi="Arial" w:cs="Arial"/>
                <w:sz w:val="18"/>
                <w:szCs w:val="18"/>
              </w:rPr>
            </w:pPr>
            <w:r w:rsidRPr="005E1D19">
              <w:rPr>
                <w:rFonts w:ascii="Arial" w:hAnsi="Arial" w:cs="Arial"/>
                <w:sz w:val="18"/>
                <w:szCs w:val="18"/>
              </w:rPr>
              <w:t xml:space="preserve">$56,894,584 </w:t>
            </w:r>
          </w:p>
        </w:tc>
        <w:tc>
          <w:tcPr>
            <w:tcW w:w="1407" w:type="dxa"/>
            <w:tcMar>
              <w:top w:w="58" w:type="dxa"/>
              <w:left w:w="115" w:type="dxa"/>
              <w:bottom w:w="58" w:type="dxa"/>
              <w:right w:w="115" w:type="dxa"/>
            </w:tcMar>
            <w:vAlign w:val="bottom"/>
          </w:tcPr>
          <w:p w:rsidRPr="007B78A4" w:rsidR="005974B5" w:rsidP="005974B5" w:rsidRDefault="005974B5" w14:paraId="3D7E6C5A" w14:textId="6B689D0E">
            <w:pPr>
              <w:keepNext/>
              <w:keepLines/>
              <w:jc w:val="right"/>
              <w:rPr>
                <w:rFonts w:ascii="Arial" w:hAnsi="Arial" w:cs="Arial"/>
                <w:sz w:val="18"/>
                <w:szCs w:val="18"/>
              </w:rPr>
            </w:pPr>
            <w:r w:rsidRPr="005E1D19">
              <w:rPr>
                <w:rFonts w:ascii="Arial" w:hAnsi="Arial" w:cs="Arial"/>
                <w:sz w:val="18"/>
                <w:szCs w:val="18"/>
              </w:rPr>
              <w:t xml:space="preserve">$109,321,614 </w:t>
            </w:r>
          </w:p>
        </w:tc>
        <w:tc>
          <w:tcPr>
            <w:tcW w:w="1333" w:type="dxa"/>
            <w:tcMar>
              <w:top w:w="58" w:type="dxa"/>
              <w:left w:w="115" w:type="dxa"/>
              <w:bottom w:w="58" w:type="dxa"/>
              <w:right w:w="115" w:type="dxa"/>
            </w:tcMar>
            <w:vAlign w:val="bottom"/>
          </w:tcPr>
          <w:p w:rsidRPr="007B78A4" w:rsidR="005974B5" w:rsidP="005974B5" w:rsidRDefault="005974B5" w14:paraId="360F86D9" w14:textId="60EEC749">
            <w:pPr>
              <w:keepNext/>
              <w:keepLines/>
              <w:jc w:val="right"/>
              <w:rPr>
                <w:rFonts w:ascii="Arial" w:hAnsi="Arial" w:cs="Arial"/>
                <w:sz w:val="18"/>
                <w:szCs w:val="18"/>
              </w:rPr>
            </w:pPr>
            <w:r w:rsidRPr="005E1D19">
              <w:rPr>
                <w:rFonts w:ascii="Arial" w:hAnsi="Arial" w:cs="Arial"/>
                <w:sz w:val="18"/>
                <w:szCs w:val="18"/>
              </w:rPr>
              <w:t xml:space="preserve">$166,216,198 </w:t>
            </w:r>
          </w:p>
        </w:tc>
        <w:tc>
          <w:tcPr>
            <w:tcW w:w="1178" w:type="dxa"/>
            <w:vAlign w:val="bottom"/>
          </w:tcPr>
          <w:p w:rsidRPr="007B78A4" w:rsidR="005974B5" w:rsidP="005974B5" w:rsidRDefault="005974B5" w14:paraId="0CB4F79F" w14:textId="5856D9A3">
            <w:pPr>
              <w:keepNext/>
              <w:keepLines/>
              <w:jc w:val="right"/>
              <w:rPr>
                <w:rFonts w:ascii="Arial" w:hAnsi="Arial" w:cs="Arial"/>
                <w:sz w:val="18"/>
                <w:szCs w:val="18"/>
              </w:rPr>
            </w:pPr>
            <w:r w:rsidRPr="005E1D19">
              <w:rPr>
                <w:rFonts w:ascii="Arial" w:hAnsi="Arial" w:cs="Arial"/>
                <w:sz w:val="18"/>
                <w:szCs w:val="18"/>
              </w:rPr>
              <w:t>418,055.8</w:t>
            </w:r>
          </w:p>
        </w:tc>
        <w:tc>
          <w:tcPr>
            <w:tcW w:w="1256" w:type="dxa"/>
            <w:vAlign w:val="bottom"/>
          </w:tcPr>
          <w:p w:rsidRPr="007B78A4" w:rsidR="005974B5" w:rsidP="005974B5" w:rsidRDefault="005974B5" w14:paraId="158C3880" w14:textId="613B7A3F">
            <w:pPr>
              <w:keepNext/>
              <w:keepLines/>
              <w:jc w:val="right"/>
              <w:rPr>
                <w:rFonts w:ascii="Arial" w:hAnsi="Arial" w:cs="Arial"/>
                <w:sz w:val="18"/>
                <w:szCs w:val="18"/>
              </w:rPr>
            </w:pPr>
            <w:r w:rsidRPr="005E1D19">
              <w:rPr>
                <w:rFonts w:ascii="Arial" w:hAnsi="Arial" w:cs="Arial"/>
                <w:sz w:val="18"/>
                <w:szCs w:val="18"/>
              </w:rPr>
              <w:t>2.57</w:t>
            </w:r>
          </w:p>
        </w:tc>
        <w:tc>
          <w:tcPr>
            <w:tcW w:w="1256" w:type="dxa"/>
            <w:vAlign w:val="bottom"/>
          </w:tcPr>
          <w:p w:rsidRPr="007B78A4" w:rsidR="005974B5" w:rsidP="005974B5" w:rsidRDefault="005974B5" w14:paraId="3F6040A5" w14:textId="0D1E4267">
            <w:pPr>
              <w:keepNext/>
              <w:keepLines/>
              <w:jc w:val="right"/>
              <w:rPr>
                <w:rFonts w:ascii="Arial" w:hAnsi="Arial" w:cs="Arial"/>
                <w:sz w:val="18"/>
                <w:szCs w:val="18"/>
              </w:rPr>
            </w:pPr>
            <w:r w:rsidRPr="005E1D19">
              <w:rPr>
                <w:rFonts w:ascii="Arial" w:hAnsi="Arial" w:cs="Arial"/>
                <w:sz w:val="18"/>
                <w:szCs w:val="18"/>
              </w:rPr>
              <w:t xml:space="preserve">$397.59 </w:t>
            </w:r>
          </w:p>
        </w:tc>
      </w:tr>
      <w:tr w:rsidR="005974B5" w:rsidTr="00A7385E" w14:paraId="756D51EB" w14:textId="77777777">
        <w:trPr>
          <w:jc w:val="center"/>
        </w:trPr>
        <w:tc>
          <w:tcPr>
            <w:tcW w:w="1471" w:type="dxa"/>
            <w:tcMar>
              <w:top w:w="58" w:type="dxa"/>
              <w:left w:w="115" w:type="dxa"/>
              <w:bottom w:w="58" w:type="dxa"/>
              <w:right w:w="115" w:type="dxa"/>
            </w:tcMar>
          </w:tcPr>
          <w:p w:rsidRPr="0053789E" w:rsidR="005974B5" w:rsidP="005974B5" w:rsidRDefault="005974B5" w14:paraId="1D30746F" w14:textId="77777777">
            <w:pPr>
              <w:keepNext/>
              <w:keepLines/>
              <w:widowControl w:val="0"/>
              <w:tabs>
                <w:tab w:val="center" w:pos="4680"/>
              </w:tabs>
              <w:rPr>
                <w:rFonts w:ascii="Arial" w:hAnsi="Arial" w:cs="Arial"/>
                <w:sz w:val="18"/>
                <w:szCs w:val="18"/>
              </w:rPr>
            </w:pPr>
            <w:r w:rsidRPr="0053789E">
              <w:rPr>
                <w:rFonts w:ascii="Arial" w:hAnsi="Arial" w:cs="Arial"/>
                <w:sz w:val="18"/>
                <w:szCs w:val="18"/>
              </w:rPr>
              <w:t>Primacy States</w:t>
            </w:r>
          </w:p>
        </w:tc>
        <w:tc>
          <w:tcPr>
            <w:tcW w:w="1255" w:type="dxa"/>
            <w:tcMar>
              <w:top w:w="58" w:type="dxa"/>
              <w:left w:w="115" w:type="dxa"/>
              <w:bottom w:w="58" w:type="dxa"/>
              <w:right w:w="115" w:type="dxa"/>
            </w:tcMar>
            <w:vAlign w:val="bottom"/>
          </w:tcPr>
          <w:p w:rsidRPr="007B78A4" w:rsidR="005974B5" w:rsidP="005974B5" w:rsidRDefault="005974B5" w14:paraId="66EF8F87" w14:textId="0393277F">
            <w:pPr>
              <w:keepNext/>
              <w:keepLines/>
              <w:jc w:val="right"/>
              <w:rPr>
                <w:rFonts w:ascii="Arial" w:hAnsi="Arial" w:cs="Arial"/>
                <w:sz w:val="18"/>
                <w:szCs w:val="18"/>
              </w:rPr>
            </w:pPr>
            <w:r w:rsidRPr="005E1D19">
              <w:rPr>
                <w:rFonts w:ascii="Arial" w:hAnsi="Arial" w:cs="Arial"/>
                <w:sz w:val="18"/>
                <w:szCs w:val="18"/>
              </w:rPr>
              <w:t>132,980</w:t>
            </w:r>
          </w:p>
        </w:tc>
        <w:tc>
          <w:tcPr>
            <w:tcW w:w="1369" w:type="dxa"/>
            <w:tcMar>
              <w:top w:w="58" w:type="dxa"/>
              <w:left w:w="115" w:type="dxa"/>
              <w:bottom w:w="58" w:type="dxa"/>
              <w:right w:w="115" w:type="dxa"/>
            </w:tcMar>
            <w:vAlign w:val="bottom"/>
          </w:tcPr>
          <w:p w:rsidRPr="007B78A4" w:rsidR="005974B5" w:rsidP="005974B5" w:rsidRDefault="005974B5" w14:paraId="0F6219A5" w14:textId="35FB8FA2">
            <w:pPr>
              <w:keepNext/>
              <w:keepLines/>
              <w:jc w:val="right"/>
              <w:rPr>
                <w:rFonts w:ascii="Arial" w:hAnsi="Arial" w:cs="Arial"/>
                <w:sz w:val="18"/>
                <w:szCs w:val="18"/>
              </w:rPr>
            </w:pPr>
            <w:r w:rsidRPr="005E1D19">
              <w:rPr>
                <w:rFonts w:ascii="Arial" w:hAnsi="Arial" w:cs="Arial"/>
                <w:sz w:val="18"/>
                <w:szCs w:val="18"/>
              </w:rPr>
              <w:t xml:space="preserve">$6,106,460 </w:t>
            </w:r>
          </w:p>
        </w:tc>
        <w:tc>
          <w:tcPr>
            <w:tcW w:w="1407" w:type="dxa"/>
            <w:tcMar>
              <w:top w:w="58" w:type="dxa"/>
              <w:left w:w="115" w:type="dxa"/>
              <w:bottom w:w="58" w:type="dxa"/>
              <w:right w:w="115" w:type="dxa"/>
            </w:tcMar>
            <w:vAlign w:val="bottom"/>
          </w:tcPr>
          <w:p w:rsidRPr="007B78A4" w:rsidR="005974B5" w:rsidP="005974B5" w:rsidRDefault="005974B5" w14:paraId="417E7C20" w14:textId="4307C6AD">
            <w:pPr>
              <w:keepNext/>
              <w:keepLines/>
              <w:jc w:val="right"/>
              <w:rPr>
                <w:rFonts w:ascii="Arial" w:hAnsi="Arial" w:cs="Arial"/>
                <w:sz w:val="18"/>
                <w:szCs w:val="18"/>
              </w:rPr>
            </w:pPr>
            <w:r w:rsidRPr="005E1D19">
              <w:rPr>
                <w:rFonts w:ascii="Arial" w:hAnsi="Arial" w:cs="Arial"/>
                <w:sz w:val="18"/>
                <w:szCs w:val="18"/>
              </w:rPr>
              <w:t xml:space="preserve">$0 </w:t>
            </w:r>
          </w:p>
        </w:tc>
        <w:tc>
          <w:tcPr>
            <w:tcW w:w="1333" w:type="dxa"/>
            <w:tcMar>
              <w:top w:w="58" w:type="dxa"/>
              <w:left w:w="115" w:type="dxa"/>
              <w:bottom w:w="58" w:type="dxa"/>
              <w:right w:w="115" w:type="dxa"/>
            </w:tcMar>
            <w:vAlign w:val="bottom"/>
          </w:tcPr>
          <w:p w:rsidRPr="007B78A4" w:rsidR="005974B5" w:rsidP="005974B5" w:rsidRDefault="005974B5" w14:paraId="2C6C9F68" w14:textId="51B8B7CF">
            <w:pPr>
              <w:keepNext/>
              <w:keepLines/>
              <w:jc w:val="right"/>
              <w:rPr>
                <w:rFonts w:ascii="Arial" w:hAnsi="Arial" w:cs="Arial"/>
                <w:sz w:val="18"/>
                <w:szCs w:val="18"/>
              </w:rPr>
            </w:pPr>
            <w:r w:rsidRPr="005E1D19">
              <w:rPr>
                <w:rFonts w:ascii="Arial" w:hAnsi="Arial" w:cs="Arial"/>
                <w:sz w:val="18"/>
                <w:szCs w:val="18"/>
              </w:rPr>
              <w:t xml:space="preserve">$6,106,460 </w:t>
            </w:r>
          </w:p>
        </w:tc>
        <w:tc>
          <w:tcPr>
            <w:tcW w:w="1178" w:type="dxa"/>
            <w:vAlign w:val="bottom"/>
          </w:tcPr>
          <w:p w:rsidRPr="007B78A4" w:rsidR="005974B5" w:rsidP="005974B5" w:rsidRDefault="005974B5" w14:paraId="5E2C3311" w14:textId="0E29EF98">
            <w:pPr>
              <w:keepNext/>
              <w:keepLines/>
              <w:jc w:val="right"/>
              <w:rPr>
                <w:rFonts w:ascii="Arial" w:hAnsi="Arial" w:cs="Arial"/>
                <w:sz w:val="18"/>
                <w:szCs w:val="18"/>
              </w:rPr>
            </w:pPr>
            <w:r w:rsidRPr="005E1D19">
              <w:rPr>
                <w:rFonts w:ascii="Arial" w:hAnsi="Arial" w:cs="Arial"/>
                <w:sz w:val="18"/>
                <w:szCs w:val="18"/>
              </w:rPr>
              <w:t>92,357.6</w:t>
            </w:r>
          </w:p>
        </w:tc>
        <w:tc>
          <w:tcPr>
            <w:tcW w:w="1256" w:type="dxa"/>
            <w:vAlign w:val="bottom"/>
          </w:tcPr>
          <w:p w:rsidRPr="007B78A4" w:rsidR="005974B5" w:rsidP="005974B5" w:rsidRDefault="005974B5" w14:paraId="60B00EA8" w14:textId="21A30A89">
            <w:pPr>
              <w:keepNext/>
              <w:keepLines/>
              <w:jc w:val="right"/>
              <w:rPr>
                <w:rFonts w:ascii="Arial" w:hAnsi="Arial" w:cs="Arial"/>
                <w:sz w:val="18"/>
                <w:szCs w:val="18"/>
              </w:rPr>
            </w:pPr>
            <w:r w:rsidRPr="005E1D19">
              <w:rPr>
                <w:rFonts w:ascii="Arial" w:hAnsi="Arial" w:cs="Arial"/>
                <w:sz w:val="18"/>
                <w:szCs w:val="18"/>
              </w:rPr>
              <w:t>1.44</w:t>
            </w:r>
          </w:p>
        </w:tc>
        <w:tc>
          <w:tcPr>
            <w:tcW w:w="1256" w:type="dxa"/>
            <w:vAlign w:val="bottom"/>
          </w:tcPr>
          <w:p w:rsidRPr="007B78A4" w:rsidR="005974B5" w:rsidP="005974B5" w:rsidRDefault="005974B5" w14:paraId="5D2F2A0E" w14:textId="245AB406">
            <w:pPr>
              <w:keepNext/>
              <w:keepLines/>
              <w:jc w:val="right"/>
              <w:rPr>
                <w:rFonts w:ascii="Arial" w:hAnsi="Arial" w:cs="Arial"/>
                <w:sz w:val="18"/>
                <w:szCs w:val="18"/>
              </w:rPr>
            </w:pPr>
            <w:r w:rsidRPr="005E1D19">
              <w:rPr>
                <w:rFonts w:ascii="Arial" w:hAnsi="Arial" w:cs="Arial"/>
                <w:sz w:val="18"/>
                <w:szCs w:val="18"/>
              </w:rPr>
              <w:t xml:space="preserve">$66.12 </w:t>
            </w:r>
          </w:p>
        </w:tc>
      </w:tr>
      <w:tr w:rsidR="005974B5" w:rsidTr="00A7385E" w14:paraId="5C9DB05D" w14:textId="77777777">
        <w:trPr>
          <w:jc w:val="center"/>
        </w:trPr>
        <w:tc>
          <w:tcPr>
            <w:tcW w:w="1471" w:type="dxa"/>
            <w:tcMar>
              <w:top w:w="58" w:type="dxa"/>
              <w:left w:w="115" w:type="dxa"/>
              <w:bottom w:w="58" w:type="dxa"/>
              <w:right w:w="115" w:type="dxa"/>
            </w:tcMar>
          </w:tcPr>
          <w:p w:rsidRPr="0053789E" w:rsidR="005974B5" w:rsidP="005974B5" w:rsidRDefault="005974B5" w14:paraId="7DECA7B8" w14:textId="77777777">
            <w:pPr>
              <w:keepNext/>
              <w:keepLines/>
              <w:widowControl w:val="0"/>
              <w:tabs>
                <w:tab w:val="center" w:pos="4680"/>
              </w:tabs>
              <w:rPr>
                <w:rFonts w:ascii="Arial" w:hAnsi="Arial" w:cs="Arial"/>
                <w:sz w:val="18"/>
                <w:szCs w:val="18"/>
              </w:rPr>
            </w:pPr>
            <w:r w:rsidRPr="0053789E">
              <w:rPr>
                <w:rFonts w:ascii="Arial" w:hAnsi="Arial" w:cs="Arial"/>
                <w:sz w:val="18"/>
                <w:szCs w:val="18"/>
              </w:rPr>
              <w:t>DI Programs</w:t>
            </w:r>
          </w:p>
        </w:tc>
        <w:tc>
          <w:tcPr>
            <w:tcW w:w="1255" w:type="dxa"/>
            <w:tcMar>
              <w:top w:w="58" w:type="dxa"/>
              <w:left w:w="115" w:type="dxa"/>
              <w:bottom w:w="58" w:type="dxa"/>
              <w:right w:w="115" w:type="dxa"/>
            </w:tcMar>
            <w:vAlign w:val="bottom"/>
          </w:tcPr>
          <w:p w:rsidRPr="007B78A4" w:rsidR="005974B5" w:rsidP="005974B5" w:rsidRDefault="005974B5" w14:paraId="7AEB27B7" w14:textId="446BCABC">
            <w:pPr>
              <w:keepNext/>
              <w:keepLines/>
              <w:jc w:val="right"/>
              <w:rPr>
                <w:rFonts w:ascii="Arial" w:hAnsi="Arial" w:cs="Arial"/>
                <w:sz w:val="18"/>
                <w:szCs w:val="18"/>
              </w:rPr>
            </w:pPr>
            <w:r w:rsidRPr="005E1D19">
              <w:rPr>
                <w:rFonts w:ascii="Arial" w:hAnsi="Arial" w:cs="Arial"/>
                <w:sz w:val="18"/>
                <w:szCs w:val="18"/>
              </w:rPr>
              <w:t>5,938</w:t>
            </w:r>
          </w:p>
        </w:tc>
        <w:tc>
          <w:tcPr>
            <w:tcW w:w="1369" w:type="dxa"/>
            <w:tcMar>
              <w:top w:w="58" w:type="dxa"/>
              <w:left w:w="115" w:type="dxa"/>
              <w:bottom w:w="58" w:type="dxa"/>
              <w:right w:w="115" w:type="dxa"/>
            </w:tcMar>
            <w:vAlign w:val="bottom"/>
          </w:tcPr>
          <w:p w:rsidRPr="007B78A4" w:rsidR="005974B5" w:rsidP="005974B5" w:rsidRDefault="005974B5" w14:paraId="2A5F8AA6" w14:textId="12339D4E">
            <w:pPr>
              <w:keepNext/>
              <w:keepLines/>
              <w:jc w:val="right"/>
              <w:rPr>
                <w:rFonts w:ascii="Arial" w:hAnsi="Arial" w:cs="Arial"/>
                <w:sz w:val="18"/>
                <w:szCs w:val="18"/>
              </w:rPr>
            </w:pPr>
            <w:r w:rsidRPr="005E1D19">
              <w:rPr>
                <w:rFonts w:ascii="Arial" w:hAnsi="Arial" w:cs="Arial"/>
                <w:sz w:val="18"/>
                <w:szCs w:val="18"/>
              </w:rPr>
              <w:t xml:space="preserve">$272,682 </w:t>
            </w:r>
          </w:p>
        </w:tc>
        <w:tc>
          <w:tcPr>
            <w:tcW w:w="1407" w:type="dxa"/>
            <w:tcMar>
              <w:top w:w="58" w:type="dxa"/>
              <w:left w:w="115" w:type="dxa"/>
              <w:bottom w:w="58" w:type="dxa"/>
              <w:right w:w="115" w:type="dxa"/>
            </w:tcMar>
            <w:vAlign w:val="bottom"/>
          </w:tcPr>
          <w:p w:rsidRPr="007B78A4" w:rsidR="005974B5" w:rsidP="005974B5" w:rsidRDefault="005974B5" w14:paraId="2E56BCD3" w14:textId="1A90B495">
            <w:pPr>
              <w:keepNext/>
              <w:keepLines/>
              <w:jc w:val="right"/>
              <w:rPr>
                <w:rFonts w:ascii="Arial" w:hAnsi="Arial" w:cs="Arial"/>
                <w:sz w:val="18"/>
                <w:szCs w:val="18"/>
              </w:rPr>
            </w:pPr>
            <w:r w:rsidRPr="005E1D19">
              <w:rPr>
                <w:rFonts w:ascii="Arial" w:hAnsi="Arial" w:cs="Arial"/>
                <w:sz w:val="18"/>
                <w:szCs w:val="18"/>
              </w:rPr>
              <w:t xml:space="preserve">$0 </w:t>
            </w:r>
          </w:p>
        </w:tc>
        <w:tc>
          <w:tcPr>
            <w:tcW w:w="1333" w:type="dxa"/>
            <w:tcMar>
              <w:top w:w="58" w:type="dxa"/>
              <w:left w:w="115" w:type="dxa"/>
              <w:bottom w:w="58" w:type="dxa"/>
              <w:right w:w="115" w:type="dxa"/>
            </w:tcMar>
            <w:vAlign w:val="bottom"/>
          </w:tcPr>
          <w:p w:rsidRPr="007B78A4" w:rsidR="005974B5" w:rsidP="005974B5" w:rsidRDefault="005974B5" w14:paraId="5096BF2C" w14:textId="271B22F7">
            <w:pPr>
              <w:keepNext/>
              <w:keepLines/>
              <w:jc w:val="right"/>
              <w:rPr>
                <w:rFonts w:ascii="Arial" w:hAnsi="Arial" w:cs="Arial"/>
                <w:sz w:val="18"/>
                <w:szCs w:val="18"/>
              </w:rPr>
            </w:pPr>
            <w:r w:rsidRPr="005E1D19">
              <w:rPr>
                <w:rFonts w:ascii="Arial" w:hAnsi="Arial" w:cs="Arial"/>
                <w:sz w:val="18"/>
                <w:szCs w:val="18"/>
              </w:rPr>
              <w:t xml:space="preserve">$272,682 </w:t>
            </w:r>
          </w:p>
        </w:tc>
        <w:tc>
          <w:tcPr>
            <w:tcW w:w="1178" w:type="dxa"/>
            <w:vAlign w:val="bottom"/>
          </w:tcPr>
          <w:p w:rsidRPr="007B78A4" w:rsidR="005974B5" w:rsidP="005974B5" w:rsidRDefault="005974B5" w14:paraId="4230D0A1" w14:textId="7998DA32">
            <w:pPr>
              <w:keepNext/>
              <w:keepLines/>
              <w:jc w:val="right"/>
              <w:rPr>
                <w:rFonts w:ascii="Arial" w:hAnsi="Arial" w:cs="Arial"/>
                <w:sz w:val="18"/>
                <w:szCs w:val="18"/>
              </w:rPr>
            </w:pPr>
            <w:r w:rsidRPr="005E1D19">
              <w:rPr>
                <w:rFonts w:ascii="Arial" w:hAnsi="Arial" w:cs="Arial"/>
                <w:sz w:val="18"/>
                <w:szCs w:val="18"/>
              </w:rPr>
              <w:t>5,111.9</w:t>
            </w:r>
          </w:p>
        </w:tc>
        <w:tc>
          <w:tcPr>
            <w:tcW w:w="1256" w:type="dxa"/>
            <w:vAlign w:val="bottom"/>
          </w:tcPr>
          <w:p w:rsidRPr="007B78A4" w:rsidR="005974B5" w:rsidP="005974B5" w:rsidRDefault="005974B5" w14:paraId="65C07B90" w14:textId="73DF9BC6">
            <w:pPr>
              <w:keepNext/>
              <w:keepLines/>
              <w:jc w:val="right"/>
              <w:rPr>
                <w:rFonts w:ascii="Arial" w:hAnsi="Arial" w:cs="Arial"/>
                <w:sz w:val="18"/>
                <w:szCs w:val="18"/>
              </w:rPr>
            </w:pPr>
            <w:r w:rsidRPr="005E1D19">
              <w:rPr>
                <w:rFonts w:ascii="Arial" w:hAnsi="Arial" w:cs="Arial"/>
                <w:sz w:val="18"/>
                <w:szCs w:val="18"/>
              </w:rPr>
              <w:t>1.16</w:t>
            </w:r>
          </w:p>
        </w:tc>
        <w:tc>
          <w:tcPr>
            <w:tcW w:w="1256" w:type="dxa"/>
            <w:vAlign w:val="bottom"/>
          </w:tcPr>
          <w:p w:rsidRPr="007B78A4" w:rsidR="005974B5" w:rsidP="005974B5" w:rsidRDefault="005974B5" w14:paraId="245143AB" w14:textId="009F0132">
            <w:pPr>
              <w:keepNext/>
              <w:keepLines/>
              <w:jc w:val="right"/>
              <w:rPr>
                <w:rFonts w:ascii="Arial" w:hAnsi="Arial" w:cs="Arial"/>
                <w:sz w:val="18"/>
                <w:szCs w:val="18"/>
              </w:rPr>
            </w:pPr>
            <w:r w:rsidRPr="005E1D19">
              <w:rPr>
                <w:rFonts w:ascii="Arial" w:hAnsi="Arial" w:cs="Arial"/>
                <w:sz w:val="18"/>
                <w:szCs w:val="18"/>
              </w:rPr>
              <w:t xml:space="preserve">$53.34 </w:t>
            </w:r>
          </w:p>
        </w:tc>
      </w:tr>
      <w:tr w:rsidR="005974B5" w:rsidTr="00A7385E" w14:paraId="0261CDED" w14:textId="77777777">
        <w:trPr>
          <w:jc w:val="center"/>
        </w:trPr>
        <w:tc>
          <w:tcPr>
            <w:tcW w:w="1471" w:type="dxa"/>
            <w:tcBorders>
              <w:bottom w:val="single" w:color="auto" w:sz="4" w:space="0"/>
            </w:tcBorders>
            <w:tcMar>
              <w:top w:w="58" w:type="dxa"/>
              <w:left w:w="115" w:type="dxa"/>
              <w:bottom w:w="58" w:type="dxa"/>
              <w:right w:w="115" w:type="dxa"/>
            </w:tcMar>
          </w:tcPr>
          <w:p w:rsidRPr="0053789E" w:rsidR="005974B5" w:rsidP="005974B5" w:rsidRDefault="005974B5" w14:paraId="2883D74C" w14:textId="77777777">
            <w:pPr>
              <w:keepNext/>
              <w:keepLines/>
              <w:widowControl w:val="0"/>
              <w:tabs>
                <w:tab w:val="center" w:pos="4680"/>
              </w:tabs>
              <w:rPr>
                <w:rFonts w:ascii="Arial" w:hAnsi="Arial" w:cs="Arial"/>
                <w:b/>
                <w:sz w:val="18"/>
                <w:szCs w:val="18"/>
              </w:rPr>
            </w:pPr>
            <w:r w:rsidRPr="0053789E">
              <w:rPr>
                <w:rFonts w:ascii="Arial" w:hAnsi="Arial" w:cs="Arial"/>
                <w:b/>
                <w:sz w:val="18"/>
                <w:szCs w:val="18"/>
              </w:rPr>
              <w:t>TOTAL</w:t>
            </w:r>
          </w:p>
        </w:tc>
        <w:tc>
          <w:tcPr>
            <w:tcW w:w="1255" w:type="dxa"/>
            <w:tcBorders>
              <w:bottom w:val="single" w:color="auto" w:sz="4" w:space="0"/>
            </w:tcBorders>
            <w:tcMar>
              <w:top w:w="58" w:type="dxa"/>
              <w:left w:w="115" w:type="dxa"/>
              <w:bottom w:w="58" w:type="dxa"/>
              <w:right w:w="115" w:type="dxa"/>
            </w:tcMar>
            <w:vAlign w:val="bottom"/>
          </w:tcPr>
          <w:p w:rsidRPr="007B78A4" w:rsidR="005974B5" w:rsidP="005974B5" w:rsidRDefault="005974B5" w14:paraId="64E74D95" w14:textId="0D4AFE4D">
            <w:pPr>
              <w:keepNext/>
              <w:keepLines/>
              <w:jc w:val="right"/>
              <w:rPr>
                <w:rFonts w:ascii="Arial" w:hAnsi="Arial" w:cs="Arial"/>
                <w:b/>
                <w:bCs/>
                <w:sz w:val="18"/>
                <w:szCs w:val="18"/>
              </w:rPr>
            </w:pPr>
            <w:r w:rsidRPr="005E1D19">
              <w:rPr>
                <w:rFonts w:ascii="Arial" w:hAnsi="Arial" w:cs="Arial"/>
                <w:b/>
                <w:bCs/>
                <w:sz w:val="18"/>
                <w:szCs w:val="18"/>
              </w:rPr>
              <w:t>1,212,319</w:t>
            </w:r>
          </w:p>
        </w:tc>
        <w:tc>
          <w:tcPr>
            <w:tcW w:w="1369" w:type="dxa"/>
            <w:tcBorders>
              <w:bottom w:val="single" w:color="auto" w:sz="4" w:space="0"/>
            </w:tcBorders>
            <w:tcMar>
              <w:top w:w="58" w:type="dxa"/>
              <w:left w:w="115" w:type="dxa"/>
              <w:bottom w:w="58" w:type="dxa"/>
              <w:right w:w="115" w:type="dxa"/>
            </w:tcMar>
            <w:vAlign w:val="bottom"/>
          </w:tcPr>
          <w:p w:rsidRPr="007B78A4" w:rsidR="005974B5" w:rsidP="005974B5" w:rsidRDefault="005974B5" w14:paraId="18983834" w14:textId="5DB1C9CE">
            <w:pPr>
              <w:keepNext/>
              <w:keepLines/>
              <w:jc w:val="right"/>
              <w:rPr>
                <w:rFonts w:ascii="Arial" w:hAnsi="Arial" w:cs="Arial"/>
                <w:b/>
                <w:bCs/>
                <w:sz w:val="18"/>
                <w:szCs w:val="18"/>
              </w:rPr>
            </w:pPr>
            <w:r w:rsidRPr="005E1D19">
              <w:rPr>
                <w:rFonts w:ascii="Arial" w:hAnsi="Arial" w:cs="Arial"/>
                <w:b/>
                <w:bCs/>
                <w:sz w:val="18"/>
                <w:szCs w:val="18"/>
              </w:rPr>
              <w:t xml:space="preserve">$63,273,726 </w:t>
            </w:r>
          </w:p>
        </w:tc>
        <w:tc>
          <w:tcPr>
            <w:tcW w:w="1407" w:type="dxa"/>
            <w:tcBorders>
              <w:bottom w:val="single" w:color="auto" w:sz="4" w:space="0"/>
            </w:tcBorders>
            <w:tcMar>
              <w:top w:w="58" w:type="dxa"/>
              <w:left w:w="115" w:type="dxa"/>
              <w:bottom w:w="58" w:type="dxa"/>
              <w:right w:w="115" w:type="dxa"/>
            </w:tcMar>
            <w:vAlign w:val="bottom"/>
          </w:tcPr>
          <w:p w:rsidRPr="007B78A4" w:rsidR="005974B5" w:rsidP="005974B5" w:rsidRDefault="005974B5" w14:paraId="22B0EC06" w14:textId="45452E9E">
            <w:pPr>
              <w:keepNext/>
              <w:keepLines/>
              <w:jc w:val="right"/>
              <w:rPr>
                <w:rFonts w:ascii="Arial" w:hAnsi="Arial" w:cs="Arial"/>
                <w:b/>
                <w:bCs/>
                <w:sz w:val="18"/>
                <w:szCs w:val="18"/>
              </w:rPr>
            </w:pPr>
            <w:r w:rsidRPr="005E1D19">
              <w:rPr>
                <w:rFonts w:ascii="Arial" w:hAnsi="Arial" w:cs="Arial"/>
                <w:b/>
                <w:bCs/>
                <w:sz w:val="18"/>
                <w:szCs w:val="18"/>
              </w:rPr>
              <w:t xml:space="preserve">$109,321,614 </w:t>
            </w:r>
          </w:p>
        </w:tc>
        <w:tc>
          <w:tcPr>
            <w:tcW w:w="1333" w:type="dxa"/>
            <w:tcBorders>
              <w:bottom w:val="single" w:color="auto" w:sz="4" w:space="0"/>
            </w:tcBorders>
            <w:tcMar>
              <w:top w:w="58" w:type="dxa"/>
              <w:left w:w="115" w:type="dxa"/>
              <w:bottom w:w="58" w:type="dxa"/>
              <w:right w:w="115" w:type="dxa"/>
            </w:tcMar>
            <w:vAlign w:val="bottom"/>
          </w:tcPr>
          <w:p w:rsidRPr="007B78A4" w:rsidR="005974B5" w:rsidP="005974B5" w:rsidRDefault="005974B5" w14:paraId="785B6071" w14:textId="2A13F133">
            <w:pPr>
              <w:keepNext/>
              <w:keepLines/>
              <w:jc w:val="right"/>
              <w:rPr>
                <w:rFonts w:ascii="Arial" w:hAnsi="Arial" w:cs="Arial"/>
                <w:b/>
                <w:bCs/>
                <w:sz w:val="18"/>
                <w:szCs w:val="18"/>
              </w:rPr>
            </w:pPr>
            <w:r w:rsidRPr="005E1D19">
              <w:rPr>
                <w:rFonts w:ascii="Arial" w:hAnsi="Arial" w:cs="Arial"/>
                <w:b/>
                <w:bCs/>
                <w:sz w:val="18"/>
                <w:szCs w:val="18"/>
              </w:rPr>
              <w:t xml:space="preserve">$172,595,339 </w:t>
            </w:r>
          </w:p>
        </w:tc>
        <w:tc>
          <w:tcPr>
            <w:tcW w:w="1178" w:type="dxa"/>
            <w:tcBorders>
              <w:bottom w:val="single" w:color="auto" w:sz="4" w:space="0"/>
            </w:tcBorders>
            <w:vAlign w:val="bottom"/>
          </w:tcPr>
          <w:p w:rsidRPr="007B78A4" w:rsidR="005974B5" w:rsidP="005974B5" w:rsidRDefault="005974B5" w14:paraId="648FCD14" w14:textId="097A9901">
            <w:pPr>
              <w:keepNext/>
              <w:keepLines/>
              <w:jc w:val="right"/>
              <w:rPr>
                <w:rFonts w:ascii="Arial" w:hAnsi="Arial" w:cs="Arial"/>
                <w:b/>
                <w:bCs/>
                <w:sz w:val="18"/>
                <w:szCs w:val="18"/>
              </w:rPr>
            </w:pPr>
            <w:r w:rsidRPr="005E1D19">
              <w:rPr>
                <w:rFonts w:ascii="Arial" w:hAnsi="Arial" w:cs="Arial"/>
                <w:b/>
                <w:bCs/>
                <w:sz w:val="18"/>
                <w:szCs w:val="18"/>
              </w:rPr>
              <w:t>515,525.3</w:t>
            </w:r>
          </w:p>
        </w:tc>
        <w:tc>
          <w:tcPr>
            <w:tcW w:w="1256" w:type="dxa"/>
            <w:tcBorders>
              <w:bottom w:val="single" w:color="auto" w:sz="4" w:space="0"/>
            </w:tcBorders>
            <w:vAlign w:val="bottom"/>
          </w:tcPr>
          <w:p w:rsidRPr="007B78A4" w:rsidR="005974B5" w:rsidP="005974B5" w:rsidRDefault="005974B5" w14:paraId="7BBB662F" w14:textId="705C55C3">
            <w:pPr>
              <w:keepNext/>
              <w:keepLines/>
              <w:jc w:val="right"/>
              <w:rPr>
                <w:rFonts w:ascii="Arial" w:hAnsi="Arial" w:cs="Arial"/>
                <w:b/>
                <w:bCs/>
                <w:sz w:val="18"/>
                <w:szCs w:val="18"/>
              </w:rPr>
            </w:pPr>
            <w:r w:rsidRPr="005E1D19">
              <w:rPr>
                <w:rFonts w:ascii="Arial" w:hAnsi="Arial" w:cs="Arial"/>
                <w:b/>
                <w:bCs/>
                <w:sz w:val="18"/>
                <w:szCs w:val="18"/>
              </w:rPr>
              <w:t>2.35</w:t>
            </w:r>
          </w:p>
        </w:tc>
        <w:tc>
          <w:tcPr>
            <w:tcW w:w="1256" w:type="dxa"/>
            <w:tcBorders>
              <w:bottom w:val="single" w:color="auto" w:sz="4" w:space="0"/>
            </w:tcBorders>
            <w:vAlign w:val="bottom"/>
          </w:tcPr>
          <w:p w:rsidRPr="007B78A4" w:rsidR="005974B5" w:rsidP="005974B5" w:rsidRDefault="005974B5" w14:paraId="5F4C04D2" w14:textId="07CB1B68">
            <w:pPr>
              <w:keepNext/>
              <w:keepLines/>
              <w:jc w:val="right"/>
              <w:rPr>
                <w:rFonts w:ascii="Arial" w:hAnsi="Arial" w:cs="Arial"/>
                <w:b/>
                <w:bCs/>
                <w:sz w:val="18"/>
                <w:szCs w:val="18"/>
              </w:rPr>
            </w:pPr>
            <w:r w:rsidRPr="005E1D19">
              <w:rPr>
                <w:rFonts w:ascii="Arial" w:hAnsi="Arial" w:cs="Arial"/>
                <w:b/>
                <w:bCs/>
                <w:sz w:val="18"/>
                <w:szCs w:val="18"/>
              </w:rPr>
              <w:t xml:space="preserve">$334.80 </w:t>
            </w:r>
          </w:p>
        </w:tc>
      </w:tr>
      <w:tr w:rsidR="005974B5" w:rsidTr="00A7385E" w14:paraId="75138E55" w14:textId="77777777">
        <w:trPr>
          <w:jc w:val="center"/>
        </w:trPr>
        <w:tc>
          <w:tcPr>
            <w:tcW w:w="10525" w:type="dxa"/>
            <w:gridSpan w:val="8"/>
            <w:tcBorders>
              <w:left w:val="nil"/>
              <w:bottom w:val="nil"/>
              <w:right w:val="nil"/>
            </w:tcBorders>
            <w:tcMar>
              <w:top w:w="58" w:type="dxa"/>
              <w:left w:w="115" w:type="dxa"/>
              <w:bottom w:w="58" w:type="dxa"/>
              <w:right w:w="115" w:type="dxa"/>
            </w:tcMar>
          </w:tcPr>
          <w:p w:rsidR="005974B5" w:rsidP="005974B5" w:rsidRDefault="005974B5" w14:paraId="7D25A435" w14:textId="77777777">
            <w:pPr>
              <w:keepNext/>
              <w:keepLines/>
              <w:rPr>
                <w:rFonts w:ascii="Arial" w:hAnsi="Arial" w:cs="Arial"/>
                <w:bCs/>
                <w:sz w:val="18"/>
                <w:szCs w:val="18"/>
              </w:rPr>
            </w:pPr>
            <w:r w:rsidRPr="00B15016">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due to rounding.</w:t>
            </w:r>
          </w:p>
          <w:p w:rsidRPr="00646F2D" w:rsidR="005974B5" w:rsidP="005974B5" w:rsidRDefault="005974B5" w14:paraId="28197E6B" w14:textId="77777777">
            <w:pPr>
              <w:keepNext/>
              <w:keepLines/>
              <w:rPr>
                <w:rFonts w:ascii="Arial" w:hAnsi="Arial" w:cs="Arial"/>
                <w:b/>
                <w:bCs/>
                <w:sz w:val="18"/>
                <w:szCs w:val="18"/>
              </w:rPr>
            </w:pPr>
          </w:p>
        </w:tc>
      </w:tr>
    </w:tbl>
    <w:p w:rsidR="00231DFB" w:rsidP="00231DFB" w:rsidRDefault="00231DFB" w14:paraId="0A484D51" w14:textId="77777777">
      <w:pPr>
        <w:keepNext/>
        <w:keepLines/>
        <w:widowControl w:val="0"/>
        <w:tabs>
          <w:tab w:val="center" w:pos="4680"/>
        </w:tabs>
      </w:pPr>
    </w:p>
    <w:p w:rsidR="00C25838" w:rsidP="00596D7D" w:rsidRDefault="00C25838" w14:paraId="12CAC869" w14:textId="77777777">
      <w:pPr>
        <w:keepNext/>
        <w:keepLines/>
        <w:widowControl w:val="0"/>
        <w:rPr>
          <w:b/>
          <w:sz w:val="24"/>
          <w:szCs w:val="24"/>
        </w:rPr>
      </w:pPr>
      <w:r>
        <w:tab/>
      </w:r>
      <w:r w:rsidRPr="00292D0E">
        <w:rPr>
          <w:i/>
          <w:sz w:val="24"/>
          <w:szCs w:val="24"/>
        </w:rPr>
        <w:t>Class III Well Operators</w:t>
      </w:r>
    </w:p>
    <w:p w:rsidR="00C25838" w:rsidP="00596D7D" w:rsidRDefault="00C25838" w14:paraId="08772F87" w14:textId="77777777">
      <w:pPr>
        <w:keepNext/>
        <w:keepLines/>
        <w:rPr>
          <w:sz w:val="24"/>
          <w:szCs w:val="24"/>
        </w:rPr>
      </w:pPr>
    </w:p>
    <w:p w:rsidR="00C25838" w:rsidP="00596D7D" w:rsidRDefault="00C25838" w14:paraId="5F66F72D" w14:textId="2DFB67DC">
      <w:pPr>
        <w:keepNext/>
        <w:keepLines/>
        <w:widowControl w:val="0"/>
        <w:rPr>
          <w:sz w:val="24"/>
          <w:szCs w:val="24"/>
        </w:rPr>
      </w:pPr>
      <w:r>
        <w:rPr>
          <w:sz w:val="24"/>
          <w:szCs w:val="24"/>
        </w:rPr>
        <w:tab/>
        <w:t xml:space="preserve">The estimated total annual </w:t>
      </w:r>
      <w:r w:rsidRPr="00DD521C">
        <w:rPr>
          <w:sz w:val="24"/>
          <w:szCs w:val="24"/>
        </w:rPr>
        <w:t xml:space="preserve">burden on the </w:t>
      </w:r>
      <w:r w:rsidR="005974B5">
        <w:rPr>
          <w:sz w:val="24"/>
          <w:szCs w:val="24"/>
        </w:rPr>
        <w:t>300</w:t>
      </w:r>
      <w:r w:rsidRPr="00DD521C">
        <w:rPr>
          <w:sz w:val="24"/>
          <w:szCs w:val="24"/>
        </w:rPr>
        <w:t xml:space="preserve"> operators</w:t>
      </w:r>
      <w:r>
        <w:rPr>
          <w:sz w:val="24"/>
          <w:szCs w:val="24"/>
        </w:rPr>
        <w:t xml:space="preserve"> of Class III facilities is </w:t>
      </w:r>
      <w:r w:rsidRPr="006158CC" w:rsidR="006158CC">
        <w:rPr>
          <w:sz w:val="24"/>
          <w:szCs w:val="24"/>
        </w:rPr>
        <w:t>101,513</w:t>
      </w:r>
      <w:r w:rsidR="005D07C4">
        <w:rPr>
          <w:sz w:val="24"/>
          <w:szCs w:val="24"/>
        </w:rPr>
        <w:t xml:space="preserve"> </w:t>
      </w:r>
      <w:r>
        <w:rPr>
          <w:sz w:val="24"/>
          <w:szCs w:val="24"/>
        </w:rPr>
        <w:t>hours</w:t>
      </w:r>
      <w:r w:rsidR="00F84502">
        <w:rPr>
          <w:sz w:val="24"/>
          <w:szCs w:val="24"/>
        </w:rPr>
        <w:t xml:space="preserve">. </w:t>
      </w:r>
      <w:r>
        <w:rPr>
          <w:sz w:val="24"/>
          <w:szCs w:val="24"/>
        </w:rPr>
        <w:t>See Exhibit 6-1C</w:t>
      </w:r>
      <w:r w:rsidR="00F84502">
        <w:rPr>
          <w:sz w:val="24"/>
          <w:szCs w:val="24"/>
        </w:rPr>
        <w:t xml:space="preserve">. </w:t>
      </w:r>
      <w:r>
        <w:rPr>
          <w:sz w:val="24"/>
          <w:szCs w:val="24"/>
        </w:rPr>
        <w:t xml:space="preserve">Operators of these wells associated with mining operations incur burden associated with permit applications and completion reports, monitoring, reporting and recordkeeping, and closure-related paperwork. </w:t>
      </w:r>
    </w:p>
    <w:p w:rsidR="000A57AF" w:rsidP="00596D7D" w:rsidRDefault="000A57AF" w14:paraId="0C256ED7" w14:textId="77777777">
      <w:pPr>
        <w:keepNext/>
        <w:keepLines/>
        <w:widowControl w:val="0"/>
        <w:rPr>
          <w:sz w:val="24"/>
          <w:szCs w:val="24"/>
        </w:rPr>
      </w:pPr>
    </w:p>
    <w:p w:rsidRPr="00CB18A2" w:rsidR="00231DFB" w:rsidP="00CB18A2" w:rsidRDefault="00C25838" w14:paraId="1319DA64" w14:textId="77777777">
      <w:pPr>
        <w:widowControl w:val="0"/>
        <w:rPr>
          <w:sz w:val="24"/>
          <w:szCs w:val="24"/>
        </w:rPr>
      </w:pPr>
      <w:r>
        <w:rPr>
          <w:sz w:val="24"/>
          <w:szCs w:val="24"/>
        </w:rPr>
        <w:tab/>
        <w:t xml:space="preserve">Appendix A (particularly Table A-3) </w:t>
      </w:r>
      <w:r w:rsidR="000047B1">
        <w:rPr>
          <w:sz w:val="24"/>
          <w:szCs w:val="24"/>
        </w:rPr>
        <w:t xml:space="preserve">presents </w:t>
      </w:r>
      <w:r>
        <w:rPr>
          <w:sz w:val="24"/>
          <w:szCs w:val="24"/>
        </w:rPr>
        <w:t>details on the assumptions used to calculate the owner/operator burden and cost associated with the requirements for Class III wells.</w:t>
      </w:r>
    </w:p>
    <w:p w:rsidR="00231DFB" w:rsidP="00231DFB" w:rsidRDefault="00231DFB" w14:paraId="61DBEF37" w14:textId="77777777">
      <w:pPr>
        <w:keepNext/>
        <w:keepLines/>
        <w:widowControl w:val="0"/>
        <w:tabs>
          <w:tab w:val="center" w:pos="4680"/>
        </w:tabs>
        <w:rPr>
          <w:b/>
        </w:rPr>
      </w:pPr>
    </w:p>
    <w:tbl>
      <w:tblPr>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71"/>
        <w:gridCol w:w="1255"/>
        <w:gridCol w:w="1256"/>
        <w:gridCol w:w="1255"/>
        <w:gridCol w:w="1256"/>
        <w:gridCol w:w="1255"/>
        <w:gridCol w:w="1256"/>
        <w:gridCol w:w="1256"/>
      </w:tblGrid>
      <w:tr w:rsidR="00231DFB" w:rsidTr="005974B5" w14:paraId="0FE820EE" w14:textId="77777777">
        <w:trPr>
          <w:jc w:val="center"/>
        </w:trPr>
        <w:tc>
          <w:tcPr>
            <w:tcW w:w="10260" w:type="dxa"/>
            <w:gridSpan w:val="8"/>
            <w:tcMar>
              <w:top w:w="58" w:type="dxa"/>
              <w:left w:w="115" w:type="dxa"/>
              <w:bottom w:w="58" w:type="dxa"/>
              <w:right w:w="115" w:type="dxa"/>
            </w:tcMar>
            <w:vAlign w:val="center"/>
          </w:tcPr>
          <w:p w:rsidR="00231DFB" w:rsidP="00B1430F" w:rsidRDefault="00231DFB" w14:paraId="4D74F65C" w14:textId="77777777">
            <w:pPr>
              <w:keepNext/>
              <w:keepLines/>
              <w:widowControl w:val="0"/>
              <w:tabs>
                <w:tab w:val="center" w:pos="4680"/>
              </w:tabs>
              <w:jc w:val="center"/>
              <w:rPr>
                <w:rFonts w:ascii="Arial" w:hAnsi="Arial" w:cs="Arial"/>
                <w:b/>
              </w:rPr>
            </w:pPr>
            <w:r w:rsidRPr="00BF636F">
              <w:rPr>
                <w:rFonts w:ascii="Arial" w:hAnsi="Arial" w:cs="Arial"/>
                <w:b/>
              </w:rPr>
              <w:t>Exhibit 6-1C</w:t>
            </w:r>
          </w:p>
          <w:p w:rsidR="00231DFB" w:rsidP="00B1430F" w:rsidRDefault="00231DFB" w14:paraId="1B1BF80C" w14:textId="77777777">
            <w:pPr>
              <w:keepNext/>
              <w:keepLines/>
              <w:widowControl w:val="0"/>
              <w:tabs>
                <w:tab w:val="center" w:pos="4680"/>
              </w:tabs>
              <w:jc w:val="center"/>
              <w:rPr>
                <w:rFonts w:ascii="Arial" w:hAnsi="Arial" w:cs="Arial"/>
                <w:b/>
              </w:rPr>
            </w:pPr>
            <w:r>
              <w:rPr>
                <w:rFonts w:ascii="Arial" w:hAnsi="Arial" w:cs="Arial"/>
                <w:b/>
              </w:rPr>
              <w:t>Annual Burden and Cost Associated with Class III Wells</w:t>
            </w:r>
          </w:p>
          <w:p w:rsidRPr="0053789E" w:rsidR="00231DFB" w:rsidP="009C5A2B" w:rsidRDefault="00926C92" w14:paraId="1B07A8EC" w14:textId="20CC3ABD">
            <w:pPr>
              <w:keepNext/>
              <w:keepLines/>
              <w:widowControl w:val="0"/>
              <w:tabs>
                <w:tab w:val="center" w:pos="4680"/>
              </w:tabs>
              <w:jc w:val="center"/>
              <w:rPr>
                <w:rFonts w:ascii="Arial" w:hAnsi="Arial" w:cs="Arial"/>
                <w:b/>
                <w:sz w:val="18"/>
                <w:szCs w:val="18"/>
              </w:rPr>
            </w:pPr>
            <w:r>
              <w:rPr>
                <w:rFonts w:ascii="Arial" w:hAnsi="Arial" w:cs="Arial"/>
                <w:b/>
              </w:rPr>
              <w:t>2022-2024</w:t>
            </w:r>
          </w:p>
        </w:tc>
      </w:tr>
      <w:tr w:rsidR="00231DFB" w:rsidTr="005974B5" w14:paraId="35F84937" w14:textId="77777777">
        <w:trPr>
          <w:jc w:val="center"/>
        </w:trPr>
        <w:tc>
          <w:tcPr>
            <w:tcW w:w="1471" w:type="dxa"/>
            <w:tcMar>
              <w:top w:w="58" w:type="dxa"/>
              <w:left w:w="115" w:type="dxa"/>
              <w:bottom w:w="58" w:type="dxa"/>
              <w:right w:w="115" w:type="dxa"/>
            </w:tcMar>
          </w:tcPr>
          <w:p w:rsidRPr="0053789E" w:rsidR="00231DFB" w:rsidP="00B1430F" w:rsidRDefault="00231DFB" w14:paraId="574410F8"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Respondent Type</w:t>
            </w:r>
          </w:p>
        </w:tc>
        <w:tc>
          <w:tcPr>
            <w:tcW w:w="1255" w:type="dxa"/>
            <w:tcMar>
              <w:top w:w="58" w:type="dxa"/>
              <w:left w:w="115" w:type="dxa"/>
              <w:bottom w:w="58" w:type="dxa"/>
              <w:right w:w="115" w:type="dxa"/>
            </w:tcMar>
          </w:tcPr>
          <w:p w:rsidRPr="0053789E" w:rsidR="00231DFB" w:rsidP="00B1430F" w:rsidRDefault="00231DFB" w14:paraId="694BD102"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Burden </w:t>
            </w:r>
            <w:r>
              <w:rPr>
                <w:rFonts w:ascii="Arial" w:hAnsi="Arial" w:cs="Arial"/>
                <w:b/>
                <w:sz w:val="18"/>
                <w:szCs w:val="18"/>
              </w:rPr>
              <w:t>(hours)</w:t>
            </w:r>
          </w:p>
        </w:tc>
        <w:tc>
          <w:tcPr>
            <w:tcW w:w="1256" w:type="dxa"/>
            <w:tcMar>
              <w:top w:w="58" w:type="dxa"/>
              <w:left w:w="115" w:type="dxa"/>
              <w:bottom w:w="58" w:type="dxa"/>
              <w:right w:w="115" w:type="dxa"/>
            </w:tcMar>
          </w:tcPr>
          <w:p w:rsidRPr="0053789E" w:rsidR="00231DFB" w:rsidP="00B1430F" w:rsidRDefault="00231DFB" w14:paraId="1C9E2E8B"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Labor Cost</w:t>
            </w:r>
          </w:p>
        </w:tc>
        <w:tc>
          <w:tcPr>
            <w:tcW w:w="1255" w:type="dxa"/>
            <w:tcMar>
              <w:top w:w="58" w:type="dxa"/>
              <w:left w:w="115" w:type="dxa"/>
              <w:bottom w:w="58" w:type="dxa"/>
              <w:right w:w="115" w:type="dxa"/>
            </w:tcMar>
          </w:tcPr>
          <w:p w:rsidRPr="0053789E" w:rsidR="00231DFB" w:rsidP="00DA1037" w:rsidRDefault="00231DFB" w14:paraId="7B6C44C9"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Non-Labor</w:t>
            </w:r>
            <w:r w:rsidR="00DA1037">
              <w:rPr>
                <w:rFonts w:ascii="Arial" w:hAnsi="Arial" w:cs="Arial"/>
                <w:b/>
                <w:sz w:val="18"/>
                <w:szCs w:val="18"/>
              </w:rPr>
              <w:t xml:space="preserve"> Cost</w:t>
            </w:r>
            <w:r w:rsidRPr="0053789E">
              <w:rPr>
                <w:rFonts w:ascii="Arial" w:hAnsi="Arial" w:cs="Arial"/>
                <w:b/>
                <w:sz w:val="18"/>
                <w:szCs w:val="18"/>
              </w:rPr>
              <w:t xml:space="preserve"> </w:t>
            </w:r>
          </w:p>
        </w:tc>
        <w:tc>
          <w:tcPr>
            <w:tcW w:w="1256" w:type="dxa"/>
            <w:tcMar>
              <w:top w:w="58" w:type="dxa"/>
              <w:left w:w="115" w:type="dxa"/>
              <w:bottom w:w="58" w:type="dxa"/>
              <w:right w:w="115" w:type="dxa"/>
            </w:tcMar>
          </w:tcPr>
          <w:p w:rsidRPr="0053789E" w:rsidR="00231DFB" w:rsidP="00B1430F" w:rsidRDefault="00231DFB" w14:paraId="0397DF5D"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Total Cost</w:t>
            </w:r>
          </w:p>
        </w:tc>
        <w:tc>
          <w:tcPr>
            <w:tcW w:w="1255" w:type="dxa"/>
          </w:tcPr>
          <w:p w:rsidRPr="0053789E" w:rsidR="00231DFB" w:rsidP="00B1430F" w:rsidRDefault="00231DFB" w14:paraId="7460AE80"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Responses</w:t>
            </w:r>
          </w:p>
        </w:tc>
        <w:tc>
          <w:tcPr>
            <w:tcW w:w="1256" w:type="dxa"/>
          </w:tcPr>
          <w:p w:rsidRPr="0053789E" w:rsidR="00231DFB" w:rsidP="00B1430F" w:rsidRDefault="00231DFB" w14:paraId="3C135BC9" w14:textId="77777777">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Burden/ Response</w:t>
            </w:r>
          </w:p>
        </w:tc>
        <w:tc>
          <w:tcPr>
            <w:tcW w:w="1256" w:type="dxa"/>
          </w:tcPr>
          <w:p w:rsidRPr="0053789E" w:rsidR="00231DFB" w:rsidP="00B1430F" w:rsidRDefault="00231DFB" w14:paraId="4DB50E74" w14:textId="77777777">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Cost/ Response</w:t>
            </w:r>
          </w:p>
        </w:tc>
      </w:tr>
      <w:tr w:rsidR="005974B5" w:rsidTr="005974B5" w14:paraId="7A9FF09C" w14:textId="77777777">
        <w:trPr>
          <w:jc w:val="center"/>
        </w:trPr>
        <w:tc>
          <w:tcPr>
            <w:tcW w:w="1471" w:type="dxa"/>
            <w:tcMar>
              <w:top w:w="58" w:type="dxa"/>
              <w:left w:w="115" w:type="dxa"/>
              <w:bottom w:w="58" w:type="dxa"/>
              <w:right w:w="115" w:type="dxa"/>
            </w:tcMar>
          </w:tcPr>
          <w:p w:rsidRPr="0053789E" w:rsidR="005974B5" w:rsidP="005974B5" w:rsidRDefault="005974B5" w14:paraId="111D8AFD" w14:textId="77777777">
            <w:pPr>
              <w:keepNext/>
              <w:keepLines/>
              <w:widowControl w:val="0"/>
              <w:tabs>
                <w:tab w:val="center" w:pos="4680"/>
              </w:tabs>
              <w:rPr>
                <w:rFonts w:ascii="Arial" w:hAnsi="Arial" w:cs="Arial"/>
                <w:sz w:val="18"/>
                <w:szCs w:val="18"/>
              </w:rPr>
            </w:pPr>
            <w:r w:rsidRPr="0053789E">
              <w:rPr>
                <w:rFonts w:ascii="Arial" w:hAnsi="Arial" w:cs="Arial"/>
                <w:sz w:val="18"/>
                <w:szCs w:val="18"/>
              </w:rPr>
              <w:t>Operators</w:t>
            </w:r>
          </w:p>
        </w:tc>
        <w:tc>
          <w:tcPr>
            <w:tcW w:w="1255" w:type="dxa"/>
            <w:tcMar>
              <w:top w:w="58" w:type="dxa"/>
              <w:left w:w="115" w:type="dxa"/>
              <w:bottom w:w="58" w:type="dxa"/>
              <w:right w:w="115" w:type="dxa"/>
            </w:tcMar>
            <w:vAlign w:val="bottom"/>
          </w:tcPr>
          <w:p w:rsidRPr="007B78A4" w:rsidR="005974B5" w:rsidP="005974B5" w:rsidRDefault="005974B5" w14:paraId="3569D4BE" w14:textId="0B5DE961">
            <w:pPr>
              <w:jc w:val="right"/>
              <w:rPr>
                <w:rFonts w:ascii="Arial" w:hAnsi="Arial" w:cs="Arial"/>
                <w:sz w:val="18"/>
                <w:szCs w:val="18"/>
              </w:rPr>
            </w:pPr>
            <w:bookmarkStart w:name="_Hlk86313668" w:id="75"/>
            <w:r w:rsidRPr="005E1D19">
              <w:rPr>
                <w:rFonts w:ascii="Arial" w:hAnsi="Arial" w:cs="Arial"/>
                <w:sz w:val="18"/>
                <w:szCs w:val="18"/>
              </w:rPr>
              <w:t>101,513</w:t>
            </w:r>
            <w:bookmarkEnd w:id="75"/>
          </w:p>
        </w:tc>
        <w:tc>
          <w:tcPr>
            <w:tcW w:w="1256" w:type="dxa"/>
            <w:tcMar>
              <w:top w:w="58" w:type="dxa"/>
              <w:left w:w="115" w:type="dxa"/>
              <w:bottom w:w="58" w:type="dxa"/>
              <w:right w:w="115" w:type="dxa"/>
            </w:tcMar>
            <w:vAlign w:val="bottom"/>
          </w:tcPr>
          <w:p w:rsidRPr="007B78A4" w:rsidR="005974B5" w:rsidP="005974B5" w:rsidRDefault="005974B5" w14:paraId="381345C8" w14:textId="16688A28">
            <w:pPr>
              <w:jc w:val="right"/>
              <w:rPr>
                <w:rFonts w:ascii="Arial" w:hAnsi="Arial" w:cs="Arial"/>
                <w:sz w:val="18"/>
                <w:szCs w:val="18"/>
              </w:rPr>
            </w:pPr>
            <w:r w:rsidRPr="005E1D19">
              <w:rPr>
                <w:rFonts w:ascii="Arial" w:hAnsi="Arial" w:cs="Arial"/>
                <w:sz w:val="18"/>
                <w:szCs w:val="18"/>
              </w:rPr>
              <w:t xml:space="preserve">$4,995,581 </w:t>
            </w:r>
          </w:p>
        </w:tc>
        <w:tc>
          <w:tcPr>
            <w:tcW w:w="1255" w:type="dxa"/>
            <w:tcMar>
              <w:top w:w="58" w:type="dxa"/>
              <w:left w:w="115" w:type="dxa"/>
              <w:bottom w:w="58" w:type="dxa"/>
              <w:right w:w="115" w:type="dxa"/>
            </w:tcMar>
            <w:vAlign w:val="bottom"/>
          </w:tcPr>
          <w:p w:rsidRPr="007B78A4" w:rsidR="005974B5" w:rsidP="005974B5" w:rsidRDefault="005974B5" w14:paraId="5668CB71" w14:textId="75CF44A7">
            <w:pPr>
              <w:jc w:val="right"/>
              <w:rPr>
                <w:rFonts w:ascii="Arial" w:hAnsi="Arial" w:cs="Arial"/>
                <w:sz w:val="18"/>
                <w:szCs w:val="18"/>
              </w:rPr>
            </w:pPr>
            <w:r w:rsidRPr="005E1D19">
              <w:rPr>
                <w:rFonts w:ascii="Arial" w:hAnsi="Arial" w:cs="Arial"/>
                <w:sz w:val="18"/>
                <w:szCs w:val="18"/>
              </w:rPr>
              <w:t xml:space="preserve">$5,279,655 </w:t>
            </w:r>
          </w:p>
        </w:tc>
        <w:tc>
          <w:tcPr>
            <w:tcW w:w="1256" w:type="dxa"/>
            <w:tcMar>
              <w:top w:w="58" w:type="dxa"/>
              <w:left w:w="115" w:type="dxa"/>
              <w:bottom w:w="58" w:type="dxa"/>
              <w:right w:w="115" w:type="dxa"/>
            </w:tcMar>
            <w:vAlign w:val="bottom"/>
          </w:tcPr>
          <w:p w:rsidRPr="007B78A4" w:rsidR="005974B5" w:rsidP="005974B5" w:rsidRDefault="005974B5" w14:paraId="0D519A53" w14:textId="59B0FE59">
            <w:pPr>
              <w:jc w:val="right"/>
              <w:rPr>
                <w:rFonts w:ascii="Arial" w:hAnsi="Arial" w:cs="Arial"/>
                <w:sz w:val="18"/>
                <w:szCs w:val="18"/>
              </w:rPr>
            </w:pPr>
            <w:r w:rsidRPr="005E1D19">
              <w:rPr>
                <w:rFonts w:ascii="Arial" w:hAnsi="Arial" w:cs="Arial"/>
                <w:sz w:val="18"/>
                <w:szCs w:val="18"/>
              </w:rPr>
              <w:t xml:space="preserve">$10,275,236 </w:t>
            </w:r>
          </w:p>
        </w:tc>
        <w:tc>
          <w:tcPr>
            <w:tcW w:w="1255" w:type="dxa"/>
            <w:vAlign w:val="bottom"/>
          </w:tcPr>
          <w:p w:rsidRPr="007B78A4" w:rsidR="005974B5" w:rsidP="005974B5" w:rsidRDefault="005974B5" w14:paraId="0E9A27B0" w14:textId="743C393A">
            <w:pPr>
              <w:jc w:val="right"/>
              <w:rPr>
                <w:rFonts w:ascii="Arial" w:hAnsi="Arial" w:cs="Arial"/>
                <w:sz w:val="18"/>
                <w:szCs w:val="18"/>
              </w:rPr>
            </w:pPr>
            <w:r w:rsidRPr="005E1D19">
              <w:rPr>
                <w:rFonts w:ascii="Arial" w:hAnsi="Arial" w:cs="Arial"/>
                <w:sz w:val="18"/>
                <w:szCs w:val="18"/>
              </w:rPr>
              <w:t>10,562.0</w:t>
            </w:r>
          </w:p>
        </w:tc>
        <w:tc>
          <w:tcPr>
            <w:tcW w:w="1256" w:type="dxa"/>
            <w:vAlign w:val="bottom"/>
          </w:tcPr>
          <w:p w:rsidRPr="007B78A4" w:rsidR="005974B5" w:rsidP="005974B5" w:rsidRDefault="005974B5" w14:paraId="4AF153FE" w14:textId="674F4332">
            <w:pPr>
              <w:jc w:val="right"/>
              <w:rPr>
                <w:rFonts w:ascii="Arial" w:hAnsi="Arial" w:cs="Arial"/>
                <w:sz w:val="18"/>
                <w:szCs w:val="18"/>
              </w:rPr>
            </w:pPr>
            <w:r w:rsidRPr="005E1D19">
              <w:rPr>
                <w:rFonts w:ascii="Arial" w:hAnsi="Arial" w:cs="Arial"/>
                <w:sz w:val="18"/>
                <w:szCs w:val="18"/>
              </w:rPr>
              <w:t>9.61</w:t>
            </w:r>
          </w:p>
        </w:tc>
        <w:tc>
          <w:tcPr>
            <w:tcW w:w="1256" w:type="dxa"/>
            <w:vAlign w:val="bottom"/>
          </w:tcPr>
          <w:p w:rsidRPr="007B78A4" w:rsidR="005974B5" w:rsidP="005974B5" w:rsidRDefault="005974B5" w14:paraId="273014F0" w14:textId="1986393F">
            <w:pPr>
              <w:jc w:val="right"/>
              <w:rPr>
                <w:rFonts w:ascii="Arial" w:hAnsi="Arial" w:cs="Arial"/>
                <w:sz w:val="18"/>
                <w:szCs w:val="18"/>
              </w:rPr>
            </w:pPr>
            <w:r w:rsidRPr="005E1D19">
              <w:rPr>
                <w:rFonts w:ascii="Arial" w:hAnsi="Arial" w:cs="Arial"/>
                <w:sz w:val="18"/>
                <w:szCs w:val="18"/>
              </w:rPr>
              <w:t xml:space="preserve">$972.85 </w:t>
            </w:r>
          </w:p>
        </w:tc>
      </w:tr>
      <w:tr w:rsidR="005974B5" w:rsidTr="005974B5" w14:paraId="430B921F" w14:textId="77777777">
        <w:trPr>
          <w:jc w:val="center"/>
        </w:trPr>
        <w:tc>
          <w:tcPr>
            <w:tcW w:w="1471" w:type="dxa"/>
            <w:tcMar>
              <w:top w:w="58" w:type="dxa"/>
              <w:left w:w="115" w:type="dxa"/>
              <w:bottom w:w="58" w:type="dxa"/>
              <w:right w:w="115" w:type="dxa"/>
            </w:tcMar>
          </w:tcPr>
          <w:p w:rsidRPr="0053789E" w:rsidR="005974B5" w:rsidP="005974B5" w:rsidRDefault="005974B5" w14:paraId="64DE7E11" w14:textId="77777777">
            <w:pPr>
              <w:keepNext/>
              <w:keepLines/>
              <w:widowControl w:val="0"/>
              <w:tabs>
                <w:tab w:val="center" w:pos="4680"/>
              </w:tabs>
              <w:rPr>
                <w:rFonts w:ascii="Arial" w:hAnsi="Arial" w:cs="Arial"/>
                <w:sz w:val="18"/>
                <w:szCs w:val="18"/>
              </w:rPr>
            </w:pPr>
            <w:r w:rsidRPr="0053789E">
              <w:rPr>
                <w:rFonts w:ascii="Arial" w:hAnsi="Arial" w:cs="Arial"/>
                <w:sz w:val="18"/>
                <w:szCs w:val="18"/>
              </w:rPr>
              <w:t>Primacy States</w:t>
            </w:r>
          </w:p>
        </w:tc>
        <w:tc>
          <w:tcPr>
            <w:tcW w:w="1255" w:type="dxa"/>
            <w:tcMar>
              <w:top w:w="58" w:type="dxa"/>
              <w:left w:w="115" w:type="dxa"/>
              <w:bottom w:w="58" w:type="dxa"/>
              <w:right w:w="115" w:type="dxa"/>
            </w:tcMar>
            <w:vAlign w:val="bottom"/>
          </w:tcPr>
          <w:p w:rsidRPr="007B78A4" w:rsidR="005974B5" w:rsidP="005974B5" w:rsidRDefault="005974B5" w14:paraId="46973382" w14:textId="68960CAF">
            <w:pPr>
              <w:jc w:val="right"/>
              <w:rPr>
                <w:rFonts w:ascii="Arial" w:hAnsi="Arial" w:cs="Arial"/>
                <w:sz w:val="18"/>
                <w:szCs w:val="18"/>
              </w:rPr>
            </w:pPr>
            <w:r w:rsidRPr="005E1D19">
              <w:rPr>
                <w:rFonts w:ascii="Arial" w:hAnsi="Arial" w:cs="Arial"/>
                <w:sz w:val="18"/>
                <w:szCs w:val="18"/>
              </w:rPr>
              <w:t>4,483</w:t>
            </w:r>
          </w:p>
        </w:tc>
        <w:tc>
          <w:tcPr>
            <w:tcW w:w="1256" w:type="dxa"/>
            <w:tcMar>
              <w:top w:w="58" w:type="dxa"/>
              <w:left w:w="115" w:type="dxa"/>
              <w:bottom w:w="58" w:type="dxa"/>
              <w:right w:w="115" w:type="dxa"/>
            </w:tcMar>
            <w:vAlign w:val="bottom"/>
          </w:tcPr>
          <w:p w:rsidRPr="007B78A4" w:rsidR="005974B5" w:rsidP="005974B5" w:rsidRDefault="005974B5" w14:paraId="319FDA32" w14:textId="1F7853EA">
            <w:pPr>
              <w:jc w:val="right"/>
              <w:rPr>
                <w:rFonts w:ascii="Arial" w:hAnsi="Arial" w:cs="Arial"/>
                <w:sz w:val="18"/>
                <w:szCs w:val="18"/>
              </w:rPr>
            </w:pPr>
            <w:r w:rsidRPr="005E1D19">
              <w:rPr>
                <w:rFonts w:ascii="Arial" w:hAnsi="Arial" w:cs="Arial"/>
                <w:sz w:val="18"/>
                <w:szCs w:val="18"/>
              </w:rPr>
              <w:t xml:space="preserve">$205,865 </w:t>
            </w:r>
          </w:p>
        </w:tc>
        <w:tc>
          <w:tcPr>
            <w:tcW w:w="1255" w:type="dxa"/>
            <w:tcMar>
              <w:top w:w="58" w:type="dxa"/>
              <w:left w:w="115" w:type="dxa"/>
              <w:bottom w:w="58" w:type="dxa"/>
              <w:right w:w="115" w:type="dxa"/>
            </w:tcMar>
            <w:vAlign w:val="bottom"/>
          </w:tcPr>
          <w:p w:rsidRPr="007B78A4" w:rsidR="005974B5" w:rsidP="005974B5" w:rsidRDefault="005974B5" w14:paraId="5C826D14" w14:textId="0A37E6E3">
            <w:pPr>
              <w:jc w:val="right"/>
              <w:rPr>
                <w:rFonts w:ascii="Arial" w:hAnsi="Arial" w:cs="Arial"/>
                <w:sz w:val="18"/>
                <w:szCs w:val="18"/>
              </w:rPr>
            </w:pPr>
            <w:r w:rsidRPr="005E1D19">
              <w:rPr>
                <w:rFonts w:ascii="Arial" w:hAnsi="Arial" w:cs="Arial"/>
                <w:sz w:val="18"/>
                <w:szCs w:val="18"/>
              </w:rPr>
              <w:t xml:space="preserve">$0 </w:t>
            </w:r>
          </w:p>
        </w:tc>
        <w:tc>
          <w:tcPr>
            <w:tcW w:w="1256" w:type="dxa"/>
            <w:tcMar>
              <w:top w:w="58" w:type="dxa"/>
              <w:left w:w="115" w:type="dxa"/>
              <w:bottom w:w="58" w:type="dxa"/>
              <w:right w:w="115" w:type="dxa"/>
            </w:tcMar>
            <w:vAlign w:val="bottom"/>
          </w:tcPr>
          <w:p w:rsidRPr="007B78A4" w:rsidR="005974B5" w:rsidP="005974B5" w:rsidRDefault="005974B5" w14:paraId="129F8BF5" w14:textId="4EC2E332">
            <w:pPr>
              <w:jc w:val="right"/>
              <w:rPr>
                <w:rFonts w:ascii="Arial" w:hAnsi="Arial" w:cs="Arial"/>
                <w:sz w:val="18"/>
                <w:szCs w:val="18"/>
              </w:rPr>
            </w:pPr>
            <w:r w:rsidRPr="005E1D19">
              <w:rPr>
                <w:rFonts w:ascii="Arial" w:hAnsi="Arial" w:cs="Arial"/>
                <w:sz w:val="18"/>
                <w:szCs w:val="18"/>
              </w:rPr>
              <w:t xml:space="preserve">$205,865 </w:t>
            </w:r>
          </w:p>
        </w:tc>
        <w:tc>
          <w:tcPr>
            <w:tcW w:w="1255" w:type="dxa"/>
            <w:vAlign w:val="bottom"/>
          </w:tcPr>
          <w:p w:rsidRPr="007B78A4" w:rsidR="005974B5" w:rsidP="005974B5" w:rsidRDefault="005974B5" w14:paraId="0DC8FADE" w14:textId="0EBFACA6">
            <w:pPr>
              <w:jc w:val="right"/>
              <w:rPr>
                <w:rFonts w:ascii="Arial" w:hAnsi="Arial" w:cs="Arial"/>
                <w:sz w:val="18"/>
                <w:szCs w:val="18"/>
              </w:rPr>
            </w:pPr>
            <w:r w:rsidRPr="005E1D19">
              <w:rPr>
                <w:rFonts w:ascii="Arial" w:hAnsi="Arial" w:cs="Arial"/>
                <w:sz w:val="18"/>
                <w:szCs w:val="18"/>
              </w:rPr>
              <w:t>1,571.5</w:t>
            </w:r>
          </w:p>
        </w:tc>
        <w:tc>
          <w:tcPr>
            <w:tcW w:w="1256" w:type="dxa"/>
            <w:vAlign w:val="bottom"/>
          </w:tcPr>
          <w:p w:rsidRPr="007B78A4" w:rsidR="005974B5" w:rsidP="005974B5" w:rsidRDefault="005974B5" w14:paraId="724CC759" w14:textId="74A4AE44">
            <w:pPr>
              <w:jc w:val="right"/>
              <w:rPr>
                <w:rFonts w:ascii="Arial" w:hAnsi="Arial" w:cs="Arial"/>
                <w:sz w:val="18"/>
                <w:szCs w:val="18"/>
              </w:rPr>
            </w:pPr>
            <w:r w:rsidRPr="005E1D19">
              <w:rPr>
                <w:rFonts w:ascii="Arial" w:hAnsi="Arial" w:cs="Arial"/>
                <w:sz w:val="18"/>
                <w:szCs w:val="18"/>
              </w:rPr>
              <w:t>2.85</w:t>
            </w:r>
          </w:p>
        </w:tc>
        <w:tc>
          <w:tcPr>
            <w:tcW w:w="1256" w:type="dxa"/>
            <w:vAlign w:val="bottom"/>
          </w:tcPr>
          <w:p w:rsidRPr="007B78A4" w:rsidR="005974B5" w:rsidP="005974B5" w:rsidRDefault="005974B5" w14:paraId="0688A416" w14:textId="5FD7C018">
            <w:pPr>
              <w:jc w:val="right"/>
              <w:rPr>
                <w:rFonts w:ascii="Arial" w:hAnsi="Arial" w:cs="Arial"/>
                <w:sz w:val="18"/>
                <w:szCs w:val="18"/>
              </w:rPr>
            </w:pPr>
            <w:r w:rsidRPr="005E1D19">
              <w:rPr>
                <w:rFonts w:ascii="Arial" w:hAnsi="Arial" w:cs="Arial"/>
                <w:sz w:val="18"/>
                <w:szCs w:val="18"/>
              </w:rPr>
              <w:t xml:space="preserve">$131.00 </w:t>
            </w:r>
          </w:p>
        </w:tc>
      </w:tr>
      <w:tr w:rsidR="005974B5" w:rsidTr="005974B5" w14:paraId="6D0835B6" w14:textId="77777777">
        <w:trPr>
          <w:jc w:val="center"/>
        </w:trPr>
        <w:tc>
          <w:tcPr>
            <w:tcW w:w="1471" w:type="dxa"/>
            <w:tcMar>
              <w:top w:w="58" w:type="dxa"/>
              <w:left w:w="115" w:type="dxa"/>
              <w:bottom w:w="58" w:type="dxa"/>
              <w:right w:w="115" w:type="dxa"/>
            </w:tcMar>
          </w:tcPr>
          <w:p w:rsidRPr="0053789E" w:rsidR="005974B5" w:rsidP="005974B5" w:rsidRDefault="005974B5" w14:paraId="2DF17698" w14:textId="77777777">
            <w:pPr>
              <w:keepNext/>
              <w:keepLines/>
              <w:widowControl w:val="0"/>
              <w:tabs>
                <w:tab w:val="center" w:pos="4680"/>
              </w:tabs>
              <w:rPr>
                <w:rFonts w:ascii="Arial" w:hAnsi="Arial" w:cs="Arial"/>
                <w:sz w:val="18"/>
                <w:szCs w:val="18"/>
              </w:rPr>
            </w:pPr>
            <w:r w:rsidRPr="0053789E">
              <w:rPr>
                <w:rFonts w:ascii="Arial" w:hAnsi="Arial" w:cs="Arial"/>
                <w:sz w:val="18"/>
                <w:szCs w:val="18"/>
              </w:rPr>
              <w:t>DI Programs</w:t>
            </w:r>
          </w:p>
        </w:tc>
        <w:tc>
          <w:tcPr>
            <w:tcW w:w="1255" w:type="dxa"/>
            <w:tcMar>
              <w:top w:w="58" w:type="dxa"/>
              <w:left w:w="115" w:type="dxa"/>
              <w:bottom w:w="58" w:type="dxa"/>
              <w:right w:w="115" w:type="dxa"/>
            </w:tcMar>
            <w:vAlign w:val="bottom"/>
          </w:tcPr>
          <w:p w:rsidRPr="007B78A4" w:rsidR="005974B5" w:rsidP="005974B5" w:rsidRDefault="005974B5" w14:paraId="235F7C10" w14:textId="2A4FE812">
            <w:pPr>
              <w:jc w:val="right"/>
              <w:rPr>
                <w:rFonts w:ascii="Arial" w:hAnsi="Arial" w:cs="Arial"/>
                <w:sz w:val="18"/>
                <w:szCs w:val="18"/>
              </w:rPr>
            </w:pPr>
            <w:r w:rsidRPr="005E1D19">
              <w:rPr>
                <w:rFonts w:ascii="Arial" w:hAnsi="Arial" w:cs="Arial"/>
                <w:sz w:val="18"/>
                <w:szCs w:val="18"/>
              </w:rPr>
              <w:t>215</w:t>
            </w:r>
          </w:p>
        </w:tc>
        <w:tc>
          <w:tcPr>
            <w:tcW w:w="1256" w:type="dxa"/>
            <w:tcMar>
              <w:top w:w="58" w:type="dxa"/>
              <w:left w:w="115" w:type="dxa"/>
              <w:bottom w:w="58" w:type="dxa"/>
              <w:right w:w="115" w:type="dxa"/>
            </w:tcMar>
            <w:vAlign w:val="bottom"/>
          </w:tcPr>
          <w:p w:rsidRPr="007B78A4" w:rsidR="005974B5" w:rsidP="005974B5" w:rsidRDefault="005974B5" w14:paraId="2127394C" w14:textId="0BD97292">
            <w:pPr>
              <w:jc w:val="right"/>
              <w:rPr>
                <w:rFonts w:ascii="Arial" w:hAnsi="Arial" w:cs="Arial"/>
                <w:sz w:val="18"/>
                <w:szCs w:val="18"/>
              </w:rPr>
            </w:pPr>
            <w:r w:rsidRPr="005E1D19">
              <w:rPr>
                <w:rFonts w:ascii="Arial" w:hAnsi="Arial" w:cs="Arial"/>
                <w:sz w:val="18"/>
                <w:szCs w:val="18"/>
              </w:rPr>
              <w:t xml:space="preserve">$9,886 </w:t>
            </w:r>
          </w:p>
        </w:tc>
        <w:tc>
          <w:tcPr>
            <w:tcW w:w="1255" w:type="dxa"/>
            <w:tcMar>
              <w:top w:w="58" w:type="dxa"/>
              <w:left w:w="115" w:type="dxa"/>
              <w:bottom w:w="58" w:type="dxa"/>
              <w:right w:w="115" w:type="dxa"/>
            </w:tcMar>
            <w:vAlign w:val="bottom"/>
          </w:tcPr>
          <w:p w:rsidRPr="007B78A4" w:rsidR="005974B5" w:rsidP="005974B5" w:rsidRDefault="005974B5" w14:paraId="78CDD706" w14:textId="7F5E8AAC">
            <w:pPr>
              <w:jc w:val="right"/>
              <w:rPr>
                <w:rFonts w:ascii="Arial" w:hAnsi="Arial" w:cs="Arial"/>
                <w:sz w:val="18"/>
                <w:szCs w:val="18"/>
              </w:rPr>
            </w:pPr>
            <w:r w:rsidRPr="005E1D19">
              <w:rPr>
                <w:rFonts w:ascii="Arial" w:hAnsi="Arial" w:cs="Arial"/>
                <w:sz w:val="18"/>
                <w:szCs w:val="18"/>
              </w:rPr>
              <w:t xml:space="preserve">$0 </w:t>
            </w:r>
          </w:p>
        </w:tc>
        <w:tc>
          <w:tcPr>
            <w:tcW w:w="1256" w:type="dxa"/>
            <w:tcMar>
              <w:top w:w="58" w:type="dxa"/>
              <w:left w:w="115" w:type="dxa"/>
              <w:bottom w:w="58" w:type="dxa"/>
              <w:right w:w="115" w:type="dxa"/>
            </w:tcMar>
            <w:vAlign w:val="bottom"/>
          </w:tcPr>
          <w:p w:rsidRPr="007B78A4" w:rsidR="005974B5" w:rsidP="005974B5" w:rsidRDefault="005974B5" w14:paraId="0BBEE6C9" w14:textId="7A5C1519">
            <w:pPr>
              <w:jc w:val="right"/>
              <w:rPr>
                <w:rFonts w:ascii="Arial" w:hAnsi="Arial" w:cs="Arial"/>
                <w:sz w:val="18"/>
                <w:szCs w:val="18"/>
              </w:rPr>
            </w:pPr>
            <w:r w:rsidRPr="005E1D19">
              <w:rPr>
                <w:rFonts w:ascii="Arial" w:hAnsi="Arial" w:cs="Arial"/>
                <w:sz w:val="18"/>
                <w:szCs w:val="18"/>
              </w:rPr>
              <w:t xml:space="preserve">$9,886 </w:t>
            </w:r>
          </w:p>
        </w:tc>
        <w:tc>
          <w:tcPr>
            <w:tcW w:w="1255" w:type="dxa"/>
            <w:vAlign w:val="bottom"/>
          </w:tcPr>
          <w:p w:rsidRPr="007B78A4" w:rsidR="005974B5" w:rsidP="005974B5" w:rsidRDefault="005974B5" w14:paraId="35A86C2F" w14:textId="25014618">
            <w:pPr>
              <w:jc w:val="right"/>
              <w:rPr>
                <w:rFonts w:ascii="Arial" w:hAnsi="Arial" w:cs="Arial"/>
                <w:sz w:val="18"/>
                <w:szCs w:val="18"/>
              </w:rPr>
            </w:pPr>
            <w:r w:rsidRPr="005E1D19">
              <w:rPr>
                <w:rFonts w:ascii="Arial" w:hAnsi="Arial" w:cs="Arial"/>
                <w:sz w:val="18"/>
                <w:szCs w:val="18"/>
              </w:rPr>
              <w:t>161.3</w:t>
            </w:r>
          </w:p>
        </w:tc>
        <w:tc>
          <w:tcPr>
            <w:tcW w:w="1256" w:type="dxa"/>
            <w:vAlign w:val="bottom"/>
          </w:tcPr>
          <w:p w:rsidRPr="007B78A4" w:rsidR="005974B5" w:rsidP="005974B5" w:rsidRDefault="005974B5" w14:paraId="194B25A3" w14:textId="16A4E2EE">
            <w:pPr>
              <w:jc w:val="right"/>
              <w:rPr>
                <w:rFonts w:ascii="Arial" w:hAnsi="Arial" w:cs="Arial"/>
                <w:sz w:val="18"/>
                <w:szCs w:val="18"/>
              </w:rPr>
            </w:pPr>
            <w:r w:rsidRPr="005E1D19">
              <w:rPr>
                <w:rFonts w:ascii="Arial" w:hAnsi="Arial" w:cs="Arial"/>
                <w:sz w:val="18"/>
                <w:szCs w:val="18"/>
              </w:rPr>
              <w:t>1.33</w:t>
            </w:r>
          </w:p>
        </w:tc>
        <w:tc>
          <w:tcPr>
            <w:tcW w:w="1256" w:type="dxa"/>
            <w:vAlign w:val="bottom"/>
          </w:tcPr>
          <w:p w:rsidRPr="007B78A4" w:rsidR="005974B5" w:rsidP="005974B5" w:rsidRDefault="005974B5" w14:paraId="72EF9A88" w14:textId="4BAECF0A">
            <w:pPr>
              <w:jc w:val="right"/>
              <w:rPr>
                <w:rFonts w:ascii="Arial" w:hAnsi="Arial" w:cs="Arial"/>
                <w:sz w:val="18"/>
                <w:szCs w:val="18"/>
              </w:rPr>
            </w:pPr>
            <w:r w:rsidRPr="005E1D19">
              <w:rPr>
                <w:rFonts w:ascii="Arial" w:hAnsi="Arial" w:cs="Arial"/>
                <w:sz w:val="18"/>
                <w:szCs w:val="18"/>
              </w:rPr>
              <w:t xml:space="preserve">$61.28 </w:t>
            </w:r>
          </w:p>
        </w:tc>
      </w:tr>
      <w:tr w:rsidR="005974B5" w:rsidTr="005974B5" w14:paraId="39AB3D55" w14:textId="77777777">
        <w:trPr>
          <w:jc w:val="center"/>
        </w:trPr>
        <w:tc>
          <w:tcPr>
            <w:tcW w:w="1471" w:type="dxa"/>
            <w:tcBorders>
              <w:bottom w:val="single" w:color="auto" w:sz="4" w:space="0"/>
            </w:tcBorders>
            <w:tcMar>
              <w:top w:w="58" w:type="dxa"/>
              <w:left w:w="115" w:type="dxa"/>
              <w:bottom w:w="58" w:type="dxa"/>
              <w:right w:w="115" w:type="dxa"/>
            </w:tcMar>
          </w:tcPr>
          <w:p w:rsidRPr="0053789E" w:rsidR="005974B5" w:rsidP="005974B5" w:rsidRDefault="005974B5" w14:paraId="6F016CF1" w14:textId="77777777">
            <w:pPr>
              <w:keepNext/>
              <w:keepLines/>
              <w:widowControl w:val="0"/>
              <w:tabs>
                <w:tab w:val="center" w:pos="4680"/>
              </w:tabs>
              <w:rPr>
                <w:rFonts w:ascii="Arial" w:hAnsi="Arial" w:cs="Arial"/>
                <w:b/>
                <w:sz w:val="18"/>
                <w:szCs w:val="18"/>
              </w:rPr>
            </w:pPr>
            <w:r w:rsidRPr="0053789E">
              <w:rPr>
                <w:rFonts w:ascii="Arial" w:hAnsi="Arial" w:cs="Arial"/>
                <w:b/>
                <w:sz w:val="18"/>
                <w:szCs w:val="18"/>
              </w:rPr>
              <w:t>TOTAL</w:t>
            </w:r>
          </w:p>
        </w:tc>
        <w:tc>
          <w:tcPr>
            <w:tcW w:w="1255" w:type="dxa"/>
            <w:tcBorders>
              <w:bottom w:val="single" w:color="auto" w:sz="4" w:space="0"/>
            </w:tcBorders>
            <w:tcMar>
              <w:top w:w="58" w:type="dxa"/>
              <w:left w:w="115" w:type="dxa"/>
              <w:bottom w:w="58" w:type="dxa"/>
              <w:right w:w="115" w:type="dxa"/>
            </w:tcMar>
            <w:vAlign w:val="bottom"/>
          </w:tcPr>
          <w:p w:rsidRPr="007B78A4" w:rsidR="005974B5" w:rsidP="005974B5" w:rsidRDefault="005974B5" w14:paraId="24BD540F" w14:textId="7ADB83EE">
            <w:pPr>
              <w:jc w:val="right"/>
              <w:rPr>
                <w:rFonts w:ascii="Arial" w:hAnsi="Arial" w:cs="Arial"/>
                <w:b/>
                <w:bCs/>
                <w:sz w:val="18"/>
                <w:szCs w:val="18"/>
              </w:rPr>
            </w:pPr>
            <w:r w:rsidRPr="005E1D19">
              <w:rPr>
                <w:rFonts w:ascii="Arial" w:hAnsi="Arial" w:cs="Arial"/>
                <w:b/>
                <w:bCs/>
                <w:sz w:val="18"/>
                <w:szCs w:val="18"/>
              </w:rPr>
              <w:t>106,212</w:t>
            </w:r>
          </w:p>
        </w:tc>
        <w:tc>
          <w:tcPr>
            <w:tcW w:w="1256" w:type="dxa"/>
            <w:tcBorders>
              <w:bottom w:val="single" w:color="auto" w:sz="4" w:space="0"/>
            </w:tcBorders>
            <w:tcMar>
              <w:top w:w="58" w:type="dxa"/>
              <w:left w:w="115" w:type="dxa"/>
              <w:bottom w:w="58" w:type="dxa"/>
              <w:right w:w="115" w:type="dxa"/>
            </w:tcMar>
            <w:vAlign w:val="bottom"/>
          </w:tcPr>
          <w:p w:rsidRPr="007B78A4" w:rsidR="005974B5" w:rsidP="005974B5" w:rsidRDefault="005974B5" w14:paraId="0E4E9CB1" w14:textId="77495220">
            <w:pPr>
              <w:jc w:val="right"/>
              <w:rPr>
                <w:rFonts w:ascii="Arial" w:hAnsi="Arial" w:cs="Arial"/>
                <w:b/>
                <w:bCs/>
                <w:sz w:val="18"/>
                <w:szCs w:val="18"/>
              </w:rPr>
            </w:pPr>
            <w:r w:rsidRPr="005E1D19">
              <w:rPr>
                <w:rFonts w:ascii="Arial" w:hAnsi="Arial" w:cs="Arial"/>
                <w:b/>
                <w:bCs/>
                <w:sz w:val="18"/>
                <w:szCs w:val="18"/>
              </w:rPr>
              <w:t xml:space="preserve">$5,211,332 </w:t>
            </w:r>
          </w:p>
        </w:tc>
        <w:tc>
          <w:tcPr>
            <w:tcW w:w="1255" w:type="dxa"/>
            <w:tcBorders>
              <w:bottom w:val="single" w:color="auto" w:sz="4" w:space="0"/>
            </w:tcBorders>
            <w:tcMar>
              <w:top w:w="58" w:type="dxa"/>
              <w:left w:w="115" w:type="dxa"/>
              <w:bottom w:w="58" w:type="dxa"/>
              <w:right w:w="115" w:type="dxa"/>
            </w:tcMar>
            <w:vAlign w:val="bottom"/>
          </w:tcPr>
          <w:p w:rsidRPr="007B78A4" w:rsidR="005974B5" w:rsidP="005974B5" w:rsidRDefault="005974B5" w14:paraId="78DDF296" w14:textId="0D22D4DE">
            <w:pPr>
              <w:jc w:val="right"/>
              <w:rPr>
                <w:rFonts w:ascii="Arial" w:hAnsi="Arial" w:cs="Arial"/>
                <w:b/>
                <w:bCs/>
                <w:sz w:val="18"/>
                <w:szCs w:val="18"/>
              </w:rPr>
            </w:pPr>
            <w:r w:rsidRPr="005E1D19">
              <w:rPr>
                <w:rFonts w:ascii="Arial" w:hAnsi="Arial" w:cs="Arial"/>
                <w:b/>
                <w:bCs/>
                <w:sz w:val="18"/>
                <w:szCs w:val="18"/>
              </w:rPr>
              <w:t xml:space="preserve">$5,279,655 </w:t>
            </w:r>
          </w:p>
        </w:tc>
        <w:tc>
          <w:tcPr>
            <w:tcW w:w="1256" w:type="dxa"/>
            <w:tcBorders>
              <w:bottom w:val="single" w:color="auto" w:sz="4" w:space="0"/>
            </w:tcBorders>
            <w:tcMar>
              <w:top w:w="58" w:type="dxa"/>
              <w:left w:w="115" w:type="dxa"/>
              <w:bottom w:w="58" w:type="dxa"/>
              <w:right w:w="115" w:type="dxa"/>
            </w:tcMar>
            <w:vAlign w:val="bottom"/>
          </w:tcPr>
          <w:p w:rsidRPr="007B78A4" w:rsidR="005974B5" w:rsidP="005974B5" w:rsidRDefault="005974B5" w14:paraId="75B05ED9" w14:textId="7FC1D12F">
            <w:pPr>
              <w:jc w:val="right"/>
              <w:rPr>
                <w:rFonts w:ascii="Arial" w:hAnsi="Arial" w:cs="Arial"/>
                <w:b/>
                <w:bCs/>
                <w:sz w:val="18"/>
                <w:szCs w:val="18"/>
              </w:rPr>
            </w:pPr>
            <w:r w:rsidRPr="005E1D19">
              <w:rPr>
                <w:rFonts w:ascii="Arial" w:hAnsi="Arial" w:cs="Arial"/>
                <w:b/>
                <w:bCs/>
                <w:sz w:val="18"/>
                <w:szCs w:val="18"/>
              </w:rPr>
              <w:t xml:space="preserve">$10,490,987 </w:t>
            </w:r>
          </w:p>
        </w:tc>
        <w:tc>
          <w:tcPr>
            <w:tcW w:w="1255" w:type="dxa"/>
            <w:tcBorders>
              <w:bottom w:val="single" w:color="auto" w:sz="4" w:space="0"/>
            </w:tcBorders>
            <w:vAlign w:val="bottom"/>
          </w:tcPr>
          <w:p w:rsidRPr="007B78A4" w:rsidR="005974B5" w:rsidP="005974B5" w:rsidRDefault="005974B5" w14:paraId="0A339C80" w14:textId="3DD80BDB">
            <w:pPr>
              <w:jc w:val="right"/>
              <w:rPr>
                <w:rFonts w:ascii="Arial" w:hAnsi="Arial" w:cs="Arial"/>
                <w:b/>
                <w:bCs/>
                <w:sz w:val="18"/>
                <w:szCs w:val="18"/>
              </w:rPr>
            </w:pPr>
            <w:r w:rsidRPr="005E1D19">
              <w:rPr>
                <w:rFonts w:ascii="Arial" w:hAnsi="Arial" w:cs="Arial"/>
                <w:b/>
                <w:bCs/>
                <w:sz w:val="18"/>
                <w:szCs w:val="18"/>
              </w:rPr>
              <w:t>12,294.8</w:t>
            </w:r>
          </w:p>
        </w:tc>
        <w:tc>
          <w:tcPr>
            <w:tcW w:w="1256" w:type="dxa"/>
            <w:tcBorders>
              <w:bottom w:val="single" w:color="auto" w:sz="4" w:space="0"/>
            </w:tcBorders>
            <w:vAlign w:val="bottom"/>
          </w:tcPr>
          <w:p w:rsidRPr="007B78A4" w:rsidR="005974B5" w:rsidP="005974B5" w:rsidRDefault="005974B5" w14:paraId="7907A31A" w14:textId="072AED57">
            <w:pPr>
              <w:jc w:val="right"/>
              <w:rPr>
                <w:rFonts w:ascii="Arial" w:hAnsi="Arial" w:cs="Arial"/>
                <w:b/>
                <w:bCs/>
                <w:sz w:val="18"/>
                <w:szCs w:val="18"/>
              </w:rPr>
            </w:pPr>
            <w:r w:rsidRPr="005E1D19">
              <w:rPr>
                <w:rFonts w:ascii="Arial" w:hAnsi="Arial" w:cs="Arial"/>
                <w:b/>
                <w:bCs/>
                <w:sz w:val="18"/>
                <w:szCs w:val="18"/>
              </w:rPr>
              <w:t>8.64</w:t>
            </w:r>
          </w:p>
        </w:tc>
        <w:tc>
          <w:tcPr>
            <w:tcW w:w="1256" w:type="dxa"/>
            <w:tcBorders>
              <w:bottom w:val="single" w:color="auto" w:sz="4" w:space="0"/>
            </w:tcBorders>
            <w:vAlign w:val="bottom"/>
          </w:tcPr>
          <w:p w:rsidRPr="007B78A4" w:rsidR="005974B5" w:rsidP="005974B5" w:rsidRDefault="005974B5" w14:paraId="35091D06" w14:textId="6B5287B8">
            <w:pPr>
              <w:jc w:val="right"/>
              <w:rPr>
                <w:rFonts w:ascii="Arial" w:hAnsi="Arial" w:cs="Arial"/>
                <w:b/>
                <w:bCs/>
                <w:sz w:val="18"/>
                <w:szCs w:val="18"/>
              </w:rPr>
            </w:pPr>
            <w:r w:rsidRPr="005E1D19">
              <w:rPr>
                <w:rFonts w:ascii="Arial" w:hAnsi="Arial" w:cs="Arial"/>
                <w:b/>
                <w:bCs/>
                <w:sz w:val="18"/>
                <w:szCs w:val="18"/>
              </w:rPr>
              <w:t xml:space="preserve">$853.29 </w:t>
            </w:r>
          </w:p>
        </w:tc>
      </w:tr>
    </w:tbl>
    <w:p w:rsidR="00231DFB" w:rsidP="00231DFB" w:rsidRDefault="00231DFB" w14:paraId="30AB912A" w14:textId="77777777">
      <w:pPr>
        <w:keepNext/>
        <w:keepLines/>
        <w:widowControl w:val="0"/>
        <w:tabs>
          <w:tab w:val="center" w:pos="4680"/>
        </w:tabs>
      </w:pPr>
    </w:p>
    <w:p w:rsidR="00C25838" w:rsidRDefault="00C25838" w14:paraId="40ECBEFE" w14:textId="77777777">
      <w:pPr>
        <w:widowControl w:val="0"/>
        <w:rPr>
          <w:sz w:val="24"/>
          <w:szCs w:val="24"/>
        </w:rPr>
      </w:pPr>
      <w:r>
        <w:tab/>
      </w:r>
      <w:r>
        <w:rPr>
          <w:i/>
          <w:sz w:val="24"/>
          <w:szCs w:val="24"/>
        </w:rPr>
        <w:t>Class IV/Endangering Class V Well Operators</w:t>
      </w:r>
    </w:p>
    <w:p w:rsidR="00C25838" w:rsidRDefault="00C25838" w14:paraId="5567DBBB" w14:textId="77777777">
      <w:pPr>
        <w:rPr>
          <w:sz w:val="24"/>
          <w:szCs w:val="24"/>
        </w:rPr>
      </w:pPr>
    </w:p>
    <w:p w:rsidR="00C25838" w:rsidRDefault="00C25838" w14:paraId="0C657D63" w14:textId="434A197A">
      <w:pPr>
        <w:widowControl w:val="0"/>
        <w:rPr>
          <w:sz w:val="24"/>
          <w:szCs w:val="24"/>
        </w:rPr>
      </w:pPr>
      <w:r>
        <w:rPr>
          <w:sz w:val="24"/>
          <w:szCs w:val="24"/>
        </w:rPr>
        <w:tab/>
        <w:t xml:space="preserve">Class IV wells and Class V wells that are found to be endangering USDWs are banned from injection, and owners of these wells are required to close them and submit plugging and abandonment reports to </w:t>
      </w:r>
      <w:r w:rsidR="00E62C5E">
        <w:rPr>
          <w:sz w:val="24"/>
          <w:szCs w:val="24"/>
        </w:rPr>
        <w:t>the permitting authority</w:t>
      </w:r>
      <w:r w:rsidR="00F84502">
        <w:rPr>
          <w:sz w:val="24"/>
          <w:szCs w:val="24"/>
        </w:rPr>
        <w:t xml:space="preserve">. </w:t>
      </w:r>
      <w:r>
        <w:rPr>
          <w:sz w:val="24"/>
          <w:szCs w:val="24"/>
        </w:rPr>
        <w:t>The exception to the ban is for those Class IV wells used to inject contaminated ground water that has been treated and re-injected into the same formation from which it was drawn</w:t>
      </w:r>
      <w:r w:rsidR="00F84502">
        <w:rPr>
          <w:sz w:val="24"/>
          <w:szCs w:val="24"/>
        </w:rPr>
        <w:t xml:space="preserve">. </w:t>
      </w:r>
      <w:r>
        <w:rPr>
          <w:sz w:val="24"/>
          <w:szCs w:val="24"/>
        </w:rPr>
        <w:t xml:space="preserve">These wells are authorized by rule for the life of the well if </w:t>
      </w:r>
      <w:r w:rsidR="00792CF2">
        <w:rPr>
          <w:sz w:val="24"/>
          <w:szCs w:val="24"/>
        </w:rPr>
        <w:t xml:space="preserve">the injection is </w:t>
      </w:r>
      <w:r>
        <w:rPr>
          <w:sz w:val="24"/>
          <w:szCs w:val="24"/>
        </w:rPr>
        <w:t xml:space="preserve">approved by EPA or a </w:t>
      </w:r>
      <w:r w:rsidR="00821CFA">
        <w:rPr>
          <w:sz w:val="24"/>
          <w:szCs w:val="24"/>
        </w:rPr>
        <w:t xml:space="preserve">primacy </w:t>
      </w:r>
      <w:r>
        <w:rPr>
          <w:sz w:val="24"/>
          <w:szCs w:val="24"/>
        </w:rPr>
        <w:t>state pursuant to the provisions for the cleanup of releases under C</w:t>
      </w:r>
      <w:r w:rsidR="000047B1">
        <w:rPr>
          <w:sz w:val="24"/>
          <w:szCs w:val="24"/>
        </w:rPr>
        <w:t xml:space="preserve">ERCLA </w:t>
      </w:r>
      <w:r>
        <w:rPr>
          <w:sz w:val="24"/>
          <w:szCs w:val="24"/>
        </w:rPr>
        <w:t xml:space="preserve">or RCRA. </w:t>
      </w:r>
    </w:p>
    <w:p w:rsidR="00C25838" w:rsidRDefault="00C25838" w14:paraId="2C87FA62" w14:textId="77777777">
      <w:pPr>
        <w:widowControl w:val="0"/>
        <w:rPr>
          <w:sz w:val="24"/>
          <w:szCs w:val="24"/>
        </w:rPr>
      </w:pPr>
    </w:p>
    <w:p w:rsidR="00C25838" w:rsidP="000A57AF" w:rsidRDefault="00C25838" w14:paraId="779D5D03" w14:textId="0CC04686">
      <w:pPr>
        <w:keepNext/>
        <w:keepLines/>
        <w:widowControl w:val="0"/>
        <w:rPr>
          <w:sz w:val="24"/>
          <w:szCs w:val="24"/>
        </w:rPr>
      </w:pPr>
      <w:r>
        <w:rPr>
          <w:sz w:val="24"/>
          <w:szCs w:val="24"/>
        </w:rPr>
        <w:tab/>
      </w:r>
      <w:r w:rsidRPr="00B977CB">
        <w:rPr>
          <w:sz w:val="24"/>
          <w:szCs w:val="24"/>
        </w:rPr>
        <w:t xml:space="preserve">EPA estimates that the burden on the </w:t>
      </w:r>
      <w:r w:rsidR="005974B5">
        <w:rPr>
          <w:sz w:val="24"/>
          <w:szCs w:val="24"/>
        </w:rPr>
        <w:t>71</w:t>
      </w:r>
      <w:r w:rsidRPr="00B977CB">
        <w:rPr>
          <w:sz w:val="24"/>
          <w:szCs w:val="24"/>
        </w:rPr>
        <w:t xml:space="preserve"> operators of the wells that are subject to this information collection will </w:t>
      </w:r>
      <w:r w:rsidRPr="005D07C4">
        <w:rPr>
          <w:sz w:val="24"/>
          <w:szCs w:val="24"/>
        </w:rPr>
        <w:t xml:space="preserve">be </w:t>
      </w:r>
      <w:r w:rsidRPr="005D07C4" w:rsidR="00DF3E61">
        <w:rPr>
          <w:sz w:val="24"/>
          <w:szCs w:val="24"/>
        </w:rPr>
        <w:t>6</w:t>
      </w:r>
      <w:r w:rsidR="005974B5">
        <w:rPr>
          <w:sz w:val="24"/>
          <w:szCs w:val="24"/>
        </w:rPr>
        <w:t>9</w:t>
      </w:r>
      <w:r w:rsidR="00B34F6D">
        <w:rPr>
          <w:sz w:val="24"/>
          <w:szCs w:val="24"/>
        </w:rPr>
        <w:t>8</w:t>
      </w:r>
      <w:r w:rsidRPr="005D07C4">
        <w:rPr>
          <w:sz w:val="24"/>
          <w:szCs w:val="24"/>
        </w:rPr>
        <w:t xml:space="preserve"> hours</w:t>
      </w:r>
      <w:r w:rsidRPr="00B977CB">
        <w:rPr>
          <w:sz w:val="24"/>
          <w:szCs w:val="24"/>
        </w:rPr>
        <w:t xml:space="preserve"> annually</w:t>
      </w:r>
      <w:r w:rsidR="00F84502">
        <w:rPr>
          <w:sz w:val="24"/>
          <w:szCs w:val="24"/>
        </w:rPr>
        <w:t xml:space="preserve">. </w:t>
      </w:r>
      <w:r w:rsidRPr="00B977CB">
        <w:rPr>
          <w:sz w:val="24"/>
          <w:szCs w:val="24"/>
        </w:rPr>
        <w:t>See Exhibit 6-1D and Appendix A.</w:t>
      </w:r>
    </w:p>
    <w:p w:rsidR="00231DFB" w:rsidP="00231DFB" w:rsidRDefault="00231DFB" w14:paraId="6B062D01" w14:textId="77777777">
      <w:pPr>
        <w:keepNext/>
        <w:keepLines/>
        <w:widowControl w:val="0"/>
        <w:tabs>
          <w:tab w:val="center" w:pos="4680"/>
        </w:tabs>
        <w:rPr>
          <w:b/>
        </w:rPr>
      </w:pPr>
    </w:p>
    <w:p w:rsidR="00231DFB" w:rsidP="00231DFB" w:rsidRDefault="00231DFB" w14:paraId="66F97560" w14:textId="77777777">
      <w:pPr>
        <w:keepNext/>
        <w:keepLines/>
        <w:widowControl w:val="0"/>
        <w:tabs>
          <w:tab w:val="center" w:pos="4680"/>
        </w:tabs>
        <w:rPr>
          <w:b/>
        </w:rPr>
      </w:pPr>
    </w:p>
    <w:tbl>
      <w:tblPr>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71"/>
        <w:gridCol w:w="1255"/>
        <w:gridCol w:w="1256"/>
        <w:gridCol w:w="1255"/>
        <w:gridCol w:w="1256"/>
        <w:gridCol w:w="1255"/>
        <w:gridCol w:w="1256"/>
        <w:gridCol w:w="1256"/>
      </w:tblGrid>
      <w:tr w:rsidR="00231DFB" w:rsidTr="005135F0" w14:paraId="64D2B118" w14:textId="77777777">
        <w:trPr>
          <w:jc w:val="center"/>
        </w:trPr>
        <w:tc>
          <w:tcPr>
            <w:tcW w:w="10260" w:type="dxa"/>
            <w:gridSpan w:val="8"/>
            <w:tcMar>
              <w:top w:w="58" w:type="dxa"/>
              <w:left w:w="115" w:type="dxa"/>
              <w:bottom w:w="58" w:type="dxa"/>
              <w:right w:w="115" w:type="dxa"/>
            </w:tcMar>
            <w:vAlign w:val="center"/>
          </w:tcPr>
          <w:p w:rsidR="00231DFB" w:rsidP="00B1430F" w:rsidRDefault="00231DFB" w14:paraId="0B18C104" w14:textId="77777777">
            <w:pPr>
              <w:keepNext/>
              <w:keepLines/>
              <w:widowControl w:val="0"/>
              <w:tabs>
                <w:tab w:val="center" w:pos="4680"/>
              </w:tabs>
              <w:jc w:val="center"/>
              <w:rPr>
                <w:rFonts w:ascii="Arial" w:hAnsi="Arial" w:cs="Arial"/>
                <w:b/>
              </w:rPr>
            </w:pPr>
            <w:r w:rsidRPr="00BF636F">
              <w:rPr>
                <w:rFonts w:ascii="Arial" w:hAnsi="Arial" w:cs="Arial"/>
                <w:b/>
              </w:rPr>
              <w:t>Exhibit 6-1D</w:t>
            </w:r>
          </w:p>
          <w:p w:rsidR="00231DFB" w:rsidP="00B1430F" w:rsidRDefault="00231DFB" w14:paraId="4FB16176" w14:textId="77777777">
            <w:pPr>
              <w:keepNext/>
              <w:keepLines/>
              <w:widowControl w:val="0"/>
              <w:tabs>
                <w:tab w:val="center" w:pos="4680"/>
              </w:tabs>
              <w:jc w:val="center"/>
              <w:rPr>
                <w:rFonts w:ascii="Arial" w:hAnsi="Arial" w:cs="Arial"/>
                <w:b/>
              </w:rPr>
            </w:pPr>
            <w:r>
              <w:rPr>
                <w:rFonts w:ascii="Arial" w:hAnsi="Arial" w:cs="Arial"/>
                <w:b/>
              </w:rPr>
              <w:t>Annual Burden and Cost Associated with Class IV</w:t>
            </w:r>
            <w:r w:rsidR="002B10CF">
              <w:rPr>
                <w:rFonts w:ascii="Arial" w:hAnsi="Arial" w:cs="Arial"/>
                <w:b/>
              </w:rPr>
              <w:t>/Endangering Class V</w:t>
            </w:r>
            <w:r>
              <w:rPr>
                <w:rFonts w:ascii="Arial" w:hAnsi="Arial" w:cs="Arial"/>
                <w:b/>
              </w:rPr>
              <w:t xml:space="preserve"> Wells</w:t>
            </w:r>
          </w:p>
          <w:p w:rsidRPr="0053789E" w:rsidR="00231DFB" w:rsidP="009B2785" w:rsidRDefault="00926C92" w14:paraId="62F4CFBF" w14:textId="475E370E">
            <w:pPr>
              <w:keepNext/>
              <w:keepLines/>
              <w:widowControl w:val="0"/>
              <w:tabs>
                <w:tab w:val="center" w:pos="4680"/>
              </w:tabs>
              <w:jc w:val="center"/>
              <w:rPr>
                <w:rFonts w:ascii="Arial" w:hAnsi="Arial" w:cs="Arial"/>
                <w:b/>
                <w:sz w:val="18"/>
                <w:szCs w:val="18"/>
              </w:rPr>
            </w:pPr>
            <w:r>
              <w:rPr>
                <w:rFonts w:ascii="Arial" w:hAnsi="Arial" w:cs="Arial"/>
                <w:b/>
              </w:rPr>
              <w:t>2022-2024</w:t>
            </w:r>
          </w:p>
        </w:tc>
      </w:tr>
      <w:tr w:rsidR="00231DFB" w:rsidTr="005135F0" w14:paraId="6F46A494" w14:textId="77777777">
        <w:trPr>
          <w:jc w:val="center"/>
        </w:trPr>
        <w:tc>
          <w:tcPr>
            <w:tcW w:w="1471" w:type="dxa"/>
            <w:tcMar>
              <w:top w:w="58" w:type="dxa"/>
              <w:left w:w="115" w:type="dxa"/>
              <w:bottom w:w="58" w:type="dxa"/>
              <w:right w:w="115" w:type="dxa"/>
            </w:tcMar>
          </w:tcPr>
          <w:p w:rsidRPr="0053789E" w:rsidR="00231DFB" w:rsidP="00B1430F" w:rsidRDefault="00231DFB" w14:paraId="01E0D657"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Respondent Type</w:t>
            </w:r>
          </w:p>
        </w:tc>
        <w:tc>
          <w:tcPr>
            <w:tcW w:w="1255" w:type="dxa"/>
            <w:tcMar>
              <w:top w:w="58" w:type="dxa"/>
              <w:left w:w="115" w:type="dxa"/>
              <w:bottom w:w="58" w:type="dxa"/>
              <w:right w:w="115" w:type="dxa"/>
            </w:tcMar>
          </w:tcPr>
          <w:p w:rsidRPr="0053789E" w:rsidR="00231DFB" w:rsidP="00B1430F" w:rsidRDefault="00231DFB" w14:paraId="298B7B4F"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Burden </w:t>
            </w:r>
            <w:r>
              <w:rPr>
                <w:rFonts w:ascii="Arial" w:hAnsi="Arial" w:cs="Arial"/>
                <w:b/>
                <w:sz w:val="18"/>
                <w:szCs w:val="18"/>
              </w:rPr>
              <w:t>(hours)</w:t>
            </w:r>
          </w:p>
        </w:tc>
        <w:tc>
          <w:tcPr>
            <w:tcW w:w="1256" w:type="dxa"/>
            <w:tcMar>
              <w:top w:w="58" w:type="dxa"/>
              <w:left w:w="115" w:type="dxa"/>
              <w:bottom w:w="58" w:type="dxa"/>
              <w:right w:w="115" w:type="dxa"/>
            </w:tcMar>
          </w:tcPr>
          <w:p w:rsidRPr="0053789E" w:rsidR="00231DFB" w:rsidP="00B1430F" w:rsidRDefault="00231DFB" w14:paraId="670645EA"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Labor Cost</w:t>
            </w:r>
          </w:p>
        </w:tc>
        <w:tc>
          <w:tcPr>
            <w:tcW w:w="1255" w:type="dxa"/>
            <w:tcMar>
              <w:top w:w="58" w:type="dxa"/>
              <w:left w:w="115" w:type="dxa"/>
              <w:bottom w:w="58" w:type="dxa"/>
              <w:right w:w="115" w:type="dxa"/>
            </w:tcMar>
          </w:tcPr>
          <w:p w:rsidRPr="0053789E" w:rsidR="00231DFB" w:rsidP="00DA1037" w:rsidRDefault="00231DFB" w14:paraId="76B50609"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Non-Labor </w:t>
            </w:r>
            <w:r w:rsidRPr="0053789E" w:rsidR="004B4910">
              <w:rPr>
                <w:rFonts w:ascii="Arial" w:hAnsi="Arial" w:cs="Arial"/>
                <w:b/>
                <w:sz w:val="18"/>
                <w:szCs w:val="18"/>
              </w:rPr>
              <w:t>Cost</w:t>
            </w:r>
          </w:p>
        </w:tc>
        <w:tc>
          <w:tcPr>
            <w:tcW w:w="1256" w:type="dxa"/>
            <w:tcMar>
              <w:top w:w="58" w:type="dxa"/>
              <w:left w:w="115" w:type="dxa"/>
              <w:bottom w:w="58" w:type="dxa"/>
              <w:right w:w="115" w:type="dxa"/>
            </w:tcMar>
          </w:tcPr>
          <w:p w:rsidRPr="0053789E" w:rsidR="00231DFB" w:rsidP="00B1430F" w:rsidRDefault="00231DFB" w14:paraId="19B573EB"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Total Cost</w:t>
            </w:r>
          </w:p>
        </w:tc>
        <w:tc>
          <w:tcPr>
            <w:tcW w:w="1255" w:type="dxa"/>
          </w:tcPr>
          <w:p w:rsidRPr="0053789E" w:rsidR="00231DFB" w:rsidP="00B1430F" w:rsidRDefault="00231DFB" w14:paraId="612CC088"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Responses</w:t>
            </w:r>
          </w:p>
        </w:tc>
        <w:tc>
          <w:tcPr>
            <w:tcW w:w="1256" w:type="dxa"/>
          </w:tcPr>
          <w:p w:rsidRPr="0053789E" w:rsidR="00231DFB" w:rsidP="00B1430F" w:rsidRDefault="00231DFB" w14:paraId="0CE30A29" w14:textId="77777777">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Burden/ Response</w:t>
            </w:r>
          </w:p>
        </w:tc>
        <w:tc>
          <w:tcPr>
            <w:tcW w:w="1256" w:type="dxa"/>
          </w:tcPr>
          <w:p w:rsidRPr="0053789E" w:rsidR="00231DFB" w:rsidP="00B1430F" w:rsidRDefault="00231DFB" w14:paraId="7D0977D2" w14:textId="77777777">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Cost/ Response</w:t>
            </w:r>
          </w:p>
        </w:tc>
      </w:tr>
      <w:tr w:rsidR="005974B5" w:rsidTr="005135F0" w14:paraId="4C5A4342" w14:textId="77777777">
        <w:trPr>
          <w:jc w:val="center"/>
        </w:trPr>
        <w:tc>
          <w:tcPr>
            <w:tcW w:w="1471" w:type="dxa"/>
            <w:tcMar>
              <w:top w:w="58" w:type="dxa"/>
              <w:left w:w="115" w:type="dxa"/>
              <w:bottom w:w="58" w:type="dxa"/>
              <w:right w:w="115" w:type="dxa"/>
            </w:tcMar>
          </w:tcPr>
          <w:p w:rsidRPr="0053789E" w:rsidR="005974B5" w:rsidP="005974B5" w:rsidRDefault="005974B5" w14:paraId="0424B42F" w14:textId="77777777">
            <w:pPr>
              <w:keepNext/>
              <w:keepLines/>
              <w:widowControl w:val="0"/>
              <w:tabs>
                <w:tab w:val="center" w:pos="4680"/>
              </w:tabs>
              <w:rPr>
                <w:rFonts w:ascii="Arial" w:hAnsi="Arial" w:cs="Arial"/>
                <w:sz w:val="18"/>
                <w:szCs w:val="18"/>
              </w:rPr>
            </w:pPr>
            <w:r w:rsidRPr="0053789E">
              <w:rPr>
                <w:rFonts w:ascii="Arial" w:hAnsi="Arial" w:cs="Arial"/>
                <w:sz w:val="18"/>
                <w:szCs w:val="18"/>
              </w:rPr>
              <w:t>Operators</w:t>
            </w:r>
          </w:p>
        </w:tc>
        <w:tc>
          <w:tcPr>
            <w:tcW w:w="1255" w:type="dxa"/>
            <w:tcMar>
              <w:top w:w="58" w:type="dxa"/>
              <w:left w:w="115" w:type="dxa"/>
              <w:bottom w:w="58" w:type="dxa"/>
              <w:right w:w="115" w:type="dxa"/>
            </w:tcMar>
            <w:vAlign w:val="bottom"/>
          </w:tcPr>
          <w:p w:rsidRPr="007B78A4" w:rsidR="005974B5" w:rsidP="005974B5" w:rsidRDefault="005974B5" w14:paraId="0F2130A4" w14:textId="2604FA95">
            <w:pPr>
              <w:jc w:val="right"/>
              <w:rPr>
                <w:rFonts w:ascii="Arial" w:hAnsi="Arial" w:cs="Arial"/>
                <w:sz w:val="18"/>
                <w:szCs w:val="18"/>
              </w:rPr>
            </w:pPr>
            <w:r w:rsidRPr="005E1D19">
              <w:rPr>
                <w:rFonts w:ascii="Arial" w:hAnsi="Arial" w:cs="Arial"/>
                <w:sz w:val="18"/>
                <w:szCs w:val="18"/>
              </w:rPr>
              <w:t>698</w:t>
            </w:r>
          </w:p>
        </w:tc>
        <w:tc>
          <w:tcPr>
            <w:tcW w:w="1256" w:type="dxa"/>
            <w:tcMar>
              <w:top w:w="58" w:type="dxa"/>
              <w:left w:w="115" w:type="dxa"/>
              <w:bottom w:w="58" w:type="dxa"/>
              <w:right w:w="115" w:type="dxa"/>
            </w:tcMar>
            <w:vAlign w:val="bottom"/>
          </w:tcPr>
          <w:p w:rsidRPr="007B78A4" w:rsidR="005974B5" w:rsidP="005974B5" w:rsidRDefault="005974B5" w14:paraId="0753B496" w14:textId="36D1FBF0">
            <w:pPr>
              <w:jc w:val="right"/>
              <w:rPr>
                <w:rFonts w:ascii="Arial" w:hAnsi="Arial" w:cs="Arial"/>
                <w:sz w:val="18"/>
                <w:szCs w:val="18"/>
              </w:rPr>
            </w:pPr>
            <w:r w:rsidRPr="005E1D19">
              <w:rPr>
                <w:rFonts w:ascii="Arial" w:hAnsi="Arial" w:cs="Arial"/>
                <w:sz w:val="18"/>
                <w:szCs w:val="18"/>
              </w:rPr>
              <w:t xml:space="preserve">$20,042 </w:t>
            </w:r>
          </w:p>
        </w:tc>
        <w:tc>
          <w:tcPr>
            <w:tcW w:w="1255" w:type="dxa"/>
            <w:tcMar>
              <w:top w:w="58" w:type="dxa"/>
              <w:left w:w="115" w:type="dxa"/>
              <w:bottom w:w="58" w:type="dxa"/>
              <w:right w:w="115" w:type="dxa"/>
            </w:tcMar>
            <w:vAlign w:val="bottom"/>
          </w:tcPr>
          <w:p w:rsidRPr="007B78A4" w:rsidR="005974B5" w:rsidP="005974B5" w:rsidRDefault="005974B5" w14:paraId="31438A07" w14:textId="0FD4CB8A">
            <w:pPr>
              <w:jc w:val="right"/>
              <w:rPr>
                <w:rFonts w:ascii="Arial" w:hAnsi="Arial" w:cs="Arial"/>
                <w:sz w:val="18"/>
                <w:szCs w:val="18"/>
              </w:rPr>
            </w:pPr>
            <w:r w:rsidRPr="005E1D19">
              <w:rPr>
                <w:rFonts w:ascii="Arial" w:hAnsi="Arial" w:cs="Arial"/>
                <w:sz w:val="18"/>
                <w:szCs w:val="18"/>
              </w:rPr>
              <w:t xml:space="preserve">$0 </w:t>
            </w:r>
          </w:p>
        </w:tc>
        <w:tc>
          <w:tcPr>
            <w:tcW w:w="1256" w:type="dxa"/>
            <w:tcMar>
              <w:top w:w="58" w:type="dxa"/>
              <w:left w:w="115" w:type="dxa"/>
              <w:bottom w:w="58" w:type="dxa"/>
              <w:right w:w="115" w:type="dxa"/>
            </w:tcMar>
            <w:vAlign w:val="bottom"/>
          </w:tcPr>
          <w:p w:rsidRPr="007B78A4" w:rsidR="005974B5" w:rsidP="005974B5" w:rsidRDefault="005974B5" w14:paraId="0712F67A" w14:textId="67EA6EDA">
            <w:pPr>
              <w:jc w:val="right"/>
              <w:rPr>
                <w:rFonts w:ascii="Arial" w:hAnsi="Arial" w:cs="Arial"/>
                <w:sz w:val="18"/>
                <w:szCs w:val="18"/>
              </w:rPr>
            </w:pPr>
            <w:r w:rsidRPr="005E1D19">
              <w:rPr>
                <w:rFonts w:ascii="Arial" w:hAnsi="Arial" w:cs="Arial"/>
                <w:sz w:val="18"/>
                <w:szCs w:val="18"/>
              </w:rPr>
              <w:t xml:space="preserve">$20,042 </w:t>
            </w:r>
          </w:p>
        </w:tc>
        <w:tc>
          <w:tcPr>
            <w:tcW w:w="1255" w:type="dxa"/>
            <w:vAlign w:val="bottom"/>
          </w:tcPr>
          <w:p w:rsidRPr="007B78A4" w:rsidR="005974B5" w:rsidP="005974B5" w:rsidRDefault="005974B5" w14:paraId="7D86682E" w14:textId="792013FD">
            <w:pPr>
              <w:jc w:val="right"/>
              <w:rPr>
                <w:rFonts w:ascii="Arial" w:hAnsi="Arial" w:cs="Arial"/>
                <w:sz w:val="18"/>
                <w:szCs w:val="18"/>
              </w:rPr>
            </w:pPr>
            <w:r w:rsidRPr="005E1D19">
              <w:rPr>
                <w:rFonts w:ascii="Arial" w:hAnsi="Arial" w:cs="Arial"/>
                <w:sz w:val="18"/>
                <w:szCs w:val="18"/>
              </w:rPr>
              <w:t>141.5</w:t>
            </w:r>
          </w:p>
        </w:tc>
        <w:tc>
          <w:tcPr>
            <w:tcW w:w="1256" w:type="dxa"/>
            <w:vAlign w:val="bottom"/>
          </w:tcPr>
          <w:p w:rsidRPr="007B78A4" w:rsidR="005974B5" w:rsidP="005974B5" w:rsidRDefault="005974B5" w14:paraId="28579FF4" w14:textId="00C7142F">
            <w:pPr>
              <w:jc w:val="right"/>
              <w:rPr>
                <w:rFonts w:ascii="Arial" w:hAnsi="Arial" w:cs="Arial"/>
                <w:sz w:val="18"/>
                <w:szCs w:val="18"/>
              </w:rPr>
            </w:pPr>
            <w:r w:rsidRPr="005E1D19">
              <w:rPr>
                <w:rFonts w:ascii="Arial" w:hAnsi="Arial" w:cs="Arial"/>
                <w:sz w:val="18"/>
                <w:szCs w:val="18"/>
              </w:rPr>
              <w:t>4.93</w:t>
            </w:r>
          </w:p>
        </w:tc>
        <w:tc>
          <w:tcPr>
            <w:tcW w:w="1256" w:type="dxa"/>
            <w:vAlign w:val="bottom"/>
          </w:tcPr>
          <w:p w:rsidRPr="007B78A4" w:rsidR="005974B5" w:rsidP="005974B5" w:rsidRDefault="005974B5" w14:paraId="44A01534" w14:textId="5F3BE7EC">
            <w:pPr>
              <w:jc w:val="right"/>
              <w:rPr>
                <w:rFonts w:ascii="Arial" w:hAnsi="Arial" w:cs="Arial"/>
                <w:sz w:val="18"/>
                <w:szCs w:val="18"/>
              </w:rPr>
            </w:pPr>
            <w:r w:rsidRPr="005E1D19">
              <w:rPr>
                <w:rFonts w:ascii="Arial" w:hAnsi="Arial" w:cs="Arial"/>
                <w:sz w:val="18"/>
                <w:szCs w:val="18"/>
              </w:rPr>
              <w:t xml:space="preserve">$141.64 </w:t>
            </w:r>
          </w:p>
        </w:tc>
      </w:tr>
      <w:tr w:rsidR="005974B5" w:rsidTr="005135F0" w14:paraId="5E8D0D4B" w14:textId="77777777">
        <w:trPr>
          <w:jc w:val="center"/>
        </w:trPr>
        <w:tc>
          <w:tcPr>
            <w:tcW w:w="1471" w:type="dxa"/>
            <w:tcMar>
              <w:top w:w="58" w:type="dxa"/>
              <w:left w:w="115" w:type="dxa"/>
              <w:bottom w:w="58" w:type="dxa"/>
              <w:right w:w="115" w:type="dxa"/>
            </w:tcMar>
          </w:tcPr>
          <w:p w:rsidRPr="0053789E" w:rsidR="005974B5" w:rsidP="005974B5" w:rsidRDefault="005974B5" w14:paraId="3DD30CE0" w14:textId="77777777">
            <w:pPr>
              <w:keepNext/>
              <w:keepLines/>
              <w:widowControl w:val="0"/>
              <w:tabs>
                <w:tab w:val="center" w:pos="4680"/>
              </w:tabs>
              <w:rPr>
                <w:rFonts w:ascii="Arial" w:hAnsi="Arial" w:cs="Arial"/>
                <w:sz w:val="18"/>
                <w:szCs w:val="18"/>
              </w:rPr>
            </w:pPr>
            <w:r w:rsidRPr="0053789E">
              <w:rPr>
                <w:rFonts w:ascii="Arial" w:hAnsi="Arial" w:cs="Arial"/>
                <w:sz w:val="18"/>
                <w:szCs w:val="18"/>
              </w:rPr>
              <w:t>Primacy States</w:t>
            </w:r>
          </w:p>
        </w:tc>
        <w:tc>
          <w:tcPr>
            <w:tcW w:w="1255" w:type="dxa"/>
            <w:tcMar>
              <w:top w:w="58" w:type="dxa"/>
              <w:left w:w="115" w:type="dxa"/>
              <w:bottom w:w="58" w:type="dxa"/>
              <w:right w:w="115" w:type="dxa"/>
            </w:tcMar>
            <w:vAlign w:val="bottom"/>
          </w:tcPr>
          <w:p w:rsidRPr="007B78A4" w:rsidR="005974B5" w:rsidP="005974B5" w:rsidRDefault="005974B5" w14:paraId="64A1B54E" w14:textId="00A881EF">
            <w:pPr>
              <w:jc w:val="right"/>
              <w:rPr>
                <w:rFonts w:ascii="Arial" w:hAnsi="Arial" w:cs="Arial"/>
                <w:sz w:val="18"/>
                <w:szCs w:val="18"/>
              </w:rPr>
            </w:pPr>
            <w:r w:rsidRPr="005E1D19">
              <w:rPr>
                <w:rFonts w:ascii="Arial" w:hAnsi="Arial" w:cs="Arial"/>
                <w:sz w:val="18"/>
                <w:szCs w:val="18"/>
              </w:rPr>
              <w:t>56</w:t>
            </w:r>
          </w:p>
        </w:tc>
        <w:tc>
          <w:tcPr>
            <w:tcW w:w="1256" w:type="dxa"/>
            <w:tcMar>
              <w:top w:w="58" w:type="dxa"/>
              <w:left w:w="115" w:type="dxa"/>
              <w:bottom w:w="58" w:type="dxa"/>
              <w:right w:w="115" w:type="dxa"/>
            </w:tcMar>
            <w:vAlign w:val="bottom"/>
          </w:tcPr>
          <w:p w:rsidRPr="007B78A4" w:rsidR="005974B5" w:rsidP="005974B5" w:rsidRDefault="005974B5" w14:paraId="2AB55990" w14:textId="5AD1CD86">
            <w:pPr>
              <w:jc w:val="right"/>
              <w:rPr>
                <w:rFonts w:ascii="Arial" w:hAnsi="Arial" w:cs="Arial"/>
                <w:sz w:val="18"/>
                <w:szCs w:val="18"/>
              </w:rPr>
            </w:pPr>
            <w:r w:rsidRPr="005E1D19">
              <w:rPr>
                <w:rFonts w:ascii="Arial" w:hAnsi="Arial" w:cs="Arial"/>
                <w:sz w:val="18"/>
                <w:szCs w:val="18"/>
              </w:rPr>
              <w:t xml:space="preserve">$2,549 </w:t>
            </w:r>
          </w:p>
        </w:tc>
        <w:tc>
          <w:tcPr>
            <w:tcW w:w="1255" w:type="dxa"/>
            <w:tcMar>
              <w:top w:w="58" w:type="dxa"/>
              <w:left w:w="115" w:type="dxa"/>
              <w:bottom w:w="58" w:type="dxa"/>
              <w:right w:w="115" w:type="dxa"/>
            </w:tcMar>
            <w:vAlign w:val="bottom"/>
          </w:tcPr>
          <w:p w:rsidRPr="007B78A4" w:rsidR="005974B5" w:rsidP="005974B5" w:rsidRDefault="005974B5" w14:paraId="0A39B631" w14:textId="7FC607C0">
            <w:pPr>
              <w:jc w:val="right"/>
              <w:rPr>
                <w:rFonts w:ascii="Arial" w:hAnsi="Arial" w:cs="Arial"/>
                <w:sz w:val="18"/>
                <w:szCs w:val="18"/>
              </w:rPr>
            </w:pPr>
            <w:r w:rsidRPr="005E1D19">
              <w:rPr>
                <w:rFonts w:ascii="Arial" w:hAnsi="Arial" w:cs="Arial"/>
                <w:sz w:val="18"/>
                <w:szCs w:val="18"/>
              </w:rPr>
              <w:t xml:space="preserve">$0 </w:t>
            </w:r>
          </w:p>
        </w:tc>
        <w:tc>
          <w:tcPr>
            <w:tcW w:w="1256" w:type="dxa"/>
            <w:tcMar>
              <w:top w:w="58" w:type="dxa"/>
              <w:left w:w="115" w:type="dxa"/>
              <w:bottom w:w="58" w:type="dxa"/>
              <w:right w:w="115" w:type="dxa"/>
            </w:tcMar>
            <w:vAlign w:val="bottom"/>
          </w:tcPr>
          <w:p w:rsidRPr="007B78A4" w:rsidR="005974B5" w:rsidP="005974B5" w:rsidRDefault="005974B5" w14:paraId="630F3736" w14:textId="6CFFFE6A">
            <w:pPr>
              <w:jc w:val="right"/>
              <w:rPr>
                <w:rFonts w:ascii="Arial" w:hAnsi="Arial" w:cs="Arial"/>
                <w:sz w:val="18"/>
                <w:szCs w:val="18"/>
              </w:rPr>
            </w:pPr>
            <w:r w:rsidRPr="005E1D19">
              <w:rPr>
                <w:rFonts w:ascii="Arial" w:hAnsi="Arial" w:cs="Arial"/>
                <w:sz w:val="18"/>
                <w:szCs w:val="18"/>
              </w:rPr>
              <w:t xml:space="preserve">$2,549 </w:t>
            </w:r>
          </w:p>
        </w:tc>
        <w:tc>
          <w:tcPr>
            <w:tcW w:w="1255" w:type="dxa"/>
            <w:vAlign w:val="bottom"/>
          </w:tcPr>
          <w:p w:rsidRPr="007B78A4" w:rsidR="005974B5" w:rsidP="005974B5" w:rsidRDefault="005974B5" w14:paraId="59C60269" w14:textId="5201B385">
            <w:pPr>
              <w:jc w:val="right"/>
              <w:rPr>
                <w:rFonts w:ascii="Arial" w:hAnsi="Arial" w:cs="Arial"/>
                <w:sz w:val="18"/>
                <w:szCs w:val="18"/>
              </w:rPr>
            </w:pPr>
            <w:r w:rsidRPr="005E1D19">
              <w:rPr>
                <w:rFonts w:ascii="Arial" w:hAnsi="Arial" w:cs="Arial"/>
                <w:sz w:val="18"/>
                <w:szCs w:val="18"/>
              </w:rPr>
              <w:t>55.5</w:t>
            </w:r>
          </w:p>
        </w:tc>
        <w:tc>
          <w:tcPr>
            <w:tcW w:w="1256" w:type="dxa"/>
            <w:vAlign w:val="bottom"/>
          </w:tcPr>
          <w:p w:rsidRPr="007B78A4" w:rsidR="005974B5" w:rsidP="005974B5" w:rsidRDefault="005974B5" w14:paraId="1C575049" w14:textId="0805023B">
            <w:pPr>
              <w:jc w:val="right"/>
              <w:rPr>
                <w:rFonts w:ascii="Arial" w:hAnsi="Arial" w:cs="Arial"/>
                <w:sz w:val="18"/>
                <w:szCs w:val="18"/>
              </w:rPr>
            </w:pPr>
            <w:r w:rsidRPr="005E1D19">
              <w:rPr>
                <w:rFonts w:ascii="Arial" w:hAnsi="Arial" w:cs="Arial"/>
                <w:sz w:val="18"/>
                <w:szCs w:val="18"/>
              </w:rPr>
              <w:t>1.00</w:t>
            </w:r>
          </w:p>
        </w:tc>
        <w:tc>
          <w:tcPr>
            <w:tcW w:w="1256" w:type="dxa"/>
            <w:vAlign w:val="bottom"/>
          </w:tcPr>
          <w:p w:rsidRPr="007B78A4" w:rsidR="005974B5" w:rsidP="005974B5" w:rsidRDefault="005974B5" w14:paraId="5CAFC7B3" w14:textId="1E946B17">
            <w:pPr>
              <w:jc w:val="right"/>
              <w:rPr>
                <w:rFonts w:ascii="Arial" w:hAnsi="Arial" w:cs="Arial"/>
                <w:sz w:val="18"/>
                <w:szCs w:val="18"/>
              </w:rPr>
            </w:pPr>
            <w:r w:rsidRPr="005E1D19">
              <w:rPr>
                <w:rFonts w:ascii="Arial" w:hAnsi="Arial" w:cs="Arial"/>
                <w:sz w:val="18"/>
                <w:szCs w:val="18"/>
              </w:rPr>
              <w:t xml:space="preserve">$45.92 </w:t>
            </w:r>
          </w:p>
        </w:tc>
      </w:tr>
      <w:tr w:rsidR="005974B5" w:rsidTr="005135F0" w14:paraId="16B79C1F" w14:textId="77777777">
        <w:trPr>
          <w:jc w:val="center"/>
        </w:trPr>
        <w:tc>
          <w:tcPr>
            <w:tcW w:w="1471" w:type="dxa"/>
            <w:tcMar>
              <w:top w:w="58" w:type="dxa"/>
              <w:left w:w="115" w:type="dxa"/>
              <w:bottom w:w="58" w:type="dxa"/>
              <w:right w:w="115" w:type="dxa"/>
            </w:tcMar>
          </w:tcPr>
          <w:p w:rsidRPr="0053789E" w:rsidR="005974B5" w:rsidP="005974B5" w:rsidRDefault="005974B5" w14:paraId="6443EC55" w14:textId="77777777">
            <w:pPr>
              <w:keepNext/>
              <w:keepLines/>
              <w:widowControl w:val="0"/>
              <w:tabs>
                <w:tab w:val="center" w:pos="4680"/>
              </w:tabs>
              <w:rPr>
                <w:rFonts w:ascii="Arial" w:hAnsi="Arial" w:cs="Arial"/>
                <w:sz w:val="18"/>
                <w:szCs w:val="18"/>
              </w:rPr>
            </w:pPr>
            <w:r w:rsidRPr="0053789E">
              <w:rPr>
                <w:rFonts w:ascii="Arial" w:hAnsi="Arial" w:cs="Arial"/>
                <w:sz w:val="18"/>
                <w:szCs w:val="18"/>
              </w:rPr>
              <w:t>DI Programs</w:t>
            </w:r>
          </w:p>
        </w:tc>
        <w:tc>
          <w:tcPr>
            <w:tcW w:w="1255" w:type="dxa"/>
            <w:tcMar>
              <w:top w:w="58" w:type="dxa"/>
              <w:left w:w="115" w:type="dxa"/>
              <w:bottom w:w="58" w:type="dxa"/>
              <w:right w:w="115" w:type="dxa"/>
            </w:tcMar>
            <w:vAlign w:val="bottom"/>
          </w:tcPr>
          <w:p w:rsidRPr="007B78A4" w:rsidR="005974B5" w:rsidP="005974B5" w:rsidRDefault="005974B5" w14:paraId="1CCE5CE9" w14:textId="4159C22E">
            <w:pPr>
              <w:jc w:val="right"/>
              <w:rPr>
                <w:rFonts w:ascii="Arial" w:hAnsi="Arial" w:cs="Arial"/>
                <w:sz w:val="18"/>
                <w:szCs w:val="18"/>
              </w:rPr>
            </w:pPr>
            <w:r w:rsidRPr="005E1D19">
              <w:rPr>
                <w:rFonts w:ascii="Arial" w:hAnsi="Arial" w:cs="Arial"/>
                <w:sz w:val="18"/>
                <w:szCs w:val="18"/>
              </w:rPr>
              <w:t>15</w:t>
            </w:r>
          </w:p>
        </w:tc>
        <w:tc>
          <w:tcPr>
            <w:tcW w:w="1256" w:type="dxa"/>
            <w:tcMar>
              <w:top w:w="58" w:type="dxa"/>
              <w:left w:w="115" w:type="dxa"/>
              <w:bottom w:w="58" w:type="dxa"/>
              <w:right w:w="115" w:type="dxa"/>
            </w:tcMar>
            <w:vAlign w:val="bottom"/>
          </w:tcPr>
          <w:p w:rsidRPr="007B78A4" w:rsidR="005974B5" w:rsidP="005974B5" w:rsidRDefault="005974B5" w14:paraId="33CF1CEE" w14:textId="2F1BC314">
            <w:pPr>
              <w:jc w:val="right"/>
              <w:rPr>
                <w:rFonts w:ascii="Arial" w:hAnsi="Arial" w:cs="Arial"/>
                <w:sz w:val="18"/>
                <w:szCs w:val="18"/>
              </w:rPr>
            </w:pPr>
            <w:r w:rsidRPr="005E1D19">
              <w:rPr>
                <w:rFonts w:ascii="Arial" w:hAnsi="Arial" w:cs="Arial"/>
                <w:sz w:val="18"/>
                <w:szCs w:val="18"/>
              </w:rPr>
              <w:t xml:space="preserve">$700 </w:t>
            </w:r>
          </w:p>
        </w:tc>
        <w:tc>
          <w:tcPr>
            <w:tcW w:w="1255" w:type="dxa"/>
            <w:tcMar>
              <w:top w:w="58" w:type="dxa"/>
              <w:left w:w="115" w:type="dxa"/>
              <w:bottom w:w="58" w:type="dxa"/>
              <w:right w:w="115" w:type="dxa"/>
            </w:tcMar>
            <w:vAlign w:val="bottom"/>
          </w:tcPr>
          <w:p w:rsidRPr="007B78A4" w:rsidR="005974B5" w:rsidP="005974B5" w:rsidRDefault="005974B5" w14:paraId="2B959879" w14:textId="433BE870">
            <w:pPr>
              <w:jc w:val="right"/>
              <w:rPr>
                <w:rFonts w:ascii="Arial" w:hAnsi="Arial" w:cs="Arial"/>
                <w:sz w:val="18"/>
                <w:szCs w:val="18"/>
              </w:rPr>
            </w:pPr>
            <w:r w:rsidRPr="005E1D19">
              <w:rPr>
                <w:rFonts w:ascii="Arial" w:hAnsi="Arial" w:cs="Arial"/>
                <w:sz w:val="18"/>
                <w:szCs w:val="18"/>
              </w:rPr>
              <w:t xml:space="preserve">$0 </w:t>
            </w:r>
          </w:p>
        </w:tc>
        <w:tc>
          <w:tcPr>
            <w:tcW w:w="1256" w:type="dxa"/>
            <w:tcMar>
              <w:top w:w="58" w:type="dxa"/>
              <w:left w:w="115" w:type="dxa"/>
              <w:bottom w:w="58" w:type="dxa"/>
              <w:right w:w="115" w:type="dxa"/>
            </w:tcMar>
            <w:vAlign w:val="bottom"/>
          </w:tcPr>
          <w:p w:rsidRPr="007B78A4" w:rsidR="005974B5" w:rsidP="005974B5" w:rsidRDefault="005974B5" w14:paraId="250734C6" w14:textId="7619FC08">
            <w:pPr>
              <w:jc w:val="right"/>
              <w:rPr>
                <w:rFonts w:ascii="Arial" w:hAnsi="Arial" w:cs="Arial"/>
                <w:sz w:val="18"/>
                <w:szCs w:val="18"/>
              </w:rPr>
            </w:pPr>
            <w:r w:rsidRPr="005E1D19">
              <w:rPr>
                <w:rFonts w:ascii="Arial" w:hAnsi="Arial" w:cs="Arial"/>
                <w:sz w:val="18"/>
                <w:szCs w:val="18"/>
              </w:rPr>
              <w:t xml:space="preserve">$700 </w:t>
            </w:r>
          </w:p>
        </w:tc>
        <w:tc>
          <w:tcPr>
            <w:tcW w:w="1255" w:type="dxa"/>
            <w:vAlign w:val="bottom"/>
          </w:tcPr>
          <w:p w:rsidRPr="007B78A4" w:rsidR="005974B5" w:rsidP="005974B5" w:rsidRDefault="005974B5" w14:paraId="2080491A" w14:textId="788EE34B">
            <w:pPr>
              <w:jc w:val="right"/>
              <w:rPr>
                <w:rFonts w:ascii="Arial" w:hAnsi="Arial" w:cs="Arial"/>
                <w:sz w:val="18"/>
                <w:szCs w:val="18"/>
              </w:rPr>
            </w:pPr>
            <w:r w:rsidRPr="005E1D19">
              <w:rPr>
                <w:rFonts w:ascii="Arial" w:hAnsi="Arial" w:cs="Arial"/>
                <w:sz w:val="18"/>
                <w:szCs w:val="18"/>
              </w:rPr>
              <w:t>15.3</w:t>
            </w:r>
          </w:p>
        </w:tc>
        <w:tc>
          <w:tcPr>
            <w:tcW w:w="1256" w:type="dxa"/>
            <w:vAlign w:val="bottom"/>
          </w:tcPr>
          <w:p w:rsidRPr="007B78A4" w:rsidR="005974B5" w:rsidP="005974B5" w:rsidRDefault="005974B5" w14:paraId="7481349F" w14:textId="0FB006DE">
            <w:pPr>
              <w:jc w:val="right"/>
              <w:rPr>
                <w:rFonts w:ascii="Arial" w:hAnsi="Arial" w:cs="Arial"/>
                <w:sz w:val="18"/>
                <w:szCs w:val="18"/>
              </w:rPr>
            </w:pPr>
            <w:r w:rsidRPr="005E1D19">
              <w:rPr>
                <w:rFonts w:ascii="Arial" w:hAnsi="Arial" w:cs="Arial"/>
                <w:sz w:val="18"/>
                <w:szCs w:val="18"/>
              </w:rPr>
              <w:t>1.00</w:t>
            </w:r>
          </w:p>
        </w:tc>
        <w:tc>
          <w:tcPr>
            <w:tcW w:w="1256" w:type="dxa"/>
            <w:vAlign w:val="bottom"/>
          </w:tcPr>
          <w:p w:rsidRPr="007B78A4" w:rsidR="005974B5" w:rsidP="005974B5" w:rsidRDefault="005974B5" w14:paraId="1BCCB139" w14:textId="0FB86E76">
            <w:pPr>
              <w:jc w:val="right"/>
              <w:rPr>
                <w:rFonts w:ascii="Arial" w:hAnsi="Arial" w:cs="Arial"/>
                <w:sz w:val="18"/>
                <w:szCs w:val="18"/>
              </w:rPr>
            </w:pPr>
            <w:r w:rsidRPr="005E1D19">
              <w:rPr>
                <w:rFonts w:ascii="Arial" w:hAnsi="Arial" w:cs="Arial"/>
                <w:sz w:val="18"/>
                <w:szCs w:val="18"/>
              </w:rPr>
              <w:t xml:space="preserve">$45.92 </w:t>
            </w:r>
          </w:p>
        </w:tc>
      </w:tr>
      <w:tr w:rsidR="005974B5" w:rsidTr="00B15016" w14:paraId="364F84F6" w14:textId="77777777">
        <w:trPr>
          <w:jc w:val="center"/>
        </w:trPr>
        <w:tc>
          <w:tcPr>
            <w:tcW w:w="1471" w:type="dxa"/>
            <w:tcBorders>
              <w:bottom w:val="single" w:color="auto" w:sz="4" w:space="0"/>
            </w:tcBorders>
            <w:tcMar>
              <w:top w:w="58" w:type="dxa"/>
              <w:left w:w="115" w:type="dxa"/>
              <w:bottom w:w="58" w:type="dxa"/>
              <w:right w:w="115" w:type="dxa"/>
            </w:tcMar>
          </w:tcPr>
          <w:p w:rsidRPr="0053789E" w:rsidR="005974B5" w:rsidP="005974B5" w:rsidRDefault="005974B5" w14:paraId="1CECFE85" w14:textId="77777777">
            <w:pPr>
              <w:keepNext/>
              <w:keepLines/>
              <w:widowControl w:val="0"/>
              <w:tabs>
                <w:tab w:val="center" w:pos="4680"/>
              </w:tabs>
              <w:rPr>
                <w:rFonts w:ascii="Arial" w:hAnsi="Arial" w:cs="Arial"/>
                <w:b/>
                <w:sz w:val="18"/>
                <w:szCs w:val="18"/>
              </w:rPr>
            </w:pPr>
            <w:r w:rsidRPr="0053789E">
              <w:rPr>
                <w:rFonts w:ascii="Arial" w:hAnsi="Arial" w:cs="Arial"/>
                <w:b/>
                <w:sz w:val="18"/>
                <w:szCs w:val="18"/>
              </w:rPr>
              <w:t>TOTAL</w:t>
            </w:r>
          </w:p>
        </w:tc>
        <w:tc>
          <w:tcPr>
            <w:tcW w:w="1255" w:type="dxa"/>
            <w:tcBorders>
              <w:bottom w:val="single" w:color="auto" w:sz="4" w:space="0"/>
            </w:tcBorders>
            <w:tcMar>
              <w:top w:w="58" w:type="dxa"/>
              <w:left w:w="115" w:type="dxa"/>
              <w:bottom w:w="58" w:type="dxa"/>
              <w:right w:w="115" w:type="dxa"/>
            </w:tcMar>
            <w:vAlign w:val="bottom"/>
          </w:tcPr>
          <w:p w:rsidRPr="007B78A4" w:rsidR="005974B5" w:rsidP="005974B5" w:rsidRDefault="005974B5" w14:paraId="4AED0311" w14:textId="0AE7B751">
            <w:pPr>
              <w:jc w:val="right"/>
              <w:rPr>
                <w:rFonts w:ascii="Arial" w:hAnsi="Arial" w:cs="Arial"/>
                <w:b/>
                <w:bCs/>
                <w:sz w:val="18"/>
                <w:szCs w:val="18"/>
              </w:rPr>
            </w:pPr>
            <w:r w:rsidRPr="005E1D19">
              <w:rPr>
                <w:rFonts w:ascii="Arial" w:hAnsi="Arial" w:cs="Arial"/>
                <w:b/>
                <w:bCs/>
                <w:sz w:val="18"/>
                <w:szCs w:val="18"/>
              </w:rPr>
              <w:t>769</w:t>
            </w:r>
          </w:p>
        </w:tc>
        <w:tc>
          <w:tcPr>
            <w:tcW w:w="1256" w:type="dxa"/>
            <w:tcBorders>
              <w:bottom w:val="single" w:color="auto" w:sz="4" w:space="0"/>
            </w:tcBorders>
            <w:tcMar>
              <w:top w:w="58" w:type="dxa"/>
              <w:left w:w="115" w:type="dxa"/>
              <w:bottom w:w="58" w:type="dxa"/>
              <w:right w:w="115" w:type="dxa"/>
            </w:tcMar>
            <w:vAlign w:val="bottom"/>
          </w:tcPr>
          <w:p w:rsidRPr="007B78A4" w:rsidR="005974B5" w:rsidP="005974B5" w:rsidRDefault="005974B5" w14:paraId="019B7959" w14:textId="4E5358F8">
            <w:pPr>
              <w:jc w:val="right"/>
              <w:rPr>
                <w:rFonts w:ascii="Arial" w:hAnsi="Arial" w:cs="Arial"/>
                <w:b/>
                <w:bCs/>
                <w:sz w:val="18"/>
                <w:szCs w:val="18"/>
              </w:rPr>
            </w:pPr>
            <w:r w:rsidRPr="005E1D19">
              <w:rPr>
                <w:rFonts w:ascii="Arial" w:hAnsi="Arial" w:cs="Arial"/>
                <w:b/>
                <w:bCs/>
                <w:sz w:val="18"/>
                <w:szCs w:val="18"/>
              </w:rPr>
              <w:t xml:space="preserve">$23,291 </w:t>
            </w:r>
          </w:p>
        </w:tc>
        <w:tc>
          <w:tcPr>
            <w:tcW w:w="1255" w:type="dxa"/>
            <w:tcBorders>
              <w:bottom w:val="single" w:color="auto" w:sz="4" w:space="0"/>
            </w:tcBorders>
            <w:tcMar>
              <w:top w:w="58" w:type="dxa"/>
              <w:left w:w="115" w:type="dxa"/>
              <w:bottom w:w="58" w:type="dxa"/>
              <w:right w:w="115" w:type="dxa"/>
            </w:tcMar>
            <w:vAlign w:val="bottom"/>
          </w:tcPr>
          <w:p w:rsidRPr="007B78A4" w:rsidR="005974B5" w:rsidP="005974B5" w:rsidRDefault="005974B5" w14:paraId="448AFA76" w14:textId="181ED289">
            <w:pPr>
              <w:jc w:val="right"/>
              <w:rPr>
                <w:rFonts w:ascii="Arial" w:hAnsi="Arial" w:cs="Arial"/>
                <w:b/>
                <w:bCs/>
                <w:sz w:val="18"/>
                <w:szCs w:val="18"/>
              </w:rPr>
            </w:pPr>
            <w:r w:rsidRPr="005E1D19">
              <w:rPr>
                <w:rFonts w:ascii="Arial" w:hAnsi="Arial" w:cs="Arial"/>
                <w:b/>
                <w:bCs/>
                <w:sz w:val="18"/>
                <w:szCs w:val="18"/>
              </w:rPr>
              <w:t xml:space="preserve">$0 </w:t>
            </w:r>
          </w:p>
        </w:tc>
        <w:tc>
          <w:tcPr>
            <w:tcW w:w="1256" w:type="dxa"/>
            <w:tcBorders>
              <w:bottom w:val="single" w:color="auto" w:sz="4" w:space="0"/>
            </w:tcBorders>
            <w:tcMar>
              <w:top w:w="58" w:type="dxa"/>
              <w:left w:w="115" w:type="dxa"/>
              <w:bottom w:w="58" w:type="dxa"/>
              <w:right w:w="115" w:type="dxa"/>
            </w:tcMar>
            <w:vAlign w:val="bottom"/>
          </w:tcPr>
          <w:p w:rsidRPr="007B78A4" w:rsidR="005974B5" w:rsidP="005974B5" w:rsidRDefault="005974B5" w14:paraId="22B76460" w14:textId="434D1D63">
            <w:pPr>
              <w:jc w:val="right"/>
              <w:rPr>
                <w:rFonts w:ascii="Arial" w:hAnsi="Arial" w:cs="Arial"/>
                <w:b/>
                <w:bCs/>
                <w:sz w:val="18"/>
                <w:szCs w:val="18"/>
              </w:rPr>
            </w:pPr>
            <w:r w:rsidRPr="005E1D19">
              <w:rPr>
                <w:rFonts w:ascii="Arial" w:hAnsi="Arial" w:cs="Arial"/>
                <w:b/>
                <w:bCs/>
                <w:sz w:val="18"/>
                <w:szCs w:val="18"/>
              </w:rPr>
              <w:t xml:space="preserve">$23,291 </w:t>
            </w:r>
          </w:p>
        </w:tc>
        <w:tc>
          <w:tcPr>
            <w:tcW w:w="1255" w:type="dxa"/>
            <w:tcBorders>
              <w:bottom w:val="single" w:color="auto" w:sz="4" w:space="0"/>
            </w:tcBorders>
            <w:vAlign w:val="bottom"/>
          </w:tcPr>
          <w:p w:rsidRPr="007B78A4" w:rsidR="005974B5" w:rsidP="005974B5" w:rsidRDefault="005974B5" w14:paraId="70927E34" w14:textId="7A0EFE29">
            <w:pPr>
              <w:jc w:val="right"/>
              <w:rPr>
                <w:rFonts w:ascii="Arial" w:hAnsi="Arial" w:cs="Arial"/>
                <w:b/>
                <w:bCs/>
                <w:sz w:val="18"/>
                <w:szCs w:val="18"/>
              </w:rPr>
            </w:pPr>
            <w:r w:rsidRPr="005E1D19">
              <w:rPr>
                <w:rFonts w:ascii="Arial" w:hAnsi="Arial" w:cs="Arial"/>
                <w:b/>
                <w:bCs/>
                <w:sz w:val="18"/>
                <w:szCs w:val="18"/>
              </w:rPr>
              <w:t>212.3</w:t>
            </w:r>
          </w:p>
        </w:tc>
        <w:tc>
          <w:tcPr>
            <w:tcW w:w="1256" w:type="dxa"/>
            <w:tcBorders>
              <w:bottom w:val="single" w:color="auto" w:sz="4" w:space="0"/>
            </w:tcBorders>
            <w:vAlign w:val="bottom"/>
          </w:tcPr>
          <w:p w:rsidRPr="007B78A4" w:rsidR="005974B5" w:rsidP="005974B5" w:rsidRDefault="005974B5" w14:paraId="3F008E19" w14:textId="2E536376">
            <w:pPr>
              <w:jc w:val="right"/>
              <w:rPr>
                <w:rFonts w:ascii="Arial" w:hAnsi="Arial" w:cs="Arial"/>
                <w:b/>
                <w:bCs/>
                <w:sz w:val="18"/>
                <w:szCs w:val="18"/>
              </w:rPr>
            </w:pPr>
            <w:r w:rsidRPr="005E1D19">
              <w:rPr>
                <w:rFonts w:ascii="Arial" w:hAnsi="Arial" w:cs="Arial"/>
                <w:b/>
                <w:bCs/>
                <w:sz w:val="18"/>
                <w:szCs w:val="18"/>
              </w:rPr>
              <w:t>3.62</w:t>
            </w:r>
          </w:p>
        </w:tc>
        <w:tc>
          <w:tcPr>
            <w:tcW w:w="1256" w:type="dxa"/>
            <w:tcBorders>
              <w:bottom w:val="single" w:color="auto" w:sz="4" w:space="0"/>
            </w:tcBorders>
            <w:vAlign w:val="bottom"/>
          </w:tcPr>
          <w:p w:rsidRPr="007B78A4" w:rsidR="005974B5" w:rsidP="005974B5" w:rsidRDefault="005974B5" w14:paraId="13581CA4" w14:textId="46CBD949">
            <w:pPr>
              <w:jc w:val="right"/>
              <w:rPr>
                <w:rFonts w:ascii="Arial" w:hAnsi="Arial" w:cs="Arial"/>
                <w:b/>
                <w:bCs/>
                <w:sz w:val="18"/>
                <w:szCs w:val="18"/>
              </w:rPr>
            </w:pPr>
            <w:r w:rsidRPr="005E1D19">
              <w:rPr>
                <w:rFonts w:ascii="Arial" w:hAnsi="Arial" w:cs="Arial"/>
                <w:b/>
                <w:bCs/>
                <w:sz w:val="18"/>
                <w:szCs w:val="18"/>
              </w:rPr>
              <w:t xml:space="preserve">$109.74 </w:t>
            </w:r>
          </w:p>
        </w:tc>
      </w:tr>
      <w:tr w:rsidR="005974B5" w:rsidTr="00B15016" w14:paraId="08664B57" w14:textId="77777777">
        <w:trPr>
          <w:jc w:val="center"/>
        </w:trPr>
        <w:tc>
          <w:tcPr>
            <w:tcW w:w="10260" w:type="dxa"/>
            <w:gridSpan w:val="8"/>
            <w:tcBorders>
              <w:left w:val="nil"/>
              <w:bottom w:val="nil"/>
              <w:right w:val="nil"/>
            </w:tcBorders>
            <w:tcMar>
              <w:top w:w="58" w:type="dxa"/>
              <w:left w:w="115" w:type="dxa"/>
              <w:bottom w:w="58" w:type="dxa"/>
              <w:right w:w="115" w:type="dxa"/>
            </w:tcMar>
          </w:tcPr>
          <w:p w:rsidR="005974B5" w:rsidP="005974B5" w:rsidRDefault="005974B5" w14:paraId="23ACB2DA" w14:textId="77777777">
            <w:pPr>
              <w:rPr>
                <w:rFonts w:ascii="Arial" w:hAnsi="Arial" w:cs="Arial"/>
                <w:bCs/>
                <w:sz w:val="18"/>
                <w:szCs w:val="18"/>
              </w:rPr>
            </w:pPr>
            <w:r w:rsidRPr="00B15016">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due to rounding.</w:t>
            </w:r>
          </w:p>
          <w:p w:rsidRPr="004D6AB2" w:rsidR="005974B5" w:rsidP="005974B5" w:rsidRDefault="005974B5" w14:paraId="335614BC" w14:textId="77777777">
            <w:pPr>
              <w:rPr>
                <w:rFonts w:ascii="Arial" w:hAnsi="Arial" w:cs="Arial"/>
                <w:b/>
                <w:bCs/>
                <w:sz w:val="18"/>
                <w:szCs w:val="18"/>
              </w:rPr>
            </w:pPr>
          </w:p>
        </w:tc>
      </w:tr>
    </w:tbl>
    <w:p w:rsidR="00231DFB" w:rsidP="00231DFB" w:rsidRDefault="00231DFB" w14:paraId="5764F051" w14:textId="77777777">
      <w:pPr>
        <w:keepNext/>
        <w:keepLines/>
        <w:widowControl w:val="0"/>
        <w:tabs>
          <w:tab w:val="center" w:pos="4680"/>
        </w:tabs>
      </w:pPr>
    </w:p>
    <w:p w:rsidR="00C25838" w:rsidRDefault="00C25838" w14:paraId="5664379B" w14:textId="77777777">
      <w:pPr>
        <w:keepNext/>
        <w:keepLines/>
        <w:widowControl w:val="0"/>
        <w:rPr>
          <w:sz w:val="24"/>
          <w:szCs w:val="24"/>
        </w:rPr>
      </w:pPr>
      <w:r>
        <w:tab/>
      </w:r>
      <w:r>
        <w:rPr>
          <w:i/>
          <w:sz w:val="24"/>
          <w:szCs w:val="24"/>
        </w:rPr>
        <w:t>Class V Well Operators</w:t>
      </w:r>
    </w:p>
    <w:p w:rsidR="00C25838" w:rsidRDefault="00C25838" w14:paraId="5DB60987" w14:textId="77777777">
      <w:pPr>
        <w:keepNext/>
        <w:keepLines/>
        <w:widowControl w:val="0"/>
        <w:rPr>
          <w:sz w:val="24"/>
          <w:szCs w:val="24"/>
        </w:rPr>
      </w:pPr>
    </w:p>
    <w:p w:rsidR="00C25838" w:rsidRDefault="00C25838" w14:paraId="2B98602D" w14:textId="24642057">
      <w:pPr>
        <w:keepNext/>
        <w:keepLines/>
        <w:widowControl w:val="0"/>
        <w:rPr>
          <w:sz w:val="24"/>
          <w:szCs w:val="24"/>
        </w:rPr>
      </w:pPr>
      <w:r>
        <w:rPr>
          <w:sz w:val="24"/>
          <w:szCs w:val="24"/>
        </w:rPr>
        <w:tab/>
        <w:t xml:space="preserve">The total annual burden on the </w:t>
      </w:r>
      <w:r w:rsidR="000E4361">
        <w:rPr>
          <w:sz w:val="24"/>
          <w:szCs w:val="24"/>
        </w:rPr>
        <w:t>2</w:t>
      </w:r>
      <w:r w:rsidR="00DF3E61">
        <w:rPr>
          <w:sz w:val="24"/>
          <w:szCs w:val="24"/>
        </w:rPr>
        <w:t>0</w:t>
      </w:r>
      <w:r w:rsidR="003859E1">
        <w:rPr>
          <w:sz w:val="24"/>
          <w:szCs w:val="24"/>
        </w:rPr>
        <w:t>,</w:t>
      </w:r>
      <w:r w:rsidR="005974B5">
        <w:rPr>
          <w:sz w:val="24"/>
          <w:szCs w:val="24"/>
        </w:rPr>
        <w:t>837</w:t>
      </w:r>
      <w:r w:rsidR="003859E1">
        <w:rPr>
          <w:sz w:val="24"/>
          <w:szCs w:val="24"/>
        </w:rPr>
        <w:t xml:space="preserve"> </w:t>
      </w:r>
      <w:r>
        <w:rPr>
          <w:sz w:val="24"/>
          <w:szCs w:val="24"/>
        </w:rPr>
        <w:t xml:space="preserve">operators of Class V wells with reporting requirements under this information collection is estimated to be </w:t>
      </w:r>
      <w:r w:rsidRPr="005D07C4" w:rsidR="005D07C4">
        <w:rPr>
          <w:sz w:val="24"/>
          <w:szCs w:val="24"/>
        </w:rPr>
        <w:t>24,</w:t>
      </w:r>
      <w:r w:rsidR="005974B5">
        <w:rPr>
          <w:sz w:val="24"/>
          <w:szCs w:val="24"/>
        </w:rPr>
        <w:t>65</w:t>
      </w:r>
      <w:r w:rsidRPr="005D07C4" w:rsidR="005D07C4">
        <w:rPr>
          <w:sz w:val="24"/>
          <w:szCs w:val="24"/>
        </w:rPr>
        <w:t>7</w:t>
      </w:r>
      <w:r w:rsidR="005D07C4">
        <w:rPr>
          <w:sz w:val="24"/>
          <w:szCs w:val="24"/>
        </w:rPr>
        <w:t xml:space="preserve"> </w:t>
      </w:r>
      <w:r>
        <w:rPr>
          <w:sz w:val="24"/>
          <w:szCs w:val="24"/>
        </w:rPr>
        <w:t>hours</w:t>
      </w:r>
      <w:r w:rsidR="00F84502">
        <w:rPr>
          <w:sz w:val="24"/>
          <w:szCs w:val="24"/>
        </w:rPr>
        <w:t xml:space="preserve">. </w:t>
      </w:r>
      <w:r>
        <w:rPr>
          <w:sz w:val="24"/>
          <w:szCs w:val="24"/>
        </w:rPr>
        <w:t>See Exhibit 6-1E and Appendix A</w:t>
      </w:r>
      <w:r w:rsidR="00F84502">
        <w:rPr>
          <w:sz w:val="24"/>
          <w:szCs w:val="24"/>
        </w:rPr>
        <w:t xml:space="preserve">. </w:t>
      </w:r>
    </w:p>
    <w:p w:rsidR="00C25838" w:rsidRDefault="00C25838" w14:paraId="0FAE79EA" w14:textId="77777777">
      <w:pPr>
        <w:widowControl w:val="0"/>
        <w:rPr>
          <w:sz w:val="24"/>
          <w:szCs w:val="24"/>
        </w:rPr>
      </w:pPr>
    </w:p>
    <w:p w:rsidR="00231DFB" w:rsidP="00AF41AC" w:rsidRDefault="00C25838" w14:paraId="3387B823" w14:textId="761F2AC1">
      <w:pPr>
        <w:keepNext/>
        <w:keepLines/>
        <w:widowControl w:val="0"/>
        <w:ind w:firstLine="720"/>
        <w:rPr>
          <w:b/>
        </w:rPr>
      </w:pPr>
      <w:r>
        <w:rPr>
          <w:sz w:val="24"/>
          <w:szCs w:val="24"/>
        </w:rPr>
        <w:lastRenderedPageBreak/>
        <w:t>All operators of Class V wells must submit inventory information before they may begin operating their wells</w:t>
      </w:r>
      <w:r w:rsidR="003C51EE">
        <w:rPr>
          <w:sz w:val="24"/>
          <w:szCs w:val="24"/>
        </w:rPr>
        <w:t xml:space="preserve">, </w:t>
      </w:r>
      <w:r w:rsidRPr="003C51EE" w:rsidR="003C51EE">
        <w:rPr>
          <w:sz w:val="24"/>
          <w:szCs w:val="24"/>
        </w:rPr>
        <w:t>and a small number of Class V well owners or operators will submit permit applications each year</w:t>
      </w:r>
      <w:r w:rsidR="00F84502">
        <w:rPr>
          <w:sz w:val="24"/>
          <w:szCs w:val="24"/>
        </w:rPr>
        <w:t xml:space="preserve">. </w:t>
      </w:r>
      <w:r>
        <w:rPr>
          <w:sz w:val="24"/>
          <w:szCs w:val="24"/>
        </w:rPr>
        <w:t xml:space="preserve">In addition, </w:t>
      </w:r>
      <w:r w:rsidR="00C248D0">
        <w:rPr>
          <w:sz w:val="24"/>
          <w:szCs w:val="24"/>
        </w:rPr>
        <w:t xml:space="preserve">owners or operators of MVWDWs who obtained permits under </w:t>
      </w:r>
      <w:r>
        <w:rPr>
          <w:sz w:val="24"/>
          <w:szCs w:val="24"/>
        </w:rPr>
        <w:t xml:space="preserve">the 1999 Class V Rule </w:t>
      </w:r>
      <w:r w:rsidR="00C248D0">
        <w:rPr>
          <w:sz w:val="24"/>
          <w:szCs w:val="24"/>
        </w:rPr>
        <w:t>will continue to monitor ground water and sludge and submit the results to the permitting authority</w:t>
      </w:r>
      <w:r>
        <w:rPr>
          <w:sz w:val="24"/>
          <w:szCs w:val="24"/>
        </w:rPr>
        <w:t>.</w:t>
      </w:r>
    </w:p>
    <w:p w:rsidR="00231DFB" w:rsidP="0000795E" w:rsidRDefault="00231DFB" w14:paraId="78AFDE0B" w14:textId="77777777">
      <w:pPr>
        <w:widowControl w:val="0"/>
        <w:tabs>
          <w:tab w:val="center" w:pos="4680"/>
        </w:tabs>
        <w:rPr>
          <w:b/>
        </w:rPr>
      </w:pPr>
    </w:p>
    <w:tbl>
      <w:tblPr>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71"/>
        <w:gridCol w:w="1255"/>
        <w:gridCol w:w="1256"/>
        <w:gridCol w:w="1255"/>
        <w:gridCol w:w="1256"/>
        <w:gridCol w:w="1255"/>
        <w:gridCol w:w="1256"/>
        <w:gridCol w:w="1256"/>
      </w:tblGrid>
      <w:tr w:rsidR="00231DFB" w:rsidTr="00890F2F" w14:paraId="23977261" w14:textId="77777777">
        <w:trPr>
          <w:jc w:val="center"/>
        </w:trPr>
        <w:tc>
          <w:tcPr>
            <w:tcW w:w="10260" w:type="dxa"/>
            <w:gridSpan w:val="8"/>
            <w:tcMar>
              <w:top w:w="58" w:type="dxa"/>
              <w:left w:w="115" w:type="dxa"/>
              <w:bottom w:w="58" w:type="dxa"/>
              <w:right w:w="115" w:type="dxa"/>
            </w:tcMar>
          </w:tcPr>
          <w:p w:rsidR="00231DFB" w:rsidP="0000795E" w:rsidRDefault="00231DFB" w14:paraId="0DE64934" w14:textId="77777777">
            <w:pPr>
              <w:widowControl w:val="0"/>
              <w:tabs>
                <w:tab w:val="center" w:pos="4680"/>
              </w:tabs>
              <w:jc w:val="center"/>
              <w:rPr>
                <w:rFonts w:ascii="Arial" w:hAnsi="Arial" w:cs="Arial"/>
                <w:b/>
              </w:rPr>
            </w:pPr>
            <w:r w:rsidRPr="00BF636F">
              <w:rPr>
                <w:rFonts w:ascii="Arial" w:hAnsi="Arial" w:cs="Arial"/>
                <w:b/>
              </w:rPr>
              <w:t>Exhibit 6-1E</w:t>
            </w:r>
          </w:p>
          <w:p w:rsidR="00231DFB" w:rsidP="0000795E" w:rsidRDefault="00231DFB" w14:paraId="56931772" w14:textId="77777777">
            <w:pPr>
              <w:widowControl w:val="0"/>
              <w:tabs>
                <w:tab w:val="center" w:pos="4680"/>
              </w:tabs>
              <w:jc w:val="center"/>
              <w:rPr>
                <w:rFonts w:ascii="Arial" w:hAnsi="Arial" w:cs="Arial"/>
                <w:b/>
              </w:rPr>
            </w:pPr>
            <w:r>
              <w:rPr>
                <w:rFonts w:ascii="Arial" w:hAnsi="Arial" w:cs="Arial"/>
                <w:b/>
              </w:rPr>
              <w:t>Annual Burden and Cost Associated with Class V Wells</w:t>
            </w:r>
          </w:p>
          <w:p w:rsidRPr="0053789E" w:rsidR="00231DFB" w:rsidP="009B2785" w:rsidRDefault="00926C92" w14:paraId="63F75C29" w14:textId="47ED90F8">
            <w:pPr>
              <w:widowControl w:val="0"/>
              <w:tabs>
                <w:tab w:val="center" w:pos="4680"/>
              </w:tabs>
              <w:jc w:val="center"/>
              <w:rPr>
                <w:rFonts w:ascii="Arial" w:hAnsi="Arial" w:cs="Arial"/>
                <w:b/>
                <w:sz w:val="18"/>
                <w:szCs w:val="18"/>
              </w:rPr>
            </w:pPr>
            <w:r>
              <w:rPr>
                <w:rFonts w:ascii="Arial" w:hAnsi="Arial" w:cs="Arial"/>
                <w:b/>
              </w:rPr>
              <w:t>2022-2024</w:t>
            </w:r>
          </w:p>
        </w:tc>
      </w:tr>
      <w:tr w:rsidR="00231DFB" w:rsidTr="00890F2F" w14:paraId="45B84234" w14:textId="77777777">
        <w:trPr>
          <w:jc w:val="center"/>
        </w:trPr>
        <w:tc>
          <w:tcPr>
            <w:tcW w:w="1471" w:type="dxa"/>
            <w:tcMar>
              <w:top w:w="58" w:type="dxa"/>
              <w:left w:w="115" w:type="dxa"/>
              <w:bottom w:w="58" w:type="dxa"/>
              <w:right w:w="115" w:type="dxa"/>
            </w:tcMar>
          </w:tcPr>
          <w:p w:rsidRPr="0053789E" w:rsidR="00231DFB" w:rsidP="0000795E" w:rsidRDefault="00231DFB" w14:paraId="040BB2C8" w14:textId="77777777">
            <w:pPr>
              <w:widowControl w:val="0"/>
              <w:tabs>
                <w:tab w:val="center" w:pos="4680"/>
              </w:tabs>
              <w:jc w:val="center"/>
              <w:rPr>
                <w:rFonts w:ascii="Arial" w:hAnsi="Arial" w:cs="Arial"/>
                <w:sz w:val="18"/>
                <w:szCs w:val="18"/>
              </w:rPr>
            </w:pPr>
            <w:r w:rsidRPr="0053789E">
              <w:rPr>
                <w:rFonts w:ascii="Arial" w:hAnsi="Arial" w:cs="Arial"/>
                <w:b/>
                <w:sz w:val="18"/>
                <w:szCs w:val="18"/>
              </w:rPr>
              <w:t>Respondent Type</w:t>
            </w:r>
          </w:p>
        </w:tc>
        <w:tc>
          <w:tcPr>
            <w:tcW w:w="1255" w:type="dxa"/>
            <w:tcMar>
              <w:top w:w="58" w:type="dxa"/>
              <w:left w:w="115" w:type="dxa"/>
              <w:bottom w:w="58" w:type="dxa"/>
              <w:right w:w="115" w:type="dxa"/>
            </w:tcMar>
          </w:tcPr>
          <w:p w:rsidRPr="0053789E" w:rsidR="00231DFB" w:rsidP="0000795E" w:rsidRDefault="00231DFB" w14:paraId="4FD65755" w14:textId="77777777">
            <w:pPr>
              <w:widowControl w:val="0"/>
              <w:tabs>
                <w:tab w:val="center" w:pos="4680"/>
              </w:tabs>
              <w:jc w:val="center"/>
              <w:rPr>
                <w:rFonts w:ascii="Arial" w:hAnsi="Arial" w:cs="Arial"/>
                <w:sz w:val="18"/>
                <w:szCs w:val="18"/>
              </w:rPr>
            </w:pPr>
            <w:r w:rsidRPr="0053789E">
              <w:rPr>
                <w:rFonts w:ascii="Arial" w:hAnsi="Arial" w:cs="Arial"/>
                <w:b/>
                <w:sz w:val="18"/>
                <w:szCs w:val="18"/>
              </w:rPr>
              <w:t xml:space="preserve">Burden </w:t>
            </w:r>
            <w:r>
              <w:rPr>
                <w:rFonts w:ascii="Arial" w:hAnsi="Arial" w:cs="Arial"/>
                <w:b/>
                <w:sz w:val="18"/>
                <w:szCs w:val="18"/>
              </w:rPr>
              <w:t>(hours)</w:t>
            </w:r>
          </w:p>
        </w:tc>
        <w:tc>
          <w:tcPr>
            <w:tcW w:w="1256" w:type="dxa"/>
            <w:tcMar>
              <w:top w:w="58" w:type="dxa"/>
              <w:left w:w="115" w:type="dxa"/>
              <w:bottom w:w="58" w:type="dxa"/>
              <w:right w:w="115" w:type="dxa"/>
            </w:tcMar>
          </w:tcPr>
          <w:p w:rsidRPr="0053789E" w:rsidR="00231DFB" w:rsidP="0000795E" w:rsidRDefault="00231DFB" w14:paraId="6CE125F4" w14:textId="77777777">
            <w:pPr>
              <w:widowControl w:val="0"/>
              <w:tabs>
                <w:tab w:val="center" w:pos="4680"/>
              </w:tabs>
              <w:jc w:val="center"/>
              <w:rPr>
                <w:rFonts w:ascii="Arial" w:hAnsi="Arial" w:cs="Arial"/>
                <w:sz w:val="18"/>
                <w:szCs w:val="18"/>
              </w:rPr>
            </w:pPr>
            <w:r w:rsidRPr="0053789E">
              <w:rPr>
                <w:rFonts w:ascii="Arial" w:hAnsi="Arial" w:cs="Arial"/>
                <w:b/>
                <w:sz w:val="18"/>
                <w:szCs w:val="18"/>
              </w:rPr>
              <w:t>Labor Cost</w:t>
            </w:r>
          </w:p>
        </w:tc>
        <w:tc>
          <w:tcPr>
            <w:tcW w:w="1255" w:type="dxa"/>
            <w:tcMar>
              <w:top w:w="58" w:type="dxa"/>
              <w:left w:w="115" w:type="dxa"/>
              <w:bottom w:w="58" w:type="dxa"/>
              <w:right w:w="115" w:type="dxa"/>
            </w:tcMar>
          </w:tcPr>
          <w:p w:rsidRPr="0053789E" w:rsidR="00231DFB" w:rsidP="00DA1037" w:rsidRDefault="00231DFB" w14:paraId="1479E5D3" w14:textId="77777777">
            <w:pPr>
              <w:widowControl w:val="0"/>
              <w:tabs>
                <w:tab w:val="center" w:pos="4680"/>
              </w:tabs>
              <w:jc w:val="center"/>
              <w:rPr>
                <w:rFonts w:ascii="Arial" w:hAnsi="Arial" w:cs="Arial"/>
                <w:sz w:val="18"/>
                <w:szCs w:val="18"/>
              </w:rPr>
            </w:pPr>
            <w:r w:rsidRPr="0053789E">
              <w:rPr>
                <w:rFonts w:ascii="Arial" w:hAnsi="Arial" w:cs="Arial"/>
                <w:b/>
                <w:sz w:val="18"/>
                <w:szCs w:val="18"/>
              </w:rPr>
              <w:t xml:space="preserve">Non-Labor </w:t>
            </w:r>
            <w:r w:rsidRPr="0053789E" w:rsidR="004B4910">
              <w:rPr>
                <w:rFonts w:ascii="Arial" w:hAnsi="Arial" w:cs="Arial"/>
                <w:b/>
                <w:sz w:val="18"/>
                <w:szCs w:val="18"/>
              </w:rPr>
              <w:t>Cost</w:t>
            </w:r>
          </w:p>
        </w:tc>
        <w:tc>
          <w:tcPr>
            <w:tcW w:w="1256" w:type="dxa"/>
            <w:tcMar>
              <w:top w:w="58" w:type="dxa"/>
              <w:left w:w="115" w:type="dxa"/>
              <w:bottom w:w="58" w:type="dxa"/>
              <w:right w:w="115" w:type="dxa"/>
            </w:tcMar>
          </w:tcPr>
          <w:p w:rsidRPr="0053789E" w:rsidR="00231DFB" w:rsidP="0000795E" w:rsidRDefault="00231DFB" w14:paraId="23727D96" w14:textId="77777777">
            <w:pPr>
              <w:widowControl w:val="0"/>
              <w:tabs>
                <w:tab w:val="center" w:pos="4680"/>
              </w:tabs>
              <w:jc w:val="center"/>
              <w:rPr>
                <w:rFonts w:ascii="Arial" w:hAnsi="Arial" w:cs="Arial"/>
                <w:sz w:val="18"/>
                <w:szCs w:val="18"/>
              </w:rPr>
            </w:pPr>
            <w:r w:rsidRPr="0053789E">
              <w:rPr>
                <w:rFonts w:ascii="Arial" w:hAnsi="Arial" w:cs="Arial"/>
                <w:b/>
                <w:sz w:val="18"/>
                <w:szCs w:val="18"/>
              </w:rPr>
              <w:t>Total Cost</w:t>
            </w:r>
          </w:p>
        </w:tc>
        <w:tc>
          <w:tcPr>
            <w:tcW w:w="1255" w:type="dxa"/>
          </w:tcPr>
          <w:p w:rsidRPr="0053789E" w:rsidR="00231DFB" w:rsidP="0000795E" w:rsidRDefault="00231DFB" w14:paraId="7A48A43A" w14:textId="77777777">
            <w:pPr>
              <w:widowControl w:val="0"/>
              <w:tabs>
                <w:tab w:val="center" w:pos="4680"/>
              </w:tabs>
              <w:jc w:val="center"/>
              <w:rPr>
                <w:rFonts w:ascii="Arial" w:hAnsi="Arial" w:cs="Arial"/>
                <w:sz w:val="18"/>
                <w:szCs w:val="18"/>
              </w:rPr>
            </w:pPr>
            <w:r w:rsidRPr="0053789E">
              <w:rPr>
                <w:rFonts w:ascii="Arial" w:hAnsi="Arial" w:cs="Arial"/>
                <w:b/>
                <w:sz w:val="18"/>
                <w:szCs w:val="18"/>
              </w:rPr>
              <w:t>Responses</w:t>
            </w:r>
          </w:p>
        </w:tc>
        <w:tc>
          <w:tcPr>
            <w:tcW w:w="1256" w:type="dxa"/>
          </w:tcPr>
          <w:p w:rsidRPr="0053789E" w:rsidR="00231DFB" w:rsidP="0000795E" w:rsidRDefault="00231DFB" w14:paraId="4FD142E0" w14:textId="77777777">
            <w:pPr>
              <w:widowControl w:val="0"/>
              <w:tabs>
                <w:tab w:val="center" w:pos="4680"/>
              </w:tabs>
              <w:jc w:val="center"/>
              <w:rPr>
                <w:rFonts w:ascii="Arial" w:hAnsi="Arial" w:cs="Arial"/>
                <w:b/>
                <w:sz w:val="18"/>
                <w:szCs w:val="18"/>
              </w:rPr>
            </w:pPr>
            <w:r w:rsidRPr="0053789E">
              <w:rPr>
                <w:rFonts w:ascii="Arial" w:hAnsi="Arial" w:cs="Arial"/>
                <w:b/>
                <w:sz w:val="18"/>
                <w:szCs w:val="18"/>
              </w:rPr>
              <w:t>Burden/ Response</w:t>
            </w:r>
          </w:p>
        </w:tc>
        <w:tc>
          <w:tcPr>
            <w:tcW w:w="1256" w:type="dxa"/>
          </w:tcPr>
          <w:p w:rsidRPr="0053789E" w:rsidR="00231DFB" w:rsidP="0000795E" w:rsidRDefault="00231DFB" w14:paraId="29FF6451" w14:textId="77777777">
            <w:pPr>
              <w:widowControl w:val="0"/>
              <w:tabs>
                <w:tab w:val="center" w:pos="4680"/>
              </w:tabs>
              <w:jc w:val="center"/>
              <w:rPr>
                <w:rFonts w:ascii="Arial" w:hAnsi="Arial" w:cs="Arial"/>
                <w:b/>
                <w:sz w:val="18"/>
                <w:szCs w:val="18"/>
              </w:rPr>
            </w:pPr>
            <w:r w:rsidRPr="0053789E">
              <w:rPr>
                <w:rFonts w:ascii="Arial" w:hAnsi="Arial" w:cs="Arial"/>
                <w:b/>
                <w:sz w:val="18"/>
                <w:szCs w:val="18"/>
              </w:rPr>
              <w:t>Cost/ Response</w:t>
            </w:r>
          </w:p>
        </w:tc>
      </w:tr>
      <w:tr w:rsidR="00B34F6D" w:rsidTr="00890F2F" w14:paraId="16B6EE51" w14:textId="77777777">
        <w:trPr>
          <w:jc w:val="center"/>
        </w:trPr>
        <w:tc>
          <w:tcPr>
            <w:tcW w:w="1471" w:type="dxa"/>
            <w:tcMar>
              <w:top w:w="58" w:type="dxa"/>
              <w:left w:w="115" w:type="dxa"/>
              <w:bottom w:w="58" w:type="dxa"/>
              <w:right w:w="115" w:type="dxa"/>
            </w:tcMar>
          </w:tcPr>
          <w:p w:rsidRPr="0053789E" w:rsidR="00B34F6D" w:rsidP="00B34F6D" w:rsidRDefault="00B34F6D" w14:paraId="48D0A95F" w14:textId="77777777">
            <w:pPr>
              <w:widowControl w:val="0"/>
              <w:tabs>
                <w:tab w:val="center" w:pos="4680"/>
              </w:tabs>
              <w:rPr>
                <w:rFonts w:ascii="Arial" w:hAnsi="Arial" w:cs="Arial"/>
                <w:sz w:val="18"/>
                <w:szCs w:val="18"/>
              </w:rPr>
            </w:pPr>
            <w:r w:rsidRPr="0053789E">
              <w:rPr>
                <w:rFonts w:ascii="Arial" w:hAnsi="Arial" w:cs="Arial"/>
                <w:sz w:val="18"/>
                <w:szCs w:val="18"/>
              </w:rPr>
              <w:t>Operators</w:t>
            </w:r>
          </w:p>
        </w:tc>
        <w:tc>
          <w:tcPr>
            <w:tcW w:w="1255" w:type="dxa"/>
            <w:tcMar>
              <w:top w:w="58" w:type="dxa"/>
              <w:left w:w="115" w:type="dxa"/>
              <w:bottom w:w="58" w:type="dxa"/>
              <w:right w:w="115" w:type="dxa"/>
            </w:tcMar>
            <w:vAlign w:val="bottom"/>
          </w:tcPr>
          <w:p w:rsidRPr="007B78A4" w:rsidR="00B34F6D" w:rsidP="00B34F6D" w:rsidRDefault="00B34F6D" w14:paraId="07FE6B3F" w14:textId="1414180C">
            <w:pPr>
              <w:jc w:val="right"/>
              <w:rPr>
                <w:rFonts w:ascii="Arial" w:hAnsi="Arial" w:cs="Arial"/>
                <w:sz w:val="18"/>
                <w:szCs w:val="18"/>
              </w:rPr>
            </w:pPr>
            <w:r w:rsidRPr="00987426">
              <w:rPr>
                <w:rFonts w:ascii="Arial" w:hAnsi="Arial" w:cs="Arial"/>
                <w:sz w:val="18"/>
                <w:szCs w:val="18"/>
              </w:rPr>
              <w:t>24,657</w:t>
            </w:r>
          </w:p>
        </w:tc>
        <w:tc>
          <w:tcPr>
            <w:tcW w:w="1256" w:type="dxa"/>
            <w:tcMar>
              <w:top w:w="58" w:type="dxa"/>
              <w:left w:w="115" w:type="dxa"/>
              <w:bottom w:w="58" w:type="dxa"/>
              <w:right w:w="115" w:type="dxa"/>
            </w:tcMar>
            <w:vAlign w:val="bottom"/>
          </w:tcPr>
          <w:p w:rsidRPr="007B78A4" w:rsidR="00B34F6D" w:rsidP="00B34F6D" w:rsidRDefault="00B34F6D" w14:paraId="4664F92C" w14:textId="1B985293">
            <w:pPr>
              <w:jc w:val="right"/>
              <w:rPr>
                <w:rFonts w:ascii="Arial" w:hAnsi="Arial" w:cs="Arial"/>
                <w:sz w:val="18"/>
                <w:szCs w:val="18"/>
              </w:rPr>
            </w:pPr>
            <w:r w:rsidRPr="00987426">
              <w:rPr>
                <w:rFonts w:ascii="Arial" w:hAnsi="Arial" w:cs="Arial"/>
                <w:sz w:val="18"/>
                <w:szCs w:val="18"/>
              </w:rPr>
              <w:t xml:space="preserve">$682,927 </w:t>
            </w:r>
          </w:p>
        </w:tc>
        <w:tc>
          <w:tcPr>
            <w:tcW w:w="1255" w:type="dxa"/>
            <w:tcMar>
              <w:top w:w="58" w:type="dxa"/>
              <w:left w:w="115" w:type="dxa"/>
              <w:bottom w:w="58" w:type="dxa"/>
              <w:right w:w="115" w:type="dxa"/>
            </w:tcMar>
            <w:vAlign w:val="bottom"/>
          </w:tcPr>
          <w:p w:rsidRPr="007B78A4" w:rsidR="00B34F6D" w:rsidP="00B34F6D" w:rsidRDefault="00B34F6D" w14:paraId="2AB7EA0C" w14:textId="6ED4B784">
            <w:pPr>
              <w:jc w:val="right"/>
              <w:rPr>
                <w:rFonts w:ascii="Arial" w:hAnsi="Arial" w:cs="Arial"/>
                <w:sz w:val="18"/>
                <w:szCs w:val="18"/>
              </w:rPr>
            </w:pPr>
            <w:r w:rsidRPr="00987426">
              <w:rPr>
                <w:rFonts w:ascii="Arial" w:hAnsi="Arial" w:cs="Arial"/>
                <w:sz w:val="18"/>
                <w:szCs w:val="18"/>
              </w:rPr>
              <w:t xml:space="preserve">$8,722,675 </w:t>
            </w:r>
          </w:p>
        </w:tc>
        <w:tc>
          <w:tcPr>
            <w:tcW w:w="1256" w:type="dxa"/>
            <w:tcMar>
              <w:top w:w="58" w:type="dxa"/>
              <w:left w:w="115" w:type="dxa"/>
              <w:bottom w:w="58" w:type="dxa"/>
              <w:right w:w="115" w:type="dxa"/>
            </w:tcMar>
            <w:vAlign w:val="bottom"/>
          </w:tcPr>
          <w:p w:rsidRPr="007B78A4" w:rsidR="00B34F6D" w:rsidP="00B34F6D" w:rsidRDefault="00B34F6D" w14:paraId="6C9A98C3" w14:textId="69FE678E">
            <w:pPr>
              <w:jc w:val="right"/>
              <w:rPr>
                <w:rFonts w:ascii="Arial" w:hAnsi="Arial" w:cs="Arial"/>
                <w:sz w:val="18"/>
                <w:szCs w:val="18"/>
              </w:rPr>
            </w:pPr>
            <w:r w:rsidRPr="00987426">
              <w:rPr>
                <w:rFonts w:ascii="Arial" w:hAnsi="Arial" w:cs="Arial"/>
                <w:sz w:val="18"/>
                <w:szCs w:val="18"/>
              </w:rPr>
              <w:t xml:space="preserve">$9,405,602 </w:t>
            </w:r>
          </w:p>
        </w:tc>
        <w:tc>
          <w:tcPr>
            <w:tcW w:w="1255" w:type="dxa"/>
            <w:vAlign w:val="bottom"/>
          </w:tcPr>
          <w:p w:rsidRPr="007B78A4" w:rsidR="00B34F6D" w:rsidP="00B34F6D" w:rsidRDefault="00B34F6D" w14:paraId="01E358D8" w14:textId="6BC87C8B">
            <w:pPr>
              <w:jc w:val="right"/>
              <w:rPr>
                <w:rFonts w:ascii="Arial" w:hAnsi="Arial" w:cs="Arial"/>
                <w:sz w:val="18"/>
                <w:szCs w:val="18"/>
              </w:rPr>
            </w:pPr>
            <w:r w:rsidRPr="00987426">
              <w:rPr>
                <w:rFonts w:ascii="Arial" w:hAnsi="Arial" w:cs="Arial"/>
                <w:sz w:val="18"/>
                <w:szCs w:val="18"/>
              </w:rPr>
              <w:t>28,232.5</w:t>
            </w:r>
          </w:p>
        </w:tc>
        <w:tc>
          <w:tcPr>
            <w:tcW w:w="1256" w:type="dxa"/>
            <w:vAlign w:val="bottom"/>
          </w:tcPr>
          <w:p w:rsidRPr="007B78A4" w:rsidR="00B34F6D" w:rsidP="00B34F6D" w:rsidRDefault="00B34F6D" w14:paraId="09D40E72" w14:textId="206F6C5A">
            <w:pPr>
              <w:jc w:val="right"/>
              <w:rPr>
                <w:rFonts w:ascii="Arial" w:hAnsi="Arial" w:cs="Arial"/>
                <w:sz w:val="18"/>
                <w:szCs w:val="18"/>
              </w:rPr>
            </w:pPr>
            <w:r w:rsidRPr="00987426">
              <w:rPr>
                <w:rFonts w:ascii="Arial" w:hAnsi="Arial" w:cs="Arial"/>
                <w:sz w:val="18"/>
                <w:szCs w:val="18"/>
              </w:rPr>
              <w:t>0.87</w:t>
            </w:r>
          </w:p>
        </w:tc>
        <w:tc>
          <w:tcPr>
            <w:tcW w:w="1256" w:type="dxa"/>
            <w:vAlign w:val="bottom"/>
          </w:tcPr>
          <w:p w:rsidRPr="007B78A4" w:rsidR="00B34F6D" w:rsidP="00B34F6D" w:rsidRDefault="00B34F6D" w14:paraId="273AD2D5" w14:textId="252B02F1">
            <w:pPr>
              <w:jc w:val="right"/>
              <w:rPr>
                <w:rFonts w:ascii="Arial" w:hAnsi="Arial" w:cs="Arial"/>
                <w:sz w:val="18"/>
                <w:szCs w:val="18"/>
              </w:rPr>
            </w:pPr>
            <w:r w:rsidRPr="00987426">
              <w:rPr>
                <w:rFonts w:ascii="Arial" w:hAnsi="Arial" w:cs="Arial"/>
                <w:sz w:val="18"/>
                <w:szCs w:val="18"/>
              </w:rPr>
              <w:t xml:space="preserve">$333.15 </w:t>
            </w:r>
          </w:p>
        </w:tc>
      </w:tr>
      <w:tr w:rsidR="00B34F6D" w:rsidTr="00890F2F" w14:paraId="3A5BF2B4" w14:textId="77777777">
        <w:trPr>
          <w:jc w:val="center"/>
        </w:trPr>
        <w:tc>
          <w:tcPr>
            <w:tcW w:w="1471" w:type="dxa"/>
            <w:tcMar>
              <w:top w:w="58" w:type="dxa"/>
              <w:left w:w="115" w:type="dxa"/>
              <w:bottom w:w="58" w:type="dxa"/>
              <w:right w:w="115" w:type="dxa"/>
            </w:tcMar>
          </w:tcPr>
          <w:p w:rsidRPr="0053789E" w:rsidR="00B34F6D" w:rsidP="00B34F6D" w:rsidRDefault="00B34F6D" w14:paraId="02E165D2" w14:textId="77777777">
            <w:pPr>
              <w:widowControl w:val="0"/>
              <w:tabs>
                <w:tab w:val="center" w:pos="4680"/>
              </w:tabs>
              <w:rPr>
                <w:rFonts w:ascii="Arial" w:hAnsi="Arial" w:cs="Arial"/>
                <w:sz w:val="18"/>
                <w:szCs w:val="18"/>
              </w:rPr>
            </w:pPr>
            <w:r w:rsidRPr="0053789E">
              <w:rPr>
                <w:rFonts w:ascii="Arial" w:hAnsi="Arial" w:cs="Arial"/>
                <w:sz w:val="18"/>
                <w:szCs w:val="18"/>
              </w:rPr>
              <w:t>Primacy States</w:t>
            </w:r>
          </w:p>
        </w:tc>
        <w:tc>
          <w:tcPr>
            <w:tcW w:w="1255" w:type="dxa"/>
            <w:tcMar>
              <w:top w:w="58" w:type="dxa"/>
              <w:left w:w="115" w:type="dxa"/>
              <w:bottom w:w="58" w:type="dxa"/>
              <w:right w:w="115" w:type="dxa"/>
            </w:tcMar>
            <w:vAlign w:val="bottom"/>
          </w:tcPr>
          <w:p w:rsidRPr="007B78A4" w:rsidR="00B34F6D" w:rsidP="00B34F6D" w:rsidRDefault="00B34F6D" w14:paraId="1C0BD097" w14:textId="2C472C97">
            <w:pPr>
              <w:jc w:val="right"/>
              <w:rPr>
                <w:rFonts w:ascii="Arial" w:hAnsi="Arial" w:cs="Arial"/>
                <w:sz w:val="18"/>
                <w:szCs w:val="18"/>
              </w:rPr>
            </w:pPr>
            <w:r w:rsidRPr="00987426">
              <w:rPr>
                <w:rFonts w:ascii="Arial" w:hAnsi="Arial" w:cs="Arial"/>
                <w:sz w:val="18"/>
                <w:szCs w:val="18"/>
              </w:rPr>
              <w:t>7,938</w:t>
            </w:r>
          </w:p>
        </w:tc>
        <w:tc>
          <w:tcPr>
            <w:tcW w:w="1256" w:type="dxa"/>
            <w:tcMar>
              <w:top w:w="58" w:type="dxa"/>
              <w:left w:w="115" w:type="dxa"/>
              <w:bottom w:w="58" w:type="dxa"/>
              <w:right w:w="115" w:type="dxa"/>
            </w:tcMar>
            <w:vAlign w:val="bottom"/>
          </w:tcPr>
          <w:p w:rsidRPr="007B78A4" w:rsidR="00B34F6D" w:rsidP="00B34F6D" w:rsidRDefault="00B34F6D" w14:paraId="0C4E01E5" w14:textId="5C39F6B8">
            <w:pPr>
              <w:jc w:val="right"/>
              <w:rPr>
                <w:rFonts w:ascii="Arial" w:hAnsi="Arial" w:cs="Arial"/>
                <w:sz w:val="18"/>
                <w:szCs w:val="18"/>
              </w:rPr>
            </w:pPr>
            <w:r w:rsidRPr="00987426">
              <w:rPr>
                <w:rFonts w:ascii="Arial" w:hAnsi="Arial" w:cs="Arial"/>
                <w:sz w:val="18"/>
                <w:szCs w:val="18"/>
              </w:rPr>
              <w:t xml:space="preserve">$364,494 </w:t>
            </w:r>
          </w:p>
        </w:tc>
        <w:tc>
          <w:tcPr>
            <w:tcW w:w="1255" w:type="dxa"/>
            <w:tcMar>
              <w:top w:w="58" w:type="dxa"/>
              <w:left w:w="115" w:type="dxa"/>
              <w:bottom w:w="58" w:type="dxa"/>
              <w:right w:w="115" w:type="dxa"/>
            </w:tcMar>
            <w:vAlign w:val="bottom"/>
          </w:tcPr>
          <w:p w:rsidRPr="007B78A4" w:rsidR="00B34F6D" w:rsidP="00B34F6D" w:rsidRDefault="00B34F6D" w14:paraId="27AB7689" w14:textId="366EB3B7">
            <w:pPr>
              <w:jc w:val="right"/>
              <w:rPr>
                <w:rFonts w:ascii="Arial" w:hAnsi="Arial" w:cs="Arial"/>
                <w:sz w:val="18"/>
                <w:szCs w:val="18"/>
              </w:rPr>
            </w:pPr>
            <w:r w:rsidRPr="00987426">
              <w:rPr>
                <w:rFonts w:ascii="Arial" w:hAnsi="Arial" w:cs="Arial"/>
                <w:sz w:val="18"/>
                <w:szCs w:val="18"/>
              </w:rPr>
              <w:t xml:space="preserve">$0 </w:t>
            </w:r>
          </w:p>
        </w:tc>
        <w:tc>
          <w:tcPr>
            <w:tcW w:w="1256" w:type="dxa"/>
            <w:tcMar>
              <w:top w:w="58" w:type="dxa"/>
              <w:left w:w="115" w:type="dxa"/>
              <w:bottom w:w="58" w:type="dxa"/>
              <w:right w:w="115" w:type="dxa"/>
            </w:tcMar>
            <w:vAlign w:val="bottom"/>
          </w:tcPr>
          <w:p w:rsidRPr="007B78A4" w:rsidR="00B34F6D" w:rsidP="00B34F6D" w:rsidRDefault="00B34F6D" w14:paraId="77EF3AC6" w14:textId="73813EE1">
            <w:pPr>
              <w:jc w:val="right"/>
              <w:rPr>
                <w:rFonts w:ascii="Arial" w:hAnsi="Arial" w:cs="Arial"/>
                <w:sz w:val="18"/>
                <w:szCs w:val="18"/>
              </w:rPr>
            </w:pPr>
            <w:r w:rsidRPr="00987426">
              <w:rPr>
                <w:rFonts w:ascii="Arial" w:hAnsi="Arial" w:cs="Arial"/>
                <w:sz w:val="18"/>
                <w:szCs w:val="18"/>
              </w:rPr>
              <w:t xml:space="preserve">$364,494 </w:t>
            </w:r>
          </w:p>
        </w:tc>
        <w:tc>
          <w:tcPr>
            <w:tcW w:w="1255" w:type="dxa"/>
            <w:vAlign w:val="bottom"/>
          </w:tcPr>
          <w:p w:rsidRPr="007B78A4" w:rsidR="00B34F6D" w:rsidP="00B34F6D" w:rsidRDefault="00B34F6D" w14:paraId="2FAEADB0" w14:textId="431B0BC5">
            <w:pPr>
              <w:jc w:val="right"/>
              <w:rPr>
                <w:rFonts w:ascii="Arial" w:hAnsi="Arial" w:cs="Arial"/>
                <w:sz w:val="18"/>
                <w:szCs w:val="18"/>
              </w:rPr>
            </w:pPr>
            <w:r w:rsidRPr="00987426">
              <w:rPr>
                <w:rFonts w:ascii="Arial" w:hAnsi="Arial" w:cs="Arial"/>
                <w:sz w:val="18"/>
                <w:szCs w:val="18"/>
              </w:rPr>
              <w:t>14,617.7</w:t>
            </w:r>
          </w:p>
        </w:tc>
        <w:tc>
          <w:tcPr>
            <w:tcW w:w="1256" w:type="dxa"/>
            <w:vAlign w:val="bottom"/>
          </w:tcPr>
          <w:p w:rsidRPr="007B78A4" w:rsidR="00B34F6D" w:rsidP="00B34F6D" w:rsidRDefault="00B34F6D" w14:paraId="5B49FC72" w14:textId="1F857280">
            <w:pPr>
              <w:jc w:val="right"/>
              <w:rPr>
                <w:rFonts w:ascii="Arial" w:hAnsi="Arial" w:cs="Arial"/>
                <w:sz w:val="18"/>
                <w:szCs w:val="18"/>
              </w:rPr>
            </w:pPr>
            <w:r w:rsidRPr="00987426">
              <w:rPr>
                <w:rFonts w:ascii="Arial" w:hAnsi="Arial" w:cs="Arial"/>
                <w:sz w:val="18"/>
                <w:szCs w:val="18"/>
              </w:rPr>
              <w:t>0.54</w:t>
            </w:r>
          </w:p>
        </w:tc>
        <w:tc>
          <w:tcPr>
            <w:tcW w:w="1256" w:type="dxa"/>
            <w:vAlign w:val="bottom"/>
          </w:tcPr>
          <w:p w:rsidRPr="007B78A4" w:rsidR="00B34F6D" w:rsidP="00B34F6D" w:rsidRDefault="00B34F6D" w14:paraId="40669481" w14:textId="0525FB99">
            <w:pPr>
              <w:jc w:val="right"/>
              <w:rPr>
                <w:rFonts w:ascii="Arial" w:hAnsi="Arial" w:cs="Arial"/>
                <w:sz w:val="18"/>
                <w:szCs w:val="18"/>
              </w:rPr>
            </w:pPr>
            <w:r w:rsidRPr="00987426">
              <w:rPr>
                <w:rFonts w:ascii="Arial" w:hAnsi="Arial" w:cs="Arial"/>
                <w:sz w:val="18"/>
                <w:szCs w:val="18"/>
              </w:rPr>
              <w:t xml:space="preserve">$24.94 </w:t>
            </w:r>
          </w:p>
        </w:tc>
      </w:tr>
      <w:tr w:rsidR="00B34F6D" w:rsidTr="00890F2F" w14:paraId="48EF76B8" w14:textId="77777777">
        <w:trPr>
          <w:jc w:val="center"/>
        </w:trPr>
        <w:tc>
          <w:tcPr>
            <w:tcW w:w="1471" w:type="dxa"/>
            <w:tcMar>
              <w:top w:w="58" w:type="dxa"/>
              <w:left w:w="115" w:type="dxa"/>
              <w:bottom w:w="58" w:type="dxa"/>
              <w:right w:w="115" w:type="dxa"/>
            </w:tcMar>
          </w:tcPr>
          <w:p w:rsidRPr="0053789E" w:rsidR="00B34F6D" w:rsidP="00B34F6D" w:rsidRDefault="00B34F6D" w14:paraId="747AB50F" w14:textId="77777777">
            <w:pPr>
              <w:widowControl w:val="0"/>
              <w:tabs>
                <w:tab w:val="center" w:pos="4680"/>
              </w:tabs>
              <w:rPr>
                <w:rFonts w:ascii="Arial" w:hAnsi="Arial" w:cs="Arial"/>
                <w:sz w:val="18"/>
                <w:szCs w:val="18"/>
              </w:rPr>
            </w:pPr>
            <w:r w:rsidRPr="0053789E">
              <w:rPr>
                <w:rFonts w:ascii="Arial" w:hAnsi="Arial" w:cs="Arial"/>
                <w:sz w:val="18"/>
                <w:szCs w:val="18"/>
              </w:rPr>
              <w:t>DI Programs</w:t>
            </w:r>
          </w:p>
        </w:tc>
        <w:tc>
          <w:tcPr>
            <w:tcW w:w="1255" w:type="dxa"/>
            <w:tcMar>
              <w:top w:w="58" w:type="dxa"/>
              <w:left w:w="115" w:type="dxa"/>
              <w:bottom w:w="58" w:type="dxa"/>
              <w:right w:w="115" w:type="dxa"/>
            </w:tcMar>
            <w:vAlign w:val="bottom"/>
          </w:tcPr>
          <w:p w:rsidRPr="007B78A4" w:rsidR="00B34F6D" w:rsidP="00B34F6D" w:rsidRDefault="00B34F6D" w14:paraId="22810034" w14:textId="1BA2DA24">
            <w:pPr>
              <w:jc w:val="right"/>
              <w:rPr>
                <w:rFonts w:ascii="Arial" w:hAnsi="Arial" w:cs="Arial"/>
                <w:sz w:val="18"/>
                <w:szCs w:val="18"/>
              </w:rPr>
            </w:pPr>
            <w:r w:rsidRPr="00987426">
              <w:rPr>
                <w:rFonts w:ascii="Arial" w:hAnsi="Arial" w:cs="Arial"/>
                <w:sz w:val="18"/>
                <w:szCs w:val="18"/>
              </w:rPr>
              <w:t>3,242</w:t>
            </w:r>
          </w:p>
        </w:tc>
        <w:tc>
          <w:tcPr>
            <w:tcW w:w="1256" w:type="dxa"/>
            <w:tcMar>
              <w:top w:w="58" w:type="dxa"/>
              <w:left w:w="115" w:type="dxa"/>
              <w:bottom w:w="58" w:type="dxa"/>
              <w:right w:w="115" w:type="dxa"/>
            </w:tcMar>
            <w:vAlign w:val="bottom"/>
          </w:tcPr>
          <w:p w:rsidRPr="007B78A4" w:rsidR="00B34F6D" w:rsidP="00B34F6D" w:rsidRDefault="00B34F6D" w14:paraId="49F19931" w14:textId="3527EED8">
            <w:pPr>
              <w:jc w:val="right"/>
              <w:rPr>
                <w:rFonts w:ascii="Arial" w:hAnsi="Arial" w:cs="Arial"/>
                <w:sz w:val="18"/>
                <w:szCs w:val="18"/>
              </w:rPr>
            </w:pPr>
            <w:r w:rsidRPr="00987426">
              <w:rPr>
                <w:rFonts w:ascii="Arial" w:hAnsi="Arial" w:cs="Arial"/>
                <w:sz w:val="18"/>
                <w:szCs w:val="18"/>
              </w:rPr>
              <w:t xml:space="preserve">$148,889 </w:t>
            </w:r>
          </w:p>
        </w:tc>
        <w:tc>
          <w:tcPr>
            <w:tcW w:w="1255" w:type="dxa"/>
            <w:tcMar>
              <w:top w:w="58" w:type="dxa"/>
              <w:left w:w="115" w:type="dxa"/>
              <w:bottom w:w="58" w:type="dxa"/>
              <w:right w:w="115" w:type="dxa"/>
            </w:tcMar>
            <w:vAlign w:val="bottom"/>
          </w:tcPr>
          <w:p w:rsidRPr="007B78A4" w:rsidR="00B34F6D" w:rsidP="00B34F6D" w:rsidRDefault="00B34F6D" w14:paraId="548EBF85" w14:textId="7808B3D6">
            <w:pPr>
              <w:jc w:val="right"/>
              <w:rPr>
                <w:rFonts w:ascii="Arial" w:hAnsi="Arial" w:cs="Arial"/>
                <w:sz w:val="18"/>
                <w:szCs w:val="18"/>
              </w:rPr>
            </w:pPr>
            <w:r w:rsidRPr="00987426">
              <w:rPr>
                <w:rFonts w:ascii="Arial" w:hAnsi="Arial" w:cs="Arial"/>
                <w:sz w:val="18"/>
                <w:szCs w:val="18"/>
              </w:rPr>
              <w:t xml:space="preserve">$0 </w:t>
            </w:r>
          </w:p>
        </w:tc>
        <w:tc>
          <w:tcPr>
            <w:tcW w:w="1256" w:type="dxa"/>
            <w:tcMar>
              <w:top w:w="58" w:type="dxa"/>
              <w:left w:w="115" w:type="dxa"/>
              <w:bottom w:w="58" w:type="dxa"/>
              <w:right w:w="115" w:type="dxa"/>
            </w:tcMar>
            <w:vAlign w:val="bottom"/>
          </w:tcPr>
          <w:p w:rsidRPr="007B78A4" w:rsidR="00B34F6D" w:rsidP="00B34F6D" w:rsidRDefault="00B34F6D" w14:paraId="03563F8A" w14:textId="6209598F">
            <w:pPr>
              <w:jc w:val="right"/>
              <w:rPr>
                <w:rFonts w:ascii="Arial" w:hAnsi="Arial" w:cs="Arial"/>
                <w:sz w:val="18"/>
                <w:szCs w:val="18"/>
              </w:rPr>
            </w:pPr>
            <w:r w:rsidRPr="00987426">
              <w:rPr>
                <w:rFonts w:ascii="Arial" w:hAnsi="Arial" w:cs="Arial"/>
                <w:sz w:val="18"/>
                <w:szCs w:val="18"/>
              </w:rPr>
              <w:t xml:space="preserve">$148,889 </w:t>
            </w:r>
          </w:p>
        </w:tc>
        <w:tc>
          <w:tcPr>
            <w:tcW w:w="1255" w:type="dxa"/>
            <w:vAlign w:val="bottom"/>
          </w:tcPr>
          <w:p w:rsidRPr="007B78A4" w:rsidR="00B34F6D" w:rsidP="00B34F6D" w:rsidRDefault="00B34F6D" w14:paraId="1ED04C07" w14:textId="54826B07">
            <w:pPr>
              <w:jc w:val="right"/>
              <w:rPr>
                <w:rFonts w:ascii="Arial" w:hAnsi="Arial" w:cs="Arial"/>
                <w:sz w:val="18"/>
                <w:szCs w:val="18"/>
              </w:rPr>
            </w:pPr>
            <w:r w:rsidRPr="00987426">
              <w:rPr>
                <w:rFonts w:ascii="Arial" w:hAnsi="Arial" w:cs="Arial"/>
                <w:sz w:val="18"/>
                <w:szCs w:val="18"/>
              </w:rPr>
              <w:t>6,229.7</w:t>
            </w:r>
          </w:p>
        </w:tc>
        <w:tc>
          <w:tcPr>
            <w:tcW w:w="1256" w:type="dxa"/>
            <w:vAlign w:val="bottom"/>
          </w:tcPr>
          <w:p w:rsidRPr="007B78A4" w:rsidR="00B34F6D" w:rsidP="00B34F6D" w:rsidRDefault="00B34F6D" w14:paraId="3801798B" w14:textId="76FEDA4A">
            <w:pPr>
              <w:jc w:val="right"/>
              <w:rPr>
                <w:rFonts w:ascii="Arial" w:hAnsi="Arial" w:cs="Arial"/>
                <w:sz w:val="18"/>
                <w:szCs w:val="18"/>
              </w:rPr>
            </w:pPr>
            <w:r w:rsidRPr="00987426">
              <w:rPr>
                <w:rFonts w:ascii="Arial" w:hAnsi="Arial" w:cs="Arial"/>
                <w:sz w:val="18"/>
                <w:szCs w:val="18"/>
              </w:rPr>
              <w:t>0.52</w:t>
            </w:r>
          </w:p>
        </w:tc>
        <w:tc>
          <w:tcPr>
            <w:tcW w:w="1256" w:type="dxa"/>
            <w:vAlign w:val="bottom"/>
          </w:tcPr>
          <w:p w:rsidRPr="007B78A4" w:rsidR="00B34F6D" w:rsidP="00B34F6D" w:rsidRDefault="00B34F6D" w14:paraId="2BA08A89" w14:textId="3F403A05">
            <w:pPr>
              <w:jc w:val="right"/>
              <w:rPr>
                <w:rFonts w:ascii="Arial" w:hAnsi="Arial" w:cs="Arial"/>
                <w:sz w:val="18"/>
                <w:szCs w:val="18"/>
              </w:rPr>
            </w:pPr>
            <w:r w:rsidRPr="00987426">
              <w:rPr>
                <w:rFonts w:ascii="Arial" w:hAnsi="Arial" w:cs="Arial"/>
                <w:sz w:val="18"/>
                <w:szCs w:val="18"/>
              </w:rPr>
              <w:t xml:space="preserve">$23.90 </w:t>
            </w:r>
          </w:p>
        </w:tc>
      </w:tr>
      <w:tr w:rsidR="00B34F6D" w:rsidTr="00B15016" w14:paraId="0C29FDA7" w14:textId="77777777">
        <w:trPr>
          <w:jc w:val="center"/>
        </w:trPr>
        <w:tc>
          <w:tcPr>
            <w:tcW w:w="1471" w:type="dxa"/>
            <w:tcBorders>
              <w:bottom w:val="single" w:color="auto" w:sz="4" w:space="0"/>
            </w:tcBorders>
            <w:tcMar>
              <w:top w:w="58" w:type="dxa"/>
              <w:left w:w="115" w:type="dxa"/>
              <w:bottom w:w="58" w:type="dxa"/>
              <w:right w:w="115" w:type="dxa"/>
            </w:tcMar>
          </w:tcPr>
          <w:p w:rsidRPr="0053789E" w:rsidR="00B34F6D" w:rsidP="00B34F6D" w:rsidRDefault="00B34F6D" w14:paraId="25AA5F97" w14:textId="77777777">
            <w:pPr>
              <w:widowControl w:val="0"/>
              <w:tabs>
                <w:tab w:val="center" w:pos="4680"/>
              </w:tabs>
              <w:rPr>
                <w:rFonts w:ascii="Arial" w:hAnsi="Arial" w:cs="Arial"/>
                <w:b/>
                <w:sz w:val="18"/>
                <w:szCs w:val="18"/>
              </w:rPr>
            </w:pPr>
            <w:r w:rsidRPr="0053789E">
              <w:rPr>
                <w:rFonts w:ascii="Arial" w:hAnsi="Arial" w:cs="Arial"/>
                <w:b/>
                <w:sz w:val="18"/>
                <w:szCs w:val="18"/>
              </w:rPr>
              <w:t>TOTAL</w:t>
            </w:r>
          </w:p>
        </w:tc>
        <w:tc>
          <w:tcPr>
            <w:tcW w:w="1255" w:type="dxa"/>
            <w:tcBorders>
              <w:bottom w:val="single" w:color="auto" w:sz="4" w:space="0"/>
            </w:tcBorders>
            <w:tcMar>
              <w:top w:w="58" w:type="dxa"/>
              <w:left w:w="115" w:type="dxa"/>
              <w:bottom w:w="58" w:type="dxa"/>
              <w:right w:w="115" w:type="dxa"/>
            </w:tcMar>
            <w:vAlign w:val="bottom"/>
          </w:tcPr>
          <w:p w:rsidRPr="007B78A4" w:rsidR="00B34F6D" w:rsidP="00B34F6D" w:rsidRDefault="00B34F6D" w14:paraId="1421E92B" w14:textId="4B34DE6C">
            <w:pPr>
              <w:jc w:val="right"/>
              <w:rPr>
                <w:rFonts w:ascii="Arial" w:hAnsi="Arial" w:cs="Arial"/>
                <w:b/>
                <w:bCs/>
                <w:sz w:val="18"/>
                <w:szCs w:val="18"/>
              </w:rPr>
            </w:pPr>
            <w:r w:rsidRPr="00987426">
              <w:rPr>
                <w:rFonts w:ascii="Arial" w:hAnsi="Arial" w:cs="Arial"/>
                <w:b/>
                <w:bCs/>
                <w:sz w:val="18"/>
                <w:szCs w:val="18"/>
              </w:rPr>
              <w:t>35,837</w:t>
            </w:r>
          </w:p>
        </w:tc>
        <w:tc>
          <w:tcPr>
            <w:tcW w:w="1256" w:type="dxa"/>
            <w:tcBorders>
              <w:bottom w:val="single" w:color="auto" w:sz="4" w:space="0"/>
            </w:tcBorders>
            <w:tcMar>
              <w:top w:w="58" w:type="dxa"/>
              <w:left w:w="115" w:type="dxa"/>
              <w:bottom w:w="58" w:type="dxa"/>
              <w:right w:w="115" w:type="dxa"/>
            </w:tcMar>
            <w:vAlign w:val="bottom"/>
          </w:tcPr>
          <w:p w:rsidRPr="007B78A4" w:rsidR="00B34F6D" w:rsidP="00B34F6D" w:rsidRDefault="00B34F6D" w14:paraId="73FACAC5" w14:textId="7B4E9294">
            <w:pPr>
              <w:jc w:val="right"/>
              <w:rPr>
                <w:rFonts w:ascii="Arial" w:hAnsi="Arial" w:cs="Arial"/>
                <w:b/>
                <w:bCs/>
                <w:sz w:val="18"/>
                <w:szCs w:val="18"/>
              </w:rPr>
            </w:pPr>
            <w:r w:rsidRPr="00987426">
              <w:rPr>
                <w:rFonts w:ascii="Arial" w:hAnsi="Arial" w:cs="Arial"/>
                <w:b/>
                <w:bCs/>
                <w:sz w:val="18"/>
                <w:szCs w:val="18"/>
              </w:rPr>
              <w:t xml:space="preserve">$1,196,310 </w:t>
            </w:r>
          </w:p>
        </w:tc>
        <w:tc>
          <w:tcPr>
            <w:tcW w:w="1255" w:type="dxa"/>
            <w:tcBorders>
              <w:bottom w:val="single" w:color="auto" w:sz="4" w:space="0"/>
            </w:tcBorders>
            <w:tcMar>
              <w:top w:w="58" w:type="dxa"/>
              <w:left w:w="115" w:type="dxa"/>
              <w:bottom w:w="58" w:type="dxa"/>
              <w:right w:w="115" w:type="dxa"/>
            </w:tcMar>
            <w:vAlign w:val="bottom"/>
          </w:tcPr>
          <w:p w:rsidRPr="007B78A4" w:rsidR="00B34F6D" w:rsidP="00B34F6D" w:rsidRDefault="00B34F6D" w14:paraId="7741D196" w14:textId="6F50205B">
            <w:pPr>
              <w:jc w:val="right"/>
              <w:rPr>
                <w:rFonts w:ascii="Arial" w:hAnsi="Arial" w:cs="Arial"/>
                <w:b/>
                <w:bCs/>
                <w:sz w:val="18"/>
                <w:szCs w:val="18"/>
              </w:rPr>
            </w:pPr>
            <w:r w:rsidRPr="00987426">
              <w:rPr>
                <w:rFonts w:ascii="Arial" w:hAnsi="Arial" w:cs="Arial"/>
                <w:b/>
                <w:bCs/>
                <w:sz w:val="18"/>
                <w:szCs w:val="18"/>
              </w:rPr>
              <w:t xml:space="preserve">$8,722,675 </w:t>
            </w:r>
          </w:p>
        </w:tc>
        <w:tc>
          <w:tcPr>
            <w:tcW w:w="1256" w:type="dxa"/>
            <w:tcBorders>
              <w:bottom w:val="single" w:color="auto" w:sz="4" w:space="0"/>
            </w:tcBorders>
            <w:tcMar>
              <w:top w:w="58" w:type="dxa"/>
              <w:left w:w="115" w:type="dxa"/>
              <w:bottom w:w="58" w:type="dxa"/>
              <w:right w:w="115" w:type="dxa"/>
            </w:tcMar>
            <w:vAlign w:val="bottom"/>
          </w:tcPr>
          <w:p w:rsidRPr="007B78A4" w:rsidR="00B34F6D" w:rsidP="00B34F6D" w:rsidRDefault="00B34F6D" w14:paraId="33126898" w14:textId="50DC0893">
            <w:pPr>
              <w:jc w:val="right"/>
              <w:rPr>
                <w:rFonts w:ascii="Arial" w:hAnsi="Arial" w:cs="Arial"/>
                <w:b/>
                <w:bCs/>
                <w:sz w:val="18"/>
                <w:szCs w:val="18"/>
              </w:rPr>
            </w:pPr>
            <w:r w:rsidRPr="00987426">
              <w:rPr>
                <w:rFonts w:ascii="Arial" w:hAnsi="Arial" w:cs="Arial"/>
                <w:b/>
                <w:bCs/>
                <w:sz w:val="18"/>
                <w:szCs w:val="18"/>
              </w:rPr>
              <w:t xml:space="preserve">$9,918,985 </w:t>
            </w:r>
          </w:p>
        </w:tc>
        <w:tc>
          <w:tcPr>
            <w:tcW w:w="1255" w:type="dxa"/>
            <w:tcBorders>
              <w:bottom w:val="single" w:color="auto" w:sz="4" w:space="0"/>
            </w:tcBorders>
            <w:vAlign w:val="bottom"/>
          </w:tcPr>
          <w:p w:rsidRPr="007B78A4" w:rsidR="00B34F6D" w:rsidP="00B34F6D" w:rsidRDefault="00B34F6D" w14:paraId="644367DB" w14:textId="093433D2">
            <w:pPr>
              <w:jc w:val="right"/>
              <w:rPr>
                <w:rFonts w:ascii="Arial" w:hAnsi="Arial" w:cs="Arial"/>
                <w:b/>
                <w:bCs/>
                <w:sz w:val="18"/>
                <w:szCs w:val="18"/>
              </w:rPr>
            </w:pPr>
            <w:r w:rsidRPr="00987426">
              <w:rPr>
                <w:rFonts w:ascii="Arial" w:hAnsi="Arial" w:cs="Arial"/>
                <w:b/>
                <w:bCs/>
                <w:sz w:val="18"/>
                <w:szCs w:val="18"/>
              </w:rPr>
              <w:t>49,079.9</w:t>
            </w:r>
          </w:p>
        </w:tc>
        <w:tc>
          <w:tcPr>
            <w:tcW w:w="1256" w:type="dxa"/>
            <w:tcBorders>
              <w:bottom w:val="single" w:color="auto" w:sz="4" w:space="0"/>
            </w:tcBorders>
            <w:vAlign w:val="bottom"/>
          </w:tcPr>
          <w:p w:rsidRPr="007B78A4" w:rsidR="00B34F6D" w:rsidP="00B34F6D" w:rsidRDefault="00B34F6D" w14:paraId="08F43832" w14:textId="5BDB7C9D">
            <w:pPr>
              <w:jc w:val="right"/>
              <w:rPr>
                <w:rFonts w:ascii="Arial" w:hAnsi="Arial" w:cs="Arial"/>
                <w:b/>
                <w:bCs/>
                <w:sz w:val="18"/>
                <w:szCs w:val="18"/>
              </w:rPr>
            </w:pPr>
            <w:r w:rsidRPr="00987426">
              <w:rPr>
                <w:rFonts w:ascii="Arial" w:hAnsi="Arial" w:cs="Arial"/>
                <w:b/>
                <w:bCs/>
                <w:sz w:val="18"/>
                <w:szCs w:val="18"/>
              </w:rPr>
              <w:t>0.73</w:t>
            </w:r>
          </w:p>
        </w:tc>
        <w:tc>
          <w:tcPr>
            <w:tcW w:w="1256" w:type="dxa"/>
            <w:tcBorders>
              <w:bottom w:val="single" w:color="auto" w:sz="4" w:space="0"/>
            </w:tcBorders>
            <w:vAlign w:val="bottom"/>
          </w:tcPr>
          <w:p w:rsidRPr="007B78A4" w:rsidR="00B34F6D" w:rsidP="00B34F6D" w:rsidRDefault="00B34F6D" w14:paraId="1C1C7E67" w14:textId="0AAB28E1">
            <w:pPr>
              <w:jc w:val="right"/>
              <w:rPr>
                <w:rFonts w:ascii="Arial" w:hAnsi="Arial" w:cs="Arial"/>
                <w:b/>
                <w:bCs/>
                <w:sz w:val="18"/>
                <w:szCs w:val="18"/>
              </w:rPr>
            </w:pPr>
            <w:r w:rsidRPr="00987426">
              <w:rPr>
                <w:rFonts w:ascii="Arial" w:hAnsi="Arial" w:cs="Arial"/>
                <w:b/>
                <w:bCs/>
                <w:sz w:val="18"/>
                <w:szCs w:val="18"/>
              </w:rPr>
              <w:t xml:space="preserve">$202.10 </w:t>
            </w:r>
          </w:p>
        </w:tc>
      </w:tr>
      <w:tr w:rsidR="00B34F6D" w:rsidTr="00B15016" w14:paraId="1343783E" w14:textId="77777777">
        <w:trPr>
          <w:jc w:val="center"/>
        </w:trPr>
        <w:tc>
          <w:tcPr>
            <w:tcW w:w="10260" w:type="dxa"/>
            <w:gridSpan w:val="8"/>
            <w:tcBorders>
              <w:left w:val="nil"/>
              <w:bottom w:val="nil"/>
              <w:right w:val="nil"/>
            </w:tcBorders>
            <w:tcMar>
              <w:top w:w="58" w:type="dxa"/>
              <w:left w:w="115" w:type="dxa"/>
              <w:bottom w:w="58" w:type="dxa"/>
              <w:right w:w="115" w:type="dxa"/>
            </w:tcMar>
          </w:tcPr>
          <w:p w:rsidR="00B34F6D" w:rsidP="00B34F6D" w:rsidRDefault="00B34F6D" w14:paraId="41F4A70A" w14:textId="77777777">
            <w:pPr>
              <w:rPr>
                <w:rFonts w:ascii="Arial" w:hAnsi="Arial" w:cs="Arial"/>
                <w:bCs/>
                <w:sz w:val="18"/>
                <w:szCs w:val="18"/>
              </w:rPr>
            </w:pPr>
            <w:r w:rsidRPr="00B15016">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due to rounding.</w:t>
            </w:r>
          </w:p>
          <w:p w:rsidRPr="004D6AB2" w:rsidR="00B34F6D" w:rsidP="00B34F6D" w:rsidRDefault="00B34F6D" w14:paraId="61B90D63" w14:textId="77777777">
            <w:pPr>
              <w:rPr>
                <w:rFonts w:ascii="Arial" w:hAnsi="Arial" w:cs="Arial"/>
                <w:b/>
                <w:bCs/>
                <w:sz w:val="18"/>
                <w:szCs w:val="18"/>
              </w:rPr>
            </w:pPr>
          </w:p>
        </w:tc>
      </w:tr>
    </w:tbl>
    <w:p w:rsidR="00231DFB" w:rsidP="0000795E" w:rsidRDefault="00231DFB" w14:paraId="1E689DDE" w14:textId="77777777">
      <w:pPr>
        <w:widowControl w:val="0"/>
        <w:tabs>
          <w:tab w:val="center" w:pos="4680"/>
        </w:tabs>
      </w:pPr>
    </w:p>
    <w:p w:rsidR="009C5A2B" w:rsidP="003E14C0" w:rsidRDefault="009C5A2B" w14:paraId="2E7D2218" w14:textId="77777777">
      <w:pPr>
        <w:keepNext/>
        <w:keepLines/>
        <w:widowControl w:val="0"/>
        <w:ind w:left="720"/>
        <w:rPr>
          <w:sz w:val="24"/>
          <w:szCs w:val="24"/>
        </w:rPr>
      </w:pPr>
      <w:r w:rsidRPr="002F35C0">
        <w:rPr>
          <w:i/>
          <w:sz w:val="24"/>
          <w:szCs w:val="24"/>
        </w:rPr>
        <w:t>Class VI Well Operators</w:t>
      </w:r>
    </w:p>
    <w:p w:rsidR="009C5A2B" w:rsidP="002F35C0" w:rsidRDefault="009C5A2B" w14:paraId="1191C166" w14:textId="77777777">
      <w:pPr>
        <w:keepNext/>
        <w:keepLines/>
        <w:widowControl w:val="0"/>
        <w:tabs>
          <w:tab w:val="center" w:pos="4680"/>
        </w:tabs>
      </w:pPr>
    </w:p>
    <w:p w:rsidR="000E4361" w:rsidP="002F35C0" w:rsidRDefault="00874915" w14:paraId="1FB50EE5" w14:textId="3492B5C8">
      <w:pPr>
        <w:keepNext/>
        <w:keepLines/>
        <w:widowControl w:val="0"/>
        <w:rPr>
          <w:sz w:val="24"/>
          <w:szCs w:val="24"/>
        </w:rPr>
      </w:pPr>
      <w:r>
        <w:rPr>
          <w:sz w:val="24"/>
          <w:szCs w:val="24"/>
        </w:rPr>
        <w:tab/>
      </w:r>
      <w:r w:rsidR="000E4361">
        <w:rPr>
          <w:sz w:val="24"/>
          <w:szCs w:val="24"/>
        </w:rPr>
        <w:t xml:space="preserve">EPA estimates that the burden on </w:t>
      </w:r>
      <w:r w:rsidR="008C5D49">
        <w:rPr>
          <w:sz w:val="24"/>
          <w:szCs w:val="24"/>
        </w:rPr>
        <w:t xml:space="preserve">about </w:t>
      </w:r>
      <w:r w:rsidR="005974B5">
        <w:rPr>
          <w:sz w:val="24"/>
          <w:szCs w:val="24"/>
        </w:rPr>
        <w:t>17</w:t>
      </w:r>
      <w:r w:rsidR="002B10CF">
        <w:rPr>
          <w:sz w:val="24"/>
          <w:szCs w:val="24"/>
        </w:rPr>
        <w:t xml:space="preserve"> </w:t>
      </w:r>
      <w:r w:rsidR="000E4361">
        <w:rPr>
          <w:sz w:val="24"/>
          <w:szCs w:val="24"/>
        </w:rPr>
        <w:t xml:space="preserve">Class VI well operators </w:t>
      </w:r>
      <w:r w:rsidR="00714F4D">
        <w:rPr>
          <w:sz w:val="24"/>
          <w:szCs w:val="24"/>
        </w:rPr>
        <w:t>(</w:t>
      </w:r>
      <w:r w:rsidR="00B34F6D">
        <w:rPr>
          <w:sz w:val="24"/>
          <w:szCs w:val="24"/>
        </w:rPr>
        <w:t>who inject carbon dioxide for the purpose of geologic sequestration</w:t>
      </w:r>
      <w:r w:rsidR="00714F4D">
        <w:rPr>
          <w:sz w:val="24"/>
          <w:szCs w:val="24"/>
        </w:rPr>
        <w:t>)</w:t>
      </w:r>
      <w:r w:rsidR="00B34F6D">
        <w:rPr>
          <w:sz w:val="24"/>
          <w:szCs w:val="24"/>
        </w:rPr>
        <w:t xml:space="preserve"> </w:t>
      </w:r>
      <w:r w:rsidR="00714F4D">
        <w:rPr>
          <w:sz w:val="24"/>
          <w:szCs w:val="24"/>
        </w:rPr>
        <w:t xml:space="preserve">that are </w:t>
      </w:r>
      <w:r w:rsidR="000E4361">
        <w:rPr>
          <w:sz w:val="24"/>
          <w:szCs w:val="24"/>
        </w:rPr>
        <w:t xml:space="preserve">subject to this information collection during the clearance period will </w:t>
      </w:r>
      <w:r w:rsidRPr="005D07C4" w:rsidR="000E4361">
        <w:rPr>
          <w:sz w:val="24"/>
          <w:szCs w:val="24"/>
        </w:rPr>
        <w:t xml:space="preserve">be </w:t>
      </w:r>
      <w:r w:rsidRPr="005974B5" w:rsidR="005974B5">
        <w:rPr>
          <w:sz w:val="24"/>
          <w:szCs w:val="24"/>
        </w:rPr>
        <w:t>49,649</w:t>
      </w:r>
      <w:r w:rsidRPr="005D07C4" w:rsidR="000D24C5">
        <w:rPr>
          <w:sz w:val="24"/>
          <w:szCs w:val="24"/>
        </w:rPr>
        <w:t xml:space="preserve"> </w:t>
      </w:r>
      <w:r w:rsidRPr="005D07C4" w:rsidR="000E4361">
        <w:rPr>
          <w:sz w:val="24"/>
          <w:szCs w:val="24"/>
        </w:rPr>
        <w:t>hours</w:t>
      </w:r>
      <w:r w:rsidR="000E4361">
        <w:rPr>
          <w:sz w:val="24"/>
          <w:szCs w:val="24"/>
        </w:rPr>
        <w:t xml:space="preserve"> annually</w:t>
      </w:r>
      <w:r w:rsidR="00F84502">
        <w:rPr>
          <w:sz w:val="24"/>
          <w:szCs w:val="24"/>
        </w:rPr>
        <w:t xml:space="preserve">. </w:t>
      </w:r>
    </w:p>
    <w:p w:rsidR="000E4361" w:rsidP="00874915" w:rsidRDefault="000E4361" w14:paraId="00091A72" w14:textId="77777777">
      <w:pPr>
        <w:widowControl w:val="0"/>
        <w:rPr>
          <w:sz w:val="24"/>
          <w:szCs w:val="24"/>
        </w:rPr>
      </w:pPr>
    </w:p>
    <w:p w:rsidR="00874915" w:rsidP="00121FDB" w:rsidRDefault="00C248D0" w14:paraId="7848442E" w14:textId="1B12EE2B">
      <w:pPr>
        <w:widowControl w:val="0"/>
        <w:rPr>
          <w:sz w:val="24"/>
          <w:szCs w:val="24"/>
        </w:rPr>
      </w:pPr>
      <w:r>
        <w:rPr>
          <w:sz w:val="24"/>
          <w:szCs w:val="24"/>
        </w:rPr>
        <w:tab/>
        <w:t>Owners or operators of Class VI wells</w:t>
      </w:r>
      <w:r w:rsidR="008D087A">
        <w:rPr>
          <w:sz w:val="24"/>
          <w:szCs w:val="24"/>
        </w:rPr>
        <w:t xml:space="preserve"> who inject CO</w:t>
      </w:r>
      <w:r w:rsidRPr="00AF41AC" w:rsidR="008D087A">
        <w:rPr>
          <w:sz w:val="24"/>
          <w:szCs w:val="24"/>
          <w:vertAlign w:val="subscript"/>
        </w:rPr>
        <w:t>2</w:t>
      </w:r>
      <w:r w:rsidR="008D087A">
        <w:rPr>
          <w:sz w:val="24"/>
          <w:szCs w:val="24"/>
        </w:rPr>
        <w:t xml:space="preserve"> for geologic sequestration</w:t>
      </w:r>
      <w:r>
        <w:rPr>
          <w:sz w:val="24"/>
          <w:szCs w:val="24"/>
        </w:rPr>
        <w:t xml:space="preserve"> must</w:t>
      </w:r>
      <w:r w:rsidR="00121FDB">
        <w:rPr>
          <w:sz w:val="24"/>
          <w:szCs w:val="24"/>
        </w:rPr>
        <w:t xml:space="preserve"> </w:t>
      </w:r>
      <w:r w:rsidR="001F0AEB">
        <w:rPr>
          <w:sz w:val="24"/>
          <w:szCs w:val="24"/>
        </w:rPr>
        <w:t xml:space="preserve">submit permit applications and perform </w:t>
      </w:r>
      <w:r w:rsidRPr="00121FDB" w:rsidR="00121FDB">
        <w:rPr>
          <w:sz w:val="24"/>
          <w:szCs w:val="24"/>
        </w:rPr>
        <w:t>start-up-related reporting, demonstrat</w:t>
      </w:r>
      <w:r w:rsidR="001F0AEB">
        <w:rPr>
          <w:sz w:val="24"/>
          <w:szCs w:val="24"/>
        </w:rPr>
        <w:t xml:space="preserve">e </w:t>
      </w:r>
      <w:r w:rsidRPr="00121FDB" w:rsidR="00121FDB">
        <w:rPr>
          <w:sz w:val="24"/>
          <w:szCs w:val="24"/>
        </w:rPr>
        <w:t xml:space="preserve">financial responsibility, </w:t>
      </w:r>
      <w:r w:rsidR="001F0AEB">
        <w:rPr>
          <w:sz w:val="24"/>
          <w:szCs w:val="24"/>
        </w:rPr>
        <w:t xml:space="preserve">perform </w:t>
      </w:r>
      <w:r w:rsidRPr="00121FDB" w:rsidR="00121FDB">
        <w:rPr>
          <w:sz w:val="24"/>
          <w:szCs w:val="24"/>
        </w:rPr>
        <w:t xml:space="preserve">monitoring and testing, </w:t>
      </w:r>
      <w:r w:rsidR="001F0AEB">
        <w:rPr>
          <w:sz w:val="24"/>
          <w:szCs w:val="24"/>
        </w:rPr>
        <w:t xml:space="preserve">conduct </w:t>
      </w:r>
      <w:r w:rsidRPr="00121FDB" w:rsidR="00121FDB">
        <w:rPr>
          <w:sz w:val="24"/>
          <w:szCs w:val="24"/>
        </w:rPr>
        <w:t>AoR reevaluations and associated plan revisions</w:t>
      </w:r>
      <w:r w:rsidR="002B10CF">
        <w:rPr>
          <w:sz w:val="24"/>
          <w:szCs w:val="24"/>
        </w:rPr>
        <w:t xml:space="preserve"> during injection operations</w:t>
      </w:r>
      <w:r w:rsidRPr="00121FDB" w:rsidR="00121FDB">
        <w:rPr>
          <w:sz w:val="24"/>
          <w:szCs w:val="24"/>
        </w:rPr>
        <w:t xml:space="preserve">, and </w:t>
      </w:r>
      <w:r w:rsidR="001F0AEB">
        <w:rPr>
          <w:sz w:val="24"/>
          <w:szCs w:val="24"/>
        </w:rPr>
        <w:t xml:space="preserve">conduct </w:t>
      </w:r>
      <w:r w:rsidRPr="00121FDB" w:rsidR="00121FDB">
        <w:rPr>
          <w:sz w:val="24"/>
          <w:szCs w:val="24"/>
        </w:rPr>
        <w:t>closure and post-injection site care related activities.</w:t>
      </w:r>
      <w:r>
        <w:rPr>
          <w:sz w:val="24"/>
          <w:szCs w:val="24"/>
        </w:rPr>
        <w:t xml:space="preserve"> </w:t>
      </w:r>
      <w:r w:rsidR="00874915">
        <w:rPr>
          <w:sz w:val="24"/>
          <w:szCs w:val="24"/>
        </w:rPr>
        <w:t>See Exhibit 6-1F and Appendix A.</w:t>
      </w:r>
    </w:p>
    <w:p w:rsidR="009C5A2B" w:rsidP="0000795E" w:rsidRDefault="009C5A2B" w14:paraId="076C7E78" w14:textId="77777777">
      <w:pPr>
        <w:widowControl w:val="0"/>
        <w:tabs>
          <w:tab w:val="center" w:pos="4680"/>
        </w:tabs>
      </w:pPr>
    </w:p>
    <w:p w:rsidR="00874915" w:rsidP="0000795E" w:rsidRDefault="00874915" w14:paraId="683C761E" w14:textId="77777777">
      <w:pPr>
        <w:widowControl w:val="0"/>
        <w:tabs>
          <w:tab w:val="center" w:pos="4680"/>
        </w:tabs>
      </w:pPr>
    </w:p>
    <w:tbl>
      <w:tblPr>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71"/>
        <w:gridCol w:w="1255"/>
        <w:gridCol w:w="1256"/>
        <w:gridCol w:w="1255"/>
        <w:gridCol w:w="1243"/>
        <w:gridCol w:w="1215"/>
        <w:gridCol w:w="1215"/>
        <w:gridCol w:w="1440"/>
      </w:tblGrid>
      <w:tr w:rsidR="009C5A2B" w:rsidTr="009902D4" w14:paraId="44D8C76E" w14:textId="77777777">
        <w:trPr>
          <w:jc w:val="center"/>
        </w:trPr>
        <w:tc>
          <w:tcPr>
            <w:tcW w:w="10350" w:type="dxa"/>
            <w:gridSpan w:val="8"/>
            <w:tcMar>
              <w:top w:w="58" w:type="dxa"/>
              <w:left w:w="115" w:type="dxa"/>
              <w:bottom w:w="58" w:type="dxa"/>
              <w:right w:w="115" w:type="dxa"/>
            </w:tcMar>
          </w:tcPr>
          <w:p w:rsidR="009C5A2B" w:rsidP="00905389" w:rsidRDefault="009C5A2B" w14:paraId="728C4366" w14:textId="77777777">
            <w:pPr>
              <w:keepNext/>
              <w:keepLines/>
              <w:widowControl w:val="0"/>
              <w:tabs>
                <w:tab w:val="center" w:pos="4680"/>
              </w:tabs>
              <w:jc w:val="center"/>
              <w:rPr>
                <w:rFonts w:ascii="Arial" w:hAnsi="Arial" w:cs="Arial"/>
                <w:b/>
              </w:rPr>
            </w:pPr>
            <w:r w:rsidRPr="00905389">
              <w:rPr>
                <w:rFonts w:ascii="Arial" w:hAnsi="Arial" w:cs="Arial"/>
                <w:b/>
              </w:rPr>
              <w:t>Exhibit 6-1F</w:t>
            </w:r>
          </w:p>
          <w:p w:rsidR="009C5A2B" w:rsidP="00905389" w:rsidRDefault="009C5A2B" w14:paraId="0A028C7B" w14:textId="77777777">
            <w:pPr>
              <w:keepNext/>
              <w:keepLines/>
              <w:widowControl w:val="0"/>
              <w:tabs>
                <w:tab w:val="center" w:pos="4680"/>
              </w:tabs>
              <w:jc w:val="center"/>
              <w:rPr>
                <w:rFonts w:ascii="Arial" w:hAnsi="Arial" w:cs="Arial"/>
                <w:b/>
              </w:rPr>
            </w:pPr>
            <w:r>
              <w:rPr>
                <w:rFonts w:ascii="Arial" w:hAnsi="Arial" w:cs="Arial"/>
                <w:b/>
              </w:rPr>
              <w:t>Annual Burden and Cost Associated with Class VI Wells</w:t>
            </w:r>
          </w:p>
          <w:p w:rsidRPr="0053789E" w:rsidR="009C5A2B" w:rsidP="00905389" w:rsidRDefault="00926C92" w14:paraId="1ED3F7DE" w14:textId="7B549AFC">
            <w:pPr>
              <w:keepNext/>
              <w:keepLines/>
              <w:widowControl w:val="0"/>
              <w:tabs>
                <w:tab w:val="center" w:pos="4680"/>
              </w:tabs>
              <w:jc w:val="center"/>
              <w:rPr>
                <w:rFonts w:ascii="Arial" w:hAnsi="Arial" w:cs="Arial"/>
                <w:b/>
                <w:sz w:val="18"/>
                <w:szCs w:val="18"/>
              </w:rPr>
            </w:pPr>
            <w:r>
              <w:rPr>
                <w:rFonts w:ascii="Arial" w:hAnsi="Arial" w:cs="Arial"/>
                <w:b/>
              </w:rPr>
              <w:t>2022-2024</w:t>
            </w:r>
          </w:p>
        </w:tc>
      </w:tr>
      <w:tr w:rsidR="009C5A2B" w:rsidTr="003E55DE" w14:paraId="19A29058" w14:textId="77777777">
        <w:trPr>
          <w:jc w:val="center"/>
        </w:trPr>
        <w:tc>
          <w:tcPr>
            <w:tcW w:w="1471" w:type="dxa"/>
            <w:tcMar>
              <w:top w:w="58" w:type="dxa"/>
              <w:left w:w="115" w:type="dxa"/>
              <w:bottom w:w="58" w:type="dxa"/>
              <w:right w:w="115" w:type="dxa"/>
            </w:tcMar>
          </w:tcPr>
          <w:p w:rsidRPr="0053789E" w:rsidR="009C5A2B" w:rsidP="00905389" w:rsidRDefault="009C5A2B" w14:paraId="4B67A140"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Respondent Type</w:t>
            </w:r>
          </w:p>
        </w:tc>
        <w:tc>
          <w:tcPr>
            <w:tcW w:w="1255" w:type="dxa"/>
            <w:tcMar>
              <w:top w:w="58" w:type="dxa"/>
              <w:left w:w="115" w:type="dxa"/>
              <w:bottom w:w="58" w:type="dxa"/>
              <w:right w:w="115" w:type="dxa"/>
            </w:tcMar>
          </w:tcPr>
          <w:p w:rsidRPr="0053789E" w:rsidR="009C5A2B" w:rsidP="00905389" w:rsidRDefault="009C5A2B" w14:paraId="61A1E95E"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Burden </w:t>
            </w:r>
            <w:r>
              <w:rPr>
                <w:rFonts w:ascii="Arial" w:hAnsi="Arial" w:cs="Arial"/>
                <w:b/>
                <w:sz w:val="18"/>
                <w:szCs w:val="18"/>
              </w:rPr>
              <w:t>(hours)</w:t>
            </w:r>
          </w:p>
        </w:tc>
        <w:tc>
          <w:tcPr>
            <w:tcW w:w="1256" w:type="dxa"/>
            <w:tcMar>
              <w:top w:w="58" w:type="dxa"/>
              <w:left w:w="115" w:type="dxa"/>
              <w:bottom w:w="58" w:type="dxa"/>
              <w:right w:w="115" w:type="dxa"/>
            </w:tcMar>
          </w:tcPr>
          <w:p w:rsidRPr="0053789E" w:rsidR="009C5A2B" w:rsidP="00905389" w:rsidRDefault="009C5A2B" w14:paraId="1B82A22D"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Labor Cost</w:t>
            </w:r>
          </w:p>
        </w:tc>
        <w:tc>
          <w:tcPr>
            <w:tcW w:w="1255" w:type="dxa"/>
            <w:tcMar>
              <w:top w:w="58" w:type="dxa"/>
              <w:left w:w="115" w:type="dxa"/>
              <w:bottom w:w="58" w:type="dxa"/>
              <w:right w:w="115" w:type="dxa"/>
            </w:tcMar>
          </w:tcPr>
          <w:p w:rsidRPr="0053789E" w:rsidR="009C5A2B" w:rsidP="00905389" w:rsidRDefault="009C5A2B" w14:paraId="7D9468D1"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Non-Labor Cost</w:t>
            </w:r>
          </w:p>
        </w:tc>
        <w:tc>
          <w:tcPr>
            <w:tcW w:w="1243" w:type="dxa"/>
            <w:tcMar>
              <w:top w:w="58" w:type="dxa"/>
              <w:left w:w="115" w:type="dxa"/>
              <w:bottom w:w="58" w:type="dxa"/>
              <w:right w:w="115" w:type="dxa"/>
            </w:tcMar>
          </w:tcPr>
          <w:p w:rsidRPr="0053789E" w:rsidR="009C5A2B" w:rsidP="00905389" w:rsidRDefault="009C5A2B" w14:paraId="41861D46"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Total Cost</w:t>
            </w:r>
          </w:p>
        </w:tc>
        <w:tc>
          <w:tcPr>
            <w:tcW w:w="1215" w:type="dxa"/>
          </w:tcPr>
          <w:p w:rsidRPr="0053789E" w:rsidR="009C5A2B" w:rsidP="00905389" w:rsidRDefault="009C5A2B" w14:paraId="511DF04D"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Responses</w:t>
            </w:r>
          </w:p>
        </w:tc>
        <w:tc>
          <w:tcPr>
            <w:tcW w:w="1215" w:type="dxa"/>
          </w:tcPr>
          <w:p w:rsidRPr="0053789E" w:rsidR="009C5A2B" w:rsidP="00905389" w:rsidRDefault="009C5A2B" w14:paraId="0498AD11" w14:textId="77777777">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Burden/ Response</w:t>
            </w:r>
          </w:p>
        </w:tc>
        <w:tc>
          <w:tcPr>
            <w:tcW w:w="1440" w:type="dxa"/>
          </w:tcPr>
          <w:p w:rsidRPr="0053789E" w:rsidR="009C5A2B" w:rsidP="00905389" w:rsidRDefault="009C5A2B" w14:paraId="703418A6" w14:textId="77777777">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Cost/ Response</w:t>
            </w:r>
          </w:p>
        </w:tc>
      </w:tr>
      <w:tr w:rsidR="005974B5" w:rsidTr="003E55DE" w14:paraId="0A49B7EF" w14:textId="77777777">
        <w:trPr>
          <w:jc w:val="center"/>
        </w:trPr>
        <w:tc>
          <w:tcPr>
            <w:tcW w:w="1471" w:type="dxa"/>
            <w:tcMar>
              <w:top w:w="58" w:type="dxa"/>
              <w:left w:w="115" w:type="dxa"/>
              <w:bottom w:w="58" w:type="dxa"/>
              <w:right w:w="115" w:type="dxa"/>
            </w:tcMar>
          </w:tcPr>
          <w:p w:rsidRPr="0053789E" w:rsidR="005974B5" w:rsidP="005974B5" w:rsidRDefault="005974B5" w14:paraId="0C883326" w14:textId="77777777">
            <w:pPr>
              <w:keepNext/>
              <w:keepLines/>
              <w:widowControl w:val="0"/>
              <w:tabs>
                <w:tab w:val="center" w:pos="4680"/>
              </w:tabs>
              <w:rPr>
                <w:rFonts w:ascii="Arial" w:hAnsi="Arial" w:cs="Arial"/>
                <w:sz w:val="18"/>
                <w:szCs w:val="18"/>
              </w:rPr>
            </w:pPr>
            <w:r w:rsidRPr="0053789E">
              <w:rPr>
                <w:rFonts w:ascii="Arial" w:hAnsi="Arial" w:cs="Arial"/>
                <w:sz w:val="18"/>
                <w:szCs w:val="18"/>
              </w:rPr>
              <w:t>Operators</w:t>
            </w:r>
          </w:p>
        </w:tc>
        <w:tc>
          <w:tcPr>
            <w:tcW w:w="1255" w:type="dxa"/>
            <w:tcMar>
              <w:top w:w="58" w:type="dxa"/>
              <w:left w:w="115" w:type="dxa"/>
              <w:bottom w:w="58" w:type="dxa"/>
              <w:right w:w="115" w:type="dxa"/>
            </w:tcMar>
            <w:vAlign w:val="bottom"/>
          </w:tcPr>
          <w:p w:rsidRPr="009D24D3" w:rsidR="005974B5" w:rsidP="005974B5" w:rsidRDefault="005974B5" w14:paraId="601EEE9A" w14:textId="7A265C0F">
            <w:pPr>
              <w:jc w:val="right"/>
              <w:rPr>
                <w:rFonts w:ascii="Arial" w:hAnsi="Arial" w:cs="Arial"/>
                <w:sz w:val="18"/>
                <w:szCs w:val="18"/>
              </w:rPr>
            </w:pPr>
            <w:r w:rsidRPr="005E1D19">
              <w:rPr>
                <w:rFonts w:ascii="Arial" w:hAnsi="Arial" w:cs="Arial"/>
                <w:sz w:val="18"/>
                <w:szCs w:val="18"/>
              </w:rPr>
              <w:t>49,649</w:t>
            </w:r>
          </w:p>
        </w:tc>
        <w:tc>
          <w:tcPr>
            <w:tcW w:w="1256" w:type="dxa"/>
            <w:tcMar>
              <w:top w:w="58" w:type="dxa"/>
              <w:left w:w="115" w:type="dxa"/>
              <w:bottom w:w="58" w:type="dxa"/>
              <w:right w:w="115" w:type="dxa"/>
            </w:tcMar>
            <w:vAlign w:val="bottom"/>
          </w:tcPr>
          <w:p w:rsidRPr="009D24D3" w:rsidR="005974B5" w:rsidP="005974B5" w:rsidRDefault="005974B5" w14:paraId="1DB473D2" w14:textId="0E67D633">
            <w:pPr>
              <w:jc w:val="right"/>
              <w:rPr>
                <w:rFonts w:ascii="Arial" w:hAnsi="Arial" w:cs="Arial"/>
                <w:sz w:val="18"/>
                <w:szCs w:val="18"/>
              </w:rPr>
            </w:pPr>
            <w:r w:rsidRPr="005E1D19">
              <w:rPr>
                <w:rFonts w:ascii="Arial" w:hAnsi="Arial" w:cs="Arial"/>
                <w:sz w:val="18"/>
                <w:szCs w:val="18"/>
              </w:rPr>
              <w:t xml:space="preserve">$5,651,568 </w:t>
            </w:r>
          </w:p>
        </w:tc>
        <w:tc>
          <w:tcPr>
            <w:tcW w:w="1255" w:type="dxa"/>
            <w:tcMar>
              <w:top w:w="58" w:type="dxa"/>
              <w:left w:w="115" w:type="dxa"/>
              <w:bottom w:w="58" w:type="dxa"/>
              <w:right w:w="115" w:type="dxa"/>
            </w:tcMar>
            <w:vAlign w:val="bottom"/>
          </w:tcPr>
          <w:p w:rsidRPr="009D24D3" w:rsidR="005974B5" w:rsidP="005974B5" w:rsidRDefault="005974B5" w14:paraId="2ECC0C04" w14:textId="1781E77F">
            <w:pPr>
              <w:jc w:val="right"/>
              <w:rPr>
                <w:rFonts w:ascii="Arial" w:hAnsi="Arial" w:cs="Arial"/>
                <w:sz w:val="18"/>
                <w:szCs w:val="18"/>
              </w:rPr>
            </w:pPr>
            <w:r w:rsidRPr="005E1D19">
              <w:rPr>
                <w:rFonts w:ascii="Arial" w:hAnsi="Arial" w:cs="Arial"/>
                <w:sz w:val="18"/>
                <w:szCs w:val="18"/>
              </w:rPr>
              <w:t xml:space="preserve">$68,575,264 </w:t>
            </w:r>
          </w:p>
        </w:tc>
        <w:tc>
          <w:tcPr>
            <w:tcW w:w="1243" w:type="dxa"/>
            <w:tcMar>
              <w:top w:w="58" w:type="dxa"/>
              <w:left w:w="115" w:type="dxa"/>
              <w:bottom w:w="58" w:type="dxa"/>
              <w:right w:w="115" w:type="dxa"/>
            </w:tcMar>
            <w:vAlign w:val="bottom"/>
          </w:tcPr>
          <w:p w:rsidRPr="009D24D3" w:rsidR="005974B5" w:rsidP="005974B5" w:rsidRDefault="005974B5" w14:paraId="64F5CF4A" w14:textId="63C8263F">
            <w:pPr>
              <w:jc w:val="right"/>
              <w:rPr>
                <w:rFonts w:ascii="Arial" w:hAnsi="Arial" w:cs="Arial"/>
                <w:sz w:val="18"/>
                <w:szCs w:val="18"/>
              </w:rPr>
            </w:pPr>
            <w:r w:rsidRPr="005E1D19">
              <w:rPr>
                <w:rFonts w:ascii="Arial" w:hAnsi="Arial" w:cs="Arial"/>
                <w:sz w:val="18"/>
                <w:szCs w:val="18"/>
              </w:rPr>
              <w:t xml:space="preserve">$74,226,832 </w:t>
            </w:r>
          </w:p>
        </w:tc>
        <w:tc>
          <w:tcPr>
            <w:tcW w:w="1215" w:type="dxa"/>
            <w:vAlign w:val="bottom"/>
          </w:tcPr>
          <w:p w:rsidRPr="009D24D3" w:rsidR="005974B5" w:rsidP="005974B5" w:rsidRDefault="005974B5" w14:paraId="451E41EB" w14:textId="3799A76F">
            <w:pPr>
              <w:jc w:val="right"/>
              <w:rPr>
                <w:rFonts w:ascii="Arial" w:hAnsi="Arial" w:cs="Arial"/>
                <w:sz w:val="18"/>
                <w:szCs w:val="18"/>
              </w:rPr>
            </w:pPr>
            <w:r w:rsidRPr="005E1D19">
              <w:rPr>
                <w:rFonts w:ascii="Arial" w:hAnsi="Arial" w:cs="Arial"/>
                <w:sz w:val="18"/>
                <w:szCs w:val="18"/>
              </w:rPr>
              <w:t>230.3</w:t>
            </w:r>
          </w:p>
        </w:tc>
        <w:tc>
          <w:tcPr>
            <w:tcW w:w="1215" w:type="dxa"/>
            <w:vAlign w:val="bottom"/>
          </w:tcPr>
          <w:p w:rsidRPr="009D24D3" w:rsidR="005974B5" w:rsidP="005974B5" w:rsidRDefault="005974B5" w14:paraId="34D3ADC3" w14:textId="03296A13">
            <w:pPr>
              <w:jc w:val="right"/>
              <w:rPr>
                <w:rFonts w:ascii="Arial" w:hAnsi="Arial" w:cs="Arial"/>
                <w:sz w:val="18"/>
                <w:szCs w:val="18"/>
              </w:rPr>
            </w:pPr>
            <w:r w:rsidRPr="005E1D19">
              <w:rPr>
                <w:rFonts w:ascii="Arial" w:hAnsi="Arial" w:cs="Arial"/>
                <w:sz w:val="18"/>
                <w:szCs w:val="18"/>
              </w:rPr>
              <w:t>215.61</w:t>
            </w:r>
          </w:p>
        </w:tc>
        <w:tc>
          <w:tcPr>
            <w:tcW w:w="1440" w:type="dxa"/>
            <w:vAlign w:val="bottom"/>
          </w:tcPr>
          <w:p w:rsidRPr="009D24D3" w:rsidR="005974B5" w:rsidP="005974B5" w:rsidRDefault="005974B5" w14:paraId="37BDE011" w14:textId="654F19E4">
            <w:pPr>
              <w:jc w:val="right"/>
              <w:rPr>
                <w:rFonts w:ascii="Arial" w:hAnsi="Arial" w:cs="Arial"/>
                <w:sz w:val="18"/>
                <w:szCs w:val="18"/>
              </w:rPr>
            </w:pPr>
            <w:r w:rsidRPr="005E1D19">
              <w:rPr>
                <w:rFonts w:ascii="Arial" w:hAnsi="Arial" w:cs="Arial"/>
                <w:sz w:val="18"/>
                <w:szCs w:val="18"/>
              </w:rPr>
              <w:t xml:space="preserve">$322,351.62 </w:t>
            </w:r>
          </w:p>
        </w:tc>
      </w:tr>
      <w:tr w:rsidR="005974B5" w:rsidTr="003E55DE" w14:paraId="1DC8A806" w14:textId="77777777">
        <w:trPr>
          <w:jc w:val="center"/>
        </w:trPr>
        <w:tc>
          <w:tcPr>
            <w:tcW w:w="1471" w:type="dxa"/>
            <w:tcMar>
              <w:top w:w="58" w:type="dxa"/>
              <w:left w:w="115" w:type="dxa"/>
              <w:bottom w:w="58" w:type="dxa"/>
              <w:right w:w="115" w:type="dxa"/>
            </w:tcMar>
          </w:tcPr>
          <w:p w:rsidRPr="0053789E" w:rsidR="005974B5" w:rsidP="005974B5" w:rsidRDefault="005974B5" w14:paraId="4921F170" w14:textId="77777777">
            <w:pPr>
              <w:keepNext/>
              <w:keepLines/>
              <w:widowControl w:val="0"/>
              <w:tabs>
                <w:tab w:val="center" w:pos="4680"/>
              </w:tabs>
              <w:rPr>
                <w:rFonts w:ascii="Arial" w:hAnsi="Arial" w:cs="Arial"/>
                <w:sz w:val="18"/>
                <w:szCs w:val="18"/>
              </w:rPr>
            </w:pPr>
            <w:r w:rsidRPr="0053789E">
              <w:rPr>
                <w:rFonts w:ascii="Arial" w:hAnsi="Arial" w:cs="Arial"/>
                <w:sz w:val="18"/>
                <w:szCs w:val="18"/>
              </w:rPr>
              <w:t>Primacy States</w:t>
            </w:r>
          </w:p>
        </w:tc>
        <w:tc>
          <w:tcPr>
            <w:tcW w:w="1255" w:type="dxa"/>
            <w:tcMar>
              <w:top w:w="58" w:type="dxa"/>
              <w:left w:w="115" w:type="dxa"/>
              <w:bottom w:w="58" w:type="dxa"/>
              <w:right w:w="115" w:type="dxa"/>
            </w:tcMar>
            <w:vAlign w:val="bottom"/>
          </w:tcPr>
          <w:p w:rsidRPr="009D24D3" w:rsidR="005974B5" w:rsidP="005974B5" w:rsidRDefault="005974B5" w14:paraId="36383692" w14:textId="101187E3">
            <w:pPr>
              <w:jc w:val="right"/>
              <w:rPr>
                <w:rFonts w:ascii="Arial" w:hAnsi="Arial" w:cs="Arial"/>
                <w:sz w:val="18"/>
                <w:szCs w:val="18"/>
              </w:rPr>
            </w:pPr>
            <w:r w:rsidRPr="005E1D19">
              <w:rPr>
                <w:rFonts w:ascii="Arial" w:hAnsi="Arial" w:cs="Arial"/>
                <w:sz w:val="18"/>
                <w:szCs w:val="18"/>
              </w:rPr>
              <w:t>6,951</w:t>
            </w:r>
          </w:p>
        </w:tc>
        <w:tc>
          <w:tcPr>
            <w:tcW w:w="1256" w:type="dxa"/>
            <w:tcMar>
              <w:top w:w="58" w:type="dxa"/>
              <w:left w:w="115" w:type="dxa"/>
              <w:bottom w:w="58" w:type="dxa"/>
              <w:right w:w="115" w:type="dxa"/>
            </w:tcMar>
            <w:vAlign w:val="bottom"/>
          </w:tcPr>
          <w:p w:rsidRPr="009D24D3" w:rsidR="005974B5" w:rsidP="005974B5" w:rsidRDefault="005974B5" w14:paraId="2592538F" w14:textId="33903467">
            <w:pPr>
              <w:jc w:val="right"/>
              <w:rPr>
                <w:rFonts w:ascii="Arial" w:hAnsi="Arial" w:cs="Arial"/>
                <w:sz w:val="18"/>
                <w:szCs w:val="18"/>
              </w:rPr>
            </w:pPr>
            <w:r w:rsidRPr="005E1D19">
              <w:rPr>
                <w:rFonts w:ascii="Arial" w:hAnsi="Arial" w:cs="Arial"/>
                <w:sz w:val="18"/>
                <w:szCs w:val="18"/>
              </w:rPr>
              <w:t xml:space="preserve">$319,198 </w:t>
            </w:r>
          </w:p>
        </w:tc>
        <w:tc>
          <w:tcPr>
            <w:tcW w:w="1255" w:type="dxa"/>
            <w:tcMar>
              <w:top w:w="58" w:type="dxa"/>
              <w:left w:w="115" w:type="dxa"/>
              <w:bottom w:w="58" w:type="dxa"/>
              <w:right w:w="115" w:type="dxa"/>
            </w:tcMar>
            <w:vAlign w:val="bottom"/>
          </w:tcPr>
          <w:p w:rsidRPr="009D24D3" w:rsidR="005974B5" w:rsidP="005974B5" w:rsidRDefault="005974B5" w14:paraId="799C6A97" w14:textId="640CC2F3">
            <w:pPr>
              <w:jc w:val="right"/>
              <w:rPr>
                <w:rFonts w:ascii="Arial" w:hAnsi="Arial" w:cs="Arial"/>
                <w:sz w:val="18"/>
                <w:szCs w:val="18"/>
              </w:rPr>
            </w:pPr>
            <w:r w:rsidRPr="005E1D19">
              <w:rPr>
                <w:rFonts w:ascii="Arial" w:hAnsi="Arial" w:cs="Arial"/>
                <w:sz w:val="18"/>
                <w:szCs w:val="18"/>
              </w:rPr>
              <w:t xml:space="preserve">$0 </w:t>
            </w:r>
          </w:p>
        </w:tc>
        <w:tc>
          <w:tcPr>
            <w:tcW w:w="1243" w:type="dxa"/>
            <w:tcMar>
              <w:top w:w="58" w:type="dxa"/>
              <w:left w:w="115" w:type="dxa"/>
              <w:bottom w:w="58" w:type="dxa"/>
              <w:right w:w="115" w:type="dxa"/>
            </w:tcMar>
            <w:vAlign w:val="bottom"/>
          </w:tcPr>
          <w:p w:rsidRPr="009D24D3" w:rsidR="005974B5" w:rsidP="005974B5" w:rsidRDefault="005974B5" w14:paraId="00B2144D" w14:textId="08357E0F">
            <w:pPr>
              <w:jc w:val="right"/>
              <w:rPr>
                <w:rFonts w:ascii="Arial" w:hAnsi="Arial" w:cs="Arial"/>
                <w:sz w:val="18"/>
                <w:szCs w:val="18"/>
              </w:rPr>
            </w:pPr>
            <w:r w:rsidRPr="005E1D19">
              <w:rPr>
                <w:rFonts w:ascii="Arial" w:hAnsi="Arial" w:cs="Arial"/>
                <w:sz w:val="18"/>
                <w:szCs w:val="18"/>
              </w:rPr>
              <w:t xml:space="preserve">$319,198 </w:t>
            </w:r>
          </w:p>
        </w:tc>
        <w:tc>
          <w:tcPr>
            <w:tcW w:w="1215" w:type="dxa"/>
            <w:vAlign w:val="bottom"/>
          </w:tcPr>
          <w:p w:rsidRPr="009D24D3" w:rsidR="005974B5" w:rsidP="005974B5" w:rsidRDefault="005974B5" w14:paraId="4AC181BF" w14:textId="19D24ACC">
            <w:pPr>
              <w:jc w:val="right"/>
              <w:rPr>
                <w:rFonts w:ascii="Arial" w:hAnsi="Arial" w:cs="Arial"/>
                <w:sz w:val="18"/>
                <w:szCs w:val="18"/>
              </w:rPr>
            </w:pPr>
            <w:r w:rsidRPr="005E1D19">
              <w:rPr>
                <w:rFonts w:ascii="Arial" w:hAnsi="Arial" w:cs="Arial"/>
                <w:sz w:val="18"/>
                <w:szCs w:val="18"/>
              </w:rPr>
              <w:t>22.3</w:t>
            </w:r>
          </w:p>
        </w:tc>
        <w:tc>
          <w:tcPr>
            <w:tcW w:w="1215" w:type="dxa"/>
            <w:vAlign w:val="bottom"/>
          </w:tcPr>
          <w:p w:rsidRPr="009D24D3" w:rsidR="005974B5" w:rsidP="005974B5" w:rsidRDefault="005974B5" w14:paraId="7C9B69EE" w14:textId="25D134E5">
            <w:pPr>
              <w:jc w:val="right"/>
              <w:rPr>
                <w:rFonts w:ascii="Arial" w:hAnsi="Arial" w:cs="Arial"/>
                <w:sz w:val="18"/>
                <w:szCs w:val="18"/>
              </w:rPr>
            </w:pPr>
            <w:r w:rsidRPr="005E1D19">
              <w:rPr>
                <w:rFonts w:ascii="Arial" w:hAnsi="Arial" w:cs="Arial"/>
                <w:sz w:val="18"/>
                <w:szCs w:val="18"/>
              </w:rPr>
              <w:t>311.25</w:t>
            </w:r>
          </w:p>
        </w:tc>
        <w:tc>
          <w:tcPr>
            <w:tcW w:w="1440" w:type="dxa"/>
            <w:vAlign w:val="bottom"/>
          </w:tcPr>
          <w:p w:rsidRPr="009D24D3" w:rsidR="005974B5" w:rsidP="005974B5" w:rsidRDefault="005974B5" w14:paraId="713BCA31" w14:textId="69783743">
            <w:pPr>
              <w:jc w:val="right"/>
              <w:rPr>
                <w:rFonts w:ascii="Arial" w:hAnsi="Arial" w:cs="Arial"/>
                <w:sz w:val="18"/>
                <w:szCs w:val="18"/>
              </w:rPr>
            </w:pPr>
            <w:r w:rsidRPr="005E1D19">
              <w:rPr>
                <w:rFonts w:ascii="Arial" w:hAnsi="Arial" w:cs="Arial"/>
                <w:sz w:val="18"/>
                <w:szCs w:val="18"/>
              </w:rPr>
              <w:t xml:space="preserve">$14,292.43 </w:t>
            </w:r>
          </w:p>
        </w:tc>
      </w:tr>
      <w:tr w:rsidR="005974B5" w:rsidTr="003E55DE" w14:paraId="19ACD2BD" w14:textId="77777777">
        <w:trPr>
          <w:jc w:val="center"/>
        </w:trPr>
        <w:tc>
          <w:tcPr>
            <w:tcW w:w="1471" w:type="dxa"/>
            <w:tcMar>
              <w:top w:w="58" w:type="dxa"/>
              <w:left w:w="115" w:type="dxa"/>
              <w:bottom w:w="58" w:type="dxa"/>
              <w:right w:w="115" w:type="dxa"/>
            </w:tcMar>
          </w:tcPr>
          <w:p w:rsidRPr="0053789E" w:rsidR="005974B5" w:rsidP="005974B5" w:rsidRDefault="005974B5" w14:paraId="35E2A926" w14:textId="77777777">
            <w:pPr>
              <w:keepNext/>
              <w:keepLines/>
              <w:widowControl w:val="0"/>
              <w:tabs>
                <w:tab w:val="center" w:pos="4680"/>
              </w:tabs>
              <w:rPr>
                <w:rFonts w:ascii="Arial" w:hAnsi="Arial" w:cs="Arial"/>
                <w:sz w:val="18"/>
                <w:szCs w:val="18"/>
              </w:rPr>
            </w:pPr>
            <w:r w:rsidRPr="0053789E">
              <w:rPr>
                <w:rFonts w:ascii="Arial" w:hAnsi="Arial" w:cs="Arial"/>
                <w:sz w:val="18"/>
                <w:szCs w:val="18"/>
              </w:rPr>
              <w:t>DI Programs</w:t>
            </w:r>
          </w:p>
        </w:tc>
        <w:tc>
          <w:tcPr>
            <w:tcW w:w="1255" w:type="dxa"/>
            <w:tcMar>
              <w:top w:w="58" w:type="dxa"/>
              <w:left w:w="115" w:type="dxa"/>
              <w:bottom w:w="58" w:type="dxa"/>
              <w:right w:w="115" w:type="dxa"/>
            </w:tcMar>
            <w:vAlign w:val="bottom"/>
          </w:tcPr>
          <w:p w:rsidRPr="009D24D3" w:rsidR="005974B5" w:rsidP="005974B5" w:rsidRDefault="005974B5" w14:paraId="537FEEC5" w14:textId="72FE0513">
            <w:pPr>
              <w:jc w:val="right"/>
              <w:rPr>
                <w:rFonts w:ascii="Arial" w:hAnsi="Arial" w:cs="Arial"/>
                <w:sz w:val="18"/>
                <w:szCs w:val="18"/>
              </w:rPr>
            </w:pPr>
            <w:r w:rsidRPr="005E1D19">
              <w:rPr>
                <w:rFonts w:ascii="Arial" w:hAnsi="Arial" w:cs="Arial"/>
                <w:sz w:val="18"/>
                <w:szCs w:val="18"/>
              </w:rPr>
              <w:t>9,060</w:t>
            </w:r>
          </w:p>
        </w:tc>
        <w:tc>
          <w:tcPr>
            <w:tcW w:w="1256" w:type="dxa"/>
            <w:tcMar>
              <w:top w:w="58" w:type="dxa"/>
              <w:left w:w="115" w:type="dxa"/>
              <w:bottom w:w="58" w:type="dxa"/>
              <w:right w:w="115" w:type="dxa"/>
            </w:tcMar>
            <w:vAlign w:val="bottom"/>
          </w:tcPr>
          <w:p w:rsidRPr="009D24D3" w:rsidR="005974B5" w:rsidP="005974B5" w:rsidRDefault="005974B5" w14:paraId="6DF7DED8" w14:textId="58E0B77B">
            <w:pPr>
              <w:jc w:val="right"/>
              <w:rPr>
                <w:rFonts w:ascii="Arial" w:hAnsi="Arial" w:cs="Arial"/>
                <w:sz w:val="18"/>
                <w:szCs w:val="18"/>
              </w:rPr>
            </w:pPr>
            <w:r w:rsidRPr="005E1D19">
              <w:rPr>
                <w:rFonts w:ascii="Arial" w:hAnsi="Arial" w:cs="Arial"/>
                <w:sz w:val="18"/>
                <w:szCs w:val="18"/>
              </w:rPr>
              <w:t xml:space="preserve">$416,028 </w:t>
            </w:r>
          </w:p>
        </w:tc>
        <w:tc>
          <w:tcPr>
            <w:tcW w:w="1255" w:type="dxa"/>
            <w:tcMar>
              <w:top w:w="58" w:type="dxa"/>
              <w:left w:w="115" w:type="dxa"/>
              <w:bottom w:w="58" w:type="dxa"/>
              <w:right w:w="115" w:type="dxa"/>
            </w:tcMar>
            <w:vAlign w:val="bottom"/>
          </w:tcPr>
          <w:p w:rsidRPr="009D24D3" w:rsidR="005974B5" w:rsidP="005974B5" w:rsidRDefault="005974B5" w14:paraId="592CF828" w14:textId="561436AF">
            <w:pPr>
              <w:jc w:val="right"/>
              <w:rPr>
                <w:rFonts w:ascii="Arial" w:hAnsi="Arial" w:cs="Arial"/>
                <w:sz w:val="18"/>
                <w:szCs w:val="18"/>
              </w:rPr>
            </w:pPr>
            <w:r w:rsidRPr="005E1D19">
              <w:rPr>
                <w:rFonts w:ascii="Arial" w:hAnsi="Arial" w:cs="Arial"/>
                <w:sz w:val="18"/>
                <w:szCs w:val="18"/>
              </w:rPr>
              <w:t xml:space="preserve">$0 </w:t>
            </w:r>
          </w:p>
        </w:tc>
        <w:tc>
          <w:tcPr>
            <w:tcW w:w="1243" w:type="dxa"/>
            <w:tcMar>
              <w:top w:w="58" w:type="dxa"/>
              <w:left w:w="115" w:type="dxa"/>
              <w:bottom w:w="58" w:type="dxa"/>
              <w:right w:w="115" w:type="dxa"/>
            </w:tcMar>
            <w:vAlign w:val="bottom"/>
          </w:tcPr>
          <w:p w:rsidRPr="009D24D3" w:rsidR="005974B5" w:rsidP="005974B5" w:rsidRDefault="005974B5" w14:paraId="2D3901C1" w14:textId="101C69D9">
            <w:pPr>
              <w:jc w:val="right"/>
              <w:rPr>
                <w:rFonts w:ascii="Arial" w:hAnsi="Arial" w:cs="Arial"/>
                <w:sz w:val="18"/>
                <w:szCs w:val="18"/>
              </w:rPr>
            </w:pPr>
            <w:r w:rsidRPr="005E1D19">
              <w:rPr>
                <w:rFonts w:ascii="Arial" w:hAnsi="Arial" w:cs="Arial"/>
                <w:sz w:val="18"/>
                <w:szCs w:val="18"/>
              </w:rPr>
              <w:t xml:space="preserve">$416,028 </w:t>
            </w:r>
          </w:p>
        </w:tc>
        <w:tc>
          <w:tcPr>
            <w:tcW w:w="1215" w:type="dxa"/>
            <w:vAlign w:val="bottom"/>
          </w:tcPr>
          <w:p w:rsidRPr="009D24D3" w:rsidR="005974B5" w:rsidP="005974B5" w:rsidRDefault="005974B5" w14:paraId="7F05202D" w14:textId="28BA8516">
            <w:pPr>
              <w:jc w:val="right"/>
              <w:rPr>
                <w:rFonts w:ascii="Arial" w:hAnsi="Arial" w:cs="Arial"/>
                <w:sz w:val="18"/>
                <w:szCs w:val="18"/>
              </w:rPr>
            </w:pPr>
            <w:r w:rsidRPr="005E1D19">
              <w:rPr>
                <w:rFonts w:ascii="Arial" w:hAnsi="Arial" w:cs="Arial"/>
                <w:sz w:val="18"/>
                <w:szCs w:val="18"/>
              </w:rPr>
              <w:t>43.1</w:t>
            </w:r>
          </w:p>
        </w:tc>
        <w:tc>
          <w:tcPr>
            <w:tcW w:w="1215" w:type="dxa"/>
            <w:vAlign w:val="bottom"/>
          </w:tcPr>
          <w:p w:rsidRPr="009D24D3" w:rsidR="005974B5" w:rsidP="005974B5" w:rsidRDefault="005974B5" w14:paraId="02B0611A" w14:textId="3DEC8968">
            <w:pPr>
              <w:jc w:val="right"/>
              <w:rPr>
                <w:rFonts w:ascii="Arial" w:hAnsi="Arial" w:cs="Arial"/>
                <w:sz w:val="18"/>
                <w:szCs w:val="18"/>
              </w:rPr>
            </w:pPr>
            <w:r w:rsidRPr="005E1D19">
              <w:rPr>
                <w:rFonts w:ascii="Arial" w:hAnsi="Arial" w:cs="Arial"/>
                <w:sz w:val="18"/>
                <w:szCs w:val="18"/>
              </w:rPr>
              <w:t>210.37</w:t>
            </w:r>
          </w:p>
        </w:tc>
        <w:tc>
          <w:tcPr>
            <w:tcW w:w="1440" w:type="dxa"/>
            <w:vAlign w:val="bottom"/>
          </w:tcPr>
          <w:p w:rsidRPr="009D24D3" w:rsidR="005974B5" w:rsidP="005974B5" w:rsidRDefault="005974B5" w14:paraId="4389D493" w14:textId="234E2F41">
            <w:pPr>
              <w:jc w:val="right"/>
              <w:rPr>
                <w:rFonts w:ascii="Arial" w:hAnsi="Arial" w:cs="Arial"/>
                <w:sz w:val="18"/>
                <w:szCs w:val="18"/>
              </w:rPr>
            </w:pPr>
            <w:r w:rsidRPr="005E1D19">
              <w:rPr>
                <w:rFonts w:ascii="Arial" w:hAnsi="Arial" w:cs="Arial"/>
                <w:sz w:val="18"/>
                <w:szCs w:val="18"/>
              </w:rPr>
              <w:t xml:space="preserve">$9,660.08 </w:t>
            </w:r>
          </w:p>
        </w:tc>
      </w:tr>
      <w:tr w:rsidR="005974B5" w:rsidTr="00B15016" w14:paraId="0A4715EB" w14:textId="77777777">
        <w:trPr>
          <w:jc w:val="center"/>
        </w:trPr>
        <w:tc>
          <w:tcPr>
            <w:tcW w:w="1471" w:type="dxa"/>
            <w:tcBorders>
              <w:bottom w:val="single" w:color="auto" w:sz="4" w:space="0"/>
            </w:tcBorders>
            <w:tcMar>
              <w:top w:w="58" w:type="dxa"/>
              <w:left w:w="115" w:type="dxa"/>
              <w:bottom w:w="58" w:type="dxa"/>
              <w:right w:w="115" w:type="dxa"/>
            </w:tcMar>
          </w:tcPr>
          <w:p w:rsidRPr="0053789E" w:rsidR="005974B5" w:rsidP="005974B5" w:rsidRDefault="005974B5" w14:paraId="161D6425" w14:textId="77777777">
            <w:pPr>
              <w:keepNext/>
              <w:keepLines/>
              <w:widowControl w:val="0"/>
              <w:tabs>
                <w:tab w:val="center" w:pos="4680"/>
              </w:tabs>
              <w:rPr>
                <w:rFonts w:ascii="Arial" w:hAnsi="Arial" w:cs="Arial"/>
                <w:b/>
                <w:sz w:val="18"/>
                <w:szCs w:val="18"/>
              </w:rPr>
            </w:pPr>
            <w:r w:rsidRPr="0053789E">
              <w:rPr>
                <w:rFonts w:ascii="Arial" w:hAnsi="Arial" w:cs="Arial"/>
                <w:b/>
                <w:sz w:val="18"/>
                <w:szCs w:val="18"/>
              </w:rPr>
              <w:t>TOTAL</w:t>
            </w:r>
          </w:p>
        </w:tc>
        <w:tc>
          <w:tcPr>
            <w:tcW w:w="1255" w:type="dxa"/>
            <w:tcBorders>
              <w:bottom w:val="single" w:color="auto" w:sz="4" w:space="0"/>
            </w:tcBorders>
            <w:tcMar>
              <w:top w:w="58" w:type="dxa"/>
              <w:left w:w="115" w:type="dxa"/>
              <w:bottom w:w="58" w:type="dxa"/>
              <w:right w:w="115" w:type="dxa"/>
            </w:tcMar>
            <w:vAlign w:val="bottom"/>
          </w:tcPr>
          <w:p w:rsidRPr="009D24D3" w:rsidR="005974B5" w:rsidP="005974B5" w:rsidRDefault="005974B5" w14:paraId="00979DDC" w14:textId="4DCD6195">
            <w:pPr>
              <w:jc w:val="right"/>
              <w:rPr>
                <w:rFonts w:ascii="Arial" w:hAnsi="Arial" w:cs="Arial"/>
                <w:b/>
                <w:bCs/>
                <w:sz w:val="18"/>
                <w:szCs w:val="18"/>
              </w:rPr>
            </w:pPr>
            <w:r w:rsidRPr="005E1D19">
              <w:rPr>
                <w:rFonts w:ascii="Arial" w:hAnsi="Arial" w:cs="Arial"/>
                <w:b/>
                <w:bCs/>
                <w:sz w:val="18"/>
                <w:szCs w:val="18"/>
              </w:rPr>
              <w:t>65,660</w:t>
            </w:r>
          </w:p>
        </w:tc>
        <w:tc>
          <w:tcPr>
            <w:tcW w:w="1256" w:type="dxa"/>
            <w:tcBorders>
              <w:bottom w:val="single" w:color="auto" w:sz="4" w:space="0"/>
            </w:tcBorders>
            <w:tcMar>
              <w:top w:w="58" w:type="dxa"/>
              <w:left w:w="115" w:type="dxa"/>
              <w:bottom w:w="58" w:type="dxa"/>
              <w:right w:w="115" w:type="dxa"/>
            </w:tcMar>
            <w:vAlign w:val="bottom"/>
          </w:tcPr>
          <w:p w:rsidRPr="009D24D3" w:rsidR="005974B5" w:rsidP="005974B5" w:rsidRDefault="005974B5" w14:paraId="538FC029" w14:textId="4429AD6A">
            <w:pPr>
              <w:jc w:val="right"/>
              <w:rPr>
                <w:rFonts w:ascii="Arial" w:hAnsi="Arial" w:cs="Arial"/>
                <w:b/>
                <w:bCs/>
                <w:sz w:val="18"/>
                <w:szCs w:val="18"/>
              </w:rPr>
            </w:pPr>
            <w:r w:rsidRPr="005E1D19">
              <w:rPr>
                <w:rFonts w:ascii="Arial" w:hAnsi="Arial" w:cs="Arial"/>
                <w:b/>
                <w:bCs/>
                <w:sz w:val="18"/>
                <w:szCs w:val="18"/>
              </w:rPr>
              <w:t xml:space="preserve">$6,386,794 </w:t>
            </w:r>
          </w:p>
        </w:tc>
        <w:tc>
          <w:tcPr>
            <w:tcW w:w="1255" w:type="dxa"/>
            <w:tcBorders>
              <w:bottom w:val="single" w:color="auto" w:sz="4" w:space="0"/>
            </w:tcBorders>
            <w:tcMar>
              <w:top w:w="58" w:type="dxa"/>
              <w:left w:w="115" w:type="dxa"/>
              <w:bottom w:w="58" w:type="dxa"/>
              <w:right w:w="115" w:type="dxa"/>
            </w:tcMar>
            <w:vAlign w:val="bottom"/>
          </w:tcPr>
          <w:p w:rsidRPr="009D24D3" w:rsidR="005974B5" w:rsidP="005974B5" w:rsidRDefault="005974B5" w14:paraId="4CCBCA6C" w14:textId="14D029EA">
            <w:pPr>
              <w:jc w:val="right"/>
              <w:rPr>
                <w:rFonts w:ascii="Arial" w:hAnsi="Arial" w:cs="Arial"/>
                <w:b/>
                <w:bCs/>
                <w:sz w:val="18"/>
                <w:szCs w:val="18"/>
              </w:rPr>
            </w:pPr>
            <w:r w:rsidRPr="005E1D19">
              <w:rPr>
                <w:rFonts w:ascii="Arial" w:hAnsi="Arial" w:cs="Arial"/>
                <w:b/>
                <w:bCs/>
                <w:sz w:val="18"/>
                <w:szCs w:val="18"/>
              </w:rPr>
              <w:t xml:space="preserve">$68,575,264 </w:t>
            </w:r>
          </w:p>
        </w:tc>
        <w:tc>
          <w:tcPr>
            <w:tcW w:w="1243" w:type="dxa"/>
            <w:tcBorders>
              <w:bottom w:val="single" w:color="auto" w:sz="4" w:space="0"/>
            </w:tcBorders>
            <w:tcMar>
              <w:top w:w="58" w:type="dxa"/>
              <w:left w:w="115" w:type="dxa"/>
              <w:bottom w:w="58" w:type="dxa"/>
              <w:right w:w="115" w:type="dxa"/>
            </w:tcMar>
            <w:vAlign w:val="bottom"/>
          </w:tcPr>
          <w:p w:rsidRPr="009D24D3" w:rsidR="005974B5" w:rsidP="005974B5" w:rsidRDefault="005974B5" w14:paraId="41217B42" w14:textId="2DC87CEC">
            <w:pPr>
              <w:jc w:val="right"/>
              <w:rPr>
                <w:rFonts w:ascii="Arial" w:hAnsi="Arial" w:cs="Arial"/>
                <w:b/>
                <w:bCs/>
                <w:sz w:val="18"/>
                <w:szCs w:val="18"/>
              </w:rPr>
            </w:pPr>
            <w:r w:rsidRPr="005E1D19">
              <w:rPr>
                <w:rFonts w:ascii="Arial" w:hAnsi="Arial" w:cs="Arial"/>
                <w:b/>
                <w:bCs/>
                <w:sz w:val="18"/>
                <w:szCs w:val="18"/>
              </w:rPr>
              <w:t xml:space="preserve">$74,962,058 </w:t>
            </w:r>
          </w:p>
        </w:tc>
        <w:tc>
          <w:tcPr>
            <w:tcW w:w="1215" w:type="dxa"/>
            <w:tcBorders>
              <w:bottom w:val="single" w:color="auto" w:sz="4" w:space="0"/>
            </w:tcBorders>
            <w:vAlign w:val="bottom"/>
          </w:tcPr>
          <w:p w:rsidRPr="009D24D3" w:rsidR="005974B5" w:rsidP="005974B5" w:rsidRDefault="005974B5" w14:paraId="3C826DA4" w14:textId="199BC00F">
            <w:pPr>
              <w:jc w:val="right"/>
              <w:rPr>
                <w:rFonts w:ascii="Arial" w:hAnsi="Arial" w:cs="Arial"/>
                <w:b/>
                <w:bCs/>
                <w:sz w:val="18"/>
                <w:szCs w:val="18"/>
              </w:rPr>
            </w:pPr>
            <w:r w:rsidRPr="005E1D19">
              <w:rPr>
                <w:rFonts w:ascii="Arial" w:hAnsi="Arial" w:cs="Arial"/>
                <w:b/>
                <w:bCs/>
                <w:sz w:val="18"/>
                <w:szCs w:val="18"/>
              </w:rPr>
              <w:t>295.7</w:t>
            </w:r>
          </w:p>
        </w:tc>
        <w:tc>
          <w:tcPr>
            <w:tcW w:w="1215" w:type="dxa"/>
            <w:tcBorders>
              <w:bottom w:val="single" w:color="auto" w:sz="4" w:space="0"/>
            </w:tcBorders>
            <w:vAlign w:val="bottom"/>
          </w:tcPr>
          <w:p w:rsidRPr="009D24D3" w:rsidR="005974B5" w:rsidP="005974B5" w:rsidRDefault="005974B5" w14:paraId="72B4FE2C" w14:textId="7EAE0A1D">
            <w:pPr>
              <w:jc w:val="right"/>
              <w:rPr>
                <w:rFonts w:ascii="Arial" w:hAnsi="Arial" w:cs="Arial"/>
                <w:b/>
                <w:bCs/>
                <w:sz w:val="18"/>
                <w:szCs w:val="18"/>
              </w:rPr>
            </w:pPr>
            <w:r w:rsidRPr="005E1D19">
              <w:rPr>
                <w:rFonts w:ascii="Arial" w:hAnsi="Arial" w:cs="Arial"/>
                <w:b/>
                <w:bCs/>
                <w:sz w:val="18"/>
                <w:szCs w:val="18"/>
              </w:rPr>
              <w:t>222.07</w:t>
            </w:r>
          </w:p>
        </w:tc>
        <w:tc>
          <w:tcPr>
            <w:tcW w:w="1440" w:type="dxa"/>
            <w:tcBorders>
              <w:bottom w:val="single" w:color="auto" w:sz="4" w:space="0"/>
            </w:tcBorders>
            <w:vAlign w:val="bottom"/>
          </w:tcPr>
          <w:p w:rsidRPr="009D24D3" w:rsidR="005974B5" w:rsidP="005974B5" w:rsidRDefault="005974B5" w14:paraId="2487D6C5" w14:textId="6B26D215">
            <w:pPr>
              <w:jc w:val="right"/>
              <w:rPr>
                <w:rFonts w:ascii="Arial" w:hAnsi="Arial" w:cs="Arial"/>
                <w:b/>
                <w:bCs/>
                <w:sz w:val="18"/>
                <w:szCs w:val="18"/>
              </w:rPr>
            </w:pPr>
            <w:r w:rsidRPr="005E1D19">
              <w:rPr>
                <w:rFonts w:ascii="Arial" w:hAnsi="Arial" w:cs="Arial"/>
                <w:b/>
                <w:bCs/>
                <w:sz w:val="18"/>
                <w:szCs w:val="18"/>
              </w:rPr>
              <w:t xml:space="preserve">$253,535.71 </w:t>
            </w:r>
          </w:p>
        </w:tc>
      </w:tr>
      <w:tr w:rsidR="005974B5" w:rsidTr="002F35C0" w14:paraId="6B72BA5A" w14:textId="77777777">
        <w:trPr>
          <w:trHeight w:val="535"/>
          <w:jc w:val="center"/>
        </w:trPr>
        <w:tc>
          <w:tcPr>
            <w:tcW w:w="10350" w:type="dxa"/>
            <w:gridSpan w:val="8"/>
            <w:tcBorders>
              <w:left w:val="nil"/>
              <w:bottom w:val="nil"/>
              <w:right w:val="nil"/>
            </w:tcBorders>
            <w:tcMar>
              <w:top w:w="58" w:type="dxa"/>
              <w:left w:w="115" w:type="dxa"/>
              <w:bottom w:w="58" w:type="dxa"/>
              <w:right w:w="115" w:type="dxa"/>
            </w:tcMar>
          </w:tcPr>
          <w:p w:rsidR="005974B5" w:rsidP="005974B5" w:rsidRDefault="005974B5" w14:paraId="64207D62" w14:textId="77777777">
            <w:pPr>
              <w:rPr>
                <w:rFonts w:ascii="Arial" w:hAnsi="Arial" w:cs="Arial"/>
                <w:bCs/>
                <w:sz w:val="18"/>
                <w:szCs w:val="18"/>
              </w:rPr>
            </w:pPr>
            <w:r w:rsidRPr="00B15016">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due to rounding.</w:t>
            </w:r>
          </w:p>
          <w:p w:rsidRPr="00646F2D" w:rsidR="005974B5" w:rsidP="005974B5" w:rsidRDefault="005974B5" w14:paraId="4D770E77" w14:textId="77777777">
            <w:pPr>
              <w:rPr>
                <w:rFonts w:ascii="Arial" w:hAnsi="Arial" w:cs="Arial"/>
                <w:b/>
                <w:bCs/>
                <w:sz w:val="18"/>
                <w:szCs w:val="18"/>
              </w:rPr>
            </w:pPr>
          </w:p>
        </w:tc>
      </w:tr>
    </w:tbl>
    <w:p w:rsidR="009C5A2B" w:rsidP="0000795E" w:rsidRDefault="009C5A2B" w14:paraId="2B6407B5" w14:textId="77777777">
      <w:pPr>
        <w:widowControl w:val="0"/>
        <w:tabs>
          <w:tab w:val="center" w:pos="4680"/>
        </w:tabs>
      </w:pPr>
    </w:p>
    <w:p w:rsidR="00231DFB" w:rsidP="000047B1" w:rsidRDefault="00C25838" w14:paraId="37886BB8" w14:textId="77777777">
      <w:pPr>
        <w:keepNext/>
        <w:keepLines/>
        <w:widowControl w:val="0"/>
        <w:tabs>
          <w:tab w:val="center" w:pos="4680"/>
        </w:tabs>
        <w:ind w:firstLine="720"/>
        <w:rPr>
          <w:b/>
        </w:rPr>
      </w:pPr>
      <w:r>
        <w:rPr>
          <w:sz w:val="24"/>
          <w:szCs w:val="24"/>
        </w:rPr>
        <w:lastRenderedPageBreak/>
        <w:t>Exhibit 6-1</w:t>
      </w:r>
      <w:r w:rsidR="00905389">
        <w:rPr>
          <w:sz w:val="24"/>
          <w:szCs w:val="24"/>
        </w:rPr>
        <w:t>G</w:t>
      </w:r>
      <w:r>
        <w:rPr>
          <w:sz w:val="24"/>
          <w:szCs w:val="24"/>
        </w:rPr>
        <w:t xml:space="preserve"> summarizes the operator burden and costs, by well type (from Exhibits 6-1A through </w:t>
      </w:r>
      <w:r w:rsidR="00905389">
        <w:rPr>
          <w:sz w:val="24"/>
          <w:szCs w:val="24"/>
        </w:rPr>
        <w:t>F</w:t>
      </w:r>
      <w:r>
        <w:rPr>
          <w:sz w:val="24"/>
          <w:szCs w:val="24"/>
        </w:rPr>
        <w:t>)</w:t>
      </w:r>
      <w:r w:rsidR="00F84502">
        <w:rPr>
          <w:sz w:val="24"/>
          <w:szCs w:val="24"/>
        </w:rPr>
        <w:t xml:space="preserve">. </w:t>
      </w:r>
      <w:r>
        <w:rPr>
          <w:sz w:val="24"/>
          <w:szCs w:val="24"/>
        </w:rPr>
        <w:t>Exhibit 6-</w:t>
      </w:r>
      <w:r w:rsidR="009D37B6">
        <w:rPr>
          <w:sz w:val="24"/>
          <w:szCs w:val="24"/>
        </w:rPr>
        <w:t>3</w:t>
      </w:r>
      <w:r>
        <w:rPr>
          <w:sz w:val="24"/>
          <w:szCs w:val="24"/>
        </w:rPr>
        <w:t>, in the next section, provides a similar summary for primacy agencies</w:t>
      </w:r>
      <w:r w:rsidR="00F84502">
        <w:rPr>
          <w:sz w:val="24"/>
          <w:szCs w:val="24"/>
        </w:rPr>
        <w:t xml:space="preserve">. </w:t>
      </w:r>
    </w:p>
    <w:p w:rsidR="00231DFB" w:rsidP="00231DFB" w:rsidRDefault="00231DFB" w14:paraId="079937D5" w14:textId="77777777">
      <w:pPr>
        <w:keepNext/>
        <w:keepLines/>
        <w:widowControl w:val="0"/>
        <w:tabs>
          <w:tab w:val="center" w:pos="4680"/>
        </w:tabs>
        <w:rPr>
          <w:b/>
        </w:rPr>
      </w:pPr>
    </w:p>
    <w:tbl>
      <w:tblPr>
        <w:tblW w:w="10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31"/>
        <w:gridCol w:w="1255"/>
        <w:gridCol w:w="1347"/>
        <w:gridCol w:w="1350"/>
        <w:gridCol w:w="1417"/>
        <w:gridCol w:w="1080"/>
        <w:gridCol w:w="1084"/>
        <w:gridCol w:w="1391"/>
      </w:tblGrid>
      <w:tr w:rsidR="00231DFB" w:rsidTr="009902D4" w14:paraId="5ACF90C9" w14:textId="77777777">
        <w:trPr>
          <w:jc w:val="center"/>
        </w:trPr>
        <w:tc>
          <w:tcPr>
            <w:tcW w:w="10755" w:type="dxa"/>
            <w:gridSpan w:val="8"/>
            <w:tcMar>
              <w:top w:w="58" w:type="dxa"/>
              <w:left w:w="115" w:type="dxa"/>
              <w:bottom w:w="58" w:type="dxa"/>
              <w:right w:w="115" w:type="dxa"/>
            </w:tcMar>
          </w:tcPr>
          <w:p w:rsidR="00231DFB" w:rsidP="00B1430F" w:rsidRDefault="00231DFB" w14:paraId="1BFF8C85" w14:textId="77777777">
            <w:pPr>
              <w:keepNext/>
              <w:keepLines/>
              <w:widowControl w:val="0"/>
              <w:tabs>
                <w:tab w:val="center" w:pos="4680"/>
              </w:tabs>
              <w:jc w:val="center"/>
              <w:rPr>
                <w:rFonts w:ascii="Arial" w:hAnsi="Arial" w:cs="Arial"/>
                <w:b/>
              </w:rPr>
            </w:pPr>
            <w:r w:rsidRPr="00BF636F">
              <w:rPr>
                <w:rFonts w:ascii="Arial" w:hAnsi="Arial" w:cs="Arial"/>
                <w:b/>
              </w:rPr>
              <w:t>Exhibit 6-</w:t>
            </w:r>
            <w:r w:rsidRPr="00BF636F" w:rsidR="009C5A2B">
              <w:rPr>
                <w:rFonts w:ascii="Arial" w:hAnsi="Arial" w:cs="Arial"/>
                <w:b/>
              </w:rPr>
              <w:t>1G</w:t>
            </w:r>
          </w:p>
          <w:p w:rsidR="00231DFB" w:rsidP="00231DFB" w:rsidRDefault="00231DFB" w14:paraId="35BE8F40" w14:textId="77777777">
            <w:pPr>
              <w:keepNext/>
              <w:keepLines/>
              <w:widowControl w:val="0"/>
              <w:tabs>
                <w:tab w:val="center" w:pos="4680"/>
              </w:tabs>
              <w:jc w:val="center"/>
              <w:rPr>
                <w:rFonts w:ascii="Arial" w:hAnsi="Arial" w:cs="Arial"/>
                <w:b/>
              </w:rPr>
            </w:pPr>
            <w:r>
              <w:rPr>
                <w:rFonts w:ascii="Arial" w:hAnsi="Arial" w:cs="Arial"/>
                <w:b/>
              </w:rPr>
              <w:t>Summary of Annual Operator Burden and Cost (based on above exhibits)</w:t>
            </w:r>
          </w:p>
          <w:p w:rsidRPr="0053789E" w:rsidR="00231DFB" w:rsidP="009B2785" w:rsidRDefault="00926C92" w14:paraId="6A8A6848" w14:textId="631CF284">
            <w:pPr>
              <w:keepNext/>
              <w:keepLines/>
              <w:widowControl w:val="0"/>
              <w:tabs>
                <w:tab w:val="center" w:pos="4680"/>
              </w:tabs>
              <w:jc w:val="center"/>
              <w:rPr>
                <w:rFonts w:ascii="Arial" w:hAnsi="Arial" w:cs="Arial"/>
                <w:b/>
                <w:sz w:val="18"/>
                <w:szCs w:val="18"/>
              </w:rPr>
            </w:pPr>
            <w:r>
              <w:rPr>
                <w:rFonts w:ascii="Arial" w:hAnsi="Arial" w:cs="Arial"/>
                <w:b/>
              </w:rPr>
              <w:t>2022-2024</w:t>
            </w:r>
          </w:p>
        </w:tc>
      </w:tr>
      <w:tr w:rsidR="00231DFB" w:rsidTr="00A7385E" w14:paraId="6B90344C" w14:textId="77777777">
        <w:trPr>
          <w:jc w:val="center"/>
        </w:trPr>
        <w:tc>
          <w:tcPr>
            <w:tcW w:w="1831" w:type="dxa"/>
            <w:tcMar>
              <w:top w:w="58" w:type="dxa"/>
              <w:left w:w="115" w:type="dxa"/>
              <w:bottom w:w="58" w:type="dxa"/>
              <w:right w:w="115" w:type="dxa"/>
            </w:tcMar>
          </w:tcPr>
          <w:p w:rsidRPr="00077277" w:rsidR="00231DFB" w:rsidP="00B1430F" w:rsidRDefault="00231DFB" w14:paraId="67F247CF" w14:textId="77777777">
            <w:pPr>
              <w:keepNext/>
              <w:keepLines/>
              <w:widowControl w:val="0"/>
              <w:tabs>
                <w:tab w:val="center" w:pos="4680"/>
              </w:tabs>
              <w:jc w:val="center"/>
              <w:rPr>
                <w:rFonts w:ascii="Arial" w:hAnsi="Arial" w:cs="Arial"/>
                <w:sz w:val="16"/>
                <w:szCs w:val="16"/>
              </w:rPr>
            </w:pPr>
            <w:bookmarkStart w:name="_Hlk508357530" w:id="76"/>
            <w:r w:rsidRPr="00077277">
              <w:rPr>
                <w:rFonts w:ascii="Arial" w:hAnsi="Arial" w:cs="Arial"/>
                <w:b/>
                <w:sz w:val="16"/>
                <w:szCs w:val="16"/>
              </w:rPr>
              <w:t>Respondent Type</w:t>
            </w:r>
          </w:p>
        </w:tc>
        <w:tc>
          <w:tcPr>
            <w:tcW w:w="1255" w:type="dxa"/>
            <w:tcMar>
              <w:top w:w="58" w:type="dxa"/>
              <w:left w:w="115" w:type="dxa"/>
              <w:bottom w:w="58" w:type="dxa"/>
              <w:right w:w="115" w:type="dxa"/>
            </w:tcMar>
          </w:tcPr>
          <w:p w:rsidRPr="00077277" w:rsidR="00231DFB" w:rsidP="00B1430F" w:rsidRDefault="00231DFB" w14:paraId="54B9B367" w14:textId="77777777">
            <w:pPr>
              <w:keepNext/>
              <w:keepLines/>
              <w:widowControl w:val="0"/>
              <w:tabs>
                <w:tab w:val="center" w:pos="4680"/>
              </w:tabs>
              <w:jc w:val="center"/>
              <w:rPr>
                <w:rFonts w:ascii="Arial" w:hAnsi="Arial" w:cs="Arial"/>
                <w:sz w:val="16"/>
                <w:szCs w:val="16"/>
              </w:rPr>
            </w:pPr>
            <w:r w:rsidRPr="00077277">
              <w:rPr>
                <w:rFonts w:ascii="Arial" w:hAnsi="Arial" w:cs="Arial"/>
                <w:b/>
                <w:sz w:val="16"/>
                <w:szCs w:val="16"/>
              </w:rPr>
              <w:t>Burden (hours)</w:t>
            </w:r>
          </w:p>
        </w:tc>
        <w:tc>
          <w:tcPr>
            <w:tcW w:w="1347" w:type="dxa"/>
            <w:tcMar>
              <w:top w:w="58" w:type="dxa"/>
              <w:left w:w="115" w:type="dxa"/>
              <w:bottom w:w="58" w:type="dxa"/>
              <w:right w:w="115" w:type="dxa"/>
            </w:tcMar>
          </w:tcPr>
          <w:p w:rsidRPr="00077277" w:rsidR="00231DFB" w:rsidP="00B1430F" w:rsidRDefault="00231DFB" w14:paraId="73246323" w14:textId="77777777">
            <w:pPr>
              <w:keepNext/>
              <w:keepLines/>
              <w:widowControl w:val="0"/>
              <w:tabs>
                <w:tab w:val="center" w:pos="4680"/>
              </w:tabs>
              <w:jc w:val="center"/>
              <w:rPr>
                <w:rFonts w:ascii="Arial" w:hAnsi="Arial" w:cs="Arial"/>
                <w:sz w:val="16"/>
                <w:szCs w:val="16"/>
              </w:rPr>
            </w:pPr>
            <w:r w:rsidRPr="00077277">
              <w:rPr>
                <w:rFonts w:ascii="Arial" w:hAnsi="Arial" w:cs="Arial"/>
                <w:b/>
                <w:sz w:val="16"/>
                <w:szCs w:val="16"/>
              </w:rPr>
              <w:t>Labor Cost</w:t>
            </w:r>
          </w:p>
        </w:tc>
        <w:tc>
          <w:tcPr>
            <w:tcW w:w="1350" w:type="dxa"/>
            <w:tcMar>
              <w:top w:w="58" w:type="dxa"/>
              <w:left w:w="115" w:type="dxa"/>
              <w:bottom w:w="58" w:type="dxa"/>
              <w:right w:w="115" w:type="dxa"/>
            </w:tcMar>
          </w:tcPr>
          <w:p w:rsidRPr="00077277" w:rsidR="00231DFB" w:rsidP="00B1430F" w:rsidRDefault="00231DFB" w14:paraId="55FC250F" w14:textId="77777777">
            <w:pPr>
              <w:keepNext/>
              <w:keepLines/>
              <w:widowControl w:val="0"/>
              <w:tabs>
                <w:tab w:val="center" w:pos="4680"/>
              </w:tabs>
              <w:jc w:val="center"/>
              <w:rPr>
                <w:rFonts w:ascii="Arial" w:hAnsi="Arial" w:cs="Arial"/>
                <w:sz w:val="16"/>
                <w:szCs w:val="16"/>
              </w:rPr>
            </w:pPr>
            <w:r w:rsidRPr="00077277">
              <w:rPr>
                <w:rFonts w:ascii="Arial" w:hAnsi="Arial" w:cs="Arial"/>
                <w:b/>
                <w:sz w:val="16"/>
                <w:szCs w:val="16"/>
              </w:rPr>
              <w:t>Non-Labor Cost</w:t>
            </w:r>
          </w:p>
        </w:tc>
        <w:tc>
          <w:tcPr>
            <w:tcW w:w="1417" w:type="dxa"/>
            <w:tcMar>
              <w:top w:w="58" w:type="dxa"/>
              <w:left w:w="115" w:type="dxa"/>
              <w:bottom w:w="58" w:type="dxa"/>
              <w:right w:w="115" w:type="dxa"/>
            </w:tcMar>
          </w:tcPr>
          <w:p w:rsidRPr="00077277" w:rsidR="00231DFB" w:rsidP="00B1430F" w:rsidRDefault="00231DFB" w14:paraId="4526874B" w14:textId="77777777">
            <w:pPr>
              <w:keepNext/>
              <w:keepLines/>
              <w:widowControl w:val="0"/>
              <w:tabs>
                <w:tab w:val="center" w:pos="4680"/>
              </w:tabs>
              <w:jc w:val="center"/>
              <w:rPr>
                <w:rFonts w:ascii="Arial" w:hAnsi="Arial" w:cs="Arial"/>
                <w:sz w:val="16"/>
                <w:szCs w:val="16"/>
              </w:rPr>
            </w:pPr>
            <w:r w:rsidRPr="00077277">
              <w:rPr>
                <w:rFonts w:ascii="Arial" w:hAnsi="Arial" w:cs="Arial"/>
                <w:b/>
                <w:sz w:val="16"/>
                <w:szCs w:val="16"/>
              </w:rPr>
              <w:t>Total Cost</w:t>
            </w:r>
          </w:p>
        </w:tc>
        <w:tc>
          <w:tcPr>
            <w:tcW w:w="1080" w:type="dxa"/>
          </w:tcPr>
          <w:p w:rsidRPr="00077277" w:rsidR="00231DFB" w:rsidP="00B1430F" w:rsidRDefault="00231DFB" w14:paraId="72210FBA" w14:textId="77777777">
            <w:pPr>
              <w:keepNext/>
              <w:keepLines/>
              <w:widowControl w:val="0"/>
              <w:tabs>
                <w:tab w:val="center" w:pos="4680"/>
              </w:tabs>
              <w:jc w:val="center"/>
              <w:rPr>
                <w:rFonts w:ascii="Arial" w:hAnsi="Arial" w:cs="Arial"/>
                <w:sz w:val="16"/>
                <w:szCs w:val="16"/>
              </w:rPr>
            </w:pPr>
            <w:r w:rsidRPr="00077277">
              <w:rPr>
                <w:rFonts w:ascii="Arial" w:hAnsi="Arial" w:cs="Arial"/>
                <w:b/>
                <w:sz w:val="16"/>
                <w:szCs w:val="16"/>
              </w:rPr>
              <w:t>Responses</w:t>
            </w:r>
          </w:p>
        </w:tc>
        <w:tc>
          <w:tcPr>
            <w:tcW w:w="1084" w:type="dxa"/>
          </w:tcPr>
          <w:p w:rsidRPr="00077277" w:rsidR="00231DFB" w:rsidP="00B1430F" w:rsidRDefault="00231DFB" w14:paraId="79653758" w14:textId="77777777">
            <w:pPr>
              <w:keepNext/>
              <w:keepLines/>
              <w:widowControl w:val="0"/>
              <w:tabs>
                <w:tab w:val="center" w:pos="4680"/>
              </w:tabs>
              <w:jc w:val="center"/>
              <w:rPr>
                <w:rFonts w:ascii="Arial" w:hAnsi="Arial" w:cs="Arial"/>
                <w:b/>
                <w:sz w:val="16"/>
                <w:szCs w:val="16"/>
              </w:rPr>
            </w:pPr>
            <w:r w:rsidRPr="00077277">
              <w:rPr>
                <w:rFonts w:ascii="Arial" w:hAnsi="Arial" w:cs="Arial"/>
                <w:b/>
                <w:sz w:val="16"/>
                <w:szCs w:val="16"/>
              </w:rPr>
              <w:t>Burden/ Response</w:t>
            </w:r>
          </w:p>
        </w:tc>
        <w:tc>
          <w:tcPr>
            <w:tcW w:w="1391" w:type="dxa"/>
          </w:tcPr>
          <w:p w:rsidRPr="00077277" w:rsidR="00231DFB" w:rsidP="00B1430F" w:rsidRDefault="00231DFB" w14:paraId="3B093703" w14:textId="77777777">
            <w:pPr>
              <w:keepNext/>
              <w:keepLines/>
              <w:widowControl w:val="0"/>
              <w:tabs>
                <w:tab w:val="center" w:pos="4680"/>
              </w:tabs>
              <w:jc w:val="center"/>
              <w:rPr>
                <w:rFonts w:ascii="Arial" w:hAnsi="Arial" w:cs="Arial"/>
                <w:b/>
                <w:sz w:val="16"/>
                <w:szCs w:val="16"/>
              </w:rPr>
            </w:pPr>
            <w:r w:rsidRPr="00077277">
              <w:rPr>
                <w:rFonts w:ascii="Arial" w:hAnsi="Arial" w:cs="Arial"/>
                <w:b/>
                <w:sz w:val="16"/>
                <w:szCs w:val="16"/>
              </w:rPr>
              <w:t>Cost/ Response</w:t>
            </w:r>
          </w:p>
        </w:tc>
      </w:tr>
      <w:bookmarkEnd w:id="76"/>
      <w:tr w:rsidR="005974B5" w:rsidTr="00A7385E" w14:paraId="33133F26" w14:textId="77777777">
        <w:trPr>
          <w:jc w:val="center"/>
        </w:trPr>
        <w:tc>
          <w:tcPr>
            <w:tcW w:w="1831" w:type="dxa"/>
            <w:tcMar>
              <w:top w:w="58" w:type="dxa"/>
              <w:left w:w="115" w:type="dxa"/>
              <w:bottom w:w="58" w:type="dxa"/>
              <w:right w:w="115" w:type="dxa"/>
            </w:tcMar>
          </w:tcPr>
          <w:p w:rsidRPr="00231DFB" w:rsidR="005974B5" w:rsidP="005974B5" w:rsidRDefault="005974B5" w14:paraId="16332905" w14:textId="77777777">
            <w:pPr>
              <w:keepNext/>
              <w:keepLines/>
              <w:widowControl w:val="0"/>
              <w:tabs>
                <w:tab w:val="center" w:pos="4680"/>
              </w:tabs>
              <w:rPr>
                <w:rFonts w:ascii="Arial" w:hAnsi="Arial" w:cs="Arial"/>
                <w:sz w:val="18"/>
                <w:szCs w:val="18"/>
              </w:rPr>
            </w:pPr>
            <w:r w:rsidRPr="00231DFB">
              <w:rPr>
                <w:rFonts w:ascii="Arial" w:hAnsi="Arial" w:cs="Arial"/>
                <w:sz w:val="18"/>
                <w:szCs w:val="18"/>
              </w:rPr>
              <w:t>Class I Operators</w:t>
            </w:r>
          </w:p>
        </w:tc>
        <w:tc>
          <w:tcPr>
            <w:tcW w:w="1255" w:type="dxa"/>
            <w:tcMar>
              <w:top w:w="58" w:type="dxa"/>
              <w:left w:w="115" w:type="dxa"/>
              <w:bottom w:w="58" w:type="dxa"/>
              <w:right w:w="115" w:type="dxa"/>
            </w:tcMar>
            <w:vAlign w:val="bottom"/>
          </w:tcPr>
          <w:p w:rsidRPr="009D24D3" w:rsidR="005974B5" w:rsidP="005974B5" w:rsidRDefault="005974B5" w14:paraId="43B95D63" w14:textId="6686CF35">
            <w:pPr>
              <w:jc w:val="right"/>
              <w:rPr>
                <w:rFonts w:ascii="Arial" w:hAnsi="Arial" w:cs="Arial"/>
                <w:sz w:val="18"/>
                <w:szCs w:val="18"/>
              </w:rPr>
            </w:pPr>
            <w:r w:rsidRPr="005E1D19">
              <w:rPr>
                <w:rFonts w:ascii="Arial" w:hAnsi="Arial" w:cs="Arial"/>
                <w:sz w:val="18"/>
                <w:szCs w:val="18"/>
              </w:rPr>
              <w:t>151,032</w:t>
            </w:r>
          </w:p>
        </w:tc>
        <w:tc>
          <w:tcPr>
            <w:tcW w:w="1347" w:type="dxa"/>
            <w:tcMar>
              <w:top w:w="58" w:type="dxa"/>
              <w:left w:w="115" w:type="dxa"/>
              <w:bottom w:w="58" w:type="dxa"/>
              <w:right w:w="115" w:type="dxa"/>
            </w:tcMar>
            <w:vAlign w:val="bottom"/>
          </w:tcPr>
          <w:p w:rsidRPr="009D24D3" w:rsidR="005974B5" w:rsidP="005974B5" w:rsidRDefault="005974B5" w14:paraId="39407E20" w14:textId="7FADCD6A">
            <w:pPr>
              <w:jc w:val="right"/>
              <w:rPr>
                <w:rFonts w:ascii="Arial" w:hAnsi="Arial" w:cs="Arial"/>
                <w:sz w:val="18"/>
                <w:szCs w:val="18"/>
              </w:rPr>
            </w:pPr>
            <w:r w:rsidRPr="005E1D19">
              <w:rPr>
                <w:rFonts w:ascii="Arial" w:hAnsi="Arial" w:cs="Arial"/>
                <w:sz w:val="18"/>
                <w:szCs w:val="18"/>
              </w:rPr>
              <w:t xml:space="preserve">$8,414,831 </w:t>
            </w:r>
          </w:p>
        </w:tc>
        <w:tc>
          <w:tcPr>
            <w:tcW w:w="1350" w:type="dxa"/>
            <w:tcMar>
              <w:top w:w="58" w:type="dxa"/>
              <w:left w:w="115" w:type="dxa"/>
              <w:bottom w:w="58" w:type="dxa"/>
              <w:right w:w="115" w:type="dxa"/>
            </w:tcMar>
            <w:vAlign w:val="bottom"/>
          </w:tcPr>
          <w:p w:rsidRPr="009D24D3" w:rsidR="005974B5" w:rsidP="005974B5" w:rsidRDefault="005974B5" w14:paraId="7A335F53" w14:textId="3E3B26BC">
            <w:pPr>
              <w:jc w:val="right"/>
              <w:rPr>
                <w:rFonts w:ascii="Arial" w:hAnsi="Arial" w:cs="Arial"/>
                <w:sz w:val="18"/>
                <w:szCs w:val="18"/>
              </w:rPr>
            </w:pPr>
            <w:r w:rsidRPr="005E1D19">
              <w:rPr>
                <w:rFonts w:ascii="Arial" w:hAnsi="Arial" w:cs="Arial"/>
                <w:sz w:val="18"/>
                <w:szCs w:val="18"/>
              </w:rPr>
              <w:t xml:space="preserve">$84,170,257 </w:t>
            </w:r>
          </w:p>
        </w:tc>
        <w:tc>
          <w:tcPr>
            <w:tcW w:w="1417" w:type="dxa"/>
            <w:tcMar>
              <w:top w:w="58" w:type="dxa"/>
              <w:left w:w="115" w:type="dxa"/>
              <w:bottom w:w="58" w:type="dxa"/>
              <w:right w:w="115" w:type="dxa"/>
            </w:tcMar>
            <w:vAlign w:val="bottom"/>
          </w:tcPr>
          <w:p w:rsidRPr="009D24D3" w:rsidR="005974B5" w:rsidP="005974B5" w:rsidRDefault="005974B5" w14:paraId="1FDCDADB" w14:textId="6E9BD412">
            <w:pPr>
              <w:jc w:val="right"/>
              <w:rPr>
                <w:rFonts w:ascii="Arial" w:hAnsi="Arial" w:cs="Arial"/>
                <w:sz w:val="18"/>
                <w:szCs w:val="18"/>
              </w:rPr>
            </w:pPr>
            <w:r w:rsidRPr="005E1D19">
              <w:rPr>
                <w:rFonts w:ascii="Arial" w:hAnsi="Arial" w:cs="Arial"/>
                <w:sz w:val="18"/>
                <w:szCs w:val="18"/>
              </w:rPr>
              <w:t xml:space="preserve">$92,585,088 </w:t>
            </w:r>
          </w:p>
        </w:tc>
        <w:tc>
          <w:tcPr>
            <w:tcW w:w="1080" w:type="dxa"/>
            <w:vAlign w:val="bottom"/>
          </w:tcPr>
          <w:p w:rsidRPr="009D24D3" w:rsidR="005974B5" w:rsidP="005974B5" w:rsidRDefault="005974B5" w14:paraId="76C4C604" w14:textId="502CD68D">
            <w:pPr>
              <w:jc w:val="right"/>
              <w:rPr>
                <w:rFonts w:ascii="Arial" w:hAnsi="Arial" w:cs="Arial"/>
                <w:sz w:val="18"/>
                <w:szCs w:val="18"/>
              </w:rPr>
            </w:pPr>
            <w:r w:rsidRPr="005E1D19">
              <w:rPr>
                <w:rFonts w:ascii="Arial" w:hAnsi="Arial" w:cs="Arial"/>
                <w:sz w:val="18"/>
                <w:szCs w:val="18"/>
              </w:rPr>
              <w:t>8,701.1</w:t>
            </w:r>
          </w:p>
        </w:tc>
        <w:tc>
          <w:tcPr>
            <w:tcW w:w="1084" w:type="dxa"/>
            <w:vAlign w:val="bottom"/>
          </w:tcPr>
          <w:p w:rsidRPr="009D24D3" w:rsidR="005974B5" w:rsidP="005974B5" w:rsidRDefault="005974B5" w14:paraId="75ED8C13" w14:textId="3A009F4B">
            <w:pPr>
              <w:jc w:val="right"/>
              <w:rPr>
                <w:rFonts w:ascii="Arial" w:hAnsi="Arial" w:cs="Arial"/>
                <w:sz w:val="18"/>
                <w:szCs w:val="18"/>
              </w:rPr>
            </w:pPr>
            <w:r w:rsidRPr="005E1D19">
              <w:rPr>
                <w:rFonts w:ascii="Arial" w:hAnsi="Arial" w:cs="Arial"/>
                <w:sz w:val="18"/>
                <w:szCs w:val="18"/>
              </w:rPr>
              <w:t>17.36</w:t>
            </w:r>
          </w:p>
        </w:tc>
        <w:tc>
          <w:tcPr>
            <w:tcW w:w="1391" w:type="dxa"/>
            <w:vAlign w:val="bottom"/>
          </w:tcPr>
          <w:p w:rsidRPr="009D24D3" w:rsidR="005974B5" w:rsidP="005974B5" w:rsidRDefault="005974B5" w14:paraId="3523A239" w14:textId="27484D99">
            <w:pPr>
              <w:jc w:val="right"/>
              <w:rPr>
                <w:rFonts w:ascii="Arial" w:hAnsi="Arial" w:cs="Arial"/>
                <w:sz w:val="18"/>
                <w:szCs w:val="18"/>
              </w:rPr>
            </w:pPr>
            <w:r w:rsidRPr="005E1D19">
              <w:rPr>
                <w:rFonts w:ascii="Arial" w:hAnsi="Arial" w:cs="Arial"/>
                <w:sz w:val="18"/>
                <w:szCs w:val="18"/>
              </w:rPr>
              <w:t xml:space="preserve">$10,640.63 </w:t>
            </w:r>
          </w:p>
        </w:tc>
      </w:tr>
      <w:tr w:rsidR="005974B5" w:rsidTr="00A7385E" w14:paraId="7622033E" w14:textId="77777777">
        <w:trPr>
          <w:jc w:val="center"/>
        </w:trPr>
        <w:tc>
          <w:tcPr>
            <w:tcW w:w="1831" w:type="dxa"/>
            <w:tcMar>
              <w:top w:w="58" w:type="dxa"/>
              <w:left w:w="115" w:type="dxa"/>
              <w:bottom w:w="58" w:type="dxa"/>
              <w:right w:w="115" w:type="dxa"/>
            </w:tcMar>
          </w:tcPr>
          <w:p w:rsidRPr="00231DFB" w:rsidR="005974B5" w:rsidP="005974B5" w:rsidRDefault="005974B5" w14:paraId="046A5180" w14:textId="77777777">
            <w:pPr>
              <w:keepNext/>
              <w:keepLines/>
              <w:widowControl w:val="0"/>
              <w:tabs>
                <w:tab w:val="center" w:pos="4680"/>
              </w:tabs>
              <w:rPr>
                <w:rFonts w:ascii="Arial" w:hAnsi="Arial" w:cs="Arial"/>
                <w:sz w:val="18"/>
                <w:szCs w:val="18"/>
              </w:rPr>
            </w:pPr>
            <w:r w:rsidRPr="00231DFB">
              <w:rPr>
                <w:rFonts w:ascii="Arial" w:hAnsi="Arial" w:cs="Arial"/>
                <w:sz w:val="18"/>
                <w:szCs w:val="18"/>
              </w:rPr>
              <w:t>Class II Operators</w:t>
            </w:r>
          </w:p>
        </w:tc>
        <w:tc>
          <w:tcPr>
            <w:tcW w:w="1255" w:type="dxa"/>
            <w:tcMar>
              <w:top w:w="58" w:type="dxa"/>
              <w:left w:w="115" w:type="dxa"/>
              <w:bottom w:w="58" w:type="dxa"/>
              <w:right w:w="115" w:type="dxa"/>
            </w:tcMar>
            <w:vAlign w:val="bottom"/>
          </w:tcPr>
          <w:p w:rsidRPr="009D24D3" w:rsidR="005974B5" w:rsidP="005974B5" w:rsidRDefault="005974B5" w14:paraId="7DC553EB" w14:textId="6E10B146">
            <w:pPr>
              <w:jc w:val="right"/>
              <w:rPr>
                <w:rFonts w:ascii="Arial" w:hAnsi="Arial" w:cs="Arial"/>
                <w:sz w:val="18"/>
                <w:szCs w:val="18"/>
              </w:rPr>
            </w:pPr>
            <w:r w:rsidRPr="005E1D19">
              <w:rPr>
                <w:rFonts w:ascii="Arial" w:hAnsi="Arial" w:cs="Arial"/>
                <w:sz w:val="18"/>
                <w:szCs w:val="18"/>
              </w:rPr>
              <w:t>1,073,400</w:t>
            </w:r>
          </w:p>
        </w:tc>
        <w:tc>
          <w:tcPr>
            <w:tcW w:w="1347" w:type="dxa"/>
            <w:tcMar>
              <w:top w:w="58" w:type="dxa"/>
              <w:left w:w="115" w:type="dxa"/>
              <w:bottom w:w="58" w:type="dxa"/>
              <w:right w:w="115" w:type="dxa"/>
            </w:tcMar>
            <w:vAlign w:val="bottom"/>
          </w:tcPr>
          <w:p w:rsidRPr="009D24D3" w:rsidR="005974B5" w:rsidP="005974B5" w:rsidRDefault="005974B5" w14:paraId="163155F6" w14:textId="373531F3">
            <w:pPr>
              <w:jc w:val="right"/>
              <w:rPr>
                <w:rFonts w:ascii="Arial" w:hAnsi="Arial" w:cs="Arial"/>
                <w:sz w:val="18"/>
                <w:szCs w:val="18"/>
              </w:rPr>
            </w:pPr>
            <w:r w:rsidRPr="005E1D19">
              <w:rPr>
                <w:rFonts w:ascii="Arial" w:hAnsi="Arial" w:cs="Arial"/>
                <w:sz w:val="18"/>
                <w:szCs w:val="18"/>
              </w:rPr>
              <w:t xml:space="preserve">$56,894,584 </w:t>
            </w:r>
          </w:p>
        </w:tc>
        <w:tc>
          <w:tcPr>
            <w:tcW w:w="1350" w:type="dxa"/>
            <w:tcMar>
              <w:top w:w="58" w:type="dxa"/>
              <w:left w:w="115" w:type="dxa"/>
              <w:bottom w:w="58" w:type="dxa"/>
              <w:right w:w="115" w:type="dxa"/>
            </w:tcMar>
            <w:vAlign w:val="bottom"/>
          </w:tcPr>
          <w:p w:rsidRPr="009D24D3" w:rsidR="005974B5" w:rsidP="005974B5" w:rsidRDefault="005974B5" w14:paraId="7DBB6DF1" w14:textId="79D713DE">
            <w:pPr>
              <w:jc w:val="right"/>
              <w:rPr>
                <w:rFonts w:ascii="Arial" w:hAnsi="Arial" w:cs="Arial"/>
                <w:sz w:val="18"/>
                <w:szCs w:val="18"/>
              </w:rPr>
            </w:pPr>
            <w:r w:rsidRPr="005E1D19">
              <w:rPr>
                <w:rFonts w:ascii="Arial" w:hAnsi="Arial" w:cs="Arial"/>
                <w:sz w:val="18"/>
                <w:szCs w:val="18"/>
              </w:rPr>
              <w:t xml:space="preserve">$109,321,614 </w:t>
            </w:r>
          </w:p>
        </w:tc>
        <w:tc>
          <w:tcPr>
            <w:tcW w:w="1417" w:type="dxa"/>
            <w:tcMar>
              <w:top w:w="58" w:type="dxa"/>
              <w:left w:w="115" w:type="dxa"/>
              <w:bottom w:w="58" w:type="dxa"/>
              <w:right w:w="115" w:type="dxa"/>
            </w:tcMar>
            <w:vAlign w:val="bottom"/>
          </w:tcPr>
          <w:p w:rsidRPr="009D24D3" w:rsidR="005974B5" w:rsidP="005974B5" w:rsidRDefault="005974B5" w14:paraId="1A75C3DE" w14:textId="78948064">
            <w:pPr>
              <w:jc w:val="right"/>
              <w:rPr>
                <w:rFonts w:ascii="Arial" w:hAnsi="Arial" w:cs="Arial"/>
                <w:sz w:val="18"/>
                <w:szCs w:val="18"/>
              </w:rPr>
            </w:pPr>
            <w:r w:rsidRPr="005E1D19">
              <w:rPr>
                <w:rFonts w:ascii="Arial" w:hAnsi="Arial" w:cs="Arial"/>
                <w:sz w:val="18"/>
                <w:szCs w:val="18"/>
              </w:rPr>
              <w:t xml:space="preserve">$166,216,198 </w:t>
            </w:r>
          </w:p>
        </w:tc>
        <w:tc>
          <w:tcPr>
            <w:tcW w:w="1080" w:type="dxa"/>
            <w:vAlign w:val="bottom"/>
          </w:tcPr>
          <w:p w:rsidRPr="009D24D3" w:rsidR="005974B5" w:rsidP="005974B5" w:rsidRDefault="005974B5" w14:paraId="32E7E54E" w14:textId="69596FE9">
            <w:pPr>
              <w:jc w:val="right"/>
              <w:rPr>
                <w:rFonts w:ascii="Arial" w:hAnsi="Arial" w:cs="Arial"/>
                <w:sz w:val="18"/>
                <w:szCs w:val="18"/>
              </w:rPr>
            </w:pPr>
            <w:r w:rsidRPr="005E1D19">
              <w:rPr>
                <w:rFonts w:ascii="Arial" w:hAnsi="Arial" w:cs="Arial"/>
                <w:sz w:val="18"/>
                <w:szCs w:val="18"/>
              </w:rPr>
              <w:t>418,055.8</w:t>
            </w:r>
          </w:p>
        </w:tc>
        <w:tc>
          <w:tcPr>
            <w:tcW w:w="1084" w:type="dxa"/>
            <w:vAlign w:val="bottom"/>
          </w:tcPr>
          <w:p w:rsidRPr="009D24D3" w:rsidR="005974B5" w:rsidP="005974B5" w:rsidRDefault="005974B5" w14:paraId="0554AA05" w14:textId="22F333C1">
            <w:pPr>
              <w:jc w:val="right"/>
              <w:rPr>
                <w:rFonts w:ascii="Arial" w:hAnsi="Arial" w:cs="Arial"/>
                <w:sz w:val="18"/>
                <w:szCs w:val="18"/>
              </w:rPr>
            </w:pPr>
            <w:r w:rsidRPr="005E1D19">
              <w:rPr>
                <w:rFonts w:ascii="Arial" w:hAnsi="Arial" w:cs="Arial"/>
                <w:sz w:val="18"/>
                <w:szCs w:val="18"/>
              </w:rPr>
              <w:t>2.57</w:t>
            </w:r>
          </w:p>
        </w:tc>
        <w:tc>
          <w:tcPr>
            <w:tcW w:w="1391" w:type="dxa"/>
            <w:vAlign w:val="bottom"/>
          </w:tcPr>
          <w:p w:rsidRPr="009D24D3" w:rsidR="005974B5" w:rsidP="005974B5" w:rsidRDefault="005974B5" w14:paraId="1C0B3CA3" w14:textId="33AF66EC">
            <w:pPr>
              <w:jc w:val="right"/>
              <w:rPr>
                <w:rFonts w:ascii="Arial" w:hAnsi="Arial" w:cs="Arial"/>
                <w:sz w:val="18"/>
                <w:szCs w:val="18"/>
              </w:rPr>
            </w:pPr>
            <w:r w:rsidRPr="005E1D19">
              <w:rPr>
                <w:rFonts w:ascii="Arial" w:hAnsi="Arial" w:cs="Arial"/>
                <w:sz w:val="18"/>
                <w:szCs w:val="18"/>
              </w:rPr>
              <w:t xml:space="preserve">$397.59 </w:t>
            </w:r>
          </w:p>
        </w:tc>
      </w:tr>
      <w:tr w:rsidR="005974B5" w:rsidTr="00A7385E" w14:paraId="0F121720" w14:textId="77777777">
        <w:trPr>
          <w:jc w:val="center"/>
        </w:trPr>
        <w:tc>
          <w:tcPr>
            <w:tcW w:w="1831" w:type="dxa"/>
            <w:tcMar>
              <w:top w:w="58" w:type="dxa"/>
              <w:left w:w="115" w:type="dxa"/>
              <w:bottom w:w="58" w:type="dxa"/>
              <w:right w:w="115" w:type="dxa"/>
            </w:tcMar>
          </w:tcPr>
          <w:p w:rsidRPr="00231DFB" w:rsidR="005974B5" w:rsidP="005974B5" w:rsidRDefault="005974B5" w14:paraId="11E34D0C" w14:textId="77777777">
            <w:pPr>
              <w:keepNext/>
              <w:keepLines/>
              <w:widowControl w:val="0"/>
              <w:tabs>
                <w:tab w:val="center" w:pos="4680"/>
              </w:tabs>
              <w:rPr>
                <w:rFonts w:ascii="Arial" w:hAnsi="Arial" w:cs="Arial"/>
                <w:sz w:val="18"/>
                <w:szCs w:val="18"/>
              </w:rPr>
            </w:pPr>
            <w:r w:rsidRPr="00231DFB">
              <w:rPr>
                <w:rFonts w:ascii="Arial" w:hAnsi="Arial" w:cs="Arial"/>
                <w:sz w:val="18"/>
                <w:szCs w:val="18"/>
              </w:rPr>
              <w:t>Class III Operators</w:t>
            </w:r>
          </w:p>
        </w:tc>
        <w:tc>
          <w:tcPr>
            <w:tcW w:w="1255" w:type="dxa"/>
            <w:tcMar>
              <w:top w:w="58" w:type="dxa"/>
              <w:left w:w="115" w:type="dxa"/>
              <w:bottom w:w="58" w:type="dxa"/>
              <w:right w:w="115" w:type="dxa"/>
            </w:tcMar>
            <w:vAlign w:val="bottom"/>
          </w:tcPr>
          <w:p w:rsidRPr="009D24D3" w:rsidR="005974B5" w:rsidP="005974B5" w:rsidRDefault="005974B5" w14:paraId="580F9203" w14:textId="4F37FCB2">
            <w:pPr>
              <w:jc w:val="right"/>
              <w:rPr>
                <w:rFonts w:ascii="Arial" w:hAnsi="Arial" w:cs="Arial"/>
                <w:sz w:val="18"/>
                <w:szCs w:val="18"/>
              </w:rPr>
            </w:pPr>
            <w:r w:rsidRPr="005E1D19">
              <w:rPr>
                <w:rFonts w:ascii="Arial" w:hAnsi="Arial" w:cs="Arial"/>
                <w:sz w:val="18"/>
                <w:szCs w:val="18"/>
              </w:rPr>
              <w:t>101,513</w:t>
            </w:r>
          </w:p>
        </w:tc>
        <w:tc>
          <w:tcPr>
            <w:tcW w:w="1347" w:type="dxa"/>
            <w:tcMar>
              <w:top w:w="58" w:type="dxa"/>
              <w:left w:w="115" w:type="dxa"/>
              <w:bottom w:w="58" w:type="dxa"/>
              <w:right w:w="115" w:type="dxa"/>
            </w:tcMar>
            <w:vAlign w:val="bottom"/>
          </w:tcPr>
          <w:p w:rsidRPr="009D24D3" w:rsidR="005974B5" w:rsidP="005974B5" w:rsidRDefault="005974B5" w14:paraId="68614FF5" w14:textId="65071203">
            <w:pPr>
              <w:jc w:val="right"/>
              <w:rPr>
                <w:rFonts w:ascii="Arial" w:hAnsi="Arial" w:cs="Arial"/>
                <w:sz w:val="18"/>
                <w:szCs w:val="18"/>
              </w:rPr>
            </w:pPr>
            <w:r w:rsidRPr="005E1D19">
              <w:rPr>
                <w:rFonts w:ascii="Arial" w:hAnsi="Arial" w:cs="Arial"/>
                <w:sz w:val="18"/>
                <w:szCs w:val="18"/>
              </w:rPr>
              <w:t xml:space="preserve">$4,995,581 </w:t>
            </w:r>
          </w:p>
        </w:tc>
        <w:tc>
          <w:tcPr>
            <w:tcW w:w="1350" w:type="dxa"/>
            <w:tcMar>
              <w:top w:w="58" w:type="dxa"/>
              <w:left w:w="115" w:type="dxa"/>
              <w:bottom w:w="58" w:type="dxa"/>
              <w:right w:w="115" w:type="dxa"/>
            </w:tcMar>
            <w:vAlign w:val="bottom"/>
          </w:tcPr>
          <w:p w:rsidRPr="009D24D3" w:rsidR="005974B5" w:rsidP="005974B5" w:rsidRDefault="005974B5" w14:paraId="78456628" w14:textId="64CD4FF8">
            <w:pPr>
              <w:jc w:val="right"/>
              <w:rPr>
                <w:rFonts w:ascii="Arial" w:hAnsi="Arial" w:cs="Arial"/>
                <w:sz w:val="18"/>
                <w:szCs w:val="18"/>
              </w:rPr>
            </w:pPr>
            <w:r w:rsidRPr="005E1D19">
              <w:rPr>
                <w:rFonts w:ascii="Arial" w:hAnsi="Arial" w:cs="Arial"/>
                <w:sz w:val="18"/>
                <w:szCs w:val="18"/>
              </w:rPr>
              <w:t xml:space="preserve">$5,279,655 </w:t>
            </w:r>
          </w:p>
        </w:tc>
        <w:tc>
          <w:tcPr>
            <w:tcW w:w="1417" w:type="dxa"/>
            <w:tcMar>
              <w:top w:w="58" w:type="dxa"/>
              <w:left w:w="115" w:type="dxa"/>
              <w:bottom w:w="58" w:type="dxa"/>
              <w:right w:w="115" w:type="dxa"/>
            </w:tcMar>
            <w:vAlign w:val="bottom"/>
          </w:tcPr>
          <w:p w:rsidRPr="009D24D3" w:rsidR="005974B5" w:rsidP="005974B5" w:rsidRDefault="005974B5" w14:paraId="196D0BE9" w14:textId="17E5805A">
            <w:pPr>
              <w:jc w:val="right"/>
              <w:rPr>
                <w:rFonts w:ascii="Arial" w:hAnsi="Arial" w:cs="Arial"/>
                <w:sz w:val="18"/>
                <w:szCs w:val="18"/>
              </w:rPr>
            </w:pPr>
            <w:r w:rsidRPr="005E1D19">
              <w:rPr>
                <w:rFonts w:ascii="Arial" w:hAnsi="Arial" w:cs="Arial"/>
                <w:sz w:val="18"/>
                <w:szCs w:val="18"/>
              </w:rPr>
              <w:t xml:space="preserve">$10,275,236 </w:t>
            </w:r>
          </w:p>
        </w:tc>
        <w:tc>
          <w:tcPr>
            <w:tcW w:w="1080" w:type="dxa"/>
            <w:vAlign w:val="bottom"/>
          </w:tcPr>
          <w:p w:rsidRPr="009D24D3" w:rsidR="005974B5" w:rsidP="005974B5" w:rsidRDefault="005974B5" w14:paraId="076EBB65" w14:textId="0D78EAD8">
            <w:pPr>
              <w:jc w:val="right"/>
              <w:rPr>
                <w:rFonts w:ascii="Arial" w:hAnsi="Arial" w:cs="Arial"/>
                <w:sz w:val="18"/>
                <w:szCs w:val="18"/>
              </w:rPr>
            </w:pPr>
            <w:r w:rsidRPr="005E1D19">
              <w:rPr>
                <w:rFonts w:ascii="Arial" w:hAnsi="Arial" w:cs="Arial"/>
                <w:sz w:val="18"/>
                <w:szCs w:val="18"/>
              </w:rPr>
              <w:t>10,562.0</w:t>
            </w:r>
          </w:p>
        </w:tc>
        <w:tc>
          <w:tcPr>
            <w:tcW w:w="1084" w:type="dxa"/>
            <w:vAlign w:val="bottom"/>
          </w:tcPr>
          <w:p w:rsidRPr="009D24D3" w:rsidR="005974B5" w:rsidP="005974B5" w:rsidRDefault="005974B5" w14:paraId="3E17CBB0" w14:textId="1A5D75DD">
            <w:pPr>
              <w:jc w:val="right"/>
              <w:rPr>
                <w:rFonts w:ascii="Arial" w:hAnsi="Arial" w:cs="Arial"/>
                <w:sz w:val="18"/>
                <w:szCs w:val="18"/>
              </w:rPr>
            </w:pPr>
            <w:r w:rsidRPr="005E1D19">
              <w:rPr>
                <w:rFonts w:ascii="Arial" w:hAnsi="Arial" w:cs="Arial"/>
                <w:sz w:val="18"/>
                <w:szCs w:val="18"/>
              </w:rPr>
              <w:t>9.61</w:t>
            </w:r>
          </w:p>
        </w:tc>
        <w:tc>
          <w:tcPr>
            <w:tcW w:w="1391" w:type="dxa"/>
            <w:vAlign w:val="bottom"/>
          </w:tcPr>
          <w:p w:rsidRPr="009D24D3" w:rsidR="005974B5" w:rsidP="005974B5" w:rsidRDefault="005974B5" w14:paraId="31EDE90B" w14:textId="47ECB99D">
            <w:pPr>
              <w:jc w:val="right"/>
              <w:rPr>
                <w:rFonts w:ascii="Arial" w:hAnsi="Arial" w:cs="Arial"/>
                <w:sz w:val="18"/>
                <w:szCs w:val="18"/>
              </w:rPr>
            </w:pPr>
            <w:r w:rsidRPr="005E1D19">
              <w:rPr>
                <w:rFonts w:ascii="Arial" w:hAnsi="Arial" w:cs="Arial"/>
                <w:sz w:val="18"/>
                <w:szCs w:val="18"/>
              </w:rPr>
              <w:t xml:space="preserve">$972.85 </w:t>
            </w:r>
          </w:p>
        </w:tc>
      </w:tr>
      <w:tr w:rsidR="005974B5" w:rsidTr="00A7385E" w14:paraId="096C362C" w14:textId="77777777">
        <w:trPr>
          <w:jc w:val="center"/>
        </w:trPr>
        <w:tc>
          <w:tcPr>
            <w:tcW w:w="1831" w:type="dxa"/>
            <w:tcMar>
              <w:top w:w="58" w:type="dxa"/>
              <w:left w:w="115" w:type="dxa"/>
              <w:bottom w:w="58" w:type="dxa"/>
              <w:right w:w="115" w:type="dxa"/>
            </w:tcMar>
          </w:tcPr>
          <w:p w:rsidRPr="00231DFB" w:rsidR="005974B5" w:rsidP="005974B5" w:rsidRDefault="005974B5" w14:paraId="440DEF15" w14:textId="77777777">
            <w:pPr>
              <w:keepNext/>
              <w:keepLines/>
              <w:widowControl w:val="0"/>
              <w:tabs>
                <w:tab w:val="center" w:pos="4680"/>
              </w:tabs>
              <w:rPr>
                <w:rFonts w:ascii="Arial" w:hAnsi="Arial" w:cs="Arial"/>
                <w:sz w:val="18"/>
                <w:szCs w:val="18"/>
              </w:rPr>
            </w:pPr>
            <w:r w:rsidRPr="00231DFB">
              <w:rPr>
                <w:rFonts w:ascii="Arial" w:hAnsi="Arial" w:cs="Arial"/>
                <w:sz w:val="18"/>
                <w:szCs w:val="18"/>
              </w:rPr>
              <w:t>Class IV Operators</w:t>
            </w:r>
          </w:p>
        </w:tc>
        <w:tc>
          <w:tcPr>
            <w:tcW w:w="1255" w:type="dxa"/>
            <w:tcMar>
              <w:top w:w="58" w:type="dxa"/>
              <w:left w:w="115" w:type="dxa"/>
              <w:bottom w:w="58" w:type="dxa"/>
              <w:right w:w="115" w:type="dxa"/>
            </w:tcMar>
            <w:vAlign w:val="bottom"/>
          </w:tcPr>
          <w:p w:rsidRPr="009D24D3" w:rsidR="005974B5" w:rsidP="005974B5" w:rsidRDefault="005974B5" w14:paraId="6599C4E7" w14:textId="200C5B96">
            <w:pPr>
              <w:jc w:val="right"/>
              <w:rPr>
                <w:rFonts w:ascii="Arial" w:hAnsi="Arial" w:cs="Arial"/>
                <w:sz w:val="18"/>
                <w:szCs w:val="18"/>
              </w:rPr>
            </w:pPr>
            <w:r w:rsidRPr="005E1D19">
              <w:rPr>
                <w:rFonts w:ascii="Arial" w:hAnsi="Arial" w:cs="Arial"/>
                <w:sz w:val="18"/>
                <w:szCs w:val="18"/>
              </w:rPr>
              <w:t>698</w:t>
            </w:r>
          </w:p>
        </w:tc>
        <w:tc>
          <w:tcPr>
            <w:tcW w:w="1347" w:type="dxa"/>
            <w:tcMar>
              <w:top w:w="58" w:type="dxa"/>
              <w:left w:w="115" w:type="dxa"/>
              <w:bottom w:w="58" w:type="dxa"/>
              <w:right w:w="115" w:type="dxa"/>
            </w:tcMar>
            <w:vAlign w:val="bottom"/>
          </w:tcPr>
          <w:p w:rsidRPr="009D24D3" w:rsidR="005974B5" w:rsidP="005974B5" w:rsidRDefault="005974B5" w14:paraId="5723CEAC" w14:textId="60A32412">
            <w:pPr>
              <w:jc w:val="right"/>
              <w:rPr>
                <w:rFonts w:ascii="Arial" w:hAnsi="Arial" w:cs="Arial"/>
                <w:sz w:val="18"/>
                <w:szCs w:val="18"/>
              </w:rPr>
            </w:pPr>
            <w:r w:rsidRPr="005E1D19">
              <w:rPr>
                <w:rFonts w:ascii="Arial" w:hAnsi="Arial" w:cs="Arial"/>
                <w:sz w:val="18"/>
                <w:szCs w:val="18"/>
              </w:rPr>
              <w:t xml:space="preserve">$20,042 </w:t>
            </w:r>
          </w:p>
        </w:tc>
        <w:tc>
          <w:tcPr>
            <w:tcW w:w="1350" w:type="dxa"/>
            <w:tcMar>
              <w:top w:w="58" w:type="dxa"/>
              <w:left w:w="115" w:type="dxa"/>
              <w:bottom w:w="58" w:type="dxa"/>
              <w:right w:w="115" w:type="dxa"/>
            </w:tcMar>
            <w:vAlign w:val="bottom"/>
          </w:tcPr>
          <w:p w:rsidRPr="009D24D3" w:rsidR="005974B5" w:rsidP="005974B5" w:rsidRDefault="005974B5" w14:paraId="13BC86E3" w14:textId="6E28A468">
            <w:pPr>
              <w:jc w:val="right"/>
              <w:rPr>
                <w:rFonts w:ascii="Arial" w:hAnsi="Arial" w:cs="Arial"/>
                <w:sz w:val="18"/>
                <w:szCs w:val="18"/>
              </w:rPr>
            </w:pPr>
            <w:r w:rsidRPr="005E1D19">
              <w:rPr>
                <w:rFonts w:ascii="Arial" w:hAnsi="Arial" w:cs="Arial"/>
                <w:sz w:val="18"/>
                <w:szCs w:val="18"/>
              </w:rPr>
              <w:t xml:space="preserve">$0 </w:t>
            </w:r>
          </w:p>
        </w:tc>
        <w:tc>
          <w:tcPr>
            <w:tcW w:w="1417" w:type="dxa"/>
            <w:tcMar>
              <w:top w:w="58" w:type="dxa"/>
              <w:left w:w="115" w:type="dxa"/>
              <w:bottom w:w="58" w:type="dxa"/>
              <w:right w:w="115" w:type="dxa"/>
            </w:tcMar>
            <w:vAlign w:val="bottom"/>
          </w:tcPr>
          <w:p w:rsidRPr="009D24D3" w:rsidR="005974B5" w:rsidP="005974B5" w:rsidRDefault="005974B5" w14:paraId="428F633E" w14:textId="09A4A8DB">
            <w:pPr>
              <w:jc w:val="right"/>
              <w:rPr>
                <w:rFonts w:ascii="Arial" w:hAnsi="Arial" w:cs="Arial"/>
                <w:sz w:val="18"/>
                <w:szCs w:val="18"/>
              </w:rPr>
            </w:pPr>
            <w:r w:rsidRPr="005E1D19">
              <w:rPr>
                <w:rFonts w:ascii="Arial" w:hAnsi="Arial" w:cs="Arial"/>
                <w:sz w:val="18"/>
                <w:szCs w:val="18"/>
              </w:rPr>
              <w:t xml:space="preserve">$20,042 </w:t>
            </w:r>
          </w:p>
        </w:tc>
        <w:tc>
          <w:tcPr>
            <w:tcW w:w="1080" w:type="dxa"/>
            <w:vAlign w:val="bottom"/>
          </w:tcPr>
          <w:p w:rsidRPr="009D24D3" w:rsidR="005974B5" w:rsidP="005974B5" w:rsidRDefault="005974B5" w14:paraId="11DF24E2" w14:textId="35BC8E6B">
            <w:pPr>
              <w:jc w:val="right"/>
              <w:rPr>
                <w:rFonts w:ascii="Arial" w:hAnsi="Arial" w:cs="Arial"/>
                <w:sz w:val="18"/>
                <w:szCs w:val="18"/>
              </w:rPr>
            </w:pPr>
            <w:r w:rsidRPr="005E1D19">
              <w:rPr>
                <w:rFonts w:ascii="Arial" w:hAnsi="Arial" w:cs="Arial"/>
                <w:sz w:val="18"/>
                <w:szCs w:val="18"/>
              </w:rPr>
              <w:t>141.5</w:t>
            </w:r>
          </w:p>
        </w:tc>
        <w:tc>
          <w:tcPr>
            <w:tcW w:w="1084" w:type="dxa"/>
            <w:vAlign w:val="bottom"/>
          </w:tcPr>
          <w:p w:rsidRPr="009D24D3" w:rsidR="005974B5" w:rsidP="005974B5" w:rsidRDefault="005974B5" w14:paraId="3896A009" w14:textId="144AA45B">
            <w:pPr>
              <w:jc w:val="right"/>
              <w:rPr>
                <w:rFonts w:ascii="Arial" w:hAnsi="Arial" w:cs="Arial"/>
                <w:sz w:val="18"/>
                <w:szCs w:val="18"/>
              </w:rPr>
            </w:pPr>
            <w:r w:rsidRPr="005E1D19">
              <w:rPr>
                <w:rFonts w:ascii="Arial" w:hAnsi="Arial" w:cs="Arial"/>
                <w:sz w:val="18"/>
                <w:szCs w:val="18"/>
              </w:rPr>
              <w:t>4.93</w:t>
            </w:r>
          </w:p>
        </w:tc>
        <w:tc>
          <w:tcPr>
            <w:tcW w:w="1391" w:type="dxa"/>
            <w:vAlign w:val="bottom"/>
          </w:tcPr>
          <w:p w:rsidRPr="009D24D3" w:rsidR="005974B5" w:rsidP="005974B5" w:rsidRDefault="005974B5" w14:paraId="05863A03" w14:textId="4289F6EA">
            <w:pPr>
              <w:jc w:val="right"/>
              <w:rPr>
                <w:rFonts w:ascii="Arial" w:hAnsi="Arial" w:cs="Arial"/>
                <w:sz w:val="18"/>
                <w:szCs w:val="18"/>
              </w:rPr>
            </w:pPr>
            <w:r w:rsidRPr="005E1D19">
              <w:rPr>
                <w:rFonts w:ascii="Arial" w:hAnsi="Arial" w:cs="Arial"/>
                <w:sz w:val="18"/>
                <w:szCs w:val="18"/>
              </w:rPr>
              <w:t xml:space="preserve">$141.64 </w:t>
            </w:r>
          </w:p>
        </w:tc>
      </w:tr>
      <w:tr w:rsidR="005974B5" w:rsidTr="00A7385E" w14:paraId="38A61CAB" w14:textId="77777777">
        <w:trPr>
          <w:jc w:val="center"/>
        </w:trPr>
        <w:tc>
          <w:tcPr>
            <w:tcW w:w="1831" w:type="dxa"/>
            <w:tcMar>
              <w:top w:w="58" w:type="dxa"/>
              <w:left w:w="115" w:type="dxa"/>
              <w:bottom w:w="58" w:type="dxa"/>
              <w:right w:w="115" w:type="dxa"/>
            </w:tcMar>
          </w:tcPr>
          <w:p w:rsidRPr="00231DFB" w:rsidR="005974B5" w:rsidP="005974B5" w:rsidRDefault="005974B5" w14:paraId="1766E87D" w14:textId="77777777">
            <w:pPr>
              <w:keepNext/>
              <w:keepLines/>
              <w:widowControl w:val="0"/>
              <w:tabs>
                <w:tab w:val="center" w:pos="4680"/>
              </w:tabs>
              <w:rPr>
                <w:rFonts w:ascii="Arial" w:hAnsi="Arial" w:cs="Arial"/>
                <w:sz w:val="18"/>
                <w:szCs w:val="18"/>
              </w:rPr>
            </w:pPr>
            <w:r w:rsidRPr="00231DFB">
              <w:rPr>
                <w:rFonts w:ascii="Arial" w:hAnsi="Arial" w:cs="Arial"/>
                <w:sz w:val="18"/>
                <w:szCs w:val="18"/>
              </w:rPr>
              <w:t>Class V Operators</w:t>
            </w:r>
          </w:p>
        </w:tc>
        <w:tc>
          <w:tcPr>
            <w:tcW w:w="1255" w:type="dxa"/>
            <w:tcMar>
              <w:top w:w="58" w:type="dxa"/>
              <w:left w:w="115" w:type="dxa"/>
              <w:bottom w:w="58" w:type="dxa"/>
              <w:right w:w="115" w:type="dxa"/>
            </w:tcMar>
            <w:vAlign w:val="bottom"/>
          </w:tcPr>
          <w:p w:rsidRPr="009D24D3" w:rsidR="005974B5" w:rsidP="005974B5" w:rsidRDefault="005974B5" w14:paraId="61F1C738" w14:textId="3C91CF60">
            <w:pPr>
              <w:jc w:val="right"/>
              <w:rPr>
                <w:rFonts w:ascii="Arial" w:hAnsi="Arial" w:cs="Arial"/>
                <w:sz w:val="18"/>
                <w:szCs w:val="18"/>
              </w:rPr>
            </w:pPr>
            <w:r w:rsidRPr="005E1D19">
              <w:rPr>
                <w:rFonts w:ascii="Arial" w:hAnsi="Arial" w:cs="Arial"/>
                <w:sz w:val="18"/>
                <w:szCs w:val="18"/>
              </w:rPr>
              <w:t>24,657</w:t>
            </w:r>
          </w:p>
        </w:tc>
        <w:tc>
          <w:tcPr>
            <w:tcW w:w="1347" w:type="dxa"/>
            <w:tcMar>
              <w:top w:w="58" w:type="dxa"/>
              <w:left w:w="115" w:type="dxa"/>
              <w:bottom w:w="58" w:type="dxa"/>
              <w:right w:w="115" w:type="dxa"/>
            </w:tcMar>
            <w:vAlign w:val="bottom"/>
          </w:tcPr>
          <w:p w:rsidRPr="009D24D3" w:rsidR="005974B5" w:rsidP="005974B5" w:rsidRDefault="005974B5" w14:paraId="137497F2" w14:textId="20EDD790">
            <w:pPr>
              <w:jc w:val="right"/>
              <w:rPr>
                <w:rFonts w:ascii="Arial" w:hAnsi="Arial" w:cs="Arial"/>
                <w:sz w:val="18"/>
                <w:szCs w:val="18"/>
              </w:rPr>
            </w:pPr>
            <w:r w:rsidRPr="005E1D19">
              <w:rPr>
                <w:rFonts w:ascii="Arial" w:hAnsi="Arial" w:cs="Arial"/>
                <w:sz w:val="18"/>
                <w:szCs w:val="18"/>
              </w:rPr>
              <w:t xml:space="preserve">$682,927 </w:t>
            </w:r>
          </w:p>
        </w:tc>
        <w:tc>
          <w:tcPr>
            <w:tcW w:w="1350" w:type="dxa"/>
            <w:tcMar>
              <w:top w:w="58" w:type="dxa"/>
              <w:left w:w="115" w:type="dxa"/>
              <w:bottom w:w="58" w:type="dxa"/>
              <w:right w:w="115" w:type="dxa"/>
            </w:tcMar>
            <w:vAlign w:val="bottom"/>
          </w:tcPr>
          <w:p w:rsidRPr="009D24D3" w:rsidR="005974B5" w:rsidP="005974B5" w:rsidRDefault="005974B5" w14:paraId="7AF5E844" w14:textId="6DC355F3">
            <w:pPr>
              <w:jc w:val="right"/>
              <w:rPr>
                <w:rFonts w:ascii="Arial" w:hAnsi="Arial" w:cs="Arial"/>
                <w:sz w:val="18"/>
                <w:szCs w:val="18"/>
              </w:rPr>
            </w:pPr>
            <w:r w:rsidRPr="005E1D19">
              <w:rPr>
                <w:rFonts w:ascii="Arial" w:hAnsi="Arial" w:cs="Arial"/>
                <w:sz w:val="18"/>
                <w:szCs w:val="18"/>
              </w:rPr>
              <w:t xml:space="preserve">$8,722,675 </w:t>
            </w:r>
          </w:p>
        </w:tc>
        <w:tc>
          <w:tcPr>
            <w:tcW w:w="1417" w:type="dxa"/>
            <w:tcMar>
              <w:top w:w="58" w:type="dxa"/>
              <w:left w:w="115" w:type="dxa"/>
              <w:bottom w:w="58" w:type="dxa"/>
              <w:right w:w="115" w:type="dxa"/>
            </w:tcMar>
            <w:vAlign w:val="bottom"/>
          </w:tcPr>
          <w:p w:rsidRPr="009D24D3" w:rsidR="005974B5" w:rsidP="005974B5" w:rsidRDefault="005974B5" w14:paraId="46DC723D" w14:textId="2055265D">
            <w:pPr>
              <w:jc w:val="right"/>
              <w:rPr>
                <w:rFonts w:ascii="Arial" w:hAnsi="Arial" w:cs="Arial"/>
                <w:sz w:val="18"/>
                <w:szCs w:val="18"/>
              </w:rPr>
            </w:pPr>
            <w:r w:rsidRPr="005E1D19">
              <w:rPr>
                <w:rFonts w:ascii="Arial" w:hAnsi="Arial" w:cs="Arial"/>
                <w:sz w:val="18"/>
                <w:szCs w:val="18"/>
              </w:rPr>
              <w:t xml:space="preserve">$9,405,602 </w:t>
            </w:r>
          </w:p>
        </w:tc>
        <w:tc>
          <w:tcPr>
            <w:tcW w:w="1080" w:type="dxa"/>
            <w:vAlign w:val="bottom"/>
          </w:tcPr>
          <w:p w:rsidRPr="009D24D3" w:rsidR="005974B5" w:rsidP="005974B5" w:rsidRDefault="005974B5" w14:paraId="1217599E" w14:textId="0223E5E9">
            <w:pPr>
              <w:jc w:val="right"/>
              <w:rPr>
                <w:rFonts w:ascii="Arial" w:hAnsi="Arial" w:cs="Arial"/>
                <w:sz w:val="18"/>
                <w:szCs w:val="18"/>
              </w:rPr>
            </w:pPr>
            <w:r w:rsidRPr="005E1D19">
              <w:rPr>
                <w:rFonts w:ascii="Arial" w:hAnsi="Arial" w:cs="Arial"/>
                <w:sz w:val="18"/>
                <w:szCs w:val="18"/>
              </w:rPr>
              <w:t>28,232.5</w:t>
            </w:r>
          </w:p>
        </w:tc>
        <w:tc>
          <w:tcPr>
            <w:tcW w:w="1084" w:type="dxa"/>
            <w:vAlign w:val="bottom"/>
          </w:tcPr>
          <w:p w:rsidRPr="009D24D3" w:rsidR="005974B5" w:rsidP="005974B5" w:rsidRDefault="005974B5" w14:paraId="24D5B281" w14:textId="18730E86">
            <w:pPr>
              <w:jc w:val="right"/>
              <w:rPr>
                <w:rFonts w:ascii="Arial" w:hAnsi="Arial" w:cs="Arial"/>
                <w:sz w:val="18"/>
                <w:szCs w:val="18"/>
              </w:rPr>
            </w:pPr>
            <w:r w:rsidRPr="005E1D19">
              <w:rPr>
                <w:rFonts w:ascii="Arial" w:hAnsi="Arial" w:cs="Arial"/>
                <w:sz w:val="18"/>
                <w:szCs w:val="18"/>
              </w:rPr>
              <w:t>0.87</w:t>
            </w:r>
          </w:p>
        </w:tc>
        <w:tc>
          <w:tcPr>
            <w:tcW w:w="1391" w:type="dxa"/>
            <w:vAlign w:val="bottom"/>
          </w:tcPr>
          <w:p w:rsidRPr="009D24D3" w:rsidR="005974B5" w:rsidP="005974B5" w:rsidRDefault="005974B5" w14:paraId="352DC9DE" w14:textId="6846627D">
            <w:pPr>
              <w:jc w:val="right"/>
              <w:rPr>
                <w:rFonts w:ascii="Arial" w:hAnsi="Arial" w:cs="Arial"/>
                <w:sz w:val="18"/>
                <w:szCs w:val="18"/>
              </w:rPr>
            </w:pPr>
            <w:r w:rsidRPr="005E1D19">
              <w:rPr>
                <w:rFonts w:ascii="Arial" w:hAnsi="Arial" w:cs="Arial"/>
                <w:sz w:val="18"/>
                <w:szCs w:val="18"/>
              </w:rPr>
              <w:t xml:space="preserve">$333.15 </w:t>
            </w:r>
          </w:p>
        </w:tc>
      </w:tr>
      <w:tr w:rsidR="005974B5" w:rsidTr="00A7385E" w14:paraId="12DCE51B" w14:textId="77777777">
        <w:trPr>
          <w:jc w:val="center"/>
        </w:trPr>
        <w:tc>
          <w:tcPr>
            <w:tcW w:w="1831" w:type="dxa"/>
            <w:tcMar>
              <w:top w:w="58" w:type="dxa"/>
              <w:left w:w="115" w:type="dxa"/>
              <w:bottom w:w="58" w:type="dxa"/>
              <w:right w:w="115" w:type="dxa"/>
            </w:tcMar>
          </w:tcPr>
          <w:p w:rsidRPr="009C5A2B" w:rsidR="005974B5" w:rsidP="005974B5" w:rsidRDefault="005974B5" w14:paraId="57A6AFD9" w14:textId="77777777">
            <w:pPr>
              <w:keepNext/>
              <w:keepLines/>
              <w:widowControl w:val="0"/>
              <w:tabs>
                <w:tab w:val="center" w:pos="4680"/>
              </w:tabs>
              <w:rPr>
                <w:rFonts w:ascii="Arial" w:hAnsi="Arial" w:cs="Arial"/>
                <w:sz w:val="18"/>
                <w:szCs w:val="18"/>
              </w:rPr>
            </w:pPr>
            <w:r w:rsidRPr="009C5A2B">
              <w:rPr>
                <w:rFonts w:ascii="Arial" w:hAnsi="Arial" w:cs="Arial"/>
                <w:sz w:val="18"/>
                <w:szCs w:val="18"/>
              </w:rPr>
              <w:t>Class VI Operators</w:t>
            </w:r>
          </w:p>
        </w:tc>
        <w:tc>
          <w:tcPr>
            <w:tcW w:w="1255" w:type="dxa"/>
            <w:tcMar>
              <w:top w:w="58" w:type="dxa"/>
              <w:left w:w="115" w:type="dxa"/>
              <w:bottom w:w="58" w:type="dxa"/>
              <w:right w:w="115" w:type="dxa"/>
            </w:tcMar>
            <w:vAlign w:val="bottom"/>
          </w:tcPr>
          <w:p w:rsidRPr="009D24D3" w:rsidR="005974B5" w:rsidP="005974B5" w:rsidRDefault="005974B5" w14:paraId="30B50EF8" w14:textId="1A670F1F">
            <w:pPr>
              <w:jc w:val="right"/>
              <w:rPr>
                <w:rFonts w:ascii="Arial" w:hAnsi="Arial" w:cs="Arial"/>
                <w:sz w:val="18"/>
                <w:szCs w:val="18"/>
              </w:rPr>
            </w:pPr>
            <w:r w:rsidRPr="005E1D19">
              <w:rPr>
                <w:rFonts w:ascii="Arial" w:hAnsi="Arial" w:cs="Arial"/>
                <w:sz w:val="18"/>
                <w:szCs w:val="18"/>
              </w:rPr>
              <w:t>49,649</w:t>
            </w:r>
          </w:p>
        </w:tc>
        <w:tc>
          <w:tcPr>
            <w:tcW w:w="1347" w:type="dxa"/>
            <w:tcMar>
              <w:top w:w="58" w:type="dxa"/>
              <w:left w:w="115" w:type="dxa"/>
              <w:bottom w:w="58" w:type="dxa"/>
              <w:right w:w="115" w:type="dxa"/>
            </w:tcMar>
            <w:vAlign w:val="bottom"/>
          </w:tcPr>
          <w:p w:rsidRPr="009D24D3" w:rsidR="005974B5" w:rsidP="005974B5" w:rsidRDefault="005974B5" w14:paraId="2D0C1297" w14:textId="078F0BCC">
            <w:pPr>
              <w:jc w:val="right"/>
              <w:rPr>
                <w:rFonts w:ascii="Arial" w:hAnsi="Arial" w:cs="Arial"/>
                <w:sz w:val="18"/>
                <w:szCs w:val="18"/>
              </w:rPr>
            </w:pPr>
            <w:r w:rsidRPr="005E1D19">
              <w:rPr>
                <w:rFonts w:ascii="Arial" w:hAnsi="Arial" w:cs="Arial"/>
                <w:sz w:val="18"/>
                <w:szCs w:val="18"/>
              </w:rPr>
              <w:t xml:space="preserve">$5,651,568 </w:t>
            </w:r>
          </w:p>
        </w:tc>
        <w:tc>
          <w:tcPr>
            <w:tcW w:w="1350" w:type="dxa"/>
            <w:tcMar>
              <w:top w:w="58" w:type="dxa"/>
              <w:left w:w="115" w:type="dxa"/>
              <w:bottom w:w="58" w:type="dxa"/>
              <w:right w:w="115" w:type="dxa"/>
            </w:tcMar>
            <w:vAlign w:val="bottom"/>
          </w:tcPr>
          <w:p w:rsidRPr="009D24D3" w:rsidR="005974B5" w:rsidP="005974B5" w:rsidRDefault="005974B5" w14:paraId="4332042C" w14:textId="280BE332">
            <w:pPr>
              <w:jc w:val="right"/>
              <w:rPr>
                <w:rFonts w:ascii="Arial" w:hAnsi="Arial" w:cs="Arial"/>
                <w:sz w:val="18"/>
                <w:szCs w:val="18"/>
              </w:rPr>
            </w:pPr>
            <w:r w:rsidRPr="005E1D19">
              <w:rPr>
                <w:rFonts w:ascii="Arial" w:hAnsi="Arial" w:cs="Arial"/>
                <w:sz w:val="18"/>
                <w:szCs w:val="18"/>
              </w:rPr>
              <w:t xml:space="preserve">$68,575,264 </w:t>
            </w:r>
          </w:p>
        </w:tc>
        <w:tc>
          <w:tcPr>
            <w:tcW w:w="1417" w:type="dxa"/>
            <w:tcMar>
              <w:top w:w="58" w:type="dxa"/>
              <w:left w:w="115" w:type="dxa"/>
              <w:bottom w:w="58" w:type="dxa"/>
              <w:right w:w="115" w:type="dxa"/>
            </w:tcMar>
            <w:vAlign w:val="bottom"/>
          </w:tcPr>
          <w:p w:rsidRPr="009D24D3" w:rsidR="005974B5" w:rsidP="005974B5" w:rsidRDefault="005974B5" w14:paraId="70D6D33D" w14:textId="0AFFEFF4">
            <w:pPr>
              <w:jc w:val="right"/>
              <w:rPr>
                <w:rFonts w:ascii="Arial" w:hAnsi="Arial" w:cs="Arial"/>
                <w:sz w:val="18"/>
                <w:szCs w:val="18"/>
              </w:rPr>
            </w:pPr>
            <w:r w:rsidRPr="005E1D19">
              <w:rPr>
                <w:rFonts w:ascii="Arial" w:hAnsi="Arial" w:cs="Arial"/>
                <w:sz w:val="18"/>
                <w:szCs w:val="18"/>
              </w:rPr>
              <w:t xml:space="preserve">$74,226,832 </w:t>
            </w:r>
          </w:p>
        </w:tc>
        <w:tc>
          <w:tcPr>
            <w:tcW w:w="1080" w:type="dxa"/>
            <w:vAlign w:val="bottom"/>
          </w:tcPr>
          <w:p w:rsidRPr="009D24D3" w:rsidR="005974B5" w:rsidP="005974B5" w:rsidRDefault="005974B5" w14:paraId="7C72C165" w14:textId="33DC26EA">
            <w:pPr>
              <w:jc w:val="right"/>
              <w:rPr>
                <w:rFonts w:ascii="Arial" w:hAnsi="Arial" w:cs="Arial"/>
                <w:sz w:val="18"/>
                <w:szCs w:val="18"/>
              </w:rPr>
            </w:pPr>
            <w:r w:rsidRPr="005E1D19">
              <w:rPr>
                <w:rFonts w:ascii="Arial" w:hAnsi="Arial" w:cs="Arial"/>
                <w:sz w:val="18"/>
                <w:szCs w:val="18"/>
              </w:rPr>
              <w:t>230.3</w:t>
            </w:r>
          </w:p>
        </w:tc>
        <w:tc>
          <w:tcPr>
            <w:tcW w:w="1084" w:type="dxa"/>
            <w:vAlign w:val="bottom"/>
          </w:tcPr>
          <w:p w:rsidRPr="009D24D3" w:rsidR="005974B5" w:rsidP="005974B5" w:rsidRDefault="005974B5" w14:paraId="597231CE" w14:textId="32EB667D">
            <w:pPr>
              <w:jc w:val="right"/>
              <w:rPr>
                <w:rFonts w:ascii="Arial" w:hAnsi="Arial" w:cs="Arial"/>
                <w:sz w:val="18"/>
                <w:szCs w:val="18"/>
              </w:rPr>
            </w:pPr>
            <w:r w:rsidRPr="005E1D19">
              <w:rPr>
                <w:rFonts w:ascii="Arial" w:hAnsi="Arial" w:cs="Arial"/>
                <w:sz w:val="18"/>
                <w:szCs w:val="18"/>
              </w:rPr>
              <w:t>215.61</w:t>
            </w:r>
          </w:p>
        </w:tc>
        <w:tc>
          <w:tcPr>
            <w:tcW w:w="1391" w:type="dxa"/>
            <w:vAlign w:val="bottom"/>
          </w:tcPr>
          <w:p w:rsidRPr="009D24D3" w:rsidR="005974B5" w:rsidP="005974B5" w:rsidRDefault="005974B5" w14:paraId="0CED9E41" w14:textId="00F1CC6A">
            <w:pPr>
              <w:jc w:val="right"/>
              <w:rPr>
                <w:rFonts w:ascii="Arial" w:hAnsi="Arial" w:cs="Arial"/>
                <w:sz w:val="18"/>
                <w:szCs w:val="18"/>
              </w:rPr>
            </w:pPr>
            <w:r w:rsidRPr="005E1D19">
              <w:rPr>
                <w:rFonts w:ascii="Arial" w:hAnsi="Arial" w:cs="Arial"/>
                <w:sz w:val="18"/>
                <w:szCs w:val="18"/>
              </w:rPr>
              <w:t xml:space="preserve">$322,351.62 </w:t>
            </w:r>
          </w:p>
        </w:tc>
      </w:tr>
      <w:tr w:rsidR="005974B5" w:rsidTr="00A7385E" w14:paraId="4A599898" w14:textId="77777777">
        <w:trPr>
          <w:jc w:val="center"/>
        </w:trPr>
        <w:tc>
          <w:tcPr>
            <w:tcW w:w="1831" w:type="dxa"/>
            <w:tcBorders>
              <w:bottom w:val="single" w:color="auto" w:sz="4" w:space="0"/>
            </w:tcBorders>
            <w:tcMar>
              <w:top w:w="58" w:type="dxa"/>
              <w:left w:w="115" w:type="dxa"/>
              <w:bottom w:w="58" w:type="dxa"/>
              <w:right w:w="115" w:type="dxa"/>
            </w:tcMar>
          </w:tcPr>
          <w:p w:rsidRPr="0053789E" w:rsidR="005974B5" w:rsidP="005974B5" w:rsidRDefault="005974B5" w14:paraId="3F4DE6D8" w14:textId="77777777">
            <w:pPr>
              <w:keepNext/>
              <w:keepLines/>
              <w:widowControl w:val="0"/>
              <w:tabs>
                <w:tab w:val="center" w:pos="4680"/>
              </w:tabs>
              <w:rPr>
                <w:rFonts w:ascii="Arial" w:hAnsi="Arial" w:cs="Arial"/>
                <w:b/>
                <w:sz w:val="18"/>
                <w:szCs w:val="18"/>
              </w:rPr>
            </w:pPr>
            <w:r w:rsidRPr="0053789E">
              <w:rPr>
                <w:rFonts w:ascii="Arial" w:hAnsi="Arial" w:cs="Arial"/>
                <w:b/>
                <w:sz w:val="18"/>
                <w:szCs w:val="18"/>
              </w:rPr>
              <w:t>TOTAL</w:t>
            </w:r>
          </w:p>
        </w:tc>
        <w:tc>
          <w:tcPr>
            <w:tcW w:w="1255" w:type="dxa"/>
            <w:tcBorders>
              <w:bottom w:val="single" w:color="auto" w:sz="4" w:space="0"/>
            </w:tcBorders>
            <w:tcMar>
              <w:top w:w="58" w:type="dxa"/>
              <w:left w:w="115" w:type="dxa"/>
              <w:bottom w:w="58" w:type="dxa"/>
              <w:right w:w="115" w:type="dxa"/>
            </w:tcMar>
            <w:vAlign w:val="bottom"/>
          </w:tcPr>
          <w:p w:rsidRPr="009D24D3" w:rsidR="005974B5" w:rsidP="005974B5" w:rsidRDefault="005974B5" w14:paraId="2A9DC27D" w14:textId="27D1A61A">
            <w:pPr>
              <w:jc w:val="right"/>
              <w:rPr>
                <w:rFonts w:ascii="Arial" w:hAnsi="Arial" w:cs="Arial"/>
                <w:b/>
                <w:bCs/>
                <w:sz w:val="18"/>
                <w:szCs w:val="18"/>
              </w:rPr>
            </w:pPr>
            <w:r w:rsidRPr="005E1D19">
              <w:rPr>
                <w:rFonts w:ascii="Arial" w:hAnsi="Arial" w:cs="Arial"/>
                <w:b/>
                <w:bCs/>
                <w:sz w:val="18"/>
                <w:szCs w:val="18"/>
              </w:rPr>
              <w:t>1,400,950</w:t>
            </w:r>
          </w:p>
        </w:tc>
        <w:tc>
          <w:tcPr>
            <w:tcW w:w="1347" w:type="dxa"/>
            <w:tcBorders>
              <w:bottom w:val="single" w:color="auto" w:sz="4" w:space="0"/>
            </w:tcBorders>
            <w:tcMar>
              <w:top w:w="58" w:type="dxa"/>
              <w:left w:w="115" w:type="dxa"/>
              <w:bottom w:w="58" w:type="dxa"/>
              <w:right w:w="115" w:type="dxa"/>
            </w:tcMar>
            <w:vAlign w:val="bottom"/>
          </w:tcPr>
          <w:p w:rsidRPr="009D24D3" w:rsidR="005974B5" w:rsidP="005974B5" w:rsidRDefault="005974B5" w14:paraId="013AFCF9" w14:textId="4EDEFBA7">
            <w:pPr>
              <w:jc w:val="right"/>
              <w:rPr>
                <w:rFonts w:ascii="Arial" w:hAnsi="Arial" w:cs="Arial"/>
                <w:b/>
                <w:bCs/>
                <w:sz w:val="18"/>
                <w:szCs w:val="18"/>
              </w:rPr>
            </w:pPr>
            <w:r w:rsidRPr="005E1D19">
              <w:rPr>
                <w:rFonts w:ascii="Arial" w:hAnsi="Arial" w:cs="Arial"/>
                <w:b/>
                <w:bCs/>
                <w:sz w:val="18"/>
                <w:szCs w:val="18"/>
              </w:rPr>
              <w:t xml:space="preserve">$76,659,534 </w:t>
            </w:r>
          </w:p>
        </w:tc>
        <w:tc>
          <w:tcPr>
            <w:tcW w:w="1350" w:type="dxa"/>
            <w:tcBorders>
              <w:bottom w:val="single" w:color="auto" w:sz="4" w:space="0"/>
            </w:tcBorders>
            <w:tcMar>
              <w:top w:w="58" w:type="dxa"/>
              <w:left w:w="115" w:type="dxa"/>
              <w:bottom w:w="58" w:type="dxa"/>
              <w:right w:w="115" w:type="dxa"/>
            </w:tcMar>
            <w:vAlign w:val="bottom"/>
          </w:tcPr>
          <w:p w:rsidRPr="009D24D3" w:rsidR="005974B5" w:rsidP="005974B5" w:rsidRDefault="005974B5" w14:paraId="4F077B7A" w14:textId="683CE321">
            <w:pPr>
              <w:jc w:val="right"/>
              <w:rPr>
                <w:rFonts w:ascii="Arial" w:hAnsi="Arial" w:cs="Arial"/>
                <w:b/>
                <w:bCs/>
                <w:sz w:val="18"/>
                <w:szCs w:val="18"/>
              </w:rPr>
            </w:pPr>
            <w:r w:rsidRPr="005E1D19">
              <w:rPr>
                <w:rFonts w:ascii="Arial" w:hAnsi="Arial" w:cs="Arial"/>
                <w:b/>
                <w:bCs/>
                <w:sz w:val="18"/>
                <w:szCs w:val="18"/>
              </w:rPr>
              <w:t xml:space="preserve">$276,069,465 </w:t>
            </w:r>
          </w:p>
        </w:tc>
        <w:tc>
          <w:tcPr>
            <w:tcW w:w="1417" w:type="dxa"/>
            <w:tcBorders>
              <w:bottom w:val="single" w:color="auto" w:sz="4" w:space="0"/>
            </w:tcBorders>
            <w:tcMar>
              <w:top w:w="58" w:type="dxa"/>
              <w:left w:w="115" w:type="dxa"/>
              <w:bottom w:w="58" w:type="dxa"/>
              <w:right w:w="115" w:type="dxa"/>
            </w:tcMar>
            <w:vAlign w:val="bottom"/>
          </w:tcPr>
          <w:p w:rsidRPr="009D24D3" w:rsidR="005974B5" w:rsidP="005974B5" w:rsidRDefault="005974B5" w14:paraId="6D18D8CD" w14:textId="410A4412">
            <w:pPr>
              <w:jc w:val="right"/>
              <w:rPr>
                <w:rFonts w:ascii="Arial" w:hAnsi="Arial" w:cs="Arial"/>
                <w:b/>
                <w:bCs/>
                <w:sz w:val="18"/>
                <w:szCs w:val="18"/>
              </w:rPr>
            </w:pPr>
            <w:r w:rsidRPr="005E1D19">
              <w:rPr>
                <w:rFonts w:ascii="Arial" w:hAnsi="Arial" w:cs="Arial"/>
                <w:b/>
                <w:bCs/>
                <w:sz w:val="18"/>
                <w:szCs w:val="18"/>
              </w:rPr>
              <w:t xml:space="preserve">$352,728,999 </w:t>
            </w:r>
          </w:p>
        </w:tc>
        <w:tc>
          <w:tcPr>
            <w:tcW w:w="1080" w:type="dxa"/>
            <w:tcBorders>
              <w:bottom w:val="single" w:color="auto" w:sz="4" w:space="0"/>
            </w:tcBorders>
            <w:vAlign w:val="bottom"/>
          </w:tcPr>
          <w:p w:rsidRPr="009D24D3" w:rsidR="005974B5" w:rsidP="005974B5" w:rsidRDefault="005974B5" w14:paraId="6D4221D6" w14:textId="1F6256B3">
            <w:pPr>
              <w:jc w:val="right"/>
              <w:rPr>
                <w:rFonts w:ascii="Arial" w:hAnsi="Arial" w:cs="Arial"/>
                <w:b/>
                <w:bCs/>
                <w:sz w:val="18"/>
                <w:szCs w:val="18"/>
              </w:rPr>
            </w:pPr>
            <w:r w:rsidRPr="005E1D19">
              <w:rPr>
                <w:rFonts w:ascii="Arial" w:hAnsi="Arial" w:cs="Arial"/>
                <w:b/>
                <w:bCs/>
                <w:sz w:val="18"/>
                <w:szCs w:val="18"/>
              </w:rPr>
              <w:t>465,923</w:t>
            </w:r>
          </w:p>
        </w:tc>
        <w:tc>
          <w:tcPr>
            <w:tcW w:w="1084" w:type="dxa"/>
            <w:tcBorders>
              <w:bottom w:val="single" w:color="auto" w:sz="4" w:space="0"/>
            </w:tcBorders>
            <w:vAlign w:val="bottom"/>
          </w:tcPr>
          <w:p w:rsidRPr="009D24D3" w:rsidR="005974B5" w:rsidP="005974B5" w:rsidRDefault="005974B5" w14:paraId="1D190834" w14:textId="4240AA6D">
            <w:pPr>
              <w:jc w:val="right"/>
              <w:rPr>
                <w:rFonts w:ascii="Arial" w:hAnsi="Arial" w:cs="Arial"/>
                <w:b/>
                <w:bCs/>
                <w:sz w:val="18"/>
                <w:szCs w:val="18"/>
              </w:rPr>
            </w:pPr>
            <w:r w:rsidRPr="005E1D19">
              <w:rPr>
                <w:rFonts w:ascii="Arial" w:hAnsi="Arial" w:cs="Arial"/>
                <w:b/>
                <w:bCs/>
                <w:sz w:val="18"/>
                <w:szCs w:val="18"/>
              </w:rPr>
              <w:t>3.01</w:t>
            </w:r>
          </w:p>
        </w:tc>
        <w:tc>
          <w:tcPr>
            <w:tcW w:w="1391" w:type="dxa"/>
            <w:tcBorders>
              <w:bottom w:val="single" w:color="auto" w:sz="4" w:space="0"/>
            </w:tcBorders>
            <w:vAlign w:val="bottom"/>
          </w:tcPr>
          <w:p w:rsidRPr="009D24D3" w:rsidR="005974B5" w:rsidP="005974B5" w:rsidRDefault="005974B5" w14:paraId="645C774C" w14:textId="6221658C">
            <w:pPr>
              <w:jc w:val="right"/>
              <w:rPr>
                <w:rFonts w:ascii="Arial" w:hAnsi="Arial" w:cs="Arial"/>
                <w:b/>
                <w:bCs/>
                <w:sz w:val="18"/>
                <w:szCs w:val="18"/>
              </w:rPr>
            </w:pPr>
            <w:r w:rsidRPr="005E1D19">
              <w:rPr>
                <w:rFonts w:ascii="Arial" w:hAnsi="Arial" w:cs="Arial"/>
                <w:b/>
                <w:bCs/>
                <w:sz w:val="18"/>
                <w:szCs w:val="18"/>
              </w:rPr>
              <w:t xml:space="preserve">$757.05 </w:t>
            </w:r>
          </w:p>
        </w:tc>
      </w:tr>
      <w:tr w:rsidR="005974B5" w:rsidTr="00B15016" w14:paraId="2CCD7943" w14:textId="77777777">
        <w:trPr>
          <w:jc w:val="center"/>
        </w:trPr>
        <w:tc>
          <w:tcPr>
            <w:tcW w:w="10755" w:type="dxa"/>
            <w:gridSpan w:val="8"/>
            <w:tcBorders>
              <w:left w:val="nil"/>
              <w:bottom w:val="nil"/>
              <w:right w:val="nil"/>
            </w:tcBorders>
            <w:tcMar>
              <w:top w:w="58" w:type="dxa"/>
              <w:left w:w="115" w:type="dxa"/>
              <w:bottom w:w="58" w:type="dxa"/>
              <w:right w:w="115" w:type="dxa"/>
            </w:tcMar>
          </w:tcPr>
          <w:p w:rsidRPr="003E3FB7" w:rsidR="005974B5" w:rsidP="005974B5" w:rsidRDefault="005974B5" w14:paraId="6A3FCDF7" w14:textId="77777777">
            <w:pPr>
              <w:rPr>
                <w:rFonts w:ascii="Arial" w:hAnsi="Arial" w:cs="Arial"/>
                <w:b/>
                <w:bCs/>
                <w:sz w:val="18"/>
                <w:szCs w:val="18"/>
              </w:rPr>
            </w:pPr>
            <w:r w:rsidRPr="00B15016">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due to rounding.</w:t>
            </w:r>
          </w:p>
        </w:tc>
      </w:tr>
    </w:tbl>
    <w:p w:rsidR="00FB7FF1" w:rsidP="005C628C" w:rsidRDefault="00FB7FF1" w14:paraId="61B1D4D5" w14:textId="77777777">
      <w:pPr>
        <w:widowControl w:val="0"/>
        <w:ind w:firstLine="720"/>
        <w:rPr>
          <w:noProof/>
        </w:rPr>
      </w:pPr>
    </w:p>
    <w:p w:rsidR="003B32D0" w:rsidP="005C628C" w:rsidRDefault="006A5ED2" w14:paraId="4B2D0A55" w14:textId="77777777">
      <w:pPr>
        <w:widowControl w:val="0"/>
        <w:ind w:firstLine="720"/>
        <w:rPr>
          <w:sz w:val="24"/>
          <w:szCs w:val="24"/>
        </w:rPr>
      </w:pPr>
      <w:r w:rsidRPr="003B32D0">
        <w:rPr>
          <w:sz w:val="24"/>
          <w:szCs w:val="24"/>
        </w:rPr>
        <w:t xml:space="preserve">As noted </w:t>
      </w:r>
      <w:r w:rsidR="009D37B6">
        <w:rPr>
          <w:sz w:val="24"/>
          <w:szCs w:val="24"/>
        </w:rPr>
        <w:t>in Section 4(b)</w:t>
      </w:r>
      <w:r w:rsidRPr="003B32D0">
        <w:rPr>
          <w:sz w:val="24"/>
          <w:szCs w:val="24"/>
        </w:rPr>
        <w:t xml:space="preserve">, </w:t>
      </w:r>
      <w:r w:rsidR="00D1792B">
        <w:rPr>
          <w:sz w:val="24"/>
          <w:szCs w:val="24"/>
        </w:rPr>
        <w:t xml:space="preserve">owners or operators use the </w:t>
      </w:r>
      <w:r w:rsidR="003B32D0">
        <w:rPr>
          <w:sz w:val="24"/>
          <w:szCs w:val="24"/>
        </w:rPr>
        <w:t>7520 reporting forms</w:t>
      </w:r>
      <w:r w:rsidR="00D1792B">
        <w:rPr>
          <w:sz w:val="24"/>
          <w:szCs w:val="24"/>
        </w:rPr>
        <w:t xml:space="preserve"> (or state equivalents) to submit </w:t>
      </w:r>
      <w:r w:rsidR="0048681E">
        <w:rPr>
          <w:sz w:val="24"/>
          <w:szCs w:val="24"/>
        </w:rPr>
        <w:t>much of the information required by the UIC regulations</w:t>
      </w:r>
      <w:r w:rsidR="003B32D0">
        <w:rPr>
          <w:sz w:val="24"/>
          <w:szCs w:val="24"/>
        </w:rPr>
        <w:t>.</w:t>
      </w:r>
      <w:r w:rsidR="003B32D0">
        <w:rPr>
          <w:b/>
          <w:sz w:val="24"/>
          <w:szCs w:val="24"/>
        </w:rPr>
        <w:t xml:space="preserve"> </w:t>
      </w:r>
      <w:r w:rsidRPr="003B32D0" w:rsidR="003B32D0">
        <w:rPr>
          <w:sz w:val="24"/>
          <w:szCs w:val="24"/>
        </w:rPr>
        <w:t>The</w:t>
      </w:r>
      <w:r w:rsidR="003B32D0">
        <w:rPr>
          <w:sz w:val="24"/>
          <w:szCs w:val="24"/>
        </w:rPr>
        <w:t xml:space="preserve"> burden to owners or operators associated with each form is presented in Exhibit 6-2. </w:t>
      </w:r>
      <w:r w:rsidR="002F743B">
        <w:rPr>
          <w:sz w:val="24"/>
          <w:szCs w:val="24"/>
        </w:rPr>
        <w:t xml:space="preserve">Note that, due to </w:t>
      </w:r>
      <w:r w:rsidRPr="002F743B" w:rsidR="002F743B">
        <w:rPr>
          <w:sz w:val="24"/>
          <w:szCs w:val="24"/>
        </w:rPr>
        <w:t xml:space="preserve">the separate but related processes for calculating the burden for complying with </w:t>
      </w:r>
      <w:r w:rsidR="0048681E">
        <w:rPr>
          <w:sz w:val="24"/>
          <w:szCs w:val="24"/>
        </w:rPr>
        <w:t xml:space="preserve">each element of </w:t>
      </w:r>
      <w:r w:rsidRPr="002F743B" w:rsidR="002F743B">
        <w:rPr>
          <w:sz w:val="24"/>
          <w:szCs w:val="24"/>
        </w:rPr>
        <w:t xml:space="preserve">the </w:t>
      </w:r>
      <w:r w:rsidR="0048681E">
        <w:rPr>
          <w:sz w:val="24"/>
          <w:szCs w:val="24"/>
        </w:rPr>
        <w:t xml:space="preserve">UIC </w:t>
      </w:r>
      <w:r w:rsidRPr="002F743B" w:rsidR="002F743B">
        <w:rPr>
          <w:sz w:val="24"/>
          <w:szCs w:val="24"/>
        </w:rPr>
        <w:t xml:space="preserve">regulations </w:t>
      </w:r>
      <w:r w:rsidR="002F743B">
        <w:rPr>
          <w:sz w:val="24"/>
          <w:szCs w:val="24"/>
        </w:rPr>
        <w:t xml:space="preserve">(as described in this ICR) </w:t>
      </w:r>
      <w:r w:rsidRPr="002F743B" w:rsidR="002F743B">
        <w:rPr>
          <w:sz w:val="24"/>
          <w:szCs w:val="24"/>
        </w:rPr>
        <w:t xml:space="preserve">and developing the </w:t>
      </w:r>
      <w:r w:rsidR="00D1792B">
        <w:rPr>
          <w:sz w:val="24"/>
          <w:szCs w:val="24"/>
        </w:rPr>
        <w:t>burdens reported on the forms, the total burden in Exh</w:t>
      </w:r>
      <w:r w:rsidR="00401C84">
        <w:rPr>
          <w:sz w:val="24"/>
          <w:szCs w:val="24"/>
        </w:rPr>
        <w:t>ibits</w:t>
      </w:r>
      <w:r w:rsidR="00D1792B">
        <w:rPr>
          <w:sz w:val="24"/>
          <w:szCs w:val="24"/>
        </w:rPr>
        <w:t xml:space="preserve"> 6-1</w:t>
      </w:r>
      <w:r w:rsidR="009D37B6">
        <w:rPr>
          <w:sz w:val="24"/>
          <w:szCs w:val="24"/>
        </w:rPr>
        <w:t>G</w:t>
      </w:r>
      <w:r w:rsidR="00D1792B">
        <w:rPr>
          <w:sz w:val="24"/>
          <w:szCs w:val="24"/>
        </w:rPr>
        <w:t xml:space="preserve"> and 6-2 differ. </w:t>
      </w:r>
      <w:r w:rsidR="00401C84">
        <w:rPr>
          <w:sz w:val="24"/>
          <w:szCs w:val="24"/>
        </w:rPr>
        <w:t>S</w:t>
      </w:r>
      <w:r w:rsidRPr="002F743B" w:rsidR="002F743B">
        <w:rPr>
          <w:sz w:val="24"/>
          <w:szCs w:val="24"/>
        </w:rPr>
        <w:t xml:space="preserve">ee Appendix </w:t>
      </w:r>
      <w:r w:rsidR="0048681E">
        <w:rPr>
          <w:sz w:val="24"/>
          <w:szCs w:val="24"/>
        </w:rPr>
        <w:t>A for details about the specific activities included in the burden and cost estimates</w:t>
      </w:r>
      <w:r w:rsidRPr="002F743B" w:rsidR="002F743B">
        <w:rPr>
          <w:sz w:val="24"/>
          <w:szCs w:val="24"/>
        </w:rPr>
        <w:t>.</w:t>
      </w:r>
    </w:p>
    <w:p w:rsidR="005C628C" w:rsidP="005C628C" w:rsidRDefault="005C628C" w14:paraId="19F23DD1" w14:textId="77777777">
      <w:pPr>
        <w:widowControl w:val="0"/>
        <w:ind w:firstLine="720"/>
        <w:rPr>
          <w:sz w:val="24"/>
          <w:szCs w:val="24"/>
        </w:rPr>
      </w:pPr>
    </w:p>
    <w:p w:rsidR="000A26DF" w:rsidP="000A26DF" w:rsidRDefault="005974B5" w14:paraId="2A9C9765" w14:textId="081ACBF8">
      <w:pPr>
        <w:widowControl w:val="0"/>
        <w:ind w:firstLine="720"/>
        <w:rPr>
          <w:b/>
        </w:rPr>
      </w:pPr>
      <w:r w:rsidRPr="005974B5">
        <w:rPr>
          <w:noProof/>
        </w:rPr>
        <w:lastRenderedPageBreak/>
        <w:drawing>
          <wp:anchor distT="0" distB="0" distL="114300" distR="114300" simplePos="0" relativeHeight="251659264" behindDoc="0" locked="0" layoutInCell="1" allowOverlap="1" wp14:editId="0BCAE489" wp14:anchorId="56C875D8">
            <wp:simplePos x="0" y="0"/>
            <wp:positionH relativeFrom="page">
              <wp:align>center</wp:align>
            </wp:positionH>
            <wp:positionV relativeFrom="paragraph">
              <wp:posOffset>0</wp:posOffset>
            </wp:positionV>
            <wp:extent cx="6025896" cy="5486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25896" cy="548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C628C" w:rsidP="00FB7FF1" w:rsidRDefault="005C628C" w14:paraId="7D3A33B8" w14:textId="7DA8CB22">
      <w:pPr>
        <w:widowControl w:val="0"/>
        <w:ind w:firstLine="720"/>
        <w:rPr>
          <w:b/>
        </w:rPr>
      </w:pPr>
    </w:p>
    <w:p w:rsidR="00C25838" w:rsidP="005C628C" w:rsidRDefault="00C25838" w14:paraId="39A2B9E1" w14:textId="77777777">
      <w:pPr>
        <w:keepNext/>
        <w:keepLines/>
        <w:widowControl w:val="0"/>
        <w:rPr>
          <w:sz w:val="24"/>
          <w:szCs w:val="24"/>
        </w:rPr>
      </w:pPr>
      <w:r>
        <w:rPr>
          <w:b/>
          <w:sz w:val="24"/>
          <w:szCs w:val="24"/>
        </w:rPr>
        <w:t>6(a)(ii) Burden to Primacy Agencies</w:t>
      </w:r>
    </w:p>
    <w:p w:rsidR="00C25838" w:rsidP="005C628C" w:rsidRDefault="00C25838" w14:paraId="32C1C6E1" w14:textId="77777777">
      <w:pPr>
        <w:keepNext/>
        <w:keepLines/>
        <w:widowControl w:val="0"/>
        <w:rPr>
          <w:sz w:val="24"/>
          <w:szCs w:val="24"/>
        </w:rPr>
      </w:pPr>
    </w:p>
    <w:p w:rsidR="00C25838" w:rsidP="005C628C" w:rsidRDefault="00C25838" w14:paraId="4EF76CEB" w14:textId="3B5CEE34">
      <w:pPr>
        <w:keepNext/>
        <w:keepLines/>
        <w:widowControl w:val="0"/>
        <w:rPr>
          <w:sz w:val="24"/>
          <w:szCs w:val="24"/>
        </w:rPr>
      </w:pPr>
      <w:r>
        <w:rPr>
          <w:sz w:val="24"/>
          <w:szCs w:val="24"/>
        </w:rPr>
        <w:tab/>
      </w:r>
      <w:r w:rsidRPr="00A93E24">
        <w:rPr>
          <w:sz w:val="24"/>
          <w:szCs w:val="24"/>
        </w:rPr>
        <w:t xml:space="preserve">EPA estimates that the annual </w:t>
      </w:r>
      <w:r w:rsidRPr="00B867F6" w:rsidR="00B867F6">
        <w:rPr>
          <w:b/>
          <w:sz w:val="24"/>
          <w:szCs w:val="24"/>
        </w:rPr>
        <w:t xml:space="preserve">oversight </w:t>
      </w:r>
      <w:r w:rsidRPr="00B867F6">
        <w:rPr>
          <w:b/>
          <w:sz w:val="24"/>
          <w:szCs w:val="24"/>
        </w:rPr>
        <w:t>burden</w:t>
      </w:r>
      <w:r w:rsidRPr="00A93E24">
        <w:rPr>
          <w:sz w:val="24"/>
          <w:szCs w:val="24"/>
        </w:rPr>
        <w:t xml:space="preserve"> on the </w:t>
      </w:r>
      <w:r w:rsidR="00DF3E61">
        <w:rPr>
          <w:sz w:val="24"/>
          <w:szCs w:val="24"/>
        </w:rPr>
        <w:t>59</w:t>
      </w:r>
      <w:r w:rsidRPr="00A93E24">
        <w:rPr>
          <w:sz w:val="24"/>
          <w:szCs w:val="24"/>
        </w:rPr>
        <w:t xml:space="preserve"> state primacy agencies that oversee the various classes of injection wells is </w:t>
      </w:r>
      <w:r w:rsidRPr="00393AEB" w:rsidR="00393AEB">
        <w:rPr>
          <w:sz w:val="24"/>
          <w:szCs w:val="24"/>
        </w:rPr>
        <w:t>163,475</w:t>
      </w:r>
      <w:r w:rsidR="005D07C4">
        <w:rPr>
          <w:sz w:val="24"/>
          <w:szCs w:val="24"/>
        </w:rPr>
        <w:t xml:space="preserve"> </w:t>
      </w:r>
      <w:r w:rsidRPr="00A93E24">
        <w:rPr>
          <w:sz w:val="24"/>
          <w:szCs w:val="24"/>
        </w:rPr>
        <w:t>hours</w:t>
      </w:r>
      <w:r w:rsidR="00BE08D6">
        <w:rPr>
          <w:sz w:val="24"/>
          <w:szCs w:val="24"/>
        </w:rPr>
        <w:t>. This burden is</w:t>
      </w:r>
      <w:r>
        <w:rPr>
          <w:sz w:val="24"/>
          <w:szCs w:val="24"/>
        </w:rPr>
        <w:t xml:space="preserve"> for </w:t>
      </w:r>
      <w:r w:rsidR="0048681E">
        <w:rPr>
          <w:sz w:val="24"/>
          <w:szCs w:val="24"/>
        </w:rPr>
        <w:t>evaluat</w:t>
      </w:r>
      <w:r w:rsidR="00B867F6">
        <w:rPr>
          <w:sz w:val="24"/>
          <w:szCs w:val="24"/>
        </w:rPr>
        <w:t xml:space="preserve">ing permit applications and completion reports, reviewing monitoring and testing data, and responding to closure reports </w:t>
      </w:r>
      <w:r w:rsidR="0048681E">
        <w:rPr>
          <w:sz w:val="24"/>
          <w:szCs w:val="24"/>
        </w:rPr>
        <w:t xml:space="preserve">and other notifications </w:t>
      </w:r>
      <w:r w:rsidR="00B867F6">
        <w:rPr>
          <w:sz w:val="24"/>
          <w:szCs w:val="24"/>
        </w:rPr>
        <w:t>submitted by operators in their states</w:t>
      </w:r>
      <w:r w:rsidRPr="00A93E24">
        <w:rPr>
          <w:sz w:val="24"/>
          <w:szCs w:val="24"/>
        </w:rPr>
        <w:t xml:space="preserve">. </w:t>
      </w:r>
    </w:p>
    <w:p w:rsidR="00C25838" w:rsidP="005C628C" w:rsidRDefault="00C25838" w14:paraId="051A62A5" w14:textId="77777777">
      <w:pPr>
        <w:keepNext/>
        <w:keepLines/>
        <w:widowControl w:val="0"/>
        <w:rPr>
          <w:sz w:val="24"/>
          <w:szCs w:val="24"/>
        </w:rPr>
      </w:pPr>
      <w:r>
        <w:rPr>
          <w:sz w:val="24"/>
          <w:szCs w:val="24"/>
        </w:rPr>
        <w:tab/>
      </w:r>
    </w:p>
    <w:p w:rsidR="00B867F6" w:rsidP="005C628C" w:rsidRDefault="00C25838" w14:paraId="6046FD4D" w14:textId="654E3B85">
      <w:pPr>
        <w:keepNext/>
        <w:keepLines/>
        <w:widowControl w:val="0"/>
        <w:ind w:firstLine="720"/>
        <w:rPr>
          <w:sz w:val="24"/>
          <w:szCs w:val="24"/>
        </w:rPr>
      </w:pPr>
      <w:r>
        <w:rPr>
          <w:sz w:val="24"/>
          <w:szCs w:val="24"/>
        </w:rPr>
        <w:t xml:space="preserve">The burden to </w:t>
      </w:r>
      <w:r w:rsidRPr="00821CFA" w:rsidR="00821CFA">
        <w:rPr>
          <w:b/>
          <w:sz w:val="24"/>
          <w:szCs w:val="24"/>
        </w:rPr>
        <w:t>primacy</w:t>
      </w:r>
      <w:r w:rsidR="00821CFA">
        <w:rPr>
          <w:sz w:val="24"/>
          <w:szCs w:val="24"/>
        </w:rPr>
        <w:t xml:space="preserve"> </w:t>
      </w:r>
      <w:r>
        <w:rPr>
          <w:b/>
          <w:sz w:val="24"/>
          <w:szCs w:val="24"/>
        </w:rPr>
        <w:t>states as respondents</w:t>
      </w:r>
      <w:r>
        <w:rPr>
          <w:sz w:val="24"/>
          <w:szCs w:val="24"/>
        </w:rPr>
        <w:t xml:space="preserve"> associated with compiling and reporting data </w:t>
      </w:r>
      <w:r w:rsidR="0003321F">
        <w:rPr>
          <w:sz w:val="24"/>
          <w:szCs w:val="24"/>
        </w:rPr>
        <w:t xml:space="preserve">to EPA </w:t>
      </w:r>
      <w:r w:rsidR="000E4361">
        <w:rPr>
          <w:sz w:val="24"/>
          <w:szCs w:val="24"/>
        </w:rPr>
        <w:t xml:space="preserve">totals </w:t>
      </w:r>
      <w:r w:rsidRPr="00393AEB" w:rsidR="00393AEB">
        <w:rPr>
          <w:sz w:val="24"/>
          <w:szCs w:val="24"/>
        </w:rPr>
        <w:t>66,936</w:t>
      </w:r>
      <w:r w:rsidR="005D07C4">
        <w:rPr>
          <w:sz w:val="24"/>
          <w:szCs w:val="24"/>
        </w:rPr>
        <w:t xml:space="preserve"> </w:t>
      </w:r>
      <w:r w:rsidR="000E4361">
        <w:rPr>
          <w:sz w:val="24"/>
          <w:szCs w:val="24"/>
        </w:rPr>
        <w:t>hours annually</w:t>
      </w:r>
      <w:r>
        <w:rPr>
          <w:sz w:val="24"/>
          <w:szCs w:val="24"/>
        </w:rPr>
        <w:t xml:space="preserve">. </w:t>
      </w:r>
    </w:p>
    <w:p w:rsidR="00B867F6" w:rsidP="005C628C" w:rsidRDefault="00B867F6" w14:paraId="1E705701" w14:textId="77777777">
      <w:pPr>
        <w:widowControl w:val="0"/>
        <w:rPr>
          <w:sz w:val="24"/>
          <w:szCs w:val="24"/>
        </w:rPr>
      </w:pPr>
    </w:p>
    <w:p w:rsidRPr="005135F0" w:rsidR="00CB18A2" w:rsidP="00AF41AC" w:rsidRDefault="00A04058" w14:paraId="56C687A5" w14:textId="52D22B46">
      <w:pPr>
        <w:keepNext/>
        <w:keepLines/>
        <w:ind w:firstLine="720"/>
        <w:rPr>
          <w:sz w:val="24"/>
          <w:szCs w:val="24"/>
        </w:rPr>
      </w:pPr>
      <w:r w:rsidRPr="00A93E24">
        <w:rPr>
          <w:sz w:val="24"/>
          <w:szCs w:val="24"/>
        </w:rPr>
        <w:lastRenderedPageBreak/>
        <w:t>Exhibit 6-</w:t>
      </w:r>
      <w:r w:rsidR="00401C84">
        <w:rPr>
          <w:sz w:val="24"/>
          <w:szCs w:val="24"/>
        </w:rPr>
        <w:t>3</w:t>
      </w:r>
      <w:r w:rsidRPr="00A93E24">
        <w:rPr>
          <w:sz w:val="24"/>
          <w:szCs w:val="24"/>
        </w:rPr>
        <w:t xml:space="preserve"> shows the annual </w:t>
      </w:r>
      <w:r w:rsidR="000B5DF3">
        <w:rPr>
          <w:sz w:val="24"/>
          <w:szCs w:val="24"/>
        </w:rPr>
        <w:t>p</w:t>
      </w:r>
      <w:r w:rsidRPr="00A93E24">
        <w:rPr>
          <w:sz w:val="24"/>
          <w:szCs w:val="24"/>
        </w:rPr>
        <w:t>rimacy agency burden hours associate</w:t>
      </w:r>
      <w:r>
        <w:rPr>
          <w:sz w:val="24"/>
          <w:szCs w:val="24"/>
        </w:rPr>
        <w:t xml:space="preserve">d with oversight of each class of injection well and </w:t>
      </w:r>
      <w:r w:rsidR="000B5DF3">
        <w:rPr>
          <w:sz w:val="24"/>
          <w:szCs w:val="24"/>
        </w:rPr>
        <w:t xml:space="preserve">for </w:t>
      </w:r>
      <w:r>
        <w:rPr>
          <w:sz w:val="24"/>
          <w:szCs w:val="24"/>
        </w:rPr>
        <w:t xml:space="preserve">providing </w:t>
      </w:r>
      <w:r w:rsidR="00274001">
        <w:rPr>
          <w:sz w:val="24"/>
          <w:szCs w:val="24"/>
        </w:rPr>
        <w:t>information</w:t>
      </w:r>
      <w:r w:rsidR="000B5DF3">
        <w:rPr>
          <w:sz w:val="24"/>
          <w:szCs w:val="24"/>
        </w:rPr>
        <w:t xml:space="preserve"> to EPA</w:t>
      </w:r>
      <w:r w:rsidR="00F84502">
        <w:rPr>
          <w:sz w:val="24"/>
          <w:szCs w:val="24"/>
        </w:rPr>
        <w:t xml:space="preserve">. </w:t>
      </w:r>
      <w:r w:rsidR="00B867F6">
        <w:rPr>
          <w:sz w:val="24"/>
          <w:szCs w:val="24"/>
        </w:rPr>
        <w:t>Appendix A describes the bas</w:t>
      </w:r>
      <w:r w:rsidR="00BE08D6">
        <w:rPr>
          <w:sz w:val="24"/>
          <w:szCs w:val="24"/>
        </w:rPr>
        <w:t>i</w:t>
      </w:r>
      <w:r w:rsidR="00B867F6">
        <w:rPr>
          <w:sz w:val="24"/>
          <w:szCs w:val="24"/>
        </w:rPr>
        <w:t>s for the burden estimates</w:t>
      </w:r>
      <w:r w:rsidR="00C25838">
        <w:rPr>
          <w:sz w:val="24"/>
          <w:szCs w:val="24"/>
        </w:rPr>
        <w:t>.</w:t>
      </w:r>
      <w:r w:rsidR="000024C4">
        <w:rPr>
          <w:sz w:val="24"/>
          <w:szCs w:val="24"/>
        </w:rPr>
        <w:t xml:space="preserve"> Exhibit 6-4 presents the </w:t>
      </w:r>
      <w:r w:rsidRPr="000024C4" w:rsidR="000024C4">
        <w:rPr>
          <w:sz w:val="24"/>
          <w:szCs w:val="24"/>
        </w:rPr>
        <w:t xml:space="preserve">burden to </w:t>
      </w:r>
      <w:r w:rsidR="000024C4">
        <w:rPr>
          <w:sz w:val="24"/>
          <w:szCs w:val="24"/>
        </w:rPr>
        <w:t xml:space="preserve">primacy states </w:t>
      </w:r>
      <w:r w:rsidRPr="000024C4" w:rsidR="000024C4">
        <w:rPr>
          <w:sz w:val="24"/>
          <w:szCs w:val="24"/>
        </w:rPr>
        <w:t xml:space="preserve">associated with each </w:t>
      </w:r>
      <w:r w:rsidR="000024C4">
        <w:rPr>
          <w:sz w:val="24"/>
          <w:szCs w:val="24"/>
        </w:rPr>
        <w:t xml:space="preserve">7520 </w:t>
      </w:r>
      <w:r w:rsidR="00A16BCB">
        <w:rPr>
          <w:sz w:val="24"/>
          <w:szCs w:val="24"/>
        </w:rPr>
        <w:t xml:space="preserve">state reporting </w:t>
      </w:r>
      <w:r w:rsidRPr="000024C4" w:rsidR="000024C4">
        <w:rPr>
          <w:sz w:val="24"/>
          <w:szCs w:val="24"/>
        </w:rPr>
        <w:t>form</w:t>
      </w:r>
      <w:r w:rsidR="000024C4">
        <w:rPr>
          <w:sz w:val="24"/>
          <w:szCs w:val="24"/>
        </w:rPr>
        <w:t>.</w:t>
      </w:r>
    </w:p>
    <w:p w:rsidR="00CB18A2" w:rsidP="00CB18A2" w:rsidRDefault="00CB18A2" w14:paraId="194EAD52" w14:textId="77777777">
      <w:pPr>
        <w:keepNext/>
        <w:keepLines/>
        <w:widowControl w:val="0"/>
        <w:tabs>
          <w:tab w:val="center" w:pos="4680"/>
        </w:tabs>
        <w:rPr>
          <w:b/>
        </w:rPr>
      </w:pPr>
    </w:p>
    <w:tbl>
      <w:tblPr>
        <w:tblW w:w="10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31"/>
        <w:gridCol w:w="1255"/>
        <w:gridCol w:w="1256"/>
        <w:gridCol w:w="1255"/>
        <w:gridCol w:w="1256"/>
        <w:gridCol w:w="1255"/>
        <w:gridCol w:w="1256"/>
        <w:gridCol w:w="1256"/>
      </w:tblGrid>
      <w:tr w:rsidR="00CB18A2" w:rsidTr="00890F2F" w14:paraId="6E4C7D6F" w14:textId="77777777">
        <w:trPr>
          <w:jc w:val="center"/>
        </w:trPr>
        <w:tc>
          <w:tcPr>
            <w:tcW w:w="10620" w:type="dxa"/>
            <w:gridSpan w:val="8"/>
            <w:tcMar>
              <w:top w:w="58" w:type="dxa"/>
              <w:left w:w="115" w:type="dxa"/>
              <w:bottom w:w="58" w:type="dxa"/>
              <w:right w:w="115" w:type="dxa"/>
            </w:tcMar>
          </w:tcPr>
          <w:p w:rsidR="00CB18A2" w:rsidP="00B1430F" w:rsidRDefault="00CB18A2" w14:paraId="7A5BD73C" w14:textId="77777777">
            <w:pPr>
              <w:keepNext/>
              <w:keepLines/>
              <w:widowControl w:val="0"/>
              <w:tabs>
                <w:tab w:val="center" w:pos="4680"/>
              </w:tabs>
              <w:jc w:val="center"/>
              <w:rPr>
                <w:rFonts w:ascii="Arial" w:hAnsi="Arial" w:cs="Arial"/>
                <w:b/>
              </w:rPr>
            </w:pPr>
            <w:r w:rsidRPr="00BF636F">
              <w:rPr>
                <w:rFonts w:ascii="Arial" w:hAnsi="Arial" w:cs="Arial"/>
                <w:b/>
              </w:rPr>
              <w:t>Exhibit 6-</w:t>
            </w:r>
            <w:r w:rsidR="00401C84">
              <w:rPr>
                <w:rFonts w:ascii="Arial" w:hAnsi="Arial" w:cs="Arial"/>
                <w:b/>
              </w:rPr>
              <w:t>3</w:t>
            </w:r>
          </w:p>
          <w:p w:rsidR="00CB18A2" w:rsidP="00CB18A2" w:rsidRDefault="00CB18A2" w14:paraId="305D1EB2" w14:textId="77777777">
            <w:pPr>
              <w:keepNext/>
              <w:keepLines/>
              <w:widowControl w:val="0"/>
              <w:tabs>
                <w:tab w:val="center" w:pos="4726"/>
              </w:tabs>
              <w:jc w:val="center"/>
              <w:rPr>
                <w:rFonts w:ascii="Arial" w:hAnsi="Arial" w:cs="Arial"/>
                <w:b/>
              </w:rPr>
            </w:pPr>
            <w:r>
              <w:rPr>
                <w:rFonts w:ascii="Arial" w:hAnsi="Arial" w:cs="Arial"/>
                <w:b/>
              </w:rPr>
              <w:t>Annual Primacy Agency Burden and Cost</w:t>
            </w:r>
          </w:p>
          <w:p w:rsidRPr="0053789E" w:rsidR="00CB18A2" w:rsidP="009B2785" w:rsidRDefault="00926C92" w14:paraId="7F6F5CEA" w14:textId="6295940F">
            <w:pPr>
              <w:keepNext/>
              <w:keepLines/>
              <w:widowControl w:val="0"/>
              <w:tabs>
                <w:tab w:val="center" w:pos="4680"/>
              </w:tabs>
              <w:jc w:val="center"/>
              <w:rPr>
                <w:rFonts w:ascii="Arial" w:hAnsi="Arial" w:cs="Arial"/>
                <w:b/>
                <w:sz w:val="18"/>
                <w:szCs w:val="18"/>
              </w:rPr>
            </w:pPr>
            <w:r>
              <w:rPr>
                <w:rFonts w:ascii="Arial" w:hAnsi="Arial" w:cs="Arial"/>
                <w:b/>
              </w:rPr>
              <w:t>2022-2024</w:t>
            </w:r>
          </w:p>
        </w:tc>
      </w:tr>
      <w:tr w:rsidR="00CB18A2" w:rsidTr="00890F2F" w14:paraId="2AFE65FD" w14:textId="77777777">
        <w:trPr>
          <w:jc w:val="center"/>
        </w:trPr>
        <w:tc>
          <w:tcPr>
            <w:tcW w:w="1831" w:type="dxa"/>
            <w:tcMar>
              <w:top w:w="58" w:type="dxa"/>
              <w:left w:w="115" w:type="dxa"/>
              <w:bottom w:w="58" w:type="dxa"/>
              <w:right w:w="115" w:type="dxa"/>
            </w:tcMar>
          </w:tcPr>
          <w:p w:rsidRPr="0053789E" w:rsidR="00CB18A2" w:rsidP="00B1430F" w:rsidRDefault="00CB18A2" w14:paraId="0774F20E"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Respondent Type</w:t>
            </w:r>
          </w:p>
        </w:tc>
        <w:tc>
          <w:tcPr>
            <w:tcW w:w="1255" w:type="dxa"/>
            <w:tcMar>
              <w:top w:w="58" w:type="dxa"/>
              <w:left w:w="115" w:type="dxa"/>
              <w:bottom w:w="58" w:type="dxa"/>
              <w:right w:w="115" w:type="dxa"/>
            </w:tcMar>
          </w:tcPr>
          <w:p w:rsidRPr="0053789E" w:rsidR="00CB18A2" w:rsidP="00B1430F" w:rsidRDefault="00CB18A2" w14:paraId="2C76B7C3"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Burden </w:t>
            </w:r>
            <w:r>
              <w:rPr>
                <w:rFonts w:ascii="Arial" w:hAnsi="Arial" w:cs="Arial"/>
                <w:b/>
                <w:sz w:val="18"/>
                <w:szCs w:val="18"/>
              </w:rPr>
              <w:t>(hours)</w:t>
            </w:r>
          </w:p>
        </w:tc>
        <w:tc>
          <w:tcPr>
            <w:tcW w:w="1256" w:type="dxa"/>
            <w:tcMar>
              <w:top w:w="58" w:type="dxa"/>
              <w:left w:w="115" w:type="dxa"/>
              <w:bottom w:w="58" w:type="dxa"/>
              <w:right w:w="115" w:type="dxa"/>
            </w:tcMar>
          </w:tcPr>
          <w:p w:rsidRPr="0053789E" w:rsidR="00CB18A2" w:rsidP="00B1430F" w:rsidRDefault="00CB18A2" w14:paraId="617481EA"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Labor Cost</w:t>
            </w:r>
          </w:p>
        </w:tc>
        <w:tc>
          <w:tcPr>
            <w:tcW w:w="1255" w:type="dxa"/>
            <w:tcMar>
              <w:top w:w="58" w:type="dxa"/>
              <w:left w:w="115" w:type="dxa"/>
              <w:bottom w:w="58" w:type="dxa"/>
              <w:right w:w="115" w:type="dxa"/>
            </w:tcMar>
          </w:tcPr>
          <w:p w:rsidRPr="0053789E" w:rsidR="00CB18A2" w:rsidP="00B1430F" w:rsidRDefault="00CB18A2" w14:paraId="4DA8D230"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Non-Labor </w:t>
            </w:r>
            <w:r w:rsidRPr="0053789E" w:rsidR="004B4910">
              <w:rPr>
                <w:rFonts w:ascii="Arial" w:hAnsi="Arial" w:cs="Arial"/>
                <w:b/>
                <w:sz w:val="18"/>
                <w:szCs w:val="18"/>
              </w:rPr>
              <w:t>Cost</w:t>
            </w:r>
          </w:p>
        </w:tc>
        <w:tc>
          <w:tcPr>
            <w:tcW w:w="1256" w:type="dxa"/>
            <w:tcMar>
              <w:top w:w="58" w:type="dxa"/>
              <w:left w:w="115" w:type="dxa"/>
              <w:bottom w:w="58" w:type="dxa"/>
              <w:right w:w="115" w:type="dxa"/>
            </w:tcMar>
          </w:tcPr>
          <w:p w:rsidRPr="0053789E" w:rsidR="00CB18A2" w:rsidP="00B1430F" w:rsidRDefault="00CB18A2" w14:paraId="60944FA8"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Total Cost</w:t>
            </w:r>
          </w:p>
        </w:tc>
        <w:tc>
          <w:tcPr>
            <w:tcW w:w="1255" w:type="dxa"/>
          </w:tcPr>
          <w:p w:rsidRPr="0053789E" w:rsidR="00CB18A2" w:rsidP="00B1430F" w:rsidRDefault="00CB18A2" w14:paraId="34C0C02A" w14:textId="7777777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Responses</w:t>
            </w:r>
          </w:p>
        </w:tc>
        <w:tc>
          <w:tcPr>
            <w:tcW w:w="1256" w:type="dxa"/>
          </w:tcPr>
          <w:p w:rsidRPr="0053789E" w:rsidR="00CB18A2" w:rsidP="00B1430F" w:rsidRDefault="00CB18A2" w14:paraId="6198E6D2" w14:textId="77777777">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Burden/ Response</w:t>
            </w:r>
          </w:p>
        </w:tc>
        <w:tc>
          <w:tcPr>
            <w:tcW w:w="1256" w:type="dxa"/>
          </w:tcPr>
          <w:p w:rsidRPr="0053789E" w:rsidR="00CB18A2" w:rsidP="00B1430F" w:rsidRDefault="00CB18A2" w14:paraId="41DBDEC8" w14:textId="77777777">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Cost/ Response</w:t>
            </w:r>
          </w:p>
        </w:tc>
      </w:tr>
      <w:tr w:rsidR="00B34F6D" w:rsidTr="00890F2F" w14:paraId="43B5ACE2" w14:textId="77777777">
        <w:trPr>
          <w:jc w:val="center"/>
        </w:trPr>
        <w:tc>
          <w:tcPr>
            <w:tcW w:w="1831" w:type="dxa"/>
            <w:tcMar>
              <w:top w:w="58" w:type="dxa"/>
              <w:left w:w="115" w:type="dxa"/>
              <w:bottom w:w="58" w:type="dxa"/>
              <w:right w:w="115" w:type="dxa"/>
            </w:tcMar>
          </w:tcPr>
          <w:p w:rsidRPr="00231DFB" w:rsidR="00B34F6D" w:rsidP="00B34F6D" w:rsidRDefault="00B34F6D" w14:paraId="7C9B71C0" w14:textId="77777777">
            <w:pPr>
              <w:keepNext/>
              <w:keepLines/>
              <w:widowControl w:val="0"/>
              <w:tabs>
                <w:tab w:val="center" w:pos="4680"/>
              </w:tabs>
              <w:rPr>
                <w:rFonts w:ascii="Arial" w:hAnsi="Arial" w:cs="Arial"/>
                <w:sz w:val="18"/>
                <w:szCs w:val="18"/>
              </w:rPr>
            </w:pPr>
            <w:r w:rsidRPr="00231DFB">
              <w:rPr>
                <w:rFonts w:ascii="Arial" w:hAnsi="Arial" w:cs="Arial"/>
                <w:sz w:val="18"/>
                <w:szCs w:val="18"/>
              </w:rPr>
              <w:t xml:space="preserve">Class I </w:t>
            </w:r>
            <w:r>
              <w:rPr>
                <w:rFonts w:ascii="Arial" w:hAnsi="Arial" w:cs="Arial"/>
                <w:sz w:val="18"/>
                <w:szCs w:val="18"/>
              </w:rPr>
              <w:t>Programs</w:t>
            </w:r>
          </w:p>
        </w:tc>
        <w:tc>
          <w:tcPr>
            <w:tcW w:w="1255" w:type="dxa"/>
            <w:tcMar>
              <w:top w:w="58" w:type="dxa"/>
              <w:left w:w="115" w:type="dxa"/>
              <w:bottom w:w="58" w:type="dxa"/>
              <w:right w:w="115" w:type="dxa"/>
            </w:tcMar>
            <w:vAlign w:val="bottom"/>
          </w:tcPr>
          <w:p w:rsidRPr="00853D61" w:rsidR="00B34F6D" w:rsidP="00B34F6D" w:rsidRDefault="00B34F6D" w14:paraId="7267C098" w14:textId="5D6F9673">
            <w:pPr>
              <w:jc w:val="right"/>
              <w:rPr>
                <w:rFonts w:ascii="Arial" w:hAnsi="Arial" w:cs="Arial"/>
                <w:sz w:val="18"/>
                <w:szCs w:val="18"/>
              </w:rPr>
            </w:pPr>
            <w:r w:rsidRPr="00E60C56">
              <w:rPr>
                <w:rFonts w:ascii="Arial" w:hAnsi="Arial" w:cs="Arial"/>
                <w:sz w:val="18"/>
                <w:szCs w:val="18"/>
              </w:rPr>
              <w:t>11,068</w:t>
            </w:r>
          </w:p>
        </w:tc>
        <w:tc>
          <w:tcPr>
            <w:tcW w:w="1256" w:type="dxa"/>
            <w:tcMar>
              <w:top w:w="58" w:type="dxa"/>
              <w:left w:w="115" w:type="dxa"/>
              <w:bottom w:w="58" w:type="dxa"/>
              <w:right w:w="115" w:type="dxa"/>
            </w:tcMar>
            <w:vAlign w:val="bottom"/>
          </w:tcPr>
          <w:p w:rsidRPr="00853D61" w:rsidR="00B34F6D" w:rsidP="00B34F6D" w:rsidRDefault="00B34F6D" w14:paraId="11546C26" w14:textId="1762255B">
            <w:pPr>
              <w:jc w:val="right"/>
              <w:rPr>
                <w:rFonts w:ascii="Arial" w:hAnsi="Arial" w:cs="Arial"/>
                <w:sz w:val="18"/>
                <w:szCs w:val="18"/>
              </w:rPr>
            </w:pPr>
            <w:r w:rsidRPr="00E60C56">
              <w:rPr>
                <w:rFonts w:ascii="Arial" w:hAnsi="Arial" w:cs="Arial"/>
                <w:sz w:val="18"/>
                <w:szCs w:val="18"/>
              </w:rPr>
              <w:t xml:space="preserve">$508,222 </w:t>
            </w:r>
          </w:p>
        </w:tc>
        <w:tc>
          <w:tcPr>
            <w:tcW w:w="1255" w:type="dxa"/>
            <w:tcMar>
              <w:top w:w="58" w:type="dxa"/>
              <w:left w:w="115" w:type="dxa"/>
              <w:bottom w:w="58" w:type="dxa"/>
              <w:right w:w="115" w:type="dxa"/>
            </w:tcMar>
            <w:vAlign w:val="bottom"/>
          </w:tcPr>
          <w:p w:rsidRPr="00853D61" w:rsidR="00B34F6D" w:rsidP="00B34F6D" w:rsidRDefault="00B34F6D" w14:paraId="6EC5BB0E" w14:textId="47BFD0FC">
            <w:pPr>
              <w:jc w:val="right"/>
              <w:rPr>
                <w:rFonts w:ascii="Arial" w:hAnsi="Arial" w:cs="Arial"/>
                <w:sz w:val="18"/>
                <w:szCs w:val="18"/>
              </w:rPr>
            </w:pPr>
            <w:r w:rsidRPr="00E60C56">
              <w:rPr>
                <w:rFonts w:ascii="Arial" w:hAnsi="Arial" w:cs="Arial"/>
                <w:sz w:val="18"/>
                <w:szCs w:val="18"/>
              </w:rPr>
              <w:t xml:space="preserve">$0 </w:t>
            </w:r>
          </w:p>
        </w:tc>
        <w:tc>
          <w:tcPr>
            <w:tcW w:w="1256" w:type="dxa"/>
            <w:tcMar>
              <w:top w:w="58" w:type="dxa"/>
              <w:left w:w="115" w:type="dxa"/>
              <w:bottom w:w="58" w:type="dxa"/>
              <w:right w:w="115" w:type="dxa"/>
            </w:tcMar>
            <w:vAlign w:val="bottom"/>
          </w:tcPr>
          <w:p w:rsidRPr="00853D61" w:rsidR="00B34F6D" w:rsidP="00B34F6D" w:rsidRDefault="00B34F6D" w14:paraId="32A5EC57" w14:textId="244FC59C">
            <w:pPr>
              <w:jc w:val="right"/>
              <w:rPr>
                <w:rFonts w:ascii="Arial" w:hAnsi="Arial" w:cs="Arial"/>
                <w:sz w:val="18"/>
                <w:szCs w:val="18"/>
              </w:rPr>
            </w:pPr>
            <w:r w:rsidRPr="00E60C56">
              <w:rPr>
                <w:rFonts w:ascii="Arial" w:hAnsi="Arial" w:cs="Arial"/>
                <w:sz w:val="18"/>
                <w:szCs w:val="18"/>
              </w:rPr>
              <w:t xml:space="preserve">$508,222 </w:t>
            </w:r>
          </w:p>
        </w:tc>
        <w:tc>
          <w:tcPr>
            <w:tcW w:w="1255" w:type="dxa"/>
            <w:vAlign w:val="bottom"/>
          </w:tcPr>
          <w:p w:rsidRPr="00853D61" w:rsidR="00B34F6D" w:rsidP="00B34F6D" w:rsidRDefault="00B34F6D" w14:paraId="2268A0F2" w14:textId="374EF0EA">
            <w:pPr>
              <w:jc w:val="right"/>
              <w:rPr>
                <w:rFonts w:ascii="Arial" w:hAnsi="Arial" w:cs="Arial"/>
                <w:sz w:val="18"/>
                <w:szCs w:val="18"/>
              </w:rPr>
            </w:pPr>
            <w:r w:rsidRPr="00E60C56">
              <w:rPr>
                <w:rFonts w:ascii="Arial" w:hAnsi="Arial" w:cs="Arial"/>
                <w:sz w:val="18"/>
                <w:szCs w:val="18"/>
              </w:rPr>
              <w:t>2,798.4</w:t>
            </w:r>
          </w:p>
        </w:tc>
        <w:tc>
          <w:tcPr>
            <w:tcW w:w="1256" w:type="dxa"/>
            <w:vAlign w:val="bottom"/>
          </w:tcPr>
          <w:p w:rsidRPr="00853D61" w:rsidR="00B34F6D" w:rsidP="00B34F6D" w:rsidRDefault="00B34F6D" w14:paraId="22F32780" w14:textId="594E4D1A">
            <w:pPr>
              <w:jc w:val="right"/>
              <w:rPr>
                <w:rFonts w:ascii="Arial" w:hAnsi="Arial" w:cs="Arial"/>
                <w:sz w:val="18"/>
                <w:szCs w:val="18"/>
              </w:rPr>
            </w:pPr>
            <w:r w:rsidRPr="00E60C56">
              <w:rPr>
                <w:rFonts w:ascii="Arial" w:hAnsi="Arial" w:cs="Arial"/>
                <w:sz w:val="18"/>
                <w:szCs w:val="18"/>
              </w:rPr>
              <w:t>3.95</w:t>
            </w:r>
          </w:p>
        </w:tc>
        <w:tc>
          <w:tcPr>
            <w:tcW w:w="1256" w:type="dxa"/>
            <w:vAlign w:val="bottom"/>
          </w:tcPr>
          <w:p w:rsidRPr="00853D61" w:rsidR="00B34F6D" w:rsidP="00B34F6D" w:rsidRDefault="00B34F6D" w14:paraId="653F2D31" w14:textId="4F16A074">
            <w:pPr>
              <w:jc w:val="right"/>
              <w:rPr>
                <w:rFonts w:ascii="Arial" w:hAnsi="Arial" w:cs="Arial"/>
                <w:sz w:val="18"/>
                <w:szCs w:val="18"/>
              </w:rPr>
            </w:pPr>
            <w:r w:rsidRPr="00E60C56">
              <w:rPr>
                <w:rFonts w:ascii="Arial" w:hAnsi="Arial" w:cs="Arial"/>
                <w:sz w:val="18"/>
                <w:szCs w:val="18"/>
              </w:rPr>
              <w:t xml:space="preserve">$181.61 </w:t>
            </w:r>
          </w:p>
        </w:tc>
      </w:tr>
      <w:tr w:rsidR="00B34F6D" w:rsidTr="00890F2F" w14:paraId="5C0D3FCC" w14:textId="77777777">
        <w:trPr>
          <w:jc w:val="center"/>
        </w:trPr>
        <w:tc>
          <w:tcPr>
            <w:tcW w:w="1831" w:type="dxa"/>
            <w:tcMar>
              <w:top w:w="58" w:type="dxa"/>
              <w:left w:w="115" w:type="dxa"/>
              <w:bottom w:w="58" w:type="dxa"/>
              <w:right w:w="115" w:type="dxa"/>
            </w:tcMar>
          </w:tcPr>
          <w:p w:rsidRPr="00231DFB" w:rsidR="00B34F6D" w:rsidP="00B34F6D" w:rsidRDefault="00B34F6D" w14:paraId="2BB62C26" w14:textId="77777777">
            <w:pPr>
              <w:keepNext/>
              <w:keepLines/>
              <w:widowControl w:val="0"/>
              <w:tabs>
                <w:tab w:val="center" w:pos="4680"/>
              </w:tabs>
              <w:rPr>
                <w:rFonts w:ascii="Arial" w:hAnsi="Arial" w:cs="Arial"/>
                <w:sz w:val="18"/>
                <w:szCs w:val="18"/>
              </w:rPr>
            </w:pPr>
            <w:r w:rsidRPr="00231DFB">
              <w:rPr>
                <w:rFonts w:ascii="Arial" w:hAnsi="Arial" w:cs="Arial"/>
                <w:sz w:val="18"/>
                <w:szCs w:val="18"/>
              </w:rPr>
              <w:t xml:space="preserve">Class II </w:t>
            </w:r>
            <w:r>
              <w:rPr>
                <w:rFonts w:ascii="Arial" w:hAnsi="Arial" w:cs="Arial"/>
                <w:sz w:val="18"/>
                <w:szCs w:val="18"/>
              </w:rPr>
              <w:t>Programs</w:t>
            </w:r>
          </w:p>
        </w:tc>
        <w:tc>
          <w:tcPr>
            <w:tcW w:w="1255" w:type="dxa"/>
            <w:tcMar>
              <w:top w:w="58" w:type="dxa"/>
              <w:left w:w="115" w:type="dxa"/>
              <w:bottom w:w="58" w:type="dxa"/>
              <w:right w:w="115" w:type="dxa"/>
            </w:tcMar>
            <w:vAlign w:val="bottom"/>
          </w:tcPr>
          <w:p w:rsidRPr="00853D61" w:rsidR="00B34F6D" w:rsidP="00B34F6D" w:rsidRDefault="00B34F6D" w14:paraId="06C883AD" w14:textId="22573561">
            <w:pPr>
              <w:jc w:val="right"/>
              <w:rPr>
                <w:rFonts w:ascii="Arial" w:hAnsi="Arial" w:cs="Arial"/>
                <w:sz w:val="18"/>
                <w:szCs w:val="18"/>
              </w:rPr>
            </w:pPr>
            <w:r w:rsidRPr="00E60C56">
              <w:rPr>
                <w:rFonts w:ascii="Arial" w:hAnsi="Arial" w:cs="Arial"/>
                <w:sz w:val="18"/>
                <w:szCs w:val="18"/>
              </w:rPr>
              <w:t>132,980</w:t>
            </w:r>
          </w:p>
        </w:tc>
        <w:tc>
          <w:tcPr>
            <w:tcW w:w="1256" w:type="dxa"/>
            <w:tcMar>
              <w:top w:w="58" w:type="dxa"/>
              <w:left w:w="115" w:type="dxa"/>
              <w:bottom w:w="58" w:type="dxa"/>
              <w:right w:w="115" w:type="dxa"/>
            </w:tcMar>
            <w:vAlign w:val="bottom"/>
          </w:tcPr>
          <w:p w:rsidRPr="00853D61" w:rsidR="00B34F6D" w:rsidP="00B34F6D" w:rsidRDefault="00B34F6D" w14:paraId="55703D77" w14:textId="64A82EF7">
            <w:pPr>
              <w:jc w:val="right"/>
              <w:rPr>
                <w:rFonts w:ascii="Arial" w:hAnsi="Arial" w:cs="Arial"/>
                <w:sz w:val="18"/>
                <w:szCs w:val="18"/>
              </w:rPr>
            </w:pPr>
            <w:r w:rsidRPr="00E60C56">
              <w:rPr>
                <w:rFonts w:ascii="Arial" w:hAnsi="Arial" w:cs="Arial"/>
                <w:sz w:val="18"/>
                <w:szCs w:val="18"/>
              </w:rPr>
              <w:t xml:space="preserve">$6,106,460 </w:t>
            </w:r>
          </w:p>
        </w:tc>
        <w:tc>
          <w:tcPr>
            <w:tcW w:w="1255" w:type="dxa"/>
            <w:tcMar>
              <w:top w:w="58" w:type="dxa"/>
              <w:left w:w="115" w:type="dxa"/>
              <w:bottom w:w="58" w:type="dxa"/>
              <w:right w:w="115" w:type="dxa"/>
            </w:tcMar>
            <w:vAlign w:val="bottom"/>
          </w:tcPr>
          <w:p w:rsidRPr="00853D61" w:rsidR="00B34F6D" w:rsidP="00B34F6D" w:rsidRDefault="00B34F6D" w14:paraId="4DF2F238" w14:textId="6C3D3E17">
            <w:pPr>
              <w:jc w:val="right"/>
              <w:rPr>
                <w:rFonts w:ascii="Arial" w:hAnsi="Arial" w:cs="Arial"/>
                <w:sz w:val="18"/>
                <w:szCs w:val="18"/>
              </w:rPr>
            </w:pPr>
            <w:r w:rsidRPr="00E60C56">
              <w:rPr>
                <w:rFonts w:ascii="Arial" w:hAnsi="Arial" w:cs="Arial"/>
                <w:sz w:val="18"/>
                <w:szCs w:val="18"/>
              </w:rPr>
              <w:t xml:space="preserve">$0 </w:t>
            </w:r>
          </w:p>
        </w:tc>
        <w:tc>
          <w:tcPr>
            <w:tcW w:w="1256" w:type="dxa"/>
            <w:tcMar>
              <w:top w:w="58" w:type="dxa"/>
              <w:left w:w="115" w:type="dxa"/>
              <w:bottom w:w="58" w:type="dxa"/>
              <w:right w:w="115" w:type="dxa"/>
            </w:tcMar>
            <w:vAlign w:val="bottom"/>
          </w:tcPr>
          <w:p w:rsidRPr="00853D61" w:rsidR="00B34F6D" w:rsidP="00B34F6D" w:rsidRDefault="00B34F6D" w14:paraId="7C432F13" w14:textId="52D29B13">
            <w:pPr>
              <w:jc w:val="right"/>
              <w:rPr>
                <w:rFonts w:ascii="Arial" w:hAnsi="Arial" w:cs="Arial"/>
                <w:sz w:val="18"/>
                <w:szCs w:val="18"/>
              </w:rPr>
            </w:pPr>
            <w:r w:rsidRPr="00E60C56">
              <w:rPr>
                <w:rFonts w:ascii="Arial" w:hAnsi="Arial" w:cs="Arial"/>
                <w:sz w:val="18"/>
                <w:szCs w:val="18"/>
              </w:rPr>
              <w:t xml:space="preserve">$6,106,460 </w:t>
            </w:r>
          </w:p>
        </w:tc>
        <w:tc>
          <w:tcPr>
            <w:tcW w:w="1255" w:type="dxa"/>
            <w:vAlign w:val="bottom"/>
          </w:tcPr>
          <w:p w:rsidRPr="00853D61" w:rsidR="00B34F6D" w:rsidP="00B34F6D" w:rsidRDefault="00B34F6D" w14:paraId="3871D8D9" w14:textId="70F91AD1">
            <w:pPr>
              <w:jc w:val="right"/>
              <w:rPr>
                <w:rFonts w:ascii="Arial" w:hAnsi="Arial" w:cs="Arial"/>
                <w:sz w:val="18"/>
                <w:szCs w:val="18"/>
              </w:rPr>
            </w:pPr>
            <w:r w:rsidRPr="00E60C56">
              <w:rPr>
                <w:rFonts w:ascii="Arial" w:hAnsi="Arial" w:cs="Arial"/>
                <w:sz w:val="18"/>
                <w:szCs w:val="18"/>
              </w:rPr>
              <w:t>92,357.6</w:t>
            </w:r>
          </w:p>
        </w:tc>
        <w:tc>
          <w:tcPr>
            <w:tcW w:w="1256" w:type="dxa"/>
            <w:vAlign w:val="bottom"/>
          </w:tcPr>
          <w:p w:rsidRPr="00853D61" w:rsidR="00B34F6D" w:rsidP="00B34F6D" w:rsidRDefault="00B34F6D" w14:paraId="0298DADF" w14:textId="0E7B4A9F">
            <w:pPr>
              <w:jc w:val="right"/>
              <w:rPr>
                <w:rFonts w:ascii="Arial" w:hAnsi="Arial" w:cs="Arial"/>
                <w:sz w:val="18"/>
                <w:szCs w:val="18"/>
              </w:rPr>
            </w:pPr>
            <w:r w:rsidRPr="00E60C56">
              <w:rPr>
                <w:rFonts w:ascii="Arial" w:hAnsi="Arial" w:cs="Arial"/>
                <w:sz w:val="18"/>
                <w:szCs w:val="18"/>
              </w:rPr>
              <w:t>1.44</w:t>
            </w:r>
          </w:p>
        </w:tc>
        <w:tc>
          <w:tcPr>
            <w:tcW w:w="1256" w:type="dxa"/>
            <w:vAlign w:val="bottom"/>
          </w:tcPr>
          <w:p w:rsidRPr="00853D61" w:rsidR="00B34F6D" w:rsidP="00B34F6D" w:rsidRDefault="00B34F6D" w14:paraId="3D114EEA" w14:textId="7CFC8487">
            <w:pPr>
              <w:jc w:val="right"/>
              <w:rPr>
                <w:rFonts w:ascii="Arial" w:hAnsi="Arial" w:cs="Arial"/>
                <w:sz w:val="18"/>
                <w:szCs w:val="18"/>
              </w:rPr>
            </w:pPr>
            <w:r w:rsidRPr="00E60C56">
              <w:rPr>
                <w:rFonts w:ascii="Arial" w:hAnsi="Arial" w:cs="Arial"/>
                <w:sz w:val="18"/>
                <w:szCs w:val="18"/>
              </w:rPr>
              <w:t xml:space="preserve">$66.12 </w:t>
            </w:r>
          </w:p>
        </w:tc>
      </w:tr>
      <w:tr w:rsidR="00B34F6D" w:rsidTr="00890F2F" w14:paraId="3E75E214" w14:textId="77777777">
        <w:trPr>
          <w:jc w:val="center"/>
        </w:trPr>
        <w:tc>
          <w:tcPr>
            <w:tcW w:w="1831" w:type="dxa"/>
            <w:tcMar>
              <w:top w:w="58" w:type="dxa"/>
              <w:left w:w="115" w:type="dxa"/>
              <w:bottom w:w="58" w:type="dxa"/>
              <w:right w:w="115" w:type="dxa"/>
            </w:tcMar>
          </w:tcPr>
          <w:p w:rsidRPr="00231DFB" w:rsidR="00B34F6D" w:rsidP="00B34F6D" w:rsidRDefault="00B34F6D" w14:paraId="03556F52" w14:textId="77777777">
            <w:pPr>
              <w:keepNext/>
              <w:keepLines/>
              <w:widowControl w:val="0"/>
              <w:tabs>
                <w:tab w:val="center" w:pos="4680"/>
              </w:tabs>
              <w:rPr>
                <w:rFonts w:ascii="Arial" w:hAnsi="Arial" w:cs="Arial"/>
                <w:sz w:val="18"/>
                <w:szCs w:val="18"/>
              </w:rPr>
            </w:pPr>
            <w:r w:rsidRPr="00231DFB">
              <w:rPr>
                <w:rFonts w:ascii="Arial" w:hAnsi="Arial" w:cs="Arial"/>
                <w:sz w:val="18"/>
                <w:szCs w:val="18"/>
              </w:rPr>
              <w:t xml:space="preserve">Class III </w:t>
            </w:r>
            <w:r>
              <w:rPr>
                <w:rFonts w:ascii="Arial" w:hAnsi="Arial" w:cs="Arial"/>
                <w:sz w:val="18"/>
                <w:szCs w:val="18"/>
              </w:rPr>
              <w:t>Programs</w:t>
            </w:r>
          </w:p>
        </w:tc>
        <w:tc>
          <w:tcPr>
            <w:tcW w:w="1255" w:type="dxa"/>
            <w:tcMar>
              <w:top w:w="58" w:type="dxa"/>
              <w:left w:w="115" w:type="dxa"/>
              <w:bottom w:w="58" w:type="dxa"/>
              <w:right w:w="115" w:type="dxa"/>
            </w:tcMar>
            <w:vAlign w:val="bottom"/>
          </w:tcPr>
          <w:p w:rsidRPr="00853D61" w:rsidR="00B34F6D" w:rsidP="00B34F6D" w:rsidRDefault="00B34F6D" w14:paraId="7F9C5A14" w14:textId="70E472BB">
            <w:pPr>
              <w:jc w:val="right"/>
              <w:rPr>
                <w:rFonts w:ascii="Arial" w:hAnsi="Arial" w:cs="Arial"/>
                <w:sz w:val="18"/>
                <w:szCs w:val="18"/>
              </w:rPr>
            </w:pPr>
            <w:r w:rsidRPr="00E60C56">
              <w:rPr>
                <w:rFonts w:ascii="Arial" w:hAnsi="Arial" w:cs="Arial"/>
                <w:sz w:val="18"/>
                <w:szCs w:val="18"/>
              </w:rPr>
              <w:t>4,483</w:t>
            </w:r>
          </w:p>
        </w:tc>
        <w:tc>
          <w:tcPr>
            <w:tcW w:w="1256" w:type="dxa"/>
            <w:tcMar>
              <w:top w:w="58" w:type="dxa"/>
              <w:left w:w="115" w:type="dxa"/>
              <w:bottom w:w="58" w:type="dxa"/>
              <w:right w:w="115" w:type="dxa"/>
            </w:tcMar>
            <w:vAlign w:val="bottom"/>
          </w:tcPr>
          <w:p w:rsidRPr="00853D61" w:rsidR="00B34F6D" w:rsidP="00B34F6D" w:rsidRDefault="00B34F6D" w14:paraId="2C38A170" w14:textId="68B84838">
            <w:pPr>
              <w:jc w:val="right"/>
              <w:rPr>
                <w:rFonts w:ascii="Arial" w:hAnsi="Arial" w:cs="Arial"/>
                <w:sz w:val="18"/>
                <w:szCs w:val="18"/>
              </w:rPr>
            </w:pPr>
            <w:r w:rsidRPr="00E60C56">
              <w:rPr>
                <w:rFonts w:ascii="Arial" w:hAnsi="Arial" w:cs="Arial"/>
                <w:sz w:val="18"/>
                <w:szCs w:val="18"/>
              </w:rPr>
              <w:t xml:space="preserve">$205,865 </w:t>
            </w:r>
          </w:p>
        </w:tc>
        <w:tc>
          <w:tcPr>
            <w:tcW w:w="1255" w:type="dxa"/>
            <w:tcMar>
              <w:top w:w="58" w:type="dxa"/>
              <w:left w:w="115" w:type="dxa"/>
              <w:bottom w:w="58" w:type="dxa"/>
              <w:right w:w="115" w:type="dxa"/>
            </w:tcMar>
            <w:vAlign w:val="bottom"/>
          </w:tcPr>
          <w:p w:rsidRPr="00853D61" w:rsidR="00B34F6D" w:rsidP="00B34F6D" w:rsidRDefault="00B34F6D" w14:paraId="13960CF3" w14:textId="1A616203">
            <w:pPr>
              <w:jc w:val="right"/>
              <w:rPr>
                <w:rFonts w:ascii="Arial" w:hAnsi="Arial" w:cs="Arial"/>
                <w:sz w:val="18"/>
                <w:szCs w:val="18"/>
              </w:rPr>
            </w:pPr>
            <w:r w:rsidRPr="00E60C56">
              <w:rPr>
                <w:rFonts w:ascii="Arial" w:hAnsi="Arial" w:cs="Arial"/>
                <w:sz w:val="18"/>
                <w:szCs w:val="18"/>
              </w:rPr>
              <w:t xml:space="preserve">$0 </w:t>
            </w:r>
          </w:p>
        </w:tc>
        <w:tc>
          <w:tcPr>
            <w:tcW w:w="1256" w:type="dxa"/>
            <w:tcMar>
              <w:top w:w="58" w:type="dxa"/>
              <w:left w:w="115" w:type="dxa"/>
              <w:bottom w:w="58" w:type="dxa"/>
              <w:right w:w="115" w:type="dxa"/>
            </w:tcMar>
            <w:vAlign w:val="bottom"/>
          </w:tcPr>
          <w:p w:rsidRPr="00853D61" w:rsidR="00B34F6D" w:rsidP="00B34F6D" w:rsidRDefault="00B34F6D" w14:paraId="7E7B6FC9" w14:textId="1D3AADE5">
            <w:pPr>
              <w:jc w:val="right"/>
              <w:rPr>
                <w:rFonts w:ascii="Arial" w:hAnsi="Arial" w:cs="Arial"/>
                <w:sz w:val="18"/>
                <w:szCs w:val="18"/>
              </w:rPr>
            </w:pPr>
            <w:r w:rsidRPr="00E60C56">
              <w:rPr>
                <w:rFonts w:ascii="Arial" w:hAnsi="Arial" w:cs="Arial"/>
                <w:sz w:val="18"/>
                <w:szCs w:val="18"/>
              </w:rPr>
              <w:t xml:space="preserve">$205,865 </w:t>
            </w:r>
          </w:p>
        </w:tc>
        <w:tc>
          <w:tcPr>
            <w:tcW w:w="1255" w:type="dxa"/>
            <w:vAlign w:val="bottom"/>
          </w:tcPr>
          <w:p w:rsidRPr="00853D61" w:rsidR="00B34F6D" w:rsidP="00B34F6D" w:rsidRDefault="00B34F6D" w14:paraId="607C63FC" w14:textId="4E2EE443">
            <w:pPr>
              <w:jc w:val="right"/>
              <w:rPr>
                <w:rFonts w:ascii="Arial" w:hAnsi="Arial" w:cs="Arial"/>
                <w:sz w:val="18"/>
                <w:szCs w:val="18"/>
              </w:rPr>
            </w:pPr>
            <w:r w:rsidRPr="00E60C56">
              <w:rPr>
                <w:rFonts w:ascii="Arial" w:hAnsi="Arial" w:cs="Arial"/>
                <w:sz w:val="18"/>
                <w:szCs w:val="18"/>
              </w:rPr>
              <w:t>1,571.5</w:t>
            </w:r>
          </w:p>
        </w:tc>
        <w:tc>
          <w:tcPr>
            <w:tcW w:w="1256" w:type="dxa"/>
            <w:vAlign w:val="bottom"/>
          </w:tcPr>
          <w:p w:rsidRPr="00853D61" w:rsidR="00B34F6D" w:rsidP="00B34F6D" w:rsidRDefault="00B34F6D" w14:paraId="1F149F07" w14:textId="75C349FC">
            <w:pPr>
              <w:jc w:val="right"/>
              <w:rPr>
                <w:rFonts w:ascii="Arial" w:hAnsi="Arial" w:cs="Arial"/>
                <w:sz w:val="18"/>
                <w:szCs w:val="18"/>
              </w:rPr>
            </w:pPr>
            <w:r w:rsidRPr="00E60C56">
              <w:rPr>
                <w:rFonts w:ascii="Arial" w:hAnsi="Arial" w:cs="Arial"/>
                <w:sz w:val="18"/>
                <w:szCs w:val="18"/>
              </w:rPr>
              <w:t>2.85</w:t>
            </w:r>
          </w:p>
        </w:tc>
        <w:tc>
          <w:tcPr>
            <w:tcW w:w="1256" w:type="dxa"/>
            <w:vAlign w:val="bottom"/>
          </w:tcPr>
          <w:p w:rsidRPr="00853D61" w:rsidR="00B34F6D" w:rsidP="00B34F6D" w:rsidRDefault="00B34F6D" w14:paraId="75259945" w14:textId="1BF46B78">
            <w:pPr>
              <w:jc w:val="right"/>
              <w:rPr>
                <w:rFonts w:ascii="Arial" w:hAnsi="Arial" w:cs="Arial"/>
                <w:sz w:val="18"/>
                <w:szCs w:val="18"/>
              </w:rPr>
            </w:pPr>
            <w:r w:rsidRPr="00E60C56">
              <w:rPr>
                <w:rFonts w:ascii="Arial" w:hAnsi="Arial" w:cs="Arial"/>
                <w:sz w:val="18"/>
                <w:szCs w:val="18"/>
              </w:rPr>
              <w:t xml:space="preserve">$131.00 </w:t>
            </w:r>
          </w:p>
        </w:tc>
      </w:tr>
      <w:tr w:rsidR="00B34F6D" w:rsidTr="00890F2F" w14:paraId="2BF79C4F" w14:textId="77777777">
        <w:trPr>
          <w:jc w:val="center"/>
        </w:trPr>
        <w:tc>
          <w:tcPr>
            <w:tcW w:w="1831" w:type="dxa"/>
            <w:tcMar>
              <w:top w:w="58" w:type="dxa"/>
              <w:left w:w="115" w:type="dxa"/>
              <w:bottom w:w="58" w:type="dxa"/>
              <w:right w:w="115" w:type="dxa"/>
            </w:tcMar>
          </w:tcPr>
          <w:p w:rsidRPr="00CB18A2" w:rsidR="00B34F6D" w:rsidP="00B34F6D" w:rsidRDefault="00B34F6D" w14:paraId="4B6EF667" w14:textId="77777777">
            <w:pPr>
              <w:keepNext/>
              <w:keepLines/>
              <w:widowControl w:val="0"/>
              <w:tabs>
                <w:tab w:val="center" w:pos="4680"/>
              </w:tabs>
              <w:rPr>
                <w:rFonts w:ascii="Arial" w:hAnsi="Arial" w:cs="Arial"/>
                <w:sz w:val="18"/>
                <w:szCs w:val="18"/>
              </w:rPr>
            </w:pPr>
            <w:r w:rsidRPr="00CB18A2">
              <w:rPr>
                <w:rFonts w:ascii="Arial" w:hAnsi="Arial" w:cs="Arial"/>
                <w:sz w:val="18"/>
                <w:szCs w:val="18"/>
              </w:rPr>
              <w:t>Class IV Programs</w:t>
            </w:r>
          </w:p>
        </w:tc>
        <w:tc>
          <w:tcPr>
            <w:tcW w:w="1255" w:type="dxa"/>
            <w:tcMar>
              <w:top w:w="58" w:type="dxa"/>
              <w:left w:w="115" w:type="dxa"/>
              <w:bottom w:w="58" w:type="dxa"/>
              <w:right w:w="115" w:type="dxa"/>
            </w:tcMar>
            <w:vAlign w:val="bottom"/>
          </w:tcPr>
          <w:p w:rsidRPr="00853D61" w:rsidR="00B34F6D" w:rsidP="00B34F6D" w:rsidRDefault="00B34F6D" w14:paraId="7AEF9EC9" w14:textId="42128C4D">
            <w:pPr>
              <w:jc w:val="right"/>
              <w:rPr>
                <w:rFonts w:ascii="Arial" w:hAnsi="Arial" w:cs="Arial"/>
                <w:sz w:val="18"/>
                <w:szCs w:val="18"/>
              </w:rPr>
            </w:pPr>
            <w:r w:rsidRPr="00E60C56">
              <w:rPr>
                <w:rFonts w:ascii="Arial" w:hAnsi="Arial" w:cs="Arial"/>
                <w:sz w:val="18"/>
                <w:szCs w:val="18"/>
              </w:rPr>
              <w:t>56</w:t>
            </w:r>
          </w:p>
        </w:tc>
        <w:tc>
          <w:tcPr>
            <w:tcW w:w="1256" w:type="dxa"/>
            <w:tcMar>
              <w:top w:w="58" w:type="dxa"/>
              <w:left w:w="115" w:type="dxa"/>
              <w:bottom w:w="58" w:type="dxa"/>
              <w:right w:w="115" w:type="dxa"/>
            </w:tcMar>
            <w:vAlign w:val="bottom"/>
          </w:tcPr>
          <w:p w:rsidRPr="00853D61" w:rsidR="00B34F6D" w:rsidP="00B34F6D" w:rsidRDefault="00B34F6D" w14:paraId="55AB8F43" w14:textId="16CE49F0">
            <w:pPr>
              <w:jc w:val="right"/>
              <w:rPr>
                <w:rFonts w:ascii="Arial" w:hAnsi="Arial" w:cs="Arial"/>
                <w:sz w:val="18"/>
                <w:szCs w:val="18"/>
              </w:rPr>
            </w:pPr>
            <w:r w:rsidRPr="00E60C56">
              <w:rPr>
                <w:rFonts w:ascii="Arial" w:hAnsi="Arial" w:cs="Arial"/>
                <w:sz w:val="18"/>
                <w:szCs w:val="18"/>
              </w:rPr>
              <w:t xml:space="preserve">$2,549 </w:t>
            </w:r>
          </w:p>
        </w:tc>
        <w:tc>
          <w:tcPr>
            <w:tcW w:w="1255" w:type="dxa"/>
            <w:tcMar>
              <w:top w:w="58" w:type="dxa"/>
              <w:left w:w="115" w:type="dxa"/>
              <w:bottom w:w="58" w:type="dxa"/>
              <w:right w:w="115" w:type="dxa"/>
            </w:tcMar>
            <w:vAlign w:val="bottom"/>
          </w:tcPr>
          <w:p w:rsidRPr="00853D61" w:rsidR="00B34F6D" w:rsidP="00B34F6D" w:rsidRDefault="00B34F6D" w14:paraId="31A3DC20" w14:textId="602E7B74">
            <w:pPr>
              <w:jc w:val="right"/>
              <w:rPr>
                <w:rFonts w:ascii="Arial" w:hAnsi="Arial" w:cs="Arial"/>
                <w:sz w:val="18"/>
                <w:szCs w:val="18"/>
              </w:rPr>
            </w:pPr>
            <w:r w:rsidRPr="00E60C56">
              <w:rPr>
                <w:rFonts w:ascii="Arial" w:hAnsi="Arial" w:cs="Arial"/>
                <w:sz w:val="18"/>
                <w:szCs w:val="18"/>
              </w:rPr>
              <w:t xml:space="preserve">$0 </w:t>
            </w:r>
          </w:p>
        </w:tc>
        <w:tc>
          <w:tcPr>
            <w:tcW w:w="1256" w:type="dxa"/>
            <w:tcMar>
              <w:top w:w="58" w:type="dxa"/>
              <w:left w:w="115" w:type="dxa"/>
              <w:bottom w:w="58" w:type="dxa"/>
              <w:right w:w="115" w:type="dxa"/>
            </w:tcMar>
            <w:vAlign w:val="bottom"/>
          </w:tcPr>
          <w:p w:rsidRPr="00853D61" w:rsidR="00B34F6D" w:rsidP="00B34F6D" w:rsidRDefault="00B34F6D" w14:paraId="764088D8" w14:textId="0F374597">
            <w:pPr>
              <w:jc w:val="right"/>
              <w:rPr>
                <w:rFonts w:ascii="Arial" w:hAnsi="Arial" w:cs="Arial"/>
                <w:sz w:val="18"/>
                <w:szCs w:val="18"/>
              </w:rPr>
            </w:pPr>
            <w:r w:rsidRPr="00E60C56">
              <w:rPr>
                <w:rFonts w:ascii="Arial" w:hAnsi="Arial" w:cs="Arial"/>
                <w:sz w:val="18"/>
                <w:szCs w:val="18"/>
              </w:rPr>
              <w:t xml:space="preserve">$2,549 </w:t>
            </w:r>
          </w:p>
        </w:tc>
        <w:tc>
          <w:tcPr>
            <w:tcW w:w="1255" w:type="dxa"/>
            <w:vAlign w:val="bottom"/>
          </w:tcPr>
          <w:p w:rsidRPr="00853D61" w:rsidR="00B34F6D" w:rsidP="00B34F6D" w:rsidRDefault="00B34F6D" w14:paraId="24CEC2C7" w14:textId="7266AC68">
            <w:pPr>
              <w:jc w:val="right"/>
              <w:rPr>
                <w:rFonts w:ascii="Arial" w:hAnsi="Arial" w:cs="Arial"/>
                <w:sz w:val="18"/>
                <w:szCs w:val="18"/>
              </w:rPr>
            </w:pPr>
            <w:r w:rsidRPr="00E60C56">
              <w:rPr>
                <w:rFonts w:ascii="Arial" w:hAnsi="Arial" w:cs="Arial"/>
                <w:sz w:val="18"/>
                <w:szCs w:val="18"/>
              </w:rPr>
              <w:t>55.5</w:t>
            </w:r>
          </w:p>
        </w:tc>
        <w:tc>
          <w:tcPr>
            <w:tcW w:w="1256" w:type="dxa"/>
            <w:vAlign w:val="bottom"/>
          </w:tcPr>
          <w:p w:rsidRPr="00853D61" w:rsidR="00B34F6D" w:rsidP="00B34F6D" w:rsidRDefault="00B34F6D" w14:paraId="2B130CF5" w14:textId="26CFFC59">
            <w:pPr>
              <w:jc w:val="right"/>
              <w:rPr>
                <w:rFonts w:ascii="Arial" w:hAnsi="Arial" w:cs="Arial"/>
                <w:sz w:val="18"/>
                <w:szCs w:val="18"/>
              </w:rPr>
            </w:pPr>
            <w:r w:rsidRPr="00E60C56">
              <w:rPr>
                <w:rFonts w:ascii="Arial" w:hAnsi="Arial" w:cs="Arial"/>
                <w:sz w:val="18"/>
                <w:szCs w:val="18"/>
              </w:rPr>
              <w:t>1.00</w:t>
            </w:r>
          </w:p>
        </w:tc>
        <w:tc>
          <w:tcPr>
            <w:tcW w:w="1256" w:type="dxa"/>
            <w:vAlign w:val="bottom"/>
          </w:tcPr>
          <w:p w:rsidRPr="00853D61" w:rsidR="00B34F6D" w:rsidP="00B34F6D" w:rsidRDefault="00B34F6D" w14:paraId="14E4E37B" w14:textId="5CA048BD">
            <w:pPr>
              <w:jc w:val="right"/>
              <w:rPr>
                <w:rFonts w:ascii="Arial" w:hAnsi="Arial" w:cs="Arial"/>
                <w:sz w:val="18"/>
                <w:szCs w:val="18"/>
              </w:rPr>
            </w:pPr>
            <w:r w:rsidRPr="00E60C56">
              <w:rPr>
                <w:rFonts w:ascii="Arial" w:hAnsi="Arial" w:cs="Arial"/>
                <w:sz w:val="18"/>
                <w:szCs w:val="18"/>
              </w:rPr>
              <w:t xml:space="preserve">$45.92 </w:t>
            </w:r>
          </w:p>
        </w:tc>
      </w:tr>
      <w:tr w:rsidR="00B34F6D" w:rsidTr="00890F2F" w14:paraId="1F8701AA" w14:textId="77777777">
        <w:trPr>
          <w:jc w:val="center"/>
        </w:trPr>
        <w:tc>
          <w:tcPr>
            <w:tcW w:w="1831" w:type="dxa"/>
            <w:tcMar>
              <w:top w:w="58" w:type="dxa"/>
              <w:left w:w="115" w:type="dxa"/>
              <w:bottom w:w="58" w:type="dxa"/>
              <w:right w:w="115" w:type="dxa"/>
            </w:tcMar>
          </w:tcPr>
          <w:p w:rsidRPr="00CB18A2" w:rsidR="00B34F6D" w:rsidP="00B34F6D" w:rsidRDefault="00B34F6D" w14:paraId="55344622" w14:textId="77777777">
            <w:pPr>
              <w:keepNext/>
              <w:keepLines/>
              <w:widowControl w:val="0"/>
              <w:tabs>
                <w:tab w:val="center" w:pos="4680"/>
              </w:tabs>
              <w:rPr>
                <w:rFonts w:ascii="Arial" w:hAnsi="Arial" w:cs="Arial"/>
                <w:sz w:val="18"/>
                <w:szCs w:val="18"/>
              </w:rPr>
            </w:pPr>
            <w:r w:rsidRPr="00CB18A2">
              <w:rPr>
                <w:rFonts w:ascii="Arial" w:hAnsi="Arial" w:cs="Arial"/>
                <w:sz w:val="18"/>
                <w:szCs w:val="18"/>
              </w:rPr>
              <w:t>Class V Programs</w:t>
            </w:r>
          </w:p>
        </w:tc>
        <w:tc>
          <w:tcPr>
            <w:tcW w:w="1255" w:type="dxa"/>
            <w:tcMar>
              <w:top w:w="58" w:type="dxa"/>
              <w:left w:w="115" w:type="dxa"/>
              <w:bottom w:w="58" w:type="dxa"/>
              <w:right w:w="115" w:type="dxa"/>
            </w:tcMar>
            <w:vAlign w:val="bottom"/>
          </w:tcPr>
          <w:p w:rsidRPr="00853D61" w:rsidR="00B34F6D" w:rsidP="00B34F6D" w:rsidRDefault="00B34F6D" w14:paraId="51737279" w14:textId="5F07885D">
            <w:pPr>
              <w:jc w:val="right"/>
              <w:rPr>
                <w:rFonts w:ascii="Arial" w:hAnsi="Arial" w:cs="Arial"/>
                <w:sz w:val="18"/>
                <w:szCs w:val="18"/>
              </w:rPr>
            </w:pPr>
            <w:r w:rsidRPr="00E60C56">
              <w:rPr>
                <w:rFonts w:ascii="Arial" w:hAnsi="Arial" w:cs="Arial"/>
                <w:sz w:val="18"/>
                <w:szCs w:val="18"/>
              </w:rPr>
              <w:t>7,938</w:t>
            </w:r>
          </w:p>
        </w:tc>
        <w:tc>
          <w:tcPr>
            <w:tcW w:w="1256" w:type="dxa"/>
            <w:tcMar>
              <w:top w:w="58" w:type="dxa"/>
              <w:left w:w="115" w:type="dxa"/>
              <w:bottom w:w="58" w:type="dxa"/>
              <w:right w:w="115" w:type="dxa"/>
            </w:tcMar>
            <w:vAlign w:val="bottom"/>
          </w:tcPr>
          <w:p w:rsidRPr="00853D61" w:rsidR="00B34F6D" w:rsidP="00B34F6D" w:rsidRDefault="00B34F6D" w14:paraId="54FB69EB" w14:textId="17293DB3">
            <w:pPr>
              <w:jc w:val="right"/>
              <w:rPr>
                <w:rFonts w:ascii="Arial" w:hAnsi="Arial" w:cs="Arial"/>
                <w:sz w:val="18"/>
                <w:szCs w:val="18"/>
              </w:rPr>
            </w:pPr>
            <w:r w:rsidRPr="00E60C56">
              <w:rPr>
                <w:rFonts w:ascii="Arial" w:hAnsi="Arial" w:cs="Arial"/>
                <w:sz w:val="18"/>
                <w:szCs w:val="18"/>
              </w:rPr>
              <w:t xml:space="preserve">$364,494 </w:t>
            </w:r>
          </w:p>
        </w:tc>
        <w:tc>
          <w:tcPr>
            <w:tcW w:w="1255" w:type="dxa"/>
            <w:tcMar>
              <w:top w:w="58" w:type="dxa"/>
              <w:left w:w="115" w:type="dxa"/>
              <w:bottom w:w="58" w:type="dxa"/>
              <w:right w:w="115" w:type="dxa"/>
            </w:tcMar>
            <w:vAlign w:val="bottom"/>
          </w:tcPr>
          <w:p w:rsidRPr="00853D61" w:rsidR="00B34F6D" w:rsidP="00B34F6D" w:rsidRDefault="00B34F6D" w14:paraId="4C1B2DAB" w14:textId="7A316063">
            <w:pPr>
              <w:jc w:val="right"/>
              <w:rPr>
                <w:rFonts w:ascii="Arial" w:hAnsi="Arial" w:cs="Arial"/>
                <w:sz w:val="18"/>
                <w:szCs w:val="18"/>
              </w:rPr>
            </w:pPr>
            <w:r w:rsidRPr="00E60C56">
              <w:rPr>
                <w:rFonts w:ascii="Arial" w:hAnsi="Arial" w:cs="Arial"/>
                <w:sz w:val="18"/>
                <w:szCs w:val="18"/>
              </w:rPr>
              <w:t xml:space="preserve">$0 </w:t>
            </w:r>
          </w:p>
        </w:tc>
        <w:tc>
          <w:tcPr>
            <w:tcW w:w="1256" w:type="dxa"/>
            <w:tcMar>
              <w:top w:w="58" w:type="dxa"/>
              <w:left w:w="115" w:type="dxa"/>
              <w:bottom w:w="58" w:type="dxa"/>
              <w:right w:w="115" w:type="dxa"/>
            </w:tcMar>
            <w:vAlign w:val="bottom"/>
          </w:tcPr>
          <w:p w:rsidRPr="00853D61" w:rsidR="00B34F6D" w:rsidP="00B34F6D" w:rsidRDefault="00B34F6D" w14:paraId="49B3D608" w14:textId="18C3D660">
            <w:pPr>
              <w:jc w:val="right"/>
              <w:rPr>
                <w:rFonts w:ascii="Arial" w:hAnsi="Arial" w:cs="Arial"/>
                <w:sz w:val="18"/>
                <w:szCs w:val="18"/>
              </w:rPr>
            </w:pPr>
            <w:r w:rsidRPr="00E60C56">
              <w:rPr>
                <w:rFonts w:ascii="Arial" w:hAnsi="Arial" w:cs="Arial"/>
                <w:sz w:val="18"/>
                <w:szCs w:val="18"/>
              </w:rPr>
              <w:t xml:space="preserve">$364,494 </w:t>
            </w:r>
          </w:p>
        </w:tc>
        <w:tc>
          <w:tcPr>
            <w:tcW w:w="1255" w:type="dxa"/>
            <w:vAlign w:val="bottom"/>
          </w:tcPr>
          <w:p w:rsidRPr="00853D61" w:rsidR="00B34F6D" w:rsidP="00B34F6D" w:rsidRDefault="00B34F6D" w14:paraId="1326D3BD" w14:textId="2CD35164">
            <w:pPr>
              <w:jc w:val="right"/>
              <w:rPr>
                <w:rFonts w:ascii="Arial" w:hAnsi="Arial" w:cs="Arial"/>
                <w:sz w:val="18"/>
                <w:szCs w:val="18"/>
              </w:rPr>
            </w:pPr>
            <w:r w:rsidRPr="00E60C56">
              <w:rPr>
                <w:rFonts w:ascii="Arial" w:hAnsi="Arial" w:cs="Arial"/>
                <w:sz w:val="18"/>
                <w:szCs w:val="18"/>
              </w:rPr>
              <w:t>14,617.7</w:t>
            </w:r>
          </w:p>
        </w:tc>
        <w:tc>
          <w:tcPr>
            <w:tcW w:w="1256" w:type="dxa"/>
            <w:vAlign w:val="bottom"/>
          </w:tcPr>
          <w:p w:rsidRPr="00853D61" w:rsidR="00B34F6D" w:rsidP="00B34F6D" w:rsidRDefault="00B34F6D" w14:paraId="5395C38A" w14:textId="37589510">
            <w:pPr>
              <w:jc w:val="right"/>
              <w:rPr>
                <w:rFonts w:ascii="Arial" w:hAnsi="Arial" w:cs="Arial"/>
                <w:sz w:val="18"/>
                <w:szCs w:val="18"/>
              </w:rPr>
            </w:pPr>
            <w:r w:rsidRPr="00E60C56">
              <w:rPr>
                <w:rFonts w:ascii="Arial" w:hAnsi="Arial" w:cs="Arial"/>
                <w:sz w:val="18"/>
                <w:szCs w:val="18"/>
              </w:rPr>
              <w:t>0.54</w:t>
            </w:r>
          </w:p>
        </w:tc>
        <w:tc>
          <w:tcPr>
            <w:tcW w:w="1256" w:type="dxa"/>
            <w:vAlign w:val="bottom"/>
          </w:tcPr>
          <w:p w:rsidRPr="00853D61" w:rsidR="00B34F6D" w:rsidP="00B34F6D" w:rsidRDefault="00B34F6D" w14:paraId="337B62B8" w14:textId="39E24978">
            <w:pPr>
              <w:jc w:val="right"/>
              <w:rPr>
                <w:rFonts w:ascii="Arial" w:hAnsi="Arial" w:cs="Arial"/>
                <w:sz w:val="18"/>
                <w:szCs w:val="18"/>
              </w:rPr>
            </w:pPr>
            <w:r w:rsidRPr="00E60C56">
              <w:rPr>
                <w:rFonts w:ascii="Arial" w:hAnsi="Arial" w:cs="Arial"/>
                <w:sz w:val="18"/>
                <w:szCs w:val="18"/>
              </w:rPr>
              <w:t xml:space="preserve">$24.94 </w:t>
            </w:r>
          </w:p>
        </w:tc>
      </w:tr>
      <w:tr w:rsidR="00B34F6D" w:rsidTr="00890F2F" w14:paraId="2042FC46" w14:textId="77777777">
        <w:trPr>
          <w:jc w:val="center"/>
        </w:trPr>
        <w:tc>
          <w:tcPr>
            <w:tcW w:w="1831" w:type="dxa"/>
            <w:tcMar>
              <w:top w:w="58" w:type="dxa"/>
              <w:left w:w="115" w:type="dxa"/>
              <w:bottom w:w="58" w:type="dxa"/>
              <w:right w:w="115" w:type="dxa"/>
            </w:tcMar>
          </w:tcPr>
          <w:p w:rsidRPr="00CB18A2" w:rsidR="00B34F6D" w:rsidP="00B34F6D" w:rsidRDefault="00B34F6D" w14:paraId="1957A1EA" w14:textId="77777777">
            <w:pPr>
              <w:keepNext/>
              <w:keepLines/>
              <w:widowControl w:val="0"/>
              <w:tabs>
                <w:tab w:val="center" w:pos="4680"/>
              </w:tabs>
              <w:rPr>
                <w:rFonts w:ascii="Arial" w:hAnsi="Arial" w:cs="Arial"/>
                <w:sz w:val="18"/>
                <w:szCs w:val="18"/>
              </w:rPr>
            </w:pPr>
            <w:r>
              <w:rPr>
                <w:rFonts w:ascii="Arial" w:hAnsi="Arial" w:cs="Arial"/>
                <w:sz w:val="18"/>
                <w:szCs w:val="18"/>
              </w:rPr>
              <w:t>Class VI Programs</w:t>
            </w:r>
          </w:p>
        </w:tc>
        <w:tc>
          <w:tcPr>
            <w:tcW w:w="1255" w:type="dxa"/>
            <w:tcMar>
              <w:top w:w="58" w:type="dxa"/>
              <w:left w:w="115" w:type="dxa"/>
              <w:bottom w:w="58" w:type="dxa"/>
              <w:right w:w="115" w:type="dxa"/>
            </w:tcMar>
            <w:vAlign w:val="bottom"/>
          </w:tcPr>
          <w:p w:rsidRPr="00853D61" w:rsidR="00B34F6D" w:rsidP="00B34F6D" w:rsidRDefault="00B34F6D" w14:paraId="51EB489A" w14:textId="00659E2F">
            <w:pPr>
              <w:jc w:val="right"/>
              <w:rPr>
                <w:rFonts w:ascii="Arial" w:hAnsi="Arial" w:cs="Arial"/>
                <w:sz w:val="18"/>
                <w:szCs w:val="18"/>
              </w:rPr>
            </w:pPr>
            <w:r w:rsidRPr="00E60C56">
              <w:rPr>
                <w:rFonts w:ascii="Arial" w:hAnsi="Arial" w:cs="Arial"/>
                <w:sz w:val="18"/>
                <w:szCs w:val="18"/>
              </w:rPr>
              <w:t>6,951</w:t>
            </w:r>
          </w:p>
        </w:tc>
        <w:tc>
          <w:tcPr>
            <w:tcW w:w="1256" w:type="dxa"/>
            <w:tcMar>
              <w:top w:w="58" w:type="dxa"/>
              <w:left w:w="115" w:type="dxa"/>
              <w:bottom w:w="58" w:type="dxa"/>
              <w:right w:w="115" w:type="dxa"/>
            </w:tcMar>
            <w:vAlign w:val="bottom"/>
          </w:tcPr>
          <w:p w:rsidRPr="00853D61" w:rsidR="00B34F6D" w:rsidP="00B34F6D" w:rsidRDefault="00B34F6D" w14:paraId="4A4D176F" w14:textId="176121DB">
            <w:pPr>
              <w:jc w:val="right"/>
              <w:rPr>
                <w:rFonts w:ascii="Arial" w:hAnsi="Arial" w:cs="Arial"/>
                <w:sz w:val="18"/>
                <w:szCs w:val="18"/>
              </w:rPr>
            </w:pPr>
            <w:r w:rsidRPr="00E60C56">
              <w:rPr>
                <w:rFonts w:ascii="Arial" w:hAnsi="Arial" w:cs="Arial"/>
                <w:sz w:val="18"/>
                <w:szCs w:val="18"/>
              </w:rPr>
              <w:t xml:space="preserve">$319,198 </w:t>
            </w:r>
          </w:p>
        </w:tc>
        <w:tc>
          <w:tcPr>
            <w:tcW w:w="1255" w:type="dxa"/>
            <w:tcMar>
              <w:top w:w="58" w:type="dxa"/>
              <w:left w:w="115" w:type="dxa"/>
              <w:bottom w:w="58" w:type="dxa"/>
              <w:right w:w="115" w:type="dxa"/>
            </w:tcMar>
            <w:vAlign w:val="bottom"/>
          </w:tcPr>
          <w:p w:rsidRPr="00853D61" w:rsidR="00B34F6D" w:rsidP="00B34F6D" w:rsidRDefault="00B34F6D" w14:paraId="0A88CEDA" w14:textId="6CF5396E">
            <w:pPr>
              <w:jc w:val="right"/>
              <w:rPr>
                <w:rFonts w:ascii="Arial" w:hAnsi="Arial" w:cs="Arial"/>
                <w:sz w:val="18"/>
                <w:szCs w:val="18"/>
              </w:rPr>
            </w:pPr>
            <w:r w:rsidRPr="00E60C56">
              <w:rPr>
                <w:rFonts w:ascii="Arial" w:hAnsi="Arial" w:cs="Arial"/>
                <w:sz w:val="18"/>
                <w:szCs w:val="18"/>
              </w:rPr>
              <w:t xml:space="preserve">$0 </w:t>
            </w:r>
          </w:p>
        </w:tc>
        <w:tc>
          <w:tcPr>
            <w:tcW w:w="1256" w:type="dxa"/>
            <w:tcMar>
              <w:top w:w="58" w:type="dxa"/>
              <w:left w:w="115" w:type="dxa"/>
              <w:bottom w:w="58" w:type="dxa"/>
              <w:right w:w="115" w:type="dxa"/>
            </w:tcMar>
            <w:vAlign w:val="bottom"/>
          </w:tcPr>
          <w:p w:rsidRPr="00853D61" w:rsidR="00B34F6D" w:rsidP="00B34F6D" w:rsidRDefault="00B34F6D" w14:paraId="3D742649" w14:textId="7085AFF8">
            <w:pPr>
              <w:jc w:val="right"/>
              <w:rPr>
                <w:rFonts w:ascii="Arial" w:hAnsi="Arial" w:cs="Arial"/>
                <w:sz w:val="18"/>
                <w:szCs w:val="18"/>
              </w:rPr>
            </w:pPr>
            <w:r w:rsidRPr="00E60C56">
              <w:rPr>
                <w:rFonts w:ascii="Arial" w:hAnsi="Arial" w:cs="Arial"/>
                <w:sz w:val="18"/>
                <w:szCs w:val="18"/>
              </w:rPr>
              <w:t xml:space="preserve">$319,198 </w:t>
            </w:r>
          </w:p>
        </w:tc>
        <w:tc>
          <w:tcPr>
            <w:tcW w:w="1255" w:type="dxa"/>
            <w:vAlign w:val="bottom"/>
          </w:tcPr>
          <w:p w:rsidRPr="00853D61" w:rsidR="00B34F6D" w:rsidP="00B34F6D" w:rsidRDefault="00B34F6D" w14:paraId="2BED94FD" w14:textId="09B709F2">
            <w:pPr>
              <w:jc w:val="right"/>
              <w:rPr>
                <w:rFonts w:ascii="Arial" w:hAnsi="Arial" w:cs="Arial"/>
                <w:sz w:val="18"/>
                <w:szCs w:val="18"/>
              </w:rPr>
            </w:pPr>
            <w:r w:rsidRPr="00E60C56">
              <w:rPr>
                <w:rFonts w:ascii="Arial" w:hAnsi="Arial" w:cs="Arial"/>
                <w:sz w:val="18"/>
                <w:szCs w:val="18"/>
              </w:rPr>
              <w:t>22.3</w:t>
            </w:r>
          </w:p>
        </w:tc>
        <w:tc>
          <w:tcPr>
            <w:tcW w:w="1256" w:type="dxa"/>
            <w:vAlign w:val="bottom"/>
          </w:tcPr>
          <w:p w:rsidRPr="00853D61" w:rsidR="00B34F6D" w:rsidP="00B34F6D" w:rsidRDefault="00B34F6D" w14:paraId="547978EA" w14:textId="39693FD2">
            <w:pPr>
              <w:jc w:val="right"/>
              <w:rPr>
                <w:rFonts w:ascii="Arial" w:hAnsi="Arial" w:cs="Arial"/>
                <w:sz w:val="18"/>
                <w:szCs w:val="18"/>
              </w:rPr>
            </w:pPr>
            <w:r w:rsidRPr="00E60C56">
              <w:rPr>
                <w:rFonts w:ascii="Arial" w:hAnsi="Arial" w:cs="Arial"/>
                <w:sz w:val="18"/>
                <w:szCs w:val="18"/>
              </w:rPr>
              <w:t>311.25</w:t>
            </w:r>
          </w:p>
        </w:tc>
        <w:tc>
          <w:tcPr>
            <w:tcW w:w="1256" w:type="dxa"/>
            <w:vAlign w:val="bottom"/>
          </w:tcPr>
          <w:p w:rsidRPr="00853D61" w:rsidR="00B34F6D" w:rsidP="00B34F6D" w:rsidRDefault="00B34F6D" w14:paraId="53207C07" w14:textId="5577706E">
            <w:pPr>
              <w:jc w:val="right"/>
              <w:rPr>
                <w:rFonts w:ascii="Arial" w:hAnsi="Arial" w:cs="Arial"/>
                <w:sz w:val="18"/>
                <w:szCs w:val="18"/>
              </w:rPr>
            </w:pPr>
            <w:r w:rsidRPr="00E60C56">
              <w:rPr>
                <w:rFonts w:ascii="Arial" w:hAnsi="Arial" w:cs="Arial"/>
                <w:sz w:val="18"/>
                <w:szCs w:val="18"/>
              </w:rPr>
              <w:t xml:space="preserve">$14,292.43 </w:t>
            </w:r>
          </w:p>
        </w:tc>
      </w:tr>
      <w:tr w:rsidR="00B34F6D" w:rsidTr="00890F2F" w14:paraId="385CEDB0" w14:textId="77777777">
        <w:trPr>
          <w:jc w:val="center"/>
        </w:trPr>
        <w:tc>
          <w:tcPr>
            <w:tcW w:w="1831" w:type="dxa"/>
            <w:tcMar>
              <w:top w:w="58" w:type="dxa"/>
              <w:left w:w="115" w:type="dxa"/>
              <w:bottom w:w="58" w:type="dxa"/>
              <w:right w:w="115" w:type="dxa"/>
            </w:tcMar>
          </w:tcPr>
          <w:p w:rsidRPr="00CB18A2" w:rsidR="00B34F6D" w:rsidP="00B34F6D" w:rsidRDefault="00B34F6D" w14:paraId="44D4DA34" w14:textId="77777777">
            <w:pPr>
              <w:keepNext/>
              <w:keepLines/>
              <w:widowControl w:val="0"/>
              <w:tabs>
                <w:tab w:val="center" w:pos="4680"/>
              </w:tabs>
              <w:rPr>
                <w:rFonts w:ascii="Arial" w:hAnsi="Arial" w:cs="Arial"/>
                <w:sz w:val="18"/>
                <w:szCs w:val="18"/>
              </w:rPr>
            </w:pPr>
            <w:r>
              <w:rPr>
                <w:rFonts w:ascii="Arial" w:hAnsi="Arial" w:cs="Arial"/>
                <w:b/>
                <w:sz w:val="18"/>
                <w:szCs w:val="18"/>
              </w:rPr>
              <w:t>Subtotal</w:t>
            </w:r>
            <w:r w:rsidRPr="00CB18A2">
              <w:rPr>
                <w:rFonts w:ascii="Arial" w:hAnsi="Arial" w:cs="Arial"/>
                <w:b/>
                <w:sz w:val="18"/>
                <w:szCs w:val="18"/>
              </w:rPr>
              <w:t>-Operator Oversight</w:t>
            </w:r>
          </w:p>
        </w:tc>
        <w:tc>
          <w:tcPr>
            <w:tcW w:w="1255" w:type="dxa"/>
            <w:tcMar>
              <w:top w:w="58" w:type="dxa"/>
              <w:left w:w="115" w:type="dxa"/>
              <w:bottom w:w="58" w:type="dxa"/>
              <w:right w:w="115" w:type="dxa"/>
            </w:tcMar>
            <w:vAlign w:val="bottom"/>
          </w:tcPr>
          <w:p w:rsidRPr="00853D61" w:rsidR="00B34F6D" w:rsidP="00B34F6D" w:rsidRDefault="00B34F6D" w14:paraId="34C3CF63" w14:textId="268C8ACB">
            <w:pPr>
              <w:jc w:val="right"/>
              <w:rPr>
                <w:rFonts w:ascii="Arial" w:hAnsi="Arial" w:cs="Arial"/>
                <w:b/>
                <w:bCs/>
                <w:sz w:val="18"/>
                <w:szCs w:val="18"/>
              </w:rPr>
            </w:pPr>
            <w:r w:rsidRPr="00E60C56">
              <w:rPr>
                <w:rFonts w:ascii="Arial" w:hAnsi="Arial" w:cs="Arial"/>
                <w:b/>
                <w:bCs/>
                <w:sz w:val="18"/>
                <w:szCs w:val="18"/>
              </w:rPr>
              <w:t>163,475</w:t>
            </w:r>
          </w:p>
        </w:tc>
        <w:tc>
          <w:tcPr>
            <w:tcW w:w="1256" w:type="dxa"/>
            <w:tcMar>
              <w:top w:w="58" w:type="dxa"/>
              <w:left w:w="115" w:type="dxa"/>
              <w:bottom w:w="58" w:type="dxa"/>
              <w:right w:w="115" w:type="dxa"/>
            </w:tcMar>
            <w:vAlign w:val="bottom"/>
          </w:tcPr>
          <w:p w:rsidRPr="00853D61" w:rsidR="00B34F6D" w:rsidP="00B34F6D" w:rsidRDefault="00B34F6D" w14:paraId="56F7E247" w14:textId="623F9811">
            <w:pPr>
              <w:jc w:val="right"/>
              <w:rPr>
                <w:rFonts w:ascii="Arial" w:hAnsi="Arial" w:cs="Arial"/>
                <w:b/>
                <w:bCs/>
                <w:sz w:val="18"/>
                <w:szCs w:val="18"/>
              </w:rPr>
            </w:pPr>
            <w:r w:rsidRPr="00E60C56">
              <w:rPr>
                <w:rFonts w:ascii="Arial" w:hAnsi="Arial" w:cs="Arial"/>
                <w:b/>
                <w:bCs/>
                <w:sz w:val="18"/>
                <w:szCs w:val="18"/>
              </w:rPr>
              <w:t xml:space="preserve">$7,506,787 </w:t>
            </w:r>
          </w:p>
        </w:tc>
        <w:tc>
          <w:tcPr>
            <w:tcW w:w="1255" w:type="dxa"/>
            <w:tcMar>
              <w:top w:w="58" w:type="dxa"/>
              <w:left w:w="115" w:type="dxa"/>
              <w:bottom w:w="58" w:type="dxa"/>
              <w:right w:w="115" w:type="dxa"/>
            </w:tcMar>
            <w:vAlign w:val="bottom"/>
          </w:tcPr>
          <w:p w:rsidRPr="00853D61" w:rsidR="00B34F6D" w:rsidP="00B34F6D" w:rsidRDefault="00B34F6D" w14:paraId="7EB0AB69" w14:textId="3C341FFB">
            <w:pPr>
              <w:jc w:val="right"/>
              <w:rPr>
                <w:rFonts w:ascii="Arial" w:hAnsi="Arial" w:cs="Arial"/>
                <w:b/>
                <w:bCs/>
                <w:sz w:val="18"/>
                <w:szCs w:val="18"/>
              </w:rPr>
            </w:pPr>
            <w:r w:rsidRPr="00E60C56">
              <w:rPr>
                <w:rFonts w:ascii="Arial" w:hAnsi="Arial" w:cs="Arial"/>
                <w:b/>
                <w:bCs/>
                <w:sz w:val="18"/>
                <w:szCs w:val="18"/>
              </w:rPr>
              <w:t xml:space="preserve">$0 </w:t>
            </w:r>
          </w:p>
        </w:tc>
        <w:tc>
          <w:tcPr>
            <w:tcW w:w="1256" w:type="dxa"/>
            <w:tcMar>
              <w:top w:w="58" w:type="dxa"/>
              <w:left w:w="115" w:type="dxa"/>
              <w:bottom w:w="58" w:type="dxa"/>
              <w:right w:w="115" w:type="dxa"/>
            </w:tcMar>
            <w:vAlign w:val="bottom"/>
          </w:tcPr>
          <w:p w:rsidRPr="00853D61" w:rsidR="00B34F6D" w:rsidP="00B34F6D" w:rsidRDefault="00B34F6D" w14:paraId="5AACD161" w14:textId="5BD37EBA">
            <w:pPr>
              <w:jc w:val="right"/>
              <w:rPr>
                <w:rFonts w:ascii="Arial" w:hAnsi="Arial" w:cs="Arial"/>
                <w:b/>
                <w:bCs/>
                <w:sz w:val="18"/>
                <w:szCs w:val="18"/>
              </w:rPr>
            </w:pPr>
            <w:r w:rsidRPr="00E60C56">
              <w:rPr>
                <w:rFonts w:ascii="Arial" w:hAnsi="Arial" w:cs="Arial"/>
                <w:b/>
                <w:bCs/>
                <w:sz w:val="18"/>
                <w:szCs w:val="18"/>
              </w:rPr>
              <w:t xml:space="preserve">$7,506,787 </w:t>
            </w:r>
          </w:p>
        </w:tc>
        <w:tc>
          <w:tcPr>
            <w:tcW w:w="1255" w:type="dxa"/>
            <w:vAlign w:val="bottom"/>
          </w:tcPr>
          <w:p w:rsidRPr="00853D61" w:rsidR="00B34F6D" w:rsidP="00B34F6D" w:rsidRDefault="00B34F6D" w14:paraId="32E9685B" w14:textId="47C17F28">
            <w:pPr>
              <w:jc w:val="right"/>
              <w:rPr>
                <w:rFonts w:ascii="Arial" w:hAnsi="Arial" w:cs="Arial"/>
                <w:b/>
                <w:bCs/>
                <w:sz w:val="18"/>
                <w:szCs w:val="18"/>
              </w:rPr>
            </w:pPr>
            <w:r w:rsidRPr="00E60C56">
              <w:rPr>
                <w:rFonts w:ascii="Arial" w:hAnsi="Arial" w:cs="Arial"/>
                <w:b/>
                <w:bCs/>
                <w:sz w:val="18"/>
                <w:szCs w:val="18"/>
              </w:rPr>
              <w:t>111,423.1</w:t>
            </w:r>
          </w:p>
        </w:tc>
        <w:tc>
          <w:tcPr>
            <w:tcW w:w="1256" w:type="dxa"/>
            <w:vAlign w:val="bottom"/>
          </w:tcPr>
          <w:p w:rsidRPr="00853D61" w:rsidR="00B34F6D" w:rsidP="00B34F6D" w:rsidRDefault="00B34F6D" w14:paraId="3F553709" w14:textId="2E320E84">
            <w:pPr>
              <w:jc w:val="right"/>
              <w:rPr>
                <w:rFonts w:ascii="Arial" w:hAnsi="Arial" w:cs="Arial"/>
                <w:b/>
                <w:bCs/>
                <w:sz w:val="18"/>
                <w:szCs w:val="18"/>
              </w:rPr>
            </w:pPr>
            <w:r w:rsidRPr="00E60C56">
              <w:rPr>
                <w:rFonts w:ascii="Arial" w:hAnsi="Arial" w:cs="Arial"/>
                <w:b/>
                <w:bCs/>
                <w:sz w:val="18"/>
                <w:szCs w:val="18"/>
              </w:rPr>
              <w:t>1.47</w:t>
            </w:r>
          </w:p>
        </w:tc>
        <w:tc>
          <w:tcPr>
            <w:tcW w:w="1256" w:type="dxa"/>
            <w:vAlign w:val="bottom"/>
          </w:tcPr>
          <w:p w:rsidRPr="00853D61" w:rsidR="00B34F6D" w:rsidP="00B34F6D" w:rsidRDefault="00B34F6D" w14:paraId="432D3527" w14:textId="76026148">
            <w:pPr>
              <w:jc w:val="right"/>
              <w:rPr>
                <w:rFonts w:ascii="Arial" w:hAnsi="Arial" w:cs="Arial"/>
                <w:b/>
                <w:bCs/>
                <w:sz w:val="18"/>
                <w:szCs w:val="18"/>
              </w:rPr>
            </w:pPr>
            <w:r w:rsidRPr="00E60C56">
              <w:rPr>
                <w:rFonts w:ascii="Arial" w:hAnsi="Arial" w:cs="Arial"/>
                <w:b/>
                <w:bCs/>
                <w:sz w:val="18"/>
                <w:szCs w:val="18"/>
              </w:rPr>
              <w:t xml:space="preserve">$67.37 </w:t>
            </w:r>
          </w:p>
        </w:tc>
      </w:tr>
      <w:tr w:rsidR="00B34F6D" w:rsidTr="00890F2F" w14:paraId="5ED0B9CE" w14:textId="77777777">
        <w:trPr>
          <w:jc w:val="center"/>
        </w:trPr>
        <w:tc>
          <w:tcPr>
            <w:tcW w:w="1831" w:type="dxa"/>
            <w:tcMar>
              <w:top w:w="58" w:type="dxa"/>
              <w:left w:w="115" w:type="dxa"/>
              <w:bottom w:w="58" w:type="dxa"/>
              <w:right w:w="115" w:type="dxa"/>
            </w:tcMar>
          </w:tcPr>
          <w:p w:rsidRPr="00697A01" w:rsidR="00B34F6D" w:rsidP="00B34F6D" w:rsidRDefault="00B34F6D" w14:paraId="60174E94" w14:textId="77777777">
            <w:pPr>
              <w:keepNext/>
              <w:keepLines/>
              <w:widowControl w:val="0"/>
              <w:tabs>
                <w:tab w:val="center" w:pos="4680"/>
              </w:tabs>
              <w:rPr>
                <w:rFonts w:ascii="Arial" w:hAnsi="Arial" w:cs="Arial"/>
                <w:sz w:val="18"/>
                <w:szCs w:val="18"/>
                <w:highlight w:val="yellow"/>
              </w:rPr>
            </w:pPr>
            <w:r w:rsidRPr="00226714">
              <w:rPr>
                <w:rFonts w:ascii="Arial" w:hAnsi="Arial" w:cs="Arial"/>
                <w:sz w:val="18"/>
                <w:szCs w:val="18"/>
              </w:rPr>
              <w:t>States as Respondents</w:t>
            </w:r>
          </w:p>
        </w:tc>
        <w:tc>
          <w:tcPr>
            <w:tcW w:w="1255" w:type="dxa"/>
            <w:tcMar>
              <w:top w:w="58" w:type="dxa"/>
              <w:left w:w="115" w:type="dxa"/>
              <w:bottom w:w="58" w:type="dxa"/>
              <w:right w:w="115" w:type="dxa"/>
            </w:tcMar>
            <w:vAlign w:val="bottom"/>
          </w:tcPr>
          <w:p w:rsidRPr="00853D61" w:rsidR="00B34F6D" w:rsidP="00B34F6D" w:rsidRDefault="00B34F6D" w14:paraId="792E7534" w14:textId="42D46A91">
            <w:pPr>
              <w:jc w:val="right"/>
              <w:rPr>
                <w:rFonts w:ascii="Arial" w:hAnsi="Arial" w:cs="Arial"/>
                <w:sz w:val="18"/>
                <w:szCs w:val="18"/>
              </w:rPr>
            </w:pPr>
            <w:r w:rsidRPr="00E60C56">
              <w:rPr>
                <w:rFonts w:ascii="Arial" w:hAnsi="Arial" w:cs="Arial"/>
                <w:sz w:val="18"/>
                <w:szCs w:val="18"/>
              </w:rPr>
              <w:t>66,936</w:t>
            </w:r>
          </w:p>
        </w:tc>
        <w:tc>
          <w:tcPr>
            <w:tcW w:w="1256" w:type="dxa"/>
            <w:tcMar>
              <w:top w:w="58" w:type="dxa"/>
              <w:left w:w="115" w:type="dxa"/>
              <w:bottom w:w="58" w:type="dxa"/>
              <w:right w:w="115" w:type="dxa"/>
            </w:tcMar>
            <w:vAlign w:val="bottom"/>
          </w:tcPr>
          <w:p w:rsidRPr="00853D61" w:rsidR="00B34F6D" w:rsidP="00B34F6D" w:rsidRDefault="00B34F6D" w14:paraId="06534C3F" w14:textId="78AC0364">
            <w:pPr>
              <w:jc w:val="right"/>
              <w:rPr>
                <w:rFonts w:ascii="Arial" w:hAnsi="Arial" w:cs="Arial"/>
                <w:sz w:val="18"/>
                <w:szCs w:val="18"/>
              </w:rPr>
            </w:pPr>
            <w:r w:rsidRPr="00E60C56">
              <w:rPr>
                <w:rFonts w:ascii="Arial" w:hAnsi="Arial" w:cs="Arial"/>
                <w:sz w:val="18"/>
                <w:szCs w:val="18"/>
              </w:rPr>
              <w:t xml:space="preserve">$3,073,678 </w:t>
            </w:r>
          </w:p>
        </w:tc>
        <w:tc>
          <w:tcPr>
            <w:tcW w:w="1255" w:type="dxa"/>
            <w:tcMar>
              <w:top w:w="58" w:type="dxa"/>
              <w:left w:w="115" w:type="dxa"/>
              <w:bottom w:w="58" w:type="dxa"/>
              <w:right w:w="115" w:type="dxa"/>
            </w:tcMar>
            <w:vAlign w:val="bottom"/>
          </w:tcPr>
          <w:p w:rsidRPr="00853D61" w:rsidR="00B34F6D" w:rsidP="00B34F6D" w:rsidRDefault="00B34F6D" w14:paraId="44A0C635" w14:textId="149D49E1">
            <w:pPr>
              <w:jc w:val="right"/>
              <w:rPr>
                <w:rFonts w:ascii="Arial" w:hAnsi="Arial" w:cs="Arial"/>
                <w:sz w:val="18"/>
                <w:szCs w:val="18"/>
              </w:rPr>
            </w:pPr>
            <w:r w:rsidRPr="00E60C56">
              <w:rPr>
                <w:rFonts w:ascii="Arial" w:hAnsi="Arial" w:cs="Arial"/>
                <w:sz w:val="18"/>
                <w:szCs w:val="18"/>
              </w:rPr>
              <w:t xml:space="preserve">$0 </w:t>
            </w:r>
          </w:p>
        </w:tc>
        <w:tc>
          <w:tcPr>
            <w:tcW w:w="1256" w:type="dxa"/>
            <w:tcMar>
              <w:top w:w="58" w:type="dxa"/>
              <w:left w:w="115" w:type="dxa"/>
              <w:bottom w:w="58" w:type="dxa"/>
              <w:right w:w="115" w:type="dxa"/>
            </w:tcMar>
            <w:vAlign w:val="bottom"/>
          </w:tcPr>
          <w:p w:rsidRPr="00853D61" w:rsidR="00B34F6D" w:rsidP="00B34F6D" w:rsidRDefault="00B34F6D" w14:paraId="66E0B75E" w14:textId="263CA860">
            <w:pPr>
              <w:jc w:val="right"/>
              <w:rPr>
                <w:rFonts w:ascii="Arial" w:hAnsi="Arial" w:cs="Arial"/>
                <w:sz w:val="18"/>
                <w:szCs w:val="18"/>
              </w:rPr>
            </w:pPr>
            <w:r w:rsidRPr="00E60C56">
              <w:rPr>
                <w:rFonts w:ascii="Arial" w:hAnsi="Arial" w:cs="Arial"/>
                <w:sz w:val="18"/>
                <w:szCs w:val="18"/>
              </w:rPr>
              <w:t xml:space="preserve">$3,073,678 </w:t>
            </w:r>
          </w:p>
        </w:tc>
        <w:tc>
          <w:tcPr>
            <w:tcW w:w="1255" w:type="dxa"/>
            <w:vAlign w:val="bottom"/>
          </w:tcPr>
          <w:p w:rsidRPr="00853D61" w:rsidR="00B34F6D" w:rsidP="00B34F6D" w:rsidRDefault="00B34F6D" w14:paraId="55E7825D" w14:textId="22A308EA">
            <w:pPr>
              <w:jc w:val="right"/>
              <w:rPr>
                <w:rFonts w:ascii="Arial" w:hAnsi="Arial" w:cs="Arial"/>
                <w:sz w:val="18"/>
                <w:szCs w:val="18"/>
              </w:rPr>
            </w:pPr>
            <w:r w:rsidRPr="00E60C56">
              <w:rPr>
                <w:rFonts w:ascii="Arial" w:hAnsi="Arial" w:cs="Arial"/>
                <w:sz w:val="18"/>
                <w:szCs w:val="18"/>
              </w:rPr>
              <w:t>767.0</w:t>
            </w:r>
          </w:p>
        </w:tc>
        <w:tc>
          <w:tcPr>
            <w:tcW w:w="1256" w:type="dxa"/>
            <w:vAlign w:val="bottom"/>
          </w:tcPr>
          <w:p w:rsidRPr="00853D61" w:rsidR="00B34F6D" w:rsidP="00B34F6D" w:rsidRDefault="00B34F6D" w14:paraId="2D81153C" w14:textId="1E9F7520">
            <w:pPr>
              <w:jc w:val="right"/>
              <w:rPr>
                <w:rFonts w:ascii="Arial" w:hAnsi="Arial" w:cs="Arial"/>
                <w:sz w:val="18"/>
                <w:szCs w:val="18"/>
              </w:rPr>
            </w:pPr>
            <w:r w:rsidRPr="00E60C56">
              <w:rPr>
                <w:rFonts w:ascii="Arial" w:hAnsi="Arial" w:cs="Arial"/>
                <w:sz w:val="18"/>
                <w:szCs w:val="18"/>
              </w:rPr>
              <w:t>87.27</w:t>
            </w:r>
          </w:p>
        </w:tc>
        <w:tc>
          <w:tcPr>
            <w:tcW w:w="1256" w:type="dxa"/>
            <w:vAlign w:val="bottom"/>
          </w:tcPr>
          <w:p w:rsidRPr="00853D61" w:rsidR="00B34F6D" w:rsidP="00B34F6D" w:rsidRDefault="00B34F6D" w14:paraId="4C186468" w14:textId="1DB93EFE">
            <w:pPr>
              <w:jc w:val="right"/>
              <w:rPr>
                <w:rFonts w:ascii="Arial" w:hAnsi="Arial" w:cs="Arial"/>
                <w:sz w:val="18"/>
                <w:szCs w:val="18"/>
              </w:rPr>
            </w:pPr>
            <w:r w:rsidRPr="00E60C56">
              <w:rPr>
                <w:rFonts w:ascii="Arial" w:hAnsi="Arial" w:cs="Arial"/>
                <w:sz w:val="18"/>
                <w:szCs w:val="18"/>
              </w:rPr>
              <w:t xml:space="preserve">$4,007.40 </w:t>
            </w:r>
          </w:p>
        </w:tc>
      </w:tr>
      <w:tr w:rsidR="00B34F6D" w:rsidTr="00B15016" w14:paraId="1ACF9F09" w14:textId="77777777">
        <w:trPr>
          <w:jc w:val="center"/>
        </w:trPr>
        <w:tc>
          <w:tcPr>
            <w:tcW w:w="1831" w:type="dxa"/>
            <w:tcBorders>
              <w:bottom w:val="single" w:color="auto" w:sz="4" w:space="0"/>
            </w:tcBorders>
            <w:tcMar>
              <w:top w:w="58" w:type="dxa"/>
              <w:left w:w="115" w:type="dxa"/>
              <w:bottom w:w="58" w:type="dxa"/>
              <w:right w:w="115" w:type="dxa"/>
            </w:tcMar>
          </w:tcPr>
          <w:p w:rsidRPr="00CB18A2" w:rsidR="00B34F6D" w:rsidP="00B34F6D" w:rsidRDefault="00B34F6D" w14:paraId="0874ED61" w14:textId="77777777">
            <w:pPr>
              <w:keepNext/>
              <w:keepLines/>
              <w:widowControl w:val="0"/>
              <w:tabs>
                <w:tab w:val="center" w:pos="4680"/>
              </w:tabs>
              <w:rPr>
                <w:rFonts w:ascii="Arial" w:hAnsi="Arial" w:cs="Arial"/>
                <w:b/>
                <w:sz w:val="18"/>
                <w:szCs w:val="18"/>
              </w:rPr>
            </w:pPr>
            <w:r w:rsidRPr="00CB18A2">
              <w:rPr>
                <w:rFonts w:ascii="Arial" w:hAnsi="Arial" w:cs="Arial"/>
                <w:b/>
                <w:sz w:val="18"/>
                <w:szCs w:val="18"/>
              </w:rPr>
              <w:t>TOTAL</w:t>
            </w:r>
          </w:p>
        </w:tc>
        <w:tc>
          <w:tcPr>
            <w:tcW w:w="1255" w:type="dxa"/>
            <w:tcBorders>
              <w:bottom w:val="single" w:color="auto" w:sz="4" w:space="0"/>
            </w:tcBorders>
            <w:tcMar>
              <w:top w:w="58" w:type="dxa"/>
              <w:left w:w="115" w:type="dxa"/>
              <w:bottom w:w="58" w:type="dxa"/>
              <w:right w:w="115" w:type="dxa"/>
            </w:tcMar>
            <w:vAlign w:val="bottom"/>
          </w:tcPr>
          <w:p w:rsidRPr="00853D61" w:rsidR="00B34F6D" w:rsidP="00B34F6D" w:rsidRDefault="00B34F6D" w14:paraId="08C3580A" w14:textId="62E0841B">
            <w:pPr>
              <w:jc w:val="right"/>
              <w:rPr>
                <w:rFonts w:ascii="Arial" w:hAnsi="Arial" w:cs="Arial"/>
                <w:b/>
                <w:bCs/>
                <w:sz w:val="18"/>
                <w:szCs w:val="18"/>
              </w:rPr>
            </w:pPr>
            <w:r w:rsidRPr="00E60C56">
              <w:rPr>
                <w:rFonts w:ascii="Arial" w:hAnsi="Arial" w:cs="Arial"/>
                <w:b/>
                <w:bCs/>
                <w:sz w:val="18"/>
                <w:szCs w:val="18"/>
              </w:rPr>
              <w:t>230,411</w:t>
            </w:r>
          </w:p>
        </w:tc>
        <w:tc>
          <w:tcPr>
            <w:tcW w:w="1256" w:type="dxa"/>
            <w:tcBorders>
              <w:bottom w:val="single" w:color="auto" w:sz="4" w:space="0"/>
            </w:tcBorders>
            <w:tcMar>
              <w:top w:w="58" w:type="dxa"/>
              <w:left w:w="115" w:type="dxa"/>
              <w:bottom w:w="58" w:type="dxa"/>
              <w:right w:w="115" w:type="dxa"/>
            </w:tcMar>
            <w:vAlign w:val="bottom"/>
          </w:tcPr>
          <w:p w:rsidRPr="00853D61" w:rsidR="00B34F6D" w:rsidP="00B34F6D" w:rsidRDefault="00B34F6D" w14:paraId="49153B25" w14:textId="56919278">
            <w:pPr>
              <w:jc w:val="right"/>
              <w:rPr>
                <w:rFonts w:ascii="Arial" w:hAnsi="Arial" w:cs="Arial"/>
                <w:b/>
                <w:bCs/>
                <w:sz w:val="18"/>
                <w:szCs w:val="18"/>
              </w:rPr>
            </w:pPr>
            <w:r w:rsidRPr="00E60C56">
              <w:rPr>
                <w:rFonts w:ascii="Arial" w:hAnsi="Arial" w:cs="Arial"/>
                <w:b/>
                <w:bCs/>
                <w:sz w:val="18"/>
                <w:szCs w:val="18"/>
              </w:rPr>
              <w:t xml:space="preserve">$10,580,465 </w:t>
            </w:r>
          </w:p>
        </w:tc>
        <w:tc>
          <w:tcPr>
            <w:tcW w:w="1255" w:type="dxa"/>
            <w:tcBorders>
              <w:bottom w:val="single" w:color="auto" w:sz="4" w:space="0"/>
            </w:tcBorders>
            <w:tcMar>
              <w:top w:w="58" w:type="dxa"/>
              <w:left w:w="115" w:type="dxa"/>
              <w:bottom w:w="58" w:type="dxa"/>
              <w:right w:w="115" w:type="dxa"/>
            </w:tcMar>
            <w:vAlign w:val="bottom"/>
          </w:tcPr>
          <w:p w:rsidRPr="00853D61" w:rsidR="00B34F6D" w:rsidP="00B34F6D" w:rsidRDefault="00B34F6D" w14:paraId="4E8AC72B" w14:textId="6A2C5E2A">
            <w:pPr>
              <w:jc w:val="right"/>
              <w:rPr>
                <w:rFonts w:ascii="Arial" w:hAnsi="Arial" w:cs="Arial"/>
                <w:b/>
                <w:bCs/>
                <w:sz w:val="18"/>
                <w:szCs w:val="18"/>
              </w:rPr>
            </w:pPr>
            <w:r w:rsidRPr="00E60C56">
              <w:rPr>
                <w:rFonts w:ascii="Arial" w:hAnsi="Arial" w:cs="Arial"/>
                <w:b/>
                <w:bCs/>
                <w:sz w:val="18"/>
                <w:szCs w:val="18"/>
              </w:rPr>
              <w:t xml:space="preserve">$0 </w:t>
            </w:r>
          </w:p>
        </w:tc>
        <w:tc>
          <w:tcPr>
            <w:tcW w:w="1256" w:type="dxa"/>
            <w:tcBorders>
              <w:bottom w:val="single" w:color="auto" w:sz="4" w:space="0"/>
            </w:tcBorders>
            <w:tcMar>
              <w:top w:w="58" w:type="dxa"/>
              <w:left w:w="115" w:type="dxa"/>
              <w:bottom w:w="58" w:type="dxa"/>
              <w:right w:w="115" w:type="dxa"/>
            </w:tcMar>
            <w:vAlign w:val="bottom"/>
          </w:tcPr>
          <w:p w:rsidRPr="00853D61" w:rsidR="00B34F6D" w:rsidP="00B34F6D" w:rsidRDefault="00B34F6D" w14:paraId="3D079676" w14:textId="0AD577B4">
            <w:pPr>
              <w:jc w:val="right"/>
              <w:rPr>
                <w:rFonts w:ascii="Arial" w:hAnsi="Arial" w:cs="Arial"/>
                <w:b/>
                <w:bCs/>
                <w:sz w:val="18"/>
                <w:szCs w:val="18"/>
              </w:rPr>
            </w:pPr>
            <w:r w:rsidRPr="00E60C56">
              <w:rPr>
                <w:rFonts w:ascii="Arial" w:hAnsi="Arial" w:cs="Arial"/>
                <w:b/>
                <w:bCs/>
                <w:sz w:val="18"/>
                <w:szCs w:val="18"/>
              </w:rPr>
              <w:t xml:space="preserve">$10,580,465 </w:t>
            </w:r>
          </w:p>
        </w:tc>
        <w:tc>
          <w:tcPr>
            <w:tcW w:w="1255" w:type="dxa"/>
            <w:tcBorders>
              <w:bottom w:val="single" w:color="auto" w:sz="4" w:space="0"/>
            </w:tcBorders>
            <w:vAlign w:val="bottom"/>
          </w:tcPr>
          <w:p w:rsidRPr="00853D61" w:rsidR="00B34F6D" w:rsidP="00B34F6D" w:rsidRDefault="00B34F6D" w14:paraId="6723FE89" w14:textId="3FA080CE">
            <w:pPr>
              <w:jc w:val="right"/>
              <w:rPr>
                <w:rFonts w:ascii="Arial" w:hAnsi="Arial" w:cs="Arial"/>
                <w:b/>
                <w:bCs/>
                <w:sz w:val="18"/>
                <w:szCs w:val="18"/>
              </w:rPr>
            </w:pPr>
            <w:r w:rsidRPr="00E60C56">
              <w:rPr>
                <w:rFonts w:ascii="Arial" w:hAnsi="Arial" w:cs="Arial"/>
                <w:b/>
                <w:bCs/>
                <w:sz w:val="18"/>
                <w:szCs w:val="18"/>
              </w:rPr>
              <w:t>112,190.1</w:t>
            </w:r>
          </w:p>
        </w:tc>
        <w:tc>
          <w:tcPr>
            <w:tcW w:w="1256" w:type="dxa"/>
            <w:tcBorders>
              <w:bottom w:val="single" w:color="auto" w:sz="4" w:space="0"/>
            </w:tcBorders>
            <w:vAlign w:val="bottom"/>
          </w:tcPr>
          <w:p w:rsidRPr="00853D61" w:rsidR="00B34F6D" w:rsidP="00B34F6D" w:rsidRDefault="00B34F6D" w14:paraId="6AE8CD85" w14:textId="685373BF">
            <w:pPr>
              <w:jc w:val="right"/>
              <w:rPr>
                <w:rFonts w:ascii="Arial" w:hAnsi="Arial" w:cs="Arial"/>
                <w:b/>
                <w:bCs/>
                <w:sz w:val="18"/>
                <w:szCs w:val="18"/>
              </w:rPr>
            </w:pPr>
            <w:r w:rsidRPr="00E60C56">
              <w:rPr>
                <w:rFonts w:ascii="Arial" w:hAnsi="Arial" w:cs="Arial"/>
                <w:b/>
                <w:bCs/>
                <w:sz w:val="18"/>
                <w:szCs w:val="18"/>
              </w:rPr>
              <w:t>2.05</w:t>
            </w:r>
          </w:p>
        </w:tc>
        <w:tc>
          <w:tcPr>
            <w:tcW w:w="1256" w:type="dxa"/>
            <w:tcBorders>
              <w:bottom w:val="single" w:color="auto" w:sz="4" w:space="0"/>
            </w:tcBorders>
            <w:vAlign w:val="bottom"/>
          </w:tcPr>
          <w:p w:rsidRPr="00853D61" w:rsidR="00B34F6D" w:rsidP="00B34F6D" w:rsidRDefault="00B34F6D" w14:paraId="00215BE9" w14:textId="750FB127">
            <w:pPr>
              <w:jc w:val="right"/>
              <w:rPr>
                <w:rFonts w:ascii="Arial" w:hAnsi="Arial" w:cs="Arial"/>
                <w:b/>
                <w:bCs/>
                <w:sz w:val="18"/>
                <w:szCs w:val="18"/>
              </w:rPr>
            </w:pPr>
            <w:r w:rsidRPr="00E60C56">
              <w:rPr>
                <w:rFonts w:ascii="Arial" w:hAnsi="Arial" w:cs="Arial"/>
                <w:b/>
                <w:bCs/>
                <w:sz w:val="18"/>
                <w:szCs w:val="18"/>
              </w:rPr>
              <w:t xml:space="preserve">$94.31 </w:t>
            </w:r>
          </w:p>
        </w:tc>
      </w:tr>
      <w:tr w:rsidR="00B34F6D" w:rsidTr="00B15016" w14:paraId="5625D641" w14:textId="77777777">
        <w:trPr>
          <w:jc w:val="center"/>
        </w:trPr>
        <w:tc>
          <w:tcPr>
            <w:tcW w:w="10620" w:type="dxa"/>
            <w:gridSpan w:val="8"/>
            <w:tcBorders>
              <w:left w:val="nil"/>
              <w:bottom w:val="nil"/>
              <w:right w:val="nil"/>
            </w:tcBorders>
            <w:tcMar>
              <w:top w:w="58" w:type="dxa"/>
              <w:left w:w="115" w:type="dxa"/>
              <w:bottom w:w="58" w:type="dxa"/>
              <w:right w:w="115" w:type="dxa"/>
            </w:tcMar>
          </w:tcPr>
          <w:p w:rsidRPr="00292D0E" w:rsidR="00B34F6D" w:rsidP="00B34F6D" w:rsidRDefault="00B34F6D" w14:paraId="2A14E840" w14:textId="77777777">
            <w:pPr>
              <w:rPr>
                <w:rFonts w:ascii="Arial" w:hAnsi="Arial" w:cs="Arial"/>
                <w:bCs/>
                <w:sz w:val="18"/>
                <w:szCs w:val="18"/>
              </w:rPr>
            </w:pPr>
            <w:r w:rsidRPr="00292D0E">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w:t>
            </w:r>
            <w:r w:rsidRPr="00292D0E">
              <w:rPr>
                <w:rFonts w:ascii="Arial" w:hAnsi="Arial" w:cs="Arial"/>
                <w:bCs/>
                <w:sz w:val="18"/>
                <w:szCs w:val="18"/>
              </w:rPr>
              <w:t>due to rounding.</w:t>
            </w:r>
          </w:p>
          <w:p w:rsidRPr="00322B2D" w:rsidR="00B34F6D" w:rsidP="00B34F6D" w:rsidRDefault="00B34F6D" w14:paraId="7F1EA827" w14:textId="77777777">
            <w:pPr>
              <w:rPr>
                <w:rFonts w:ascii="Arial" w:hAnsi="Arial" w:cs="Arial"/>
                <w:b/>
                <w:bCs/>
                <w:sz w:val="18"/>
                <w:szCs w:val="18"/>
              </w:rPr>
            </w:pPr>
          </w:p>
        </w:tc>
      </w:tr>
    </w:tbl>
    <w:p w:rsidR="00C25838" w:rsidRDefault="00C25838" w14:paraId="04995FA6" w14:textId="37DAAB60">
      <w:pPr>
        <w:keepNext/>
        <w:keepLines/>
        <w:widowControl w:val="0"/>
        <w:tabs>
          <w:tab w:val="center" w:pos="4726"/>
        </w:tabs>
      </w:pPr>
    </w:p>
    <w:tbl>
      <w:tblPr>
        <w:tblW w:w="9393" w:type="dxa"/>
        <w:tblInd w:w="-5" w:type="dxa"/>
        <w:tblLook w:val="04A0" w:firstRow="1" w:lastRow="0" w:firstColumn="1" w:lastColumn="0" w:noHBand="0" w:noVBand="1"/>
      </w:tblPr>
      <w:tblGrid>
        <w:gridCol w:w="5240"/>
        <w:gridCol w:w="1420"/>
        <w:gridCol w:w="1380"/>
        <w:gridCol w:w="1341"/>
        <w:gridCol w:w="12"/>
      </w:tblGrid>
      <w:tr w:rsidRPr="00BE4FDF" w:rsidR="000024C4" w:rsidTr="00605389" w14:paraId="7449D9BB" w14:textId="77777777">
        <w:trPr>
          <w:trHeight w:val="710"/>
        </w:trPr>
        <w:tc>
          <w:tcPr>
            <w:tcW w:w="9393" w:type="dxa"/>
            <w:gridSpan w:val="5"/>
            <w:tcBorders>
              <w:bottom w:val="single" w:color="000000" w:sz="4" w:space="0"/>
            </w:tcBorders>
            <w:shd w:val="clear" w:color="auto" w:fill="auto"/>
            <w:noWrap/>
            <w:vAlign w:val="bottom"/>
          </w:tcPr>
          <w:p w:rsidRPr="000024C4" w:rsidR="000024C4" w:rsidP="000024C4" w:rsidRDefault="000024C4" w14:paraId="5F8825C7" w14:textId="77777777">
            <w:pPr>
              <w:keepNext/>
              <w:keepLines/>
              <w:jc w:val="center"/>
              <w:rPr>
                <w:rFonts w:ascii="Arial" w:hAnsi="Arial" w:cs="Arial"/>
                <w:b/>
              </w:rPr>
            </w:pPr>
            <w:r w:rsidRPr="000024C4">
              <w:rPr>
                <w:rFonts w:ascii="Arial" w:hAnsi="Arial" w:cs="Arial"/>
                <w:b/>
              </w:rPr>
              <w:t>Exhibit 6-4: Annual Reporting Burden by Form (Primacy States)</w:t>
            </w:r>
          </w:p>
          <w:p w:rsidRPr="00072893" w:rsidR="000024C4" w:rsidP="00A16BCB" w:rsidRDefault="00926C92" w14:paraId="051E3E54" w14:textId="1F5DE42F">
            <w:pPr>
              <w:keepNext/>
              <w:keepLines/>
              <w:spacing w:after="60"/>
              <w:jc w:val="center"/>
              <w:rPr>
                <w:rFonts w:asciiTheme="minorHAnsi" w:hAnsiTheme="minorHAnsi" w:eastAsiaTheme="minorHAnsi" w:cstheme="minorBidi"/>
                <w:b/>
                <w:sz w:val="22"/>
                <w:szCs w:val="22"/>
              </w:rPr>
            </w:pPr>
            <w:r>
              <w:rPr>
                <w:rFonts w:ascii="Arial" w:hAnsi="Arial" w:cs="Arial"/>
                <w:b/>
              </w:rPr>
              <w:t>2022-2024</w:t>
            </w:r>
          </w:p>
        </w:tc>
      </w:tr>
      <w:tr w:rsidRPr="00BE4FDF" w:rsidR="000024C4" w:rsidTr="007E390B" w14:paraId="5B0204FD" w14:textId="77777777">
        <w:trPr>
          <w:gridAfter w:val="1"/>
          <w:wAfter w:w="12" w:type="dxa"/>
          <w:trHeight w:val="494"/>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rsidRPr="00072893" w:rsidR="000024C4" w:rsidP="007E390B" w:rsidRDefault="000024C4" w14:paraId="5032C422" w14:textId="77777777">
            <w:pPr>
              <w:keepNext/>
              <w:keepLines/>
              <w:jc w:val="center"/>
              <w:rPr>
                <w:rFonts w:ascii="Arial" w:hAnsi="Arial" w:cs="Arial"/>
                <w:b/>
                <w:bCs/>
                <w:sz w:val="18"/>
                <w:szCs w:val="18"/>
              </w:rPr>
            </w:pPr>
            <w:r>
              <w:rPr>
                <w:rFonts w:ascii="Arial" w:hAnsi="Arial" w:cs="Arial"/>
                <w:b/>
                <w:bCs/>
                <w:sz w:val="18"/>
                <w:szCs w:val="18"/>
              </w:rPr>
              <w:t>Form</w:t>
            </w:r>
          </w:p>
        </w:tc>
        <w:tc>
          <w:tcPr>
            <w:tcW w:w="1420" w:type="dxa"/>
            <w:tcBorders>
              <w:top w:val="single" w:color="000000" w:sz="4" w:space="0"/>
              <w:left w:val="nil"/>
              <w:bottom w:val="single" w:color="000000" w:sz="4" w:space="0"/>
              <w:right w:val="single" w:color="000000" w:sz="4" w:space="0"/>
            </w:tcBorders>
            <w:shd w:val="clear" w:color="auto" w:fill="auto"/>
            <w:vAlign w:val="bottom"/>
          </w:tcPr>
          <w:p w:rsidRPr="00072893" w:rsidR="000024C4" w:rsidP="000024C4" w:rsidRDefault="007E390B" w14:paraId="469B2717" w14:textId="7C8C9A59">
            <w:pPr>
              <w:keepNext/>
              <w:keepLines/>
              <w:jc w:val="center"/>
              <w:rPr>
                <w:rFonts w:ascii="Arial" w:hAnsi="Arial" w:cs="Arial"/>
                <w:b/>
                <w:bCs/>
                <w:sz w:val="18"/>
                <w:szCs w:val="18"/>
              </w:rPr>
            </w:pPr>
            <w:r>
              <w:rPr>
                <w:rFonts w:ascii="Arial" w:hAnsi="Arial" w:cs="Arial"/>
                <w:b/>
                <w:bCs/>
                <w:sz w:val="18"/>
                <w:szCs w:val="18"/>
              </w:rPr>
              <w:t>Unit b</w:t>
            </w:r>
            <w:r w:rsidRPr="00072893" w:rsidR="000024C4">
              <w:rPr>
                <w:rFonts w:ascii="Arial" w:hAnsi="Arial" w:cs="Arial"/>
                <w:b/>
                <w:bCs/>
                <w:sz w:val="18"/>
                <w:szCs w:val="18"/>
              </w:rPr>
              <w:t>urden</w:t>
            </w:r>
            <w:r w:rsidRPr="00BE4FDF" w:rsidR="000024C4">
              <w:rPr>
                <w:rFonts w:ascii="Arial" w:hAnsi="Arial" w:cs="Arial"/>
                <w:b/>
                <w:bCs/>
                <w:sz w:val="18"/>
                <w:szCs w:val="18"/>
              </w:rPr>
              <w:t>/ response</w:t>
            </w:r>
          </w:p>
        </w:tc>
        <w:tc>
          <w:tcPr>
            <w:tcW w:w="1380" w:type="dxa"/>
            <w:tcBorders>
              <w:top w:val="single" w:color="000000" w:sz="4" w:space="0"/>
              <w:left w:val="nil"/>
              <w:bottom w:val="single" w:color="000000" w:sz="4" w:space="0"/>
              <w:right w:val="single" w:color="000000" w:sz="4" w:space="0"/>
            </w:tcBorders>
            <w:shd w:val="clear" w:color="auto" w:fill="auto"/>
            <w:vAlign w:val="bottom"/>
          </w:tcPr>
          <w:p w:rsidRPr="00072893" w:rsidR="000024C4" w:rsidP="000024C4" w:rsidRDefault="007E390B" w14:paraId="493775EC" w14:textId="7799420A">
            <w:pPr>
              <w:keepNext/>
              <w:keepLines/>
              <w:jc w:val="center"/>
              <w:rPr>
                <w:rFonts w:ascii="Arial" w:hAnsi="Arial" w:cs="Arial"/>
                <w:b/>
                <w:bCs/>
                <w:sz w:val="18"/>
                <w:szCs w:val="18"/>
              </w:rPr>
            </w:pPr>
            <w:r>
              <w:rPr>
                <w:rFonts w:ascii="Arial" w:hAnsi="Arial" w:cs="Arial"/>
                <w:b/>
                <w:bCs/>
                <w:sz w:val="18"/>
                <w:szCs w:val="18"/>
              </w:rPr>
              <w:t>Number of r</w:t>
            </w:r>
            <w:r w:rsidRPr="00072893" w:rsidR="000024C4">
              <w:rPr>
                <w:rFonts w:ascii="Arial" w:hAnsi="Arial" w:cs="Arial"/>
                <w:b/>
                <w:bCs/>
                <w:sz w:val="18"/>
                <w:szCs w:val="18"/>
              </w:rPr>
              <w:t>esponses</w:t>
            </w:r>
          </w:p>
        </w:tc>
        <w:tc>
          <w:tcPr>
            <w:tcW w:w="1341" w:type="dxa"/>
            <w:tcBorders>
              <w:top w:val="single" w:color="000000" w:sz="4" w:space="0"/>
              <w:left w:val="nil"/>
              <w:bottom w:val="single" w:color="000000" w:sz="4" w:space="0"/>
              <w:right w:val="single" w:color="000000" w:sz="4" w:space="0"/>
            </w:tcBorders>
            <w:shd w:val="clear" w:color="auto" w:fill="auto"/>
            <w:vAlign w:val="bottom"/>
          </w:tcPr>
          <w:p w:rsidRPr="00072893" w:rsidR="000024C4" w:rsidP="000024C4" w:rsidRDefault="000024C4" w14:paraId="6FB3AD08" w14:textId="37E243CA">
            <w:pPr>
              <w:keepNext/>
              <w:keepLines/>
              <w:jc w:val="center"/>
              <w:rPr>
                <w:rFonts w:ascii="Arial" w:hAnsi="Arial" w:cs="Arial"/>
                <w:b/>
                <w:bCs/>
                <w:sz w:val="18"/>
                <w:szCs w:val="18"/>
              </w:rPr>
            </w:pPr>
            <w:r w:rsidRPr="00072893">
              <w:rPr>
                <w:rFonts w:ascii="Arial" w:hAnsi="Arial" w:cs="Arial"/>
                <w:b/>
                <w:bCs/>
                <w:sz w:val="18"/>
                <w:szCs w:val="18"/>
              </w:rPr>
              <w:t xml:space="preserve">Total </w:t>
            </w:r>
            <w:r w:rsidR="007E390B">
              <w:rPr>
                <w:rFonts w:ascii="Arial" w:hAnsi="Arial" w:cs="Arial"/>
                <w:b/>
                <w:bCs/>
                <w:sz w:val="18"/>
                <w:szCs w:val="18"/>
              </w:rPr>
              <w:t>b</w:t>
            </w:r>
            <w:r w:rsidRPr="00BE4FDF">
              <w:rPr>
                <w:rFonts w:ascii="Arial" w:hAnsi="Arial" w:cs="Arial"/>
                <w:b/>
                <w:bCs/>
                <w:sz w:val="18"/>
                <w:szCs w:val="18"/>
              </w:rPr>
              <w:t>urden</w:t>
            </w:r>
          </w:p>
        </w:tc>
      </w:tr>
      <w:tr w:rsidRPr="00BE4FDF" w:rsidR="000024C4" w:rsidTr="003A0EC7" w14:paraId="74CA9A77" w14:textId="77777777">
        <w:trPr>
          <w:gridAfter w:val="1"/>
          <w:wAfter w:w="12" w:type="dxa"/>
          <w:trHeight w:val="440"/>
        </w:trPr>
        <w:tc>
          <w:tcPr>
            <w:tcW w:w="5240" w:type="dxa"/>
            <w:tcBorders>
              <w:top w:val="nil"/>
              <w:left w:val="single" w:color="000000" w:sz="4" w:space="0"/>
              <w:bottom w:val="single" w:color="000000" w:sz="4" w:space="0"/>
              <w:right w:val="single" w:color="000000" w:sz="4" w:space="0"/>
            </w:tcBorders>
            <w:shd w:val="clear" w:color="auto" w:fill="auto"/>
            <w:vAlign w:val="center"/>
            <w:hideMark/>
          </w:tcPr>
          <w:p w:rsidRPr="00072893" w:rsidR="000024C4" w:rsidP="000024C4" w:rsidRDefault="000024C4" w14:paraId="77864C20" w14:textId="77777777">
            <w:pPr>
              <w:keepNext/>
              <w:keepLines/>
              <w:rPr>
                <w:rFonts w:ascii="Arial" w:hAnsi="Arial" w:cs="Arial"/>
                <w:sz w:val="18"/>
                <w:szCs w:val="18"/>
              </w:rPr>
            </w:pPr>
            <w:r w:rsidRPr="00072893">
              <w:rPr>
                <w:rFonts w:ascii="Arial" w:hAnsi="Arial" w:cs="Arial"/>
                <w:sz w:val="18"/>
                <w:szCs w:val="18"/>
              </w:rPr>
              <w:t>7520-1</w:t>
            </w:r>
            <w:r w:rsidRPr="00BE4FDF">
              <w:rPr>
                <w:rFonts w:ascii="Arial" w:hAnsi="Arial" w:cs="Arial"/>
                <w:sz w:val="18"/>
                <w:szCs w:val="18"/>
              </w:rPr>
              <w:t xml:space="preserve">: </w:t>
            </w:r>
            <w:r w:rsidRPr="00072893">
              <w:rPr>
                <w:rFonts w:ascii="Arial" w:hAnsi="Arial" w:cs="Arial"/>
                <w:sz w:val="18"/>
                <w:szCs w:val="18"/>
              </w:rPr>
              <w:t>Report on Permit Review and Issuance (Annual)</w:t>
            </w:r>
          </w:p>
        </w:tc>
        <w:tc>
          <w:tcPr>
            <w:tcW w:w="1420" w:type="dxa"/>
            <w:tcBorders>
              <w:top w:val="nil"/>
              <w:left w:val="nil"/>
              <w:bottom w:val="single" w:color="000000" w:sz="4" w:space="0"/>
              <w:right w:val="single" w:color="000000" w:sz="4" w:space="0"/>
            </w:tcBorders>
            <w:shd w:val="clear" w:color="000000" w:fill="FFFFFF"/>
            <w:noWrap/>
            <w:vAlign w:val="center"/>
            <w:hideMark/>
          </w:tcPr>
          <w:p w:rsidRPr="00072893" w:rsidR="000024C4" w:rsidP="000024C4" w:rsidRDefault="000024C4" w14:paraId="76236F3E" w14:textId="77777777">
            <w:pPr>
              <w:keepNext/>
              <w:keepLines/>
              <w:jc w:val="center"/>
              <w:rPr>
                <w:rFonts w:ascii="Arial" w:hAnsi="Arial" w:cs="Arial"/>
                <w:sz w:val="18"/>
                <w:szCs w:val="18"/>
              </w:rPr>
            </w:pPr>
            <w:r w:rsidRPr="00072893">
              <w:rPr>
                <w:rFonts w:ascii="Arial" w:hAnsi="Arial" w:cs="Arial"/>
                <w:sz w:val="18"/>
                <w:szCs w:val="18"/>
              </w:rPr>
              <w:t>4.5</w:t>
            </w:r>
          </w:p>
        </w:tc>
        <w:tc>
          <w:tcPr>
            <w:tcW w:w="1380" w:type="dxa"/>
            <w:tcBorders>
              <w:top w:val="nil"/>
              <w:left w:val="nil"/>
              <w:bottom w:val="single" w:color="000000" w:sz="4" w:space="0"/>
              <w:right w:val="single" w:color="000000" w:sz="4" w:space="0"/>
            </w:tcBorders>
            <w:shd w:val="clear" w:color="auto" w:fill="auto"/>
            <w:noWrap/>
            <w:vAlign w:val="center"/>
            <w:hideMark/>
          </w:tcPr>
          <w:p w:rsidRPr="00072893" w:rsidR="000024C4" w:rsidP="000024C4" w:rsidRDefault="000024C4" w14:paraId="486F9509" w14:textId="77777777">
            <w:pPr>
              <w:keepNext/>
              <w:keepLines/>
              <w:jc w:val="center"/>
              <w:rPr>
                <w:rFonts w:ascii="Arial" w:hAnsi="Arial" w:cs="Arial"/>
                <w:sz w:val="18"/>
                <w:szCs w:val="18"/>
              </w:rPr>
            </w:pPr>
            <w:r w:rsidRPr="00072893">
              <w:rPr>
                <w:rFonts w:ascii="Arial" w:hAnsi="Arial" w:cs="Arial"/>
                <w:sz w:val="18"/>
                <w:szCs w:val="18"/>
              </w:rPr>
              <w:t>59</w:t>
            </w:r>
          </w:p>
        </w:tc>
        <w:tc>
          <w:tcPr>
            <w:tcW w:w="1341" w:type="dxa"/>
            <w:tcBorders>
              <w:top w:val="nil"/>
              <w:left w:val="nil"/>
              <w:bottom w:val="single" w:color="000000" w:sz="4" w:space="0"/>
              <w:right w:val="single" w:color="000000" w:sz="4" w:space="0"/>
            </w:tcBorders>
            <w:shd w:val="clear" w:color="auto" w:fill="auto"/>
            <w:noWrap/>
            <w:vAlign w:val="center"/>
            <w:hideMark/>
          </w:tcPr>
          <w:p w:rsidRPr="00072893" w:rsidR="000024C4" w:rsidP="000024C4" w:rsidRDefault="000024C4" w14:paraId="7BB54951" w14:textId="77777777">
            <w:pPr>
              <w:keepNext/>
              <w:keepLines/>
              <w:jc w:val="center"/>
              <w:rPr>
                <w:rFonts w:ascii="Arial" w:hAnsi="Arial" w:cs="Arial"/>
                <w:sz w:val="18"/>
                <w:szCs w:val="18"/>
              </w:rPr>
            </w:pPr>
            <w:r w:rsidRPr="00072893">
              <w:rPr>
                <w:rFonts w:ascii="Arial" w:hAnsi="Arial" w:cs="Arial"/>
                <w:sz w:val="18"/>
                <w:szCs w:val="18"/>
              </w:rPr>
              <w:t>266</w:t>
            </w:r>
          </w:p>
        </w:tc>
      </w:tr>
      <w:tr w:rsidRPr="00BE4FDF" w:rsidR="000024C4" w:rsidTr="003A0EC7" w14:paraId="6C4CE7AD" w14:textId="77777777">
        <w:trPr>
          <w:gridAfter w:val="1"/>
          <w:wAfter w:w="12" w:type="dxa"/>
          <w:trHeight w:val="467"/>
        </w:trPr>
        <w:tc>
          <w:tcPr>
            <w:tcW w:w="5240" w:type="dxa"/>
            <w:tcBorders>
              <w:top w:val="nil"/>
              <w:left w:val="single" w:color="000000" w:sz="4" w:space="0"/>
              <w:bottom w:val="single" w:color="000000" w:sz="4" w:space="0"/>
              <w:right w:val="single" w:color="000000" w:sz="4" w:space="0"/>
            </w:tcBorders>
            <w:shd w:val="clear" w:color="auto" w:fill="auto"/>
            <w:vAlign w:val="center"/>
            <w:hideMark/>
          </w:tcPr>
          <w:p w:rsidRPr="00072893" w:rsidR="000024C4" w:rsidP="000024C4" w:rsidRDefault="000024C4" w14:paraId="1B94B2C1" w14:textId="77777777">
            <w:pPr>
              <w:keepNext/>
              <w:keepLines/>
              <w:rPr>
                <w:rFonts w:ascii="Arial" w:hAnsi="Arial" w:cs="Arial"/>
                <w:sz w:val="18"/>
                <w:szCs w:val="18"/>
              </w:rPr>
            </w:pPr>
            <w:r w:rsidRPr="00072893">
              <w:rPr>
                <w:rFonts w:ascii="Arial" w:hAnsi="Arial" w:cs="Arial"/>
                <w:sz w:val="18"/>
                <w:szCs w:val="18"/>
              </w:rPr>
              <w:t>7520-2A</w:t>
            </w:r>
            <w:r w:rsidRPr="00BE4FDF">
              <w:rPr>
                <w:rFonts w:ascii="Arial" w:hAnsi="Arial" w:cs="Arial"/>
                <w:sz w:val="18"/>
                <w:szCs w:val="18"/>
              </w:rPr>
              <w:t xml:space="preserve">: </w:t>
            </w:r>
            <w:r w:rsidRPr="00072893">
              <w:rPr>
                <w:rFonts w:ascii="Arial" w:hAnsi="Arial" w:cs="Arial"/>
                <w:sz w:val="18"/>
                <w:szCs w:val="18"/>
              </w:rPr>
              <w:t>Report on Compliance Evaluation (Semi-annual)</w:t>
            </w:r>
          </w:p>
        </w:tc>
        <w:tc>
          <w:tcPr>
            <w:tcW w:w="1420" w:type="dxa"/>
            <w:tcBorders>
              <w:top w:val="nil"/>
              <w:left w:val="nil"/>
              <w:bottom w:val="single" w:color="000000" w:sz="4" w:space="0"/>
              <w:right w:val="single" w:color="000000" w:sz="4" w:space="0"/>
            </w:tcBorders>
            <w:shd w:val="clear" w:color="000000" w:fill="FFFFFF"/>
            <w:noWrap/>
            <w:vAlign w:val="center"/>
            <w:hideMark/>
          </w:tcPr>
          <w:p w:rsidRPr="00072893" w:rsidR="000024C4" w:rsidP="000024C4" w:rsidRDefault="000024C4" w14:paraId="329A62C4" w14:textId="77777777">
            <w:pPr>
              <w:keepNext/>
              <w:keepLines/>
              <w:jc w:val="center"/>
              <w:rPr>
                <w:rFonts w:ascii="Arial" w:hAnsi="Arial" w:cs="Arial"/>
                <w:sz w:val="18"/>
                <w:szCs w:val="18"/>
              </w:rPr>
            </w:pPr>
            <w:r w:rsidRPr="00072893">
              <w:rPr>
                <w:rFonts w:ascii="Arial" w:hAnsi="Arial" w:cs="Arial"/>
                <w:sz w:val="18"/>
                <w:szCs w:val="18"/>
              </w:rPr>
              <w:t>6.0</w:t>
            </w:r>
          </w:p>
        </w:tc>
        <w:tc>
          <w:tcPr>
            <w:tcW w:w="1380" w:type="dxa"/>
            <w:tcBorders>
              <w:top w:val="nil"/>
              <w:left w:val="nil"/>
              <w:bottom w:val="single" w:color="000000" w:sz="4" w:space="0"/>
              <w:right w:val="single" w:color="000000" w:sz="4" w:space="0"/>
            </w:tcBorders>
            <w:shd w:val="clear" w:color="auto" w:fill="auto"/>
            <w:noWrap/>
            <w:vAlign w:val="center"/>
            <w:hideMark/>
          </w:tcPr>
          <w:p w:rsidRPr="00072893" w:rsidR="000024C4" w:rsidP="000024C4" w:rsidRDefault="000024C4" w14:paraId="67CBCC12" w14:textId="77777777">
            <w:pPr>
              <w:keepNext/>
              <w:keepLines/>
              <w:jc w:val="center"/>
              <w:rPr>
                <w:rFonts w:ascii="Arial" w:hAnsi="Arial" w:cs="Arial"/>
                <w:sz w:val="18"/>
                <w:szCs w:val="18"/>
              </w:rPr>
            </w:pPr>
            <w:r w:rsidRPr="00072893">
              <w:rPr>
                <w:rFonts w:ascii="Arial" w:hAnsi="Arial" w:cs="Arial"/>
                <w:sz w:val="18"/>
                <w:szCs w:val="18"/>
              </w:rPr>
              <w:t>118</w:t>
            </w:r>
          </w:p>
        </w:tc>
        <w:tc>
          <w:tcPr>
            <w:tcW w:w="1341" w:type="dxa"/>
            <w:tcBorders>
              <w:top w:val="nil"/>
              <w:left w:val="nil"/>
              <w:bottom w:val="single" w:color="000000" w:sz="4" w:space="0"/>
              <w:right w:val="single" w:color="000000" w:sz="4" w:space="0"/>
            </w:tcBorders>
            <w:shd w:val="clear" w:color="auto" w:fill="auto"/>
            <w:noWrap/>
            <w:vAlign w:val="center"/>
            <w:hideMark/>
          </w:tcPr>
          <w:p w:rsidRPr="00072893" w:rsidR="000024C4" w:rsidP="000024C4" w:rsidRDefault="000024C4" w14:paraId="1060CAB3" w14:textId="77777777">
            <w:pPr>
              <w:keepNext/>
              <w:keepLines/>
              <w:jc w:val="center"/>
              <w:rPr>
                <w:rFonts w:ascii="Arial" w:hAnsi="Arial" w:cs="Arial"/>
                <w:sz w:val="18"/>
                <w:szCs w:val="18"/>
              </w:rPr>
            </w:pPr>
            <w:r w:rsidRPr="00072893">
              <w:rPr>
                <w:rFonts w:ascii="Arial" w:hAnsi="Arial" w:cs="Arial"/>
                <w:sz w:val="18"/>
                <w:szCs w:val="18"/>
              </w:rPr>
              <w:t>708</w:t>
            </w:r>
          </w:p>
        </w:tc>
      </w:tr>
      <w:tr w:rsidRPr="00BE4FDF" w:rsidR="000024C4" w:rsidTr="003A0EC7" w14:paraId="4AE360A9" w14:textId="77777777">
        <w:trPr>
          <w:gridAfter w:val="1"/>
          <w:wAfter w:w="12" w:type="dxa"/>
          <w:trHeight w:val="585"/>
        </w:trPr>
        <w:tc>
          <w:tcPr>
            <w:tcW w:w="5240" w:type="dxa"/>
            <w:tcBorders>
              <w:top w:val="nil"/>
              <w:left w:val="single" w:color="000000" w:sz="4" w:space="0"/>
              <w:bottom w:val="single" w:color="000000" w:sz="4" w:space="0"/>
              <w:right w:val="single" w:color="000000" w:sz="4" w:space="0"/>
            </w:tcBorders>
            <w:shd w:val="clear" w:color="auto" w:fill="auto"/>
            <w:vAlign w:val="center"/>
            <w:hideMark/>
          </w:tcPr>
          <w:p w:rsidRPr="00072893" w:rsidR="000024C4" w:rsidP="000024C4" w:rsidRDefault="000024C4" w14:paraId="5D60CFF5" w14:textId="73C0BAAE">
            <w:pPr>
              <w:keepNext/>
              <w:keepLines/>
              <w:rPr>
                <w:rFonts w:ascii="Arial" w:hAnsi="Arial" w:cs="Arial"/>
                <w:sz w:val="18"/>
                <w:szCs w:val="18"/>
              </w:rPr>
            </w:pPr>
            <w:r w:rsidRPr="00072893">
              <w:rPr>
                <w:rFonts w:ascii="Arial" w:hAnsi="Arial" w:cs="Arial"/>
                <w:sz w:val="18"/>
                <w:szCs w:val="18"/>
              </w:rPr>
              <w:t>7520-2B</w:t>
            </w:r>
            <w:r w:rsidRPr="00BE4FDF">
              <w:rPr>
                <w:rFonts w:ascii="Arial" w:hAnsi="Arial" w:cs="Arial"/>
                <w:sz w:val="18"/>
                <w:szCs w:val="18"/>
              </w:rPr>
              <w:t xml:space="preserve">: </w:t>
            </w:r>
            <w:r w:rsidRPr="00072893">
              <w:rPr>
                <w:rFonts w:ascii="Arial" w:hAnsi="Arial" w:cs="Arial"/>
                <w:sz w:val="18"/>
                <w:szCs w:val="18"/>
              </w:rPr>
              <w:t>Report on Compliance Evaluation for Significant Non</w:t>
            </w:r>
            <w:r w:rsidR="00A16BCB">
              <w:rPr>
                <w:rFonts w:ascii="Arial" w:hAnsi="Arial" w:cs="Arial"/>
                <w:sz w:val="18"/>
                <w:szCs w:val="18"/>
              </w:rPr>
              <w:t>c</w:t>
            </w:r>
            <w:r w:rsidRPr="00072893">
              <w:rPr>
                <w:rFonts w:ascii="Arial" w:hAnsi="Arial" w:cs="Arial"/>
                <w:sz w:val="18"/>
                <w:szCs w:val="18"/>
              </w:rPr>
              <w:t>ompliance (Semi-annual)</w:t>
            </w:r>
          </w:p>
        </w:tc>
        <w:tc>
          <w:tcPr>
            <w:tcW w:w="1420" w:type="dxa"/>
            <w:tcBorders>
              <w:top w:val="nil"/>
              <w:left w:val="nil"/>
              <w:bottom w:val="single" w:color="000000" w:sz="4" w:space="0"/>
              <w:right w:val="single" w:color="000000" w:sz="4" w:space="0"/>
            </w:tcBorders>
            <w:shd w:val="clear" w:color="000000" w:fill="FFFFFF"/>
            <w:noWrap/>
            <w:vAlign w:val="center"/>
            <w:hideMark/>
          </w:tcPr>
          <w:p w:rsidRPr="00072893" w:rsidR="000024C4" w:rsidP="000024C4" w:rsidRDefault="000024C4" w14:paraId="6616CA6F" w14:textId="77777777">
            <w:pPr>
              <w:keepNext/>
              <w:keepLines/>
              <w:jc w:val="center"/>
              <w:rPr>
                <w:rFonts w:ascii="Arial" w:hAnsi="Arial" w:cs="Arial"/>
                <w:sz w:val="18"/>
                <w:szCs w:val="18"/>
              </w:rPr>
            </w:pPr>
            <w:r w:rsidRPr="00072893">
              <w:rPr>
                <w:rFonts w:ascii="Arial" w:hAnsi="Arial" w:cs="Arial"/>
                <w:sz w:val="18"/>
                <w:szCs w:val="18"/>
              </w:rPr>
              <w:t>5.5</w:t>
            </w:r>
          </w:p>
        </w:tc>
        <w:tc>
          <w:tcPr>
            <w:tcW w:w="1380" w:type="dxa"/>
            <w:tcBorders>
              <w:top w:val="nil"/>
              <w:left w:val="nil"/>
              <w:bottom w:val="single" w:color="000000" w:sz="4" w:space="0"/>
              <w:right w:val="single" w:color="000000" w:sz="4" w:space="0"/>
            </w:tcBorders>
            <w:shd w:val="clear" w:color="auto" w:fill="auto"/>
            <w:noWrap/>
            <w:vAlign w:val="center"/>
            <w:hideMark/>
          </w:tcPr>
          <w:p w:rsidRPr="00072893" w:rsidR="000024C4" w:rsidP="000024C4" w:rsidRDefault="000024C4" w14:paraId="1360FBC3" w14:textId="77777777">
            <w:pPr>
              <w:keepNext/>
              <w:keepLines/>
              <w:jc w:val="center"/>
              <w:rPr>
                <w:rFonts w:ascii="Arial" w:hAnsi="Arial" w:cs="Arial"/>
                <w:sz w:val="18"/>
                <w:szCs w:val="18"/>
              </w:rPr>
            </w:pPr>
            <w:r w:rsidRPr="00072893">
              <w:rPr>
                <w:rFonts w:ascii="Arial" w:hAnsi="Arial" w:cs="Arial"/>
                <w:sz w:val="18"/>
                <w:szCs w:val="18"/>
              </w:rPr>
              <w:t>118</w:t>
            </w:r>
          </w:p>
        </w:tc>
        <w:tc>
          <w:tcPr>
            <w:tcW w:w="1341" w:type="dxa"/>
            <w:tcBorders>
              <w:top w:val="nil"/>
              <w:left w:val="nil"/>
              <w:bottom w:val="single" w:color="000000" w:sz="4" w:space="0"/>
              <w:right w:val="single" w:color="000000" w:sz="4" w:space="0"/>
            </w:tcBorders>
            <w:shd w:val="clear" w:color="auto" w:fill="auto"/>
            <w:noWrap/>
            <w:vAlign w:val="center"/>
            <w:hideMark/>
          </w:tcPr>
          <w:p w:rsidRPr="00072893" w:rsidR="000024C4" w:rsidP="000024C4" w:rsidRDefault="000024C4" w14:paraId="0AA72FD9" w14:textId="77777777">
            <w:pPr>
              <w:keepNext/>
              <w:keepLines/>
              <w:jc w:val="center"/>
              <w:rPr>
                <w:rFonts w:ascii="Arial" w:hAnsi="Arial" w:cs="Arial"/>
                <w:sz w:val="18"/>
                <w:szCs w:val="18"/>
              </w:rPr>
            </w:pPr>
            <w:r w:rsidRPr="00072893">
              <w:rPr>
                <w:rFonts w:ascii="Arial" w:hAnsi="Arial" w:cs="Arial"/>
                <w:sz w:val="18"/>
                <w:szCs w:val="18"/>
              </w:rPr>
              <w:t>649</w:t>
            </w:r>
          </w:p>
        </w:tc>
      </w:tr>
      <w:tr w:rsidRPr="00BE4FDF" w:rsidR="000024C4" w:rsidTr="003A0EC7" w14:paraId="75A40D58" w14:textId="77777777">
        <w:trPr>
          <w:gridAfter w:val="1"/>
          <w:wAfter w:w="12" w:type="dxa"/>
          <w:trHeight w:val="612"/>
        </w:trPr>
        <w:tc>
          <w:tcPr>
            <w:tcW w:w="5240" w:type="dxa"/>
            <w:tcBorders>
              <w:top w:val="nil"/>
              <w:left w:val="single" w:color="000000" w:sz="4" w:space="0"/>
              <w:bottom w:val="single" w:color="000000" w:sz="4" w:space="0"/>
              <w:right w:val="single" w:color="000000" w:sz="4" w:space="0"/>
            </w:tcBorders>
            <w:shd w:val="clear" w:color="auto" w:fill="auto"/>
            <w:vAlign w:val="center"/>
            <w:hideMark/>
          </w:tcPr>
          <w:p w:rsidRPr="00072893" w:rsidR="000024C4" w:rsidP="000024C4" w:rsidRDefault="000024C4" w14:paraId="10002284" w14:textId="77777777">
            <w:pPr>
              <w:keepNext/>
              <w:keepLines/>
              <w:rPr>
                <w:rFonts w:ascii="Arial" w:hAnsi="Arial" w:cs="Arial"/>
                <w:sz w:val="18"/>
                <w:szCs w:val="18"/>
              </w:rPr>
            </w:pPr>
            <w:r w:rsidRPr="00072893">
              <w:rPr>
                <w:rFonts w:ascii="Arial" w:hAnsi="Arial" w:cs="Arial"/>
                <w:sz w:val="18"/>
                <w:szCs w:val="18"/>
              </w:rPr>
              <w:t>7520-3</w:t>
            </w:r>
            <w:r w:rsidRPr="00BE4FDF">
              <w:rPr>
                <w:rFonts w:ascii="Arial" w:hAnsi="Arial" w:cs="Arial"/>
                <w:sz w:val="18"/>
                <w:szCs w:val="18"/>
              </w:rPr>
              <w:t xml:space="preserve">: </w:t>
            </w:r>
            <w:r w:rsidRPr="00072893">
              <w:rPr>
                <w:rFonts w:ascii="Arial" w:hAnsi="Arial" w:cs="Arial"/>
                <w:sz w:val="18"/>
                <w:szCs w:val="18"/>
              </w:rPr>
              <w:t>Report on Mechanical Integrity Tests/Remedial Action (Annual)</w:t>
            </w:r>
          </w:p>
        </w:tc>
        <w:tc>
          <w:tcPr>
            <w:tcW w:w="1420" w:type="dxa"/>
            <w:tcBorders>
              <w:top w:val="nil"/>
              <w:left w:val="nil"/>
              <w:bottom w:val="single" w:color="000000" w:sz="4" w:space="0"/>
              <w:right w:val="single" w:color="000000" w:sz="4" w:space="0"/>
            </w:tcBorders>
            <w:shd w:val="clear" w:color="000000" w:fill="FFFFFF"/>
            <w:noWrap/>
            <w:vAlign w:val="center"/>
            <w:hideMark/>
          </w:tcPr>
          <w:p w:rsidRPr="00072893" w:rsidR="000024C4" w:rsidP="000024C4" w:rsidRDefault="000024C4" w14:paraId="7038E3BD" w14:textId="77777777">
            <w:pPr>
              <w:keepNext/>
              <w:keepLines/>
              <w:jc w:val="center"/>
              <w:rPr>
                <w:rFonts w:ascii="Arial" w:hAnsi="Arial" w:cs="Arial"/>
                <w:sz w:val="18"/>
                <w:szCs w:val="18"/>
              </w:rPr>
            </w:pPr>
            <w:r w:rsidRPr="00072893">
              <w:rPr>
                <w:rFonts w:ascii="Arial" w:hAnsi="Arial" w:cs="Arial"/>
                <w:sz w:val="18"/>
                <w:szCs w:val="18"/>
              </w:rPr>
              <w:t>5.0</w:t>
            </w:r>
          </w:p>
        </w:tc>
        <w:tc>
          <w:tcPr>
            <w:tcW w:w="1380" w:type="dxa"/>
            <w:tcBorders>
              <w:top w:val="nil"/>
              <w:left w:val="nil"/>
              <w:bottom w:val="single" w:color="000000" w:sz="4" w:space="0"/>
              <w:right w:val="single" w:color="000000" w:sz="4" w:space="0"/>
            </w:tcBorders>
            <w:shd w:val="clear" w:color="auto" w:fill="auto"/>
            <w:noWrap/>
            <w:vAlign w:val="center"/>
            <w:hideMark/>
          </w:tcPr>
          <w:p w:rsidRPr="00072893" w:rsidR="000024C4" w:rsidP="000024C4" w:rsidRDefault="000024C4" w14:paraId="5185B5EE" w14:textId="77777777">
            <w:pPr>
              <w:keepNext/>
              <w:keepLines/>
              <w:jc w:val="center"/>
              <w:rPr>
                <w:rFonts w:ascii="Arial" w:hAnsi="Arial" w:cs="Arial"/>
                <w:sz w:val="18"/>
                <w:szCs w:val="18"/>
              </w:rPr>
            </w:pPr>
            <w:r w:rsidRPr="00072893">
              <w:rPr>
                <w:rFonts w:ascii="Arial" w:hAnsi="Arial" w:cs="Arial"/>
                <w:sz w:val="18"/>
                <w:szCs w:val="18"/>
              </w:rPr>
              <w:t>59</w:t>
            </w:r>
          </w:p>
        </w:tc>
        <w:tc>
          <w:tcPr>
            <w:tcW w:w="1341" w:type="dxa"/>
            <w:tcBorders>
              <w:top w:val="nil"/>
              <w:left w:val="nil"/>
              <w:bottom w:val="single" w:color="000000" w:sz="4" w:space="0"/>
              <w:right w:val="single" w:color="000000" w:sz="4" w:space="0"/>
            </w:tcBorders>
            <w:shd w:val="clear" w:color="auto" w:fill="auto"/>
            <w:noWrap/>
            <w:vAlign w:val="center"/>
            <w:hideMark/>
          </w:tcPr>
          <w:p w:rsidRPr="00072893" w:rsidR="000024C4" w:rsidP="000024C4" w:rsidRDefault="000024C4" w14:paraId="11A15770" w14:textId="77777777">
            <w:pPr>
              <w:keepNext/>
              <w:keepLines/>
              <w:jc w:val="center"/>
              <w:rPr>
                <w:rFonts w:ascii="Arial" w:hAnsi="Arial" w:cs="Arial"/>
                <w:sz w:val="18"/>
                <w:szCs w:val="18"/>
              </w:rPr>
            </w:pPr>
            <w:r w:rsidRPr="00072893">
              <w:rPr>
                <w:rFonts w:ascii="Arial" w:hAnsi="Arial" w:cs="Arial"/>
                <w:sz w:val="18"/>
                <w:szCs w:val="18"/>
              </w:rPr>
              <w:t>295</w:t>
            </w:r>
          </w:p>
        </w:tc>
      </w:tr>
      <w:tr w:rsidRPr="00BE4FDF" w:rsidR="000024C4" w:rsidTr="003A0EC7" w14:paraId="26CC5259" w14:textId="77777777">
        <w:trPr>
          <w:gridAfter w:val="1"/>
          <w:wAfter w:w="12" w:type="dxa"/>
          <w:trHeight w:val="449"/>
        </w:trPr>
        <w:tc>
          <w:tcPr>
            <w:tcW w:w="5240" w:type="dxa"/>
            <w:tcBorders>
              <w:top w:val="nil"/>
              <w:left w:val="single" w:color="000000" w:sz="4" w:space="0"/>
              <w:bottom w:val="single" w:color="000000" w:sz="4" w:space="0"/>
              <w:right w:val="single" w:color="000000" w:sz="4" w:space="0"/>
            </w:tcBorders>
            <w:shd w:val="clear" w:color="auto" w:fill="auto"/>
            <w:vAlign w:val="center"/>
            <w:hideMark/>
          </w:tcPr>
          <w:p w:rsidRPr="00072893" w:rsidR="000024C4" w:rsidP="000024C4" w:rsidRDefault="000024C4" w14:paraId="31A0E8DF" w14:textId="77777777">
            <w:pPr>
              <w:keepNext/>
              <w:keepLines/>
              <w:rPr>
                <w:rFonts w:ascii="Arial" w:hAnsi="Arial" w:cs="Arial"/>
                <w:sz w:val="18"/>
                <w:szCs w:val="18"/>
              </w:rPr>
            </w:pPr>
            <w:r w:rsidRPr="00072893">
              <w:rPr>
                <w:rFonts w:ascii="Arial" w:hAnsi="Arial" w:cs="Arial"/>
                <w:sz w:val="18"/>
                <w:szCs w:val="18"/>
              </w:rPr>
              <w:t>7520-4</w:t>
            </w:r>
            <w:r w:rsidRPr="00BE4FDF">
              <w:rPr>
                <w:rFonts w:ascii="Arial" w:hAnsi="Arial" w:cs="Arial"/>
                <w:sz w:val="18"/>
                <w:szCs w:val="18"/>
              </w:rPr>
              <w:t xml:space="preserve">: </w:t>
            </w:r>
            <w:r w:rsidRPr="00072893">
              <w:rPr>
                <w:rFonts w:ascii="Arial" w:hAnsi="Arial" w:cs="Arial"/>
                <w:sz w:val="18"/>
                <w:szCs w:val="18"/>
              </w:rPr>
              <w:t>Report on Quarterly Exceptions (Quarterly)</w:t>
            </w:r>
          </w:p>
        </w:tc>
        <w:tc>
          <w:tcPr>
            <w:tcW w:w="1420" w:type="dxa"/>
            <w:tcBorders>
              <w:top w:val="nil"/>
              <w:left w:val="nil"/>
              <w:bottom w:val="single" w:color="000000" w:sz="4" w:space="0"/>
              <w:right w:val="single" w:color="000000" w:sz="4" w:space="0"/>
            </w:tcBorders>
            <w:shd w:val="clear" w:color="000000" w:fill="FFFFFF"/>
            <w:noWrap/>
            <w:vAlign w:val="center"/>
            <w:hideMark/>
          </w:tcPr>
          <w:p w:rsidRPr="00072893" w:rsidR="000024C4" w:rsidP="000024C4" w:rsidRDefault="000024C4" w14:paraId="05128F41" w14:textId="77777777">
            <w:pPr>
              <w:keepNext/>
              <w:keepLines/>
              <w:jc w:val="center"/>
              <w:rPr>
                <w:rFonts w:ascii="Arial" w:hAnsi="Arial" w:cs="Arial"/>
                <w:sz w:val="18"/>
                <w:szCs w:val="18"/>
              </w:rPr>
            </w:pPr>
            <w:r w:rsidRPr="00072893">
              <w:rPr>
                <w:rFonts w:ascii="Arial" w:hAnsi="Arial" w:cs="Arial"/>
                <w:sz w:val="18"/>
                <w:szCs w:val="18"/>
              </w:rPr>
              <w:t>2.0</w:t>
            </w:r>
          </w:p>
        </w:tc>
        <w:tc>
          <w:tcPr>
            <w:tcW w:w="1380" w:type="dxa"/>
            <w:tcBorders>
              <w:top w:val="nil"/>
              <w:left w:val="nil"/>
              <w:bottom w:val="single" w:color="000000" w:sz="4" w:space="0"/>
              <w:right w:val="single" w:color="000000" w:sz="4" w:space="0"/>
            </w:tcBorders>
            <w:shd w:val="clear" w:color="auto" w:fill="auto"/>
            <w:noWrap/>
            <w:vAlign w:val="center"/>
            <w:hideMark/>
          </w:tcPr>
          <w:p w:rsidRPr="00072893" w:rsidR="000024C4" w:rsidP="000024C4" w:rsidRDefault="000024C4" w14:paraId="340E54BB" w14:textId="77777777">
            <w:pPr>
              <w:keepNext/>
              <w:keepLines/>
              <w:jc w:val="center"/>
              <w:rPr>
                <w:rFonts w:ascii="Arial" w:hAnsi="Arial" w:cs="Arial"/>
                <w:sz w:val="18"/>
                <w:szCs w:val="18"/>
              </w:rPr>
            </w:pPr>
            <w:r w:rsidRPr="00072893">
              <w:rPr>
                <w:rFonts w:ascii="Arial" w:hAnsi="Arial" w:cs="Arial"/>
                <w:sz w:val="18"/>
                <w:szCs w:val="18"/>
              </w:rPr>
              <w:t>236</w:t>
            </w:r>
          </w:p>
        </w:tc>
        <w:tc>
          <w:tcPr>
            <w:tcW w:w="1341" w:type="dxa"/>
            <w:tcBorders>
              <w:top w:val="nil"/>
              <w:left w:val="nil"/>
              <w:bottom w:val="single" w:color="000000" w:sz="4" w:space="0"/>
              <w:right w:val="single" w:color="000000" w:sz="4" w:space="0"/>
            </w:tcBorders>
            <w:shd w:val="clear" w:color="auto" w:fill="auto"/>
            <w:noWrap/>
            <w:vAlign w:val="center"/>
            <w:hideMark/>
          </w:tcPr>
          <w:p w:rsidRPr="00072893" w:rsidR="000024C4" w:rsidP="000024C4" w:rsidRDefault="000024C4" w14:paraId="24D5528B" w14:textId="77777777">
            <w:pPr>
              <w:keepNext/>
              <w:keepLines/>
              <w:jc w:val="center"/>
              <w:rPr>
                <w:rFonts w:ascii="Arial" w:hAnsi="Arial" w:cs="Arial"/>
                <w:sz w:val="18"/>
                <w:szCs w:val="18"/>
              </w:rPr>
            </w:pPr>
            <w:r w:rsidRPr="00072893">
              <w:rPr>
                <w:rFonts w:ascii="Arial" w:hAnsi="Arial" w:cs="Arial"/>
                <w:sz w:val="18"/>
                <w:szCs w:val="18"/>
              </w:rPr>
              <w:t>472</w:t>
            </w:r>
          </w:p>
        </w:tc>
      </w:tr>
    </w:tbl>
    <w:p w:rsidR="000024C4" w:rsidRDefault="000024C4" w14:paraId="5AED5FFC" w14:textId="77777777">
      <w:pPr>
        <w:keepNext/>
        <w:keepLines/>
        <w:widowControl w:val="0"/>
        <w:tabs>
          <w:tab w:val="center" w:pos="4726"/>
        </w:tabs>
      </w:pPr>
    </w:p>
    <w:p w:rsidR="00277725" w:rsidRDefault="00277725" w14:paraId="7BEFB61C" w14:textId="77777777">
      <w:pPr>
        <w:keepNext/>
        <w:keepLines/>
        <w:widowControl w:val="0"/>
        <w:tabs>
          <w:tab w:val="center" w:pos="4726"/>
        </w:tabs>
      </w:pPr>
      <w:bookmarkStart w:name="_Hlk85539082" w:id="77"/>
    </w:p>
    <w:p w:rsidR="00C25838" w:rsidP="001941A8" w:rsidRDefault="00C25838" w14:paraId="0AF7033A" w14:textId="77777777">
      <w:pPr>
        <w:pStyle w:val="Heading2"/>
      </w:pPr>
      <w:r>
        <w:t>6(b)</w:t>
      </w:r>
      <w:r>
        <w:tab/>
        <w:t>Respondent Costs</w:t>
      </w:r>
      <w:r w:rsidR="00766F8E">
        <w:fldChar w:fldCharType="begin"/>
      </w:r>
      <w:r>
        <w:instrText xml:space="preserve"> TC \l2 "</w:instrText>
      </w:r>
      <w:bookmarkStart w:name="_Toc511660015" w:id="78"/>
      <w:bookmarkStart w:name="_Toc511713524" w:id="79"/>
      <w:r>
        <w:instrText>6(b)</w:instrText>
      </w:r>
      <w:r>
        <w:tab/>
        <w:instrText>Respondent Costs</w:instrText>
      </w:r>
      <w:bookmarkEnd w:id="78"/>
      <w:bookmarkEnd w:id="79"/>
      <w:r w:rsidR="00766F8E">
        <w:fldChar w:fldCharType="end"/>
      </w:r>
    </w:p>
    <w:p w:rsidR="00C25838" w:rsidRDefault="00C25838" w14:paraId="41438A15"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57152271"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6(b)(</w:t>
      </w:r>
      <w:proofErr w:type="spellStart"/>
      <w:r>
        <w:rPr>
          <w:b/>
          <w:sz w:val="24"/>
          <w:szCs w:val="24"/>
        </w:rPr>
        <w:t>i</w:t>
      </w:r>
      <w:proofErr w:type="spellEnd"/>
      <w:r>
        <w:rPr>
          <w:b/>
          <w:sz w:val="24"/>
          <w:szCs w:val="24"/>
        </w:rPr>
        <w:t>)</w:t>
      </w:r>
      <w:r w:rsidR="00F84502">
        <w:rPr>
          <w:b/>
          <w:sz w:val="24"/>
          <w:szCs w:val="24"/>
        </w:rPr>
        <w:t xml:space="preserve"> </w:t>
      </w:r>
      <w:r>
        <w:rPr>
          <w:b/>
          <w:sz w:val="24"/>
          <w:szCs w:val="24"/>
        </w:rPr>
        <w:t>Cost to Operators</w:t>
      </w:r>
    </w:p>
    <w:p w:rsidR="00C25838" w:rsidRDefault="00C25838" w14:paraId="60D72895"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393CCCAC" w14:textId="33FF0CA9">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name="_Hlk508719535" w:id="80"/>
      <w:r>
        <w:rPr>
          <w:sz w:val="24"/>
          <w:szCs w:val="24"/>
        </w:rPr>
        <w:tab/>
      </w:r>
      <w:r w:rsidRPr="0066122A">
        <w:rPr>
          <w:sz w:val="24"/>
          <w:szCs w:val="24"/>
        </w:rPr>
        <w:t xml:space="preserve">Exhibits 6-1A through </w:t>
      </w:r>
      <w:r w:rsidRPr="0066122A" w:rsidR="00905389">
        <w:rPr>
          <w:sz w:val="24"/>
          <w:szCs w:val="24"/>
        </w:rPr>
        <w:t>F</w:t>
      </w:r>
      <w:r w:rsidRPr="0066122A">
        <w:rPr>
          <w:sz w:val="24"/>
          <w:szCs w:val="24"/>
        </w:rPr>
        <w:t xml:space="preserve"> and 6-1</w:t>
      </w:r>
      <w:r w:rsidRPr="0066122A" w:rsidR="00905389">
        <w:rPr>
          <w:sz w:val="24"/>
          <w:szCs w:val="24"/>
        </w:rPr>
        <w:t>G</w:t>
      </w:r>
      <w:r w:rsidRPr="0066122A">
        <w:rPr>
          <w:sz w:val="24"/>
          <w:szCs w:val="24"/>
        </w:rPr>
        <w:t xml:space="preserve"> show the total costs for owners and operators of various classes of injection wells over the </w:t>
      </w:r>
      <w:r w:rsidRPr="0066122A" w:rsidR="009855B6">
        <w:rPr>
          <w:sz w:val="24"/>
          <w:szCs w:val="24"/>
        </w:rPr>
        <w:t>three</w:t>
      </w:r>
      <w:r w:rsidRPr="0066122A">
        <w:rPr>
          <w:sz w:val="24"/>
          <w:szCs w:val="24"/>
        </w:rPr>
        <w:t>-year ICR clearance period</w:t>
      </w:r>
      <w:r w:rsidRPr="0066122A" w:rsidR="00F84502">
        <w:rPr>
          <w:sz w:val="24"/>
          <w:szCs w:val="24"/>
        </w:rPr>
        <w:t xml:space="preserve">. </w:t>
      </w:r>
      <w:r w:rsidRPr="0066122A">
        <w:rPr>
          <w:sz w:val="24"/>
          <w:szCs w:val="24"/>
        </w:rPr>
        <w:t xml:space="preserve">Annual costs </w:t>
      </w:r>
      <w:r w:rsidRPr="0066122A" w:rsidR="00924B1E">
        <w:rPr>
          <w:sz w:val="24"/>
          <w:szCs w:val="24"/>
        </w:rPr>
        <w:t xml:space="preserve">to </w:t>
      </w:r>
      <w:r w:rsidRPr="0066122A" w:rsidR="00924B1E">
        <w:rPr>
          <w:sz w:val="24"/>
          <w:szCs w:val="24"/>
        </w:rPr>
        <w:lastRenderedPageBreak/>
        <w:t xml:space="preserve">injection well operators </w:t>
      </w:r>
      <w:r w:rsidRPr="00E01E99" w:rsidR="00E01E99">
        <w:rPr>
          <w:sz w:val="24"/>
          <w:szCs w:val="24"/>
        </w:rPr>
        <w:t>are estimated at approximately $352.7 million, which consists of $276.1 million in non-labor costs and $76.7 million in labor costs</w:t>
      </w:r>
      <w:r w:rsidRPr="0066122A" w:rsidR="00F84502">
        <w:rPr>
          <w:sz w:val="24"/>
          <w:szCs w:val="24"/>
        </w:rPr>
        <w:t>.</w:t>
      </w:r>
      <w:r w:rsidR="00F84502">
        <w:rPr>
          <w:sz w:val="24"/>
          <w:szCs w:val="24"/>
        </w:rPr>
        <w:t xml:space="preserve"> </w:t>
      </w:r>
    </w:p>
    <w:bookmarkEnd w:id="80"/>
    <w:p w:rsidR="00C25838" w:rsidRDefault="00C25838" w14:paraId="6C84B594"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F636F" w:rsidR="00BF636F" w:rsidP="00AF41AC" w:rsidRDefault="00BF636F" w14:paraId="3A36D977" w14:textId="477A3D9E">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bookmarkStart w:name="_Hlk85179904" w:id="81"/>
      <w:r w:rsidRPr="00BF636F" w:rsidR="00C90E13">
        <w:rPr>
          <w:sz w:val="24"/>
          <w:szCs w:val="24"/>
        </w:rPr>
        <w:t>EPA determined operator labor cost by estimating the mix of legal, managerial, technical, and clerical time needed to perform each collection activity</w:t>
      </w:r>
      <w:r w:rsidR="00C90E13">
        <w:rPr>
          <w:sz w:val="24"/>
          <w:szCs w:val="24"/>
        </w:rPr>
        <w:t xml:space="preserve">. </w:t>
      </w:r>
      <w:r w:rsidRPr="00BF636F" w:rsidR="00C90E13">
        <w:rPr>
          <w:sz w:val="24"/>
          <w:szCs w:val="24"/>
        </w:rPr>
        <w:t>For Classes I, II, and III, the labor cost estimate is based on average hourly estimates for salary and overhead of $</w:t>
      </w:r>
      <w:r w:rsidR="0098413F">
        <w:rPr>
          <w:sz w:val="24"/>
          <w:szCs w:val="24"/>
        </w:rPr>
        <w:t>96</w:t>
      </w:r>
      <w:r w:rsidRPr="00BF636F" w:rsidR="00C90E13">
        <w:rPr>
          <w:sz w:val="24"/>
          <w:szCs w:val="24"/>
        </w:rPr>
        <w:t xml:space="preserve"> for legal staff, $</w:t>
      </w:r>
      <w:r w:rsidR="00C90E13">
        <w:rPr>
          <w:sz w:val="24"/>
          <w:szCs w:val="24"/>
        </w:rPr>
        <w:t>9</w:t>
      </w:r>
      <w:r w:rsidR="0098413F">
        <w:rPr>
          <w:sz w:val="24"/>
          <w:szCs w:val="24"/>
        </w:rPr>
        <w:t>7</w:t>
      </w:r>
      <w:r w:rsidRPr="00BF636F" w:rsidR="00C90E13">
        <w:rPr>
          <w:sz w:val="24"/>
          <w:szCs w:val="24"/>
        </w:rPr>
        <w:t xml:space="preserve"> for managerial staff, $</w:t>
      </w:r>
      <w:r w:rsidR="00306F41">
        <w:rPr>
          <w:sz w:val="24"/>
          <w:szCs w:val="24"/>
        </w:rPr>
        <w:t>56</w:t>
      </w:r>
      <w:r w:rsidRPr="00BF636F" w:rsidR="00C90E13">
        <w:rPr>
          <w:sz w:val="24"/>
          <w:szCs w:val="24"/>
        </w:rPr>
        <w:t xml:space="preserve"> for technical staff, and $</w:t>
      </w:r>
      <w:r w:rsidR="00C90E13">
        <w:rPr>
          <w:sz w:val="24"/>
          <w:szCs w:val="24"/>
        </w:rPr>
        <w:t>3</w:t>
      </w:r>
      <w:r w:rsidR="00306F41">
        <w:rPr>
          <w:sz w:val="24"/>
          <w:szCs w:val="24"/>
        </w:rPr>
        <w:t>3</w:t>
      </w:r>
      <w:r w:rsidRPr="00BF636F" w:rsidR="00C90E13">
        <w:rPr>
          <w:sz w:val="24"/>
          <w:szCs w:val="24"/>
        </w:rPr>
        <w:t xml:space="preserve"> for clerical staff</w:t>
      </w:r>
      <w:r w:rsidR="00C90E13">
        <w:rPr>
          <w:sz w:val="24"/>
          <w:szCs w:val="24"/>
        </w:rPr>
        <w:t xml:space="preserve">. </w:t>
      </w:r>
      <w:r w:rsidRPr="00BF636F" w:rsidR="00C90E13">
        <w:rPr>
          <w:sz w:val="24"/>
          <w:szCs w:val="24"/>
        </w:rPr>
        <w:t xml:space="preserve">For Classes IV and V, hourly salary and overhead rates are estimated to be slightly less: </w:t>
      </w:r>
      <w:r w:rsidRPr="006B10E5" w:rsidR="006B10E5">
        <w:rPr>
          <w:sz w:val="24"/>
          <w:szCs w:val="24"/>
        </w:rPr>
        <w:t>$2</w:t>
      </w:r>
      <w:r w:rsidR="00306F41">
        <w:rPr>
          <w:sz w:val="24"/>
          <w:szCs w:val="24"/>
        </w:rPr>
        <w:t>9</w:t>
      </w:r>
      <w:r w:rsidRPr="006B10E5" w:rsidR="006B10E5">
        <w:rPr>
          <w:sz w:val="24"/>
          <w:szCs w:val="24"/>
        </w:rPr>
        <w:t xml:space="preserve"> for legal staff,</w:t>
      </w:r>
      <w:r w:rsidR="006B10E5">
        <w:rPr>
          <w:sz w:val="24"/>
          <w:szCs w:val="24"/>
        </w:rPr>
        <w:t xml:space="preserve"> </w:t>
      </w:r>
      <w:r w:rsidRPr="00BF636F" w:rsidR="00C90E13">
        <w:rPr>
          <w:sz w:val="24"/>
          <w:szCs w:val="24"/>
        </w:rPr>
        <w:t>$</w:t>
      </w:r>
      <w:r w:rsidR="00306F41">
        <w:rPr>
          <w:sz w:val="24"/>
          <w:szCs w:val="24"/>
        </w:rPr>
        <w:t>61</w:t>
      </w:r>
      <w:r w:rsidRPr="00BF636F" w:rsidR="00C90E13">
        <w:rPr>
          <w:sz w:val="24"/>
          <w:szCs w:val="24"/>
        </w:rPr>
        <w:t xml:space="preserve"> for managerial staff, $</w:t>
      </w:r>
      <w:r w:rsidR="00306F41">
        <w:rPr>
          <w:sz w:val="24"/>
          <w:szCs w:val="24"/>
        </w:rPr>
        <w:t>30</w:t>
      </w:r>
      <w:r w:rsidRPr="00BF636F" w:rsidR="00C90E13">
        <w:rPr>
          <w:sz w:val="24"/>
          <w:szCs w:val="24"/>
        </w:rPr>
        <w:t xml:space="preserve"> for technical staff, and $</w:t>
      </w:r>
      <w:r w:rsidR="00C90E13">
        <w:rPr>
          <w:sz w:val="24"/>
          <w:szCs w:val="24"/>
        </w:rPr>
        <w:t>2</w:t>
      </w:r>
      <w:r w:rsidR="00306F41">
        <w:rPr>
          <w:sz w:val="24"/>
          <w:szCs w:val="24"/>
        </w:rPr>
        <w:t>5</w:t>
      </w:r>
      <w:r w:rsidRPr="00BF636F" w:rsidR="00C90E13">
        <w:rPr>
          <w:sz w:val="24"/>
          <w:szCs w:val="24"/>
        </w:rPr>
        <w:t xml:space="preserve"> for clerical staff</w:t>
      </w:r>
      <w:r w:rsidR="00C90E13">
        <w:rPr>
          <w:sz w:val="24"/>
          <w:szCs w:val="24"/>
        </w:rPr>
        <w:t xml:space="preserve">. </w:t>
      </w:r>
      <w:r w:rsidRPr="00BF636F" w:rsidR="00C90E13">
        <w:rPr>
          <w:sz w:val="24"/>
          <w:szCs w:val="24"/>
        </w:rPr>
        <w:t>For Class VI, the labor cost estimate is based on average hourly estimates for salary and overhead of $1</w:t>
      </w:r>
      <w:r w:rsidR="00C90E13">
        <w:rPr>
          <w:sz w:val="24"/>
          <w:szCs w:val="24"/>
        </w:rPr>
        <w:t>0</w:t>
      </w:r>
      <w:r w:rsidR="00306F41">
        <w:rPr>
          <w:sz w:val="24"/>
          <w:szCs w:val="24"/>
        </w:rPr>
        <w:t>6</w:t>
      </w:r>
      <w:r w:rsidRPr="00BF636F" w:rsidR="00C90E13">
        <w:rPr>
          <w:sz w:val="24"/>
          <w:szCs w:val="24"/>
        </w:rPr>
        <w:t xml:space="preserve"> for mining and geological engineers and $</w:t>
      </w:r>
      <w:r w:rsidR="00306F41">
        <w:rPr>
          <w:sz w:val="24"/>
          <w:szCs w:val="24"/>
        </w:rPr>
        <w:t>118</w:t>
      </w:r>
      <w:r w:rsidRPr="00BF636F" w:rsidR="00C90E13">
        <w:rPr>
          <w:sz w:val="24"/>
          <w:szCs w:val="24"/>
        </w:rPr>
        <w:t xml:space="preserve"> for geoscientists</w:t>
      </w:r>
      <w:r w:rsidRPr="00BF636F" w:rsidR="00E50F30">
        <w:rPr>
          <w:sz w:val="24"/>
          <w:szCs w:val="24"/>
        </w:rPr>
        <w:t xml:space="preserve">. </w:t>
      </w:r>
      <w:bookmarkEnd w:id="81"/>
    </w:p>
    <w:p w:rsidR="00C25838" w:rsidRDefault="00C25838" w14:paraId="654176E1"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C25838" w14:paraId="1B7A8EFA" w14:textId="4595B841">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EPA estimated non-labor costs </w:t>
      </w:r>
      <w:r w:rsidR="0048681E">
        <w:rPr>
          <w:sz w:val="24"/>
          <w:szCs w:val="24"/>
        </w:rPr>
        <w:t xml:space="preserve">based on input </w:t>
      </w:r>
      <w:r>
        <w:rPr>
          <w:sz w:val="24"/>
          <w:szCs w:val="24"/>
        </w:rPr>
        <w:t>from staff in EPA Regions and state primacy agencies, and from operators and other sources</w:t>
      </w:r>
      <w:r w:rsidR="00F84502">
        <w:rPr>
          <w:sz w:val="24"/>
          <w:szCs w:val="24"/>
        </w:rPr>
        <w:t xml:space="preserve">. </w:t>
      </w:r>
      <w:r>
        <w:rPr>
          <w:sz w:val="24"/>
          <w:szCs w:val="24"/>
        </w:rPr>
        <w:t>This ICR assumes there are no capital costs to operators–large capital expenditures (e.g., construction costs and monitoring equipment) are considered to be customary business practice</w:t>
      </w:r>
      <w:r w:rsidR="00F84502">
        <w:rPr>
          <w:sz w:val="24"/>
          <w:szCs w:val="24"/>
        </w:rPr>
        <w:t xml:space="preserve">. </w:t>
      </w:r>
      <w:r>
        <w:rPr>
          <w:sz w:val="24"/>
          <w:szCs w:val="24"/>
        </w:rPr>
        <w:t>All non-labor costs to operators associated with this collection are operating and maintenance (O&amp;M) costs, such as the cost of contractor services or laboratory fees associated with injectate, sludge, or ground water monitoring</w:t>
      </w:r>
      <w:r w:rsidR="00F84502">
        <w:rPr>
          <w:sz w:val="24"/>
          <w:szCs w:val="24"/>
        </w:rPr>
        <w:t xml:space="preserve">. </w:t>
      </w:r>
      <w:r w:rsidRPr="00BF636F" w:rsidR="00A04058">
        <w:rPr>
          <w:sz w:val="24"/>
          <w:szCs w:val="24"/>
        </w:rPr>
        <w:t>Contractor time was estimated to be approximately $</w:t>
      </w:r>
      <w:r w:rsidR="00306F41">
        <w:rPr>
          <w:sz w:val="24"/>
          <w:szCs w:val="24"/>
        </w:rPr>
        <w:t>102</w:t>
      </w:r>
      <w:r w:rsidRPr="00BF636F" w:rsidR="00A04058">
        <w:rPr>
          <w:sz w:val="24"/>
          <w:szCs w:val="24"/>
        </w:rPr>
        <w:t xml:space="preserve"> per hour</w:t>
      </w:r>
      <w:r w:rsidR="00F84502">
        <w:rPr>
          <w:sz w:val="24"/>
          <w:szCs w:val="24"/>
        </w:rPr>
        <w:t xml:space="preserve">. </w:t>
      </w:r>
    </w:p>
    <w:p w:rsidR="00C25838" w:rsidRDefault="00C25838" w14:paraId="47CBBC40"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26DF" w:rsidP="000A26DF" w:rsidRDefault="000A26DF" w14:paraId="21DDD602" w14:textId="77777777">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6(b)(ii) Cost to State Primacy Agencies</w:t>
      </w:r>
    </w:p>
    <w:p w:rsidR="000A26DF" w:rsidP="000A26DF" w:rsidRDefault="000A26DF" w14:paraId="5667C060" w14:textId="77777777">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C2E35" w:rsidRDefault="000A26DF" w14:paraId="21A052B1" w14:textId="69655AA7">
      <w:pPr>
        <w:widowControl w:val="0"/>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4F0F7F">
        <w:rPr>
          <w:sz w:val="24"/>
          <w:szCs w:val="24"/>
        </w:rPr>
        <w:t>Exhibit 6-</w:t>
      </w:r>
      <w:r>
        <w:rPr>
          <w:sz w:val="24"/>
          <w:szCs w:val="24"/>
        </w:rPr>
        <w:t>3</w:t>
      </w:r>
      <w:r w:rsidRPr="004F0F7F">
        <w:rPr>
          <w:sz w:val="24"/>
          <w:szCs w:val="24"/>
        </w:rPr>
        <w:t xml:space="preserve"> shows that the annual cost to primacy agencies </w:t>
      </w:r>
      <w:r w:rsidR="00BE7C3D">
        <w:rPr>
          <w:sz w:val="24"/>
          <w:szCs w:val="24"/>
        </w:rPr>
        <w:t xml:space="preserve">(as overseers of injection well owners or operators and as reporters to EPA) </w:t>
      </w:r>
      <w:r w:rsidRPr="004F0F7F">
        <w:rPr>
          <w:sz w:val="24"/>
          <w:szCs w:val="24"/>
        </w:rPr>
        <w:t xml:space="preserve">is estimated at approximately </w:t>
      </w:r>
      <w:r w:rsidRPr="0066122A">
        <w:rPr>
          <w:sz w:val="24"/>
          <w:szCs w:val="24"/>
        </w:rPr>
        <w:t>$</w:t>
      </w:r>
      <w:r w:rsidR="002E7595">
        <w:rPr>
          <w:sz w:val="24"/>
          <w:szCs w:val="24"/>
        </w:rPr>
        <w:t>10</w:t>
      </w:r>
      <w:r w:rsidRPr="0066122A">
        <w:rPr>
          <w:sz w:val="24"/>
          <w:szCs w:val="24"/>
        </w:rPr>
        <w:t>.</w:t>
      </w:r>
      <w:r w:rsidR="002E7595">
        <w:rPr>
          <w:sz w:val="24"/>
          <w:szCs w:val="24"/>
        </w:rPr>
        <w:t>6</w:t>
      </w:r>
      <w:r w:rsidRPr="0066122A">
        <w:rPr>
          <w:sz w:val="24"/>
          <w:szCs w:val="24"/>
        </w:rPr>
        <w:t xml:space="preserve"> million, all</w:t>
      </w:r>
      <w:r>
        <w:rPr>
          <w:sz w:val="24"/>
          <w:szCs w:val="24"/>
        </w:rPr>
        <w:t xml:space="preserve"> </w:t>
      </w:r>
      <w:r w:rsidRPr="004F0F7F">
        <w:rPr>
          <w:sz w:val="24"/>
          <w:szCs w:val="24"/>
        </w:rPr>
        <w:t xml:space="preserve">of which </w:t>
      </w:r>
      <w:r>
        <w:rPr>
          <w:sz w:val="24"/>
          <w:szCs w:val="24"/>
        </w:rPr>
        <w:t xml:space="preserve">is labor cost. For this ICR, EPA assumed that the average hourly labor rate for a state </w:t>
      </w:r>
      <w:r w:rsidRPr="00776699">
        <w:rPr>
          <w:sz w:val="24"/>
          <w:szCs w:val="24"/>
        </w:rPr>
        <w:t>employee is $</w:t>
      </w:r>
      <w:r w:rsidRPr="00634B37" w:rsidR="00634B37">
        <w:rPr>
          <w:sz w:val="24"/>
          <w:szCs w:val="24"/>
        </w:rPr>
        <w:t>45.92</w:t>
      </w:r>
      <w:r>
        <w:rPr>
          <w:sz w:val="24"/>
          <w:szCs w:val="24"/>
        </w:rPr>
        <w:t xml:space="preserve">. </w:t>
      </w:r>
      <w:r w:rsidRPr="00776699">
        <w:rPr>
          <w:sz w:val="24"/>
          <w:szCs w:val="24"/>
        </w:rPr>
        <w:t>This</w:t>
      </w:r>
      <w:r>
        <w:rPr>
          <w:sz w:val="24"/>
          <w:szCs w:val="24"/>
        </w:rPr>
        <w:t xml:space="preserve"> estimate is based on a federal GS-9, Step 10 salary on </w:t>
      </w:r>
      <w:r w:rsidRPr="00247191">
        <w:rPr>
          <w:sz w:val="24"/>
          <w:szCs w:val="24"/>
        </w:rPr>
        <w:t>the 20</w:t>
      </w:r>
      <w:r w:rsidR="00F30C54">
        <w:rPr>
          <w:sz w:val="24"/>
          <w:szCs w:val="24"/>
        </w:rPr>
        <w:t>2</w:t>
      </w:r>
      <w:r w:rsidRPr="00247191">
        <w:rPr>
          <w:sz w:val="24"/>
          <w:szCs w:val="24"/>
        </w:rPr>
        <w:t>1 federal pay scale,</w:t>
      </w:r>
      <w:r>
        <w:rPr>
          <w:sz w:val="24"/>
          <w:szCs w:val="24"/>
        </w:rPr>
        <w:t xml:space="preserve"> increased by 60 percent to account for overhead costs. (This is the inflation factor recommended in EPA’s </w:t>
      </w:r>
      <w:r w:rsidRPr="00E46259">
        <w:rPr>
          <w:i/>
          <w:sz w:val="24"/>
          <w:szCs w:val="24"/>
        </w:rPr>
        <w:t>ICR Handbook</w:t>
      </w:r>
      <w:r>
        <w:rPr>
          <w:sz w:val="24"/>
          <w:szCs w:val="24"/>
        </w:rPr>
        <w:t xml:space="preserve">.) </w:t>
      </w:r>
    </w:p>
    <w:p w:rsidR="00C25838" w:rsidRDefault="00C25838" w14:paraId="1E91184F"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C25838" w:rsidP="00AF41AC" w:rsidRDefault="00C25838" w14:paraId="3F5E5788" w14:textId="77777777">
      <w:pPr>
        <w:pStyle w:val="Heading2"/>
        <w:keepNext w:val="0"/>
      </w:pPr>
      <w:r>
        <w:t>6(c)</w:t>
      </w:r>
      <w:r>
        <w:tab/>
        <w:t>Agency Burden and Costs</w:t>
      </w:r>
      <w:r w:rsidR="00766F8E">
        <w:fldChar w:fldCharType="begin"/>
      </w:r>
      <w:r>
        <w:instrText xml:space="preserve"> TC "</w:instrText>
      </w:r>
      <w:bookmarkStart w:name="_Toc511660016" w:id="82"/>
      <w:bookmarkStart w:name="_Toc511713525" w:id="83"/>
      <w:r>
        <w:instrText>6(c)</w:instrText>
      </w:r>
      <w:r>
        <w:tab/>
        <w:instrText>Agency Burden and Costs</w:instrText>
      </w:r>
      <w:bookmarkEnd w:id="82"/>
      <w:bookmarkEnd w:id="83"/>
      <w:r>
        <w:instrText xml:space="preserve">" \f C \l "2" </w:instrText>
      </w:r>
      <w:r w:rsidR="00766F8E">
        <w:fldChar w:fldCharType="end"/>
      </w:r>
    </w:p>
    <w:p w:rsidR="00C25838" w:rsidP="00AF41AC" w:rsidRDefault="00C25838" w14:paraId="2150C52A"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029D6" w:rsidP="00AF41AC" w:rsidRDefault="00C25838" w14:paraId="32A89E0C" w14:textId="70539E6B">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697A01">
        <w:rPr>
          <w:sz w:val="24"/>
          <w:szCs w:val="24"/>
        </w:rPr>
        <w:t xml:space="preserve">EPA’s regional offices implement the UIC Program for </w:t>
      </w:r>
      <w:r w:rsidRPr="009529B2" w:rsidR="002D659D">
        <w:rPr>
          <w:sz w:val="24"/>
          <w:szCs w:val="24"/>
        </w:rPr>
        <w:t>C</w:t>
      </w:r>
      <w:r w:rsidRPr="009529B2">
        <w:rPr>
          <w:sz w:val="24"/>
          <w:szCs w:val="24"/>
        </w:rPr>
        <w:t xml:space="preserve">lasses </w:t>
      </w:r>
      <w:r w:rsidRPr="009529B2" w:rsidR="002D659D">
        <w:rPr>
          <w:sz w:val="24"/>
          <w:szCs w:val="24"/>
        </w:rPr>
        <w:t xml:space="preserve">I through V </w:t>
      </w:r>
      <w:r w:rsidRPr="009529B2">
        <w:rPr>
          <w:sz w:val="24"/>
          <w:szCs w:val="24"/>
        </w:rPr>
        <w:t xml:space="preserve">in </w:t>
      </w:r>
      <w:r w:rsidRPr="009529B2" w:rsidR="0048681E">
        <w:rPr>
          <w:sz w:val="24"/>
          <w:szCs w:val="24"/>
        </w:rPr>
        <w:t>eleven</w:t>
      </w:r>
      <w:r w:rsidRPr="009529B2">
        <w:rPr>
          <w:sz w:val="24"/>
          <w:szCs w:val="24"/>
        </w:rPr>
        <w:t xml:space="preserve"> states and have oversight responsibility for a subset of well classes in </w:t>
      </w:r>
      <w:r w:rsidRPr="009529B2" w:rsidR="0048681E">
        <w:rPr>
          <w:sz w:val="24"/>
          <w:szCs w:val="24"/>
        </w:rPr>
        <w:t>eight</w:t>
      </w:r>
      <w:r w:rsidRPr="009529B2" w:rsidR="002D659D">
        <w:rPr>
          <w:sz w:val="24"/>
          <w:szCs w:val="24"/>
        </w:rPr>
        <w:t xml:space="preserve"> </w:t>
      </w:r>
      <w:r w:rsidRPr="009529B2">
        <w:rPr>
          <w:sz w:val="24"/>
          <w:szCs w:val="24"/>
        </w:rPr>
        <w:t>states</w:t>
      </w:r>
      <w:r w:rsidRPr="009529B2" w:rsidR="002D659D">
        <w:rPr>
          <w:sz w:val="24"/>
          <w:szCs w:val="24"/>
        </w:rPr>
        <w:t xml:space="preserve"> and two tribes</w:t>
      </w:r>
      <w:r w:rsidRPr="009529B2" w:rsidR="00F84502">
        <w:rPr>
          <w:sz w:val="24"/>
          <w:szCs w:val="24"/>
        </w:rPr>
        <w:t xml:space="preserve">. </w:t>
      </w:r>
      <w:r w:rsidRPr="009529B2" w:rsidR="003871EB">
        <w:rPr>
          <w:sz w:val="24"/>
          <w:szCs w:val="24"/>
        </w:rPr>
        <w:t xml:space="preserve">Additionally, EPA assumes that, at the beginning of the clearance period, </w:t>
      </w:r>
      <w:r w:rsidRPr="009529B2" w:rsidR="002029D6">
        <w:rPr>
          <w:sz w:val="24"/>
          <w:szCs w:val="24"/>
        </w:rPr>
        <w:t xml:space="preserve">the </w:t>
      </w:r>
      <w:r w:rsidRPr="00A22206" w:rsidR="00317DE8">
        <w:rPr>
          <w:sz w:val="24"/>
          <w:szCs w:val="24"/>
        </w:rPr>
        <w:t>a</w:t>
      </w:r>
      <w:r w:rsidRPr="00A22206" w:rsidR="001758DB">
        <w:rPr>
          <w:sz w:val="24"/>
          <w:szCs w:val="24"/>
        </w:rPr>
        <w:t xml:space="preserve">gency </w:t>
      </w:r>
      <w:r w:rsidRPr="00A22206" w:rsidR="003871EB">
        <w:rPr>
          <w:sz w:val="24"/>
          <w:szCs w:val="24"/>
        </w:rPr>
        <w:t>will directly implement the Class VI program in all states</w:t>
      </w:r>
      <w:r w:rsidRPr="00A22206" w:rsidR="002D659D">
        <w:rPr>
          <w:sz w:val="24"/>
          <w:szCs w:val="24"/>
        </w:rPr>
        <w:t xml:space="preserve">, except </w:t>
      </w:r>
      <w:r w:rsidR="00802DFD">
        <w:rPr>
          <w:sz w:val="24"/>
          <w:szCs w:val="24"/>
        </w:rPr>
        <w:t xml:space="preserve">two, with an additional </w:t>
      </w:r>
      <w:r w:rsidR="005C644F">
        <w:rPr>
          <w:sz w:val="24"/>
          <w:szCs w:val="24"/>
        </w:rPr>
        <w:t>three</w:t>
      </w:r>
      <w:r w:rsidR="00802DFD">
        <w:rPr>
          <w:sz w:val="24"/>
          <w:szCs w:val="24"/>
        </w:rPr>
        <w:t xml:space="preserve"> states obtaining Class VI program primacy during the clearance period</w:t>
      </w:r>
      <w:r w:rsidRPr="009529B2" w:rsidR="003871EB">
        <w:rPr>
          <w:sz w:val="24"/>
          <w:szCs w:val="24"/>
        </w:rPr>
        <w:t xml:space="preserve">. </w:t>
      </w:r>
      <w:r w:rsidRPr="009529B2">
        <w:rPr>
          <w:sz w:val="24"/>
          <w:szCs w:val="24"/>
        </w:rPr>
        <w:t>The paperwork</w:t>
      </w:r>
      <w:r w:rsidRPr="008E4729">
        <w:rPr>
          <w:sz w:val="24"/>
          <w:szCs w:val="24"/>
        </w:rPr>
        <w:t xml:space="preserve"> requirements for DI programs are roughly the same as those for the state primacy programs</w:t>
      </w:r>
      <w:r w:rsidR="00F84502">
        <w:rPr>
          <w:sz w:val="24"/>
          <w:szCs w:val="24"/>
        </w:rPr>
        <w:t xml:space="preserve">. </w:t>
      </w:r>
      <w:r w:rsidRPr="008E4729">
        <w:rPr>
          <w:sz w:val="24"/>
          <w:szCs w:val="24"/>
        </w:rPr>
        <w:t>In addition, EPA regions review all no-migration petitions submitted by Class I hazardous facility operators</w:t>
      </w:r>
      <w:r w:rsidR="002D659D">
        <w:rPr>
          <w:sz w:val="24"/>
          <w:szCs w:val="24"/>
        </w:rPr>
        <w:t>, all aquifer exemption requests,</w:t>
      </w:r>
      <w:r w:rsidRPr="008E4729">
        <w:rPr>
          <w:sz w:val="24"/>
          <w:szCs w:val="24"/>
        </w:rPr>
        <w:t xml:space="preserve"> </w:t>
      </w:r>
      <w:r w:rsidRPr="008E4729" w:rsidR="00013018">
        <w:rPr>
          <w:sz w:val="24"/>
          <w:szCs w:val="24"/>
        </w:rPr>
        <w:t>and Class VI injection depth waiver</w:t>
      </w:r>
      <w:r w:rsidR="00697069">
        <w:rPr>
          <w:sz w:val="24"/>
          <w:szCs w:val="24"/>
        </w:rPr>
        <w:t xml:space="preserve"> request</w:t>
      </w:r>
      <w:r w:rsidRPr="008E4729" w:rsidR="00013018">
        <w:rPr>
          <w:sz w:val="24"/>
          <w:szCs w:val="24"/>
        </w:rPr>
        <w:t xml:space="preserve">s </w:t>
      </w:r>
      <w:r w:rsidRPr="008E4729">
        <w:rPr>
          <w:sz w:val="24"/>
          <w:szCs w:val="24"/>
        </w:rPr>
        <w:t xml:space="preserve">in both primacy and DI states in their </w:t>
      </w:r>
      <w:r w:rsidRPr="008E4729" w:rsidR="009855B6">
        <w:rPr>
          <w:sz w:val="24"/>
          <w:szCs w:val="24"/>
        </w:rPr>
        <w:t>R</w:t>
      </w:r>
      <w:r w:rsidRPr="008E4729">
        <w:rPr>
          <w:sz w:val="24"/>
          <w:szCs w:val="24"/>
        </w:rPr>
        <w:t>egion</w:t>
      </w:r>
      <w:r w:rsidR="00F84502">
        <w:rPr>
          <w:sz w:val="24"/>
          <w:szCs w:val="24"/>
        </w:rPr>
        <w:t xml:space="preserve">. </w:t>
      </w:r>
    </w:p>
    <w:p w:rsidR="002029D6" w:rsidP="00AF41AC" w:rsidRDefault="002029D6" w14:paraId="09C3F845"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029D6" w:rsidP="00AF41AC" w:rsidRDefault="002029D6" w14:paraId="3E18349A" w14:textId="11D4EB9D">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C25838">
        <w:rPr>
          <w:sz w:val="24"/>
          <w:szCs w:val="24"/>
        </w:rPr>
        <w:t>EPA Headquarters</w:t>
      </w:r>
      <w:r w:rsidR="00F023BE">
        <w:rPr>
          <w:sz w:val="24"/>
          <w:szCs w:val="24"/>
        </w:rPr>
        <w:t>’</w:t>
      </w:r>
      <w:r w:rsidR="00C25838">
        <w:rPr>
          <w:sz w:val="24"/>
          <w:szCs w:val="24"/>
        </w:rPr>
        <w:t xml:space="preserve"> </w:t>
      </w:r>
      <w:r w:rsidR="00F023BE">
        <w:rPr>
          <w:sz w:val="24"/>
          <w:szCs w:val="24"/>
        </w:rPr>
        <w:t xml:space="preserve">activities associated with </w:t>
      </w:r>
      <w:r w:rsidR="00C25838">
        <w:rPr>
          <w:sz w:val="24"/>
          <w:szCs w:val="24"/>
        </w:rPr>
        <w:t xml:space="preserve">oversight </w:t>
      </w:r>
      <w:r w:rsidR="00F023BE">
        <w:rPr>
          <w:sz w:val="24"/>
          <w:szCs w:val="24"/>
        </w:rPr>
        <w:t xml:space="preserve">of </w:t>
      </w:r>
      <w:r w:rsidR="00C25838">
        <w:rPr>
          <w:sz w:val="24"/>
          <w:szCs w:val="24"/>
        </w:rPr>
        <w:t xml:space="preserve">the </w:t>
      </w:r>
      <w:r w:rsidR="00F023BE">
        <w:rPr>
          <w:sz w:val="24"/>
          <w:szCs w:val="24"/>
        </w:rPr>
        <w:t xml:space="preserve">national </w:t>
      </w:r>
      <w:r w:rsidR="00C25838">
        <w:rPr>
          <w:sz w:val="24"/>
          <w:szCs w:val="24"/>
        </w:rPr>
        <w:t>UIC Program include gathering</w:t>
      </w:r>
      <w:r w:rsidR="0003321F">
        <w:rPr>
          <w:sz w:val="24"/>
          <w:szCs w:val="24"/>
        </w:rPr>
        <w:t>,</w:t>
      </w:r>
      <w:r w:rsidR="00C25838">
        <w:rPr>
          <w:sz w:val="24"/>
          <w:szCs w:val="24"/>
        </w:rPr>
        <w:t xml:space="preserve"> reviewing</w:t>
      </w:r>
      <w:r w:rsidR="0003321F">
        <w:rPr>
          <w:sz w:val="24"/>
          <w:szCs w:val="24"/>
        </w:rPr>
        <w:t xml:space="preserve">, </w:t>
      </w:r>
      <w:r w:rsidR="002D659D">
        <w:rPr>
          <w:sz w:val="24"/>
          <w:szCs w:val="24"/>
        </w:rPr>
        <w:t>and</w:t>
      </w:r>
      <w:r w:rsidR="00C25838">
        <w:rPr>
          <w:sz w:val="24"/>
          <w:szCs w:val="24"/>
        </w:rPr>
        <w:t xml:space="preserve"> anal</w:t>
      </w:r>
      <w:r w:rsidR="00F023BE">
        <w:rPr>
          <w:sz w:val="24"/>
          <w:szCs w:val="24"/>
        </w:rPr>
        <w:t xml:space="preserve">yzing </w:t>
      </w:r>
      <w:r w:rsidR="0003321F">
        <w:rPr>
          <w:sz w:val="24"/>
          <w:szCs w:val="24"/>
        </w:rPr>
        <w:t xml:space="preserve">state </w:t>
      </w:r>
      <w:r w:rsidR="00821CFA">
        <w:rPr>
          <w:sz w:val="24"/>
          <w:szCs w:val="24"/>
        </w:rPr>
        <w:t xml:space="preserve">primacy </w:t>
      </w:r>
      <w:r w:rsidR="0003321F">
        <w:rPr>
          <w:sz w:val="24"/>
          <w:szCs w:val="24"/>
        </w:rPr>
        <w:t xml:space="preserve">program summary data, </w:t>
      </w:r>
      <w:r w:rsidR="00D9709E">
        <w:rPr>
          <w:sz w:val="24"/>
          <w:szCs w:val="24"/>
        </w:rPr>
        <w:t xml:space="preserve">and </w:t>
      </w:r>
      <w:r w:rsidR="0003321F">
        <w:rPr>
          <w:sz w:val="24"/>
          <w:szCs w:val="24"/>
        </w:rPr>
        <w:t xml:space="preserve">well </w:t>
      </w:r>
      <w:r w:rsidR="008122F8">
        <w:rPr>
          <w:sz w:val="24"/>
          <w:szCs w:val="24"/>
        </w:rPr>
        <w:t>inventor</w:t>
      </w:r>
      <w:r w:rsidR="00D9709E">
        <w:rPr>
          <w:sz w:val="24"/>
          <w:szCs w:val="24"/>
        </w:rPr>
        <w:t>y</w:t>
      </w:r>
      <w:r w:rsidR="00C25838">
        <w:rPr>
          <w:sz w:val="24"/>
          <w:szCs w:val="24"/>
        </w:rPr>
        <w:t xml:space="preserve"> data</w:t>
      </w:r>
      <w:r w:rsidR="00F84502">
        <w:rPr>
          <w:sz w:val="24"/>
          <w:szCs w:val="24"/>
        </w:rPr>
        <w:t xml:space="preserve">. </w:t>
      </w:r>
    </w:p>
    <w:p w:rsidR="002029D6" w:rsidRDefault="002029D6" w14:paraId="41A6C100" w14:textId="77777777">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RDefault="002029D6" w14:paraId="3546FAA9" w14:textId="435E85CE">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79788D">
        <w:rPr>
          <w:sz w:val="24"/>
          <w:szCs w:val="24"/>
        </w:rPr>
        <w:t>The total annual burden for federal DI programs associated with the above activities is</w:t>
      </w:r>
      <w:r w:rsidR="006D4C17">
        <w:rPr>
          <w:sz w:val="24"/>
          <w:szCs w:val="24"/>
        </w:rPr>
        <w:t xml:space="preserve"> </w:t>
      </w:r>
      <w:r w:rsidRPr="00393AEB" w:rsidR="00393AEB">
        <w:rPr>
          <w:sz w:val="24"/>
          <w:szCs w:val="24"/>
        </w:rPr>
        <w:t>42,516</w:t>
      </w:r>
      <w:r w:rsidRPr="00522A0E" w:rsidR="00C90E13">
        <w:rPr>
          <w:sz w:val="24"/>
          <w:szCs w:val="24"/>
        </w:rPr>
        <w:t xml:space="preserve"> </w:t>
      </w:r>
      <w:r w:rsidRPr="00522A0E" w:rsidR="0079788D">
        <w:rPr>
          <w:sz w:val="24"/>
          <w:szCs w:val="24"/>
        </w:rPr>
        <w:t>hours</w:t>
      </w:r>
      <w:r w:rsidR="00F84502">
        <w:rPr>
          <w:sz w:val="24"/>
          <w:szCs w:val="24"/>
        </w:rPr>
        <w:t xml:space="preserve">. </w:t>
      </w:r>
      <w:r w:rsidR="00C25838">
        <w:rPr>
          <w:sz w:val="24"/>
          <w:szCs w:val="24"/>
        </w:rPr>
        <w:t>See Exhibit 6-</w:t>
      </w:r>
      <w:r w:rsidR="008176C6">
        <w:rPr>
          <w:sz w:val="24"/>
          <w:szCs w:val="24"/>
        </w:rPr>
        <w:t>5</w:t>
      </w:r>
      <w:r w:rsidR="00C25838">
        <w:rPr>
          <w:sz w:val="24"/>
          <w:szCs w:val="24"/>
        </w:rPr>
        <w:t>.</w:t>
      </w:r>
    </w:p>
    <w:p w:rsidR="00C25838" w:rsidRDefault="00C25838" w14:paraId="7F0B012E" w14:textId="77777777">
      <w:pPr>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E14E1" w:rsidR="00C25838" w:rsidP="001E14E1" w:rsidRDefault="00C25838" w14:paraId="64392F1B" w14:textId="4B7DEDAF">
      <w:pPr>
        <w:rPr>
          <w:sz w:val="24"/>
          <w:szCs w:val="24"/>
        </w:rPr>
      </w:pPr>
      <w:r>
        <w:rPr>
          <w:sz w:val="24"/>
          <w:szCs w:val="24"/>
        </w:rPr>
        <w:tab/>
        <w:t xml:space="preserve">EPA assumes the average hourly labor rate for salary and overhead and benefits for </w:t>
      </w:r>
      <w:r w:rsidR="0066181D">
        <w:rPr>
          <w:sz w:val="24"/>
          <w:szCs w:val="24"/>
        </w:rPr>
        <w:t>a</w:t>
      </w:r>
      <w:r w:rsidRPr="00697A01">
        <w:rPr>
          <w:sz w:val="24"/>
          <w:szCs w:val="24"/>
        </w:rPr>
        <w:t>gency staff to be $</w:t>
      </w:r>
      <w:r w:rsidRPr="00634B37" w:rsidR="00634B37">
        <w:rPr>
          <w:sz w:val="24"/>
          <w:szCs w:val="24"/>
        </w:rPr>
        <w:t>45.92</w:t>
      </w:r>
      <w:r w:rsidR="00F84502">
        <w:rPr>
          <w:sz w:val="24"/>
          <w:szCs w:val="24"/>
        </w:rPr>
        <w:t xml:space="preserve">. </w:t>
      </w:r>
      <w:r w:rsidRPr="00697A01">
        <w:rPr>
          <w:sz w:val="24"/>
          <w:szCs w:val="24"/>
        </w:rPr>
        <w:t>This</w:t>
      </w:r>
      <w:r>
        <w:rPr>
          <w:sz w:val="24"/>
          <w:szCs w:val="24"/>
        </w:rPr>
        <w:t xml:space="preserve"> estimate is based on a federal GS-9, Step 10 salary on the 20</w:t>
      </w:r>
      <w:r w:rsidR="00F30C54">
        <w:rPr>
          <w:sz w:val="24"/>
          <w:szCs w:val="24"/>
        </w:rPr>
        <w:t>2</w:t>
      </w:r>
      <w:r w:rsidR="00247191">
        <w:rPr>
          <w:sz w:val="24"/>
          <w:szCs w:val="24"/>
        </w:rPr>
        <w:t>1</w:t>
      </w:r>
      <w:r>
        <w:rPr>
          <w:sz w:val="24"/>
          <w:szCs w:val="24"/>
        </w:rPr>
        <w:t xml:space="preserve"> federal pay scale, </w:t>
      </w:r>
      <w:r w:rsidRPr="004F0F7F">
        <w:rPr>
          <w:sz w:val="24"/>
          <w:szCs w:val="24"/>
        </w:rPr>
        <w:t>increased by 60 percent to account for overhead costs</w:t>
      </w:r>
      <w:r w:rsidR="00F84502">
        <w:rPr>
          <w:sz w:val="24"/>
          <w:szCs w:val="24"/>
        </w:rPr>
        <w:t xml:space="preserve">. </w:t>
      </w:r>
      <w:r w:rsidRPr="004F0F7F">
        <w:rPr>
          <w:sz w:val="24"/>
          <w:szCs w:val="24"/>
        </w:rPr>
        <w:t xml:space="preserve">The annual federal cost associated with this collection </w:t>
      </w:r>
      <w:r w:rsidRPr="00522A0E">
        <w:rPr>
          <w:sz w:val="24"/>
          <w:szCs w:val="24"/>
        </w:rPr>
        <w:t xml:space="preserve">is </w:t>
      </w:r>
      <w:r w:rsidRPr="00393AEB" w:rsidR="00393AEB">
        <w:rPr>
          <w:sz w:val="24"/>
          <w:szCs w:val="24"/>
        </w:rPr>
        <w:t xml:space="preserve">$1,952,314 </w:t>
      </w:r>
      <w:r w:rsidRPr="00522A0E" w:rsidR="00443F02">
        <w:rPr>
          <w:sz w:val="24"/>
          <w:szCs w:val="24"/>
        </w:rPr>
        <w:t>(all</w:t>
      </w:r>
      <w:r w:rsidR="00443F02">
        <w:rPr>
          <w:sz w:val="24"/>
          <w:szCs w:val="24"/>
        </w:rPr>
        <w:t xml:space="preserve"> of which is labor cost)</w:t>
      </w:r>
      <w:r w:rsidR="00F84502">
        <w:rPr>
          <w:sz w:val="24"/>
          <w:szCs w:val="24"/>
        </w:rPr>
        <w:t xml:space="preserve">. </w:t>
      </w:r>
      <w:r w:rsidRPr="004F0F7F">
        <w:rPr>
          <w:sz w:val="24"/>
          <w:szCs w:val="24"/>
        </w:rPr>
        <w:t>The</w:t>
      </w:r>
      <w:r>
        <w:rPr>
          <w:sz w:val="24"/>
          <w:szCs w:val="24"/>
        </w:rPr>
        <w:t xml:space="preserve"> breakdown of </w:t>
      </w:r>
      <w:r w:rsidR="0066181D">
        <w:rPr>
          <w:sz w:val="24"/>
          <w:szCs w:val="24"/>
        </w:rPr>
        <w:t>a</w:t>
      </w:r>
      <w:r>
        <w:rPr>
          <w:sz w:val="24"/>
          <w:szCs w:val="24"/>
        </w:rPr>
        <w:t>gency cost associated with each well class is presented in Exhibit 6-</w:t>
      </w:r>
      <w:r w:rsidR="008176C6">
        <w:rPr>
          <w:sz w:val="24"/>
          <w:szCs w:val="24"/>
        </w:rPr>
        <w:t>5</w:t>
      </w:r>
      <w:r>
        <w:rPr>
          <w:sz w:val="24"/>
          <w:szCs w:val="24"/>
        </w:rPr>
        <w:t>.</w:t>
      </w:r>
    </w:p>
    <w:p w:rsidR="00CB18A2" w:rsidP="00C714A4" w:rsidRDefault="00CB18A2" w14:paraId="00D10025" w14:textId="77777777">
      <w:pPr>
        <w:widowControl w:val="0"/>
        <w:tabs>
          <w:tab w:val="center" w:pos="4680"/>
        </w:tabs>
        <w:ind w:firstLine="720"/>
        <w:rPr>
          <w:b/>
        </w:rPr>
      </w:pPr>
    </w:p>
    <w:tbl>
      <w:tblPr>
        <w:tblW w:w="10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1255"/>
        <w:gridCol w:w="1256"/>
        <w:gridCol w:w="1255"/>
        <w:gridCol w:w="1256"/>
        <w:gridCol w:w="1255"/>
        <w:gridCol w:w="1256"/>
        <w:gridCol w:w="1256"/>
      </w:tblGrid>
      <w:tr w:rsidR="00CB18A2" w:rsidTr="00A04058" w14:paraId="48D44E62" w14:textId="77777777">
        <w:trPr>
          <w:jc w:val="center"/>
        </w:trPr>
        <w:tc>
          <w:tcPr>
            <w:tcW w:w="10769" w:type="dxa"/>
            <w:gridSpan w:val="8"/>
            <w:tcMar>
              <w:top w:w="58" w:type="dxa"/>
              <w:left w:w="115" w:type="dxa"/>
              <w:bottom w:w="58" w:type="dxa"/>
              <w:right w:w="115" w:type="dxa"/>
            </w:tcMar>
          </w:tcPr>
          <w:p w:rsidR="00CB18A2" w:rsidP="00C714A4" w:rsidRDefault="00CB18A2" w14:paraId="16D5B248" w14:textId="58071831">
            <w:pPr>
              <w:widowControl w:val="0"/>
              <w:tabs>
                <w:tab w:val="center" w:pos="4680"/>
              </w:tabs>
              <w:jc w:val="center"/>
              <w:rPr>
                <w:rFonts w:ascii="Arial" w:hAnsi="Arial" w:cs="Arial"/>
                <w:b/>
              </w:rPr>
            </w:pPr>
            <w:r w:rsidRPr="0093779F">
              <w:rPr>
                <w:rFonts w:ascii="Arial" w:hAnsi="Arial" w:cs="Arial"/>
                <w:b/>
              </w:rPr>
              <w:t>Exhibit 6-</w:t>
            </w:r>
            <w:r w:rsidR="000024C4">
              <w:rPr>
                <w:rFonts w:ascii="Arial" w:hAnsi="Arial" w:cs="Arial"/>
                <w:b/>
              </w:rPr>
              <w:t>5</w:t>
            </w:r>
          </w:p>
          <w:p w:rsidR="00CB18A2" w:rsidP="00C714A4" w:rsidRDefault="00CB18A2" w14:paraId="1F2526BC" w14:textId="77777777">
            <w:pPr>
              <w:widowControl w:val="0"/>
              <w:tabs>
                <w:tab w:val="center" w:pos="4726"/>
              </w:tabs>
              <w:jc w:val="center"/>
              <w:rPr>
                <w:rFonts w:ascii="Arial" w:hAnsi="Arial" w:cs="Arial"/>
                <w:b/>
              </w:rPr>
            </w:pPr>
            <w:r>
              <w:rPr>
                <w:rFonts w:ascii="Arial" w:hAnsi="Arial" w:cs="Arial"/>
                <w:b/>
              </w:rPr>
              <w:t>Annual Agency Burden and Cost</w:t>
            </w:r>
          </w:p>
          <w:p w:rsidRPr="0053789E" w:rsidR="00CB18A2" w:rsidP="00C714A4" w:rsidRDefault="00926C92" w14:paraId="6F4BC513" w14:textId="391426DF">
            <w:pPr>
              <w:widowControl w:val="0"/>
              <w:tabs>
                <w:tab w:val="center" w:pos="4680"/>
              </w:tabs>
              <w:jc w:val="center"/>
              <w:rPr>
                <w:rFonts w:ascii="Arial" w:hAnsi="Arial" w:cs="Arial"/>
                <w:b/>
                <w:sz w:val="18"/>
                <w:szCs w:val="18"/>
              </w:rPr>
            </w:pPr>
            <w:r>
              <w:rPr>
                <w:rFonts w:ascii="Arial" w:hAnsi="Arial" w:cs="Arial"/>
                <w:b/>
              </w:rPr>
              <w:t>2022-2024</w:t>
            </w:r>
          </w:p>
        </w:tc>
      </w:tr>
      <w:tr w:rsidR="00CB18A2" w:rsidTr="00A04058" w14:paraId="47EE89C1" w14:textId="77777777">
        <w:trPr>
          <w:jc w:val="center"/>
        </w:trPr>
        <w:tc>
          <w:tcPr>
            <w:tcW w:w="1980" w:type="dxa"/>
            <w:tcMar>
              <w:top w:w="58" w:type="dxa"/>
              <w:left w:w="115" w:type="dxa"/>
              <w:bottom w:w="58" w:type="dxa"/>
              <w:right w:w="115" w:type="dxa"/>
            </w:tcMar>
          </w:tcPr>
          <w:p w:rsidRPr="0053789E" w:rsidR="00CB18A2" w:rsidP="00C714A4" w:rsidRDefault="00CB18A2" w14:paraId="13CFCF69" w14:textId="77777777">
            <w:pPr>
              <w:widowControl w:val="0"/>
              <w:tabs>
                <w:tab w:val="center" w:pos="4680"/>
              </w:tabs>
              <w:jc w:val="center"/>
              <w:rPr>
                <w:rFonts w:ascii="Arial" w:hAnsi="Arial" w:cs="Arial"/>
                <w:sz w:val="18"/>
                <w:szCs w:val="18"/>
              </w:rPr>
            </w:pPr>
            <w:r w:rsidRPr="0053789E">
              <w:rPr>
                <w:rFonts w:ascii="Arial" w:hAnsi="Arial" w:cs="Arial"/>
                <w:b/>
                <w:sz w:val="18"/>
                <w:szCs w:val="18"/>
              </w:rPr>
              <w:t>Respondent Type</w:t>
            </w:r>
          </w:p>
        </w:tc>
        <w:tc>
          <w:tcPr>
            <w:tcW w:w="1255" w:type="dxa"/>
            <w:tcMar>
              <w:top w:w="58" w:type="dxa"/>
              <w:left w:w="115" w:type="dxa"/>
              <w:bottom w:w="58" w:type="dxa"/>
              <w:right w:w="115" w:type="dxa"/>
            </w:tcMar>
          </w:tcPr>
          <w:p w:rsidRPr="0053789E" w:rsidR="00CB18A2" w:rsidP="00C714A4" w:rsidRDefault="00CB18A2" w14:paraId="26549F66" w14:textId="77777777">
            <w:pPr>
              <w:widowControl w:val="0"/>
              <w:tabs>
                <w:tab w:val="center" w:pos="4680"/>
              </w:tabs>
              <w:jc w:val="center"/>
              <w:rPr>
                <w:rFonts w:ascii="Arial" w:hAnsi="Arial" w:cs="Arial"/>
                <w:sz w:val="18"/>
                <w:szCs w:val="18"/>
              </w:rPr>
            </w:pPr>
            <w:r w:rsidRPr="0053789E">
              <w:rPr>
                <w:rFonts w:ascii="Arial" w:hAnsi="Arial" w:cs="Arial"/>
                <w:b/>
                <w:sz w:val="18"/>
                <w:szCs w:val="18"/>
              </w:rPr>
              <w:t xml:space="preserve">Burden </w:t>
            </w:r>
            <w:r>
              <w:rPr>
                <w:rFonts w:ascii="Arial" w:hAnsi="Arial" w:cs="Arial"/>
                <w:b/>
                <w:sz w:val="18"/>
                <w:szCs w:val="18"/>
              </w:rPr>
              <w:t>(hours)</w:t>
            </w:r>
          </w:p>
        </w:tc>
        <w:tc>
          <w:tcPr>
            <w:tcW w:w="1256" w:type="dxa"/>
            <w:tcMar>
              <w:top w:w="58" w:type="dxa"/>
              <w:left w:w="115" w:type="dxa"/>
              <w:bottom w:w="58" w:type="dxa"/>
              <w:right w:w="115" w:type="dxa"/>
            </w:tcMar>
          </w:tcPr>
          <w:p w:rsidRPr="0053789E" w:rsidR="00CB18A2" w:rsidP="00C714A4" w:rsidRDefault="00CB18A2" w14:paraId="1773E4FF" w14:textId="77777777">
            <w:pPr>
              <w:widowControl w:val="0"/>
              <w:tabs>
                <w:tab w:val="center" w:pos="4680"/>
              </w:tabs>
              <w:jc w:val="center"/>
              <w:rPr>
                <w:rFonts w:ascii="Arial" w:hAnsi="Arial" w:cs="Arial"/>
                <w:sz w:val="18"/>
                <w:szCs w:val="18"/>
              </w:rPr>
            </w:pPr>
            <w:r w:rsidRPr="0053789E">
              <w:rPr>
                <w:rFonts w:ascii="Arial" w:hAnsi="Arial" w:cs="Arial"/>
                <w:b/>
                <w:sz w:val="18"/>
                <w:szCs w:val="18"/>
              </w:rPr>
              <w:t>Labor Cost</w:t>
            </w:r>
          </w:p>
        </w:tc>
        <w:tc>
          <w:tcPr>
            <w:tcW w:w="1255" w:type="dxa"/>
            <w:tcMar>
              <w:top w:w="58" w:type="dxa"/>
              <w:left w:w="115" w:type="dxa"/>
              <w:bottom w:w="58" w:type="dxa"/>
              <w:right w:w="115" w:type="dxa"/>
            </w:tcMar>
          </w:tcPr>
          <w:p w:rsidRPr="0053789E" w:rsidR="00CB18A2" w:rsidP="00C714A4" w:rsidRDefault="00CB18A2" w14:paraId="5424D56A" w14:textId="77777777">
            <w:pPr>
              <w:widowControl w:val="0"/>
              <w:tabs>
                <w:tab w:val="center" w:pos="4680"/>
              </w:tabs>
              <w:jc w:val="center"/>
              <w:rPr>
                <w:rFonts w:ascii="Arial" w:hAnsi="Arial" w:cs="Arial"/>
                <w:sz w:val="18"/>
                <w:szCs w:val="18"/>
              </w:rPr>
            </w:pPr>
            <w:r w:rsidRPr="0053789E">
              <w:rPr>
                <w:rFonts w:ascii="Arial" w:hAnsi="Arial" w:cs="Arial"/>
                <w:b/>
                <w:sz w:val="18"/>
                <w:szCs w:val="18"/>
              </w:rPr>
              <w:t>Non-Labor Cost</w:t>
            </w:r>
          </w:p>
        </w:tc>
        <w:tc>
          <w:tcPr>
            <w:tcW w:w="1256" w:type="dxa"/>
            <w:tcMar>
              <w:top w:w="58" w:type="dxa"/>
              <w:left w:w="115" w:type="dxa"/>
              <w:bottom w:w="58" w:type="dxa"/>
              <w:right w:w="115" w:type="dxa"/>
            </w:tcMar>
          </w:tcPr>
          <w:p w:rsidRPr="0053789E" w:rsidR="00CB18A2" w:rsidP="00C714A4" w:rsidRDefault="00CB18A2" w14:paraId="241C27FD" w14:textId="77777777">
            <w:pPr>
              <w:widowControl w:val="0"/>
              <w:tabs>
                <w:tab w:val="center" w:pos="4680"/>
              </w:tabs>
              <w:jc w:val="center"/>
              <w:rPr>
                <w:rFonts w:ascii="Arial" w:hAnsi="Arial" w:cs="Arial"/>
                <w:sz w:val="18"/>
                <w:szCs w:val="18"/>
              </w:rPr>
            </w:pPr>
            <w:r w:rsidRPr="0053789E">
              <w:rPr>
                <w:rFonts w:ascii="Arial" w:hAnsi="Arial" w:cs="Arial"/>
                <w:b/>
                <w:sz w:val="18"/>
                <w:szCs w:val="18"/>
              </w:rPr>
              <w:t>Total Cost</w:t>
            </w:r>
          </w:p>
        </w:tc>
        <w:tc>
          <w:tcPr>
            <w:tcW w:w="1255" w:type="dxa"/>
          </w:tcPr>
          <w:p w:rsidRPr="0053789E" w:rsidR="00CB18A2" w:rsidP="00C714A4" w:rsidRDefault="00CB18A2" w14:paraId="6736DEA3" w14:textId="77777777">
            <w:pPr>
              <w:widowControl w:val="0"/>
              <w:tabs>
                <w:tab w:val="center" w:pos="4680"/>
              </w:tabs>
              <w:jc w:val="center"/>
              <w:rPr>
                <w:rFonts w:ascii="Arial" w:hAnsi="Arial" w:cs="Arial"/>
                <w:sz w:val="18"/>
                <w:szCs w:val="18"/>
              </w:rPr>
            </w:pPr>
            <w:r w:rsidRPr="0053789E">
              <w:rPr>
                <w:rFonts w:ascii="Arial" w:hAnsi="Arial" w:cs="Arial"/>
                <w:b/>
                <w:sz w:val="18"/>
                <w:szCs w:val="18"/>
              </w:rPr>
              <w:t>Responses</w:t>
            </w:r>
          </w:p>
        </w:tc>
        <w:tc>
          <w:tcPr>
            <w:tcW w:w="1256" w:type="dxa"/>
          </w:tcPr>
          <w:p w:rsidRPr="0053789E" w:rsidR="00CB18A2" w:rsidP="00C714A4" w:rsidRDefault="00CB18A2" w14:paraId="3F08093A" w14:textId="77777777">
            <w:pPr>
              <w:widowControl w:val="0"/>
              <w:tabs>
                <w:tab w:val="center" w:pos="4680"/>
              </w:tabs>
              <w:jc w:val="center"/>
              <w:rPr>
                <w:rFonts w:ascii="Arial" w:hAnsi="Arial" w:cs="Arial"/>
                <w:b/>
                <w:sz w:val="18"/>
                <w:szCs w:val="18"/>
              </w:rPr>
            </w:pPr>
            <w:r w:rsidRPr="0053789E">
              <w:rPr>
                <w:rFonts w:ascii="Arial" w:hAnsi="Arial" w:cs="Arial"/>
                <w:b/>
                <w:sz w:val="18"/>
                <w:szCs w:val="18"/>
              </w:rPr>
              <w:t>Burden/ Response</w:t>
            </w:r>
          </w:p>
        </w:tc>
        <w:tc>
          <w:tcPr>
            <w:tcW w:w="1256" w:type="dxa"/>
          </w:tcPr>
          <w:p w:rsidRPr="0053789E" w:rsidR="00CB18A2" w:rsidP="00C714A4" w:rsidRDefault="00CB18A2" w14:paraId="3256D322" w14:textId="77777777">
            <w:pPr>
              <w:widowControl w:val="0"/>
              <w:tabs>
                <w:tab w:val="center" w:pos="4680"/>
              </w:tabs>
              <w:jc w:val="center"/>
              <w:rPr>
                <w:rFonts w:ascii="Arial" w:hAnsi="Arial" w:cs="Arial"/>
                <w:b/>
                <w:sz w:val="18"/>
                <w:szCs w:val="18"/>
              </w:rPr>
            </w:pPr>
            <w:r w:rsidRPr="0053789E">
              <w:rPr>
                <w:rFonts w:ascii="Arial" w:hAnsi="Arial" w:cs="Arial"/>
                <w:b/>
                <w:sz w:val="18"/>
                <w:szCs w:val="18"/>
              </w:rPr>
              <w:t>Cost/ Response</w:t>
            </w:r>
          </w:p>
        </w:tc>
      </w:tr>
      <w:tr w:rsidR="00393AEB" w:rsidTr="00A04058" w14:paraId="7FA3B672" w14:textId="77777777">
        <w:trPr>
          <w:jc w:val="center"/>
        </w:trPr>
        <w:tc>
          <w:tcPr>
            <w:tcW w:w="1980" w:type="dxa"/>
            <w:tcMar>
              <w:top w:w="58" w:type="dxa"/>
              <w:left w:w="115" w:type="dxa"/>
              <w:bottom w:w="58" w:type="dxa"/>
              <w:right w:w="115" w:type="dxa"/>
            </w:tcMar>
          </w:tcPr>
          <w:p w:rsidRPr="00231DFB" w:rsidR="00393AEB" w:rsidP="00393AEB" w:rsidRDefault="00393AEB" w14:paraId="2527991E" w14:textId="77777777">
            <w:pPr>
              <w:widowControl w:val="0"/>
              <w:tabs>
                <w:tab w:val="center" w:pos="4680"/>
              </w:tabs>
              <w:rPr>
                <w:rFonts w:ascii="Arial" w:hAnsi="Arial" w:cs="Arial"/>
                <w:sz w:val="18"/>
                <w:szCs w:val="18"/>
              </w:rPr>
            </w:pPr>
            <w:r w:rsidRPr="00231DFB">
              <w:rPr>
                <w:rFonts w:ascii="Arial" w:hAnsi="Arial" w:cs="Arial"/>
                <w:sz w:val="18"/>
                <w:szCs w:val="18"/>
              </w:rPr>
              <w:t xml:space="preserve">Class I </w:t>
            </w:r>
            <w:r>
              <w:rPr>
                <w:rFonts w:ascii="Arial" w:hAnsi="Arial" w:cs="Arial"/>
                <w:sz w:val="18"/>
                <w:szCs w:val="18"/>
              </w:rPr>
              <w:t>DI Programs</w:t>
            </w:r>
          </w:p>
        </w:tc>
        <w:tc>
          <w:tcPr>
            <w:tcW w:w="1255" w:type="dxa"/>
            <w:tcMar>
              <w:top w:w="58" w:type="dxa"/>
              <w:left w:w="115" w:type="dxa"/>
              <w:bottom w:w="58" w:type="dxa"/>
              <w:right w:w="115" w:type="dxa"/>
            </w:tcMar>
            <w:vAlign w:val="bottom"/>
          </w:tcPr>
          <w:p w:rsidRPr="00853D61" w:rsidR="00393AEB" w:rsidP="00393AEB" w:rsidRDefault="00393AEB" w14:paraId="7B29CBDE" w14:textId="7AB243D6">
            <w:pPr>
              <w:jc w:val="right"/>
              <w:rPr>
                <w:rFonts w:ascii="Arial" w:hAnsi="Arial" w:cs="Arial"/>
                <w:sz w:val="18"/>
                <w:szCs w:val="18"/>
              </w:rPr>
            </w:pPr>
            <w:r w:rsidRPr="005E1D19">
              <w:rPr>
                <w:rFonts w:ascii="Arial" w:hAnsi="Arial" w:cs="Arial"/>
                <w:sz w:val="18"/>
                <w:szCs w:val="18"/>
              </w:rPr>
              <w:t xml:space="preserve">19,885 </w:t>
            </w:r>
          </w:p>
        </w:tc>
        <w:tc>
          <w:tcPr>
            <w:tcW w:w="1256" w:type="dxa"/>
            <w:tcMar>
              <w:top w:w="58" w:type="dxa"/>
              <w:left w:w="115" w:type="dxa"/>
              <w:bottom w:w="58" w:type="dxa"/>
              <w:right w:w="115" w:type="dxa"/>
            </w:tcMar>
            <w:vAlign w:val="bottom"/>
          </w:tcPr>
          <w:p w:rsidRPr="00853D61" w:rsidR="00393AEB" w:rsidP="00393AEB" w:rsidRDefault="00393AEB" w14:paraId="0D7EF7CA" w14:textId="19899D68">
            <w:pPr>
              <w:jc w:val="right"/>
              <w:rPr>
                <w:rFonts w:ascii="Arial" w:hAnsi="Arial" w:cs="Arial"/>
                <w:sz w:val="18"/>
                <w:szCs w:val="18"/>
              </w:rPr>
            </w:pPr>
            <w:r w:rsidRPr="005E1D19">
              <w:rPr>
                <w:rFonts w:ascii="Arial" w:hAnsi="Arial" w:cs="Arial"/>
                <w:sz w:val="18"/>
                <w:szCs w:val="18"/>
              </w:rPr>
              <w:t xml:space="preserve">$913,101 </w:t>
            </w:r>
          </w:p>
        </w:tc>
        <w:tc>
          <w:tcPr>
            <w:tcW w:w="1255" w:type="dxa"/>
            <w:tcMar>
              <w:top w:w="58" w:type="dxa"/>
              <w:left w:w="115" w:type="dxa"/>
              <w:bottom w:w="58" w:type="dxa"/>
              <w:right w:w="115" w:type="dxa"/>
            </w:tcMar>
            <w:vAlign w:val="bottom"/>
          </w:tcPr>
          <w:p w:rsidRPr="00853D61" w:rsidR="00393AEB" w:rsidP="00393AEB" w:rsidRDefault="00393AEB" w14:paraId="5AF4C8D6" w14:textId="6FE6629F">
            <w:pPr>
              <w:jc w:val="right"/>
              <w:rPr>
                <w:rFonts w:ascii="Arial" w:hAnsi="Arial" w:cs="Arial"/>
                <w:sz w:val="18"/>
                <w:szCs w:val="18"/>
              </w:rPr>
            </w:pPr>
            <w:r w:rsidRPr="005E1D19">
              <w:rPr>
                <w:rFonts w:ascii="Arial" w:hAnsi="Arial" w:cs="Arial"/>
                <w:sz w:val="18"/>
                <w:szCs w:val="18"/>
              </w:rPr>
              <w:t xml:space="preserve">$0 </w:t>
            </w:r>
          </w:p>
        </w:tc>
        <w:tc>
          <w:tcPr>
            <w:tcW w:w="1256" w:type="dxa"/>
            <w:tcMar>
              <w:top w:w="58" w:type="dxa"/>
              <w:left w:w="115" w:type="dxa"/>
              <w:bottom w:w="58" w:type="dxa"/>
              <w:right w:w="115" w:type="dxa"/>
            </w:tcMar>
            <w:vAlign w:val="bottom"/>
          </w:tcPr>
          <w:p w:rsidRPr="00853D61" w:rsidR="00393AEB" w:rsidP="00393AEB" w:rsidRDefault="00393AEB" w14:paraId="7BC9AC61" w14:textId="7C05325F">
            <w:pPr>
              <w:jc w:val="right"/>
              <w:rPr>
                <w:rFonts w:ascii="Arial" w:hAnsi="Arial" w:cs="Arial"/>
                <w:sz w:val="18"/>
                <w:szCs w:val="18"/>
              </w:rPr>
            </w:pPr>
            <w:r w:rsidRPr="005E1D19">
              <w:rPr>
                <w:rFonts w:ascii="Arial" w:hAnsi="Arial" w:cs="Arial"/>
                <w:sz w:val="18"/>
                <w:szCs w:val="18"/>
              </w:rPr>
              <w:t xml:space="preserve">$913,101 </w:t>
            </w:r>
          </w:p>
        </w:tc>
        <w:tc>
          <w:tcPr>
            <w:tcW w:w="1255" w:type="dxa"/>
            <w:vAlign w:val="bottom"/>
          </w:tcPr>
          <w:p w:rsidRPr="00853D61" w:rsidR="00393AEB" w:rsidP="00393AEB" w:rsidRDefault="00393AEB" w14:paraId="02E701FF" w14:textId="039444FD">
            <w:pPr>
              <w:jc w:val="right"/>
              <w:rPr>
                <w:rFonts w:ascii="Arial" w:hAnsi="Arial" w:cs="Arial"/>
                <w:sz w:val="18"/>
                <w:szCs w:val="18"/>
              </w:rPr>
            </w:pPr>
            <w:r w:rsidRPr="005E1D19">
              <w:rPr>
                <w:rFonts w:ascii="Arial" w:hAnsi="Arial" w:cs="Arial"/>
                <w:sz w:val="18"/>
                <w:szCs w:val="18"/>
              </w:rPr>
              <w:t xml:space="preserve">815.8 </w:t>
            </w:r>
          </w:p>
        </w:tc>
        <w:tc>
          <w:tcPr>
            <w:tcW w:w="1256" w:type="dxa"/>
            <w:vAlign w:val="bottom"/>
          </w:tcPr>
          <w:p w:rsidRPr="00853D61" w:rsidR="00393AEB" w:rsidP="00393AEB" w:rsidRDefault="00393AEB" w14:paraId="734457BE" w14:textId="02500A4B">
            <w:pPr>
              <w:jc w:val="right"/>
              <w:rPr>
                <w:rFonts w:ascii="Arial" w:hAnsi="Arial" w:cs="Arial"/>
                <w:sz w:val="18"/>
                <w:szCs w:val="18"/>
              </w:rPr>
            </w:pPr>
            <w:r w:rsidRPr="005E1D19">
              <w:rPr>
                <w:rFonts w:ascii="Arial" w:hAnsi="Arial" w:cs="Arial"/>
                <w:sz w:val="18"/>
                <w:szCs w:val="18"/>
              </w:rPr>
              <w:t>24.37</w:t>
            </w:r>
          </w:p>
        </w:tc>
        <w:tc>
          <w:tcPr>
            <w:tcW w:w="1256" w:type="dxa"/>
            <w:vAlign w:val="bottom"/>
          </w:tcPr>
          <w:p w:rsidRPr="00853D61" w:rsidR="00393AEB" w:rsidP="00393AEB" w:rsidRDefault="00393AEB" w14:paraId="1FE71880" w14:textId="60F93AC1">
            <w:pPr>
              <w:jc w:val="right"/>
              <w:rPr>
                <w:rFonts w:ascii="Arial" w:hAnsi="Arial" w:cs="Arial"/>
                <w:sz w:val="18"/>
                <w:szCs w:val="18"/>
              </w:rPr>
            </w:pPr>
            <w:r w:rsidRPr="005E1D19">
              <w:rPr>
                <w:rFonts w:ascii="Arial" w:hAnsi="Arial" w:cs="Arial"/>
                <w:sz w:val="18"/>
                <w:szCs w:val="18"/>
              </w:rPr>
              <w:t xml:space="preserve">$1,119.27 </w:t>
            </w:r>
          </w:p>
        </w:tc>
      </w:tr>
      <w:tr w:rsidR="00393AEB" w:rsidTr="00A04058" w14:paraId="380DD240" w14:textId="77777777">
        <w:trPr>
          <w:jc w:val="center"/>
        </w:trPr>
        <w:tc>
          <w:tcPr>
            <w:tcW w:w="1980" w:type="dxa"/>
            <w:tcMar>
              <w:top w:w="58" w:type="dxa"/>
              <w:left w:w="115" w:type="dxa"/>
              <w:bottom w:w="58" w:type="dxa"/>
              <w:right w:w="115" w:type="dxa"/>
            </w:tcMar>
          </w:tcPr>
          <w:p w:rsidRPr="00231DFB" w:rsidR="00393AEB" w:rsidP="00393AEB" w:rsidRDefault="00393AEB" w14:paraId="469B2C59" w14:textId="77777777">
            <w:pPr>
              <w:widowControl w:val="0"/>
              <w:tabs>
                <w:tab w:val="center" w:pos="4680"/>
              </w:tabs>
              <w:rPr>
                <w:rFonts w:ascii="Arial" w:hAnsi="Arial" w:cs="Arial"/>
                <w:sz w:val="18"/>
                <w:szCs w:val="18"/>
              </w:rPr>
            </w:pPr>
            <w:r w:rsidRPr="00231DFB">
              <w:rPr>
                <w:rFonts w:ascii="Arial" w:hAnsi="Arial" w:cs="Arial"/>
                <w:sz w:val="18"/>
                <w:szCs w:val="18"/>
              </w:rPr>
              <w:t xml:space="preserve">Class II </w:t>
            </w:r>
            <w:r>
              <w:rPr>
                <w:rFonts w:ascii="Arial" w:hAnsi="Arial" w:cs="Arial"/>
                <w:sz w:val="18"/>
                <w:szCs w:val="18"/>
              </w:rPr>
              <w:t>DI Programs</w:t>
            </w:r>
          </w:p>
        </w:tc>
        <w:tc>
          <w:tcPr>
            <w:tcW w:w="1255" w:type="dxa"/>
            <w:tcMar>
              <w:top w:w="58" w:type="dxa"/>
              <w:left w:w="115" w:type="dxa"/>
              <w:bottom w:w="58" w:type="dxa"/>
              <w:right w:w="115" w:type="dxa"/>
            </w:tcMar>
            <w:vAlign w:val="bottom"/>
          </w:tcPr>
          <w:p w:rsidRPr="00853D61" w:rsidR="00393AEB" w:rsidP="00393AEB" w:rsidRDefault="00393AEB" w14:paraId="4A0132C4" w14:textId="1B386279">
            <w:pPr>
              <w:jc w:val="right"/>
              <w:rPr>
                <w:rFonts w:ascii="Arial" w:hAnsi="Arial" w:cs="Arial"/>
                <w:sz w:val="18"/>
                <w:szCs w:val="18"/>
              </w:rPr>
            </w:pPr>
            <w:r w:rsidRPr="005E1D19">
              <w:rPr>
                <w:rFonts w:ascii="Arial" w:hAnsi="Arial" w:cs="Arial"/>
                <w:sz w:val="18"/>
                <w:szCs w:val="18"/>
              </w:rPr>
              <w:t>5,938</w:t>
            </w:r>
          </w:p>
        </w:tc>
        <w:tc>
          <w:tcPr>
            <w:tcW w:w="1256" w:type="dxa"/>
            <w:tcMar>
              <w:top w:w="58" w:type="dxa"/>
              <w:left w:w="115" w:type="dxa"/>
              <w:bottom w:w="58" w:type="dxa"/>
              <w:right w:w="115" w:type="dxa"/>
            </w:tcMar>
            <w:vAlign w:val="bottom"/>
          </w:tcPr>
          <w:p w:rsidRPr="00853D61" w:rsidR="00393AEB" w:rsidP="00393AEB" w:rsidRDefault="00393AEB" w14:paraId="2B055A47" w14:textId="27319FA0">
            <w:pPr>
              <w:jc w:val="right"/>
              <w:rPr>
                <w:rFonts w:ascii="Arial" w:hAnsi="Arial" w:cs="Arial"/>
                <w:sz w:val="18"/>
                <w:szCs w:val="18"/>
              </w:rPr>
            </w:pPr>
            <w:r w:rsidRPr="005E1D19">
              <w:rPr>
                <w:rFonts w:ascii="Arial" w:hAnsi="Arial" w:cs="Arial"/>
                <w:sz w:val="18"/>
                <w:szCs w:val="18"/>
              </w:rPr>
              <w:t xml:space="preserve">$272,682 </w:t>
            </w:r>
          </w:p>
        </w:tc>
        <w:tc>
          <w:tcPr>
            <w:tcW w:w="1255" w:type="dxa"/>
            <w:tcMar>
              <w:top w:w="58" w:type="dxa"/>
              <w:left w:w="115" w:type="dxa"/>
              <w:bottom w:w="58" w:type="dxa"/>
              <w:right w:w="115" w:type="dxa"/>
            </w:tcMar>
            <w:vAlign w:val="bottom"/>
          </w:tcPr>
          <w:p w:rsidRPr="00853D61" w:rsidR="00393AEB" w:rsidP="00393AEB" w:rsidRDefault="00393AEB" w14:paraId="07651DCE" w14:textId="7776FC53">
            <w:pPr>
              <w:jc w:val="right"/>
              <w:rPr>
                <w:rFonts w:ascii="Arial" w:hAnsi="Arial" w:cs="Arial"/>
                <w:sz w:val="18"/>
                <w:szCs w:val="18"/>
              </w:rPr>
            </w:pPr>
            <w:r w:rsidRPr="005E1D19">
              <w:rPr>
                <w:rFonts w:ascii="Arial" w:hAnsi="Arial" w:cs="Arial"/>
                <w:sz w:val="18"/>
                <w:szCs w:val="18"/>
              </w:rPr>
              <w:t xml:space="preserve">$0 </w:t>
            </w:r>
          </w:p>
        </w:tc>
        <w:tc>
          <w:tcPr>
            <w:tcW w:w="1256" w:type="dxa"/>
            <w:tcMar>
              <w:top w:w="58" w:type="dxa"/>
              <w:left w:w="115" w:type="dxa"/>
              <w:bottom w:w="58" w:type="dxa"/>
              <w:right w:w="115" w:type="dxa"/>
            </w:tcMar>
            <w:vAlign w:val="bottom"/>
          </w:tcPr>
          <w:p w:rsidRPr="00853D61" w:rsidR="00393AEB" w:rsidP="00393AEB" w:rsidRDefault="00393AEB" w14:paraId="4D350A4D" w14:textId="5EFD886F">
            <w:pPr>
              <w:jc w:val="right"/>
              <w:rPr>
                <w:rFonts w:ascii="Arial" w:hAnsi="Arial" w:cs="Arial"/>
                <w:sz w:val="18"/>
                <w:szCs w:val="18"/>
              </w:rPr>
            </w:pPr>
            <w:r w:rsidRPr="005E1D19">
              <w:rPr>
                <w:rFonts w:ascii="Arial" w:hAnsi="Arial" w:cs="Arial"/>
                <w:sz w:val="18"/>
                <w:szCs w:val="18"/>
              </w:rPr>
              <w:t xml:space="preserve">$272,682 </w:t>
            </w:r>
          </w:p>
        </w:tc>
        <w:tc>
          <w:tcPr>
            <w:tcW w:w="1255" w:type="dxa"/>
            <w:vAlign w:val="bottom"/>
          </w:tcPr>
          <w:p w:rsidRPr="00853D61" w:rsidR="00393AEB" w:rsidP="00393AEB" w:rsidRDefault="00393AEB" w14:paraId="06D91B18" w14:textId="0F781322">
            <w:pPr>
              <w:jc w:val="right"/>
              <w:rPr>
                <w:rFonts w:ascii="Arial" w:hAnsi="Arial" w:cs="Arial"/>
                <w:sz w:val="18"/>
                <w:szCs w:val="18"/>
              </w:rPr>
            </w:pPr>
            <w:r w:rsidRPr="005E1D19">
              <w:rPr>
                <w:rFonts w:ascii="Arial" w:hAnsi="Arial" w:cs="Arial"/>
                <w:sz w:val="18"/>
                <w:szCs w:val="18"/>
              </w:rPr>
              <w:t xml:space="preserve">5,111.9 </w:t>
            </w:r>
          </w:p>
        </w:tc>
        <w:tc>
          <w:tcPr>
            <w:tcW w:w="1256" w:type="dxa"/>
            <w:vAlign w:val="bottom"/>
          </w:tcPr>
          <w:p w:rsidRPr="00853D61" w:rsidR="00393AEB" w:rsidP="00393AEB" w:rsidRDefault="00393AEB" w14:paraId="51F12981" w14:textId="0C022CFA">
            <w:pPr>
              <w:jc w:val="right"/>
              <w:rPr>
                <w:rFonts w:ascii="Arial" w:hAnsi="Arial" w:cs="Arial"/>
                <w:sz w:val="18"/>
                <w:szCs w:val="18"/>
              </w:rPr>
            </w:pPr>
            <w:r w:rsidRPr="005E1D19">
              <w:rPr>
                <w:rFonts w:ascii="Arial" w:hAnsi="Arial" w:cs="Arial"/>
                <w:sz w:val="18"/>
                <w:szCs w:val="18"/>
              </w:rPr>
              <w:t>1.16</w:t>
            </w:r>
          </w:p>
        </w:tc>
        <w:tc>
          <w:tcPr>
            <w:tcW w:w="1256" w:type="dxa"/>
            <w:vAlign w:val="bottom"/>
          </w:tcPr>
          <w:p w:rsidRPr="00853D61" w:rsidR="00393AEB" w:rsidP="00393AEB" w:rsidRDefault="00393AEB" w14:paraId="2BD22623" w14:textId="4BDA967A">
            <w:pPr>
              <w:jc w:val="right"/>
              <w:rPr>
                <w:rFonts w:ascii="Arial" w:hAnsi="Arial" w:cs="Arial"/>
                <w:sz w:val="18"/>
                <w:szCs w:val="18"/>
              </w:rPr>
            </w:pPr>
            <w:r w:rsidRPr="005E1D19">
              <w:rPr>
                <w:rFonts w:ascii="Arial" w:hAnsi="Arial" w:cs="Arial"/>
                <w:sz w:val="18"/>
                <w:szCs w:val="18"/>
              </w:rPr>
              <w:t xml:space="preserve">$53.34 </w:t>
            </w:r>
          </w:p>
        </w:tc>
      </w:tr>
      <w:tr w:rsidR="00393AEB" w:rsidTr="00A04058" w14:paraId="48B8C32D" w14:textId="77777777">
        <w:trPr>
          <w:jc w:val="center"/>
        </w:trPr>
        <w:tc>
          <w:tcPr>
            <w:tcW w:w="1980" w:type="dxa"/>
            <w:tcMar>
              <w:top w:w="58" w:type="dxa"/>
              <w:left w:w="115" w:type="dxa"/>
              <w:bottom w:w="58" w:type="dxa"/>
              <w:right w:w="115" w:type="dxa"/>
            </w:tcMar>
          </w:tcPr>
          <w:p w:rsidRPr="00231DFB" w:rsidR="00393AEB" w:rsidP="00393AEB" w:rsidRDefault="00393AEB" w14:paraId="0547AA4F" w14:textId="77777777">
            <w:pPr>
              <w:widowControl w:val="0"/>
              <w:tabs>
                <w:tab w:val="center" w:pos="4680"/>
              </w:tabs>
              <w:rPr>
                <w:rFonts w:ascii="Arial" w:hAnsi="Arial" w:cs="Arial"/>
                <w:sz w:val="18"/>
                <w:szCs w:val="18"/>
              </w:rPr>
            </w:pPr>
            <w:r w:rsidRPr="00231DFB">
              <w:rPr>
                <w:rFonts w:ascii="Arial" w:hAnsi="Arial" w:cs="Arial"/>
                <w:sz w:val="18"/>
                <w:szCs w:val="18"/>
              </w:rPr>
              <w:t xml:space="preserve">Class III </w:t>
            </w:r>
            <w:r>
              <w:rPr>
                <w:rFonts w:ascii="Arial" w:hAnsi="Arial" w:cs="Arial"/>
                <w:sz w:val="18"/>
                <w:szCs w:val="18"/>
              </w:rPr>
              <w:t>DI Programs</w:t>
            </w:r>
          </w:p>
        </w:tc>
        <w:tc>
          <w:tcPr>
            <w:tcW w:w="1255" w:type="dxa"/>
            <w:tcMar>
              <w:top w:w="58" w:type="dxa"/>
              <w:left w:w="115" w:type="dxa"/>
              <w:bottom w:w="58" w:type="dxa"/>
              <w:right w:w="115" w:type="dxa"/>
            </w:tcMar>
            <w:vAlign w:val="bottom"/>
          </w:tcPr>
          <w:p w:rsidRPr="00853D61" w:rsidR="00393AEB" w:rsidP="00393AEB" w:rsidRDefault="00393AEB" w14:paraId="295D4FFF" w14:textId="6FD45F28">
            <w:pPr>
              <w:jc w:val="right"/>
              <w:rPr>
                <w:rFonts w:ascii="Arial" w:hAnsi="Arial" w:cs="Arial"/>
                <w:sz w:val="18"/>
                <w:szCs w:val="18"/>
              </w:rPr>
            </w:pPr>
            <w:r w:rsidRPr="005E1D19">
              <w:rPr>
                <w:rFonts w:ascii="Arial" w:hAnsi="Arial" w:cs="Arial"/>
                <w:sz w:val="18"/>
                <w:szCs w:val="18"/>
              </w:rPr>
              <w:t xml:space="preserve">215 </w:t>
            </w:r>
          </w:p>
        </w:tc>
        <w:tc>
          <w:tcPr>
            <w:tcW w:w="1256" w:type="dxa"/>
            <w:tcMar>
              <w:top w:w="58" w:type="dxa"/>
              <w:left w:w="115" w:type="dxa"/>
              <w:bottom w:w="58" w:type="dxa"/>
              <w:right w:w="115" w:type="dxa"/>
            </w:tcMar>
            <w:vAlign w:val="bottom"/>
          </w:tcPr>
          <w:p w:rsidRPr="00853D61" w:rsidR="00393AEB" w:rsidP="00393AEB" w:rsidRDefault="00393AEB" w14:paraId="7BD2C56C" w14:textId="39071941">
            <w:pPr>
              <w:jc w:val="right"/>
              <w:rPr>
                <w:rFonts w:ascii="Arial" w:hAnsi="Arial" w:cs="Arial"/>
                <w:sz w:val="18"/>
                <w:szCs w:val="18"/>
              </w:rPr>
            </w:pPr>
            <w:r w:rsidRPr="005E1D19">
              <w:rPr>
                <w:rFonts w:ascii="Arial" w:hAnsi="Arial" w:cs="Arial"/>
                <w:sz w:val="18"/>
                <w:szCs w:val="18"/>
              </w:rPr>
              <w:t xml:space="preserve">$9,886 </w:t>
            </w:r>
          </w:p>
        </w:tc>
        <w:tc>
          <w:tcPr>
            <w:tcW w:w="1255" w:type="dxa"/>
            <w:tcMar>
              <w:top w:w="58" w:type="dxa"/>
              <w:left w:w="115" w:type="dxa"/>
              <w:bottom w:w="58" w:type="dxa"/>
              <w:right w:w="115" w:type="dxa"/>
            </w:tcMar>
            <w:vAlign w:val="bottom"/>
          </w:tcPr>
          <w:p w:rsidRPr="00853D61" w:rsidR="00393AEB" w:rsidP="00393AEB" w:rsidRDefault="00393AEB" w14:paraId="5FECADA1" w14:textId="743578CE">
            <w:pPr>
              <w:jc w:val="right"/>
              <w:rPr>
                <w:rFonts w:ascii="Arial" w:hAnsi="Arial" w:cs="Arial"/>
                <w:sz w:val="18"/>
                <w:szCs w:val="18"/>
              </w:rPr>
            </w:pPr>
            <w:r w:rsidRPr="005E1D19">
              <w:rPr>
                <w:rFonts w:ascii="Arial" w:hAnsi="Arial" w:cs="Arial"/>
                <w:sz w:val="18"/>
                <w:szCs w:val="18"/>
              </w:rPr>
              <w:t xml:space="preserve">$0 </w:t>
            </w:r>
          </w:p>
        </w:tc>
        <w:tc>
          <w:tcPr>
            <w:tcW w:w="1256" w:type="dxa"/>
            <w:tcMar>
              <w:top w:w="58" w:type="dxa"/>
              <w:left w:w="115" w:type="dxa"/>
              <w:bottom w:w="58" w:type="dxa"/>
              <w:right w:w="115" w:type="dxa"/>
            </w:tcMar>
            <w:vAlign w:val="bottom"/>
          </w:tcPr>
          <w:p w:rsidRPr="00853D61" w:rsidR="00393AEB" w:rsidP="00393AEB" w:rsidRDefault="00393AEB" w14:paraId="15CDDAD3" w14:textId="3CE7E997">
            <w:pPr>
              <w:jc w:val="right"/>
              <w:rPr>
                <w:rFonts w:ascii="Arial" w:hAnsi="Arial" w:cs="Arial"/>
                <w:sz w:val="18"/>
                <w:szCs w:val="18"/>
              </w:rPr>
            </w:pPr>
            <w:r w:rsidRPr="005E1D19">
              <w:rPr>
                <w:rFonts w:ascii="Arial" w:hAnsi="Arial" w:cs="Arial"/>
                <w:sz w:val="18"/>
                <w:szCs w:val="18"/>
              </w:rPr>
              <w:t xml:space="preserve">$9,886 </w:t>
            </w:r>
          </w:p>
        </w:tc>
        <w:tc>
          <w:tcPr>
            <w:tcW w:w="1255" w:type="dxa"/>
            <w:vAlign w:val="bottom"/>
          </w:tcPr>
          <w:p w:rsidRPr="00853D61" w:rsidR="00393AEB" w:rsidP="00393AEB" w:rsidRDefault="00393AEB" w14:paraId="15508242" w14:textId="19B7F30E">
            <w:pPr>
              <w:jc w:val="right"/>
              <w:rPr>
                <w:rFonts w:ascii="Arial" w:hAnsi="Arial" w:cs="Arial"/>
                <w:sz w:val="18"/>
                <w:szCs w:val="18"/>
              </w:rPr>
            </w:pPr>
            <w:r w:rsidRPr="005E1D19">
              <w:rPr>
                <w:rFonts w:ascii="Arial" w:hAnsi="Arial" w:cs="Arial"/>
                <w:sz w:val="18"/>
                <w:szCs w:val="18"/>
              </w:rPr>
              <w:t xml:space="preserve">161.3 </w:t>
            </w:r>
          </w:p>
        </w:tc>
        <w:tc>
          <w:tcPr>
            <w:tcW w:w="1256" w:type="dxa"/>
            <w:vAlign w:val="bottom"/>
          </w:tcPr>
          <w:p w:rsidRPr="00853D61" w:rsidR="00393AEB" w:rsidP="00393AEB" w:rsidRDefault="00393AEB" w14:paraId="4CA1DAE5" w14:textId="72ACFE4C">
            <w:pPr>
              <w:jc w:val="right"/>
              <w:rPr>
                <w:rFonts w:ascii="Arial" w:hAnsi="Arial" w:cs="Arial"/>
                <w:sz w:val="18"/>
                <w:szCs w:val="18"/>
              </w:rPr>
            </w:pPr>
            <w:r w:rsidRPr="005E1D19">
              <w:rPr>
                <w:rFonts w:ascii="Arial" w:hAnsi="Arial" w:cs="Arial"/>
                <w:sz w:val="18"/>
                <w:szCs w:val="18"/>
              </w:rPr>
              <w:t>1.33</w:t>
            </w:r>
          </w:p>
        </w:tc>
        <w:tc>
          <w:tcPr>
            <w:tcW w:w="1256" w:type="dxa"/>
            <w:vAlign w:val="bottom"/>
          </w:tcPr>
          <w:p w:rsidRPr="00853D61" w:rsidR="00393AEB" w:rsidP="00393AEB" w:rsidRDefault="00393AEB" w14:paraId="78575084" w14:textId="508736C3">
            <w:pPr>
              <w:jc w:val="right"/>
              <w:rPr>
                <w:rFonts w:ascii="Arial" w:hAnsi="Arial" w:cs="Arial"/>
                <w:sz w:val="18"/>
                <w:szCs w:val="18"/>
              </w:rPr>
            </w:pPr>
            <w:r w:rsidRPr="005E1D19">
              <w:rPr>
                <w:rFonts w:ascii="Arial" w:hAnsi="Arial" w:cs="Arial"/>
                <w:sz w:val="18"/>
                <w:szCs w:val="18"/>
              </w:rPr>
              <w:t xml:space="preserve">$61.28 </w:t>
            </w:r>
          </w:p>
        </w:tc>
      </w:tr>
      <w:tr w:rsidR="00393AEB" w:rsidTr="00A04058" w14:paraId="19DAB167" w14:textId="77777777">
        <w:trPr>
          <w:jc w:val="center"/>
        </w:trPr>
        <w:tc>
          <w:tcPr>
            <w:tcW w:w="1980" w:type="dxa"/>
            <w:tcMar>
              <w:top w:w="58" w:type="dxa"/>
              <w:left w:w="115" w:type="dxa"/>
              <w:bottom w:w="58" w:type="dxa"/>
              <w:right w:w="115" w:type="dxa"/>
            </w:tcMar>
          </w:tcPr>
          <w:p w:rsidRPr="00CB18A2" w:rsidR="00393AEB" w:rsidP="00393AEB" w:rsidRDefault="00393AEB" w14:paraId="73246C7D" w14:textId="77777777">
            <w:pPr>
              <w:widowControl w:val="0"/>
              <w:tabs>
                <w:tab w:val="center" w:pos="4680"/>
              </w:tabs>
              <w:rPr>
                <w:rFonts w:ascii="Arial" w:hAnsi="Arial" w:cs="Arial"/>
                <w:sz w:val="18"/>
                <w:szCs w:val="18"/>
              </w:rPr>
            </w:pPr>
            <w:r w:rsidRPr="00CB18A2">
              <w:rPr>
                <w:rFonts w:ascii="Arial" w:hAnsi="Arial" w:cs="Arial"/>
                <w:sz w:val="18"/>
                <w:szCs w:val="18"/>
              </w:rPr>
              <w:t xml:space="preserve">Class IV </w:t>
            </w:r>
            <w:r>
              <w:rPr>
                <w:rFonts w:ascii="Arial" w:hAnsi="Arial" w:cs="Arial"/>
                <w:sz w:val="18"/>
                <w:szCs w:val="18"/>
              </w:rPr>
              <w:t xml:space="preserve">DI </w:t>
            </w:r>
            <w:r w:rsidRPr="00CB18A2">
              <w:rPr>
                <w:rFonts w:ascii="Arial" w:hAnsi="Arial" w:cs="Arial"/>
                <w:sz w:val="18"/>
                <w:szCs w:val="18"/>
              </w:rPr>
              <w:t>Programs</w:t>
            </w:r>
          </w:p>
        </w:tc>
        <w:tc>
          <w:tcPr>
            <w:tcW w:w="1255" w:type="dxa"/>
            <w:tcMar>
              <w:top w:w="58" w:type="dxa"/>
              <w:left w:w="115" w:type="dxa"/>
              <w:bottom w:w="58" w:type="dxa"/>
              <w:right w:w="115" w:type="dxa"/>
            </w:tcMar>
            <w:vAlign w:val="bottom"/>
          </w:tcPr>
          <w:p w:rsidRPr="00853D61" w:rsidR="00393AEB" w:rsidP="00393AEB" w:rsidRDefault="00393AEB" w14:paraId="5762DAC4" w14:textId="0E53DE33">
            <w:pPr>
              <w:jc w:val="right"/>
              <w:rPr>
                <w:rFonts w:ascii="Arial" w:hAnsi="Arial" w:cs="Arial"/>
                <w:sz w:val="18"/>
                <w:szCs w:val="18"/>
              </w:rPr>
            </w:pPr>
            <w:r w:rsidRPr="005E1D19">
              <w:rPr>
                <w:rFonts w:ascii="Arial" w:hAnsi="Arial" w:cs="Arial"/>
                <w:sz w:val="18"/>
                <w:szCs w:val="18"/>
              </w:rPr>
              <w:t xml:space="preserve">15 </w:t>
            </w:r>
          </w:p>
        </w:tc>
        <w:tc>
          <w:tcPr>
            <w:tcW w:w="1256" w:type="dxa"/>
            <w:tcMar>
              <w:top w:w="58" w:type="dxa"/>
              <w:left w:w="115" w:type="dxa"/>
              <w:bottom w:w="58" w:type="dxa"/>
              <w:right w:w="115" w:type="dxa"/>
            </w:tcMar>
            <w:vAlign w:val="bottom"/>
          </w:tcPr>
          <w:p w:rsidRPr="00853D61" w:rsidR="00393AEB" w:rsidP="00393AEB" w:rsidRDefault="00393AEB" w14:paraId="066F65A7" w14:textId="41ADD024">
            <w:pPr>
              <w:jc w:val="right"/>
              <w:rPr>
                <w:rFonts w:ascii="Arial" w:hAnsi="Arial" w:cs="Arial"/>
                <w:sz w:val="18"/>
                <w:szCs w:val="18"/>
              </w:rPr>
            </w:pPr>
            <w:r w:rsidRPr="005E1D19">
              <w:rPr>
                <w:rFonts w:ascii="Arial" w:hAnsi="Arial" w:cs="Arial"/>
                <w:sz w:val="18"/>
                <w:szCs w:val="18"/>
              </w:rPr>
              <w:t xml:space="preserve">$700 </w:t>
            </w:r>
          </w:p>
        </w:tc>
        <w:tc>
          <w:tcPr>
            <w:tcW w:w="1255" w:type="dxa"/>
            <w:tcMar>
              <w:top w:w="58" w:type="dxa"/>
              <w:left w:w="115" w:type="dxa"/>
              <w:bottom w:w="58" w:type="dxa"/>
              <w:right w:w="115" w:type="dxa"/>
            </w:tcMar>
            <w:vAlign w:val="bottom"/>
          </w:tcPr>
          <w:p w:rsidRPr="00853D61" w:rsidR="00393AEB" w:rsidP="00393AEB" w:rsidRDefault="00393AEB" w14:paraId="7A9B5FFA" w14:textId="3A351D3C">
            <w:pPr>
              <w:jc w:val="right"/>
              <w:rPr>
                <w:rFonts w:ascii="Arial" w:hAnsi="Arial" w:cs="Arial"/>
                <w:sz w:val="18"/>
                <w:szCs w:val="18"/>
              </w:rPr>
            </w:pPr>
            <w:r w:rsidRPr="005E1D19">
              <w:rPr>
                <w:rFonts w:ascii="Arial" w:hAnsi="Arial" w:cs="Arial"/>
                <w:sz w:val="18"/>
                <w:szCs w:val="18"/>
              </w:rPr>
              <w:t xml:space="preserve">$0 </w:t>
            </w:r>
          </w:p>
        </w:tc>
        <w:tc>
          <w:tcPr>
            <w:tcW w:w="1256" w:type="dxa"/>
            <w:tcMar>
              <w:top w:w="58" w:type="dxa"/>
              <w:left w:w="115" w:type="dxa"/>
              <w:bottom w:w="58" w:type="dxa"/>
              <w:right w:w="115" w:type="dxa"/>
            </w:tcMar>
            <w:vAlign w:val="bottom"/>
          </w:tcPr>
          <w:p w:rsidRPr="00853D61" w:rsidR="00393AEB" w:rsidP="00393AEB" w:rsidRDefault="00393AEB" w14:paraId="35BDEF62" w14:textId="3A244108">
            <w:pPr>
              <w:jc w:val="right"/>
              <w:rPr>
                <w:rFonts w:ascii="Arial" w:hAnsi="Arial" w:cs="Arial"/>
                <w:sz w:val="18"/>
                <w:szCs w:val="18"/>
              </w:rPr>
            </w:pPr>
            <w:r w:rsidRPr="005E1D19">
              <w:rPr>
                <w:rFonts w:ascii="Arial" w:hAnsi="Arial" w:cs="Arial"/>
                <w:sz w:val="18"/>
                <w:szCs w:val="18"/>
              </w:rPr>
              <w:t xml:space="preserve">$700 </w:t>
            </w:r>
          </w:p>
        </w:tc>
        <w:tc>
          <w:tcPr>
            <w:tcW w:w="1255" w:type="dxa"/>
            <w:vAlign w:val="bottom"/>
          </w:tcPr>
          <w:p w:rsidRPr="00853D61" w:rsidR="00393AEB" w:rsidP="00393AEB" w:rsidRDefault="00393AEB" w14:paraId="52955C4A" w14:textId="6ABFC140">
            <w:pPr>
              <w:jc w:val="right"/>
              <w:rPr>
                <w:rFonts w:ascii="Arial" w:hAnsi="Arial" w:cs="Arial"/>
                <w:sz w:val="18"/>
                <w:szCs w:val="18"/>
              </w:rPr>
            </w:pPr>
            <w:r w:rsidRPr="005E1D19">
              <w:rPr>
                <w:rFonts w:ascii="Arial" w:hAnsi="Arial" w:cs="Arial"/>
                <w:sz w:val="18"/>
                <w:szCs w:val="18"/>
              </w:rPr>
              <w:t xml:space="preserve">15.3 </w:t>
            </w:r>
          </w:p>
        </w:tc>
        <w:tc>
          <w:tcPr>
            <w:tcW w:w="1256" w:type="dxa"/>
            <w:vAlign w:val="bottom"/>
          </w:tcPr>
          <w:p w:rsidRPr="00853D61" w:rsidR="00393AEB" w:rsidP="00393AEB" w:rsidRDefault="00393AEB" w14:paraId="47026CFB" w14:textId="2D05209C">
            <w:pPr>
              <w:jc w:val="right"/>
              <w:rPr>
                <w:rFonts w:ascii="Arial" w:hAnsi="Arial" w:cs="Arial"/>
                <w:sz w:val="18"/>
                <w:szCs w:val="18"/>
              </w:rPr>
            </w:pPr>
            <w:r w:rsidRPr="005E1D19">
              <w:rPr>
                <w:rFonts w:ascii="Arial" w:hAnsi="Arial" w:cs="Arial"/>
                <w:sz w:val="18"/>
                <w:szCs w:val="18"/>
              </w:rPr>
              <w:t>1.00</w:t>
            </w:r>
          </w:p>
        </w:tc>
        <w:tc>
          <w:tcPr>
            <w:tcW w:w="1256" w:type="dxa"/>
            <w:vAlign w:val="bottom"/>
          </w:tcPr>
          <w:p w:rsidRPr="00853D61" w:rsidR="00393AEB" w:rsidP="00393AEB" w:rsidRDefault="00393AEB" w14:paraId="431BBAD1" w14:textId="557B1414">
            <w:pPr>
              <w:jc w:val="right"/>
              <w:rPr>
                <w:rFonts w:ascii="Arial" w:hAnsi="Arial" w:cs="Arial"/>
                <w:sz w:val="18"/>
                <w:szCs w:val="18"/>
              </w:rPr>
            </w:pPr>
            <w:r w:rsidRPr="005E1D19">
              <w:rPr>
                <w:rFonts w:ascii="Arial" w:hAnsi="Arial" w:cs="Arial"/>
                <w:sz w:val="18"/>
                <w:szCs w:val="18"/>
              </w:rPr>
              <w:t xml:space="preserve">$45.92 </w:t>
            </w:r>
          </w:p>
        </w:tc>
      </w:tr>
      <w:tr w:rsidR="00393AEB" w:rsidTr="00A04058" w14:paraId="7F59763F" w14:textId="77777777">
        <w:trPr>
          <w:jc w:val="center"/>
        </w:trPr>
        <w:tc>
          <w:tcPr>
            <w:tcW w:w="1980" w:type="dxa"/>
            <w:tcMar>
              <w:top w:w="58" w:type="dxa"/>
              <w:left w:w="115" w:type="dxa"/>
              <w:bottom w:w="58" w:type="dxa"/>
              <w:right w:w="115" w:type="dxa"/>
            </w:tcMar>
          </w:tcPr>
          <w:p w:rsidRPr="00CB18A2" w:rsidR="00393AEB" w:rsidP="00393AEB" w:rsidRDefault="00393AEB" w14:paraId="75D48F36" w14:textId="77777777">
            <w:pPr>
              <w:widowControl w:val="0"/>
              <w:tabs>
                <w:tab w:val="center" w:pos="4680"/>
              </w:tabs>
              <w:rPr>
                <w:rFonts w:ascii="Arial" w:hAnsi="Arial" w:cs="Arial"/>
                <w:sz w:val="18"/>
                <w:szCs w:val="18"/>
              </w:rPr>
            </w:pPr>
            <w:r w:rsidRPr="00CB18A2">
              <w:rPr>
                <w:rFonts w:ascii="Arial" w:hAnsi="Arial" w:cs="Arial"/>
                <w:sz w:val="18"/>
                <w:szCs w:val="18"/>
              </w:rPr>
              <w:t xml:space="preserve">Class V </w:t>
            </w:r>
            <w:r>
              <w:rPr>
                <w:rFonts w:ascii="Arial" w:hAnsi="Arial" w:cs="Arial"/>
                <w:sz w:val="18"/>
                <w:szCs w:val="18"/>
              </w:rPr>
              <w:t xml:space="preserve">DI </w:t>
            </w:r>
            <w:r w:rsidRPr="00CB18A2">
              <w:rPr>
                <w:rFonts w:ascii="Arial" w:hAnsi="Arial" w:cs="Arial"/>
                <w:sz w:val="18"/>
                <w:szCs w:val="18"/>
              </w:rPr>
              <w:t>Programs</w:t>
            </w:r>
          </w:p>
        </w:tc>
        <w:tc>
          <w:tcPr>
            <w:tcW w:w="1255" w:type="dxa"/>
            <w:tcMar>
              <w:top w:w="58" w:type="dxa"/>
              <w:left w:w="115" w:type="dxa"/>
              <w:bottom w:w="58" w:type="dxa"/>
              <w:right w:w="115" w:type="dxa"/>
            </w:tcMar>
            <w:vAlign w:val="bottom"/>
          </w:tcPr>
          <w:p w:rsidRPr="00853D61" w:rsidR="00393AEB" w:rsidP="00393AEB" w:rsidRDefault="00393AEB" w14:paraId="7686FFCD" w14:textId="30B76EC2">
            <w:pPr>
              <w:jc w:val="right"/>
              <w:rPr>
                <w:rFonts w:ascii="Arial" w:hAnsi="Arial" w:cs="Arial"/>
                <w:sz w:val="18"/>
                <w:szCs w:val="18"/>
              </w:rPr>
            </w:pPr>
            <w:r w:rsidRPr="005E1D19">
              <w:rPr>
                <w:rFonts w:ascii="Arial" w:hAnsi="Arial" w:cs="Arial"/>
                <w:sz w:val="18"/>
                <w:szCs w:val="18"/>
              </w:rPr>
              <w:t>3,242</w:t>
            </w:r>
          </w:p>
        </w:tc>
        <w:tc>
          <w:tcPr>
            <w:tcW w:w="1256" w:type="dxa"/>
            <w:tcMar>
              <w:top w:w="58" w:type="dxa"/>
              <w:left w:w="115" w:type="dxa"/>
              <w:bottom w:w="58" w:type="dxa"/>
              <w:right w:w="115" w:type="dxa"/>
            </w:tcMar>
            <w:vAlign w:val="bottom"/>
          </w:tcPr>
          <w:p w:rsidRPr="00853D61" w:rsidR="00393AEB" w:rsidP="00393AEB" w:rsidRDefault="00393AEB" w14:paraId="34105EF9" w14:textId="6FD397E4">
            <w:pPr>
              <w:jc w:val="right"/>
              <w:rPr>
                <w:rFonts w:ascii="Arial" w:hAnsi="Arial" w:cs="Arial"/>
                <w:sz w:val="18"/>
                <w:szCs w:val="18"/>
              </w:rPr>
            </w:pPr>
            <w:r w:rsidRPr="005E1D19">
              <w:rPr>
                <w:rFonts w:ascii="Arial" w:hAnsi="Arial" w:cs="Arial"/>
                <w:sz w:val="18"/>
                <w:szCs w:val="18"/>
              </w:rPr>
              <w:t xml:space="preserve">$148,889 </w:t>
            </w:r>
          </w:p>
        </w:tc>
        <w:tc>
          <w:tcPr>
            <w:tcW w:w="1255" w:type="dxa"/>
            <w:tcMar>
              <w:top w:w="58" w:type="dxa"/>
              <w:left w:w="115" w:type="dxa"/>
              <w:bottom w:w="58" w:type="dxa"/>
              <w:right w:w="115" w:type="dxa"/>
            </w:tcMar>
            <w:vAlign w:val="bottom"/>
          </w:tcPr>
          <w:p w:rsidRPr="00853D61" w:rsidR="00393AEB" w:rsidP="00393AEB" w:rsidRDefault="00393AEB" w14:paraId="731847E7" w14:textId="241EA179">
            <w:pPr>
              <w:jc w:val="right"/>
              <w:rPr>
                <w:rFonts w:ascii="Arial" w:hAnsi="Arial" w:cs="Arial"/>
                <w:sz w:val="18"/>
                <w:szCs w:val="18"/>
              </w:rPr>
            </w:pPr>
            <w:r w:rsidRPr="005E1D19">
              <w:rPr>
                <w:rFonts w:ascii="Arial" w:hAnsi="Arial" w:cs="Arial"/>
                <w:sz w:val="18"/>
                <w:szCs w:val="18"/>
              </w:rPr>
              <w:t xml:space="preserve">$0 </w:t>
            </w:r>
          </w:p>
        </w:tc>
        <w:tc>
          <w:tcPr>
            <w:tcW w:w="1256" w:type="dxa"/>
            <w:tcMar>
              <w:top w:w="58" w:type="dxa"/>
              <w:left w:w="115" w:type="dxa"/>
              <w:bottom w:w="58" w:type="dxa"/>
              <w:right w:w="115" w:type="dxa"/>
            </w:tcMar>
            <w:vAlign w:val="bottom"/>
          </w:tcPr>
          <w:p w:rsidRPr="00853D61" w:rsidR="00393AEB" w:rsidP="00393AEB" w:rsidRDefault="00393AEB" w14:paraId="058B53C5" w14:textId="212B9A3F">
            <w:pPr>
              <w:jc w:val="right"/>
              <w:rPr>
                <w:rFonts w:ascii="Arial" w:hAnsi="Arial" w:cs="Arial"/>
                <w:sz w:val="18"/>
                <w:szCs w:val="18"/>
              </w:rPr>
            </w:pPr>
            <w:r w:rsidRPr="005E1D19">
              <w:rPr>
                <w:rFonts w:ascii="Arial" w:hAnsi="Arial" w:cs="Arial"/>
                <w:sz w:val="18"/>
                <w:szCs w:val="18"/>
              </w:rPr>
              <w:t xml:space="preserve">$148,889 </w:t>
            </w:r>
          </w:p>
        </w:tc>
        <w:tc>
          <w:tcPr>
            <w:tcW w:w="1255" w:type="dxa"/>
            <w:vAlign w:val="bottom"/>
          </w:tcPr>
          <w:p w:rsidRPr="00853D61" w:rsidR="00393AEB" w:rsidP="00393AEB" w:rsidRDefault="00393AEB" w14:paraId="4D1960F1" w14:textId="6270A5A6">
            <w:pPr>
              <w:jc w:val="right"/>
              <w:rPr>
                <w:rFonts w:ascii="Arial" w:hAnsi="Arial" w:cs="Arial"/>
                <w:sz w:val="18"/>
                <w:szCs w:val="18"/>
              </w:rPr>
            </w:pPr>
            <w:r w:rsidRPr="005E1D19">
              <w:rPr>
                <w:rFonts w:ascii="Arial" w:hAnsi="Arial" w:cs="Arial"/>
                <w:sz w:val="18"/>
                <w:szCs w:val="18"/>
              </w:rPr>
              <w:t xml:space="preserve">6,229.7 </w:t>
            </w:r>
          </w:p>
        </w:tc>
        <w:tc>
          <w:tcPr>
            <w:tcW w:w="1256" w:type="dxa"/>
            <w:vAlign w:val="bottom"/>
          </w:tcPr>
          <w:p w:rsidRPr="00853D61" w:rsidR="00393AEB" w:rsidP="00393AEB" w:rsidRDefault="00393AEB" w14:paraId="61A8D61D" w14:textId="207A5E0E">
            <w:pPr>
              <w:jc w:val="right"/>
              <w:rPr>
                <w:rFonts w:ascii="Arial" w:hAnsi="Arial" w:cs="Arial"/>
                <w:sz w:val="18"/>
                <w:szCs w:val="18"/>
              </w:rPr>
            </w:pPr>
            <w:r w:rsidRPr="005E1D19">
              <w:rPr>
                <w:rFonts w:ascii="Arial" w:hAnsi="Arial" w:cs="Arial"/>
                <w:sz w:val="18"/>
                <w:szCs w:val="18"/>
              </w:rPr>
              <w:t>0.52</w:t>
            </w:r>
          </w:p>
        </w:tc>
        <w:tc>
          <w:tcPr>
            <w:tcW w:w="1256" w:type="dxa"/>
            <w:vAlign w:val="bottom"/>
          </w:tcPr>
          <w:p w:rsidRPr="00853D61" w:rsidR="00393AEB" w:rsidP="00393AEB" w:rsidRDefault="00393AEB" w14:paraId="252B0B33" w14:textId="1EB6C849">
            <w:pPr>
              <w:jc w:val="right"/>
              <w:rPr>
                <w:rFonts w:ascii="Arial" w:hAnsi="Arial" w:cs="Arial"/>
                <w:sz w:val="18"/>
                <w:szCs w:val="18"/>
              </w:rPr>
            </w:pPr>
            <w:r w:rsidRPr="005E1D19">
              <w:rPr>
                <w:rFonts w:ascii="Arial" w:hAnsi="Arial" w:cs="Arial"/>
                <w:sz w:val="18"/>
                <w:szCs w:val="18"/>
              </w:rPr>
              <w:t xml:space="preserve">$23.90 </w:t>
            </w:r>
          </w:p>
        </w:tc>
      </w:tr>
      <w:tr w:rsidR="00393AEB" w:rsidTr="00A04058" w14:paraId="53492755" w14:textId="77777777">
        <w:trPr>
          <w:jc w:val="center"/>
        </w:trPr>
        <w:tc>
          <w:tcPr>
            <w:tcW w:w="1980" w:type="dxa"/>
            <w:tcMar>
              <w:top w:w="58" w:type="dxa"/>
              <w:left w:w="115" w:type="dxa"/>
              <w:bottom w:w="58" w:type="dxa"/>
              <w:right w:w="115" w:type="dxa"/>
            </w:tcMar>
          </w:tcPr>
          <w:p w:rsidR="00393AEB" w:rsidP="00393AEB" w:rsidRDefault="00393AEB" w14:paraId="261A3D1C" w14:textId="77777777">
            <w:pPr>
              <w:widowControl w:val="0"/>
              <w:tabs>
                <w:tab w:val="center" w:pos="4680"/>
              </w:tabs>
              <w:rPr>
                <w:rFonts w:ascii="Arial" w:hAnsi="Arial" w:cs="Arial"/>
                <w:sz w:val="18"/>
                <w:szCs w:val="18"/>
              </w:rPr>
            </w:pPr>
            <w:r>
              <w:rPr>
                <w:rFonts w:ascii="Arial" w:hAnsi="Arial" w:cs="Arial"/>
                <w:sz w:val="18"/>
                <w:szCs w:val="18"/>
              </w:rPr>
              <w:t>Class VI DI Programs</w:t>
            </w:r>
          </w:p>
        </w:tc>
        <w:tc>
          <w:tcPr>
            <w:tcW w:w="1255" w:type="dxa"/>
            <w:tcMar>
              <w:top w:w="58" w:type="dxa"/>
              <w:left w:w="115" w:type="dxa"/>
              <w:bottom w:w="58" w:type="dxa"/>
              <w:right w:w="115" w:type="dxa"/>
            </w:tcMar>
            <w:vAlign w:val="bottom"/>
          </w:tcPr>
          <w:p w:rsidRPr="00853D61" w:rsidR="00393AEB" w:rsidP="00393AEB" w:rsidRDefault="00393AEB" w14:paraId="57A71624" w14:textId="3C34A6AA">
            <w:pPr>
              <w:jc w:val="right"/>
              <w:rPr>
                <w:rFonts w:ascii="Arial" w:hAnsi="Arial" w:cs="Arial"/>
                <w:sz w:val="18"/>
                <w:szCs w:val="18"/>
              </w:rPr>
            </w:pPr>
            <w:r w:rsidRPr="005E1D19">
              <w:rPr>
                <w:rFonts w:ascii="Arial" w:hAnsi="Arial" w:cs="Arial"/>
                <w:sz w:val="18"/>
                <w:szCs w:val="18"/>
              </w:rPr>
              <w:t>9,060</w:t>
            </w:r>
          </w:p>
        </w:tc>
        <w:tc>
          <w:tcPr>
            <w:tcW w:w="1256" w:type="dxa"/>
            <w:tcMar>
              <w:top w:w="58" w:type="dxa"/>
              <w:left w:w="115" w:type="dxa"/>
              <w:bottom w:w="58" w:type="dxa"/>
              <w:right w:w="115" w:type="dxa"/>
            </w:tcMar>
            <w:vAlign w:val="bottom"/>
          </w:tcPr>
          <w:p w:rsidRPr="00853D61" w:rsidR="00393AEB" w:rsidP="00393AEB" w:rsidRDefault="00393AEB" w14:paraId="40093B0B" w14:textId="231E8099">
            <w:pPr>
              <w:jc w:val="right"/>
              <w:rPr>
                <w:rFonts w:ascii="Arial" w:hAnsi="Arial" w:cs="Arial"/>
                <w:sz w:val="18"/>
                <w:szCs w:val="18"/>
              </w:rPr>
            </w:pPr>
            <w:r w:rsidRPr="005E1D19">
              <w:rPr>
                <w:rFonts w:ascii="Arial" w:hAnsi="Arial" w:cs="Arial"/>
                <w:sz w:val="18"/>
                <w:szCs w:val="18"/>
              </w:rPr>
              <w:t xml:space="preserve">$416,028 </w:t>
            </w:r>
          </w:p>
        </w:tc>
        <w:tc>
          <w:tcPr>
            <w:tcW w:w="1255" w:type="dxa"/>
            <w:tcMar>
              <w:top w:w="58" w:type="dxa"/>
              <w:left w:w="115" w:type="dxa"/>
              <w:bottom w:w="58" w:type="dxa"/>
              <w:right w:w="115" w:type="dxa"/>
            </w:tcMar>
            <w:vAlign w:val="bottom"/>
          </w:tcPr>
          <w:p w:rsidRPr="00853D61" w:rsidR="00393AEB" w:rsidP="00393AEB" w:rsidRDefault="00393AEB" w14:paraId="3D2AF847" w14:textId="5958E29C">
            <w:pPr>
              <w:jc w:val="right"/>
              <w:rPr>
                <w:rFonts w:ascii="Arial" w:hAnsi="Arial" w:cs="Arial"/>
                <w:sz w:val="18"/>
                <w:szCs w:val="18"/>
              </w:rPr>
            </w:pPr>
            <w:r w:rsidRPr="005E1D19">
              <w:rPr>
                <w:rFonts w:ascii="Arial" w:hAnsi="Arial" w:cs="Arial"/>
                <w:sz w:val="18"/>
                <w:szCs w:val="18"/>
              </w:rPr>
              <w:t xml:space="preserve">$0 </w:t>
            </w:r>
          </w:p>
        </w:tc>
        <w:tc>
          <w:tcPr>
            <w:tcW w:w="1256" w:type="dxa"/>
            <w:tcMar>
              <w:top w:w="58" w:type="dxa"/>
              <w:left w:w="115" w:type="dxa"/>
              <w:bottom w:w="58" w:type="dxa"/>
              <w:right w:w="115" w:type="dxa"/>
            </w:tcMar>
            <w:vAlign w:val="bottom"/>
          </w:tcPr>
          <w:p w:rsidRPr="00853D61" w:rsidR="00393AEB" w:rsidP="00393AEB" w:rsidRDefault="00393AEB" w14:paraId="3483891F" w14:textId="3DFE7AF1">
            <w:pPr>
              <w:jc w:val="right"/>
              <w:rPr>
                <w:rFonts w:ascii="Arial" w:hAnsi="Arial" w:cs="Arial"/>
                <w:sz w:val="18"/>
                <w:szCs w:val="18"/>
              </w:rPr>
            </w:pPr>
            <w:r w:rsidRPr="005E1D19">
              <w:rPr>
                <w:rFonts w:ascii="Arial" w:hAnsi="Arial" w:cs="Arial"/>
                <w:sz w:val="18"/>
                <w:szCs w:val="18"/>
              </w:rPr>
              <w:t xml:space="preserve">$416,028 </w:t>
            </w:r>
          </w:p>
        </w:tc>
        <w:tc>
          <w:tcPr>
            <w:tcW w:w="1255" w:type="dxa"/>
            <w:vAlign w:val="bottom"/>
          </w:tcPr>
          <w:p w:rsidRPr="00853D61" w:rsidR="00393AEB" w:rsidP="00393AEB" w:rsidRDefault="00393AEB" w14:paraId="35302F1F" w14:textId="5058D690">
            <w:pPr>
              <w:jc w:val="right"/>
              <w:rPr>
                <w:rFonts w:ascii="Arial" w:hAnsi="Arial" w:cs="Arial"/>
                <w:sz w:val="18"/>
                <w:szCs w:val="18"/>
              </w:rPr>
            </w:pPr>
            <w:r w:rsidRPr="005E1D19">
              <w:rPr>
                <w:rFonts w:ascii="Arial" w:hAnsi="Arial" w:cs="Arial"/>
                <w:sz w:val="18"/>
                <w:szCs w:val="18"/>
              </w:rPr>
              <w:t xml:space="preserve">43.1 </w:t>
            </w:r>
          </w:p>
        </w:tc>
        <w:tc>
          <w:tcPr>
            <w:tcW w:w="1256" w:type="dxa"/>
            <w:vAlign w:val="bottom"/>
          </w:tcPr>
          <w:p w:rsidRPr="00853D61" w:rsidR="00393AEB" w:rsidP="00393AEB" w:rsidRDefault="00393AEB" w14:paraId="148C8F55" w14:textId="6BB1A2CA">
            <w:pPr>
              <w:jc w:val="right"/>
              <w:rPr>
                <w:rFonts w:ascii="Arial" w:hAnsi="Arial" w:cs="Arial"/>
                <w:sz w:val="18"/>
                <w:szCs w:val="18"/>
              </w:rPr>
            </w:pPr>
            <w:r w:rsidRPr="005E1D19">
              <w:rPr>
                <w:rFonts w:ascii="Arial" w:hAnsi="Arial" w:cs="Arial"/>
                <w:sz w:val="18"/>
                <w:szCs w:val="18"/>
              </w:rPr>
              <w:t>210.37</w:t>
            </w:r>
          </w:p>
        </w:tc>
        <w:tc>
          <w:tcPr>
            <w:tcW w:w="1256" w:type="dxa"/>
            <w:vAlign w:val="bottom"/>
          </w:tcPr>
          <w:p w:rsidRPr="00853D61" w:rsidR="00393AEB" w:rsidP="00393AEB" w:rsidRDefault="00393AEB" w14:paraId="6F6365E6" w14:textId="76795741">
            <w:pPr>
              <w:jc w:val="right"/>
              <w:rPr>
                <w:rFonts w:ascii="Arial" w:hAnsi="Arial" w:cs="Arial"/>
                <w:sz w:val="18"/>
                <w:szCs w:val="18"/>
              </w:rPr>
            </w:pPr>
            <w:r w:rsidRPr="005E1D19">
              <w:rPr>
                <w:rFonts w:ascii="Arial" w:hAnsi="Arial" w:cs="Arial"/>
                <w:sz w:val="18"/>
                <w:szCs w:val="18"/>
              </w:rPr>
              <w:t xml:space="preserve">$9,660.08 </w:t>
            </w:r>
          </w:p>
        </w:tc>
      </w:tr>
      <w:tr w:rsidR="00393AEB" w:rsidTr="00A04058" w14:paraId="23903E5F" w14:textId="77777777">
        <w:trPr>
          <w:jc w:val="center"/>
        </w:trPr>
        <w:tc>
          <w:tcPr>
            <w:tcW w:w="1980" w:type="dxa"/>
            <w:tcMar>
              <w:top w:w="58" w:type="dxa"/>
              <w:left w:w="115" w:type="dxa"/>
              <w:bottom w:w="58" w:type="dxa"/>
              <w:right w:w="115" w:type="dxa"/>
            </w:tcMar>
          </w:tcPr>
          <w:p w:rsidRPr="00CB18A2" w:rsidR="00393AEB" w:rsidP="00393AEB" w:rsidRDefault="00393AEB" w14:paraId="3876CE9B" w14:textId="77777777">
            <w:pPr>
              <w:widowControl w:val="0"/>
              <w:tabs>
                <w:tab w:val="center" w:pos="4680"/>
              </w:tabs>
              <w:rPr>
                <w:rFonts w:ascii="Arial" w:hAnsi="Arial" w:cs="Arial"/>
                <w:sz w:val="18"/>
                <w:szCs w:val="18"/>
              </w:rPr>
            </w:pPr>
            <w:r>
              <w:rPr>
                <w:rFonts w:ascii="Arial" w:hAnsi="Arial" w:cs="Arial"/>
                <w:sz w:val="18"/>
                <w:szCs w:val="18"/>
              </w:rPr>
              <w:t>Headquarters Management</w:t>
            </w:r>
          </w:p>
        </w:tc>
        <w:tc>
          <w:tcPr>
            <w:tcW w:w="1255" w:type="dxa"/>
            <w:tcMar>
              <w:top w:w="58" w:type="dxa"/>
              <w:left w:w="115" w:type="dxa"/>
              <w:bottom w:w="58" w:type="dxa"/>
              <w:right w:w="115" w:type="dxa"/>
            </w:tcMar>
            <w:vAlign w:val="bottom"/>
          </w:tcPr>
          <w:p w:rsidRPr="00853D61" w:rsidR="00393AEB" w:rsidP="00393AEB" w:rsidRDefault="00393AEB" w14:paraId="40E0EB46" w14:textId="550306D9">
            <w:pPr>
              <w:jc w:val="right"/>
              <w:rPr>
                <w:rFonts w:ascii="Arial" w:hAnsi="Arial" w:cs="Arial"/>
                <w:sz w:val="18"/>
                <w:szCs w:val="18"/>
              </w:rPr>
            </w:pPr>
            <w:r w:rsidRPr="005E1D19">
              <w:rPr>
                <w:rFonts w:ascii="Arial" w:hAnsi="Arial" w:cs="Arial"/>
                <w:sz w:val="18"/>
                <w:szCs w:val="18"/>
              </w:rPr>
              <w:t>4,160</w:t>
            </w:r>
          </w:p>
        </w:tc>
        <w:tc>
          <w:tcPr>
            <w:tcW w:w="1256" w:type="dxa"/>
            <w:tcMar>
              <w:top w:w="58" w:type="dxa"/>
              <w:left w:w="115" w:type="dxa"/>
              <w:bottom w:w="58" w:type="dxa"/>
              <w:right w:w="115" w:type="dxa"/>
            </w:tcMar>
            <w:vAlign w:val="bottom"/>
          </w:tcPr>
          <w:p w:rsidRPr="00853D61" w:rsidR="00393AEB" w:rsidP="00393AEB" w:rsidRDefault="00393AEB" w14:paraId="0FAEA38A" w14:textId="1E5D935A">
            <w:pPr>
              <w:jc w:val="right"/>
              <w:rPr>
                <w:rFonts w:ascii="Arial" w:hAnsi="Arial" w:cs="Arial"/>
                <w:sz w:val="18"/>
                <w:szCs w:val="18"/>
              </w:rPr>
            </w:pPr>
            <w:r w:rsidRPr="005E1D19">
              <w:rPr>
                <w:rFonts w:ascii="Arial" w:hAnsi="Arial" w:cs="Arial"/>
                <w:sz w:val="18"/>
                <w:szCs w:val="18"/>
              </w:rPr>
              <w:t xml:space="preserve">$       191,027 </w:t>
            </w:r>
          </w:p>
        </w:tc>
        <w:tc>
          <w:tcPr>
            <w:tcW w:w="1255" w:type="dxa"/>
            <w:tcMar>
              <w:top w:w="58" w:type="dxa"/>
              <w:left w:w="115" w:type="dxa"/>
              <w:bottom w:w="58" w:type="dxa"/>
              <w:right w:w="115" w:type="dxa"/>
            </w:tcMar>
            <w:vAlign w:val="bottom"/>
          </w:tcPr>
          <w:p w:rsidRPr="00853D61" w:rsidR="00393AEB" w:rsidP="00393AEB" w:rsidRDefault="00393AEB" w14:paraId="39C4A712" w14:textId="7AA8CD80">
            <w:pPr>
              <w:jc w:val="right"/>
              <w:rPr>
                <w:rFonts w:ascii="Arial" w:hAnsi="Arial" w:cs="Arial"/>
                <w:sz w:val="18"/>
                <w:szCs w:val="18"/>
              </w:rPr>
            </w:pPr>
            <w:r w:rsidRPr="005E1D19">
              <w:rPr>
                <w:rFonts w:ascii="Arial" w:hAnsi="Arial" w:cs="Arial"/>
                <w:sz w:val="18"/>
                <w:szCs w:val="18"/>
              </w:rPr>
              <w:t xml:space="preserve">$0 </w:t>
            </w:r>
          </w:p>
        </w:tc>
        <w:tc>
          <w:tcPr>
            <w:tcW w:w="1256" w:type="dxa"/>
            <w:tcMar>
              <w:top w:w="58" w:type="dxa"/>
              <w:left w:w="115" w:type="dxa"/>
              <w:bottom w:w="58" w:type="dxa"/>
              <w:right w:w="115" w:type="dxa"/>
            </w:tcMar>
            <w:vAlign w:val="bottom"/>
          </w:tcPr>
          <w:p w:rsidRPr="00853D61" w:rsidR="00393AEB" w:rsidP="00393AEB" w:rsidRDefault="00393AEB" w14:paraId="484A3162" w14:textId="1C918185">
            <w:pPr>
              <w:jc w:val="right"/>
              <w:rPr>
                <w:rFonts w:ascii="Arial" w:hAnsi="Arial" w:cs="Arial"/>
                <w:sz w:val="18"/>
                <w:szCs w:val="18"/>
              </w:rPr>
            </w:pPr>
            <w:r w:rsidRPr="005E1D19">
              <w:rPr>
                <w:rFonts w:ascii="Arial" w:hAnsi="Arial" w:cs="Arial"/>
                <w:sz w:val="18"/>
                <w:szCs w:val="18"/>
              </w:rPr>
              <w:t xml:space="preserve">$191,027 </w:t>
            </w:r>
          </w:p>
        </w:tc>
        <w:tc>
          <w:tcPr>
            <w:tcW w:w="1255" w:type="dxa"/>
            <w:vAlign w:val="bottom"/>
          </w:tcPr>
          <w:p w:rsidRPr="00853D61" w:rsidR="00393AEB" w:rsidP="00393AEB" w:rsidRDefault="00393AEB" w14:paraId="61556041" w14:textId="6AFBFA29">
            <w:pPr>
              <w:jc w:val="right"/>
              <w:rPr>
                <w:rFonts w:ascii="Arial" w:hAnsi="Arial" w:cs="Arial"/>
                <w:sz w:val="18"/>
                <w:szCs w:val="18"/>
              </w:rPr>
            </w:pPr>
            <w:r w:rsidRPr="005E1D19">
              <w:rPr>
                <w:rFonts w:ascii="Arial" w:hAnsi="Arial" w:cs="Arial"/>
                <w:sz w:val="18"/>
                <w:szCs w:val="18"/>
              </w:rPr>
              <w:t xml:space="preserve">1.0 </w:t>
            </w:r>
          </w:p>
        </w:tc>
        <w:tc>
          <w:tcPr>
            <w:tcW w:w="1256" w:type="dxa"/>
            <w:vAlign w:val="bottom"/>
          </w:tcPr>
          <w:p w:rsidRPr="00853D61" w:rsidR="00393AEB" w:rsidP="00393AEB" w:rsidRDefault="00393AEB" w14:paraId="235A8DC8" w14:textId="54513E3F">
            <w:pPr>
              <w:jc w:val="right"/>
              <w:rPr>
                <w:rFonts w:ascii="Arial" w:hAnsi="Arial" w:cs="Arial"/>
                <w:sz w:val="18"/>
                <w:szCs w:val="18"/>
              </w:rPr>
            </w:pPr>
            <w:r w:rsidRPr="005E1D19">
              <w:rPr>
                <w:rFonts w:ascii="Arial" w:hAnsi="Arial" w:cs="Arial"/>
                <w:sz w:val="18"/>
                <w:szCs w:val="18"/>
              </w:rPr>
              <w:t>4,160</w:t>
            </w:r>
          </w:p>
        </w:tc>
        <w:tc>
          <w:tcPr>
            <w:tcW w:w="1256" w:type="dxa"/>
            <w:vAlign w:val="bottom"/>
          </w:tcPr>
          <w:p w:rsidRPr="00853D61" w:rsidR="00393AEB" w:rsidP="00393AEB" w:rsidRDefault="00BF237A" w14:paraId="63FE0846" w14:textId="2A4646B6">
            <w:pPr>
              <w:jc w:val="right"/>
              <w:rPr>
                <w:rFonts w:ascii="Arial" w:hAnsi="Arial" w:cs="Arial"/>
                <w:sz w:val="18"/>
                <w:szCs w:val="18"/>
              </w:rPr>
            </w:pPr>
            <w:r>
              <w:rPr>
                <w:rFonts w:ascii="Arial" w:hAnsi="Arial" w:cs="Arial"/>
                <w:sz w:val="18"/>
                <w:szCs w:val="18"/>
              </w:rPr>
              <w:t>$</w:t>
            </w:r>
            <w:r w:rsidRPr="005E1D19" w:rsidR="00393AEB">
              <w:rPr>
                <w:rFonts w:ascii="Arial" w:hAnsi="Arial" w:cs="Arial"/>
                <w:sz w:val="18"/>
                <w:szCs w:val="18"/>
              </w:rPr>
              <w:t>191,027</w:t>
            </w:r>
          </w:p>
        </w:tc>
      </w:tr>
      <w:tr w:rsidR="00393AEB" w:rsidTr="00A04058" w14:paraId="069F3BC4" w14:textId="77777777">
        <w:trPr>
          <w:jc w:val="center"/>
        </w:trPr>
        <w:tc>
          <w:tcPr>
            <w:tcW w:w="1980" w:type="dxa"/>
            <w:tcBorders>
              <w:bottom w:val="single" w:color="auto" w:sz="4" w:space="0"/>
            </w:tcBorders>
            <w:tcMar>
              <w:top w:w="58" w:type="dxa"/>
              <w:left w:w="115" w:type="dxa"/>
              <w:bottom w:w="58" w:type="dxa"/>
              <w:right w:w="115" w:type="dxa"/>
            </w:tcMar>
          </w:tcPr>
          <w:p w:rsidRPr="00CB18A2" w:rsidR="00393AEB" w:rsidP="00393AEB" w:rsidRDefault="00393AEB" w14:paraId="6FB58D4A" w14:textId="77777777">
            <w:pPr>
              <w:widowControl w:val="0"/>
              <w:tabs>
                <w:tab w:val="center" w:pos="4680"/>
              </w:tabs>
              <w:rPr>
                <w:rFonts w:ascii="Arial" w:hAnsi="Arial" w:cs="Arial"/>
                <w:b/>
                <w:sz w:val="18"/>
                <w:szCs w:val="18"/>
              </w:rPr>
            </w:pPr>
            <w:r w:rsidRPr="00CB18A2">
              <w:rPr>
                <w:rFonts w:ascii="Arial" w:hAnsi="Arial" w:cs="Arial"/>
                <w:b/>
                <w:sz w:val="18"/>
                <w:szCs w:val="18"/>
              </w:rPr>
              <w:t>TOTAL</w:t>
            </w:r>
          </w:p>
        </w:tc>
        <w:tc>
          <w:tcPr>
            <w:tcW w:w="1255" w:type="dxa"/>
            <w:tcBorders>
              <w:bottom w:val="single" w:color="auto" w:sz="4" w:space="0"/>
            </w:tcBorders>
            <w:tcMar>
              <w:top w:w="58" w:type="dxa"/>
              <w:left w:w="115" w:type="dxa"/>
              <w:bottom w:w="58" w:type="dxa"/>
              <w:right w:w="115" w:type="dxa"/>
            </w:tcMar>
            <w:vAlign w:val="bottom"/>
          </w:tcPr>
          <w:p w:rsidRPr="00853D61" w:rsidR="00393AEB" w:rsidP="00393AEB" w:rsidRDefault="00393AEB" w14:paraId="22FA345D" w14:textId="2BEDB388">
            <w:pPr>
              <w:jc w:val="right"/>
              <w:rPr>
                <w:rFonts w:ascii="Arial" w:hAnsi="Arial" w:cs="Arial"/>
                <w:b/>
                <w:bCs/>
                <w:sz w:val="18"/>
                <w:szCs w:val="18"/>
              </w:rPr>
            </w:pPr>
            <w:r w:rsidRPr="005E1D19">
              <w:rPr>
                <w:rFonts w:ascii="Arial" w:hAnsi="Arial" w:cs="Arial"/>
                <w:b/>
                <w:bCs/>
                <w:sz w:val="18"/>
                <w:szCs w:val="18"/>
              </w:rPr>
              <w:t>42,516</w:t>
            </w:r>
          </w:p>
        </w:tc>
        <w:tc>
          <w:tcPr>
            <w:tcW w:w="1256" w:type="dxa"/>
            <w:tcBorders>
              <w:bottom w:val="single" w:color="auto" w:sz="4" w:space="0"/>
            </w:tcBorders>
            <w:tcMar>
              <w:top w:w="58" w:type="dxa"/>
              <w:left w:w="115" w:type="dxa"/>
              <w:bottom w:w="58" w:type="dxa"/>
              <w:right w:w="115" w:type="dxa"/>
            </w:tcMar>
            <w:vAlign w:val="bottom"/>
          </w:tcPr>
          <w:p w:rsidRPr="00853D61" w:rsidR="00393AEB" w:rsidP="00393AEB" w:rsidRDefault="00393AEB" w14:paraId="73B79D96" w14:textId="681B9173">
            <w:pPr>
              <w:jc w:val="right"/>
              <w:rPr>
                <w:rFonts w:ascii="Arial" w:hAnsi="Arial" w:cs="Arial"/>
                <w:b/>
                <w:bCs/>
                <w:sz w:val="18"/>
                <w:szCs w:val="18"/>
              </w:rPr>
            </w:pPr>
            <w:r w:rsidRPr="005E1D19">
              <w:rPr>
                <w:rFonts w:ascii="Arial" w:hAnsi="Arial" w:cs="Arial"/>
                <w:b/>
                <w:bCs/>
                <w:sz w:val="18"/>
                <w:szCs w:val="18"/>
              </w:rPr>
              <w:t xml:space="preserve">$1,952,314 </w:t>
            </w:r>
          </w:p>
        </w:tc>
        <w:tc>
          <w:tcPr>
            <w:tcW w:w="1255" w:type="dxa"/>
            <w:tcBorders>
              <w:bottom w:val="single" w:color="auto" w:sz="4" w:space="0"/>
            </w:tcBorders>
            <w:tcMar>
              <w:top w:w="58" w:type="dxa"/>
              <w:left w:w="115" w:type="dxa"/>
              <w:bottom w:w="58" w:type="dxa"/>
              <w:right w:w="115" w:type="dxa"/>
            </w:tcMar>
            <w:vAlign w:val="bottom"/>
          </w:tcPr>
          <w:p w:rsidRPr="00853D61" w:rsidR="00393AEB" w:rsidP="00393AEB" w:rsidRDefault="00393AEB" w14:paraId="66258078" w14:textId="38319BE6">
            <w:pPr>
              <w:jc w:val="right"/>
              <w:rPr>
                <w:rFonts w:ascii="Arial" w:hAnsi="Arial" w:cs="Arial"/>
                <w:b/>
                <w:bCs/>
                <w:sz w:val="18"/>
                <w:szCs w:val="18"/>
              </w:rPr>
            </w:pPr>
            <w:r w:rsidRPr="005E1D19">
              <w:rPr>
                <w:rFonts w:ascii="Arial" w:hAnsi="Arial" w:cs="Arial"/>
                <w:b/>
                <w:bCs/>
                <w:sz w:val="18"/>
                <w:szCs w:val="18"/>
              </w:rPr>
              <w:t xml:space="preserve">$0 </w:t>
            </w:r>
          </w:p>
        </w:tc>
        <w:tc>
          <w:tcPr>
            <w:tcW w:w="1256" w:type="dxa"/>
            <w:tcBorders>
              <w:bottom w:val="single" w:color="auto" w:sz="4" w:space="0"/>
            </w:tcBorders>
            <w:tcMar>
              <w:top w:w="58" w:type="dxa"/>
              <w:left w:w="115" w:type="dxa"/>
              <w:bottom w:w="58" w:type="dxa"/>
              <w:right w:w="115" w:type="dxa"/>
            </w:tcMar>
            <w:vAlign w:val="bottom"/>
          </w:tcPr>
          <w:p w:rsidRPr="00853D61" w:rsidR="00393AEB" w:rsidP="00393AEB" w:rsidRDefault="00393AEB" w14:paraId="47BE7AE6" w14:textId="65B9A898">
            <w:pPr>
              <w:jc w:val="right"/>
              <w:rPr>
                <w:rFonts w:ascii="Arial" w:hAnsi="Arial" w:cs="Arial"/>
                <w:b/>
                <w:bCs/>
                <w:sz w:val="18"/>
                <w:szCs w:val="18"/>
              </w:rPr>
            </w:pPr>
            <w:r w:rsidRPr="005E1D19">
              <w:rPr>
                <w:rFonts w:ascii="Arial" w:hAnsi="Arial" w:cs="Arial"/>
                <w:b/>
                <w:bCs/>
                <w:sz w:val="18"/>
                <w:szCs w:val="18"/>
              </w:rPr>
              <w:t xml:space="preserve">$1,952,314 </w:t>
            </w:r>
          </w:p>
        </w:tc>
        <w:tc>
          <w:tcPr>
            <w:tcW w:w="1255" w:type="dxa"/>
            <w:tcBorders>
              <w:bottom w:val="single" w:color="auto" w:sz="4" w:space="0"/>
            </w:tcBorders>
            <w:vAlign w:val="bottom"/>
          </w:tcPr>
          <w:p w:rsidRPr="00853D61" w:rsidR="00393AEB" w:rsidP="00393AEB" w:rsidRDefault="00393AEB" w14:paraId="717D9455" w14:textId="09ECC807">
            <w:pPr>
              <w:jc w:val="right"/>
              <w:rPr>
                <w:rFonts w:ascii="Arial" w:hAnsi="Arial" w:cs="Arial"/>
                <w:b/>
                <w:bCs/>
                <w:sz w:val="18"/>
                <w:szCs w:val="18"/>
              </w:rPr>
            </w:pPr>
            <w:r w:rsidRPr="005E1D19">
              <w:rPr>
                <w:rFonts w:ascii="Arial" w:hAnsi="Arial" w:cs="Arial"/>
                <w:b/>
                <w:bCs/>
                <w:sz w:val="18"/>
                <w:szCs w:val="18"/>
              </w:rPr>
              <w:t xml:space="preserve">12,378.1 </w:t>
            </w:r>
          </w:p>
        </w:tc>
        <w:tc>
          <w:tcPr>
            <w:tcW w:w="1256" w:type="dxa"/>
            <w:tcBorders>
              <w:bottom w:val="single" w:color="auto" w:sz="4" w:space="0"/>
            </w:tcBorders>
            <w:vAlign w:val="bottom"/>
          </w:tcPr>
          <w:p w:rsidRPr="00853D61" w:rsidR="00393AEB" w:rsidP="00393AEB" w:rsidRDefault="00393AEB" w14:paraId="79B0655B" w14:textId="4DB866FE">
            <w:pPr>
              <w:jc w:val="right"/>
              <w:rPr>
                <w:rFonts w:ascii="Arial" w:hAnsi="Arial" w:cs="Arial"/>
                <w:b/>
                <w:bCs/>
                <w:sz w:val="18"/>
                <w:szCs w:val="18"/>
              </w:rPr>
            </w:pPr>
            <w:r w:rsidRPr="005E1D19">
              <w:rPr>
                <w:rFonts w:ascii="Arial" w:hAnsi="Arial" w:cs="Arial"/>
                <w:b/>
                <w:bCs/>
                <w:sz w:val="18"/>
                <w:szCs w:val="18"/>
              </w:rPr>
              <w:t>3.43</w:t>
            </w:r>
          </w:p>
        </w:tc>
        <w:tc>
          <w:tcPr>
            <w:tcW w:w="1256" w:type="dxa"/>
            <w:tcBorders>
              <w:bottom w:val="single" w:color="auto" w:sz="4" w:space="0"/>
            </w:tcBorders>
            <w:vAlign w:val="bottom"/>
          </w:tcPr>
          <w:p w:rsidRPr="00853D61" w:rsidR="00393AEB" w:rsidP="00393AEB" w:rsidRDefault="00393AEB" w14:paraId="7F2D4439" w14:textId="51FCF8B1">
            <w:pPr>
              <w:jc w:val="right"/>
              <w:rPr>
                <w:rFonts w:ascii="Arial" w:hAnsi="Arial" w:cs="Arial"/>
                <w:b/>
                <w:bCs/>
                <w:sz w:val="18"/>
                <w:szCs w:val="18"/>
              </w:rPr>
            </w:pPr>
            <w:r w:rsidRPr="005E1D19">
              <w:rPr>
                <w:rFonts w:ascii="Arial" w:hAnsi="Arial" w:cs="Arial"/>
                <w:b/>
                <w:bCs/>
                <w:sz w:val="18"/>
                <w:szCs w:val="18"/>
              </w:rPr>
              <w:t xml:space="preserve">$157.72 </w:t>
            </w:r>
          </w:p>
        </w:tc>
      </w:tr>
      <w:tr w:rsidR="00393AEB" w:rsidTr="00A04058" w14:paraId="7F9B7746" w14:textId="77777777">
        <w:trPr>
          <w:jc w:val="center"/>
        </w:trPr>
        <w:tc>
          <w:tcPr>
            <w:tcW w:w="10769" w:type="dxa"/>
            <w:gridSpan w:val="8"/>
            <w:tcBorders>
              <w:left w:val="nil"/>
              <w:bottom w:val="nil"/>
              <w:right w:val="nil"/>
            </w:tcBorders>
            <w:tcMar>
              <w:top w:w="58" w:type="dxa"/>
              <w:left w:w="115" w:type="dxa"/>
              <w:bottom w:w="58" w:type="dxa"/>
              <w:right w:w="115" w:type="dxa"/>
            </w:tcMar>
          </w:tcPr>
          <w:p w:rsidRPr="00BC226B" w:rsidR="00393AEB" w:rsidP="00393AEB" w:rsidRDefault="00393AEB" w14:paraId="25C487D3" w14:textId="77777777">
            <w:pPr>
              <w:rPr>
                <w:rFonts w:ascii="Arial" w:hAnsi="Arial" w:cs="Arial"/>
                <w:b/>
                <w:bCs/>
                <w:sz w:val="18"/>
                <w:szCs w:val="18"/>
              </w:rPr>
            </w:pPr>
            <w:r w:rsidRPr="00B15016">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due to rounding.</w:t>
            </w:r>
          </w:p>
        </w:tc>
      </w:tr>
    </w:tbl>
    <w:p w:rsidR="007E0832" w:rsidP="00C714A4" w:rsidRDefault="007E0832" w14:paraId="0A3BBF87"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8"/>
          <w:szCs w:val="28"/>
        </w:rPr>
      </w:pPr>
    </w:p>
    <w:p w:rsidR="00C25838" w:rsidP="001941A8" w:rsidRDefault="00C25838" w14:paraId="312F64B4" w14:textId="77777777">
      <w:pPr>
        <w:pStyle w:val="Heading2"/>
      </w:pPr>
      <w:r>
        <w:t>6(d)</w:t>
      </w:r>
      <w:r>
        <w:tab/>
        <w:t>Estimating Respondent Universe and Total Burden and Costs</w:t>
      </w:r>
      <w:r w:rsidR="00766F8E">
        <w:fldChar w:fldCharType="begin"/>
      </w:r>
      <w:r>
        <w:instrText xml:space="preserve"> TC "</w:instrText>
      </w:r>
      <w:bookmarkStart w:name="_Toc511660017" w:id="84"/>
      <w:bookmarkStart w:name="_Toc511713526" w:id="85"/>
      <w:r>
        <w:instrText>6(d)</w:instrText>
      </w:r>
      <w:r>
        <w:tab/>
        <w:instrText>Estimating Respondent Universe and Total Burden and Costs</w:instrText>
      </w:r>
      <w:bookmarkEnd w:id="84"/>
      <w:bookmarkEnd w:id="85"/>
      <w:r>
        <w:instrText xml:space="preserve">" \f C \l "2" </w:instrText>
      </w:r>
      <w:r w:rsidR="00766F8E">
        <w:fldChar w:fldCharType="end"/>
      </w:r>
    </w:p>
    <w:p w:rsidR="00C25838" w:rsidP="00C714A4" w:rsidRDefault="00C25838" w14:paraId="02370BE3"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C714A4" w:rsidRDefault="00C25838" w14:paraId="14CFA350" w14:textId="19F3F32C">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EPA estimates that </w:t>
      </w:r>
      <w:r w:rsidRPr="00E01E99" w:rsidR="00E01E99">
        <w:rPr>
          <w:sz w:val="24"/>
          <w:szCs w:val="24"/>
        </w:rPr>
        <w:t>37,618</w:t>
      </w:r>
      <w:r w:rsidR="00E01E99">
        <w:rPr>
          <w:sz w:val="24"/>
          <w:szCs w:val="24"/>
        </w:rPr>
        <w:t xml:space="preserve"> </w:t>
      </w:r>
      <w:r w:rsidR="00A04058">
        <w:rPr>
          <w:sz w:val="24"/>
          <w:szCs w:val="24"/>
        </w:rPr>
        <w:t>o</w:t>
      </w:r>
      <w:r>
        <w:rPr>
          <w:sz w:val="24"/>
          <w:szCs w:val="24"/>
        </w:rPr>
        <w:t xml:space="preserve">wners or operators of </w:t>
      </w:r>
      <w:r w:rsidRPr="008122F8">
        <w:rPr>
          <w:sz w:val="24"/>
          <w:szCs w:val="24"/>
        </w:rPr>
        <w:t>injection wells</w:t>
      </w:r>
      <w:r w:rsidR="000B5DF3">
        <w:rPr>
          <w:sz w:val="24"/>
          <w:szCs w:val="24"/>
        </w:rPr>
        <w:t>/facilities</w:t>
      </w:r>
      <w:r w:rsidRPr="008122F8">
        <w:rPr>
          <w:sz w:val="24"/>
          <w:szCs w:val="24"/>
        </w:rPr>
        <w:t xml:space="preserve"> and 5</w:t>
      </w:r>
      <w:r w:rsidR="00C90E13">
        <w:rPr>
          <w:sz w:val="24"/>
          <w:szCs w:val="24"/>
        </w:rPr>
        <w:t>9</w:t>
      </w:r>
      <w:r w:rsidRPr="008122F8">
        <w:rPr>
          <w:sz w:val="24"/>
          <w:szCs w:val="24"/>
        </w:rPr>
        <w:t xml:space="preserve"> primacy</w:t>
      </w:r>
      <w:r>
        <w:rPr>
          <w:sz w:val="24"/>
          <w:szCs w:val="24"/>
        </w:rPr>
        <w:t xml:space="preserve"> agencies are subject to the UIC Program’s information collection requirements outlined in Section 6(a)</w:t>
      </w:r>
      <w:r w:rsidR="00F84502">
        <w:rPr>
          <w:sz w:val="24"/>
          <w:szCs w:val="24"/>
        </w:rPr>
        <w:t xml:space="preserve">. </w:t>
      </w:r>
      <w:r>
        <w:rPr>
          <w:sz w:val="24"/>
          <w:szCs w:val="24"/>
        </w:rPr>
        <w:t>The number of responses for each well class and activity are shown in Exhibits 6-1A though 6-1</w:t>
      </w:r>
      <w:r w:rsidR="00905389">
        <w:rPr>
          <w:sz w:val="24"/>
          <w:szCs w:val="24"/>
        </w:rPr>
        <w:t>F</w:t>
      </w:r>
      <w:r>
        <w:rPr>
          <w:sz w:val="24"/>
          <w:szCs w:val="24"/>
        </w:rPr>
        <w:t>, and summarized in Exhibit 6-1</w:t>
      </w:r>
      <w:r w:rsidR="00905389">
        <w:rPr>
          <w:sz w:val="24"/>
          <w:szCs w:val="24"/>
        </w:rPr>
        <w:t>G</w:t>
      </w:r>
      <w:r w:rsidR="00F84502">
        <w:rPr>
          <w:sz w:val="24"/>
          <w:szCs w:val="24"/>
        </w:rPr>
        <w:t xml:space="preserve">. </w:t>
      </w:r>
      <w:r>
        <w:rPr>
          <w:sz w:val="24"/>
          <w:szCs w:val="24"/>
        </w:rPr>
        <w:t xml:space="preserve">The estimates of the number of </w:t>
      </w:r>
      <w:r w:rsidR="00821CFA">
        <w:rPr>
          <w:sz w:val="24"/>
          <w:szCs w:val="24"/>
        </w:rPr>
        <w:t xml:space="preserve">primacy </w:t>
      </w:r>
      <w:r>
        <w:rPr>
          <w:sz w:val="24"/>
          <w:szCs w:val="24"/>
        </w:rPr>
        <w:t>state responses are shown in Exhibit 6-</w:t>
      </w:r>
      <w:r w:rsidR="004A6E9E">
        <w:rPr>
          <w:sz w:val="24"/>
          <w:szCs w:val="24"/>
        </w:rPr>
        <w:t>3</w:t>
      </w:r>
      <w:r w:rsidR="00F84502">
        <w:rPr>
          <w:sz w:val="24"/>
          <w:szCs w:val="24"/>
        </w:rPr>
        <w:t xml:space="preserve">. </w:t>
      </w:r>
      <w:r>
        <w:rPr>
          <w:sz w:val="24"/>
          <w:szCs w:val="24"/>
        </w:rPr>
        <w:t xml:space="preserve">This number, known as the respondent universe, is based on EPA’s assumptions of the number of permittees subject to each paperwork requirement </w:t>
      </w:r>
      <w:r w:rsidR="00802DFD">
        <w:rPr>
          <w:sz w:val="24"/>
          <w:szCs w:val="24"/>
        </w:rPr>
        <w:t>(that is</w:t>
      </w:r>
      <w:r>
        <w:rPr>
          <w:sz w:val="24"/>
          <w:szCs w:val="24"/>
        </w:rPr>
        <w:t>, the number of permit applica</w:t>
      </w:r>
      <w:r w:rsidR="000B5DF3">
        <w:rPr>
          <w:sz w:val="24"/>
          <w:szCs w:val="24"/>
        </w:rPr>
        <w:t>n</w:t>
      </w:r>
      <w:r>
        <w:rPr>
          <w:sz w:val="24"/>
          <w:szCs w:val="24"/>
        </w:rPr>
        <w:t>t</w:t>
      </w:r>
      <w:r w:rsidR="000B5DF3">
        <w:rPr>
          <w:sz w:val="24"/>
          <w:szCs w:val="24"/>
        </w:rPr>
        <w:t xml:space="preserve">s </w:t>
      </w:r>
      <w:r>
        <w:rPr>
          <w:sz w:val="24"/>
          <w:szCs w:val="24"/>
        </w:rPr>
        <w:t>or the percent of permittees subject to monitoring or reporting requirements and the frequency with which they must comply with those requirements</w:t>
      </w:r>
      <w:r w:rsidR="00802DFD">
        <w:rPr>
          <w:sz w:val="24"/>
          <w:szCs w:val="24"/>
        </w:rPr>
        <w:t>)</w:t>
      </w:r>
      <w:r w:rsidR="00F84502">
        <w:rPr>
          <w:sz w:val="24"/>
          <w:szCs w:val="24"/>
        </w:rPr>
        <w:t xml:space="preserve">. </w:t>
      </w:r>
      <w:r>
        <w:rPr>
          <w:sz w:val="24"/>
          <w:szCs w:val="24"/>
        </w:rPr>
        <w:t xml:space="preserve">Part 2 of Appendix A provides more detail on EPA’s assumptions about the number of respondents </w:t>
      </w:r>
      <w:r w:rsidR="000047B1">
        <w:rPr>
          <w:sz w:val="24"/>
          <w:szCs w:val="24"/>
        </w:rPr>
        <w:t xml:space="preserve">that perform </w:t>
      </w:r>
      <w:r>
        <w:rPr>
          <w:sz w:val="24"/>
          <w:szCs w:val="24"/>
        </w:rPr>
        <w:t>each collection activity.</w:t>
      </w:r>
    </w:p>
    <w:p w:rsidR="00AD3BC2" w:rsidP="00C714A4" w:rsidRDefault="00AD3BC2" w14:paraId="7CB8EF1B"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E5048" w:rsidP="002E5048" w:rsidRDefault="00C25838" w14:paraId="25385873" w14:textId="3EC48BCB">
      <w:pPr>
        <w:rPr>
          <w:sz w:val="24"/>
          <w:szCs w:val="24"/>
        </w:rPr>
      </w:pPr>
      <w:bookmarkStart w:name="_Hlk508719705" w:id="86"/>
      <w:r>
        <w:rPr>
          <w:sz w:val="24"/>
          <w:szCs w:val="24"/>
        </w:rPr>
        <w:tab/>
      </w:r>
      <w:bookmarkStart w:name="_Hlk512232763" w:id="87"/>
      <w:r w:rsidRPr="00522A0E" w:rsidR="002E5048">
        <w:rPr>
          <w:sz w:val="24"/>
          <w:szCs w:val="24"/>
        </w:rPr>
        <w:t xml:space="preserve">EPA estimates that the total non-federal respondent burden over the three years covered by this ICR is </w:t>
      </w:r>
      <w:r w:rsidRPr="00714F4D" w:rsidR="00714F4D">
        <w:rPr>
          <w:sz w:val="24"/>
          <w:szCs w:val="24"/>
        </w:rPr>
        <w:t>4.89 million hours (or 1.63 million hours per year). The total cost to respondents is $1,089.9 million (or  $363.3 million per year)</w:t>
      </w:r>
      <w:r w:rsidR="00714F4D">
        <w:rPr>
          <w:sz w:val="24"/>
          <w:szCs w:val="24"/>
        </w:rPr>
        <w:t>.</w:t>
      </w:r>
    </w:p>
    <w:bookmarkEnd w:id="86"/>
    <w:bookmarkEnd w:id="87"/>
    <w:p w:rsidR="008122F8" w:rsidP="00C714A4" w:rsidRDefault="008122F8" w14:paraId="3D2379A1"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bookmarkEnd w:id="77"/>
    <w:p w:rsidR="00C25838" w:rsidP="001941A8" w:rsidRDefault="00C25838" w14:paraId="14FDF1F4" w14:textId="77777777">
      <w:pPr>
        <w:pStyle w:val="Heading2"/>
      </w:pPr>
      <w:r>
        <w:lastRenderedPageBreak/>
        <w:t>6(e)</w:t>
      </w:r>
      <w:r>
        <w:tab/>
        <w:t>Bottom Line Burden Hours and Costs</w:t>
      </w:r>
      <w:r w:rsidR="00766F8E">
        <w:fldChar w:fldCharType="begin"/>
      </w:r>
      <w:r>
        <w:instrText xml:space="preserve"> TC "</w:instrText>
      </w:r>
      <w:bookmarkStart w:name="_Toc511660018" w:id="88"/>
      <w:bookmarkStart w:name="_Toc511713527" w:id="89"/>
      <w:r>
        <w:instrText>6(e)</w:instrText>
      </w:r>
      <w:r>
        <w:tab/>
        <w:instrText>Bottom Line Burden Hours and Costs</w:instrText>
      </w:r>
      <w:bookmarkEnd w:id="88"/>
      <w:bookmarkEnd w:id="89"/>
      <w:r>
        <w:instrText xml:space="preserve">" \f C \l "2" </w:instrText>
      </w:r>
      <w:r w:rsidR="00766F8E">
        <w:fldChar w:fldCharType="end"/>
      </w:r>
    </w:p>
    <w:p w:rsidR="00C25838" w:rsidP="00C714A4" w:rsidRDefault="00C25838" w14:paraId="6D37D6A9" w14:textId="77777777">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5838" w:rsidP="00C714A4" w:rsidRDefault="00C25838" w14:paraId="1232F401" w14:textId="2337E958">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The bottom line burden hours and costs appear in Exhibit 6-</w:t>
      </w:r>
      <w:r w:rsidR="008176C6">
        <w:rPr>
          <w:sz w:val="24"/>
          <w:szCs w:val="24"/>
        </w:rPr>
        <w:t>6</w:t>
      </w:r>
      <w:r>
        <w:rPr>
          <w:sz w:val="24"/>
          <w:szCs w:val="24"/>
        </w:rPr>
        <w:t>.</w:t>
      </w:r>
    </w:p>
    <w:p w:rsidR="00BB5832" w:rsidP="00C714A4" w:rsidRDefault="00BB5832" w14:paraId="47C77F56" w14:textId="77777777">
      <w:pPr>
        <w:keepNext/>
        <w:keepLines/>
      </w:pPr>
    </w:p>
    <w:tbl>
      <w:tblPr>
        <w:tblW w:w="9686" w:type="dxa"/>
        <w:jc w:val="center"/>
        <w:tblLook w:val="04A0" w:firstRow="1" w:lastRow="0" w:firstColumn="1" w:lastColumn="0" w:noHBand="0" w:noVBand="1"/>
      </w:tblPr>
      <w:tblGrid>
        <w:gridCol w:w="2514"/>
        <w:gridCol w:w="1318"/>
        <w:gridCol w:w="322"/>
        <w:gridCol w:w="1318"/>
        <w:gridCol w:w="4214"/>
      </w:tblGrid>
      <w:tr w:rsidRPr="00261CEB" w:rsidR="00BB5832" w:rsidTr="0079788D" w14:paraId="50C45F9B" w14:textId="77777777">
        <w:trPr>
          <w:trHeight w:val="728"/>
          <w:jc w:val="center"/>
        </w:trPr>
        <w:tc>
          <w:tcPr>
            <w:tcW w:w="9686" w:type="dxa"/>
            <w:gridSpan w:val="5"/>
            <w:tcBorders>
              <w:top w:val="single" w:color="auto" w:sz="4" w:space="0"/>
              <w:left w:val="single" w:color="auto" w:sz="4" w:space="0"/>
              <w:bottom w:val="nil"/>
              <w:right w:val="single" w:color="auto" w:sz="4" w:space="0"/>
            </w:tcBorders>
            <w:shd w:val="clear" w:color="auto" w:fill="auto"/>
            <w:vAlign w:val="bottom"/>
            <w:hideMark/>
          </w:tcPr>
          <w:p w:rsidR="00BB5832" w:rsidP="00C714A4" w:rsidRDefault="00BB5832" w14:paraId="4B6CF031" w14:textId="32FF8AC5">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247191">
              <w:rPr>
                <w:rFonts w:ascii="Arial" w:hAnsi="Arial" w:cs="Arial"/>
                <w:b/>
              </w:rPr>
              <w:t>Exhibit 6-</w:t>
            </w:r>
            <w:r w:rsidR="000024C4">
              <w:rPr>
                <w:rFonts w:ascii="Arial" w:hAnsi="Arial" w:cs="Arial"/>
                <w:b/>
              </w:rPr>
              <w:t>6</w:t>
            </w:r>
          </w:p>
          <w:p w:rsidR="00BB5832" w:rsidP="00C714A4" w:rsidRDefault="00BB5832" w14:paraId="2D475B7F" w14:textId="77777777">
            <w:pPr>
              <w:keepNext/>
              <w:keepLines/>
              <w:widowControl w:val="0"/>
              <w:tabs>
                <w:tab w:val="center" w:pos="4726"/>
              </w:tabs>
              <w:jc w:val="center"/>
              <w:rPr>
                <w:rFonts w:ascii="Arial" w:hAnsi="Arial" w:cs="Arial"/>
                <w:b/>
              </w:rPr>
            </w:pPr>
            <w:r>
              <w:rPr>
                <w:rFonts w:ascii="Arial" w:hAnsi="Arial" w:cs="Arial"/>
                <w:b/>
              </w:rPr>
              <w:t>Bottom Line Annual Burden and Cost</w:t>
            </w:r>
            <w:r w:rsidR="00FB7FF1">
              <w:rPr>
                <w:rFonts w:ascii="Arial" w:hAnsi="Arial" w:cs="Arial"/>
                <w:b/>
              </w:rPr>
              <w:t xml:space="preserve"> </w:t>
            </w:r>
          </w:p>
          <w:p w:rsidRPr="00261CEB" w:rsidR="00BB5832" w:rsidP="00C714A4" w:rsidRDefault="00926C92" w14:paraId="258DECDB" w14:textId="1533B60D">
            <w:pPr>
              <w:keepNext/>
              <w:keepLines/>
              <w:jc w:val="center"/>
              <w:rPr>
                <w:rFonts w:ascii="Arial" w:hAnsi="Arial" w:cs="Arial"/>
                <w:sz w:val="18"/>
                <w:szCs w:val="18"/>
              </w:rPr>
            </w:pPr>
            <w:r>
              <w:rPr>
                <w:rFonts w:ascii="Arial" w:hAnsi="Arial" w:cs="Arial"/>
                <w:b/>
              </w:rPr>
              <w:t>2022-2024</w:t>
            </w:r>
          </w:p>
        </w:tc>
      </w:tr>
      <w:tr w:rsidRPr="00261CEB" w:rsidR="008445E3" w:rsidTr="0079788D" w14:paraId="2293F125" w14:textId="77777777">
        <w:trPr>
          <w:trHeight w:val="264"/>
          <w:jc w:val="center"/>
        </w:trPr>
        <w:tc>
          <w:tcPr>
            <w:tcW w:w="2514" w:type="dxa"/>
            <w:tcBorders>
              <w:top w:val="single" w:color="auto" w:sz="4" w:space="0"/>
              <w:left w:val="single" w:color="auto" w:sz="4" w:space="0"/>
              <w:bottom w:val="nil"/>
              <w:right w:val="single" w:color="auto" w:sz="4" w:space="0"/>
            </w:tcBorders>
            <w:shd w:val="clear" w:color="auto" w:fill="auto"/>
            <w:vAlign w:val="bottom"/>
            <w:hideMark/>
          </w:tcPr>
          <w:p w:rsidRPr="00CD2599" w:rsidR="008445E3" w:rsidP="008445E3" w:rsidRDefault="008445E3" w14:paraId="1894932E" w14:textId="77777777">
            <w:pPr>
              <w:keepNext/>
              <w:keepLines/>
              <w:rPr>
                <w:rFonts w:ascii="Arial" w:hAnsi="Arial" w:cs="Arial"/>
                <w:sz w:val="18"/>
                <w:szCs w:val="18"/>
              </w:rPr>
            </w:pPr>
            <w:r w:rsidRPr="00CD2599">
              <w:rPr>
                <w:rFonts w:ascii="Arial" w:hAnsi="Arial" w:cs="Arial"/>
                <w:sz w:val="18"/>
                <w:szCs w:val="18"/>
              </w:rPr>
              <w:t>Number of Respondents</w:t>
            </w:r>
          </w:p>
        </w:tc>
        <w:tc>
          <w:tcPr>
            <w:tcW w:w="0" w:type="auto"/>
            <w:tcBorders>
              <w:top w:val="single" w:color="auto" w:sz="4" w:space="0"/>
              <w:left w:val="nil"/>
              <w:bottom w:val="nil"/>
              <w:right w:val="nil"/>
            </w:tcBorders>
            <w:shd w:val="clear" w:color="auto" w:fill="auto"/>
            <w:noWrap/>
            <w:vAlign w:val="bottom"/>
            <w:hideMark/>
          </w:tcPr>
          <w:p w:rsidRPr="009D24D3" w:rsidR="008445E3" w:rsidP="008445E3" w:rsidRDefault="008445E3" w14:paraId="16DF0555" w14:textId="1B549890">
            <w:pPr>
              <w:keepNext/>
              <w:keepLines/>
              <w:jc w:val="right"/>
              <w:rPr>
                <w:rFonts w:ascii="Arial" w:hAnsi="Arial" w:cs="Arial"/>
                <w:sz w:val="18"/>
                <w:szCs w:val="18"/>
              </w:rPr>
            </w:pPr>
            <w:r w:rsidRPr="009A0785">
              <w:rPr>
                <w:rFonts w:ascii="Arial" w:hAnsi="Arial" w:cs="Arial"/>
                <w:sz w:val="18"/>
                <w:szCs w:val="18"/>
              </w:rPr>
              <w:t>37,677</w:t>
            </w:r>
          </w:p>
        </w:tc>
        <w:tc>
          <w:tcPr>
            <w:tcW w:w="0" w:type="auto"/>
            <w:tcBorders>
              <w:top w:val="single" w:color="auto" w:sz="4" w:space="0"/>
              <w:left w:val="nil"/>
              <w:bottom w:val="nil"/>
              <w:right w:val="single" w:color="auto" w:sz="4" w:space="0"/>
            </w:tcBorders>
            <w:shd w:val="clear" w:color="auto" w:fill="auto"/>
            <w:noWrap/>
            <w:vAlign w:val="bottom"/>
            <w:hideMark/>
          </w:tcPr>
          <w:p w:rsidRPr="00BC226B" w:rsidR="008445E3" w:rsidP="008445E3" w:rsidRDefault="008445E3" w14:paraId="04DC5B82" w14:textId="631088E9">
            <w:pPr>
              <w:keepNext/>
              <w:keepLines/>
              <w:jc w:val="center"/>
              <w:rPr>
                <w:rFonts w:ascii="Arial" w:hAnsi="Arial" w:cs="Arial"/>
                <w:sz w:val="18"/>
                <w:szCs w:val="18"/>
              </w:rPr>
            </w:pPr>
            <w:r w:rsidRPr="009A0785">
              <w:rPr>
                <w:rFonts w:ascii="Arial" w:hAnsi="Arial" w:cs="Arial"/>
                <w:sz w:val="18"/>
                <w:szCs w:val="18"/>
              </w:rPr>
              <w:t>=</w:t>
            </w:r>
          </w:p>
        </w:tc>
        <w:tc>
          <w:tcPr>
            <w:tcW w:w="0" w:type="auto"/>
            <w:tcBorders>
              <w:top w:val="single" w:color="auto" w:sz="4" w:space="0"/>
              <w:left w:val="nil"/>
              <w:bottom w:val="nil"/>
              <w:right w:val="nil"/>
            </w:tcBorders>
            <w:shd w:val="clear" w:color="auto" w:fill="auto"/>
            <w:noWrap/>
            <w:vAlign w:val="bottom"/>
            <w:hideMark/>
          </w:tcPr>
          <w:p w:rsidRPr="009D24D3" w:rsidR="008445E3" w:rsidP="008445E3" w:rsidRDefault="008445E3" w14:paraId="14AF4499" w14:textId="07EB979A">
            <w:pPr>
              <w:keepNext/>
              <w:keepLines/>
              <w:jc w:val="right"/>
              <w:rPr>
                <w:rFonts w:ascii="Arial" w:hAnsi="Arial" w:cs="Arial"/>
                <w:sz w:val="18"/>
                <w:szCs w:val="18"/>
              </w:rPr>
            </w:pPr>
            <w:r w:rsidRPr="009A0785">
              <w:rPr>
                <w:rFonts w:ascii="Arial" w:hAnsi="Arial" w:cs="Arial"/>
                <w:sz w:val="18"/>
                <w:szCs w:val="18"/>
              </w:rPr>
              <w:t>37,618</w:t>
            </w:r>
          </w:p>
        </w:tc>
        <w:tc>
          <w:tcPr>
            <w:tcW w:w="4214" w:type="dxa"/>
            <w:tcBorders>
              <w:top w:val="single" w:color="auto" w:sz="4" w:space="0"/>
              <w:left w:val="nil"/>
              <w:bottom w:val="nil"/>
              <w:right w:val="single" w:color="auto" w:sz="4" w:space="0"/>
            </w:tcBorders>
            <w:shd w:val="clear" w:color="auto" w:fill="auto"/>
            <w:vAlign w:val="bottom"/>
            <w:hideMark/>
          </w:tcPr>
          <w:p w:rsidRPr="00EA605F" w:rsidR="008445E3" w:rsidP="008445E3" w:rsidRDefault="008445E3" w14:paraId="22E7682B" w14:textId="77777777">
            <w:pPr>
              <w:keepNext/>
              <w:keepLines/>
              <w:rPr>
                <w:rFonts w:ascii="Arial" w:hAnsi="Arial" w:cs="Arial"/>
                <w:sz w:val="18"/>
                <w:szCs w:val="18"/>
              </w:rPr>
            </w:pPr>
            <w:r w:rsidRPr="00EA605F">
              <w:rPr>
                <w:rFonts w:ascii="Arial" w:hAnsi="Arial" w:cs="Arial"/>
                <w:sz w:val="18"/>
                <w:szCs w:val="18"/>
              </w:rPr>
              <w:t>Operators (from EPA inventory) +</w:t>
            </w:r>
          </w:p>
        </w:tc>
      </w:tr>
      <w:tr w:rsidRPr="00261CEB" w:rsidR="008445E3" w:rsidTr="0079788D" w14:paraId="4D470807" w14:textId="77777777">
        <w:trPr>
          <w:trHeight w:val="264"/>
          <w:jc w:val="center"/>
        </w:trPr>
        <w:tc>
          <w:tcPr>
            <w:tcW w:w="2514" w:type="dxa"/>
            <w:tcBorders>
              <w:top w:val="nil"/>
              <w:left w:val="single" w:color="auto" w:sz="4" w:space="0"/>
              <w:bottom w:val="single" w:color="auto" w:sz="4" w:space="0"/>
              <w:right w:val="single" w:color="auto" w:sz="4" w:space="0"/>
            </w:tcBorders>
            <w:shd w:val="clear" w:color="auto" w:fill="auto"/>
            <w:vAlign w:val="center"/>
            <w:hideMark/>
          </w:tcPr>
          <w:p w:rsidRPr="00CD2599" w:rsidR="008445E3" w:rsidP="008445E3" w:rsidRDefault="008445E3" w14:paraId="2096E2C6" w14:textId="77777777">
            <w:pPr>
              <w:keepNext/>
              <w:keepLines/>
              <w:rPr>
                <w:rFonts w:ascii="Arial" w:hAnsi="Arial" w:cs="Arial"/>
                <w:sz w:val="18"/>
                <w:szCs w:val="18"/>
              </w:rPr>
            </w:pPr>
            <w:r w:rsidRPr="00CD2599">
              <w:rPr>
                <w:rFonts w:ascii="Arial" w:hAnsi="Arial" w:cs="Arial"/>
                <w:sz w:val="18"/>
                <w:szCs w:val="18"/>
              </w:rPr>
              <w:t> </w:t>
            </w:r>
          </w:p>
        </w:tc>
        <w:tc>
          <w:tcPr>
            <w:tcW w:w="0" w:type="auto"/>
            <w:tcBorders>
              <w:top w:val="nil"/>
              <w:left w:val="nil"/>
              <w:bottom w:val="single" w:color="auto" w:sz="4" w:space="0"/>
              <w:right w:val="nil"/>
            </w:tcBorders>
            <w:shd w:val="clear" w:color="auto" w:fill="auto"/>
            <w:noWrap/>
            <w:vAlign w:val="bottom"/>
            <w:hideMark/>
          </w:tcPr>
          <w:p w:rsidRPr="009D24D3" w:rsidR="008445E3" w:rsidP="008445E3" w:rsidRDefault="008445E3" w14:paraId="57868099" w14:textId="14AAEB77">
            <w:pPr>
              <w:keepNext/>
              <w:keepLines/>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single" w:color="auto" w:sz="4" w:space="0"/>
            </w:tcBorders>
            <w:shd w:val="clear" w:color="auto" w:fill="auto"/>
            <w:noWrap/>
            <w:vAlign w:val="bottom"/>
            <w:hideMark/>
          </w:tcPr>
          <w:p w:rsidRPr="00BC226B" w:rsidR="008445E3" w:rsidP="008445E3" w:rsidRDefault="008445E3" w14:paraId="5E005009" w14:textId="3AA56D7F">
            <w:pPr>
              <w:keepNext/>
              <w:keepLines/>
              <w:jc w:val="center"/>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nil"/>
            </w:tcBorders>
            <w:shd w:val="clear" w:color="auto" w:fill="auto"/>
            <w:noWrap/>
            <w:vAlign w:val="bottom"/>
            <w:hideMark/>
          </w:tcPr>
          <w:p w:rsidRPr="009D24D3" w:rsidR="008445E3" w:rsidP="008445E3" w:rsidRDefault="008445E3" w14:paraId="4D0B5D09" w14:textId="32858F1D">
            <w:pPr>
              <w:keepNext/>
              <w:keepLines/>
              <w:jc w:val="right"/>
              <w:rPr>
                <w:rFonts w:ascii="Arial" w:hAnsi="Arial" w:cs="Arial"/>
                <w:sz w:val="18"/>
                <w:szCs w:val="18"/>
              </w:rPr>
            </w:pPr>
            <w:r w:rsidRPr="009A0785">
              <w:rPr>
                <w:rFonts w:ascii="Arial" w:hAnsi="Arial" w:cs="Arial"/>
                <w:sz w:val="18"/>
                <w:szCs w:val="18"/>
              </w:rPr>
              <w:t>59</w:t>
            </w:r>
          </w:p>
        </w:tc>
        <w:tc>
          <w:tcPr>
            <w:tcW w:w="4214" w:type="dxa"/>
            <w:tcBorders>
              <w:top w:val="nil"/>
              <w:left w:val="nil"/>
              <w:bottom w:val="single" w:color="auto" w:sz="4" w:space="0"/>
              <w:right w:val="single" w:color="auto" w:sz="4" w:space="0"/>
            </w:tcBorders>
            <w:shd w:val="clear" w:color="auto" w:fill="auto"/>
            <w:vAlign w:val="bottom"/>
            <w:hideMark/>
          </w:tcPr>
          <w:p w:rsidRPr="00EA605F" w:rsidR="008445E3" w:rsidP="008445E3" w:rsidRDefault="008445E3" w14:paraId="47FCEE19" w14:textId="77777777">
            <w:pPr>
              <w:keepNext/>
              <w:keepLines/>
              <w:rPr>
                <w:rFonts w:ascii="Arial" w:hAnsi="Arial" w:cs="Arial"/>
                <w:sz w:val="18"/>
                <w:szCs w:val="18"/>
              </w:rPr>
            </w:pPr>
            <w:r w:rsidRPr="00EA605F">
              <w:rPr>
                <w:rFonts w:ascii="Arial" w:hAnsi="Arial" w:cs="Arial"/>
                <w:sz w:val="18"/>
                <w:szCs w:val="18"/>
              </w:rPr>
              <w:t>Primacy agencies</w:t>
            </w:r>
          </w:p>
        </w:tc>
      </w:tr>
      <w:tr w:rsidRPr="00261CEB" w:rsidR="008445E3" w:rsidTr="0079788D" w14:paraId="090A2F16" w14:textId="77777777">
        <w:trPr>
          <w:trHeight w:val="264"/>
          <w:jc w:val="center"/>
        </w:trPr>
        <w:tc>
          <w:tcPr>
            <w:tcW w:w="2514" w:type="dxa"/>
            <w:tcBorders>
              <w:top w:val="nil"/>
              <w:left w:val="single" w:color="auto" w:sz="4" w:space="0"/>
              <w:bottom w:val="nil"/>
              <w:right w:val="single" w:color="auto" w:sz="4" w:space="0"/>
            </w:tcBorders>
            <w:shd w:val="clear" w:color="auto" w:fill="auto"/>
            <w:vAlign w:val="center"/>
            <w:hideMark/>
          </w:tcPr>
          <w:p w:rsidRPr="00CD2599" w:rsidR="008445E3" w:rsidP="008445E3" w:rsidRDefault="008445E3" w14:paraId="390BD14E" w14:textId="77777777">
            <w:pPr>
              <w:keepNext/>
              <w:keepLines/>
              <w:rPr>
                <w:rFonts w:ascii="Arial" w:hAnsi="Arial" w:cs="Arial"/>
                <w:sz w:val="18"/>
                <w:szCs w:val="18"/>
              </w:rPr>
            </w:pPr>
            <w:r w:rsidRPr="00CD2599">
              <w:rPr>
                <w:rFonts w:ascii="Arial" w:hAnsi="Arial" w:cs="Arial"/>
                <w:sz w:val="18"/>
                <w:szCs w:val="18"/>
              </w:rPr>
              <w:t>Total Annual Responses</w:t>
            </w:r>
          </w:p>
        </w:tc>
        <w:tc>
          <w:tcPr>
            <w:tcW w:w="0" w:type="auto"/>
            <w:tcBorders>
              <w:top w:val="nil"/>
              <w:left w:val="nil"/>
              <w:bottom w:val="nil"/>
              <w:right w:val="nil"/>
            </w:tcBorders>
            <w:shd w:val="clear" w:color="auto" w:fill="auto"/>
            <w:noWrap/>
            <w:vAlign w:val="bottom"/>
            <w:hideMark/>
          </w:tcPr>
          <w:p w:rsidRPr="009D24D3" w:rsidR="008445E3" w:rsidP="008445E3" w:rsidRDefault="008445E3" w14:paraId="1569723C" w14:textId="71904411">
            <w:pPr>
              <w:keepNext/>
              <w:keepLines/>
              <w:jc w:val="right"/>
              <w:rPr>
                <w:rFonts w:ascii="Arial" w:hAnsi="Arial" w:cs="Arial"/>
                <w:sz w:val="18"/>
                <w:szCs w:val="18"/>
              </w:rPr>
            </w:pPr>
            <w:r w:rsidRPr="009A0785">
              <w:rPr>
                <w:rFonts w:ascii="Arial" w:hAnsi="Arial" w:cs="Arial"/>
                <w:sz w:val="18"/>
                <w:szCs w:val="18"/>
              </w:rPr>
              <w:t>578,113</w:t>
            </w:r>
          </w:p>
        </w:tc>
        <w:tc>
          <w:tcPr>
            <w:tcW w:w="0" w:type="auto"/>
            <w:tcBorders>
              <w:top w:val="nil"/>
              <w:left w:val="nil"/>
              <w:bottom w:val="nil"/>
              <w:right w:val="single" w:color="auto" w:sz="4" w:space="0"/>
            </w:tcBorders>
            <w:shd w:val="clear" w:color="auto" w:fill="auto"/>
            <w:noWrap/>
            <w:vAlign w:val="bottom"/>
            <w:hideMark/>
          </w:tcPr>
          <w:p w:rsidRPr="00BC226B" w:rsidR="008445E3" w:rsidP="008445E3" w:rsidRDefault="008445E3" w14:paraId="0950138F" w14:textId="233706B3">
            <w:pPr>
              <w:keepNext/>
              <w:keepLines/>
              <w:jc w:val="center"/>
              <w:rPr>
                <w:rFonts w:ascii="Arial" w:hAnsi="Arial" w:cs="Arial"/>
                <w:sz w:val="18"/>
                <w:szCs w:val="18"/>
              </w:rPr>
            </w:pPr>
            <w:r w:rsidRPr="009A0785">
              <w:rPr>
                <w:rFonts w:ascii="Arial" w:hAnsi="Arial" w:cs="Arial"/>
                <w:sz w:val="18"/>
                <w:szCs w:val="18"/>
              </w:rPr>
              <w:t>=</w:t>
            </w:r>
          </w:p>
        </w:tc>
        <w:tc>
          <w:tcPr>
            <w:tcW w:w="0" w:type="auto"/>
            <w:tcBorders>
              <w:top w:val="nil"/>
              <w:left w:val="nil"/>
              <w:bottom w:val="nil"/>
              <w:right w:val="nil"/>
            </w:tcBorders>
            <w:shd w:val="clear" w:color="auto" w:fill="auto"/>
            <w:noWrap/>
            <w:vAlign w:val="bottom"/>
            <w:hideMark/>
          </w:tcPr>
          <w:p w:rsidRPr="009D24D3" w:rsidR="008445E3" w:rsidP="008445E3" w:rsidRDefault="008445E3" w14:paraId="600B0B6C" w14:textId="18C1CADA">
            <w:pPr>
              <w:keepNext/>
              <w:keepLines/>
              <w:jc w:val="right"/>
              <w:rPr>
                <w:rFonts w:ascii="Arial" w:hAnsi="Arial" w:cs="Arial"/>
                <w:sz w:val="18"/>
                <w:szCs w:val="18"/>
              </w:rPr>
            </w:pPr>
            <w:r w:rsidRPr="009A0785">
              <w:rPr>
                <w:rFonts w:ascii="Arial" w:hAnsi="Arial" w:cs="Arial"/>
                <w:sz w:val="18"/>
                <w:szCs w:val="18"/>
              </w:rPr>
              <w:t>465,923</w:t>
            </w:r>
          </w:p>
        </w:tc>
        <w:tc>
          <w:tcPr>
            <w:tcW w:w="4214" w:type="dxa"/>
            <w:tcBorders>
              <w:top w:val="nil"/>
              <w:left w:val="nil"/>
              <w:bottom w:val="nil"/>
              <w:right w:val="single" w:color="auto" w:sz="4" w:space="0"/>
            </w:tcBorders>
            <w:shd w:val="clear" w:color="auto" w:fill="auto"/>
            <w:vAlign w:val="bottom"/>
            <w:hideMark/>
          </w:tcPr>
          <w:p w:rsidRPr="00EA605F" w:rsidR="008445E3" w:rsidP="008445E3" w:rsidRDefault="008445E3" w14:paraId="22C20A19" w14:textId="77777777">
            <w:pPr>
              <w:keepNext/>
              <w:keepLines/>
              <w:rPr>
                <w:rFonts w:ascii="Arial" w:hAnsi="Arial" w:cs="Arial"/>
                <w:sz w:val="18"/>
                <w:szCs w:val="18"/>
              </w:rPr>
            </w:pPr>
            <w:r w:rsidRPr="00EA605F">
              <w:rPr>
                <w:rFonts w:ascii="Arial" w:hAnsi="Arial" w:cs="Arial"/>
                <w:sz w:val="18"/>
                <w:szCs w:val="18"/>
              </w:rPr>
              <w:t>Operator responses (from Exhibit 6-1G) +</w:t>
            </w:r>
          </w:p>
        </w:tc>
      </w:tr>
      <w:tr w:rsidRPr="00261CEB" w:rsidR="008445E3" w:rsidTr="0079788D" w14:paraId="700CC4D1" w14:textId="77777777">
        <w:trPr>
          <w:trHeight w:val="264"/>
          <w:jc w:val="center"/>
        </w:trPr>
        <w:tc>
          <w:tcPr>
            <w:tcW w:w="2514" w:type="dxa"/>
            <w:tcBorders>
              <w:top w:val="nil"/>
              <w:left w:val="single" w:color="auto" w:sz="4" w:space="0"/>
              <w:bottom w:val="single" w:color="auto" w:sz="4" w:space="0"/>
              <w:right w:val="single" w:color="auto" w:sz="4" w:space="0"/>
            </w:tcBorders>
            <w:shd w:val="clear" w:color="auto" w:fill="auto"/>
            <w:vAlign w:val="center"/>
            <w:hideMark/>
          </w:tcPr>
          <w:p w:rsidRPr="00CD2599" w:rsidR="008445E3" w:rsidP="008445E3" w:rsidRDefault="008445E3" w14:paraId="66BD15D6" w14:textId="77777777">
            <w:pPr>
              <w:keepNext/>
              <w:keepLines/>
              <w:rPr>
                <w:rFonts w:ascii="Arial" w:hAnsi="Arial" w:cs="Arial"/>
                <w:sz w:val="18"/>
                <w:szCs w:val="18"/>
              </w:rPr>
            </w:pPr>
            <w:r w:rsidRPr="00CD2599">
              <w:rPr>
                <w:rFonts w:ascii="Arial" w:hAnsi="Arial" w:cs="Arial"/>
                <w:sz w:val="18"/>
                <w:szCs w:val="18"/>
              </w:rPr>
              <w:t> </w:t>
            </w:r>
          </w:p>
        </w:tc>
        <w:tc>
          <w:tcPr>
            <w:tcW w:w="0" w:type="auto"/>
            <w:tcBorders>
              <w:top w:val="nil"/>
              <w:left w:val="nil"/>
              <w:bottom w:val="single" w:color="auto" w:sz="4" w:space="0"/>
              <w:right w:val="nil"/>
            </w:tcBorders>
            <w:shd w:val="clear" w:color="auto" w:fill="auto"/>
            <w:noWrap/>
            <w:vAlign w:val="bottom"/>
            <w:hideMark/>
          </w:tcPr>
          <w:p w:rsidRPr="009D24D3" w:rsidR="008445E3" w:rsidP="008445E3" w:rsidRDefault="008445E3" w14:paraId="7EFBB171" w14:textId="72B94BCB">
            <w:pPr>
              <w:keepNext/>
              <w:keepLines/>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single" w:color="auto" w:sz="4" w:space="0"/>
            </w:tcBorders>
            <w:shd w:val="clear" w:color="auto" w:fill="auto"/>
            <w:noWrap/>
            <w:vAlign w:val="bottom"/>
            <w:hideMark/>
          </w:tcPr>
          <w:p w:rsidRPr="00BC226B" w:rsidR="008445E3" w:rsidP="008445E3" w:rsidRDefault="008445E3" w14:paraId="18D3422D" w14:textId="4185D482">
            <w:pPr>
              <w:keepNext/>
              <w:keepLines/>
              <w:jc w:val="center"/>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nil"/>
            </w:tcBorders>
            <w:shd w:val="clear" w:color="auto" w:fill="auto"/>
            <w:noWrap/>
            <w:vAlign w:val="bottom"/>
            <w:hideMark/>
          </w:tcPr>
          <w:p w:rsidRPr="009D24D3" w:rsidR="008445E3" w:rsidP="008445E3" w:rsidRDefault="008445E3" w14:paraId="7B9E7137" w14:textId="2EDB4926">
            <w:pPr>
              <w:keepNext/>
              <w:keepLines/>
              <w:jc w:val="right"/>
              <w:rPr>
                <w:rFonts w:ascii="Arial" w:hAnsi="Arial" w:cs="Arial"/>
                <w:sz w:val="18"/>
                <w:szCs w:val="18"/>
              </w:rPr>
            </w:pPr>
            <w:r w:rsidRPr="009A0785">
              <w:rPr>
                <w:rFonts w:ascii="Arial" w:hAnsi="Arial" w:cs="Arial"/>
                <w:sz w:val="18"/>
                <w:szCs w:val="18"/>
              </w:rPr>
              <w:t>112,190</w:t>
            </w:r>
          </w:p>
        </w:tc>
        <w:tc>
          <w:tcPr>
            <w:tcW w:w="4214" w:type="dxa"/>
            <w:tcBorders>
              <w:top w:val="nil"/>
              <w:left w:val="nil"/>
              <w:bottom w:val="single" w:color="auto" w:sz="4" w:space="0"/>
              <w:right w:val="single" w:color="auto" w:sz="4" w:space="0"/>
            </w:tcBorders>
            <w:shd w:val="clear" w:color="auto" w:fill="auto"/>
            <w:vAlign w:val="bottom"/>
            <w:hideMark/>
          </w:tcPr>
          <w:p w:rsidRPr="00EA605F" w:rsidR="008445E3" w:rsidP="008445E3" w:rsidRDefault="008445E3" w14:paraId="086A4604" w14:textId="77777777">
            <w:pPr>
              <w:keepNext/>
              <w:keepLines/>
              <w:rPr>
                <w:rFonts w:ascii="Arial" w:hAnsi="Arial" w:cs="Arial"/>
                <w:sz w:val="18"/>
                <w:szCs w:val="18"/>
              </w:rPr>
            </w:pPr>
            <w:r w:rsidRPr="00EA605F">
              <w:rPr>
                <w:rFonts w:ascii="Arial" w:hAnsi="Arial" w:cs="Arial"/>
                <w:sz w:val="18"/>
                <w:szCs w:val="18"/>
              </w:rPr>
              <w:t>Primacy agency responses (from Exhibit 6-</w:t>
            </w:r>
            <w:r>
              <w:rPr>
                <w:rFonts w:ascii="Arial" w:hAnsi="Arial" w:cs="Arial"/>
                <w:sz w:val="18"/>
                <w:szCs w:val="18"/>
              </w:rPr>
              <w:t>3</w:t>
            </w:r>
            <w:r w:rsidRPr="00EA605F">
              <w:rPr>
                <w:rFonts w:ascii="Arial" w:hAnsi="Arial" w:cs="Arial"/>
                <w:sz w:val="18"/>
                <w:szCs w:val="18"/>
              </w:rPr>
              <w:t>)</w:t>
            </w:r>
          </w:p>
        </w:tc>
      </w:tr>
      <w:tr w:rsidRPr="00261CEB" w:rsidR="008445E3" w:rsidTr="0079788D" w14:paraId="3E8D6C9D" w14:textId="77777777">
        <w:trPr>
          <w:trHeight w:val="264"/>
          <w:jc w:val="center"/>
        </w:trPr>
        <w:tc>
          <w:tcPr>
            <w:tcW w:w="2514" w:type="dxa"/>
            <w:vMerge w:val="restart"/>
            <w:tcBorders>
              <w:top w:val="nil"/>
              <w:left w:val="single" w:color="auto" w:sz="4" w:space="0"/>
              <w:right w:val="single" w:color="auto" w:sz="4" w:space="0"/>
            </w:tcBorders>
            <w:shd w:val="clear" w:color="auto" w:fill="auto"/>
            <w:vAlign w:val="center"/>
            <w:hideMark/>
          </w:tcPr>
          <w:p w:rsidRPr="00CD2599" w:rsidR="008445E3" w:rsidP="008445E3" w:rsidRDefault="008445E3" w14:paraId="34E77D10" w14:textId="77777777">
            <w:pPr>
              <w:keepNext/>
              <w:keepLines/>
              <w:rPr>
                <w:rFonts w:ascii="Arial" w:hAnsi="Arial" w:cs="Arial"/>
                <w:sz w:val="18"/>
                <w:szCs w:val="18"/>
              </w:rPr>
            </w:pPr>
            <w:r w:rsidRPr="00CD2599">
              <w:rPr>
                <w:rFonts w:ascii="Arial" w:hAnsi="Arial" w:cs="Arial"/>
                <w:sz w:val="18"/>
                <w:szCs w:val="18"/>
              </w:rPr>
              <w:t>Number of Responses per Respondent</w:t>
            </w:r>
          </w:p>
        </w:tc>
        <w:tc>
          <w:tcPr>
            <w:tcW w:w="0" w:type="auto"/>
            <w:tcBorders>
              <w:top w:val="nil"/>
              <w:left w:val="nil"/>
              <w:bottom w:val="nil"/>
              <w:right w:val="nil"/>
            </w:tcBorders>
            <w:shd w:val="clear" w:color="auto" w:fill="auto"/>
            <w:noWrap/>
            <w:vAlign w:val="bottom"/>
            <w:hideMark/>
          </w:tcPr>
          <w:p w:rsidRPr="009D24D3" w:rsidR="008445E3" w:rsidP="008445E3" w:rsidRDefault="008445E3" w14:paraId="2FB5A176" w14:textId="5730C023">
            <w:pPr>
              <w:keepNext/>
              <w:keepLines/>
              <w:jc w:val="right"/>
              <w:rPr>
                <w:rFonts w:ascii="Arial" w:hAnsi="Arial" w:cs="Arial"/>
                <w:sz w:val="18"/>
                <w:szCs w:val="18"/>
              </w:rPr>
            </w:pPr>
            <w:r w:rsidRPr="009A0785">
              <w:rPr>
                <w:rFonts w:ascii="Arial" w:hAnsi="Arial" w:cs="Arial"/>
                <w:sz w:val="18"/>
                <w:szCs w:val="18"/>
              </w:rPr>
              <w:t>15.3</w:t>
            </w:r>
          </w:p>
        </w:tc>
        <w:tc>
          <w:tcPr>
            <w:tcW w:w="0" w:type="auto"/>
            <w:tcBorders>
              <w:top w:val="nil"/>
              <w:left w:val="nil"/>
              <w:bottom w:val="nil"/>
              <w:right w:val="single" w:color="auto" w:sz="4" w:space="0"/>
            </w:tcBorders>
            <w:shd w:val="clear" w:color="auto" w:fill="auto"/>
            <w:noWrap/>
            <w:vAlign w:val="bottom"/>
            <w:hideMark/>
          </w:tcPr>
          <w:p w:rsidRPr="00BC226B" w:rsidR="008445E3" w:rsidP="008445E3" w:rsidRDefault="008445E3" w14:paraId="65FFECC1" w14:textId="57987FBA">
            <w:pPr>
              <w:keepNext/>
              <w:keepLines/>
              <w:jc w:val="center"/>
              <w:rPr>
                <w:rFonts w:ascii="Arial" w:hAnsi="Arial" w:cs="Arial"/>
                <w:sz w:val="18"/>
                <w:szCs w:val="18"/>
              </w:rPr>
            </w:pPr>
            <w:r w:rsidRPr="009A0785">
              <w:rPr>
                <w:rFonts w:ascii="Arial" w:hAnsi="Arial" w:cs="Arial"/>
                <w:sz w:val="18"/>
                <w:szCs w:val="18"/>
              </w:rPr>
              <w:t>=</w:t>
            </w:r>
          </w:p>
        </w:tc>
        <w:tc>
          <w:tcPr>
            <w:tcW w:w="0" w:type="auto"/>
            <w:tcBorders>
              <w:top w:val="nil"/>
              <w:left w:val="nil"/>
              <w:bottom w:val="nil"/>
              <w:right w:val="nil"/>
            </w:tcBorders>
            <w:shd w:val="clear" w:color="auto" w:fill="auto"/>
            <w:noWrap/>
            <w:vAlign w:val="bottom"/>
            <w:hideMark/>
          </w:tcPr>
          <w:p w:rsidRPr="009D24D3" w:rsidR="008445E3" w:rsidP="008445E3" w:rsidRDefault="008445E3" w14:paraId="262A8D7E" w14:textId="20F96409">
            <w:pPr>
              <w:keepNext/>
              <w:keepLines/>
              <w:jc w:val="right"/>
              <w:rPr>
                <w:rFonts w:ascii="Arial" w:hAnsi="Arial" w:cs="Arial"/>
                <w:sz w:val="18"/>
                <w:szCs w:val="18"/>
              </w:rPr>
            </w:pPr>
            <w:r w:rsidRPr="009A0785">
              <w:rPr>
                <w:rFonts w:ascii="Arial" w:hAnsi="Arial" w:cs="Arial"/>
                <w:sz w:val="18"/>
                <w:szCs w:val="18"/>
              </w:rPr>
              <w:t>578,113</w:t>
            </w:r>
          </w:p>
        </w:tc>
        <w:tc>
          <w:tcPr>
            <w:tcW w:w="4214" w:type="dxa"/>
            <w:tcBorders>
              <w:top w:val="nil"/>
              <w:left w:val="nil"/>
              <w:bottom w:val="nil"/>
              <w:right w:val="single" w:color="auto" w:sz="4" w:space="0"/>
            </w:tcBorders>
            <w:shd w:val="clear" w:color="auto" w:fill="auto"/>
            <w:vAlign w:val="bottom"/>
            <w:hideMark/>
          </w:tcPr>
          <w:p w:rsidRPr="00EA605F" w:rsidR="008445E3" w:rsidP="008445E3" w:rsidRDefault="008445E3" w14:paraId="4982EB65" w14:textId="77777777">
            <w:pPr>
              <w:keepNext/>
              <w:keepLines/>
              <w:rPr>
                <w:rFonts w:ascii="Arial" w:hAnsi="Arial" w:cs="Arial"/>
                <w:sz w:val="18"/>
                <w:szCs w:val="18"/>
              </w:rPr>
            </w:pPr>
            <w:r w:rsidRPr="00EA605F">
              <w:rPr>
                <w:rFonts w:ascii="Arial" w:hAnsi="Arial" w:cs="Arial"/>
                <w:sz w:val="18"/>
                <w:szCs w:val="18"/>
              </w:rPr>
              <w:t>Total annual responses from above</w:t>
            </w:r>
            <w:r>
              <w:rPr>
                <w:rFonts w:ascii="Arial" w:hAnsi="Arial" w:cs="Arial"/>
                <w:sz w:val="18"/>
                <w:szCs w:val="18"/>
              </w:rPr>
              <w:t xml:space="preserve"> ÷</w:t>
            </w:r>
          </w:p>
        </w:tc>
      </w:tr>
      <w:tr w:rsidRPr="00261CEB" w:rsidR="008445E3" w:rsidTr="0079788D" w14:paraId="2E229BE5" w14:textId="77777777">
        <w:trPr>
          <w:trHeight w:val="264"/>
          <w:jc w:val="center"/>
        </w:trPr>
        <w:tc>
          <w:tcPr>
            <w:tcW w:w="2514" w:type="dxa"/>
            <w:vMerge/>
            <w:tcBorders>
              <w:left w:val="single" w:color="auto" w:sz="4" w:space="0"/>
              <w:bottom w:val="single" w:color="auto" w:sz="4" w:space="0"/>
              <w:right w:val="single" w:color="auto" w:sz="4" w:space="0"/>
            </w:tcBorders>
            <w:shd w:val="clear" w:color="auto" w:fill="auto"/>
            <w:vAlign w:val="center"/>
            <w:hideMark/>
          </w:tcPr>
          <w:p w:rsidRPr="00CD2599" w:rsidR="008445E3" w:rsidP="008445E3" w:rsidRDefault="008445E3" w14:paraId="528CA497" w14:textId="77777777">
            <w:pPr>
              <w:keepNext/>
              <w:keepLines/>
              <w:rPr>
                <w:rFonts w:ascii="Arial" w:hAnsi="Arial" w:cs="Arial"/>
                <w:sz w:val="18"/>
                <w:szCs w:val="18"/>
              </w:rPr>
            </w:pPr>
          </w:p>
        </w:tc>
        <w:tc>
          <w:tcPr>
            <w:tcW w:w="0" w:type="auto"/>
            <w:tcBorders>
              <w:top w:val="nil"/>
              <w:left w:val="nil"/>
              <w:bottom w:val="single" w:color="auto" w:sz="4" w:space="0"/>
              <w:right w:val="nil"/>
            </w:tcBorders>
            <w:shd w:val="clear" w:color="auto" w:fill="auto"/>
            <w:noWrap/>
            <w:vAlign w:val="bottom"/>
            <w:hideMark/>
          </w:tcPr>
          <w:p w:rsidRPr="009D24D3" w:rsidR="008445E3" w:rsidP="008445E3" w:rsidRDefault="008445E3" w14:paraId="789321B9" w14:textId="2669D1A2">
            <w:pPr>
              <w:keepNext/>
              <w:keepLines/>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single" w:color="auto" w:sz="4" w:space="0"/>
            </w:tcBorders>
            <w:shd w:val="clear" w:color="auto" w:fill="auto"/>
            <w:noWrap/>
            <w:vAlign w:val="bottom"/>
            <w:hideMark/>
          </w:tcPr>
          <w:p w:rsidRPr="00BC226B" w:rsidR="008445E3" w:rsidP="008445E3" w:rsidRDefault="008445E3" w14:paraId="3F81B37D" w14:textId="311C789B">
            <w:pPr>
              <w:keepNext/>
              <w:keepLines/>
              <w:jc w:val="center"/>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nil"/>
            </w:tcBorders>
            <w:shd w:val="clear" w:color="auto" w:fill="auto"/>
            <w:noWrap/>
            <w:vAlign w:val="bottom"/>
            <w:hideMark/>
          </w:tcPr>
          <w:p w:rsidRPr="009D24D3" w:rsidR="008445E3" w:rsidP="008445E3" w:rsidRDefault="008445E3" w14:paraId="6DCF90DC" w14:textId="6A384C17">
            <w:pPr>
              <w:keepNext/>
              <w:keepLines/>
              <w:jc w:val="right"/>
              <w:rPr>
                <w:rFonts w:ascii="Arial" w:hAnsi="Arial" w:cs="Arial"/>
                <w:sz w:val="18"/>
                <w:szCs w:val="18"/>
              </w:rPr>
            </w:pPr>
            <w:r w:rsidRPr="009A0785">
              <w:rPr>
                <w:rFonts w:ascii="Arial" w:hAnsi="Arial" w:cs="Arial"/>
                <w:sz w:val="18"/>
                <w:szCs w:val="18"/>
              </w:rPr>
              <w:t>37,677</w:t>
            </w:r>
          </w:p>
        </w:tc>
        <w:tc>
          <w:tcPr>
            <w:tcW w:w="4214" w:type="dxa"/>
            <w:tcBorders>
              <w:top w:val="nil"/>
              <w:left w:val="nil"/>
              <w:bottom w:val="single" w:color="auto" w:sz="4" w:space="0"/>
              <w:right w:val="single" w:color="auto" w:sz="4" w:space="0"/>
            </w:tcBorders>
            <w:shd w:val="clear" w:color="auto" w:fill="auto"/>
            <w:vAlign w:val="bottom"/>
            <w:hideMark/>
          </w:tcPr>
          <w:p w:rsidRPr="00EA605F" w:rsidR="008445E3" w:rsidP="008445E3" w:rsidRDefault="008445E3" w14:paraId="4EF52894" w14:textId="77777777">
            <w:pPr>
              <w:keepNext/>
              <w:keepLines/>
              <w:rPr>
                <w:rFonts w:ascii="Arial" w:hAnsi="Arial" w:cs="Arial"/>
                <w:sz w:val="18"/>
                <w:szCs w:val="18"/>
              </w:rPr>
            </w:pPr>
            <w:r w:rsidRPr="00EA605F">
              <w:rPr>
                <w:rFonts w:ascii="Arial" w:hAnsi="Arial" w:cs="Arial"/>
                <w:sz w:val="18"/>
                <w:szCs w:val="18"/>
              </w:rPr>
              <w:t>Total respondents from above</w:t>
            </w:r>
          </w:p>
        </w:tc>
      </w:tr>
      <w:tr w:rsidRPr="00261CEB" w:rsidR="008445E3" w:rsidTr="0079788D" w14:paraId="22C860FD" w14:textId="77777777">
        <w:trPr>
          <w:trHeight w:val="264"/>
          <w:jc w:val="center"/>
        </w:trPr>
        <w:tc>
          <w:tcPr>
            <w:tcW w:w="2514" w:type="dxa"/>
            <w:tcBorders>
              <w:top w:val="nil"/>
              <w:left w:val="single" w:color="auto" w:sz="4" w:space="0"/>
              <w:bottom w:val="nil"/>
              <w:right w:val="single" w:color="auto" w:sz="4" w:space="0"/>
            </w:tcBorders>
            <w:shd w:val="clear" w:color="auto" w:fill="auto"/>
            <w:vAlign w:val="center"/>
            <w:hideMark/>
          </w:tcPr>
          <w:p w:rsidRPr="00CD2599" w:rsidR="008445E3" w:rsidP="008445E3" w:rsidRDefault="008445E3" w14:paraId="00C369C6" w14:textId="77777777">
            <w:pPr>
              <w:keepNext/>
              <w:keepLines/>
              <w:rPr>
                <w:rFonts w:ascii="Arial" w:hAnsi="Arial" w:cs="Arial"/>
                <w:sz w:val="18"/>
                <w:szCs w:val="18"/>
              </w:rPr>
            </w:pPr>
            <w:r w:rsidRPr="00CD2599">
              <w:rPr>
                <w:rFonts w:ascii="Arial" w:hAnsi="Arial" w:cs="Arial"/>
                <w:sz w:val="18"/>
                <w:szCs w:val="18"/>
              </w:rPr>
              <w:t>Total Respondent Hours</w:t>
            </w:r>
          </w:p>
        </w:tc>
        <w:tc>
          <w:tcPr>
            <w:tcW w:w="0" w:type="auto"/>
            <w:tcBorders>
              <w:top w:val="nil"/>
              <w:left w:val="nil"/>
              <w:bottom w:val="nil"/>
              <w:right w:val="nil"/>
            </w:tcBorders>
            <w:shd w:val="clear" w:color="auto" w:fill="auto"/>
            <w:noWrap/>
            <w:vAlign w:val="bottom"/>
            <w:hideMark/>
          </w:tcPr>
          <w:p w:rsidRPr="009D24D3" w:rsidR="008445E3" w:rsidP="008445E3" w:rsidRDefault="008445E3" w14:paraId="63BD92A4" w14:textId="0B9F3264">
            <w:pPr>
              <w:keepNext/>
              <w:keepLines/>
              <w:jc w:val="right"/>
              <w:rPr>
                <w:rFonts w:ascii="Arial" w:hAnsi="Arial" w:cs="Arial"/>
                <w:sz w:val="18"/>
                <w:szCs w:val="18"/>
              </w:rPr>
            </w:pPr>
            <w:r w:rsidRPr="009A0785">
              <w:rPr>
                <w:rFonts w:ascii="Arial" w:hAnsi="Arial" w:cs="Arial"/>
                <w:sz w:val="18"/>
                <w:szCs w:val="18"/>
              </w:rPr>
              <w:t>1,631,360</w:t>
            </w:r>
          </w:p>
        </w:tc>
        <w:tc>
          <w:tcPr>
            <w:tcW w:w="0" w:type="auto"/>
            <w:tcBorders>
              <w:top w:val="nil"/>
              <w:left w:val="nil"/>
              <w:bottom w:val="nil"/>
              <w:right w:val="single" w:color="auto" w:sz="4" w:space="0"/>
            </w:tcBorders>
            <w:shd w:val="clear" w:color="auto" w:fill="auto"/>
            <w:noWrap/>
            <w:vAlign w:val="bottom"/>
            <w:hideMark/>
          </w:tcPr>
          <w:p w:rsidRPr="00BC226B" w:rsidR="008445E3" w:rsidP="008445E3" w:rsidRDefault="008445E3" w14:paraId="7AAF82E1" w14:textId="07DA1177">
            <w:pPr>
              <w:keepNext/>
              <w:keepLines/>
              <w:jc w:val="center"/>
              <w:rPr>
                <w:rFonts w:ascii="Arial" w:hAnsi="Arial" w:cs="Arial"/>
                <w:sz w:val="18"/>
                <w:szCs w:val="18"/>
              </w:rPr>
            </w:pPr>
            <w:r w:rsidRPr="009A0785">
              <w:rPr>
                <w:rFonts w:ascii="Arial" w:hAnsi="Arial" w:cs="Arial"/>
                <w:sz w:val="18"/>
                <w:szCs w:val="18"/>
              </w:rPr>
              <w:t>=</w:t>
            </w:r>
          </w:p>
        </w:tc>
        <w:tc>
          <w:tcPr>
            <w:tcW w:w="0" w:type="auto"/>
            <w:tcBorders>
              <w:top w:val="nil"/>
              <w:left w:val="nil"/>
              <w:bottom w:val="nil"/>
              <w:right w:val="nil"/>
            </w:tcBorders>
            <w:shd w:val="clear" w:color="auto" w:fill="auto"/>
            <w:noWrap/>
            <w:vAlign w:val="bottom"/>
            <w:hideMark/>
          </w:tcPr>
          <w:p w:rsidRPr="009D24D3" w:rsidR="008445E3" w:rsidP="008445E3" w:rsidRDefault="008445E3" w14:paraId="3A3CED39" w14:textId="5727DBEC">
            <w:pPr>
              <w:keepNext/>
              <w:keepLines/>
              <w:jc w:val="right"/>
              <w:rPr>
                <w:rFonts w:ascii="Arial" w:hAnsi="Arial" w:cs="Arial"/>
                <w:sz w:val="18"/>
                <w:szCs w:val="18"/>
              </w:rPr>
            </w:pPr>
            <w:r w:rsidRPr="009A0785">
              <w:rPr>
                <w:rFonts w:ascii="Arial" w:hAnsi="Arial" w:cs="Arial"/>
                <w:sz w:val="18"/>
                <w:szCs w:val="18"/>
              </w:rPr>
              <w:t>1,400,950</w:t>
            </w:r>
          </w:p>
        </w:tc>
        <w:tc>
          <w:tcPr>
            <w:tcW w:w="4214" w:type="dxa"/>
            <w:tcBorders>
              <w:top w:val="nil"/>
              <w:left w:val="nil"/>
              <w:bottom w:val="nil"/>
              <w:right w:val="single" w:color="auto" w:sz="4" w:space="0"/>
            </w:tcBorders>
            <w:shd w:val="clear" w:color="auto" w:fill="auto"/>
            <w:vAlign w:val="bottom"/>
            <w:hideMark/>
          </w:tcPr>
          <w:p w:rsidRPr="00EA605F" w:rsidR="008445E3" w:rsidP="008445E3" w:rsidRDefault="008445E3" w14:paraId="4E65645F" w14:textId="77777777">
            <w:pPr>
              <w:keepNext/>
              <w:keepLines/>
              <w:rPr>
                <w:rFonts w:ascii="Arial" w:hAnsi="Arial" w:cs="Arial"/>
                <w:sz w:val="18"/>
                <w:szCs w:val="18"/>
              </w:rPr>
            </w:pPr>
            <w:r w:rsidRPr="00EA605F">
              <w:rPr>
                <w:rFonts w:ascii="Arial" w:hAnsi="Arial" w:cs="Arial"/>
                <w:sz w:val="18"/>
                <w:szCs w:val="18"/>
              </w:rPr>
              <w:t>Operator burden hours (from Exhibit 6-1G) +</w:t>
            </w:r>
          </w:p>
        </w:tc>
      </w:tr>
      <w:tr w:rsidRPr="00261CEB" w:rsidR="008445E3" w:rsidTr="0079788D" w14:paraId="476EB7BA" w14:textId="77777777">
        <w:trPr>
          <w:trHeight w:val="264"/>
          <w:jc w:val="center"/>
        </w:trPr>
        <w:tc>
          <w:tcPr>
            <w:tcW w:w="2514" w:type="dxa"/>
            <w:tcBorders>
              <w:top w:val="nil"/>
              <w:left w:val="single" w:color="auto" w:sz="4" w:space="0"/>
              <w:bottom w:val="single" w:color="auto" w:sz="4" w:space="0"/>
              <w:right w:val="single" w:color="auto" w:sz="4" w:space="0"/>
            </w:tcBorders>
            <w:shd w:val="clear" w:color="auto" w:fill="auto"/>
            <w:vAlign w:val="center"/>
            <w:hideMark/>
          </w:tcPr>
          <w:p w:rsidRPr="00CD2599" w:rsidR="008445E3" w:rsidP="008445E3" w:rsidRDefault="008445E3" w14:paraId="7C3D8088" w14:textId="77777777">
            <w:pPr>
              <w:keepNext/>
              <w:keepLines/>
              <w:rPr>
                <w:rFonts w:ascii="Arial" w:hAnsi="Arial" w:cs="Arial"/>
                <w:sz w:val="18"/>
                <w:szCs w:val="18"/>
              </w:rPr>
            </w:pPr>
            <w:r w:rsidRPr="00CD2599">
              <w:rPr>
                <w:rFonts w:ascii="Arial" w:hAnsi="Arial" w:cs="Arial"/>
                <w:sz w:val="18"/>
                <w:szCs w:val="18"/>
              </w:rPr>
              <w:t> </w:t>
            </w:r>
          </w:p>
        </w:tc>
        <w:tc>
          <w:tcPr>
            <w:tcW w:w="0" w:type="auto"/>
            <w:tcBorders>
              <w:top w:val="nil"/>
              <w:left w:val="nil"/>
              <w:bottom w:val="single" w:color="auto" w:sz="4" w:space="0"/>
              <w:right w:val="nil"/>
            </w:tcBorders>
            <w:shd w:val="clear" w:color="auto" w:fill="auto"/>
            <w:noWrap/>
            <w:vAlign w:val="bottom"/>
            <w:hideMark/>
          </w:tcPr>
          <w:p w:rsidRPr="009D24D3" w:rsidR="008445E3" w:rsidP="008445E3" w:rsidRDefault="008445E3" w14:paraId="5E78CB34" w14:textId="657FB36A">
            <w:pPr>
              <w:keepNext/>
              <w:keepLines/>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single" w:color="auto" w:sz="4" w:space="0"/>
            </w:tcBorders>
            <w:shd w:val="clear" w:color="auto" w:fill="auto"/>
            <w:noWrap/>
            <w:vAlign w:val="bottom"/>
            <w:hideMark/>
          </w:tcPr>
          <w:p w:rsidRPr="00BC226B" w:rsidR="008445E3" w:rsidP="008445E3" w:rsidRDefault="008445E3" w14:paraId="5B187603" w14:textId="41A8934B">
            <w:pPr>
              <w:keepNext/>
              <w:keepLines/>
              <w:jc w:val="center"/>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nil"/>
            </w:tcBorders>
            <w:shd w:val="clear" w:color="auto" w:fill="auto"/>
            <w:noWrap/>
            <w:vAlign w:val="bottom"/>
            <w:hideMark/>
          </w:tcPr>
          <w:p w:rsidRPr="009D24D3" w:rsidR="008445E3" w:rsidP="008445E3" w:rsidRDefault="008445E3" w14:paraId="54742F0D" w14:textId="334578E0">
            <w:pPr>
              <w:keepNext/>
              <w:keepLines/>
              <w:jc w:val="right"/>
              <w:rPr>
                <w:rFonts w:ascii="Arial" w:hAnsi="Arial" w:cs="Arial"/>
                <w:sz w:val="18"/>
                <w:szCs w:val="18"/>
              </w:rPr>
            </w:pPr>
            <w:r w:rsidRPr="009A0785">
              <w:rPr>
                <w:rFonts w:ascii="Arial" w:hAnsi="Arial" w:cs="Arial"/>
                <w:sz w:val="18"/>
                <w:szCs w:val="18"/>
              </w:rPr>
              <w:t>230,411</w:t>
            </w:r>
          </w:p>
        </w:tc>
        <w:tc>
          <w:tcPr>
            <w:tcW w:w="4214" w:type="dxa"/>
            <w:tcBorders>
              <w:top w:val="nil"/>
              <w:left w:val="nil"/>
              <w:bottom w:val="single" w:color="auto" w:sz="4" w:space="0"/>
              <w:right w:val="single" w:color="auto" w:sz="4" w:space="0"/>
            </w:tcBorders>
            <w:shd w:val="clear" w:color="auto" w:fill="auto"/>
            <w:vAlign w:val="bottom"/>
            <w:hideMark/>
          </w:tcPr>
          <w:p w:rsidRPr="00EA605F" w:rsidR="008445E3" w:rsidP="008445E3" w:rsidRDefault="008445E3" w14:paraId="083DD706" w14:textId="77777777">
            <w:pPr>
              <w:keepNext/>
              <w:keepLines/>
              <w:rPr>
                <w:rFonts w:ascii="Arial" w:hAnsi="Arial" w:cs="Arial"/>
                <w:sz w:val="18"/>
                <w:szCs w:val="18"/>
              </w:rPr>
            </w:pPr>
            <w:r w:rsidRPr="00EA605F">
              <w:rPr>
                <w:rFonts w:ascii="Arial" w:hAnsi="Arial" w:cs="Arial"/>
                <w:sz w:val="18"/>
                <w:szCs w:val="18"/>
              </w:rPr>
              <w:t>Primacy agency burden hours (from Exhibit 6-</w:t>
            </w:r>
            <w:r>
              <w:rPr>
                <w:rFonts w:ascii="Arial" w:hAnsi="Arial" w:cs="Arial"/>
                <w:sz w:val="18"/>
                <w:szCs w:val="18"/>
              </w:rPr>
              <w:t>3</w:t>
            </w:r>
            <w:r w:rsidRPr="00EA605F">
              <w:rPr>
                <w:rFonts w:ascii="Arial" w:hAnsi="Arial" w:cs="Arial"/>
                <w:sz w:val="18"/>
                <w:szCs w:val="18"/>
              </w:rPr>
              <w:t>)</w:t>
            </w:r>
          </w:p>
        </w:tc>
      </w:tr>
      <w:tr w:rsidRPr="00261CEB" w:rsidR="008445E3" w:rsidTr="0079788D" w14:paraId="109E9365" w14:textId="77777777">
        <w:trPr>
          <w:trHeight w:val="264"/>
          <w:jc w:val="center"/>
        </w:trPr>
        <w:tc>
          <w:tcPr>
            <w:tcW w:w="2514" w:type="dxa"/>
            <w:tcBorders>
              <w:top w:val="nil"/>
              <w:left w:val="single" w:color="auto" w:sz="4" w:space="0"/>
              <w:bottom w:val="nil"/>
              <w:right w:val="single" w:color="auto" w:sz="4" w:space="0"/>
            </w:tcBorders>
            <w:shd w:val="clear" w:color="auto" w:fill="auto"/>
            <w:vAlign w:val="center"/>
            <w:hideMark/>
          </w:tcPr>
          <w:p w:rsidRPr="00CD2599" w:rsidR="008445E3" w:rsidP="008445E3" w:rsidRDefault="008445E3" w14:paraId="7D8B3D66" w14:textId="77777777">
            <w:pPr>
              <w:keepNext/>
              <w:keepLines/>
              <w:rPr>
                <w:rFonts w:ascii="Arial" w:hAnsi="Arial" w:cs="Arial"/>
                <w:sz w:val="18"/>
                <w:szCs w:val="18"/>
              </w:rPr>
            </w:pPr>
            <w:r w:rsidRPr="00CD2599">
              <w:rPr>
                <w:rFonts w:ascii="Arial" w:hAnsi="Arial" w:cs="Arial"/>
                <w:sz w:val="18"/>
                <w:szCs w:val="18"/>
              </w:rPr>
              <w:t>Hours per Response</w:t>
            </w:r>
          </w:p>
        </w:tc>
        <w:tc>
          <w:tcPr>
            <w:tcW w:w="0" w:type="auto"/>
            <w:tcBorders>
              <w:top w:val="nil"/>
              <w:left w:val="nil"/>
              <w:bottom w:val="nil"/>
              <w:right w:val="nil"/>
            </w:tcBorders>
            <w:shd w:val="clear" w:color="auto" w:fill="auto"/>
            <w:noWrap/>
            <w:vAlign w:val="bottom"/>
            <w:hideMark/>
          </w:tcPr>
          <w:p w:rsidRPr="009D24D3" w:rsidR="008445E3" w:rsidP="008445E3" w:rsidRDefault="008445E3" w14:paraId="61BF624C" w14:textId="6FB84084">
            <w:pPr>
              <w:keepNext/>
              <w:keepLines/>
              <w:jc w:val="right"/>
              <w:rPr>
                <w:rFonts w:ascii="Arial" w:hAnsi="Arial" w:cs="Arial"/>
                <w:sz w:val="18"/>
                <w:szCs w:val="18"/>
              </w:rPr>
            </w:pPr>
            <w:r w:rsidRPr="009A0785">
              <w:rPr>
                <w:rFonts w:ascii="Arial" w:hAnsi="Arial" w:cs="Arial"/>
                <w:sz w:val="18"/>
                <w:szCs w:val="18"/>
              </w:rPr>
              <w:t>2.82</w:t>
            </w:r>
          </w:p>
        </w:tc>
        <w:tc>
          <w:tcPr>
            <w:tcW w:w="0" w:type="auto"/>
            <w:tcBorders>
              <w:top w:val="nil"/>
              <w:left w:val="nil"/>
              <w:bottom w:val="nil"/>
              <w:right w:val="single" w:color="auto" w:sz="4" w:space="0"/>
            </w:tcBorders>
            <w:shd w:val="clear" w:color="auto" w:fill="auto"/>
            <w:noWrap/>
            <w:vAlign w:val="bottom"/>
            <w:hideMark/>
          </w:tcPr>
          <w:p w:rsidRPr="00BC226B" w:rsidR="008445E3" w:rsidP="008445E3" w:rsidRDefault="008445E3" w14:paraId="062ADB59" w14:textId="4F8D9B32">
            <w:pPr>
              <w:keepNext/>
              <w:keepLines/>
              <w:jc w:val="center"/>
              <w:rPr>
                <w:rFonts w:ascii="Arial" w:hAnsi="Arial" w:cs="Arial"/>
                <w:sz w:val="18"/>
                <w:szCs w:val="18"/>
              </w:rPr>
            </w:pPr>
            <w:r w:rsidRPr="009A0785">
              <w:rPr>
                <w:rFonts w:ascii="Arial" w:hAnsi="Arial" w:cs="Arial"/>
                <w:sz w:val="18"/>
                <w:szCs w:val="18"/>
              </w:rPr>
              <w:t>=</w:t>
            </w:r>
          </w:p>
        </w:tc>
        <w:tc>
          <w:tcPr>
            <w:tcW w:w="0" w:type="auto"/>
            <w:tcBorders>
              <w:top w:val="nil"/>
              <w:left w:val="nil"/>
              <w:bottom w:val="nil"/>
              <w:right w:val="nil"/>
            </w:tcBorders>
            <w:shd w:val="clear" w:color="auto" w:fill="auto"/>
            <w:noWrap/>
            <w:vAlign w:val="bottom"/>
            <w:hideMark/>
          </w:tcPr>
          <w:p w:rsidRPr="009D24D3" w:rsidR="008445E3" w:rsidP="008445E3" w:rsidRDefault="008445E3" w14:paraId="352DA1BA" w14:textId="1E1E7787">
            <w:pPr>
              <w:keepNext/>
              <w:keepLines/>
              <w:jc w:val="right"/>
              <w:rPr>
                <w:rFonts w:ascii="Arial" w:hAnsi="Arial" w:cs="Arial"/>
                <w:sz w:val="18"/>
                <w:szCs w:val="18"/>
              </w:rPr>
            </w:pPr>
            <w:r w:rsidRPr="009A0785">
              <w:rPr>
                <w:rFonts w:ascii="Arial" w:hAnsi="Arial" w:cs="Arial"/>
                <w:sz w:val="18"/>
                <w:szCs w:val="18"/>
              </w:rPr>
              <w:t>1,631,360</w:t>
            </w:r>
          </w:p>
        </w:tc>
        <w:tc>
          <w:tcPr>
            <w:tcW w:w="4214" w:type="dxa"/>
            <w:tcBorders>
              <w:top w:val="nil"/>
              <w:left w:val="nil"/>
              <w:bottom w:val="nil"/>
              <w:right w:val="single" w:color="auto" w:sz="4" w:space="0"/>
            </w:tcBorders>
            <w:shd w:val="clear" w:color="auto" w:fill="auto"/>
            <w:vAlign w:val="bottom"/>
            <w:hideMark/>
          </w:tcPr>
          <w:p w:rsidRPr="00EA605F" w:rsidR="008445E3" w:rsidP="008445E3" w:rsidRDefault="008445E3" w14:paraId="32A21F7B" w14:textId="77777777">
            <w:pPr>
              <w:keepNext/>
              <w:keepLines/>
              <w:rPr>
                <w:rFonts w:ascii="Arial" w:hAnsi="Arial" w:cs="Arial"/>
                <w:sz w:val="18"/>
                <w:szCs w:val="18"/>
              </w:rPr>
            </w:pPr>
            <w:r w:rsidRPr="00EA605F">
              <w:rPr>
                <w:rFonts w:ascii="Arial" w:hAnsi="Arial" w:cs="Arial"/>
                <w:sz w:val="18"/>
                <w:szCs w:val="18"/>
              </w:rPr>
              <w:t>Total annual hours from above</w:t>
            </w:r>
            <w:r>
              <w:rPr>
                <w:rFonts w:ascii="Arial" w:hAnsi="Arial" w:cs="Arial"/>
                <w:sz w:val="18"/>
                <w:szCs w:val="18"/>
              </w:rPr>
              <w:t xml:space="preserve"> ÷</w:t>
            </w:r>
          </w:p>
        </w:tc>
      </w:tr>
      <w:tr w:rsidRPr="00261CEB" w:rsidR="008445E3" w:rsidTr="0079788D" w14:paraId="5CCC589F" w14:textId="77777777">
        <w:trPr>
          <w:trHeight w:val="264"/>
          <w:jc w:val="center"/>
        </w:trPr>
        <w:tc>
          <w:tcPr>
            <w:tcW w:w="2514" w:type="dxa"/>
            <w:tcBorders>
              <w:top w:val="nil"/>
              <w:left w:val="single" w:color="auto" w:sz="4" w:space="0"/>
              <w:bottom w:val="single" w:color="auto" w:sz="4" w:space="0"/>
              <w:right w:val="single" w:color="auto" w:sz="4" w:space="0"/>
            </w:tcBorders>
            <w:shd w:val="clear" w:color="auto" w:fill="auto"/>
            <w:vAlign w:val="center"/>
            <w:hideMark/>
          </w:tcPr>
          <w:p w:rsidRPr="00CD2599" w:rsidR="008445E3" w:rsidP="008445E3" w:rsidRDefault="008445E3" w14:paraId="2E8937C6" w14:textId="77777777">
            <w:pPr>
              <w:keepNext/>
              <w:keepLines/>
              <w:rPr>
                <w:rFonts w:ascii="Arial" w:hAnsi="Arial" w:cs="Arial"/>
                <w:sz w:val="18"/>
                <w:szCs w:val="18"/>
              </w:rPr>
            </w:pPr>
            <w:r w:rsidRPr="00CD2599">
              <w:rPr>
                <w:rFonts w:ascii="Arial" w:hAnsi="Arial" w:cs="Arial"/>
                <w:sz w:val="18"/>
                <w:szCs w:val="18"/>
              </w:rPr>
              <w:t> </w:t>
            </w:r>
          </w:p>
        </w:tc>
        <w:tc>
          <w:tcPr>
            <w:tcW w:w="0" w:type="auto"/>
            <w:tcBorders>
              <w:top w:val="nil"/>
              <w:left w:val="nil"/>
              <w:bottom w:val="single" w:color="auto" w:sz="4" w:space="0"/>
              <w:right w:val="nil"/>
            </w:tcBorders>
            <w:shd w:val="clear" w:color="auto" w:fill="auto"/>
            <w:noWrap/>
            <w:vAlign w:val="bottom"/>
            <w:hideMark/>
          </w:tcPr>
          <w:p w:rsidRPr="009D24D3" w:rsidR="008445E3" w:rsidP="008445E3" w:rsidRDefault="008445E3" w14:paraId="612D759A" w14:textId="48A728AA">
            <w:pPr>
              <w:keepNext/>
              <w:keepLines/>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single" w:color="auto" w:sz="4" w:space="0"/>
            </w:tcBorders>
            <w:shd w:val="clear" w:color="auto" w:fill="auto"/>
            <w:noWrap/>
            <w:vAlign w:val="bottom"/>
            <w:hideMark/>
          </w:tcPr>
          <w:p w:rsidRPr="00BC226B" w:rsidR="008445E3" w:rsidP="008445E3" w:rsidRDefault="008445E3" w14:paraId="28058A82" w14:textId="76D18F9A">
            <w:pPr>
              <w:keepNext/>
              <w:keepLines/>
              <w:jc w:val="center"/>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nil"/>
            </w:tcBorders>
            <w:shd w:val="clear" w:color="auto" w:fill="auto"/>
            <w:noWrap/>
            <w:vAlign w:val="bottom"/>
            <w:hideMark/>
          </w:tcPr>
          <w:p w:rsidRPr="009D24D3" w:rsidR="008445E3" w:rsidP="008445E3" w:rsidRDefault="008445E3" w14:paraId="779F76D6" w14:textId="018D4DCC">
            <w:pPr>
              <w:keepNext/>
              <w:keepLines/>
              <w:jc w:val="right"/>
              <w:rPr>
                <w:rFonts w:ascii="Arial" w:hAnsi="Arial" w:cs="Arial"/>
                <w:sz w:val="18"/>
                <w:szCs w:val="18"/>
              </w:rPr>
            </w:pPr>
            <w:r w:rsidRPr="009A0785">
              <w:rPr>
                <w:rFonts w:ascii="Arial" w:hAnsi="Arial" w:cs="Arial"/>
                <w:sz w:val="18"/>
                <w:szCs w:val="18"/>
              </w:rPr>
              <w:t>578,113</w:t>
            </w:r>
          </w:p>
        </w:tc>
        <w:tc>
          <w:tcPr>
            <w:tcW w:w="4214" w:type="dxa"/>
            <w:tcBorders>
              <w:top w:val="nil"/>
              <w:left w:val="nil"/>
              <w:bottom w:val="single" w:color="auto" w:sz="4" w:space="0"/>
              <w:right w:val="single" w:color="auto" w:sz="4" w:space="0"/>
            </w:tcBorders>
            <w:shd w:val="clear" w:color="auto" w:fill="auto"/>
            <w:vAlign w:val="bottom"/>
            <w:hideMark/>
          </w:tcPr>
          <w:p w:rsidRPr="00EA605F" w:rsidR="008445E3" w:rsidP="008445E3" w:rsidRDefault="008445E3" w14:paraId="3B9EF93C" w14:textId="77777777">
            <w:pPr>
              <w:keepNext/>
              <w:keepLines/>
              <w:rPr>
                <w:rFonts w:ascii="Arial" w:hAnsi="Arial" w:cs="Arial"/>
                <w:sz w:val="18"/>
                <w:szCs w:val="18"/>
              </w:rPr>
            </w:pPr>
            <w:r w:rsidRPr="00EA605F">
              <w:rPr>
                <w:rFonts w:ascii="Arial" w:hAnsi="Arial" w:cs="Arial"/>
                <w:sz w:val="18"/>
                <w:szCs w:val="18"/>
              </w:rPr>
              <w:t>Total responses from above</w:t>
            </w:r>
          </w:p>
        </w:tc>
      </w:tr>
      <w:tr w:rsidRPr="00261CEB" w:rsidR="008445E3" w:rsidTr="0079788D" w14:paraId="5BB20CE0" w14:textId="77777777">
        <w:trPr>
          <w:trHeight w:val="264"/>
          <w:jc w:val="center"/>
        </w:trPr>
        <w:tc>
          <w:tcPr>
            <w:tcW w:w="2514" w:type="dxa"/>
            <w:vMerge w:val="restart"/>
            <w:tcBorders>
              <w:top w:val="nil"/>
              <w:left w:val="single" w:color="auto" w:sz="4" w:space="0"/>
              <w:right w:val="single" w:color="auto" w:sz="4" w:space="0"/>
            </w:tcBorders>
            <w:shd w:val="clear" w:color="auto" w:fill="auto"/>
            <w:vAlign w:val="center"/>
            <w:hideMark/>
          </w:tcPr>
          <w:p w:rsidRPr="00CD2599" w:rsidR="008445E3" w:rsidP="008445E3" w:rsidRDefault="008445E3" w14:paraId="2670C632" w14:textId="77777777">
            <w:pPr>
              <w:keepNext/>
              <w:keepLines/>
              <w:rPr>
                <w:rFonts w:ascii="Arial" w:hAnsi="Arial" w:cs="Arial"/>
                <w:sz w:val="18"/>
                <w:szCs w:val="18"/>
              </w:rPr>
            </w:pPr>
            <w:r w:rsidRPr="00CD2599">
              <w:rPr>
                <w:rFonts w:ascii="Arial" w:hAnsi="Arial" w:cs="Arial"/>
                <w:sz w:val="18"/>
                <w:szCs w:val="18"/>
              </w:rPr>
              <w:t xml:space="preserve">Annual O&amp;M </w:t>
            </w:r>
            <w:r>
              <w:rPr>
                <w:rFonts w:ascii="Arial" w:hAnsi="Arial" w:cs="Arial"/>
                <w:sz w:val="18"/>
                <w:szCs w:val="18"/>
              </w:rPr>
              <w:t xml:space="preserve">+ </w:t>
            </w:r>
            <w:r w:rsidRPr="00CD2599">
              <w:rPr>
                <w:rFonts w:ascii="Arial" w:hAnsi="Arial" w:cs="Arial"/>
                <w:sz w:val="18"/>
                <w:szCs w:val="18"/>
              </w:rPr>
              <w:t xml:space="preserve">Capital Cost </w:t>
            </w:r>
          </w:p>
        </w:tc>
        <w:tc>
          <w:tcPr>
            <w:tcW w:w="0" w:type="auto"/>
            <w:tcBorders>
              <w:top w:val="nil"/>
              <w:left w:val="nil"/>
              <w:bottom w:val="nil"/>
              <w:right w:val="nil"/>
            </w:tcBorders>
            <w:shd w:val="clear" w:color="auto" w:fill="auto"/>
            <w:noWrap/>
            <w:vAlign w:val="bottom"/>
            <w:hideMark/>
          </w:tcPr>
          <w:p w:rsidRPr="009D24D3" w:rsidR="008445E3" w:rsidP="008445E3" w:rsidRDefault="008445E3" w14:paraId="4F703E5C" w14:textId="64456242">
            <w:pPr>
              <w:keepNext/>
              <w:keepLines/>
              <w:jc w:val="right"/>
              <w:rPr>
                <w:rFonts w:ascii="Arial" w:hAnsi="Arial" w:cs="Arial"/>
                <w:sz w:val="18"/>
                <w:szCs w:val="18"/>
              </w:rPr>
            </w:pPr>
            <w:r w:rsidRPr="009A0785">
              <w:rPr>
                <w:rFonts w:ascii="Arial" w:hAnsi="Arial" w:cs="Arial"/>
                <w:sz w:val="18"/>
                <w:szCs w:val="18"/>
              </w:rPr>
              <w:t xml:space="preserve">$276,069,465 </w:t>
            </w:r>
          </w:p>
        </w:tc>
        <w:tc>
          <w:tcPr>
            <w:tcW w:w="0" w:type="auto"/>
            <w:tcBorders>
              <w:top w:val="nil"/>
              <w:left w:val="nil"/>
              <w:bottom w:val="nil"/>
              <w:right w:val="single" w:color="auto" w:sz="4" w:space="0"/>
            </w:tcBorders>
            <w:shd w:val="clear" w:color="auto" w:fill="auto"/>
            <w:noWrap/>
            <w:vAlign w:val="bottom"/>
            <w:hideMark/>
          </w:tcPr>
          <w:p w:rsidRPr="00BC226B" w:rsidR="008445E3" w:rsidP="008445E3" w:rsidRDefault="008445E3" w14:paraId="2015333B" w14:textId="64BF6994">
            <w:pPr>
              <w:keepNext/>
              <w:keepLines/>
              <w:jc w:val="center"/>
              <w:rPr>
                <w:rFonts w:ascii="Arial" w:hAnsi="Arial" w:cs="Arial"/>
                <w:sz w:val="18"/>
                <w:szCs w:val="18"/>
              </w:rPr>
            </w:pPr>
            <w:r w:rsidRPr="009A0785">
              <w:rPr>
                <w:rFonts w:ascii="Arial" w:hAnsi="Arial" w:cs="Arial"/>
                <w:sz w:val="18"/>
                <w:szCs w:val="18"/>
              </w:rPr>
              <w:t>=</w:t>
            </w:r>
          </w:p>
        </w:tc>
        <w:tc>
          <w:tcPr>
            <w:tcW w:w="0" w:type="auto"/>
            <w:tcBorders>
              <w:top w:val="nil"/>
              <w:left w:val="nil"/>
              <w:bottom w:val="nil"/>
              <w:right w:val="nil"/>
            </w:tcBorders>
            <w:shd w:val="clear" w:color="auto" w:fill="auto"/>
            <w:noWrap/>
            <w:vAlign w:val="bottom"/>
            <w:hideMark/>
          </w:tcPr>
          <w:p w:rsidRPr="009D24D3" w:rsidR="008445E3" w:rsidP="008445E3" w:rsidRDefault="008445E3" w14:paraId="685B0FCF" w14:textId="7017158A">
            <w:pPr>
              <w:keepNext/>
              <w:keepLines/>
              <w:jc w:val="right"/>
              <w:rPr>
                <w:rFonts w:ascii="Arial" w:hAnsi="Arial" w:cs="Arial"/>
                <w:sz w:val="18"/>
                <w:szCs w:val="18"/>
              </w:rPr>
            </w:pPr>
            <w:r w:rsidRPr="009A0785">
              <w:rPr>
                <w:rFonts w:ascii="Arial" w:hAnsi="Arial" w:cs="Arial"/>
                <w:sz w:val="18"/>
                <w:szCs w:val="18"/>
              </w:rPr>
              <w:t xml:space="preserve">$276,069,465 </w:t>
            </w:r>
          </w:p>
        </w:tc>
        <w:tc>
          <w:tcPr>
            <w:tcW w:w="4214" w:type="dxa"/>
            <w:tcBorders>
              <w:top w:val="nil"/>
              <w:left w:val="nil"/>
              <w:bottom w:val="nil"/>
              <w:right w:val="single" w:color="auto" w:sz="4" w:space="0"/>
            </w:tcBorders>
            <w:shd w:val="clear" w:color="auto" w:fill="auto"/>
            <w:vAlign w:val="bottom"/>
            <w:hideMark/>
          </w:tcPr>
          <w:p w:rsidRPr="00EA605F" w:rsidR="008445E3" w:rsidP="008445E3" w:rsidRDefault="008445E3" w14:paraId="087A6CF1" w14:textId="77777777">
            <w:pPr>
              <w:keepNext/>
              <w:keepLines/>
              <w:rPr>
                <w:rFonts w:ascii="Arial" w:hAnsi="Arial" w:cs="Arial"/>
                <w:sz w:val="18"/>
                <w:szCs w:val="18"/>
              </w:rPr>
            </w:pPr>
            <w:r w:rsidRPr="00EA605F">
              <w:rPr>
                <w:rFonts w:ascii="Arial" w:hAnsi="Arial" w:cs="Arial"/>
                <w:sz w:val="18"/>
                <w:szCs w:val="18"/>
              </w:rPr>
              <w:t>Operator non-labor cost (from Exhibit 6-1G) +</w:t>
            </w:r>
          </w:p>
        </w:tc>
      </w:tr>
      <w:tr w:rsidRPr="00261CEB" w:rsidR="008445E3" w:rsidTr="0079788D" w14:paraId="2D457D9F" w14:textId="77777777">
        <w:trPr>
          <w:trHeight w:val="264"/>
          <w:jc w:val="center"/>
        </w:trPr>
        <w:tc>
          <w:tcPr>
            <w:tcW w:w="2514" w:type="dxa"/>
            <w:vMerge/>
            <w:tcBorders>
              <w:left w:val="single" w:color="auto" w:sz="4" w:space="0"/>
              <w:bottom w:val="single" w:color="auto" w:sz="4" w:space="0"/>
              <w:right w:val="single" w:color="auto" w:sz="4" w:space="0"/>
            </w:tcBorders>
            <w:shd w:val="clear" w:color="auto" w:fill="auto"/>
            <w:vAlign w:val="center"/>
            <w:hideMark/>
          </w:tcPr>
          <w:p w:rsidRPr="00CD2599" w:rsidR="008445E3" w:rsidP="008445E3" w:rsidRDefault="008445E3" w14:paraId="58A4D779" w14:textId="77777777">
            <w:pPr>
              <w:keepNext/>
              <w:keepLines/>
              <w:rPr>
                <w:rFonts w:ascii="Arial" w:hAnsi="Arial" w:cs="Arial"/>
                <w:sz w:val="18"/>
                <w:szCs w:val="18"/>
              </w:rPr>
            </w:pPr>
          </w:p>
        </w:tc>
        <w:tc>
          <w:tcPr>
            <w:tcW w:w="0" w:type="auto"/>
            <w:tcBorders>
              <w:top w:val="nil"/>
              <w:left w:val="nil"/>
              <w:bottom w:val="single" w:color="auto" w:sz="4" w:space="0"/>
              <w:right w:val="nil"/>
            </w:tcBorders>
            <w:shd w:val="clear" w:color="auto" w:fill="auto"/>
            <w:noWrap/>
            <w:vAlign w:val="bottom"/>
            <w:hideMark/>
          </w:tcPr>
          <w:p w:rsidRPr="009D24D3" w:rsidR="008445E3" w:rsidP="008445E3" w:rsidRDefault="008445E3" w14:paraId="46EB1E97" w14:textId="2E5461C8">
            <w:pPr>
              <w:keepNext/>
              <w:keepLines/>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single" w:color="auto" w:sz="4" w:space="0"/>
            </w:tcBorders>
            <w:shd w:val="clear" w:color="auto" w:fill="auto"/>
            <w:noWrap/>
            <w:vAlign w:val="bottom"/>
            <w:hideMark/>
          </w:tcPr>
          <w:p w:rsidRPr="00BC226B" w:rsidR="008445E3" w:rsidP="008445E3" w:rsidRDefault="008445E3" w14:paraId="45015455" w14:textId="5FCB6BE7">
            <w:pPr>
              <w:keepNext/>
              <w:keepLines/>
              <w:jc w:val="center"/>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nil"/>
            </w:tcBorders>
            <w:shd w:val="clear" w:color="auto" w:fill="auto"/>
            <w:noWrap/>
            <w:vAlign w:val="bottom"/>
            <w:hideMark/>
          </w:tcPr>
          <w:p w:rsidRPr="009D24D3" w:rsidR="008445E3" w:rsidP="008445E3" w:rsidRDefault="008445E3" w14:paraId="5F0D13AC" w14:textId="4226D25F">
            <w:pPr>
              <w:keepNext/>
              <w:keepLines/>
              <w:jc w:val="right"/>
              <w:rPr>
                <w:rFonts w:ascii="Arial" w:hAnsi="Arial" w:cs="Arial"/>
                <w:sz w:val="18"/>
                <w:szCs w:val="18"/>
              </w:rPr>
            </w:pPr>
            <w:r w:rsidRPr="009A0785">
              <w:rPr>
                <w:rFonts w:ascii="Arial" w:hAnsi="Arial" w:cs="Arial"/>
                <w:sz w:val="18"/>
                <w:szCs w:val="18"/>
              </w:rPr>
              <w:t xml:space="preserve">$0 </w:t>
            </w:r>
          </w:p>
        </w:tc>
        <w:tc>
          <w:tcPr>
            <w:tcW w:w="4214" w:type="dxa"/>
            <w:tcBorders>
              <w:top w:val="nil"/>
              <w:left w:val="nil"/>
              <w:bottom w:val="single" w:color="auto" w:sz="4" w:space="0"/>
              <w:right w:val="single" w:color="auto" w:sz="4" w:space="0"/>
            </w:tcBorders>
            <w:shd w:val="clear" w:color="auto" w:fill="auto"/>
            <w:vAlign w:val="bottom"/>
            <w:hideMark/>
          </w:tcPr>
          <w:p w:rsidRPr="00EA605F" w:rsidR="008445E3" w:rsidP="008445E3" w:rsidRDefault="008445E3" w14:paraId="13B8A2AD" w14:textId="77777777">
            <w:pPr>
              <w:keepNext/>
              <w:keepLines/>
              <w:rPr>
                <w:rFonts w:ascii="Arial" w:hAnsi="Arial" w:cs="Arial"/>
                <w:sz w:val="18"/>
                <w:szCs w:val="18"/>
              </w:rPr>
            </w:pPr>
            <w:r w:rsidRPr="00EA605F">
              <w:rPr>
                <w:rFonts w:ascii="Arial" w:hAnsi="Arial" w:cs="Arial"/>
                <w:sz w:val="18"/>
                <w:szCs w:val="18"/>
              </w:rPr>
              <w:t>Primacy agency non-labor cost (from Exhibit 6-</w:t>
            </w:r>
            <w:r>
              <w:rPr>
                <w:rFonts w:ascii="Arial" w:hAnsi="Arial" w:cs="Arial"/>
                <w:sz w:val="18"/>
                <w:szCs w:val="18"/>
              </w:rPr>
              <w:t>3</w:t>
            </w:r>
            <w:r w:rsidRPr="00EA605F">
              <w:rPr>
                <w:rFonts w:ascii="Arial" w:hAnsi="Arial" w:cs="Arial"/>
                <w:sz w:val="18"/>
                <w:szCs w:val="18"/>
              </w:rPr>
              <w:t>)</w:t>
            </w:r>
          </w:p>
        </w:tc>
      </w:tr>
      <w:tr w:rsidRPr="00261CEB" w:rsidR="008445E3" w:rsidTr="0079788D" w14:paraId="63AF7125" w14:textId="77777777">
        <w:trPr>
          <w:trHeight w:val="264"/>
          <w:jc w:val="center"/>
        </w:trPr>
        <w:tc>
          <w:tcPr>
            <w:tcW w:w="2514" w:type="dxa"/>
            <w:tcBorders>
              <w:top w:val="nil"/>
              <w:left w:val="single" w:color="auto" w:sz="4" w:space="0"/>
              <w:bottom w:val="nil"/>
              <w:right w:val="single" w:color="auto" w:sz="4" w:space="0"/>
            </w:tcBorders>
            <w:shd w:val="clear" w:color="auto" w:fill="auto"/>
            <w:vAlign w:val="center"/>
            <w:hideMark/>
          </w:tcPr>
          <w:p w:rsidRPr="00CD2599" w:rsidR="008445E3" w:rsidP="008445E3" w:rsidRDefault="008445E3" w14:paraId="5DF10E22" w14:textId="77777777">
            <w:pPr>
              <w:keepNext/>
              <w:keepLines/>
              <w:rPr>
                <w:rFonts w:ascii="Arial" w:hAnsi="Arial" w:cs="Arial"/>
                <w:sz w:val="18"/>
                <w:szCs w:val="18"/>
              </w:rPr>
            </w:pPr>
            <w:r w:rsidRPr="00CD2599">
              <w:rPr>
                <w:rFonts w:ascii="Arial" w:hAnsi="Arial" w:cs="Arial"/>
                <w:sz w:val="18"/>
                <w:szCs w:val="18"/>
              </w:rPr>
              <w:t>Total Respondent Cost</w:t>
            </w:r>
          </w:p>
        </w:tc>
        <w:tc>
          <w:tcPr>
            <w:tcW w:w="0" w:type="auto"/>
            <w:tcBorders>
              <w:top w:val="nil"/>
              <w:left w:val="nil"/>
              <w:bottom w:val="nil"/>
              <w:right w:val="nil"/>
            </w:tcBorders>
            <w:shd w:val="clear" w:color="auto" w:fill="auto"/>
            <w:noWrap/>
            <w:vAlign w:val="bottom"/>
            <w:hideMark/>
          </w:tcPr>
          <w:p w:rsidRPr="009D24D3" w:rsidR="008445E3" w:rsidP="008445E3" w:rsidRDefault="008445E3" w14:paraId="03B8123C" w14:textId="400DB621">
            <w:pPr>
              <w:keepNext/>
              <w:keepLines/>
              <w:jc w:val="right"/>
              <w:rPr>
                <w:rFonts w:ascii="Arial" w:hAnsi="Arial" w:cs="Arial"/>
                <w:sz w:val="18"/>
                <w:szCs w:val="18"/>
              </w:rPr>
            </w:pPr>
            <w:r w:rsidRPr="009A0785">
              <w:rPr>
                <w:rFonts w:ascii="Arial" w:hAnsi="Arial" w:cs="Arial"/>
                <w:sz w:val="18"/>
                <w:szCs w:val="18"/>
              </w:rPr>
              <w:t xml:space="preserve">$363,309,464 </w:t>
            </w:r>
          </w:p>
        </w:tc>
        <w:tc>
          <w:tcPr>
            <w:tcW w:w="0" w:type="auto"/>
            <w:tcBorders>
              <w:top w:val="nil"/>
              <w:left w:val="nil"/>
              <w:bottom w:val="nil"/>
              <w:right w:val="single" w:color="auto" w:sz="4" w:space="0"/>
            </w:tcBorders>
            <w:shd w:val="clear" w:color="auto" w:fill="auto"/>
            <w:noWrap/>
            <w:vAlign w:val="bottom"/>
            <w:hideMark/>
          </w:tcPr>
          <w:p w:rsidRPr="00BC226B" w:rsidR="008445E3" w:rsidP="008445E3" w:rsidRDefault="008445E3" w14:paraId="47A04025" w14:textId="45A5A131">
            <w:pPr>
              <w:keepNext/>
              <w:keepLines/>
              <w:jc w:val="center"/>
              <w:rPr>
                <w:rFonts w:ascii="Arial" w:hAnsi="Arial" w:cs="Arial"/>
                <w:sz w:val="18"/>
                <w:szCs w:val="18"/>
              </w:rPr>
            </w:pPr>
            <w:r w:rsidRPr="009A0785">
              <w:rPr>
                <w:rFonts w:ascii="Arial" w:hAnsi="Arial" w:cs="Arial"/>
                <w:sz w:val="18"/>
                <w:szCs w:val="18"/>
              </w:rPr>
              <w:t>=</w:t>
            </w:r>
          </w:p>
        </w:tc>
        <w:tc>
          <w:tcPr>
            <w:tcW w:w="0" w:type="auto"/>
            <w:tcBorders>
              <w:top w:val="nil"/>
              <w:left w:val="nil"/>
              <w:bottom w:val="nil"/>
              <w:right w:val="nil"/>
            </w:tcBorders>
            <w:shd w:val="clear" w:color="auto" w:fill="auto"/>
            <w:noWrap/>
            <w:vAlign w:val="bottom"/>
            <w:hideMark/>
          </w:tcPr>
          <w:p w:rsidRPr="009D24D3" w:rsidR="008445E3" w:rsidP="008445E3" w:rsidRDefault="008445E3" w14:paraId="69C995B1" w14:textId="077891F1">
            <w:pPr>
              <w:keepNext/>
              <w:keepLines/>
              <w:jc w:val="right"/>
              <w:rPr>
                <w:rFonts w:ascii="Arial" w:hAnsi="Arial" w:cs="Arial"/>
                <w:sz w:val="18"/>
                <w:szCs w:val="18"/>
              </w:rPr>
            </w:pPr>
            <w:r w:rsidRPr="009A0785">
              <w:rPr>
                <w:rFonts w:ascii="Arial" w:hAnsi="Arial" w:cs="Arial"/>
                <w:sz w:val="18"/>
                <w:szCs w:val="18"/>
              </w:rPr>
              <w:t xml:space="preserve">$352,728,999 </w:t>
            </w:r>
          </w:p>
        </w:tc>
        <w:tc>
          <w:tcPr>
            <w:tcW w:w="4214" w:type="dxa"/>
            <w:tcBorders>
              <w:top w:val="nil"/>
              <w:left w:val="nil"/>
              <w:bottom w:val="nil"/>
              <w:right w:val="single" w:color="auto" w:sz="4" w:space="0"/>
            </w:tcBorders>
            <w:shd w:val="clear" w:color="auto" w:fill="auto"/>
            <w:vAlign w:val="bottom"/>
            <w:hideMark/>
          </w:tcPr>
          <w:p w:rsidRPr="00EA605F" w:rsidR="008445E3" w:rsidP="008445E3" w:rsidRDefault="008445E3" w14:paraId="7580A7BA" w14:textId="77777777">
            <w:pPr>
              <w:keepNext/>
              <w:keepLines/>
              <w:rPr>
                <w:rFonts w:ascii="Arial" w:hAnsi="Arial" w:cs="Arial"/>
                <w:sz w:val="18"/>
                <w:szCs w:val="18"/>
              </w:rPr>
            </w:pPr>
            <w:r w:rsidRPr="00EA605F">
              <w:rPr>
                <w:rFonts w:ascii="Arial" w:hAnsi="Arial" w:cs="Arial"/>
                <w:sz w:val="18"/>
                <w:szCs w:val="18"/>
              </w:rPr>
              <w:t>Operator cost (from Exhibit 6-1G) +</w:t>
            </w:r>
          </w:p>
        </w:tc>
      </w:tr>
      <w:tr w:rsidRPr="00261CEB" w:rsidR="008445E3" w:rsidTr="0079788D" w14:paraId="444403AA" w14:textId="77777777">
        <w:trPr>
          <w:trHeight w:val="264"/>
          <w:jc w:val="center"/>
        </w:trPr>
        <w:tc>
          <w:tcPr>
            <w:tcW w:w="2514" w:type="dxa"/>
            <w:tcBorders>
              <w:top w:val="nil"/>
              <w:left w:val="single" w:color="auto" w:sz="4" w:space="0"/>
              <w:bottom w:val="single" w:color="auto" w:sz="4" w:space="0"/>
              <w:right w:val="single" w:color="auto" w:sz="4" w:space="0"/>
            </w:tcBorders>
            <w:shd w:val="clear" w:color="auto" w:fill="auto"/>
            <w:vAlign w:val="center"/>
            <w:hideMark/>
          </w:tcPr>
          <w:p w:rsidRPr="00CD2599" w:rsidR="008445E3" w:rsidP="008445E3" w:rsidRDefault="008445E3" w14:paraId="5C948BE8" w14:textId="77777777">
            <w:pPr>
              <w:keepNext/>
              <w:keepLines/>
              <w:rPr>
                <w:rFonts w:ascii="Arial" w:hAnsi="Arial" w:cs="Arial"/>
                <w:sz w:val="18"/>
                <w:szCs w:val="18"/>
              </w:rPr>
            </w:pPr>
            <w:r w:rsidRPr="00CD2599">
              <w:rPr>
                <w:rFonts w:ascii="Arial" w:hAnsi="Arial" w:cs="Arial"/>
                <w:sz w:val="18"/>
                <w:szCs w:val="18"/>
              </w:rPr>
              <w:t> </w:t>
            </w:r>
          </w:p>
        </w:tc>
        <w:tc>
          <w:tcPr>
            <w:tcW w:w="0" w:type="auto"/>
            <w:tcBorders>
              <w:top w:val="nil"/>
              <w:left w:val="nil"/>
              <w:bottom w:val="single" w:color="auto" w:sz="4" w:space="0"/>
              <w:right w:val="nil"/>
            </w:tcBorders>
            <w:shd w:val="clear" w:color="auto" w:fill="auto"/>
            <w:noWrap/>
            <w:vAlign w:val="bottom"/>
            <w:hideMark/>
          </w:tcPr>
          <w:p w:rsidRPr="009D24D3" w:rsidR="008445E3" w:rsidP="008445E3" w:rsidRDefault="008445E3" w14:paraId="49C81999" w14:textId="4C021325">
            <w:pPr>
              <w:keepNext/>
              <w:keepLines/>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single" w:color="auto" w:sz="4" w:space="0"/>
            </w:tcBorders>
            <w:shd w:val="clear" w:color="auto" w:fill="auto"/>
            <w:noWrap/>
            <w:vAlign w:val="bottom"/>
            <w:hideMark/>
          </w:tcPr>
          <w:p w:rsidRPr="00BC226B" w:rsidR="008445E3" w:rsidP="008445E3" w:rsidRDefault="008445E3" w14:paraId="1C8AE604" w14:textId="0D528481">
            <w:pPr>
              <w:keepNext/>
              <w:keepLines/>
              <w:jc w:val="center"/>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nil"/>
            </w:tcBorders>
            <w:shd w:val="clear" w:color="auto" w:fill="auto"/>
            <w:noWrap/>
            <w:vAlign w:val="bottom"/>
            <w:hideMark/>
          </w:tcPr>
          <w:p w:rsidRPr="009D24D3" w:rsidR="008445E3" w:rsidP="008445E3" w:rsidRDefault="008445E3" w14:paraId="17A6DC5B" w14:textId="17214523">
            <w:pPr>
              <w:keepNext/>
              <w:keepLines/>
              <w:jc w:val="right"/>
              <w:rPr>
                <w:rFonts w:ascii="Arial" w:hAnsi="Arial" w:cs="Arial"/>
                <w:sz w:val="18"/>
                <w:szCs w:val="18"/>
              </w:rPr>
            </w:pPr>
            <w:r w:rsidRPr="009A0785">
              <w:rPr>
                <w:rFonts w:ascii="Arial" w:hAnsi="Arial" w:cs="Arial"/>
                <w:sz w:val="18"/>
                <w:szCs w:val="18"/>
              </w:rPr>
              <w:t xml:space="preserve">$10,580,465 </w:t>
            </w:r>
          </w:p>
        </w:tc>
        <w:tc>
          <w:tcPr>
            <w:tcW w:w="4214" w:type="dxa"/>
            <w:tcBorders>
              <w:top w:val="nil"/>
              <w:left w:val="nil"/>
              <w:bottom w:val="single" w:color="auto" w:sz="4" w:space="0"/>
              <w:right w:val="single" w:color="auto" w:sz="4" w:space="0"/>
            </w:tcBorders>
            <w:shd w:val="clear" w:color="auto" w:fill="auto"/>
            <w:vAlign w:val="bottom"/>
            <w:hideMark/>
          </w:tcPr>
          <w:p w:rsidRPr="00EA605F" w:rsidR="008445E3" w:rsidP="008445E3" w:rsidRDefault="008445E3" w14:paraId="77604BAC" w14:textId="77777777">
            <w:pPr>
              <w:keepNext/>
              <w:keepLines/>
              <w:rPr>
                <w:rFonts w:ascii="Arial" w:hAnsi="Arial" w:cs="Arial"/>
                <w:sz w:val="18"/>
                <w:szCs w:val="18"/>
              </w:rPr>
            </w:pPr>
            <w:r w:rsidRPr="00EA605F">
              <w:rPr>
                <w:rFonts w:ascii="Arial" w:hAnsi="Arial" w:cs="Arial"/>
                <w:sz w:val="18"/>
                <w:szCs w:val="18"/>
              </w:rPr>
              <w:t>Primacy agency cost (from Exhibit 6-</w:t>
            </w:r>
            <w:r>
              <w:rPr>
                <w:rFonts w:ascii="Arial" w:hAnsi="Arial" w:cs="Arial"/>
                <w:sz w:val="18"/>
                <w:szCs w:val="18"/>
              </w:rPr>
              <w:t>3</w:t>
            </w:r>
            <w:r w:rsidRPr="00EA605F">
              <w:rPr>
                <w:rFonts w:ascii="Arial" w:hAnsi="Arial" w:cs="Arial"/>
                <w:sz w:val="18"/>
                <w:szCs w:val="18"/>
              </w:rPr>
              <w:t>)</w:t>
            </w:r>
          </w:p>
        </w:tc>
      </w:tr>
      <w:tr w:rsidRPr="00261CEB" w:rsidR="008445E3" w:rsidTr="0079788D" w14:paraId="0925BD46" w14:textId="77777777">
        <w:trPr>
          <w:trHeight w:val="264"/>
          <w:jc w:val="center"/>
        </w:trPr>
        <w:tc>
          <w:tcPr>
            <w:tcW w:w="2514" w:type="dxa"/>
            <w:tcBorders>
              <w:top w:val="nil"/>
              <w:left w:val="single" w:color="auto" w:sz="4" w:space="0"/>
              <w:bottom w:val="nil"/>
              <w:right w:val="single" w:color="auto" w:sz="4" w:space="0"/>
            </w:tcBorders>
            <w:shd w:val="clear" w:color="auto" w:fill="auto"/>
            <w:vAlign w:val="center"/>
            <w:hideMark/>
          </w:tcPr>
          <w:p w:rsidRPr="00CD2599" w:rsidR="008445E3" w:rsidP="008445E3" w:rsidRDefault="008445E3" w14:paraId="004D661B" w14:textId="77777777">
            <w:pPr>
              <w:keepNext/>
              <w:keepLines/>
              <w:rPr>
                <w:rFonts w:ascii="Arial" w:hAnsi="Arial" w:cs="Arial"/>
                <w:sz w:val="18"/>
                <w:szCs w:val="18"/>
              </w:rPr>
            </w:pPr>
            <w:r w:rsidRPr="00CD2599">
              <w:rPr>
                <w:rFonts w:ascii="Arial" w:hAnsi="Arial" w:cs="Arial"/>
                <w:sz w:val="18"/>
                <w:szCs w:val="18"/>
              </w:rPr>
              <w:t>Total Hours (Respondents)</w:t>
            </w:r>
          </w:p>
        </w:tc>
        <w:tc>
          <w:tcPr>
            <w:tcW w:w="0" w:type="auto"/>
            <w:tcBorders>
              <w:top w:val="nil"/>
              <w:left w:val="nil"/>
              <w:bottom w:val="nil"/>
              <w:right w:val="nil"/>
            </w:tcBorders>
            <w:shd w:val="clear" w:color="auto" w:fill="auto"/>
            <w:noWrap/>
            <w:vAlign w:val="bottom"/>
            <w:hideMark/>
          </w:tcPr>
          <w:p w:rsidRPr="009D24D3" w:rsidR="008445E3" w:rsidP="008445E3" w:rsidRDefault="008445E3" w14:paraId="3452C904" w14:textId="5232D6D4">
            <w:pPr>
              <w:keepNext/>
              <w:keepLines/>
              <w:jc w:val="right"/>
              <w:rPr>
                <w:rFonts w:ascii="Arial" w:hAnsi="Arial" w:cs="Arial"/>
                <w:sz w:val="18"/>
                <w:szCs w:val="18"/>
              </w:rPr>
            </w:pPr>
            <w:r w:rsidRPr="009A0785">
              <w:rPr>
                <w:rFonts w:ascii="Arial" w:hAnsi="Arial" w:cs="Arial"/>
                <w:sz w:val="18"/>
                <w:szCs w:val="18"/>
              </w:rPr>
              <w:t>1,673,876</w:t>
            </w:r>
          </w:p>
        </w:tc>
        <w:tc>
          <w:tcPr>
            <w:tcW w:w="0" w:type="auto"/>
            <w:tcBorders>
              <w:top w:val="nil"/>
              <w:left w:val="nil"/>
              <w:bottom w:val="nil"/>
              <w:right w:val="single" w:color="auto" w:sz="4" w:space="0"/>
            </w:tcBorders>
            <w:shd w:val="clear" w:color="auto" w:fill="auto"/>
            <w:noWrap/>
            <w:vAlign w:val="bottom"/>
            <w:hideMark/>
          </w:tcPr>
          <w:p w:rsidRPr="00BC226B" w:rsidR="008445E3" w:rsidP="008445E3" w:rsidRDefault="008445E3" w14:paraId="66F66290" w14:textId="580974D9">
            <w:pPr>
              <w:keepNext/>
              <w:keepLines/>
              <w:jc w:val="center"/>
              <w:rPr>
                <w:rFonts w:ascii="Arial" w:hAnsi="Arial" w:cs="Arial"/>
                <w:sz w:val="18"/>
                <w:szCs w:val="18"/>
              </w:rPr>
            </w:pPr>
            <w:r w:rsidRPr="009A0785">
              <w:rPr>
                <w:rFonts w:ascii="Arial" w:hAnsi="Arial" w:cs="Arial"/>
                <w:sz w:val="18"/>
                <w:szCs w:val="18"/>
              </w:rPr>
              <w:t>=</w:t>
            </w:r>
          </w:p>
        </w:tc>
        <w:tc>
          <w:tcPr>
            <w:tcW w:w="0" w:type="auto"/>
            <w:tcBorders>
              <w:top w:val="nil"/>
              <w:left w:val="nil"/>
              <w:bottom w:val="nil"/>
              <w:right w:val="nil"/>
            </w:tcBorders>
            <w:shd w:val="clear" w:color="auto" w:fill="auto"/>
            <w:noWrap/>
            <w:vAlign w:val="bottom"/>
            <w:hideMark/>
          </w:tcPr>
          <w:p w:rsidRPr="009D24D3" w:rsidR="008445E3" w:rsidP="008445E3" w:rsidRDefault="008445E3" w14:paraId="15301AD0" w14:textId="5D130D3E">
            <w:pPr>
              <w:keepNext/>
              <w:keepLines/>
              <w:jc w:val="right"/>
              <w:rPr>
                <w:rFonts w:ascii="Arial" w:hAnsi="Arial" w:cs="Arial"/>
                <w:sz w:val="18"/>
                <w:szCs w:val="18"/>
              </w:rPr>
            </w:pPr>
            <w:r w:rsidRPr="009A0785">
              <w:rPr>
                <w:rFonts w:ascii="Arial" w:hAnsi="Arial" w:cs="Arial"/>
                <w:sz w:val="18"/>
                <w:szCs w:val="18"/>
              </w:rPr>
              <w:t>1,631,360</w:t>
            </w:r>
          </w:p>
        </w:tc>
        <w:tc>
          <w:tcPr>
            <w:tcW w:w="4214" w:type="dxa"/>
            <w:tcBorders>
              <w:top w:val="nil"/>
              <w:left w:val="nil"/>
              <w:bottom w:val="nil"/>
              <w:right w:val="single" w:color="auto" w:sz="4" w:space="0"/>
            </w:tcBorders>
            <w:shd w:val="clear" w:color="auto" w:fill="auto"/>
            <w:vAlign w:val="bottom"/>
            <w:hideMark/>
          </w:tcPr>
          <w:p w:rsidRPr="00EA605F" w:rsidR="008445E3" w:rsidP="008445E3" w:rsidRDefault="008445E3" w14:paraId="718151A3" w14:textId="77777777">
            <w:pPr>
              <w:keepNext/>
              <w:keepLines/>
              <w:rPr>
                <w:rFonts w:ascii="Arial" w:hAnsi="Arial" w:cs="Arial"/>
                <w:sz w:val="18"/>
                <w:szCs w:val="18"/>
              </w:rPr>
            </w:pPr>
            <w:r w:rsidRPr="00EA605F">
              <w:rPr>
                <w:rFonts w:ascii="Arial" w:hAnsi="Arial" w:cs="Arial"/>
                <w:sz w:val="18"/>
                <w:szCs w:val="18"/>
              </w:rPr>
              <w:t>Total respondent hours from above +</w:t>
            </w:r>
          </w:p>
        </w:tc>
      </w:tr>
      <w:tr w:rsidRPr="00261CEB" w:rsidR="008445E3" w:rsidTr="0079788D" w14:paraId="08212030" w14:textId="77777777">
        <w:trPr>
          <w:trHeight w:val="264"/>
          <w:jc w:val="center"/>
        </w:trPr>
        <w:tc>
          <w:tcPr>
            <w:tcW w:w="2514" w:type="dxa"/>
            <w:tcBorders>
              <w:top w:val="nil"/>
              <w:left w:val="single" w:color="auto" w:sz="4" w:space="0"/>
              <w:bottom w:val="single" w:color="auto" w:sz="4" w:space="0"/>
              <w:right w:val="single" w:color="auto" w:sz="4" w:space="0"/>
            </w:tcBorders>
            <w:shd w:val="clear" w:color="auto" w:fill="auto"/>
            <w:vAlign w:val="center"/>
            <w:hideMark/>
          </w:tcPr>
          <w:p w:rsidRPr="00CD2599" w:rsidR="008445E3" w:rsidP="008445E3" w:rsidRDefault="008445E3" w14:paraId="07DADF01" w14:textId="77777777">
            <w:pPr>
              <w:keepNext/>
              <w:keepLines/>
              <w:rPr>
                <w:rFonts w:ascii="Arial" w:hAnsi="Arial" w:cs="Arial"/>
                <w:sz w:val="18"/>
                <w:szCs w:val="18"/>
              </w:rPr>
            </w:pPr>
            <w:r w:rsidRPr="00CD2599">
              <w:rPr>
                <w:rFonts w:ascii="Arial" w:hAnsi="Arial" w:cs="Arial"/>
                <w:sz w:val="18"/>
                <w:szCs w:val="18"/>
              </w:rPr>
              <w:t> </w:t>
            </w:r>
          </w:p>
        </w:tc>
        <w:tc>
          <w:tcPr>
            <w:tcW w:w="0" w:type="auto"/>
            <w:tcBorders>
              <w:top w:val="nil"/>
              <w:left w:val="nil"/>
              <w:bottom w:val="single" w:color="auto" w:sz="4" w:space="0"/>
              <w:right w:val="nil"/>
            </w:tcBorders>
            <w:shd w:val="clear" w:color="auto" w:fill="auto"/>
            <w:noWrap/>
            <w:vAlign w:val="bottom"/>
            <w:hideMark/>
          </w:tcPr>
          <w:p w:rsidRPr="009D24D3" w:rsidR="008445E3" w:rsidP="008445E3" w:rsidRDefault="008445E3" w14:paraId="72A9E228" w14:textId="128210AB">
            <w:pPr>
              <w:keepNext/>
              <w:keepLines/>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single" w:color="auto" w:sz="4" w:space="0"/>
            </w:tcBorders>
            <w:shd w:val="clear" w:color="auto" w:fill="auto"/>
            <w:noWrap/>
            <w:vAlign w:val="bottom"/>
            <w:hideMark/>
          </w:tcPr>
          <w:p w:rsidRPr="00BC226B" w:rsidR="008445E3" w:rsidP="008445E3" w:rsidRDefault="008445E3" w14:paraId="7A560C98" w14:textId="27252CB0">
            <w:pPr>
              <w:keepNext/>
              <w:keepLines/>
              <w:jc w:val="center"/>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nil"/>
            </w:tcBorders>
            <w:shd w:val="clear" w:color="auto" w:fill="auto"/>
            <w:noWrap/>
            <w:vAlign w:val="bottom"/>
            <w:hideMark/>
          </w:tcPr>
          <w:p w:rsidRPr="009D24D3" w:rsidR="008445E3" w:rsidP="008445E3" w:rsidRDefault="008445E3" w14:paraId="522E0AFE" w14:textId="4705A498">
            <w:pPr>
              <w:keepNext/>
              <w:keepLines/>
              <w:jc w:val="right"/>
              <w:rPr>
                <w:rFonts w:ascii="Arial" w:hAnsi="Arial" w:cs="Arial"/>
                <w:sz w:val="18"/>
                <w:szCs w:val="18"/>
              </w:rPr>
            </w:pPr>
            <w:r w:rsidRPr="009A0785">
              <w:rPr>
                <w:rFonts w:ascii="Arial" w:hAnsi="Arial" w:cs="Arial"/>
                <w:sz w:val="18"/>
                <w:szCs w:val="18"/>
              </w:rPr>
              <w:t>42,516</w:t>
            </w:r>
          </w:p>
        </w:tc>
        <w:tc>
          <w:tcPr>
            <w:tcW w:w="4214" w:type="dxa"/>
            <w:tcBorders>
              <w:top w:val="nil"/>
              <w:left w:val="nil"/>
              <w:bottom w:val="single" w:color="auto" w:sz="4" w:space="0"/>
              <w:right w:val="single" w:color="auto" w:sz="4" w:space="0"/>
            </w:tcBorders>
            <w:shd w:val="clear" w:color="auto" w:fill="auto"/>
            <w:vAlign w:val="bottom"/>
            <w:hideMark/>
          </w:tcPr>
          <w:p w:rsidRPr="00EA605F" w:rsidR="008445E3" w:rsidP="008445E3" w:rsidRDefault="008445E3" w14:paraId="4B68A224" w14:textId="107B6B14">
            <w:pPr>
              <w:keepNext/>
              <w:keepLines/>
              <w:rPr>
                <w:rFonts w:ascii="Arial" w:hAnsi="Arial" w:cs="Arial"/>
                <w:sz w:val="18"/>
                <w:szCs w:val="18"/>
              </w:rPr>
            </w:pPr>
            <w:r w:rsidRPr="00EA605F">
              <w:rPr>
                <w:rFonts w:ascii="Arial" w:hAnsi="Arial" w:cs="Arial"/>
                <w:sz w:val="18"/>
                <w:szCs w:val="18"/>
              </w:rPr>
              <w:t>Total EPA hours (from Exhibit 6-</w:t>
            </w:r>
            <w:r>
              <w:rPr>
                <w:rFonts w:ascii="Arial" w:hAnsi="Arial" w:cs="Arial"/>
                <w:sz w:val="18"/>
                <w:szCs w:val="18"/>
              </w:rPr>
              <w:t>5</w:t>
            </w:r>
            <w:r w:rsidRPr="00EA605F">
              <w:rPr>
                <w:rFonts w:ascii="Arial" w:hAnsi="Arial" w:cs="Arial"/>
                <w:sz w:val="18"/>
                <w:szCs w:val="18"/>
              </w:rPr>
              <w:t>)</w:t>
            </w:r>
          </w:p>
        </w:tc>
      </w:tr>
      <w:tr w:rsidRPr="00261CEB" w:rsidR="008445E3" w:rsidTr="0079788D" w14:paraId="5209F1F6" w14:textId="77777777">
        <w:trPr>
          <w:trHeight w:val="300"/>
          <w:jc w:val="center"/>
        </w:trPr>
        <w:tc>
          <w:tcPr>
            <w:tcW w:w="2514" w:type="dxa"/>
            <w:vMerge w:val="restart"/>
            <w:tcBorders>
              <w:top w:val="nil"/>
              <w:left w:val="single" w:color="auto" w:sz="4" w:space="0"/>
              <w:right w:val="single" w:color="auto" w:sz="4" w:space="0"/>
            </w:tcBorders>
            <w:shd w:val="clear" w:color="auto" w:fill="auto"/>
            <w:vAlign w:val="center"/>
            <w:hideMark/>
          </w:tcPr>
          <w:p w:rsidRPr="00CD2599" w:rsidR="008445E3" w:rsidP="008445E3" w:rsidRDefault="008445E3" w14:paraId="79DC947F" w14:textId="77777777">
            <w:pPr>
              <w:keepNext/>
              <w:keepLines/>
              <w:rPr>
                <w:rFonts w:ascii="Arial" w:hAnsi="Arial" w:cs="Arial"/>
                <w:sz w:val="18"/>
                <w:szCs w:val="18"/>
              </w:rPr>
            </w:pPr>
            <w:r w:rsidRPr="00CD2599">
              <w:rPr>
                <w:rFonts w:ascii="Arial" w:hAnsi="Arial" w:cs="Arial"/>
                <w:sz w:val="18"/>
                <w:szCs w:val="18"/>
              </w:rPr>
              <w:t>Total Cost (Respondents plus Agency)</w:t>
            </w:r>
          </w:p>
          <w:p w:rsidRPr="00CD2599" w:rsidR="008445E3" w:rsidP="008445E3" w:rsidRDefault="008445E3" w14:paraId="1E39BBC8" w14:textId="77777777">
            <w:pPr>
              <w:keepNext/>
              <w:keepLines/>
              <w:rPr>
                <w:rFonts w:ascii="Arial" w:hAnsi="Arial" w:cs="Arial"/>
                <w:sz w:val="18"/>
                <w:szCs w:val="18"/>
              </w:rPr>
            </w:pPr>
            <w:r w:rsidRPr="00CD2599">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rsidRPr="009D24D3" w:rsidR="008445E3" w:rsidP="008445E3" w:rsidRDefault="008445E3" w14:paraId="27E5B403" w14:textId="097C9CBB">
            <w:pPr>
              <w:keepNext/>
              <w:keepLines/>
              <w:jc w:val="right"/>
              <w:rPr>
                <w:rFonts w:ascii="Arial" w:hAnsi="Arial" w:cs="Arial"/>
                <w:sz w:val="18"/>
                <w:szCs w:val="18"/>
              </w:rPr>
            </w:pPr>
            <w:r w:rsidRPr="009A0785">
              <w:rPr>
                <w:rFonts w:ascii="Arial" w:hAnsi="Arial" w:cs="Arial"/>
                <w:sz w:val="18"/>
                <w:szCs w:val="18"/>
              </w:rPr>
              <w:t xml:space="preserve">$365,261,778 </w:t>
            </w:r>
          </w:p>
        </w:tc>
        <w:tc>
          <w:tcPr>
            <w:tcW w:w="0" w:type="auto"/>
            <w:tcBorders>
              <w:top w:val="nil"/>
              <w:left w:val="nil"/>
              <w:bottom w:val="nil"/>
              <w:right w:val="single" w:color="auto" w:sz="4" w:space="0"/>
            </w:tcBorders>
            <w:shd w:val="clear" w:color="auto" w:fill="auto"/>
            <w:noWrap/>
            <w:vAlign w:val="bottom"/>
            <w:hideMark/>
          </w:tcPr>
          <w:p w:rsidRPr="00BC226B" w:rsidR="008445E3" w:rsidP="008445E3" w:rsidRDefault="008445E3" w14:paraId="32378E17" w14:textId="59354C44">
            <w:pPr>
              <w:keepNext/>
              <w:keepLines/>
              <w:jc w:val="center"/>
              <w:rPr>
                <w:rFonts w:ascii="Arial" w:hAnsi="Arial" w:cs="Arial"/>
                <w:sz w:val="18"/>
                <w:szCs w:val="18"/>
              </w:rPr>
            </w:pPr>
            <w:r w:rsidRPr="009A0785">
              <w:rPr>
                <w:rFonts w:ascii="Arial" w:hAnsi="Arial" w:cs="Arial"/>
                <w:sz w:val="18"/>
                <w:szCs w:val="18"/>
              </w:rPr>
              <w:t>=</w:t>
            </w:r>
          </w:p>
        </w:tc>
        <w:tc>
          <w:tcPr>
            <w:tcW w:w="0" w:type="auto"/>
            <w:tcBorders>
              <w:top w:val="nil"/>
              <w:left w:val="nil"/>
              <w:bottom w:val="nil"/>
              <w:right w:val="nil"/>
            </w:tcBorders>
            <w:shd w:val="clear" w:color="auto" w:fill="auto"/>
            <w:noWrap/>
            <w:vAlign w:val="bottom"/>
            <w:hideMark/>
          </w:tcPr>
          <w:p w:rsidRPr="009D24D3" w:rsidR="008445E3" w:rsidP="008445E3" w:rsidRDefault="008445E3" w14:paraId="1852C846" w14:textId="76DCA98F">
            <w:pPr>
              <w:keepNext/>
              <w:keepLines/>
              <w:jc w:val="right"/>
              <w:rPr>
                <w:rFonts w:ascii="Arial" w:hAnsi="Arial" w:cs="Arial"/>
                <w:sz w:val="18"/>
                <w:szCs w:val="18"/>
              </w:rPr>
            </w:pPr>
            <w:r w:rsidRPr="009A0785">
              <w:rPr>
                <w:rFonts w:ascii="Arial" w:hAnsi="Arial" w:cs="Arial"/>
                <w:sz w:val="18"/>
                <w:szCs w:val="18"/>
              </w:rPr>
              <w:t xml:space="preserve">$363,309,464 </w:t>
            </w:r>
          </w:p>
        </w:tc>
        <w:tc>
          <w:tcPr>
            <w:tcW w:w="4214" w:type="dxa"/>
            <w:tcBorders>
              <w:top w:val="nil"/>
              <w:left w:val="nil"/>
              <w:bottom w:val="nil"/>
              <w:right w:val="single" w:color="auto" w:sz="4" w:space="0"/>
            </w:tcBorders>
            <w:shd w:val="clear" w:color="auto" w:fill="auto"/>
            <w:vAlign w:val="bottom"/>
            <w:hideMark/>
          </w:tcPr>
          <w:p w:rsidRPr="00EA605F" w:rsidR="008445E3" w:rsidP="008445E3" w:rsidRDefault="008445E3" w14:paraId="3AD9D695" w14:textId="77777777">
            <w:pPr>
              <w:keepNext/>
              <w:keepLines/>
              <w:rPr>
                <w:rFonts w:ascii="Arial" w:hAnsi="Arial" w:cs="Arial"/>
                <w:sz w:val="18"/>
                <w:szCs w:val="18"/>
              </w:rPr>
            </w:pPr>
            <w:r w:rsidRPr="00EA605F">
              <w:rPr>
                <w:rFonts w:ascii="Arial" w:hAnsi="Arial" w:cs="Arial"/>
                <w:sz w:val="18"/>
                <w:szCs w:val="18"/>
              </w:rPr>
              <w:t>Total respondent cost from above +</w:t>
            </w:r>
          </w:p>
        </w:tc>
      </w:tr>
      <w:tr w:rsidRPr="00261CEB" w:rsidR="008445E3" w:rsidTr="0079788D" w14:paraId="6CD89FD2" w14:textId="77777777">
        <w:trPr>
          <w:trHeight w:val="264"/>
          <w:jc w:val="center"/>
        </w:trPr>
        <w:tc>
          <w:tcPr>
            <w:tcW w:w="2514" w:type="dxa"/>
            <w:vMerge/>
            <w:tcBorders>
              <w:left w:val="single" w:color="auto" w:sz="4" w:space="0"/>
              <w:bottom w:val="single" w:color="auto" w:sz="4" w:space="0"/>
              <w:right w:val="single" w:color="auto" w:sz="4" w:space="0"/>
            </w:tcBorders>
            <w:shd w:val="clear" w:color="auto" w:fill="auto"/>
            <w:vAlign w:val="center"/>
            <w:hideMark/>
          </w:tcPr>
          <w:p w:rsidRPr="00CD2599" w:rsidR="008445E3" w:rsidP="008445E3" w:rsidRDefault="008445E3" w14:paraId="6294506B" w14:textId="77777777">
            <w:pPr>
              <w:keepNext/>
              <w:keepLines/>
              <w:rPr>
                <w:rFonts w:ascii="Arial" w:hAnsi="Arial" w:cs="Arial"/>
                <w:sz w:val="18"/>
                <w:szCs w:val="18"/>
              </w:rPr>
            </w:pPr>
          </w:p>
        </w:tc>
        <w:tc>
          <w:tcPr>
            <w:tcW w:w="0" w:type="auto"/>
            <w:tcBorders>
              <w:top w:val="nil"/>
              <w:left w:val="nil"/>
              <w:bottom w:val="single" w:color="auto" w:sz="4" w:space="0"/>
              <w:right w:val="nil"/>
            </w:tcBorders>
            <w:shd w:val="clear" w:color="auto" w:fill="auto"/>
            <w:noWrap/>
            <w:vAlign w:val="bottom"/>
            <w:hideMark/>
          </w:tcPr>
          <w:p w:rsidRPr="00BC226B" w:rsidR="008445E3" w:rsidP="008445E3" w:rsidRDefault="008445E3" w14:paraId="6EDE01D8" w14:textId="66F6C504">
            <w:pPr>
              <w:keepNext/>
              <w:keepLines/>
              <w:jc w:val="right"/>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single" w:color="auto" w:sz="4" w:space="0"/>
            </w:tcBorders>
            <w:shd w:val="clear" w:color="auto" w:fill="auto"/>
            <w:noWrap/>
            <w:vAlign w:val="bottom"/>
            <w:hideMark/>
          </w:tcPr>
          <w:p w:rsidRPr="00BC226B" w:rsidR="008445E3" w:rsidP="008445E3" w:rsidRDefault="008445E3" w14:paraId="55F9A7AA" w14:textId="71E50FE8">
            <w:pPr>
              <w:keepNext/>
              <w:keepLines/>
              <w:jc w:val="center"/>
              <w:rPr>
                <w:rFonts w:ascii="Arial" w:hAnsi="Arial" w:cs="Arial"/>
                <w:sz w:val="18"/>
                <w:szCs w:val="18"/>
              </w:rPr>
            </w:pPr>
            <w:r w:rsidRPr="009A0785">
              <w:rPr>
                <w:rFonts w:ascii="Arial" w:hAnsi="Arial" w:cs="Arial"/>
                <w:sz w:val="18"/>
                <w:szCs w:val="18"/>
              </w:rPr>
              <w:t> </w:t>
            </w:r>
          </w:p>
        </w:tc>
        <w:tc>
          <w:tcPr>
            <w:tcW w:w="0" w:type="auto"/>
            <w:tcBorders>
              <w:top w:val="nil"/>
              <w:left w:val="nil"/>
              <w:bottom w:val="single" w:color="auto" w:sz="4" w:space="0"/>
              <w:right w:val="nil"/>
            </w:tcBorders>
            <w:shd w:val="clear" w:color="auto" w:fill="auto"/>
            <w:noWrap/>
            <w:vAlign w:val="bottom"/>
            <w:hideMark/>
          </w:tcPr>
          <w:p w:rsidRPr="009D24D3" w:rsidR="008445E3" w:rsidP="008445E3" w:rsidRDefault="008445E3" w14:paraId="65A209AF" w14:textId="47DFF6DF">
            <w:pPr>
              <w:keepNext/>
              <w:keepLines/>
              <w:jc w:val="right"/>
              <w:rPr>
                <w:rFonts w:ascii="Arial" w:hAnsi="Arial" w:cs="Arial"/>
                <w:sz w:val="18"/>
                <w:szCs w:val="18"/>
              </w:rPr>
            </w:pPr>
            <w:r w:rsidRPr="009A0785">
              <w:rPr>
                <w:rFonts w:ascii="Arial" w:hAnsi="Arial" w:cs="Arial"/>
                <w:sz w:val="18"/>
                <w:szCs w:val="18"/>
              </w:rPr>
              <w:t xml:space="preserve">$1,952,314 </w:t>
            </w:r>
          </w:p>
        </w:tc>
        <w:tc>
          <w:tcPr>
            <w:tcW w:w="4214" w:type="dxa"/>
            <w:tcBorders>
              <w:top w:val="nil"/>
              <w:left w:val="nil"/>
              <w:bottom w:val="single" w:color="auto" w:sz="4" w:space="0"/>
              <w:right w:val="single" w:color="auto" w:sz="4" w:space="0"/>
            </w:tcBorders>
            <w:shd w:val="clear" w:color="auto" w:fill="auto"/>
            <w:vAlign w:val="bottom"/>
            <w:hideMark/>
          </w:tcPr>
          <w:p w:rsidRPr="00EA605F" w:rsidR="008445E3" w:rsidP="008445E3" w:rsidRDefault="008445E3" w14:paraId="145A721E" w14:textId="69C7AAFD">
            <w:pPr>
              <w:keepNext/>
              <w:keepLines/>
              <w:rPr>
                <w:rFonts w:ascii="Arial" w:hAnsi="Arial" w:cs="Arial"/>
                <w:sz w:val="18"/>
                <w:szCs w:val="18"/>
              </w:rPr>
            </w:pPr>
            <w:r w:rsidRPr="00EA605F">
              <w:rPr>
                <w:rFonts w:ascii="Arial" w:hAnsi="Arial" w:cs="Arial"/>
                <w:sz w:val="18"/>
                <w:szCs w:val="18"/>
              </w:rPr>
              <w:t>Total EPA cost (from Exhibit 6-</w:t>
            </w:r>
            <w:r>
              <w:rPr>
                <w:rFonts w:ascii="Arial" w:hAnsi="Arial" w:cs="Arial"/>
                <w:sz w:val="18"/>
                <w:szCs w:val="18"/>
              </w:rPr>
              <w:t>5</w:t>
            </w:r>
            <w:r w:rsidRPr="00EA605F">
              <w:rPr>
                <w:rFonts w:ascii="Arial" w:hAnsi="Arial" w:cs="Arial"/>
                <w:sz w:val="18"/>
                <w:szCs w:val="18"/>
              </w:rPr>
              <w:t>)</w:t>
            </w:r>
          </w:p>
        </w:tc>
      </w:tr>
    </w:tbl>
    <w:p w:rsidR="00BB5832" w:rsidP="00C714A4" w:rsidRDefault="00BB5832" w14:paraId="4D781A99" w14:textId="77777777">
      <w:pPr>
        <w:keepNext/>
        <w:keepLines/>
      </w:pPr>
    </w:p>
    <w:p w:rsidR="00C25838" w:rsidP="00C714A4" w:rsidRDefault="00C25838" w14:paraId="13A13B39" w14:textId="77777777">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sz w:val="18"/>
        </w:rPr>
        <w:t xml:space="preserve">Note: Detail may not </w:t>
      </w:r>
      <w:r w:rsidR="001E14E1">
        <w:rPr>
          <w:rFonts w:ascii="Arial" w:hAnsi="Arial" w:cs="Arial"/>
          <w:bCs/>
          <w:sz w:val="18"/>
          <w:szCs w:val="18"/>
        </w:rPr>
        <w:t>total</w:t>
      </w:r>
      <w:r w:rsidRPr="00B15016" w:rsidR="001E14E1">
        <w:rPr>
          <w:rFonts w:ascii="Arial" w:hAnsi="Arial" w:cs="Arial"/>
          <w:bCs/>
          <w:sz w:val="18"/>
          <w:szCs w:val="18"/>
        </w:rPr>
        <w:t xml:space="preserve"> </w:t>
      </w:r>
      <w:r>
        <w:rPr>
          <w:rFonts w:ascii="Arial" w:hAnsi="Arial" w:cs="Arial"/>
          <w:sz w:val="18"/>
        </w:rPr>
        <w:t>exactly due to independent rounding.</w:t>
      </w:r>
    </w:p>
    <w:p w:rsidR="00F80BAB" w:rsidP="008122F8" w:rsidRDefault="00F80BAB" w14:paraId="2B69B2CE"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C20B10" w:rsidP="001941A8" w:rsidRDefault="00C20B10" w14:paraId="10FD4C0D" w14:textId="77777777">
      <w:pPr>
        <w:pStyle w:val="Heading2"/>
      </w:pPr>
      <w:r w:rsidRPr="00741F3A">
        <w:t>6(f)</w:t>
      </w:r>
      <w:r w:rsidRPr="00741F3A">
        <w:tab/>
        <w:t xml:space="preserve">Reason for Change in Burden </w:t>
      </w:r>
      <w:r w:rsidRPr="00741F3A" w:rsidR="00766F8E">
        <w:fldChar w:fldCharType="begin"/>
      </w:r>
      <w:r w:rsidRPr="00741F3A">
        <w:instrText xml:space="preserve"> TC "</w:instrText>
      </w:r>
      <w:bookmarkStart w:name="_Toc511660019" w:id="90"/>
      <w:bookmarkStart w:name="_Toc511713528" w:id="91"/>
      <w:r w:rsidRPr="00741F3A">
        <w:instrText>6(</w:instrText>
      </w:r>
      <w:r w:rsidRPr="00741F3A" w:rsidR="009902D4">
        <w:instrText>f</w:instrText>
      </w:r>
      <w:r w:rsidRPr="00741F3A">
        <w:instrText>)</w:instrText>
      </w:r>
      <w:r w:rsidRPr="00741F3A">
        <w:tab/>
      </w:r>
      <w:r w:rsidRPr="00741F3A" w:rsidR="009902D4">
        <w:instrText xml:space="preserve">Reason for Change in </w:instrText>
      </w:r>
      <w:r w:rsidRPr="00741F3A">
        <w:instrText>Burden</w:instrText>
      </w:r>
      <w:bookmarkEnd w:id="90"/>
      <w:bookmarkEnd w:id="91"/>
      <w:r w:rsidRPr="00741F3A">
        <w:instrText xml:space="preserve">" \f C \l "2" </w:instrText>
      </w:r>
      <w:r w:rsidRPr="00741F3A" w:rsidR="00766F8E">
        <w:fldChar w:fldCharType="end"/>
      </w:r>
    </w:p>
    <w:p w:rsidR="00C20B10" w:rsidP="00C20B10" w:rsidRDefault="00C20B10" w14:paraId="605B3F93" w14:textId="77777777">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93AEB" w:rsidP="00A22206" w:rsidRDefault="004F0F7F" w14:paraId="3C87D866" w14:textId="55461F46">
      <w:pPr>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bookmarkStart w:name="_Hlk508719996" w:id="92"/>
      <w:bookmarkStart w:name="_Hlk512232424" w:id="93"/>
      <w:r w:rsidRPr="00393AEB" w:rsidR="00393AEB">
        <w:rPr>
          <w:sz w:val="24"/>
          <w:szCs w:val="24"/>
        </w:rPr>
        <w:t>The current total annual approved burden on operators and primacy states associated with the UIC Program is 1,292,260</w:t>
      </w:r>
      <w:r w:rsidR="00393AEB">
        <w:rPr>
          <w:sz w:val="24"/>
          <w:szCs w:val="24"/>
        </w:rPr>
        <w:t xml:space="preserve"> </w:t>
      </w:r>
      <w:r w:rsidRPr="00393AEB" w:rsidR="00393AEB">
        <w:rPr>
          <w:sz w:val="24"/>
          <w:szCs w:val="24"/>
        </w:rPr>
        <w:t>hours. This ICR renewal request estimates a total annual respondent burden of 1,631,360</w:t>
      </w:r>
      <w:r w:rsidR="00393AEB">
        <w:rPr>
          <w:sz w:val="24"/>
          <w:szCs w:val="24"/>
        </w:rPr>
        <w:t xml:space="preserve"> </w:t>
      </w:r>
      <w:r w:rsidRPr="00393AEB" w:rsidR="00393AEB">
        <w:rPr>
          <w:sz w:val="24"/>
          <w:szCs w:val="24"/>
        </w:rPr>
        <w:t>hours. Thus, there is a net increase in burden of 339,101</w:t>
      </w:r>
      <w:r w:rsidR="00393AEB">
        <w:rPr>
          <w:sz w:val="24"/>
          <w:szCs w:val="24"/>
        </w:rPr>
        <w:t xml:space="preserve"> </w:t>
      </w:r>
      <w:r w:rsidRPr="00393AEB" w:rsidR="00393AEB">
        <w:rPr>
          <w:sz w:val="24"/>
          <w:szCs w:val="24"/>
        </w:rPr>
        <w:t>hours between the approved and requested amounts. Of this, 259,656</w:t>
      </w:r>
      <w:r w:rsidR="00393AEB">
        <w:rPr>
          <w:sz w:val="24"/>
          <w:szCs w:val="24"/>
        </w:rPr>
        <w:t xml:space="preserve"> </w:t>
      </w:r>
      <w:r w:rsidRPr="00393AEB" w:rsidR="00393AEB">
        <w:rPr>
          <w:sz w:val="24"/>
          <w:szCs w:val="24"/>
        </w:rPr>
        <w:t>hours is increased operator burden and 79,445</w:t>
      </w:r>
      <w:r w:rsidR="00393AEB">
        <w:rPr>
          <w:sz w:val="24"/>
          <w:szCs w:val="24"/>
        </w:rPr>
        <w:t xml:space="preserve"> </w:t>
      </w:r>
      <w:r w:rsidRPr="00393AEB" w:rsidR="00393AEB">
        <w:rPr>
          <w:sz w:val="24"/>
          <w:szCs w:val="24"/>
        </w:rPr>
        <w:t>is increased primacy agency burden.</w:t>
      </w:r>
    </w:p>
    <w:p w:rsidR="00393AEB" w:rsidP="00A22206" w:rsidRDefault="00393AEB" w14:paraId="1B128F2D" w14:textId="77777777">
      <w:pPr>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bookmarkEnd w:id="92"/>
    <w:bookmarkEnd w:id="93"/>
    <w:p w:rsidR="00C25838" w:rsidP="00D34793" w:rsidRDefault="00C25838" w14:paraId="04476781" w14:textId="77777777">
      <w:pPr>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D34793">
        <w:rPr>
          <w:sz w:val="24"/>
          <w:szCs w:val="24"/>
        </w:rPr>
        <w:tab/>
      </w:r>
      <w:r>
        <w:rPr>
          <w:sz w:val="24"/>
          <w:szCs w:val="24"/>
        </w:rPr>
        <w:t xml:space="preserve">This section discusses the change in burden to operators of injection wells and primacy </w:t>
      </w:r>
      <w:r w:rsidR="000B5DF3">
        <w:rPr>
          <w:sz w:val="24"/>
          <w:szCs w:val="24"/>
        </w:rPr>
        <w:t xml:space="preserve">agencies </w:t>
      </w:r>
      <w:r>
        <w:rPr>
          <w:sz w:val="24"/>
          <w:szCs w:val="24"/>
        </w:rPr>
        <w:t xml:space="preserve">between </w:t>
      </w:r>
      <w:r w:rsidR="00013C40">
        <w:rPr>
          <w:sz w:val="24"/>
          <w:szCs w:val="24"/>
        </w:rPr>
        <w:t xml:space="preserve">the burden requested in this ICR and </w:t>
      </w:r>
      <w:r>
        <w:rPr>
          <w:sz w:val="24"/>
          <w:szCs w:val="24"/>
        </w:rPr>
        <w:t xml:space="preserve">the </w:t>
      </w:r>
      <w:r w:rsidR="00013C40">
        <w:rPr>
          <w:sz w:val="24"/>
          <w:szCs w:val="24"/>
        </w:rPr>
        <w:t xml:space="preserve">approved burden. </w:t>
      </w:r>
      <w:r>
        <w:rPr>
          <w:sz w:val="24"/>
          <w:szCs w:val="24"/>
        </w:rPr>
        <w:t xml:space="preserve">The burden changes are the result of program </w:t>
      </w:r>
      <w:r w:rsidR="00682D8D">
        <w:rPr>
          <w:sz w:val="24"/>
          <w:szCs w:val="24"/>
        </w:rPr>
        <w:t xml:space="preserve">and inventory </w:t>
      </w:r>
      <w:r>
        <w:rPr>
          <w:sz w:val="24"/>
          <w:szCs w:val="24"/>
        </w:rPr>
        <w:t xml:space="preserve">changes </w:t>
      </w:r>
      <w:r w:rsidR="00682D8D">
        <w:rPr>
          <w:sz w:val="24"/>
          <w:szCs w:val="24"/>
        </w:rPr>
        <w:t>that</w:t>
      </w:r>
      <w:r>
        <w:rPr>
          <w:sz w:val="24"/>
          <w:szCs w:val="24"/>
        </w:rPr>
        <w:t xml:space="preserve"> affect well operators and the agencies that oversee them</w:t>
      </w:r>
      <w:r w:rsidR="00F84502">
        <w:rPr>
          <w:sz w:val="24"/>
          <w:szCs w:val="24"/>
        </w:rPr>
        <w:t xml:space="preserve">. </w:t>
      </w:r>
    </w:p>
    <w:p w:rsidR="002A2740" w:rsidP="000A57AF" w:rsidRDefault="002A2740" w14:paraId="425A6D6B"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41F3A" w:rsidP="002952F4" w:rsidRDefault="00741F3A" w14:paraId="22248C7F" w14:textId="77777777">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lastRenderedPageBreak/>
        <w:t>Program Changes</w:t>
      </w:r>
    </w:p>
    <w:p w:rsidR="00BF7A28" w:rsidP="002952F4" w:rsidRDefault="00BF7A28" w14:paraId="6F2EA9D1" w14:textId="77777777">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6061" w:rsidR="00B11F08" w:rsidP="00B11F08" w:rsidRDefault="00B11F08" w14:paraId="0BF9AE0D" w14:textId="77777777">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name="OLE_LINK1" w:id="94"/>
      <w:bookmarkStart w:name="OLE_LINK2" w:id="95"/>
      <w:r>
        <w:rPr>
          <w:sz w:val="24"/>
          <w:szCs w:val="24"/>
        </w:rPr>
        <w:tab/>
        <w:t>The following p</w:t>
      </w:r>
      <w:r w:rsidRPr="00466061">
        <w:rPr>
          <w:sz w:val="24"/>
          <w:szCs w:val="24"/>
        </w:rPr>
        <w:t xml:space="preserve">rogram changes affect the UIC reporting burden in this </w:t>
      </w:r>
      <w:r>
        <w:rPr>
          <w:sz w:val="24"/>
          <w:szCs w:val="24"/>
        </w:rPr>
        <w:t>ICR:</w:t>
      </w:r>
    </w:p>
    <w:p w:rsidRPr="00466061" w:rsidR="00741F3A" w:rsidP="00741F3A" w:rsidRDefault="00741F3A" w14:paraId="635203A6" w14:textId="77777777">
      <w:pPr>
        <w:keepNext/>
        <w:keepLines/>
        <w:widowControl w:val="0"/>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522A0E" w:rsidR="00D477F4" w:rsidP="00336248" w:rsidRDefault="00CF1CC7" w14:paraId="5C62DAE2" w14:textId="0CB2295F">
      <w:pPr>
        <w:keepNext/>
        <w:keepLines/>
        <w:widowControl w:val="0"/>
        <w:numPr>
          <w:ilvl w:val="0"/>
          <w:numId w:val="6"/>
        </w:numPr>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120"/>
        <w:rPr>
          <w:sz w:val="24"/>
          <w:szCs w:val="24"/>
        </w:rPr>
      </w:pPr>
      <w:bookmarkStart w:name="_Hlk523291078" w:id="96"/>
      <w:bookmarkStart w:name="_Hlk508720048" w:id="97"/>
      <w:r w:rsidRPr="00951CA7">
        <w:rPr>
          <w:i/>
          <w:sz w:val="24"/>
          <w:szCs w:val="24"/>
        </w:rPr>
        <w:t>Revisions to owner or operator reporting forms</w:t>
      </w:r>
      <w:r w:rsidRPr="00951CA7" w:rsidR="00EE7C06">
        <w:rPr>
          <w:i/>
          <w:sz w:val="24"/>
          <w:szCs w:val="24"/>
        </w:rPr>
        <w:t xml:space="preserve">. </w:t>
      </w:r>
      <w:r w:rsidRPr="003841EB" w:rsidR="003841EB">
        <w:rPr>
          <w:sz w:val="24"/>
          <w:szCs w:val="24"/>
        </w:rPr>
        <w:t xml:space="preserve"> </w:t>
      </w:r>
      <w:r w:rsidR="003841EB">
        <w:rPr>
          <w:sz w:val="24"/>
          <w:szCs w:val="24"/>
        </w:rPr>
        <w:t xml:space="preserve">EPA </w:t>
      </w:r>
      <w:r w:rsidRPr="00271D7D" w:rsidR="003841EB">
        <w:rPr>
          <w:sz w:val="24"/>
          <w:szCs w:val="24"/>
        </w:rPr>
        <w:t xml:space="preserve">created an electronic version of the 7520-16 </w:t>
      </w:r>
      <w:r w:rsidR="003841EB">
        <w:rPr>
          <w:sz w:val="24"/>
          <w:szCs w:val="24"/>
        </w:rPr>
        <w:t>(Class V</w:t>
      </w:r>
      <w:r w:rsidRPr="00271D7D" w:rsidR="003841EB">
        <w:rPr>
          <w:sz w:val="24"/>
          <w:szCs w:val="24"/>
        </w:rPr>
        <w:t xml:space="preserve"> Inventory</w:t>
      </w:r>
      <w:r w:rsidR="003841EB">
        <w:rPr>
          <w:sz w:val="24"/>
          <w:szCs w:val="24"/>
        </w:rPr>
        <w:t xml:space="preserve">) </w:t>
      </w:r>
      <w:r w:rsidRPr="00271D7D" w:rsidR="003841EB">
        <w:rPr>
          <w:sz w:val="24"/>
          <w:szCs w:val="24"/>
        </w:rPr>
        <w:t>form</w:t>
      </w:r>
      <w:r w:rsidR="003841EB">
        <w:rPr>
          <w:sz w:val="24"/>
          <w:szCs w:val="24"/>
        </w:rPr>
        <w:t xml:space="preserve"> to allow </w:t>
      </w:r>
      <w:r w:rsidRPr="00271D7D" w:rsidR="003841EB">
        <w:rPr>
          <w:sz w:val="24"/>
          <w:szCs w:val="24"/>
        </w:rPr>
        <w:t xml:space="preserve">operators of Class V wells </w:t>
      </w:r>
      <w:r w:rsidR="003841EB">
        <w:rPr>
          <w:sz w:val="24"/>
          <w:szCs w:val="24"/>
        </w:rPr>
        <w:t xml:space="preserve">to </w:t>
      </w:r>
      <w:r w:rsidRPr="00271D7D" w:rsidR="003841EB">
        <w:rPr>
          <w:sz w:val="24"/>
          <w:szCs w:val="24"/>
        </w:rPr>
        <w:t>report electronically rather than via hard copy form submission</w:t>
      </w:r>
      <w:r w:rsidR="003841EB">
        <w:rPr>
          <w:sz w:val="24"/>
          <w:szCs w:val="24"/>
        </w:rPr>
        <w:t xml:space="preserve">. </w:t>
      </w:r>
      <w:r w:rsidRPr="00951CA7" w:rsidR="009C46F3">
        <w:rPr>
          <w:sz w:val="24"/>
          <w:szCs w:val="24"/>
        </w:rPr>
        <w:t xml:space="preserve">EPA </w:t>
      </w:r>
      <w:r w:rsidR="003841EB">
        <w:rPr>
          <w:sz w:val="24"/>
          <w:szCs w:val="24"/>
        </w:rPr>
        <w:t xml:space="preserve">also </w:t>
      </w:r>
      <w:r w:rsidR="009B6243">
        <w:rPr>
          <w:sz w:val="24"/>
          <w:szCs w:val="24"/>
        </w:rPr>
        <w:t>made minor</w:t>
      </w:r>
      <w:r w:rsidR="003841EB">
        <w:rPr>
          <w:sz w:val="24"/>
          <w:szCs w:val="24"/>
        </w:rPr>
        <w:t>, clarifying</w:t>
      </w:r>
      <w:r w:rsidR="009B6243">
        <w:rPr>
          <w:sz w:val="24"/>
          <w:szCs w:val="24"/>
        </w:rPr>
        <w:t xml:space="preserve"> </w:t>
      </w:r>
      <w:r w:rsidRPr="00951CA7" w:rsidR="00375BA6">
        <w:rPr>
          <w:sz w:val="24"/>
          <w:szCs w:val="24"/>
        </w:rPr>
        <w:t>revis</w:t>
      </w:r>
      <w:r w:rsidR="009B6243">
        <w:rPr>
          <w:sz w:val="24"/>
          <w:szCs w:val="24"/>
        </w:rPr>
        <w:t xml:space="preserve">ions </w:t>
      </w:r>
      <w:r w:rsidR="003841EB">
        <w:rPr>
          <w:sz w:val="24"/>
          <w:szCs w:val="24"/>
        </w:rPr>
        <w:t>to o</w:t>
      </w:r>
      <w:r w:rsidRPr="00951CA7" w:rsidR="00375BA6">
        <w:rPr>
          <w:sz w:val="24"/>
          <w:szCs w:val="24"/>
        </w:rPr>
        <w:t>the</w:t>
      </w:r>
      <w:r w:rsidR="003841EB">
        <w:rPr>
          <w:sz w:val="24"/>
          <w:szCs w:val="24"/>
        </w:rPr>
        <w:t>r</w:t>
      </w:r>
      <w:r w:rsidRPr="00951CA7" w:rsidR="00375BA6">
        <w:rPr>
          <w:sz w:val="24"/>
          <w:szCs w:val="24"/>
        </w:rPr>
        <w:t xml:space="preserve"> reporting forms submitted by injection well owners or operators</w:t>
      </w:r>
      <w:r w:rsidRPr="00336248" w:rsidR="00336248">
        <w:rPr>
          <w:sz w:val="24"/>
          <w:szCs w:val="24"/>
        </w:rPr>
        <w:t>. These changes will</w:t>
      </w:r>
      <w:r w:rsidR="00FC413B">
        <w:rPr>
          <w:sz w:val="24"/>
          <w:szCs w:val="24"/>
        </w:rPr>
        <w:t>:</w:t>
      </w:r>
      <w:r w:rsidRPr="00336248" w:rsidR="00336248">
        <w:rPr>
          <w:sz w:val="24"/>
          <w:szCs w:val="24"/>
        </w:rPr>
        <w:t xml:space="preserve"> reduce the burden necessary to complete the forms; improve the likelihood that the forms will be submitted correctly </w:t>
      </w:r>
      <w:r w:rsidR="00FC413B">
        <w:rPr>
          <w:sz w:val="24"/>
          <w:szCs w:val="24"/>
        </w:rPr>
        <w:t xml:space="preserve">to </w:t>
      </w:r>
      <w:r w:rsidRPr="00336248" w:rsidR="00336248">
        <w:rPr>
          <w:sz w:val="24"/>
          <w:szCs w:val="24"/>
        </w:rPr>
        <w:t>reduce the time to process UIC requests; and simplify the reporting process.</w:t>
      </w:r>
      <w:r w:rsidR="00336248">
        <w:rPr>
          <w:sz w:val="24"/>
          <w:szCs w:val="24"/>
        </w:rPr>
        <w:t xml:space="preserve"> </w:t>
      </w:r>
      <w:r w:rsidRPr="001F4497" w:rsidR="00FD19A6">
        <w:rPr>
          <w:sz w:val="24"/>
          <w:szCs w:val="24"/>
        </w:rPr>
        <w:t xml:space="preserve">EPA estimates </w:t>
      </w:r>
      <w:r w:rsidRPr="001F4497" w:rsidR="00196F99">
        <w:rPr>
          <w:sz w:val="24"/>
          <w:szCs w:val="24"/>
        </w:rPr>
        <w:t xml:space="preserve">that </w:t>
      </w:r>
      <w:r w:rsidRPr="001F4497" w:rsidR="00375BA6">
        <w:rPr>
          <w:sz w:val="24"/>
          <w:szCs w:val="24"/>
        </w:rPr>
        <w:t xml:space="preserve">these changes will reduce </w:t>
      </w:r>
      <w:r w:rsidR="001B1EA6">
        <w:rPr>
          <w:sz w:val="24"/>
          <w:szCs w:val="24"/>
        </w:rPr>
        <w:t xml:space="preserve">the burden to </w:t>
      </w:r>
      <w:r w:rsidRPr="001F4497" w:rsidR="00375BA6">
        <w:rPr>
          <w:sz w:val="24"/>
          <w:szCs w:val="24"/>
        </w:rPr>
        <w:t>owner</w:t>
      </w:r>
      <w:r w:rsidR="001B1EA6">
        <w:rPr>
          <w:sz w:val="24"/>
          <w:szCs w:val="24"/>
        </w:rPr>
        <w:t>s</w:t>
      </w:r>
      <w:r w:rsidRPr="001F4497" w:rsidR="00375BA6">
        <w:rPr>
          <w:sz w:val="24"/>
          <w:szCs w:val="24"/>
        </w:rPr>
        <w:t xml:space="preserve"> or operator</w:t>
      </w:r>
      <w:r w:rsidR="001B1EA6">
        <w:rPr>
          <w:sz w:val="24"/>
          <w:szCs w:val="24"/>
        </w:rPr>
        <w:t>s</w:t>
      </w:r>
      <w:r w:rsidRPr="001F4497" w:rsidR="00375BA6">
        <w:rPr>
          <w:sz w:val="24"/>
          <w:szCs w:val="24"/>
        </w:rPr>
        <w:t xml:space="preserve"> </w:t>
      </w:r>
      <w:r w:rsidRPr="00522A0E" w:rsidR="00375BA6">
        <w:rPr>
          <w:sz w:val="24"/>
          <w:szCs w:val="24"/>
        </w:rPr>
        <w:t xml:space="preserve">by </w:t>
      </w:r>
      <w:r w:rsidR="00C74EB7">
        <w:rPr>
          <w:sz w:val="24"/>
          <w:szCs w:val="24"/>
        </w:rPr>
        <w:t>240</w:t>
      </w:r>
      <w:r w:rsidRPr="00522A0E" w:rsidR="00522A0E">
        <w:rPr>
          <w:sz w:val="24"/>
          <w:szCs w:val="24"/>
        </w:rPr>
        <w:t xml:space="preserve"> </w:t>
      </w:r>
      <w:r w:rsidRPr="00522A0E" w:rsidR="00375BA6">
        <w:rPr>
          <w:sz w:val="24"/>
          <w:szCs w:val="24"/>
        </w:rPr>
        <w:t>hours annually</w:t>
      </w:r>
      <w:r w:rsidR="009D2234">
        <w:rPr>
          <w:sz w:val="24"/>
          <w:szCs w:val="24"/>
        </w:rPr>
        <w:t>.</w:t>
      </w:r>
    </w:p>
    <w:bookmarkEnd w:id="96"/>
    <w:p w:rsidRPr="00951CA7" w:rsidR="009721F5" w:rsidP="009721F5" w:rsidRDefault="009721F5" w14:paraId="7A7DFECD" w14:textId="2CABE428">
      <w:pPr>
        <w:widowControl w:val="0"/>
        <w:numPr>
          <w:ilvl w:val="0"/>
          <w:numId w:val="6"/>
        </w:numPr>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120"/>
        <w:rPr>
          <w:sz w:val="24"/>
          <w:szCs w:val="24"/>
        </w:rPr>
      </w:pPr>
      <w:r w:rsidRPr="00951CA7">
        <w:rPr>
          <w:i/>
          <w:sz w:val="24"/>
          <w:szCs w:val="24"/>
        </w:rPr>
        <w:t>State primacy changes.</w:t>
      </w:r>
      <w:r w:rsidRPr="00951CA7">
        <w:rPr>
          <w:sz w:val="24"/>
          <w:szCs w:val="24"/>
        </w:rPr>
        <w:t xml:space="preserve"> Since approval of the last ICR, </w:t>
      </w:r>
      <w:r>
        <w:rPr>
          <w:sz w:val="24"/>
          <w:szCs w:val="24"/>
        </w:rPr>
        <w:t>Wyoming</w:t>
      </w:r>
      <w:r w:rsidRPr="00A22206">
        <w:rPr>
          <w:sz w:val="24"/>
          <w:szCs w:val="24"/>
        </w:rPr>
        <w:t xml:space="preserve"> has been granted Class VI primacy</w:t>
      </w:r>
      <w:r>
        <w:rPr>
          <w:sz w:val="24"/>
          <w:szCs w:val="24"/>
        </w:rPr>
        <w:t>, and EPA expects that three additional states will apply for an</w:t>
      </w:r>
      <w:r w:rsidR="005C644F">
        <w:rPr>
          <w:sz w:val="24"/>
          <w:szCs w:val="24"/>
        </w:rPr>
        <w:t>d</w:t>
      </w:r>
      <w:r>
        <w:rPr>
          <w:sz w:val="24"/>
          <w:szCs w:val="24"/>
        </w:rPr>
        <w:t xml:space="preserve"> receive Class VI primacy over the next 3 years</w:t>
      </w:r>
      <w:r w:rsidRPr="006F733D">
        <w:rPr>
          <w:sz w:val="24"/>
          <w:szCs w:val="24"/>
        </w:rPr>
        <w:t xml:space="preserve">. </w:t>
      </w:r>
      <w:r>
        <w:rPr>
          <w:sz w:val="24"/>
          <w:szCs w:val="24"/>
        </w:rPr>
        <w:t xml:space="preserve">EPA estimates that this </w:t>
      </w:r>
      <w:r w:rsidRPr="006F733D">
        <w:rPr>
          <w:sz w:val="24"/>
          <w:szCs w:val="24"/>
        </w:rPr>
        <w:t>change</w:t>
      </w:r>
      <w:r>
        <w:rPr>
          <w:sz w:val="24"/>
          <w:szCs w:val="24"/>
        </w:rPr>
        <w:t xml:space="preserve"> will </w:t>
      </w:r>
      <w:r w:rsidRPr="006F733D">
        <w:rPr>
          <w:sz w:val="24"/>
          <w:szCs w:val="24"/>
        </w:rPr>
        <w:t xml:space="preserve">add approximately </w:t>
      </w:r>
      <w:r>
        <w:rPr>
          <w:sz w:val="24"/>
          <w:szCs w:val="24"/>
        </w:rPr>
        <w:t>4,160</w:t>
      </w:r>
      <w:r w:rsidRPr="00A22206">
        <w:rPr>
          <w:sz w:val="24"/>
          <w:szCs w:val="24"/>
        </w:rPr>
        <w:t xml:space="preserve"> hours</w:t>
      </w:r>
      <w:r w:rsidRPr="006F733D">
        <w:rPr>
          <w:sz w:val="24"/>
          <w:szCs w:val="24"/>
        </w:rPr>
        <w:t xml:space="preserve"> to the</w:t>
      </w:r>
      <w:r>
        <w:rPr>
          <w:sz w:val="24"/>
          <w:szCs w:val="24"/>
        </w:rPr>
        <w:t xml:space="preserve"> total burden to primacy agencies for overseeing injection well operators. (This burden was formerly incurred by EPA.)</w:t>
      </w:r>
    </w:p>
    <w:bookmarkEnd w:id="94"/>
    <w:bookmarkEnd w:id="95"/>
    <w:p w:rsidR="00951CA7" w:rsidP="009E6656" w:rsidRDefault="00AC6F17" w14:paraId="172FD9B7" w14:textId="1BB3945D">
      <w:pPr>
        <w:widowControl w:val="0"/>
        <w:numPr>
          <w:ilvl w:val="0"/>
          <w:numId w:val="6"/>
        </w:numPr>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120"/>
        <w:rPr>
          <w:sz w:val="24"/>
          <w:szCs w:val="24"/>
        </w:rPr>
      </w:pPr>
      <w:r>
        <w:rPr>
          <w:i/>
          <w:sz w:val="24"/>
          <w:szCs w:val="24"/>
        </w:rPr>
        <w:t xml:space="preserve">Changes in </w:t>
      </w:r>
      <w:r w:rsidR="000A26DF">
        <w:rPr>
          <w:i/>
          <w:sz w:val="24"/>
          <w:szCs w:val="24"/>
        </w:rPr>
        <w:t xml:space="preserve">reporting of </w:t>
      </w:r>
      <w:r w:rsidR="00821CFA">
        <w:rPr>
          <w:i/>
          <w:sz w:val="24"/>
          <w:szCs w:val="24"/>
        </w:rPr>
        <w:t xml:space="preserve">primacy </w:t>
      </w:r>
      <w:r w:rsidR="000A26DF">
        <w:rPr>
          <w:i/>
          <w:sz w:val="24"/>
          <w:szCs w:val="24"/>
        </w:rPr>
        <w:t>state program information.</w:t>
      </w:r>
      <w:r w:rsidR="000A26DF">
        <w:rPr>
          <w:sz w:val="24"/>
          <w:szCs w:val="24"/>
        </w:rPr>
        <w:t xml:space="preserve"> EPA replace</w:t>
      </w:r>
      <w:r w:rsidR="002B0AC4">
        <w:rPr>
          <w:sz w:val="24"/>
          <w:szCs w:val="24"/>
        </w:rPr>
        <w:t>d</w:t>
      </w:r>
      <w:r w:rsidR="00951CA7">
        <w:rPr>
          <w:sz w:val="24"/>
          <w:szCs w:val="24"/>
        </w:rPr>
        <w:t xml:space="preserve"> reporting via </w:t>
      </w:r>
      <w:r w:rsidRPr="00951CA7" w:rsidR="0092210C">
        <w:rPr>
          <w:sz w:val="24"/>
          <w:szCs w:val="24"/>
        </w:rPr>
        <w:t xml:space="preserve">the </w:t>
      </w:r>
      <w:r w:rsidRPr="00951CA7" w:rsidR="002217C3">
        <w:rPr>
          <w:sz w:val="24"/>
          <w:szCs w:val="24"/>
        </w:rPr>
        <w:t xml:space="preserve">National UIC </w:t>
      </w:r>
      <w:r w:rsidR="00FC413B">
        <w:rPr>
          <w:sz w:val="24"/>
          <w:szCs w:val="24"/>
        </w:rPr>
        <w:t>D</w:t>
      </w:r>
      <w:r w:rsidRPr="00951CA7" w:rsidR="002217C3">
        <w:rPr>
          <w:sz w:val="24"/>
          <w:szCs w:val="24"/>
        </w:rPr>
        <w:t>ata</w:t>
      </w:r>
      <w:r w:rsidR="00FC413B">
        <w:rPr>
          <w:sz w:val="24"/>
          <w:szCs w:val="24"/>
        </w:rPr>
        <w:t xml:space="preserve"> B</w:t>
      </w:r>
      <w:r w:rsidRPr="00951CA7" w:rsidR="002217C3">
        <w:rPr>
          <w:sz w:val="24"/>
          <w:szCs w:val="24"/>
        </w:rPr>
        <w:t xml:space="preserve">ase </w:t>
      </w:r>
      <w:r w:rsidR="0048681E">
        <w:rPr>
          <w:sz w:val="24"/>
          <w:szCs w:val="24"/>
        </w:rPr>
        <w:t xml:space="preserve">with </w:t>
      </w:r>
      <w:r w:rsidR="00951CA7">
        <w:rPr>
          <w:sz w:val="24"/>
          <w:szCs w:val="24"/>
        </w:rPr>
        <w:t xml:space="preserve">a </w:t>
      </w:r>
      <w:r w:rsidRPr="00951CA7" w:rsidR="00951CA7">
        <w:rPr>
          <w:sz w:val="24"/>
          <w:szCs w:val="24"/>
        </w:rPr>
        <w:t xml:space="preserve">streamlined web-based reporting approach. </w:t>
      </w:r>
      <w:r w:rsidR="00404F25">
        <w:rPr>
          <w:sz w:val="24"/>
          <w:szCs w:val="24"/>
        </w:rPr>
        <w:t xml:space="preserve">EPA estimates that the new web-based system will reduce the </w:t>
      </w:r>
      <w:r w:rsidR="00951CA7">
        <w:rPr>
          <w:sz w:val="24"/>
          <w:szCs w:val="24"/>
        </w:rPr>
        <w:t xml:space="preserve">burden to </w:t>
      </w:r>
      <w:r w:rsidR="006F733D">
        <w:rPr>
          <w:sz w:val="24"/>
          <w:szCs w:val="24"/>
        </w:rPr>
        <w:t xml:space="preserve">all </w:t>
      </w:r>
      <w:r w:rsidR="00821CFA">
        <w:rPr>
          <w:sz w:val="24"/>
          <w:szCs w:val="24"/>
        </w:rPr>
        <w:t xml:space="preserve">primacy </w:t>
      </w:r>
      <w:r w:rsidR="00951CA7">
        <w:rPr>
          <w:sz w:val="24"/>
          <w:szCs w:val="24"/>
        </w:rPr>
        <w:t xml:space="preserve">states as reporters </w:t>
      </w:r>
      <w:r w:rsidR="00404F25">
        <w:rPr>
          <w:sz w:val="24"/>
          <w:szCs w:val="24"/>
        </w:rPr>
        <w:t>by</w:t>
      </w:r>
      <w:r w:rsidRPr="00522A0E" w:rsidR="00BA5292">
        <w:rPr>
          <w:sz w:val="24"/>
          <w:szCs w:val="24"/>
        </w:rPr>
        <w:t xml:space="preserve"> </w:t>
      </w:r>
      <w:r w:rsidRPr="00AC6F17" w:rsidR="001B1EA6">
        <w:rPr>
          <w:sz w:val="24"/>
          <w:szCs w:val="24"/>
        </w:rPr>
        <w:t xml:space="preserve">about </w:t>
      </w:r>
      <w:r w:rsidR="00C74EB7">
        <w:rPr>
          <w:sz w:val="24"/>
          <w:szCs w:val="24"/>
        </w:rPr>
        <w:t>826</w:t>
      </w:r>
      <w:r w:rsidR="00404F25">
        <w:rPr>
          <w:sz w:val="24"/>
          <w:szCs w:val="24"/>
        </w:rPr>
        <w:t xml:space="preserve"> </w:t>
      </w:r>
      <w:r w:rsidRPr="00522A0E" w:rsidR="00BA5292">
        <w:rPr>
          <w:sz w:val="24"/>
          <w:szCs w:val="24"/>
        </w:rPr>
        <w:t>hours</w:t>
      </w:r>
      <w:r w:rsidRPr="00951CA7" w:rsidR="00BA5292">
        <w:rPr>
          <w:sz w:val="24"/>
          <w:szCs w:val="24"/>
        </w:rPr>
        <w:t xml:space="preserve"> annually. </w:t>
      </w:r>
    </w:p>
    <w:bookmarkEnd w:id="97"/>
    <w:p w:rsidR="00741F3A" w:rsidP="00BF7A28" w:rsidRDefault="00741F3A" w14:paraId="5BF44EDF" w14:textId="77777777">
      <w:pPr>
        <w:widowControl w:val="0"/>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sz w:val="24"/>
          <w:szCs w:val="24"/>
        </w:rPr>
      </w:pPr>
    </w:p>
    <w:p w:rsidR="00B11F08" w:rsidP="00404F25" w:rsidRDefault="00B11F08" w14:paraId="36DCC59D"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Adjustments</w:t>
      </w:r>
    </w:p>
    <w:p w:rsidR="00741F3A" w:rsidP="00404F25" w:rsidRDefault="00741F3A" w14:paraId="202A18F1"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41F3A" w:rsidP="00404F25" w:rsidRDefault="0097308D" w14:paraId="0A0B9073" w14:textId="30538BAB">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741F3A">
        <w:rPr>
          <w:sz w:val="24"/>
          <w:szCs w:val="24"/>
        </w:rPr>
        <w:t xml:space="preserve">Adjustments that affect the UIC reporting burden in this ICR </w:t>
      </w:r>
      <w:r w:rsidR="006F4D10">
        <w:rPr>
          <w:sz w:val="24"/>
          <w:szCs w:val="24"/>
        </w:rPr>
        <w:t xml:space="preserve">reflect the number of respondents anticipated to perform various activities. None of the unit burdens for any of the activities changed, however. These adjustments </w:t>
      </w:r>
      <w:r w:rsidR="00741F3A">
        <w:rPr>
          <w:sz w:val="24"/>
          <w:szCs w:val="24"/>
        </w:rPr>
        <w:t xml:space="preserve">include the following: </w:t>
      </w:r>
    </w:p>
    <w:p w:rsidR="000A7332" w:rsidP="00404F25" w:rsidRDefault="000A7332" w14:paraId="78B13669" w14:textId="77777777">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15E46" w:rsidR="005405B9" w:rsidP="005405B9" w:rsidRDefault="005405B9" w14:paraId="1A7DE45D" w14:textId="5FA0B5A8">
      <w:pPr>
        <w:pStyle w:val="ListParagraph"/>
        <w:keepNext/>
        <w:keepLines/>
        <w:numPr>
          <w:ilvl w:val="0"/>
          <w:numId w:val="5"/>
        </w:numPr>
        <w:spacing w:after="120"/>
        <w:rPr>
          <w:sz w:val="24"/>
          <w:szCs w:val="24"/>
        </w:rPr>
      </w:pPr>
      <w:bookmarkStart w:name="_Hlk508275105" w:id="98"/>
      <w:r>
        <w:rPr>
          <w:i/>
          <w:iCs/>
          <w:sz w:val="24"/>
          <w:szCs w:val="24"/>
        </w:rPr>
        <w:t xml:space="preserve">Increased </w:t>
      </w:r>
      <w:r w:rsidRPr="007E1148">
        <w:rPr>
          <w:i/>
          <w:iCs/>
          <w:sz w:val="24"/>
          <w:szCs w:val="24"/>
        </w:rPr>
        <w:t>permitting</w:t>
      </w:r>
      <w:r>
        <w:rPr>
          <w:i/>
          <w:iCs/>
          <w:sz w:val="24"/>
          <w:szCs w:val="24"/>
        </w:rPr>
        <w:t xml:space="preserve"> activities</w:t>
      </w:r>
      <w:r>
        <w:rPr>
          <w:sz w:val="24"/>
          <w:szCs w:val="24"/>
        </w:rPr>
        <w:t xml:space="preserve">. </w:t>
      </w:r>
      <w:r w:rsidR="00FC413B">
        <w:rPr>
          <w:sz w:val="24"/>
          <w:szCs w:val="24"/>
        </w:rPr>
        <w:t xml:space="preserve">Permitting is </w:t>
      </w:r>
      <w:r w:rsidRPr="00D15E46" w:rsidR="00FC413B">
        <w:rPr>
          <w:sz w:val="24"/>
          <w:szCs w:val="24"/>
        </w:rPr>
        <w:t xml:space="preserve">the most burdensome activity </w:t>
      </w:r>
      <w:r w:rsidR="00FC413B">
        <w:rPr>
          <w:sz w:val="24"/>
          <w:szCs w:val="24"/>
        </w:rPr>
        <w:t xml:space="preserve">that is performed </w:t>
      </w:r>
      <w:r w:rsidRPr="00D15E46" w:rsidR="00FC413B">
        <w:rPr>
          <w:sz w:val="24"/>
          <w:szCs w:val="24"/>
        </w:rPr>
        <w:t xml:space="preserve">by </w:t>
      </w:r>
      <w:r w:rsidR="00FC413B">
        <w:rPr>
          <w:sz w:val="24"/>
          <w:szCs w:val="24"/>
        </w:rPr>
        <w:t xml:space="preserve">injection well </w:t>
      </w:r>
      <w:r w:rsidRPr="00D15E46" w:rsidR="00FC413B">
        <w:rPr>
          <w:sz w:val="24"/>
          <w:szCs w:val="24"/>
        </w:rPr>
        <w:t>operators</w:t>
      </w:r>
      <w:r w:rsidR="00FC413B">
        <w:rPr>
          <w:sz w:val="24"/>
          <w:szCs w:val="24"/>
        </w:rPr>
        <w:t xml:space="preserve">. </w:t>
      </w:r>
      <w:r w:rsidRPr="007E1148">
        <w:rPr>
          <w:sz w:val="24"/>
          <w:szCs w:val="24"/>
        </w:rPr>
        <w:t>There is anticipated to be a significant increase in the number of Class VI permit applications over the next 3 years</w:t>
      </w:r>
      <w:r>
        <w:rPr>
          <w:sz w:val="24"/>
          <w:szCs w:val="24"/>
        </w:rPr>
        <w:t xml:space="preserve"> in anticipation of a tax credit for geologic sequestration projects</w:t>
      </w:r>
      <w:r w:rsidRPr="007E1148">
        <w:rPr>
          <w:sz w:val="24"/>
          <w:szCs w:val="24"/>
        </w:rPr>
        <w:t xml:space="preserve">. The burden and cost associated with preparing </w:t>
      </w:r>
      <w:r>
        <w:rPr>
          <w:sz w:val="24"/>
          <w:szCs w:val="24"/>
        </w:rPr>
        <w:t xml:space="preserve">Class VI permit </w:t>
      </w:r>
      <w:r w:rsidRPr="007E1148">
        <w:rPr>
          <w:sz w:val="24"/>
          <w:szCs w:val="24"/>
        </w:rPr>
        <w:t xml:space="preserve">applications and reviewing them is higher than for any other well class. This added about </w:t>
      </w:r>
      <w:r w:rsidRPr="00C74EB7" w:rsidR="00C74EB7">
        <w:rPr>
          <w:sz w:val="24"/>
          <w:szCs w:val="24"/>
        </w:rPr>
        <w:t>44,121</w:t>
      </w:r>
      <w:r w:rsidR="00C74EB7">
        <w:rPr>
          <w:sz w:val="24"/>
          <w:szCs w:val="24"/>
        </w:rPr>
        <w:t xml:space="preserve"> </w:t>
      </w:r>
      <w:r w:rsidRPr="007E1148">
        <w:rPr>
          <w:sz w:val="24"/>
          <w:szCs w:val="24"/>
        </w:rPr>
        <w:t>hours to the operator burden estimate.</w:t>
      </w:r>
      <w:r>
        <w:rPr>
          <w:sz w:val="24"/>
          <w:szCs w:val="24"/>
        </w:rPr>
        <w:t xml:space="preserve"> Additionally, EPA revised its a</w:t>
      </w:r>
      <w:r w:rsidRPr="00FD19A6">
        <w:rPr>
          <w:sz w:val="24"/>
          <w:szCs w:val="24"/>
        </w:rPr>
        <w:t xml:space="preserve">ssumptions about the number of </w:t>
      </w:r>
      <w:r>
        <w:rPr>
          <w:sz w:val="24"/>
          <w:szCs w:val="24"/>
        </w:rPr>
        <w:t>Class I, Class II, and Class III permit applications submitted</w:t>
      </w:r>
      <w:r w:rsidR="001145C7">
        <w:rPr>
          <w:sz w:val="24"/>
          <w:szCs w:val="24"/>
        </w:rPr>
        <w:t>,</w:t>
      </w:r>
      <w:r>
        <w:rPr>
          <w:sz w:val="24"/>
          <w:szCs w:val="24"/>
        </w:rPr>
        <w:t xml:space="preserve"> which are estimated to add </w:t>
      </w:r>
      <w:r w:rsidRPr="00C74EB7" w:rsidR="00C74EB7">
        <w:rPr>
          <w:sz w:val="24"/>
          <w:szCs w:val="24"/>
        </w:rPr>
        <w:t>285,529</w:t>
      </w:r>
      <w:r>
        <w:rPr>
          <w:sz w:val="24"/>
          <w:szCs w:val="24"/>
        </w:rPr>
        <w:t xml:space="preserve"> hours to the total annual burden</w:t>
      </w:r>
      <w:r w:rsidR="00FC413B">
        <w:rPr>
          <w:sz w:val="24"/>
          <w:szCs w:val="24"/>
        </w:rPr>
        <w:t xml:space="preserve"> for these operators</w:t>
      </w:r>
      <w:r>
        <w:rPr>
          <w:sz w:val="24"/>
          <w:szCs w:val="24"/>
        </w:rPr>
        <w:t>.</w:t>
      </w:r>
      <w:r w:rsidRPr="005405B9">
        <w:rPr>
          <w:sz w:val="24"/>
          <w:szCs w:val="24"/>
        </w:rPr>
        <w:t xml:space="preserve"> </w:t>
      </w:r>
    </w:p>
    <w:p w:rsidR="007E1148" w:rsidP="00404F25" w:rsidRDefault="005A45D4" w14:paraId="20DFE21F" w14:textId="1576C3D2">
      <w:pPr>
        <w:pStyle w:val="ListParagraph"/>
        <w:numPr>
          <w:ilvl w:val="0"/>
          <w:numId w:val="5"/>
        </w:numPr>
        <w:spacing w:after="120"/>
        <w:rPr>
          <w:sz w:val="24"/>
          <w:szCs w:val="24"/>
        </w:rPr>
      </w:pPr>
      <w:r w:rsidRPr="00D15E46">
        <w:rPr>
          <w:i/>
          <w:sz w:val="24"/>
          <w:szCs w:val="24"/>
        </w:rPr>
        <w:t xml:space="preserve">Inventory changes. </w:t>
      </w:r>
      <w:r w:rsidRPr="00D15E46">
        <w:rPr>
          <w:sz w:val="24"/>
          <w:szCs w:val="24"/>
        </w:rPr>
        <w:t xml:space="preserve">Between </w:t>
      </w:r>
      <w:r w:rsidRPr="00D15E46" w:rsidR="00D15E46">
        <w:rPr>
          <w:sz w:val="24"/>
          <w:szCs w:val="24"/>
        </w:rPr>
        <w:t>201</w:t>
      </w:r>
      <w:r w:rsidR="007E1148">
        <w:rPr>
          <w:sz w:val="24"/>
          <w:szCs w:val="24"/>
        </w:rPr>
        <w:t>7</w:t>
      </w:r>
      <w:r w:rsidRPr="00D15E46" w:rsidR="00D15E46">
        <w:rPr>
          <w:sz w:val="24"/>
          <w:szCs w:val="24"/>
        </w:rPr>
        <w:t xml:space="preserve"> and 20</w:t>
      </w:r>
      <w:r w:rsidR="007E1148">
        <w:rPr>
          <w:sz w:val="24"/>
          <w:szCs w:val="24"/>
        </w:rPr>
        <w:t>20</w:t>
      </w:r>
      <w:r w:rsidRPr="00D15E46" w:rsidR="00D15E46">
        <w:rPr>
          <w:sz w:val="24"/>
          <w:szCs w:val="24"/>
        </w:rPr>
        <w:t xml:space="preserve">, the national injection well inventory </w:t>
      </w:r>
      <w:r w:rsidR="00561C6F">
        <w:rPr>
          <w:sz w:val="24"/>
          <w:szCs w:val="24"/>
        </w:rPr>
        <w:t>de</w:t>
      </w:r>
      <w:r w:rsidRPr="00D15E46" w:rsidR="00D15E46">
        <w:rPr>
          <w:sz w:val="24"/>
          <w:szCs w:val="24"/>
        </w:rPr>
        <w:t xml:space="preserve">creased by approximately </w:t>
      </w:r>
      <w:r w:rsidR="00561C6F">
        <w:rPr>
          <w:sz w:val="24"/>
          <w:szCs w:val="24"/>
        </w:rPr>
        <w:t>5</w:t>
      </w:r>
      <w:r w:rsidRPr="00D15E46" w:rsidR="00D15E46">
        <w:rPr>
          <w:sz w:val="24"/>
          <w:szCs w:val="24"/>
        </w:rPr>
        <w:t>2,</w:t>
      </w:r>
      <w:r w:rsidR="00561C6F">
        <w:rPr>
          <w:sz w:val="24"/>
          <w:szCs w:val="24"/>
        </w:rPr>
        <w:t>00</w:t>
      </w:r>
      <w:r w:rsidRPr="00D15E46" w:rsidR="00D15E46">
        <w:rPr>
          <w:sz w:val="24"/>
          <w:szCs w:val="24"/>
        </w:rPr>
        <w:t xml:space="preserve">0 wells. </w:t>
      </w:r>
      <w:r w:rsidR="00EA76FF">
        <w:rPr>
          <w:sz w:val="24"/>
          <w:szCs w:val="24"/>
        </w:rPr>
        <w:t xml:space="preserve">The </w:t>
      </w:r>
      <w:r w:rsidRPr="00D15E46" w:rsidR="00D15E46">
        <w:rPr>
          <w:sz w:val="24"/>
          <w:szCs w:val="24"/>
        </w:rPr>
        <w:t xml:space="preserve">inventory affects the number of respondents </w:t>
      </w:r>
      <w:r w:rsidR="00EA76FF">
        <w:rPr>
          <w:sz w:val="24"/>
          <w:szCs w:val="24"/>
        </w:rPr>
        <w:t xml:space="preserve">that perform monitoring, reporting, and recordkeeping </w:t>
      </w:r>
      <w:r w:rsidRPr="00D15E46" w:rsidR="00D15E46">
        <w:rPr>
          <w:sz w:val="24"/>
          <w:szCs w:val="24"/>
        </w:rPr>
        <w:t>activit</w:t>
      </w:r>
      <w:r w:rsidR="00EA76FF">
        <w:rPr>
          <w:sz w:val="24"/>
          <w:szCs w:val="24"/>
        </w:rPr>
        <w:t xml:space="preserve">ies over the life of a project. EPA estimates that these changes will reduce the operator burden estimate by </w:t>
      </w:r>
      <w:r w:rsidRPr="00C74EB7" w:rsidR="00C74EB7">
        <w:rPr>
          <w:sz w:val="24"/>
          <w:szCs w:val="24"/>
        </w:rPr>
        <w:t>64,774</w:t>
      </w:r>
      <w:r w:rsidR="00EA76FF">
        <w:rPr>
          <w:sz w:val="24"/>
          <w:szCs w:val="24"/>
        </w:rPr>
        <w:t xml:space="preserve"> hours</w:t>
      </w:r>
      <w:r w:rsidR="001F16F5">
        <w:rPr>
          <w:sz w:val="24"/>
          <w:szCs w:val="24"/>
        </w:rPr>
        <w:t>. M</w:t>
      </w:r>
      <w:r w:rsidR="00EA76FF">
        <w:rPr>
          <w:sz w:val="24"/>
          <w:szCs w:val="24"/>
        </w:rPr>
        <w:t>ost of this is associated with a significant reduction</w:t>
      </w:r>
      <w:r w:rsidRPr="00D15E46" w:rsidR="00D15E46">
        <w:rPr>
          <w:sz w:val="24"/>
          <w:szCs w:val="24"/>
        </w:rPr>
        <w:t xml:space="preserve"> in </w:t>
      </w:r>
      <w:r w:rsidR="00EA76FF">
        <w:rPr>
          <w:sz w:val="24"/>
          <w:szCs w:val="24"/>
        </w:rPr>
        <w:t xml:space="preserve">the </w:t>
      </w:r>
      <w:r w:rsidR="001F16F5">
        <w:rPr>
          <w:sz w:val="24"/>
          <w:szCs w:val="24"/>
        </w:rPr>
        <w:t xml:space="preserve">number of </w:t>
      </w:r>
      <w:r w:rsidRPr="00D15E46" w:rsidR="00D15E46">
        <w:rPr>
          <w:sz w:val="24"/>
          <w:szCs w:val="24"/>
        </w:rPr>
        <w:t xml:space="preserve">Class II </w:t>
      </w:r>
      <w:r w:rsidR="001F16F5">
        <w:rPr>
          <w:sz w:val="24"/>
          <w:szCs w:val="24"/>
        </w:rPr>
        <w:t>operators, which is offset by increases in the number of Class I operators and Class III sites (and associated burden for these respondents)</w:t>
      </w:r>
      <w:r w:rsidR="00CE71A4">
        <w:rPr>
          <w:sz w:val="24"/>
          <w:szCs w:val="24"/>
        </w:rPr>
        <w:t>.</w:t>
      </w:r>
      <w:r w:rsidR="007E1148">
        <w:rPr>
          <w:sz w:val="24"/>
          <w:szCs w:val="24"/>
        </w:rPr>
        <w:t xml:space="preserve"> </w:t>
      </w:r>
    </w:p>
    <w:bookmarkEnd w:id="98"/>
    <w:p w:rsidR="00741F3A" w:rsidP="007631ED" w:rsidRDefault="00741F3A" w14:paraId="16BC64D0" w14:textId="61238186">
      <w:pPr>
        <w:widowControl w:val="0"/>
        <w:numPr>
          <w:ilvl w:val="0"/>
          <w:numId w:val="5"/>
        </w:numPr>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120"/>
        <w:rPr>
          <w:sz w:val="24"/>
          <w:szCs w:val="24"/>
        </w:rPr>
      </w:pPr>
      <w:r w:rsidRPr="003E38D4">
        <w:rPr>
          <w:i/>
          <w:sz w:val="24"/>
          <w:szCs w:val="24"/>
        </w:rPr>
        <w:lastRenderedPageBreak/>
        <w:t>Other adjustments</w:t>
      </w:r>
      <w:r>
        <w:rPr>
          <w:sz w:val="24"/>
          <w:szCs w:val="24"/>
        </w:rPr>
        <w:t xml:space="preserve"> </w:t>
      </w:r>
      <w:r w:rsidR="00263D86">
        <w:rPr>
          <w:sz w:val="24"/>
          <w:szCs w:val="24"/>
        </w:rPr>
        <w:t xml:space="preserve">in the ICR are </w:t>
      </w:r>
      <w:r>
        <w:rPr>
          <w:sz w:val="24"/>
          <w:szCs w:val="24"/>
        </w:rPr>
        <w:t>relate</w:t>
      </w:r>
      <w:r w:rsidR="00263D86">
        <w:rPr>
          <w:sz w:val="24"/>
          <w:szCs w:val="24"/>
        </w:rPr>
        <w:t>d</w:t>
      </w:r>
      <w:r>
        <w:rPr>
          <w:sz w:val="24"/>
          <w:szCs w:val="24"/>
        </w:rPr>
        <w:t xml:space="preserve"> to </w:t>
      </w:r>
      <w:r w:rsidR="0048681E">
        <w:rPr>
          <w:sz w:val="24"/>
          <w:szCs w:val="24"/>
        </w:rPr>
        <w:t xml:space="preserve">adjustments in the </w:t>
      </w:r>
      <w:r w:rsidR="003702C6">
        <w:rPr>
          <w:sz w:val="24"/>
          <w:szCs w:val="24"/>
        </w:rPr>
        <w:t xml:space="preserve">estimated number of </w:t>
      </w:r>
      <w:r w:rsidR="00FD19A6">
        <w:rPr>
          <w:sz w:val="24"/>
          <w:szCs w:val="24"/>
        </w:rPr>
        <w:t>Class I</w:t>
      </w:r>
      <w:r w:rsidR="003702C6">
        <w:rPr>
          <w:sz w:val="24"/>
          <w:szCs w:val="24"/>
        </w:rPr>
        <w:t>V/endangering Class V wells that will close</w:t>
      </w:r>
      <w:r w:rsidR="00F84502">
        <w:rPr>
          <w:sz w:val="24"/>
          <w:szCs w:val="24"/>
        </w:rPr>
        <w:t xml:space="preserve">. </w:t>
      </w:r>
    </w:p>
    <w:p w:rsidR="00741F3A" w:rsidP="004D35FB" w:rsidRDefault="00741F3A" w14:paraId="547447F1" w14:textId="77777777">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rPr>
      </w:pPr>
    </w:p>
    <w:p w:rsidRPr="008A55BC" w:rsidR="008A55BC" w:rsidP="008A55BC" w:rsidRDefault="008A55BC" w14:paraId="0BF8D43A" w14:textId="77777777">
      <w:pPr>
        <w:rPr>
          <w:b/>
          <w:sz w:val="24"/>
          <w:szCs w:val="24"/>
        </w:rPr>
      </w:pPr>
      <w:bookmarkStart w:name="_Hlk84248261" w:id="99"/>
      <w:r w:rsidRPr="008A55BC">
        <w:rPr>
          <w:b/>
          <w:sz w:val="24"/>
          <w:szCs w:val="24"/>
        </w:rPr>
        <w:t xml:space="preserve">UIC Program Burden </w:t>
      </w:r>
      <w:r w:rsidR="00CD49F9">
        <w:rPr>
          <w:b/>
          <w:sz w:val="24"/>
          <w:szCs w:val="24"/>
        </w:rPr>
        <w:t xml:space="preserve">and Cost </w:t>
      </w:r>
      <w:r w:rsidRPr="008A55BC">
        <w:rPr>
          <w:b/>
          <w:sz w:val="24"/>
          <w:szCs w:val="24"/>
        </w:rPr>
        <w:t>Reduction Efforts</w:t>
      </w:r>
    </w:p>
    <w:bookmarkEnd w:id="99"/>
    <w:p w:rsidRPr="008A55BC" w:rsidR="008A55BC" w:rsidP="004930B0" w:rsidRDefault="008A55BC" w14:paraId="63F26938" w14:textId="77777777">
      <w:pPr>
        <w:rPr>
          <w:sz w:val="24"/>
          <w:szCs w:val="24"/>
        </w:rPr>
      </w:pPr>
    </w:p>
    <w:p w:rsidRPr="008A55BC" w:rsidR="008A55BC" w:rsidP="008248A6" w:rsidRDefault="008A55BC" w14:paraId="65BB735E" w14:textId="672A645B">
      <w:pPr>
        <w:ind w:firstLine="720"/>
        <w:rPr>
          <w:sz w:val="24"/>
          <w:szCs w:val="24"/>
        </w:rPr>
      </w:pPr>
      <w:bookmarkStart w:name="_Hlk84585558" w:id="100"/>
      <w:r w:rsidRPr="008A55BC">
        <w:rPr>
          <w:sz w:val="24"/>
          <w:szCs w:val="24"/>
        </w:rPr>
        <w:t xml:space="preserve">EPA </w:t>
      </w:r>
      <w:r w:rsidR="009B2785">
        <w:rPr>
          <w:sz w:val="24"/>
          <w:szCs w:val="24"/>
        </w:rPr>
        <w:t>continues to</w:t>
      </w:r>
      <w:r w:rsidRPr="008A55BC" w:rsidR="009B2785">
        <w:rPr>
          <w:sz w:val="24"/>
          <w:szCs w:val="24"/>
        </w:rPr>
        <w:t xml:space="preserve"> explor</w:t>
      </w:r>
      <w:r w:rsidR="009B2785">
        <w:rPr>
          <w:sz w:val="24"/>
          <w:szCs w:val="24"/>
        </w:rPr>
        <w:t xml:space="preserve">e </w:t>
      </w:r>
      <w:r w:rsidRPr="008A55BC">
        <w:rPr>
          <w:sz w:val="24"/>
          <w:szCs w:val="24"/>
        </w:rPr>
        <w:t xml:space="preserve">options to reduce </w:t>
      </w:r>
      <w:r w:rsidR="00C33220">
        <w:rPr>
          <w:sz w:val="24"/>
          <w:szCs w:val="24"/>
        </w:rPr>
        <w:t xml:space="preserve">the reporting </w:t>
      </w:r>
      <w:r w:rsidRPr="008A55BC">
        <w:rPr>
          <w:sz w:val="24"/>
          <w:szCs w:val="24"/>
        </w:rPr>
        <w:t>burden and cost to respondents, while maintaining the protective components of the UIC Program</w:t>
      </w:r>
      <w:r w:rsidR="00F84502">
        <w:rPr>
          <w:sz w:val="24"/>
          <w:szCs w:val="24"/>
        </w:rPr>
        <w:t xml:space="preserve">. </w:t>
      </w:r>
      <w:r w:rsidR="008404FA">
        <w:rPr>
          <w:sz w:val="24"/>
          <w:szCs w:val="24"/>
        </w:rPr>
        <w:t xml:space="preserve">This is primarily being accomplished by </w:t>
      </w:r>
      <w:r w:rsidR="001F4497">
        <w:rPr>
          <w:sz w:val="24"/>
          <w:szCs w:val="24"/>
        </w:rPr>
        <w:t xml:space="preserve">simplifying </w:t>
      </w:r>
      <w:r w:rsidR="005A5B23">
        <w:rPr>
          <w:sz w:val="24"/>
          <w:szCs w:val="24"/>
        </w:rPr>
        <w:t xml:space="preserve">and clarifying </w:t>
      </w:r>
      <w:r w:rsidR="001F4497">
        <w:rPr>
          <w:sz w:val="24"/>
          <w:szCs w:val="24"/>
        </w:rPr>
        <w:t>the</w:t>
      </w:r>
      <w:r w:rsidR="00FC413B">
        <w:rPr>
          <w:sz w:val="24"/>
          <w:szCs w:val="24"/>
        </w:rPr>
        <w:t xml:space="preserve"> Program’s</w:t>
      </w:r>
      <w:r w:rsidR="001F4497">
        <w:rPr>
          <w:sz w:val="24"/>
          <w:szCs w:val="24"/>
        </w:rPr>
        <w:t xml:space="preserve"> available </w:t>
      </w:r>
      <w:r w:rsidRPr="008404FA" w:rsidR="005A5B23">
        <w:rPr>
          <w:sz w:val="24"/>
          <w:szCs w:val="24"/>
        </w:rPr>
        <w:t xml:space="preserve">electronic </w:t>
      </w:r>
      <w:r w:rsidR="005A5B23">
        <w:rPr>
          <w:sz w:val="24"/>
          <w:szCs w:val="24"/>
        </w:rPr>
        <w:t xml:space="preserve">and paper-based </w:t>
      </w:r>
      <w:r w:rsidR="001F4497">
        <w:rPr>
          <w:sz w:val="24"/>
          <w:szCs w:val="24"/>
        </w:rPr>
        <w:t>reporting tools</w:t>
      </w:r>
      <w:r w:rsidR="008404FA">
        <w:rPr>
          <w:sz w:val="24"/>
          <w:szCs w:val="24"/>
        </w:rPr>
        <w:t>.</w:t>
      </w:r>
      <w:r w:rsidRPr="008404FA" w:rsidR="008404FA">
        <w:rPr>
          <w:sz w:val="24"/>
          <w:szCs w:val="24"/>
        </w:rPr>
        <w:t xml:space="preserve"> </w:t>
      </w:r>
      <w:r w:rsidR="008404FA">
        <w:rPr>
          <w:sz w:val="24"/>
          <w:szCs w:val="24"/>
        </w:rPr>
        <w:t>EPA’s</w:t>
      </w:r>
      <w:r w:rsidRPr="008A55BC" w:rsidR="008404FA">
        <w:rPr>
          <w:sz w:val="24"/>
          <w:szCs w:val="24"/>
        </w:rPr>
        <w:t xml:space="preserve"> </w:t>
      </w:r>
      <w:r w:rsidR="008404FA">
        <w:rPr>
          <w:sz w:val="24"/>
          <w:szCs w:val="24"/>
        </w:rPr>
        <w:t xml:space="preserve">efforts are </w:t>
      </w:r>
      <w:r w:rsidRPr="008A55BC">
        <w:rPr>
          <w:sz w:val="24"/>
          <w:szCs w:val="24"/>
        </w:rPr>
        <w:t>briefly described below</w:t>
      </w:r>
      <w:r w:rsidRPr="001F4497">
        <w:rPr>
          <w:sz w:val="24"/>
          <w:szCs w:val="24"/>
        </w:rPr>
        <w:t>.</w:t>
      </w:r>
      <w:r w:rsidRPr="000B23C9" w:rsidR="000B23C9">
        <w:rPr>
          <w:sz w:val="24"/>
          <w:szCs w:val="24"/>
        </w:rPr>
        <w:t xml:space="preserve"> </w:t>
      </w:r>
    </w:p>
    <w:p w:rsidRPr="008A55BC" w:rsidR="008A55BC" w:rsidP="008A55BC" w:rsidRDefault="008A55BC" w14:paraId="6345B7CF" w14:textId="77777777">
      <w:pPr>
        <w:rPr>
          <w:sz w:val="24"/>
          <w:szCs w:val="24"/>
        </w:rPr>
      </w:pPr>
    </w:p>
    <w:p w:rsidRPr="001F4497" w:rsidR="00E66BA5" w:rsidP="00336248" w:rsidRDefault="00E66BA5" w14:paraId="04A9782A" w14:textId="177909AD">
      <w:pPr>
        <w:pStyle w:val="ListParagraph"/>
        <w:numPr>
          <w:ilvl w:val="0"/>
          <w:numId w:val="49"/>
        </w:numPr>
        <w:autoSpaceDE/>
        <w:autoSpaceDN/>
        <w:adjustRightInd/>
        <w:rPr>
          <w:sz w:val="24"/>
          <w:szCs w:val="24"/>
        </w:rPr>
      </w:pPr>
      <w:bookmarkStart w:name="_Hlk523291743" w:id="101"/>
      <w:r w:rsidRPr="001F4497">
        <w:rPr>
          <w:sz w:val="24"/>
          <w:szCs w:val="24"/>
        </w:rPr>
        <w:t>EPA</w:t>
      </w:r>
      <w:r>
        <w:rPr>
          <w:sz w:val="24"/>
          <w:szCs w:val="24"/>
        </w:rPr>
        <w:t xml:space="preserve"> </w:t>
      </w:r>
      <w:r w:rsidR="000B23C9">
        <w:rPr>
          <w:sz w:val="24"/>
          <w:szCs w:val="24"/>
        </w:rPr>
        <w:t xml:space="preserve">continues to review </w:t>
      </w:r>
      <w:r>
        <w:rPr>
          <w:sz w:val="24"/>
          <w:szCs w:val="24"/>
        </w:rPr>
        <w:t xml:space="preserve">the UIC reporting forms </w:t>
      </w:r>
      <w:r w:rsidR="000B23C9">
        <w:rPr>
          <w:sz w:val="24"/>
          <w:szCs w:val="24"/>
        </w:rPr>
        <w:t xml:space="preserve">to identify clarifications and improvements </w:t>
      </w:r>
      <w:r>
        <w:rPr>
          <w:sz w:val="24"/>
          <w:szCs w:val="24"/>
        </w:rPr>
        <w:t>that can reduce burden to owners or operators of injection wells</w:t>
      </w:r>
      <w:r w:rsidR="00336248">
        <w:rPr>
          <w:sz w:val="24"/>
          <w:szCs w:val="24"/>
        </w:rPr>
        <w:t xml:space="preserve"> </w:t>
      </w:r>
      <w:r w:rsidRPr="00336248" w:rsidR="00336248">
        <w:rPr>
          <w:sz w:val="24"/>
          <w:szCs w:val="24"/>
        </w:rPr>
        <w:t>and improve the quality of submittals in order to streamline reporting and reduce the time needed to process UIC requests</w:t>
      </w:r>
      <w:r>
        <w:rPr>
          <w:sz w:val="24"/>
          <w:szCs w:val="24"/>
        </w:rPr>
        <w:t xml:space="preserve">. </w:t>
      </w:r>
    </w:p>
    <w:bookmarkEnd w:id="101"/>
    <w:p w:rsidR="00E66BA5" w:rsidP="001F4497" w:rsidRDefault="00E66BA5" w14:paraId="74738F50" w14:textId="77777777">
      <w:pPr>
        <w:autoSpaceDE/>
        <w:autoSpaceDN/>
        <w:adjustRightInd/>
        <w:rPr>
          <w:sz w:val="24"/>
          <w:szCs w:val="24"/>
        </w:rPr>
      </w:pPr>
    </w:p>
    <w:p w:rsidRPr="00B11F08" w:rsidR="00615D0B" w:rsidP="00B11F08" w:rsidRDefault="00CD49F9" w14:paraId="5261E179" w14:textId="08CB7BA4">
      <w:pPr>
        <w:pStyle w:val="ListParagraph"/>
        <w:numPr>
          <w:ilvl w:val="0"/>
          <w:numId w:val="49"/>
        </w:numPr>
        <w:autoSpaceDE/>
        <w:autoSpaceDN/>
        <w:adjustRightInd/>
        <w:rPr>
          <w:sz w:val="24"/>
          <w:szCs w:val="24"/>
        </w:rPr>
      </w:pPr>
      <w:r w:rsidRPr="000B23C9">
        <w:rPr>
          <w:sz w:val="24"/>
          <w:szCs w:val="24"/>
        </w:rPr>
        <w:t xml:space="preserve">EPA </w:t>
      </w:r>
      <w:r w:rsidRPr="000B23C9" w:rsidR="000B23C9">
        <w:rPr>
          <w:sz w:val="24"/>
          <w:szCs w:val="24"/>
        </w:rPr>
        <w:t xml:space="preserve">will continue exploring improvements to its web-based reporting forms, including </w:t>
      </w:r>
      <w:r w:rsidRPr="00615D0B" w:rsidR="00B11F08">
        <w:rPr>
          <w:sz w:val="24"/>
          <w:szCs w:val="24"/>
        </w:rPr>
        <w:t>improve</w:t>
      </w:r>
      <w:r w:rsidRPr="00615D0B" w:rsidR="000B23C9">
        <w:rPr>
          <w:sz w:val="24"/>
          <w:szCs w:val="24"/>
        </w:rPr>
        <w:t>ments to</w:t>
      </w:r>
      <w:r w:rsidRPr="00615D0B" w:rsidR="00B11F08">
        <w:rPr>
          <w:sz w:val="24"/>
          <w:szCs w:val="24"/>
        </w:rPr>
        <w:t xml:space="preserve"> the </w:t>
      </w:r>
      <w:r w:rsidR="00B315BD">
        <w:rPr>
          <w:sz w:val="24"/>
          <w:szCs w:val="24"/>
        </w:rPr>
        <w:t xml:space="preserve">user </w:t>
      </w:r>
      <w:r w:rsidRPr="00615D0B" w:rsidR="00B11F08">
        <w:rPr>
          <w:sz w:val="24"/>
          <w:szCs w:val="24"/>
        </w:rPr>
        <w:t xml:space="preserve">interface of </w:t>
      </w:r>
      <w:r w:rsidRPr="00615D0B" w:rsidR="000B23C9">
        <w:rPr>
          <w:sz w:val="24"/>
          <w:szCs w:val="24"/>
        </w:rPr>
        <w:t xml:space="preserve">the </w:t>
      </w:r>
      <w:r w:rsidRPr="00615D0B" w:rsidR="00B11F08">
        <w:rPr>
          <w:sz w:val="24"/>
          <w:szCs w:val="24"/>
        </w:rPr>
        <w:t>forms.</w:t>
      </w:r>
    </w:p>
    <w:p w:rsidRPr="008A55BC" w:rsidR="008A55BC" w:rsidP="008A55BC" w:rsidRDefault="008A55BC" w14:paraId="17E7BF63" w14:textId="77777777">
      <w:pPr>
        <w:rPr>
          <w:sz w:val="24"/>
          <w:szCs w:val="24"/>
        </w:rPr>
      </w:pPr>
    </w:p>
    <w:p w:rsidRPr="002031B4" w:rsidR="002031B4" w:rsidP="002031B4" w:rsidRDefault="001465B4" w14:paraId="6772C1F1" w14:textId="2AD15F6D">
      <w:pPr>
        <w:ind w:firstLine="720"/>
        <w:rPr>
          <w:sz w:val="24"/>
          <w:szCs w:val="24"/>
        </w:rPr>
      </w:pPr>
      <w:r>
        <w:rPr>
          <w:sz w:val="24"/>
          <w:szCs w:val="24"/>
        </w:rPr>
        <w:t xml:space="preserve">These </w:t>
      </w:r>
      <w:r w:rsidR="002031B4">
        <w:rPr>
          <w:sz w:val="24"/>
          <w:szCs w:val="24"/>
        </w:rPr>
        <w:t>i</w:t>
      </w:r>
      <w:r w:rsidRPr="002031B4" w:rsidR="002031B4">
        <w:rPr>
          <w:sz w:val="24"/>
          <w:szCs w:val="24"/>
        </w:rPr>
        <w:t xml:space="preserve">mprovements </w:t>
      </w:r>
      <w:r w:rsidR="00FC413B">
        <w:rPr>
          <w:sz w:val="24"/>
          <w:szCs w:val="24"/>
        </w:rPr>
        <w:t xml:space="preserve">will </w:t>
      </w:r>
      <w:r w:rsidRPr="002031B4" w:rsidR="002031B4">
        <w:rPr>
          <w:sz w:val="24"/>
          <w:szCs w:val="24"/>
        </w:rPr>
        <w:t>make submission</w:t>
      </w:r>
      <w:r w:rsidR="002031B4">
        <w:rPr>
          <w:sz w:val="24"/>
          <w:szCs w:val="24"/>
        </w:rPr>
        <w:t>s</w:t>
      </w:r>
      <w:r w:rsidRPr="002031B4" w:rsidR="002031B4">
        <w:rPr>
          <w:sz w:val="24"/>
          <w:szCs w:val="24"/>
        </w:rPr>
        <w:t xml:space="preserve"> easier </w:t>
      </w:r>
      <w:r w:rsidR="002031B4">
        <w:rPr>
          <w:sz w:val="24"/>
          <w:szCs w:val="24"/>
        </w:rPr>
        <w:t xml:space="preserve">and </w:t>
      </w:r>
      <w:r w:rsidRPr="002031B4" w:rsidR="002031B4">
        <w:rPr>
          <w:sz w:val="24"/>
          <w:szCs w:val="24"/>
        </w:rPr>
        <w:t>reduce the chance of incorrect submissions (and the</w:t>
      </w:r>
      <w:r w:rsidR="002031B4">
        <w:rPr>
          <w:sz w:val="24"/>
          <w:szCs w:val="24"/>
        </w:rPr>
        <w:t xml:space="preserve"> need for</w:t>
      </w:r>
      <w:r w:rsidRPr="002031B4" w:rsidR="002031B4">
        <w:rPr>
          <w:sz w:val="24"/>
          <w:szCs w:val="24"/>
        </w:rPr>
        <w:t xml:space="preserve"> time-consuming correspondence between the </w:t>
      </w:r>
      <w:r w:rsidR="002031B4">
        <w:rPr>
          <w:sz w:val="24"/>
          <w:szCs w:val="24"/>
        </w:rPr>
        <w:t xml:space="preserve">permitting authority </w:t>
      </w:r>
      <w:r w:rsidRPr="002031B4" w:rsidR="002031B4">
        <w:rPr>
          <w:sz w:val="24"/>
          <w:szCs w:val="24"/>
        </w:rPr>
        <w:t xml:space="preserve">and </w:t>
      </w:r>
      <w:r w:rsidR="002031B4">
        <w:rPr>
          <w:sz w:val="24"/>
          <w:szCs w:val="24"/>
        </w:rPr>
        <w:t xml:space="preserve">the applicant/owner or </w:t>
      </w:r>
      <w:r w:rsidRPr="002031B4" w:rsidR="002031B4">
        <w:rPr>
          <w:sz w:val="24"/>
          <w:szCs w:val="24"/>
        </w:rPr>
        <w:t>operator).</w:t>
      </w:r>
      <w:r w:rsidRPr="00FC413B" w:rsidR="00FC413B">
        <w:rPr>
          <w:sz w:val="24"/>
          <w:szCs w:val="24"/>
        </w:rPr>
        <w:t xml:space="preserve"> </w:t>
      </w:r>
      <w:r w:rsidRPr="00336248" w:rsidR="00FC413B">
        <w:rPr>
          <w:sz w:val="24"/>
          <w:szCs w:val="24"/>
        </w:rPr>
        <w:t>See Appendix C</w:t>
      </w:r>
      <w:r w:rsidR="00FC413B">
        <w:rPr>
          <w:sz w:val="24"/>
          <w:szCs w:val="24"/>
        </w:rPr>
        <w:t xml:space="preserve"> for additional information.</w:t>
      </w:r>
    </w:p>
    <w:bookmarkEnd w:id="100"/>
    <w:p w:rsidR="002031B4" w:rsidP="00AF41AC" w:rsidRDefault="002031B4" w14:paraId="33FA7169" w14:textId="77777777"/>
    <w:p w:rsidRPr="001941A8" w:rsidR="00C25838" w:rsidP="001941A8" w:rsidRDefault="00C25838" w14:paraId="30A5E912" w14:textId="38872746">
      <w:pPr>
        <w:pStyle w:val="Heading2"/>
      </w:pPr>
      <w:r w:rsidRPr="001941A8">
        <w:t>6(g)</w:t>
      </w:r>
      <w:r w:rsidRPr="001941A8">
        <w:tab/>
        <w:t>Burden Statement</w:t>
      </w:r>
      <w:r w:rsidRPr="001941A8" w:rsidR="00766F8E">
        <w:fldChar w:fldCharType="begin"/>
      </w:r>
      <w:r w:rsidRPr="001941A8">
        <w:instrText xml:space="preserve"> TC \l2 “</w:instrText>
      </w:r>
      <w:bookmarkStart w:name="_Toc511660020" w:id="102"/>
      <w:bookmarkStart w:name="_Toc511713529" w:id="103"/>
      <w:r w:rsidRPr="001941A8">
        <w:instrText>6(g)</w:instrText>
      </w:r>
      <w:r w:rsidRPr="001941A8">
        <w:tab/>
        <w:instrText>Burden Statement</w:instrText>
      </w:r>
      <w:bookmarkEnd w:id="102"/>
      <w:bookmarkEnd w:id="103"/>
      <w:r w:rsidRPr="001941A8" w:rsidR="00766F8E">
        <w:fldChar w:fldCharType="end"/>
      </w:r>
    </w:p>
    <w:p w:rsidR="00C25838" w:rsidP="008248A6" w:rsidRDefault="00C25838" w14:paraId="67EB228A" w14:textId="77777777">
      <w:pPr>
        <w:keepNext/>
        <w:keepLines/>
        <w:widowControl w:val="0"/>
        <w:tabs>
          <w:tab w:val="left" w:pos="-1080"/>
          <w:tab w:val="left" w:pos="-720"/>
          <w:tab w:val="left" w:pos="0"/>
          <w:tab w:val="left" w:pos="27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640A4" w:rsidP="008248A6" w:rsidRDefault="00C25838" w14:paraId="42990184" w14:textId="30C862F1">
      <w:pPr>
        <w:keepNext/>
        <w:keepLines/>
        <w:widowControl w:val="0"/>
        <w:tabs>
          <w:tab w:val="left" w:pos="-1080"/>
          <w:tab w:val="left" w:pos="-720"/>
          <w:tab w:val="left" w:pos="-540"/>
          <w:tab w:val="left" w:pos="27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0"/>
        <w:rPr>
          <w:sz w:val="24"/>
          <w:szCs w:val="24"/>
        </w:rPr>
      </w:pPr>
      <w:bookmarkStart w:name="_Hlk511741140" w:id="104"/>
      <w:r>
        <w:rPr>
          <w:sz w:val="24"/>
          <w:szCs w:val="24"/>
        </w:rPr>
        <w:tab/>
      </w:r>
      <w:r>
        <w:rPr>
          <w:sz w:val="24"/>
          <w:szCs w:val="24"/>
        </w:rPr>
        <w:tab/>
      </w:r>
      <w:r w:rsidR="008248A6">
        <w:rPr>
          <w:sz w:val="24"/>
          <w:szCs w:val="24"/>
        </w:rPr>
        <w:tab/>
      </w:r>
      <w:bookmarkStart w:name="_Hlk508720193" w:id="105"/>
      <w:r>
        <w:rPr>
          <w:sz w:val="24"/>
          <w:szCs w:val="24"/>
        </w:rPr>
        <w:t xml:space="preserve">EPA estimates that, over the </w:t>
      </w:r>
      <w:r w:rsidR="0066181D">
        <w:rPr>
          <w:sz w:val="24"/>
          <w:szCs w:val="24"/>
        </w:rPr>
        <w:t>three</w:t>
      </w:r>
      <w:r>
        <w:rPr>
          <w:sz w:val="24"/>
          <w:szCs w:val="24"/>
        </w:rPr>
        <w:t xml:space="preserve"> years covered by this </w:t>
      </w:r>
      <w:r w:rsidR="00906B15">
        <w:rPr>
          <w:sz w:val="24"/>
          <w:szCs w:val="24"/>
        </w:rPr>
        <w:t>ICR</w:t>
      </w:r>
      <w:r>
        <w:rPr>
          <w:sz w:val="24"/>
          <w:szCs w:val="24"/>
        </w:rPr>
        <w:t xml:space="preserve">, the total annual burden on </w:t>
      </w:r>
      <w:r w:rsidR="00E52AE4">
        <w:rPr>
          <w:sz w:val="24"/>
          <w:szCs w:val="24"/>
        </w:rPr>
        <w:t xml:space="preserve">injection well owners or </w:t>
      </w:r>
      <w:r w:rsidRPr="00115830">
        <w:rPr>
          <w:sz w:val="24"/>
          <w:szCs w:val="24"/>
        </w:rPr>
        <w:t xml:space="preserve">operators and primacy agencies associated with UIC requirements will </w:t>
      </w:r>
      <w:r w:rsidRPr="00AC6F17">
        <w:rPr>
          <w:sz w:val="24"/>
          <w:szCs w:val="24"/>
        </w:rPr>
        <w:t>be</w:t>
      </w:r>
      <w:r w:rsidRPr="00AC6F17" w:rsidR="00072F64">
        <w:rPr>
          <w:sz w:val="24"/>
          <w:szCs w:val="24"/>
        </w:rPr>
        <w:t xml:space="preserve"> </w:t>
      </w:r>
      <w:r w:rsidRPr="00AC6F17" w:rsidR="00522A0E">
        <w:rPr>
          <w:sz w:val="24"/>
          <w:szCs w:val="24"/>
        </w:rPr>
        <w:t>1</w:t>
      </w:r>
      <w:r w:rsidRPr="00393AEB" w:rsidR="00393AEB">
        <w:rPr>
          <w:sz w:val="24"/>
          <w:szCs w:val="24"/>
        </w:rPr>
        <w:t>,</w:t>
      </w:r>
      <w:r w:rsidRPr="008445E3" w:rsidR="008445E3">
        <w:rPr>
          <w:sz w:val="24"/>
          <w:szCs w:val="24"/>
        </w:rPr>
        <w:t>631,360</w:t>
      </w:r>
      <w:r w:rsidR="008445E3">
        <w:rPr>
          <w:sz w:val="24"/>
          <w:szCs w:val="24"/>
        </w:rPr>
        <w:t xml:space="preserve"> </w:t>
      </w:r>
      <w:r w:rsidRPr="00AC6F17">
        <w:rPr>
          <w:sz w:val="24"/>
          <w:szCs w:val="24"/>
        </w:rPr>
        <w:t xml:space="preserve">hours and the present value cost will be </w:t>
      </w:r>
      <w:r w:rsidR="00DE3685">
        <w:rPr>
          <w:sz w:val="24"/>
          <w:szCs w:val="24"/>
        </w:rPr>
        <w:t xml:space="preserve">approximately </w:t>
      </w:r>
      <w:r w:rsidRPr="00AC6F17">
        <w:rPr>
          <w:sz w:val="24"/>
          <w:szCs w:val="24"/>
        </w:rPr>
        <w:t>$</w:t>
      </w:r>
      <w:r w:rsidR="00393AEB">
        <w:rPr>
          <w:sz w:val="24"/>
          <w:szCs w:val="24"/>
        </w:rPr>
        <w:t>36</w:t>
      </w:r>
      <w:r w:rsidR="008445E3">
        <w:rPr>
          <w:sz w:val="24"/>
          <w:szCs w:val="24"/>
        </w:rPr>
        <w:t>3</w:t>
      </w:r>
      <w:r w:rsidRPr="00AC6F17" w:rsidR="00E30D10">
        <w:rPr>
          <w:sz w:val="24"/>
          <w:szCs w:val="24"/>
        </w:rPr>
        <w:t>.</w:t>
      </w:r>
      <w:r w:rsidR="00AC6F17">
        <w:rPr>
          <w:sz w:val="24"/>
          <w:szCs w:val="24"/>
        </w:rPr>
        <w:t>3</w:t>
      </w:r>
      <w:r w:rsidRPr="00AC6F17" w:rsidR="00E30D10">
        <w:rPr>
          <w:sz w:val="24"/>
          <w:szCs w:val="24"/>
        </w:rPr>
        <w:t xml:space="preserve"> </w:t>
      </w:r>
      <w:r w:rsidRPr="00AC6F17">
        <w:rPr>
          <w:sz w:val="24"/>
          <w:szCs w:val="24"/>
        </w:rPr>
        <w:t>million per</w:t>
      </w:r>
      <w:r w:rsidRPr="00115830">
        <w:rPr>
          <w:sz w:val="24"/>
          <w:szCs w:val="24"/>
        </w:rPr>
        <w:t xml:space="preserve"> year.</w:t>
      </w:r>
      <w:r w:rsidR="000047B1">
        <w:rPr>
          <w:sz w:val="24"/>
          <w:szCs w:val="24"/>
        </w:rPr>
        <w:t xml:space="preserve"> See Exhibit 6-</w:t>
      </w:r>
      <w:r w:rsidR="008176C6">
        <w:rPr>
          <w:sz w:val="24"/>
          <w:szCs w:val="24"/>
        </w:rPr>
        <w:t>7</w:t>
      </w:r>
      <w:r w:rsidR="000047B1">
        <w:rPr>
          <w:sz w:val="24"/>
          <w:szCs w:val="24"/>
        </w:rPr>
        <w:t>.</w:t>
      </w:r>
      <w:bookmarkEnd w:id="105"/>
    </w:p>
    <w:p w:rsidRPr="005135F0" w:rsidR="00476B3F" w:rsidP="001B5B3D" w:rsidRDefault="00476B3F" w14:paraId="02DC08B0" w14:textId="77777777">
      <w:pPr>
        <w:widowControl w:val="0"/>
        <w:tabs>
          <w:tab w:val="left" w:pos="-1080"/>
          <w:tab w:val="left" w:pos="-720"/>
          <w:tab w:val="left" w:pos="-540"/>
          <w:tab w:val="left" w:pos="27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0"/>
        <w:rPr>
          <w:sz w:val="24"/>
          <w:szCs w:val="24"/>
        </w:rPr>
      </w:pPr>
    </w:p>
    <w:tbl>
      <w:tblPr>
        <w:tblW w:w="10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71"/>
        <w:gridCol w:w="1255"/>
        <w:gridCol w:w="1459"/>
        <w:gridCol w:w="1598"/>
        <w:gridCol w:w="1350"/>
        <w:gridCol w:w="1080"/>
        <w:gridCol w:w="1080"/>
        <w:gridCol w:w="1170"/>
      </w:tblGrid>
      <w:tr w:rsidR="007640A4" w:rsidTr="00A7385E" w14:paraId="2EB48482" w14:textId="77777777">
        <w:trPr>
          <w:jc w:val="center"/>
        </w:trPr>
        <w:tc>
          <w:tcPr>
            <w:tcW w:w="10463" w:type="dxa"/>
            <w:gridSpan w:val="8"/>
            <w:tcMar>
              <w:top w:w="58" w:type="dxa"/>
              <w:left w:w="115" w:type="dxa"/>
              <w:bottom w:w="58" w:type="dxa"/>
              <w:right w:w="115" w:type="dxa"/>
            </w:tcMar>
          </w:tcPr>
          <w:p w:rsidR="00573FB6" w:rsidP="00B1430F" w:rsidRDefault="007640A4" w14:paraId="4E45F259" w14:textId="0477FA3C">
            <w:pPr>
              <w:keepNext/>
              <w:keepLines/>
              <w:widowControl w:val="0"/>
              <w:tabs>
                <w:tab w:val="center" w:pos="4680"/>
              </w:tabs>
              <w:jc w:val="center"/>
              <w:rPr>
                <w:rFonts w:ascii="Arial" w:hAnsi="Arial" w:cs="Arial"/>
                <w:b/>
              </w:rPr>
            </w:pPr>
            <w:r w:rsidRPr="0093779F">
              <w:rPr>
                <w:rFonts w:ascii="Arial" w:hAnsi="Arial" w:cs="Arial"/>
                <w:b/>
              </w:rPr>
              <w:t>Exhibit 6-</w:t>
            </w:r>
            <w:r w:rsidR="000024C4">
              <w:rPr>
                <w:rFonts w:ascii="Arial" w:hAnsi="Arial" w:cs="Arial"/>
                <w:b/>
              </w:rPr>
              <w:t>7</w:t>
            </w:r>
          </w:p>
          <w:p w:rsidR="007640A4" w:rsidP="00B1430F" w:rsidRDefault="007640A4" w14:paraId="6C6F12D4" w14:textId="77777777">
            <w:pPr>
              <w:keepNext/>
              <w:keepLines/>
              <w:widowControl w:val="0"/>
              <w:tabs>
                <w:tab w:val="center" w:pos="4680"/>
              </w:tabs>
              <w:jc w:val="center"/>
              <w:rPr>
                <w:rFonts w:ascii="Arial" w:hAnsi="Arial" w:cs="Arial"/>
                <w:b/>
              </w:rPr>
            </w:pPr>
            <w:r>
              <w:rPr>
                <w:rFonts w:ascii="Arial" w:hAnsi="Arial" w:cs="Arial"/>
                <w:b/>
              </w:rPr>
              <w:t xml:space="preserve">Annual Burden and Cost Associated with </w:t>
            </w:r>
            <w:r w:rsidR="00573FB6">
              <w:rPr>
                <w:rFonts w:ascii="Arial" w:hAnsi="Arial" w:cs="Arial"/>
                <w:b/>
              </w:rPr>
              <w:t>All Well Classe</w:t>
            </w:r>
            <w:r>
              <w:rPr>
                <w:rFonts w:ascii="Arial" w:hAnsi="Arial" w:cs="Arial"/>
                <w:b/>
              </w:rPr>
              <w:t>s</w:t>
            </w:r>
          </w:p>
          <w:p w:rsidRPr="0053789E" w:rsidR="007640A4" w:rsidP="00E84548" w:rsidRDefault="00926C92" w14:paraId="7C323F54" w14:textId="12887392">
            <w:pPr>
              <w:keepNext/>
              <w:keepLines/>
              <w:widowControl w:val="0"/>
              <w:tabs>
                <w:tab w:val="center" w:pos="4680"/>
              </w:tabs>
              <w:jc w:val="center"/>
              <w:rPr>
                <w:rFonts w:ascii="Arial" w:hAnsi="Arial" w:cs="Arial"/>
                <w:b/>
                <w:sz w:val="18"/>
                <w:szCs w:val="18"/>
              </w:rPr>
            </w:pPr>
            <w:r>
              <w:rPr>
                <w:rFonts w:ascii="Arial" w:hAnsi="Arial" w:cs="Arial"/>
                <w:b/>
              </w:rPr>
              <w:t>2022-2024</w:t>
            </w:r>
          </w:p>
        </w:tc>
      </w:tr>
      <w:tr w:rsidR="007640A4" w:rsidTr="00A7385E" w14:paraId="68B73DFA" w14:textId="77777777">
        <w:trPr>
          <w:jc w:val="center"/>
        </w:trPr>
        <w:tc>
          <w:tcPr>
            <w:tcW w:w="1471" w:type="dxa"/>
            <w:tcMar>
              <w:top w:w="58" w:type="dxa"/>
              <w:left w:w="115" w:type="dxa"/>
              <w:bottom w:w="58" w:type="dxa"/>
              <w:right w:w="115" w:type="dxa"/>
            </w:tcMar>
          </w:tcPr>
          <w:p w:rsidRPr="00013C40" w:rsidR="007640A4" w:rsidP="00B1430F" w:rsidRDefault="007640A4" w14:paraId="5E4C46F7" w14:textId="77777777">
            <w:pPr>
              <w:keepNext/>
              <w:keepLines/>
              <w:widowControl w:val="0"/>
              <w:tabs>
                <w:tab w:val="center" w:pos="4680"/>
              </w:tabs>
              <w:jc w:val="center"/>
              <w:rPr>
                <w:rFonts w:ascii="Arial" w:hAnsi="Arial" w:cs="Arial"/>
                <w:sz w:val="16"/>
                <w:szCs w:val="16"/>
              </w:rPr>
            </w:pPr>
            <w:r w:rsidRPr="00013C40">
              <w:rPr>
                <w:rFonts w:ascii="Arial" w:hAnsi="Arial" w:cs="Arial"/>
                <w:b/>
                <w:sz w:val="16"/>
                <w:szCs w:val="16"/>
              </w:rPr>
              <w:t>Respondent Type</w:t>
            </w:r>
          </w:p>
        </w:tc>
        <w:tc>
          <w:tcPr>
            <w:tcW w:w="1255" w:type="dxa"/>
            <w:tcMar>
              <w:top w:w="58" w:type="dxa"/>
              <w:left w:w="115" w:type="dxa"/>
              <w:bottom w:w="58" w:type="dxa"/>
              <w:right w:w="115" w:type="dxa"/>
            </w:tcMar>
          </w:tcPr>
          <w:p w:rsidRPr="00013C40" w:rsidR="007640A4" w:rsidP="00B1430F" w:rsidRDefault="007640A4" w14:paraId="2F4B6678" w14:textId="77777777">
            <w:pPr>
              <w:keepNext/>
              <w:keepLines/>
              <w:widowControl w:val="0"/>
              <w:tabs>
                <w:tab w:val="center" w:pos="4680"/>
              </w:tabs>
              <w:jc w:val="center"/>
              <w:rPr>
                <w:rFonts w:ascii="Arial" w:hAnsi="Arial" w:cs="Arial"/>
                <w:sz w:val="16"/>
                <w:szCs w:val="16"/>
              </w:rPr>
            </w:pPr>
            <w:r w:rsidRPr="00013C40">
              <w:rPr>
                <w:rFonts w:ascii="Arial" w:hAnsi="Arial" w:cs="Arial"/>
                <w:b/>
                <w:sz w:val="16"/>
                <w:szCs w:val="16"/>
              </w:rPr>
              <w:t>Burden (hours)</w:t>
            </w:r>
          </w:p>
        </w:tc>
        <w:tc>
          <w:tcPr>
            <w:tcW w:w="1459" w:type="dxa"/>
            <w:tcMar>
              <w:top w:w="58" w:type="dxa"/>
              <w:left w:w="115" w:type="dxa"/>
              <w:bottom w:w="58" w:type="dxa"/>
              <w:right w:w="115" w:type="dxa"/>
            </w:tcMar>
          </w:tcPr>
          <w:p w:rsidRPr="00013C40" w:rsidR="007640A4" w:rsidP="00B1430F" w:rsidRDefault="007640A4" w14:paraId="7AA6E348" w14:textId="77777777">
            <w:pPr>
              <w:keepNext/>
              <w:keepLines/>
              <w:widowControl w:val="0"/>
              <w:tabs>
                <w:tab w:val="center" w:pos="4680"/>
              </w:tabs>
              <w:jc w:val="center"/>
              <w:rPr>
                <w:rFonts w:ascii="Arial" w:hAnsi="Arial" w:cs="Arial"/>
                <w:sz w:val="16"/>
                <w:szCs w:val="16"/>
              </w:rPr>
            </w:pPr>
            <w:r w:rsidRPr="00013C40">
              <w:rPr>
                <w:rFonts w:ascii="Arial" w:hAnsi="Arial" w:cs="Arial"/>
                <w:b/>
                <w:sz w:val="16"/>
                <w:szCs w:val="16"/>
              </w:rPr>
              <w:t>Labor Cost</w:t>
            </w:r>
          </w:p>
        </w:tc>
        <w:tc>
          <w:tcPr>
            <w:tcW w:w="1598" w:type="dxa"/>
            <w:tcMar>
              <w:top w:w="58" w:type="dxa"/>
              <w:left w:w="115" w:type="dxa"/>
              <w:bottom w:w="58" w:type="dxa"/>
              <w:right w:w="115" w:type="dxa"/>
            </w:tcMar>
          </w:tcPr>
          <w:p w:rsidRPr="00013C40" w:rsidR="007640A4" w:rsidP="00B1430F" w:rsidRDefault="007640A4" w14:paraId="6F6A2B41" w14:textId="77777777">
            <w:pPr>
              <w:keepNext/>
              <w:keepLines/>
              <w:widowControl w:val="0"/>
              <w:tabs>
                <w:tab w:val="center" w:pos="4680"/>
              </w:tabs>
              <w:jc w:val="center"/>
              <w:rPr>
                <w:rFonts w:ascii="Arial" w:hAnsi="Arial" w:cs="Arial"/>
                <w:sz w:val="16"/>
                <w:szCs w:val="16"/>
              </w:rPr>
            </w:pPr>
            <w:r w:rsidRPr="00013C40">
              <w:rPr>
                <w:rFonts w:ascii="Arial" w:hAnsi="Arial" w:cs="Arial"/>
                <w:b/>
                <w:sz w:val="16"/>
                <w:szCs w:val="16"/>
              </w:rPr>
              <w:t>Non-Labor Cost</w:t>
            </w:r>
          </w:p>
        </w:tc>
        <w:tc>
          <w:tcPr>
            <w:tcW w:w="1350" w:type="dxa"/>
            <w:tcMar>
              <w:top w:w="58" w:type="dxa"/>
              <w:left w:w="115" w:type="dxa"/>
              <w:bottom w:w="58" w:type="dxa"/>
              <w:right w:w="115" w:type="dxa"/>
            </w:tcMar>
          </w:tcPr>
          <w:p w:rsidRPr="00013C40" w:rsidR="007640A4" w:rsidP="00B1430F" w:rsidRDefault="007640A4" w14:paraId="570A3E3E" w14:textId="77777777">
            <w:pPr>
              <w:keepNext/>
              <w:keepLines/>
              <w:widowControl w:val="0"/>
              <w:tabs>
                <w:tab w:val="center" w:pos="4680"/>
              </w:tabs>
              <w:jc w:val="center"/>
              <w:rPr>
                <w:rFonts w:ascii="Arial" w:hAnsi="Arial" w:cs="Arial"/>
                <w:sz w:val="16"/>
                <w:szCs w:val="16"/>
              </w:rPr>
            </w:pPr>
            <w:r w:rsidRPr="00013C40">
              <w:rPr>
                <w:rFonts w:ascii="Arial" w:hAnsi="Arial" w:cs="Arial"/>
                <w:b/>
                <w:sz w:val="16"/>
                <w:szCs w:val="16"/>
              </w:rPr>
              <w:t>Total Cost</w:t>
            </w:r>
          </w:p>
        </w:tc>
        <w:tc>
          <w:tcPr>
            <w:tcW w:w="1080" w:type="dxa"/>
          </w:tcPr>
          <w:p w:rsidRPr="00013C40" w:rsidR="007640A4" w:rsidP="00B1430F" w:rsidRDefault="007640A4" w14:paraId="3F02C470" w14:textId="77777777">
            <w:pPr>
              <w:keepNext/>
              <w:keepLines/>
              <w:widowControl w:val="0"/>
              <w:tabs>
                <w:tab w:val="center" w:pos="4680"/>
              </w:tabs>
              <w:jc w:val="center"/>
              <w:rPr>
                <w:rFonts w:ascii="Arial" w:hAnsi="Arial" w:cs="Arial"/>
                <w:sz w:val="16"/>
                <w:szCs w:val="16"/>
              </w:rPr>
            </w:pPr>
            <w:r w:rsidRPr="00013C40">
              <w:rPr>
                <w:rFonts w:ascii="Arial" w:hAnsi="Arial" w:cs="Arial"/>
                <w:b/>
                <w:sz w:val="16"/>
                <w:szCs w:val="16"/>
              </w:rPr>
              <w:t>Responses</w:t>
            </w:r>
          </w:p>
        </w:tc>
        <w:tc>
          <w:tcPr>
            <w:tcW w:w="1080" w:type="dxa"/>
          </w:tcPr>
          <w:p w:rsidRPr="00013C40" w:rsidR="007640A4" w:rsidP="00B1430F" w:rsidRDefault="007640A4" w14:paraId="6836D673" w14:textId="77777777">
            <w:pPr>
              <w:keepNext/>
              <w:keepLines/>
              <w:widowControl w:val="0"/>
              <w:tabs>
                <w:tab w:val="center" w:pos="4680"/>
              </w:tabs>
              <w:jc w:val="center"/>
              <w:rPr>
                <w:rFonts w:ascii="Arial" w:hAnsi="Arial" w:cs="Arial"/>
                <w:b/>
                <w:sz w:val="16"/>
                <w:szCs w:val="16"/>
              </w:rPr>
            </w:pPr>
            <w:r w:rsidRPr="00013C40">
              <w:rPr>
                <w:rFonts w:ascii="Arial" w:hAnsi="Arial" w:cs="Arial"/>
                <w:b/>
                <w:sz w:val="16"/>
                <w:szCs w:val="16"/>
              </w:rPr>
              <w:t>Burden/ Response</w:t>
            </w:r>
          </w:p>
        </w:tc>
        <w:tc>
          <w:tcPr>
            <w:tcW w:w="1170" w:type="dxa"/>
          </w:tcPr>
          <w:p w:rsidRPr="00013C40" w:rsidR="007640A4" w:rsidP="00B1430F" w:rsidRDefault="007640A4" w14:paraId="1ACDEAD9" w14:textId="77777777">
            <w:pPr>
              <w:keepNext/>
              <w:keepLines/>
              <w:widowControl w:val="0"/>
              <w:tabs>
                <w:tab w:val="center" w:pos="4680"/>
              </w:tabs>
              <w:jc w:val="center"/>
              <w:rPr>
                <w:rFonts w:ascii="Arial" w:hAnsi="Arial" w:cs="Arial"/>
                <w:b/>
                <w:sz w:val="16"/>
                <w:szCs w:val="16"/>
              </w:rPr>
            </w:pPr>
            <w:r w:rsidRPr="00013C40">
              <w:rPr>
                <w:rFonts w:ascii="Arial" w:hAnsi="Arial" w:cs="Arial"/>
                <w:b/>
                <w:sz w:val="16"/>
                <w:szCs w:val="16"/>
              </w:rPr>
              <w:t>Cost/ Response</w:t>
            </w:r>
          </w:p>
        </w:tc>
      </w:tr>
      <w:tr w:rsidR="008445E3" w:rsidTr="00A7385E" w14:paraId="1D3F4E87" w14:textId="77777777">
        <w:trPr>
          <w:jc w:val="center"/>
        </w:trPr>
        <w:tc>
          <w:tcPr>
            <w:tcW w:w="1471" w:type="dxa"/>
            <w:tcMar>
              <w:top w:w="58" w:type="dxa"/>
              <w:left w:w="115" w:type="dxa"/>
              <w:bottom w:w="58" w:type="dxa"/>
              <w:right w:w="115" w:type="dxa"/>
            </w:tcMar>
          </w:tcPr>
          <w:p w:rsidRPr="00B849D7" w:rsidR="008445E3" w:rsidP="008445E3" w:rsidRDefault="008445E3" w14:paraId="58D19408" w14:textId="77777777">
            <w:pPr>
              <w:keepNext/>
              <w:keepLines/>
              <w:widowControl w:val="0"/>
              <w:tabs>
                <w:tab w:val="center" w:pos="4680"/>
              </w:tabs>
              <w:rPr>
                <w:rFonts w:ascii="Arial" w:hAnsi="Arial" w:cs="Arial"/>
                <w:sz w:val="18"/>
                <w:szCs w:val="18"/>
              </w:rPr>
            </w:pPr>
            <w:r w:rsidRPr="00B849D7">
              <w:rPr>
                <w:rFonts w:ascii="Arial" w:hAnsi="Arial" w:cs="Arial"/>
                <w:sz w:val="18"/>
                <w:szCs w:val="18"/>
              </w:rPr>
              <w:t>Operators</w:t>
            </w:r>
          </w:p>
        </w:tc>
        <w:tc>
          <w:tcPr>
            <w:tcW w:w="1255" w:type="dxa"/>
            <w:tcMar>
              <w:top w:w="58" w:type="dxa"/>
              <w:left w:w="115" w:type="dxa"/>
              <w:bottom w:w="58" w:type="dxa"/>
              <w:right w:w="115" w:type="dxa"/>
            </w:tcMar>
            <w:vAlign w:val="bottom"/>
          </w:tcPr>
          <w:p w:rsidRPr="009D24D3" w:rsidR="008445E3" w:rsidP="008445E3" w:rsidRDefault="008445E3" w14:paraId="7B28EC8A" w14:textId="6C94D277">
            <w:pPr>
              <w:jc w:val="right"/>
              <w:rPr>
                <w:rFonts w:ascii="Arial" w:hAnsi="Arial" w:cs="Arial"/>
                <w:sz w:val="18"/>
                <w:szCs w:val="18"/>
              </w:rPr>
            </w:pPr>
            <w:r w:rsidRPr="00E60C56">
              <w:rPr>
                <w:rFonts w:ascii="Arial" w:hAnsi="Arial" w:cs="Arial"/>
                <w:sz w:val="18"/>
                <w:szCs w:val="18"/>
              </w:rPr>
              <w:t>1,400,950</w:t>
            </w:r>
          </w:p>
        </w:tc>
        <w:tc>
          <w:tcPr>
            <w:tcW w:w="1459" w:type="dxa"/>
            <w:tcMar>
              <w:top w:w="58" w:type="dxa"/>
              <w:left w:w="115" w:type="dxa"/>
              <w:bottom w:w="58" w:type="dxa"/>
              <w:right w:w="115" w:type="dxa"/>
            </w:tcMar>
            <w:vAlign w:val="bottom"/>
          </w:tcPr>
          <w:p w:rsidRPr="009D24D3" w:rsidR="008445E3" w:rsidP="008445E3" w:rsidRDefault="008445E3" w14:paraId="6C077114" w14:textId="542E3563">
            <w:pPr>
              <w:jc w:val="right"/>
              <w:rPr>
                <w:rFonts w:ascii="Arial" w:hAnsi="Arial" w:cs="Arial"/>
                <w:sz w:val="18"/>
                <w:szCs w:val="18"/>
              </w:rPr>
            </w:pPr>
            <w:r w:rsidRPr="00E60C56">
              <w:rPr>
                <w:rFonts w:ascii="Arial" w:hAnsi="Arial" w:cs="Arial"/>
                <w:sz w:val="18"/>
                <w:szCs w:val="18"/>
              </w:rPr>
              <w:t xml:space="preserve">$76,659,534 </w:t>
            </w:r>
          </w:p>
        </w:tc>
        <w:tc>
          <w:tcPr>
            <w:tcW w:w="1598" w:type="dxa"/>
            <w:tcMar>
              <w:top w:w="58" w:type="dxa"/>
              <w:left w:w="115" w:type="dxa"/>
              <w:bottom w:w="58" w:type="dxa"/>
              <w:right w:w="115" w:type="dxa"/>
            </w:tcMar>
            <w:vAlign w:val="bottom"/>
          </w:tcPr>
          <w:p w:rsidRPr="009D24D3" w:rsidR="008445E3" w:rsidP="008445E3" w:rsidRDefault="008445E3" w14:paraId="7489EB59" w14:textId="51F2F11E">
            <w:pPr>
              <w:jc w:val="right"/>
              <w:rPr>
                <w:rFonts w:ascii="Arial" w:hAnsi="Arial" w:cs="Arial"/>
                <w:sz w:val="18"/>
                <w:szCs w:val="18"/>
              </w:rPr>
            </w:pPr>
            <w:r w:rsidRPr="00E60C56">
              <w:rPr>
                <w:rFonts w:ascii="Arial" w:hAnsi="Arial" w:cs="Arial"/>
                <w:sz w:val="18"/>
                <w:szCs w:val="18"/>
              </w:rPr>
              <w:t xml:space="preserve">$276,069,465 </w:t>
            </w:r>
          </w:p>
        </w:tc>
        <w:tc>
          <w:tcPr>
            <w:tcW w:w="1350" w:type="dxa"/>
            <w:tcMar>
              <w:top w:w="58" w:type="dxa"/>
              <w:left w:w="115" w:type="dxa"/>
              <w:bottom w:w="58" w:type="dxa"/>
              <w:right w:w="115" w:type="dxa"/>
            </w:tcMar>
            <w:vAlign w:val="bottom"/>
          </w:tcPr>
          <w:p w:rsidRPr="009D24D3" w:rsidR="008445E3" w:rsidP="008445E3" w:rsidRDefault="008445E3" w14:paraId="6A16A280" w14:textId="076027C2">
            <w:pPr>
              <w:jc w:val="right"/>
              <w:rPr>
                <w:rFonts w:ascii="Arial" w:hAnsi="Arial" w:cs="Arial"/>
                <w:sz w:val="18"/>
                <w:szCs w:val="18"/>
              </w:rPr>
            </w:pPr>
            <w:r w:rsidRPr="00E60C56">
              <w:rPr>
                <w:rFonts w:ascii="Arial" w:hAnsi="Arial" w:cs="Arial"/>
                <w:sz w:val="18"/>
                <w:szCs w:val="18"/>
              </w:rPr>
              <w:t xml:space="preserve">$352,728,999 </w:t>
            </w:r>
          </w:p>
        </w:tc>
        <w:tc>
          <w:tcPr>
            <w:tcW w:w="1080" w:type="dxa"/>
            <w:vAlign w:val="bottom"/>
          </w:tcPr>
          <w:p w:rsidRPr="009D24D3" w:rsidR="008445E3" w:rsidP="008445E3" w:rsidRDefault="008445E3" w14:paraId="0164FB5F" w14:textId="0B3C2575">
            <w:pPr>
              <w:jc w:val="right"/>
              <w:rPr>
                <w:rFonts w:ascii="Arial" w:hAnsi="Arial" w:cs="Arial"/>
                <w:sz w:val="18"/>
                <w:szCs w:val="18"/>
              </w:rPr>
            </w:pPr>
            <w:r w:rsidRPr="00E60C56">
              <w:rPr>
                <w:rFonts w:ascii="Arial" w:hAnsi="Arial" w:cs="Arial"/>
                <w:sz w:val="18"/>
                <w:szCs w:val="18"/>
              </w:rPr>
              <w:t xml:space="preserve">465,923.1 </w:t>
            </w:r>
          </w:p>
        </w:tc>
        <w:tc>
          <w:tcPr>
            <w:tcW w:w="1080" w:type="dxa"/>
            <w:vAlign w:val="bottom"/>
          </w:tcPr>
          <w:p w:rsidRPr="009D24D3" w:rsidR="008445E3" w:rsidP="008445E3" w:rsidRDefault="008445E3" w14:paraId="1A0C0A16" w14:textId="45D3325B">
            <w:pPr>
              <w:jc w:val="right"/>
              <w:rPr>
                <w:rFonts w:ascii="Arial" w:hAnsi="Arial" w:cs="Arial"/>
                <w:sz w:val="18"/>
                <w:szCs w:val="18"/>
              </w:rPr>
            </w:pPr>
            <w:r w:rsidRPr="00E60C56">
              <w:rPr>
                <w:rFonts w:ascii="Arial" w:hAnsi="Arial" w:cs="Arial"/>
                <w:sz w:val="18"/>
                <w:szCs w:val="18"/>
              </w:rPr>
              <w:t>3.01</w:t>
            </w:r>
          </w:p>
        </w:tc>
        <w:tc>
          <w:tcPr>
            <w:tcW w:w="1170" w:type="dxa"/>
            <w:vAlign w:val="bottom"/>
          </w:tcPr>
          <w:p w:rsidRPr="009D24D3" w:rsidR="008445E3" w:rsidP="008445E3" w:rsidRDefault="008445E3" w14:paraId="5AEBA5AA" w14:textId="703488BD">
            <w:pPr>
              <w:jc w:val="right"/>
              <w:rPr>
                <w:rFonts w:ascii="Arial" w:hAnsi="Arial" w:cs="Arial"/>
                <w:sz w:val="18"/>
                <w:szCs w:val="18"/>
              </w:rPr>
            </w:pPr>
            <w:r w:rsidRPr="00E60C56">
              <w:rPr>
                <w:rFonts w:ascii="Arial" w:hAnsi="Arial" w:cs="Arial"/>
                <w:sz w:val="18"/>
                <w:szCs w:val="18"/>
              </w:rPr>
              <w:t xml:space="preserve">$757.05 </w:t>
            </w:r>
          </w:p>
        </w:tc>
      </w:tr>
      <w:tr w:rsidR="008445E3" w:rsidTr="00A7385E" w14:paraId="40258D8D" w14:textId="77777777">
        <w:trPr>
          <w:jc w:val="center"/>
        </w:trPr>
        <w:tc>
          <w:tcPr>
            <w:tcW w:w="1471" w:type="dxa"/>
            <w:tcBorders>
              <w:bottom w:val="single" w:color="auto" w:sz="4" w:space="0"/>
            </w:tcBorders>
            <w:tcMar>
              <w:top w:w="58" w:type="dxa"/>
              <w:left w:w="115" w:type="dxa"/>
              <w:bottom w:w="58" w:type="dxa"/>
              <w:right w:w="115" w:type="dxa"/>
            </w:tcMar>
          </w:tcPr>
          <w:p w:rsidRPr="00B849D7" w:rsidR="008445E3" w:rsidP="008445E3" w:rsidRDefault="008445E3" w14:paraId="20B45215" w14:textId="77777777">
            <w:pPr>
              <w:keepNext/>
              <w:keepLines/>
              <w:widowControl w:val="0"/>
              <w:tabs>
                <w:tab w:val="center" w:pos="4680"/>
              </w:tabs>
              <w:rPr>
                <w:rFonts w:ascii="Arial" w:hAnsi="Arial" w:cs="Arial"/>
                <w:sz w:val="18"/>
                <w:szCs w:val="18"/>
              </w:rPr>
            </w:pPr>
            <w:r w:rsidRPr="00B849D7">
              <w:rPr>
                <w:rFonts w:ascii="Arial" w:hAnsi="Arial" w:cs="Arial"/>
                <w:sz w:val="18"/>
                <w:szCs w:val="18"/>
              </w:rPr>
              <w:t>Primacy States</w:t>
            </w:r>
          </w:p>
        </w:tc>
        <w:tc>
          <w:tcPr>
            <w:tcW w:w="1255" w:type="dxa"/>
            <w:tcBorders>
              <w:bottom w:val="single" w:color="auto" w:sz="4" w:space="0"/>
            </w:tcBorders>
            <w:tcMar>
              <w:top w:w="58" w:type="dxa"/>
              <w:left w:w="115" w:type="dxa"/>
              <w:bottom w:w="58" w:type="dxa"/>
              <w:right w:w="115" w:type="dxa"/>
            </w:tcMar>
            <w:vAlign w:val="bottom"/>
          </w:tcPr>
          <w:p w:rsidRPr="009D24D3" w:rsidR="008445E3" w:rsidP="008445E3" w:rsidRDefault="008445E3" w14:paraId="40BDBC95" w14:textId="74C444E0">
            <w:pPr>
              <w:jc w:val="right"/>
              <w:rPr>
                <w:rFonts w:ascii="Arial" w:hAnsi="Arial" w:cs="Arial"/>
                <w:sz w:val="18"/>
                <w:szCs w:val="18"/>
              </w:rPr>
            </w:pPr>
            <w:r w:rsidRPr="00E60C56">
              <w:rPr>
                <w:rFonts w:ascii="Arial" w:hAnsi="Arial" w:cs="Arial"/>
                <w:sz w:val="18"/>
                <w:szCs w:val="18"/>
              </w:rPr>
              <w:t>230,411</w:t>
            </w:r>
          </w:p>
        </w:tc>
        <w:tc>
          <w:tcPr>
            <w:tcW w:w="1459" w:type="dxa"/>
            <w:tcBorders>
              <w:bottom w:val="single" w:color="auto" w:sz="4" w:space="0"/>
            </w:tcBorders>
            <w:tcMar>
              <w:top w:w="58" w:type="dxa"/>
              <w:left w:w="115" w:type="dxa"/>
              <w:bottom w:w="58" w:type="dxa"/>
              <w:right w:w="115" w:type="dxa"/>
            </w:tcMar>
            <w:vAlign w:val="bottom"/>
          </w:tcPr>
          <w:p w:rsidRPr="009D24D3" w:rsidR="008445E3" w:rsidP="008445E3" w:rsidRDefault="008445E3" w14:paraId="49F86882" w14:textId="32320F59">
            <w:pPr>
              <w:jc w:val="right"/>
              <w:rPr>
                <w:rFonts w:ascii="Arial" w:hAnsi="Arial" w:cs="Arial"/>
                <w:sz w:val="18"/>
                <w:szCs w:val="18"/>
              </w:rPr>
            </w:pPr>
            <w:r w:rsidRPr="00E60C56">
              <w:rPr>
                <w:rFonts w:ascii="Arial" w:hAnsi="Arial" w:cs="Arial"/>
                <w:sz w:val="18"/>
                <w:szCs w:val="18"/>
              </w:rPr>
              <w:t xml:space="preserve">$10,580,465 </w:t>
            </w:r>
          </w:p>
        </w:tc>
        <w:tc>
          <w:tcPr>
            <w:tcW w:w="1598" w:type="dxa"/>
            <w:tcBorders>
              <w:bottom w:val="single" w:color="auto" w:sz="4" w:space="0"/>
            </w:tcBorders>
            <w:tcMar>
              <w:top w:w="58" w:type="dxa"/>
              <w:left w:w="115" w:type="dxa"/>
              <w:bottom w:w="58" w:type="dxa"/>
              <w:right w:w="115" w:type="dxa"/>
            </w:tcMar>
            <w:vAlign w:val="bottom"/>
          </w:tcPr>
          <w:p w:rsidRPr="009D24D3" w:rsidR="008445E3" w:rsidP="008445E3" w:rsidRDefault="008445E3" w14:paraId="59CE2EE6" w14:textId="64265707">
            <w:pPr>
              <w:jc w:val="right"/>
              <w:rPr>
                <w:rFonts w:ascii="Arial" w:hAnsi="Arial" w:cs="Arial"/>
                <w:sz w:val="18"/>
                <w:szCs w:val="18"/>
              </w:rPr>
            </w:pPr>
            <w:r w:rsidRPr="00E60C56">
              <w:rPr>
                <w:rFonts w:ascii="Arial" w:hAnsi="Arial" w:cs="Arial"/>
                <w:sz w:val="18"/>
                <w:szCs w:val="18"/>
              </w:rPr>
              <w:t xml:space="preserve">$0 </w:t>
            </w:r>
          </w:p>
        </w:tc>
        <w:tc>
          <w:tcPr>
            <w:tcW w:w="1350" w:type="dxa"/>
            <w:tcBorders>
              <w:bottom w:val="single" w:color="auto" w:sz="4" w:space="0"/>
            </w:tcBorders>
            <w:tcMar>
              <w:top w:w="58" w:type="dxa"/>
              <w:left w:w="115" w:type="dxa"/>
              <w:bottom w:w="58" w:type="dxa"/>
              <w:right w:w="115" w:type="dxa"/>
            </w:tcMar>
            <w:vAlign w:val="bottom"/>
          </w:tcPr>
          <w:p w:rsidRPr="009D24D3" w:rsidR="008445E3" w:rsidP="008445E3" w:rsidRDefault="008445E3" w14:paraId="55EA0811" w14:textId="5BEB9861">
            <w:pPr>
              <w:jc w:val="right"/>
              <w:rPr>
                <w:rFonts w:ascii="Arial" w:hAnsi="Arial" w:cs="Arial"/>
                <w:sz w:val="18"/>
                <w:szCs w:val="18"/>
              </w:rPr>
            </w:pPr>
            <w:r w:rsidRPr="00E60C56">
              <w:rPr>
                <w:rFonts w:ascii="Arial" w:hAnsi="Arial" w:cs="Arial"/>
                <w:sz w:val="18"/>
                <w:szCs w:val="18"/>
              </w:rPr>
              <w:t xml:space="preserve">$10,580,465 </w:t>
            </w:r>
          </w:p>
        </w:tc>
        <w:tc>
          <w:tcPr>
            <w:tcW w:w="1080" w:type="dxa"/>
            <w:tcBorders>
              <w:bottom w:val="single" w:color="auto" w:sz="4" w:space="0"/>
            </w:tcBorders>
            <w:vAlign w:val="bottom"/>
          </w:tcPr>
          <w:p w:rsidRPr="009D24D3" w:rsidR="008445E3" w:rsidP="008445E3" w:rsidRDefault="008445E3" w14:paraId="0E445E34" w14:textId="0ADB1DEE">
            <w:pPr>
              <w:jc w:val="right"/>
              <w:rPr>
                <w:rFonts w:ascii="Arial" w:hAnsi="Arial" w:cs="Arial"/>
                <w:sz w:val="18"/>
                <w:szCs w:val="18"/>
              </w:rPr>
            </w:pPr>
            <w:r w:rsidRPr="00E60C56">
              <w:rPr>
                <w:rFonts w:ascii="Arial" w:hAnsi="Arial" w:cs="Arial"/>
                <w:sz w:val="18"/>
                <w:szCs w:val="18"/>
              </w:rPr>
              <w:t xml:space="preserve">112,190.1 </w:t>
            </w:r>
          </w:p>
        </w:tc>
        <w:tc>
          <w:tcPr>
            <w:tcW w:w="1080" w:type="dxa"/>
            <w:tcBorders>
              <w:bottom w:val="single" w:color="auto" w:sz="4" w:space="0"/>
            </w:tcBorders>
            <w:vAlign w:val="bottom"/>
          </w:tcPr>
          <w:p w:rsidRPr="009D24D3" w:rsidR="008445E3" w:rsidP="008445E3" w:rsidRDefault="008445E3" w14:paraId="6FDEA530" w14:textId="15822831">
            <w:pPr>
              <w:jc w:val="right"/>
              <w:rPr>
                <w:rFonts w:ascii="Arial" w:hAnsi="Arial" w:cs="Arial"/>
                <w:sz w:val="18"/>
                <w:szCs w:val="18"/>
              </w:rPr>
            </w:pPr>
            <w:r w:rsidRPr="00E60C56">
              <w:rPr>
                <w:rFonts w:ascii="Arial" w:hAnsi="Arial" w:cs="Arial"/>
                <w:sz w:val="18"/>
                <w:szCs w:val="18"/>
              </w:rPr>
              <w:t>2.05</w:t>
            </w:r>
          </w:p>
        </w:tc>
        <w:tc>
          <w:tcPr>
            <w:tcW w:w="1170" w:type="dxa"/>
            <w:tcBorders>
              <w:bottom w:val="single" w:color="auto" w:sz="4" w:space="0"/>
            </w:tcBorders>
            <w:vAlign w:val="bottom"/>
          </w:tcPr>
          <w:p w:rsidRPr="009D24D3" w:rsidR="008445E3" w:rsidP="008445E3" w:rsidRDefault="008445E3" w14:paraId="4B741A66" w14:textId="3FEE431E">
            <w:pPr>
              <w:jc w:val="right"/>
              <w:rPr>
                <w:rFonts w:ascii="Arial" w:hAnsi="Arial" w:cs="Arial"/>
                <w:sz w:val="18"/>
                <w:szCs w:val="18"/>
              </w:rPr>
            </w:pPr>
            <w:r w:rsidRPr="00E60C56">
              <w:rPr>
                <w:rFonts w:ascii="Arial" w:hAnsi="Arial" w:cs="Arial"/>
                <w:sz w:val="18"/>
                <w:szCs w:val="18"/>
              </w:rPr>
              <w:t xml:space="preserve">$94.31 </w:t>
            </w:r>
          </w:p>
        </w:tc>
      </w:tr>
      <w:tr w:rsidR="008445E3" w:rsidTr="00A7385E" w14:paraId="20677A0F" w14:textId="77777777">
        <w:trPr>
          <w:jc w:val="center"/>
        </w:trPr>
        <w:tc>
          <w:tcPr>
            <w:tcW w:w="1471" w:type="dxa"/>
            <w:shd w:val="clear" w:color="auto" w:fill="E6E6E6"/>
            <w:tcMar>
              <w:top w:w="58" w:type="dxa"/>
              <w:left w:w="115" w:type="dxa"/>
              <w:bottom w:w="58" w:type="dxa"/>
              <w:right w:w="115" w:type="dxa"/>
            </w:tcMar>
          </w:tcPr>
          <w:p w:rsidRPr="00B849D7" w:rsidR="008445E3" w:rsidP="008445E3" w:rsidRDefault="008445E3" w14:paraId="7BB43389" w14:textId="77777777">
            <w:pPr>
              <w:keepNext/>
              <w:keepLines/>
              <w:widowControl w:val="0"/>
              <w:tabs>
                <w:tab w:val="center" w:pos="4680"/>
              </w:tabs>
              <w:rPr>
                <w:rFonts w:ascii="Arial" w:hAnsi="Arial" w:cs="Arial"/>
                <w:sz w:val="18"/>
                <w:szCs w:val="18"/>
              </w:rPr>
            </w:pPr>
            <w:r w:rsidRPr="00B849D7">
              <w:rPr>
                <w:rFonts w:ascii="Arial" w:hAnsi="Arial" w:cs="Arial"/>
                <w:b/>
                <w:sz w:val="18"/>
                <w:szCs w:val="18"/>
              </w:rPr>
              <w:t>Respondent total</w:t>
            </w:r>
          </w:p>
        </w:tc>
        <w:tc>
          <w:tcPr>
            <w:tcW w:w="1255" w:type="dxa"/>
            <w:shd w:val="clear" w:color="auto" w:fill="E6E6E6"/>
            <w:tcMar>
              <w:top w:w="58" w:type="dxa"/>
              <w:left w:w="115" w:type="dxa"/>
              <w:bottom w:w="58" w:type="dxa"/>
              <w:right w:w="115" w:type="dxa"/>
            </w:tcMar>
            <w:vAlign w:val="bottom"/>
          </w:tcPr>
          <w:p w:rsidRPr="009D24D3" w:rsidR="008445E3" w:rsidP="008445E3" w:rsidRDefault="008445E3" w14:paraId="4B29FC64" w14:textId="19ADFBBB">
            <w:pPr>
              <w:jc w:val="right"/>
              <w:rPr>
                <w:rFonts w:ascii="Arial" w:hAnsi="Arial" w:cs="Arial"/>
                <w:b/>
                <w:bCs/>
                <w:sz w:val="18"/>
                <w:szCs w:val="18"/>
              </w:rPr>
            </w:pPr>
            <w:r w:rsidRPr="00E60C56">
              <w:rPr>
                <w:rFonts w:ascii="Arial" w:hAnsi="Arial" w:cs="Arial"/>
                <w:b/>
                <w:bCs/>
                <w:sz w:val="18"/>
                <w:szCs w:val="18"/>
              </w:rPr>
              <w:t>1,631,360</w:t>
            </w:r>
          </w:p>
        </w:tc>
        <w:tc>
          <w:tcPr>
            <w:tcW w:w="1459" w:type="dxa"/>
            <w:shd w:val="clear" w:color="auto" w:fill="E6E6E6"/>
            <w:tcMar>
              <w:top w:w="58" w:type="dxa"/>
              <w:left w:w="115" w:type="dxa"/>
              <w:bottom w:w="58" w:type="dxa"/>
              <w:right w:w="115" w:type="dxa"/>
            </w:tcMar>
            <w:vAlign w:val="bottom"/>
          </w:tcPr>
          <w:p w:rsidRPr="009D24D3" w:rsidR="008445E3" w:rsidP="008445E3" w:rsidRDefault="008445E3" w14:paraId="24C45847" w14:textId="68F5AB65">
            <w:pPr>
              <w:jc w:val="right"/>
              <w:rPr>
                <w:rFonts w:ascii="Arial" w:hAnsi="Arial" w:cs="Arial"/>
                <w:b/>
                <w:bCs/>
                <w:sz w:val="18"/>
                <w:szCs w:val="18"/>
              </w:rPr>
            </w:pPr>
            <w:r w:rsidRPr="00E60C56">
              <w:rPr>
                <w:rFonts w:ascii="Arial" w:hAnsi="Arial" w:cs="Arial"/>
                <w:b/>
                <w:bCs/>
                <w:sz w:val="18"/>
                <w:szCs w:val="18"/>
              </w:rPr>
              <w:t xml:space="preserve">$87,239,999 </w:t>
            </w:r>
          </w:p>
        </w:tc>
        <w:tc>
          <w:tcPr>
            <w:tcW w:w="1598" w:type="dxa"/>
            <w:shd w:val="clear" w:color="auto" w:fill="E6E6E6"/>
            <w:tcMar>
              <w:top w:w="58" w:type="dxa"/>
              <w:left w:w="115" w:type="dxa"/>
              <w:bottom w:w="58" w:type="dxa"/>
              <w:right w:w="115" w:type="dxa"/>
            </w:tcMar>
            <w:vAlign w:val="bottom"/>
          </w:tcPr>
          <w:p w:rsidRPr="009D24D3" w:rsidR="008445E3" w:rsidP="008445E3" w:rsidRDefault="008445E3" w14:paraId="1B7B6E5E" w14:textId="7D2B9028">
            <w:pPr>
              <w:jc w:val="right"/>
              <w:rPr>
                <w:rFonts w:ascii="Arial" w:hAnsi="Arial" w:cs="Arial"/>
                <w:b/>
                <w:bCs/>
                <w:sz w:val="18"/>
                <w:szCs w:val="18"/>
              </w:rPr>
            </w:pPr>
            <w:r w:rsidRPr="00E60C56">
              <w:rPr>
                <w:rFonts w:ascii="Arial" w:hAnsi="Arial" w:cs="Arial"/>
                <w:b/>
                <w:bCs/>
                <w:sz w:val="18"/>
                <w:szCs w:val="18"/>
              </w:rPr>
              <w:t xml:space="preserve">$276,069,465 </w:t>
            </w:r>
          </w:p>
        </w:tc>
        <w:tc>
          <w:tcPr>
            <w:tcW w:w="1350" w:type="dxa"/>
            <w:shd w:val="clear" w:color="auto" w:fill="E6E6E6"/>
            <w:tcMar>
              <w:top w:w="58" w:type="dxa"/>
              <w:left w:w="115" w:type="dxa"/>
              <w:bottom w:w="58" w:type="dxa"/>
              <w:right w:w="115" w:type="dxa"/>
            </w:tcMar>
            <w:vAlign w:val="bottom"/>
          </w:tcPr>
          <w:p w:rsidRPr="009D24D3" w:rsidR="008445E3" w:rsidP="008445E3" w:rsidRDefault="008445E3" w14:paraId="6945C611" w14:textId="2089F39A">
            <w:pPr>
              <w:jc w:val="right"/>
              <w:rPr>
                <w:rFonts w:ascii="Arial" w:hAnsi="Arial" w:cs="Arial"/>
                <w:b/>
                <w:bCs/>
                <w:sz w:val="18"/>
                <w:szCs w:val="18"/>
              </w:rPr>
            </w:pPr>
            <w:r w:rsidRPr="00E60C56">
              <w:rPr>
                <w:rFonts w:ascii="Arial" w:hAnsi="Arial" w:cs="Arial"/>
                <w:b/>
                <w:bCs/>
                <w:sz w:val="18"/>
                <w:szCs w:val="18"/>
              </w:rPr>
              <w:t xml:space="preserve">$363,309,464 </w:t>
            </w:r>
          </w:p>
        </w:tc>
        <w:tc>
          <w:tcPr>
            <w:tcW w:w="1080" w:type="dxa"/>
            <w:shd w:val="clear" w:color="auto" w:fill="E6E6E6"/>
            <w:vAlign w:val="bottom"/>
          </w:tcPr>
          <w:p w:rsidRPr="009D24D3" w:rsidR="008445E3" w:rsidP="008445E3" w:rsidRDefault="008445E3" w14:paraId="34CC63AD" w14:textId="7A8D9DAF">
            <w:pPr>
              <w:jc w:val="right"/>
              <w:rPr>
                <w:rFonts w:ascii="Arial" w:hAnsi="Arial" w:cs="Arial"/>
                <w:b/>
                <w:bCs/>
                <w:sz w:val="18"/>
                <w:szCs w:val="18"/>
              </w:rPr>
            </w:pPr>
            <w:r w:rsidRPr="00E60C56">
              <w:rPr>
                <w:rFonts w:ascii="Arial" w:hAnsi="Arial" w:cs="Arial"/>
                <w:b/>
                <w:bCs/>
                <w:sz w:val="18"/>
                <w:szCs w:val="18"/>
              </w:rPr>
              <w:t xml:space="preserve">578,113.2 </w:t>
            </w:r>
          </w:p>
        </w:tc>
        <w:tc>
          <w:tcPr>
            <w:tcW w:w="1080" w:type="dxa"/>
            <w:shd w:val="clear" w:color="auto" w:fill="E6E6E6"/>
            <w:vAlign w:val="bottom"/>
          </w:tcPr>
          <w:p w:rsidRPr="009D24D3" w:rsidR="008445E3" w:rsidP="008445E3" w:rsidRDefault="008445E3" w14:paraId="2018B419" w14:textId="3435FB40">
            <w:pPr>
              <w:jc w:val="right"/>
              <w:rPr>
                <w:rFonts w:ascii="Arial" w:hAnsi="Arial" w:cs="Arial"/>
                <w:b/>
                <w:bCs/>
                <w:sz w:val="18"/>
                <w:szCs w:val="18"/>
              </w:rPr>
            </w:pPr>
            <w:r w:rsidRPr="00E60C56">
              <w:rPr>
                <w:rFonts w:ascii="Arial" w:hAnsi="Arial" w:cs="Arial"/>
                <w:b/>
                <w:bCs/>
                <w:sz w:val="18"/>
                <w:szCs w:val="18"/>
              </w:rPr>
              <w:t>2.82</w:t>
            </w:r>
          </w:p>
        </w:tc>
        <w:tc>
          <w:tcPr>
            <w:tcW w:w="1170" w:type="dxa"/>
            <w:shd w:val="clear" w:color="auto" w:fill="E6E6E6"/>
            <w:vAlign w:val="bottom"/>
          </w:tcPr>
          <w:p w:rsidRPr="009D24D3" w:rsidR="008445E3" w:rsidP="008445E3" w:rsidRDefault="008445E3" w14:paraId="6EC1EB29" w14:textId="632495BE">
            <w:pPr>
              <w:jc w:val="right"/>
              <w:rPr>
                <w:rFonts w:ascii="Arial" w:hAnsi="Arial" w:cs="Arial"/>
                <w:b/>
                <w:bCs/>
                <w:sz w:val="18"/>
                <w:szCs w:val="18"/>
              </w:rPr>
            </w:pPr>
            <w:r w:rsidRPr="00E60C56">
              <w:rPr>
                <w:rFonts w:ascii="Arial" w:hAnsi="Arial" w:cs="Arial"/>
                <w:b/>
                <w:bCs/>
                <w:sz w:val="18"/>
                <w:szCs w:val="18"/>
              </w:rPr>
              <w:t xml:space="preserve">$628.44 </w:t>
            </w:r>
          </w:p>
        </w:tc>
      </w:tr>
      <w:tr w:rsidR="008445E3" w:rsidTr="00A7385E" w14:paraId="1B3B8AFA" w14:textId="77777777">
        <w:trPr>
          <w:jc w:val="center"/>
        </w:trPr>
        <w:tc>
          <w:tcPr>
            <w:tcW w:w="1471" w:type="dxa"/>
            <w:tcMar>
              <w:top w:w="58" w:type="dxa"/>
              <w:left w:w="115" w:type="dxa"/>
              <w:bottom w:w="58" w:type="dxa"/>
              <w:right w:w="115" w:type="dxa"/>
            </w:tcMar>
          </w:tcPr>
          <w:p w:rsidRPr="00B849D7" w:rsidR="008445E3" w:rsidP="008445E3" w:rsidRDefault="008445E3" w14:paraId="3CC25629" w14:textId="77777777">
            <w:pPr>
              <w:keepNext/>
              <w:keepLines/>
              <w:widowControl w:val="0"/>
              <w:tabs>
                <w:tab w:val="center" w:pos="4680"/>
              </w:tabs>
              <w:rPr>
                <w:rFonts w:ascii="Arial" w:hAnsi="Arial" w:cs="Arial"/>
                <w:sz w:val="18"/>
                <w:szCs w:val="18"/>
              </w:rPr>
            </w:pPr>
            <w:r w:rsidRPr="00B849D7">
              <w:rPr>
                <w:rFonts w:ascii="Arial" w:hAnsi="Arial" w:cs="Arial"/>
                <w:sz w:val="18"/>
                <w:szCs w:val="18"/>
              </w:rPr>
              <w:t>EPA</w:t>
            </w:r>
          </w:p>
        </w:tc>
        <w:tc>
          <w:tcPr>
            <w:tcW w:w="1255" w:type="dxa"/>
            <w:tcMar>
              <w:top w:w="58" w:type="dxa"/>
              <w:left w:w="115" w:type="dxa"/>
              <w:bottom w:w="58" w:type="dxa"/>
              <w:right w:w="115" w:type="dxa"/>
            </w:tcMar>
            <w:vAlign w:val="bottom"/>
          </w:tcPr>
          <w:p w:rsidRPr="009D24D3" w:rsidR="008445E3" w:rsidP="008445E3" w:rsidRDefault="008445E3" w14:paraId="06702C07" w14:textId="24246846">
            <w:pPr>
              <w:jc w:val="right"/>
              <w:rPr>
                <w:rFonts w:ascii="Arial" w:hAnsi="Arial" w:cs="Arial"/>
                <w:sz w:val="18"/>
                <w:szCs w:val="18"/>
              </w:rPr>
            </w:pPr>
            <w:r w:rsidRPr="00E60C56">
              <w:rPr>
                <w:rFonts w:ascii="Arial" w:hAnsi="Arial" w:cs="Arial"/>
                <w:sz w:val="18"/>
                <w:szCs w:val="18"/>
              </w:rPr>
              <w:t>42,516</w:t>
            </w:r>
          </w:p>
        </w:tc>
        <w:tc>
          <w:tcPr>
            <w:tcW w:w="1459" w:type="dxa"/>
            <w:tcMar>
              <w:top w:w="58" w:type="dxa"/>
              <w:left w:w="115" w:type="dxa"/>
              <w:bottom w:w="58" w:type="dxa"/>
              <w:right w:w="115" w:type="dxa"/>
            </w:tcMar>
            <w:vAlign w:val="bottom"/>
          </w:tcPr>
          <w:p w:rsidRPr="009D24D3" w:rsidR="008445E3" w:rsidP="008445E3" w:rsidRDefault="008445E3" w14:paraId="1855C6D0" w14:textId="3E4D401E">
            <w:pPr>
              <w:jc w:val="right"/>
              <w:rPr>
                <w:rFonts w:ascii="Arial" w:hAnsi="Arial" w:cs="Arial"/>
                <w:sz w:val="18"/>
                <w:szCs w:val="18"/>
              </w:rPr>
            </w:pPr>
            <w:r w:rsidRPr="00E60C56">
              <w:rPr>
                <w:rFonts w:ascii="Arial" w:hAnsi="Arial" w:cs="Arial"/>
                <w:sz w:val="18"/>
                <w:szCs w:val="18"/>
              </w:rPr>
              <w:t xml:space="preserve">$1,952,314 </w:t>
            </w:r>
          </w:p>
        </w:tc>
        <w:tc>
          <w:tcPr>
            <w:tcW w:w="1598" w:type="dxa"/>
            <w:tcMar>
              <w:top w:w="58" w:type="dxa"/>
              <w:left w:w="115" w:type="dxa"/>
              <w:bottom w:w="58" w:type="dxa"/>
              <w:right w:w="115" w:type="dxa"/>
            </w:tcMar>
            <w:vAlign w:val="bottom"/>
          </w:tcPr>
          <w:p w:rsidRPr="009D24D3" w:rsidR="008445E3" w:rsidP="008445E3" w:rsidRDefault="008445E3" w14:paraId="2DB8CADE" w14:textId="3384DDD4">
            <w:pPr>
              <w:jc w:val="right"/>
              <w:rPr>
                <w:rFonts w:ascii="Arial" w:hAnsi="Arial" w:cs="Arial"/>
                <w:sz w:val="18"/>
                <w:szCs w:val="18"/>
              </w:rPr>
            </w:pPr>
            <w:r w:rsidRPr="00E60C56">
              <w:rPr>
                <w:rFonts w:ascii="Arial" w:hAnsi="Arial" w:cs="Arial"/>
                <w:sz w:val="18"/>
                <w:szCs w:val="18"/>
              </w:rPr>
              <w:t xml:space="preserve">$0 </w:t>
            </w:r>
          </w:p>
        </w:tc>
        <w:tc>
          <w:tcPr>
            <w:tcW w:w="1350" w:type="dxa"/>
            <w:tcMar>
              <w:top w:w="58" w:type="dxa"/>
              <w:left w:w="115" w:type="dxa"/>
              <w:bottom w:w="58" w:type="dxa"/>
              <w:right w:w="115" w:type="dxa"/>
            </w:tcMar>
            <w:vAlign w:val="bottom"/>
          </w:tcPr>
          <w:p w:rsidRPr="009D24D3" w:rsidR="008445E3" w:rsidP="008445E3" w:rsidRDefault="008445E3" w14:paraId="254B6E0F" w14:textId="063ABAC7">
            <w:pPr>
              <w:jc w:val="right"/>
              <w:rPr>
                <w:rFonts w:ascii="Arial" w:hAnsi="Arial" w:cs="Arial"/>
                <w:sz w:val="18"/>
                <w:szCs w:val="18"/>
              </w:rPr>
            </w:pPr>
            <w:r w:rsidRPr="00E60C56">
              <w:rPr>
                <w:rFonts w:ascii="Arial" w:hAnsi="Arial" w:cs="Arial"/>
                <w:sz w:val="18"/>
                <w:szCs w:val="18"/>
              </w:rPr>
              <w:t xml:space="preserve">$1,952,314 </w:t>
            </w:r>
          </w:p>
        </w:tc>
        <w:tc>
          <w:tcPr>
            <w:tcW w:w="1080" w:type="dxa"/>
            <w:vAlign w:val="bottom"/>
          </w:tcPr>
          <w:p w:rsidRPr="009D24D3" w:rsidR="008445E3" w:rsidP="008445E3" w:rsidRDefault="008445E3" w14:paraId="59C9ECE5" w14:textId="51217735">
            <w:pPr>
              <w:jc w:val="right"/>
              <w:rPr>
                <w:rFonts w:ascii="Arial" w:hAnsi="Arial" w:cs="Arial"/>
                <w:sz w:val="18"/>
                <w:szCs w:val="18"/>
              </w:rPr>
            </w:pPr>
            <w:r w:rsidRPr="00E60C56">
              <w:rPr>
                <w:rFonts w:ascii="Arial" w:hAnsi="Arial" w:cs="Arial"/>
                <w:sz w:val="18"/>
                <w:szCs w:val="18"/>
              </w:rPr>
              <w:t xml:space="preserve">12,378.1 </w:t>
            </w:r>
          </w:p>
        </w:tc>
        <w:tc>
          <w:tcPr>
            <w:tcW w:w="1080" w:type="dxa"/>
            <w:vAlign w:val="bottom"/>
          </w:tcPr>
          <w:p w:rsidRPr="009D24D3" w:rsidR="008445E3" w:rsidP="008445E3" w:rsidRDefault="008445E3" w14:paraId="3291F6EB" w14:textId="3BF814D4">
            <w:pPr>
              <w:jc w:val="right"/>
              <w:rPr>
                <w:rFonts w:ascii="Arial" w:hAnsi="Arial" w:cs="Arial"/>
                <w:sz w:val="18"/>
                <w:szCs w:val="18"/>
              </w:rPr>
            </w:pPr>
            <w:r w:rsidRPr="00E60C56">
              <w:rPr>
                <w:rFonts w:ascii="Arial" w:hAnsi="Arial" w:cs="Arial"/>
                <w:sz w:val="18"/>
                <w:szCs w:val="18"/>
              </w:rPr>
              <w:t>3.43</w:t>
            </w:r>
          </w:p>
        </w:tc>
        <w:tc>
          <w:tcPr>
            <w:tcW w:w="1170" w:type="dxa"/>
            <w:vAlign w:val="bottom"/>
          </w:tcPr>
          <w:p w:rsidRPr="009D24D3" w:rsidR="008445E3" w:rsidP="008445E3" w:rsidRDefault="008445E3" w14:paraId="24BA542A" w14:textId="3F3541D4">
            <w:pPr>
              <w:jc w:val="right"/>
              <w:rPr>
                <w:rFonts w:ascii="Arial" w:hAnsi="Arial" w:cs="Arial"/>
                <w:sz w:val="18"/>
                <w:szCs w:val="18"/>
              </w:rPr>
            </w:pPr>
            <w:r w:rsidRPr="00E60C56">
              <w:rPr>
                <w:rFonts w:ascii="Arial" w:hAnsi="Arial" w:cs="Arial"/>
                <w:sz w:val="18"/>
                <w:szCs w:val="18"/>
              </w:rPr>
              <w:t xml:space="preserve">$157.72 </w:t>
            </w:r>
          </w:p>
        </w:tc>
      </w:tr>
      <w:tr w:rsidR="008445E3" w:rsidTr="004C12A0" w14:paraId="2D9910A9" w14:textId="77777777">
        <w:trPr>
          <w:trHeight w:val="20"/>
          <w:jc w:val="center"/>
        </w:trPr>
        <w:tc>
          <w:tcPr>
            <w:tcW w:w="1471" w:type="dxa"/>
            <w:tcBorders>
              <w:bottom w:val="single" w:color="auto" w:sz="4" w:space="0"/>
            </w:tcBorders>
            <w:tcMar>
              <w:top w:w="58" w:type="dxa"/>
              <w:left w:w="115" w:type="dxa"/>
              <w:bottom w:w="58" w:type="dxa"/>
              <w:right w:w="115" w:type="dxa"/>
            </w:tcMar>
          </w:tcPr>
          <w:p w:rsidRPr="00B849D7" w:rsidR="008445E3" w:rsidP="008445E3" w:rsidRDefault="008445E3" w14:paraId="564F69BE" w14:textId="77777777">
            <w:pPr>
              <w:keepNext/>
              <w:keepLines/>
              <w:widowControl w:val="0"/>
              <w:tabs>
                <w:tab w:val="center" w:pos="4680"/>
              </w:tabs>
              <w:rPr>
                <w:rFonts w:ascii="Arial" w:hAnsi="Arial" w:cs="Arial"/>
                <w:b/>
                <w:sz w:val="18"/>
                <w:szCs w:val="18"/>
              </w:rPr>
            </w:pPr>
            <w:r w:rsidRPr="00B849D7">
              <w:rPr>
                <w:rFonts w:ascii="Arial" w:hAnsi="Arial" w:cs="Arial"/>
                <w:b/>
                <w:sz w:val="18"/>
                <w:szCs w:val="18"/>
              </w:rPr>
              <w:t>TOTAL</w:t>
            </w:r>
          </w:p>
        </w:tc>
        <w:tc>
          <w:tcPr>
            <w:tcW w:w="1255" w:type="dxa"/>
            <w:tcBorders>
              <w:bottom w:val="single" w:color="auto" w:sz="4" w:space="0"/>
            </w:tcBorders>
            <w:tcMar>
              <w:top w:w="58" w:type="dxa"/>
              <w:left w:w="115" w:type="dxa"/>
              <w:bottom w:w="58" w:type="dxa"/>
              <w:right w:w="115" w:type="dxa"/>
            </w:tcMar>
            <w:vAlign w:val="bottom"/>
          </w:tcPr>
          <w:p w:rsidRPr="009D24D3" w:rsidR="008445E3" w:rsidP="008445E3" w:rsidRDefault="008445E3" w14:paraId="3F987E75" w14:textId="0CE0187F">
            <w:pPr>
              <w:jc w:val="right"/>
              <w:rPr>
                <w:rFonts w:ascii="Arial" w:hAnsi="Arial" w:cs="Arial"/>
                <w:b/>
                <w:bCs/>
                <w:sz w:val="18"/>
                <w:szCs w:val="18"/>
              </w:rPr>
            </w:pPr>
            <w:r w:rsidRPr="00E60C56">
              <w:rPr>
                <w:rFonts w:ascii="Arial" w:hAnsi="Arial" w:cs="Arial"/>
                <w:b/>
                <w:bCs/>
                <w:sz w:val="18"/>
                <w:szCs w:val="18"/>
              </w:rPr>
              <w:t>1,673,876</w:t>
            </w:r>
          </w:p>
        </w:tc>
        <w:tc>
          <w:tcPr>
            <w:tcW w:w="1459" w:type="dxa"/>
            <w:tcBorders>
              <w:bottom w:val="single" w:color="auto" w:sz="4" w:space="0"/>
            </w:tcBorders>
            <w:tcMar>
              <w:top w:w="58" w:type="dxa"/>
              <w:left w:w="115" w:type="dxa"/>
              <w:bottom w:w="58" w:type="dxa"/>
              <w:right w:w="115" w:type="dxa"/>
            </w:tcMar>
            <w:vAlign w:val="bottom"/>
          </w:tcPr>
          <w:p w:rsidRPr="009D24D3" w:rsidR="008445E3" w:rsidP="008445E3" w:rsidRDefault="008445E3" w14:paraId="58381F93" w14:textId="249EB71A">
            <w:pPr>
              <w:jc w:val="right"/>
              <w:rPr>
                <w:rFonts w:ascii="Arial" w:hAnsi="Arial" w:cs="Arial"/>
                <w:b/>
                <w:bCs/>
                <w:sz w:val="18"/>
                <w:szCs w:val="18"/>
              </w:rPr>
            </w:pPr>
            <w:r w:rsidRPr="00E60C56">
              <w:rPr>
                <w:rFonts w:ascii="Arial" w:hAnsi="Arial" w:cs="Arial"/>
                <w:b/>
                <w:bCs/>
                <w:sz w:val="18"/>
                <w:szCs w:val="18"/>
              </w:rPr>
              <w:t xml:space="preserve">$89,192,313 </w:t>
            </w:r>
          </w:p>
        </w:tc>
        <w:tc>
          <w:tcPr>
            <w:tcW w:w="1598" w:type="dxa"/>
            <w:tcBorders>
              <w:bottom w:val="single" w:color="auto" w:sz="4" w:space="0"/>
            </w:tcBorders>
            <w:tcMar>
              <w:top w:w="58" w:type="dxa"/>
              <w:left w:w="115" w:type="dxa"/>
              <w:bottom w:w="58" w:type="dxa"/>
              <w:right w:w="115" w:type="dxa"/>
            </w:tcMar>
            <w:vAlign w:val="bottom"/>
          </w:tcPr>
          <w:p w:rsidRPr="009D24D3" w:rsidR="008445E3" w:rsidP="008445E3" w:rsidRDefault="008445E3" w14:paraId="7C2038C5" w14:textId="5EFB8555">
            <w:pPr>
              <w:jc w:val="right"/>
              <w:rPr>
                <w:rFonts w:ascii="Arial" w:hAnsi="Arial" w:cs="Arial"/>
                <w:b/>
                <w:bCs/>
                <w:sz w:val="18"/>
                <w:szCs w:val="18"/>
              </w:rPr>
            </w:pPr>
            <w:r w:rsidRPr="00E60C56">
              <w:rPr>
                <w:rFonts w:ascii="Arial" w:hAnsi="Arial" w:cs="Arial"/>
                <w:b/>
                <w:bCs/>
                <w:sz w:val="18"/>
                <w:szCs w:val="18"/>
              </w:rPr>
              <w:t xml:space="preserve">$276,069,465 </w:t>
            </w:r>
          </w:p>
        </w:tc>
        <w:tc>
          <w:tcPr>
            <w:tcW w:w="1350" w:type="dxa"/>
            <w:tcBorders>
              <w:bottom w:val="single" w:color="auto" w:sz="4" w:space="0"/>
            </w:tcBorders>
            <w:tcMar>
              <w:top w:w="58" w:type="dxa"/>
              <w:left w:w="115" w:type="dxa"/>
              <w:bottom w:w="58" w:type="dxa"/>
              <w:right w:w="115" w:type="dxa"/>
            </w:tcMar>
            <w:vAlign w:val="bottom"/>
          </w:tcPr>
          <w:p w:rsidRPr="009D24D3" w:rsidR="008445E3" w:rsidP="008445E3" w:rsidRDefault="008445E3" w14:paraId="7B2ECCC2" w14:textId="441019B7">
            <w:pPr>
              <w:jc w:val="right"/>
              <w:rPr>
                <w:rFonts w:ascii="Arial" w:hAnsi="Arial" w:cs="Arial"/>
                <w:b/>
                <w:bCs/>
                <w:sz w:val="18"/>
                <w:szCs w:val="18"/>
              </w:rPr>
            </w:pPr>
            <w:r w:rsidRPr="00E60C56">
              <w:rPr>
                <w:rFonts w:ascii="Arial" w:hAnsi="Arial" w:cs="Arial"/>
                <w:b/>
                <w:bCs/>
                <w:sz w:val="18"/>
                <w:szCs w:val="18"/>
              </w:rPr>
              <w:t xml:space="preserve">$365,261,778 </w:t>
            </w:r>
          </w:p>
        </w:tc>
        <w:tc>
          <w:tcPr>
            <w:tcW w:w="1080" w:type="dxa"/>
            <w:tcBorders>
              <w:bottom w:val="single" w:color="auto" w:sz="4" w:space="0"/>
            </w:tcBorders>
            <w:vAlign w:val="bottom"/>
          </w:tcPr>
          <w:p w:rsidRPr="009D24D3" w:rsidR="008445E3" w:rsidP="008445E3" w:rsidRDefault="008445E3" w14:paraId="4D721D98" w14:textId="6EF79649">
            <w:pPr>
              <w:jc w:val="right"/>
              <w:rPr>
                <w:rFonts w:ascii="Arial" w:hAnsi="Arial" w:cs="Arial"/>
                <w:b/>
                <w:bCs/>
                <w:sz w:val="18"/>
                <w:szCs w:val="18"/>
              </w:rPr>
            </w:pPr>
            <w:r w:rsidRPr="00E60C56">
              <w:rPr>
                <w:rFonts w:ascii="Arial" w:hAnsi="Arial" w:cs="Arial"/>
                <w:b/>
                <w:bCs/>
                <w:sz w:val="18"/>
                <w:szCs w:val="18"/>
              </w:rPr>
              <w:t xml:space="preserve">590,491.2 </w:t>
            </w:r>
          </w:p>
        </w:tc>
        <w:tc>
          <w:tcPr>
            <w:tcW w:w="1080" w:type="dxa"/>
            <w:tcBorders>
              <w:bottom w:val="single" w:color="auto" w:sz="4" w:space="0"/>
            </w:tcBorders>
            <w:vAlign w:val="bottom"/>
          </w:tcPr>
          <w:p w:rsidRPr="009D24D3" w:rsidR="008445E3" w:rsidP="008445E3" w:rsidRDefault="008445E3" w14:paraId="2DE63872" w14:textId="5030F3E8">
            <w:pPr>
              <w:jc w:val="right"/>
              <w:rPr>
                <w:rFonts w:ascii="Arial" w:hAnsi="Arial" w:cs="Arial"/>
                <w:b/>
                <w:bCs/>
                <w:sz w:val="18"/>
                <w:szCs w:val="18"/>
              </w:rPr>
            </w:pPr>
            <w:r w:rsidRPr="00E60C56">
              <w:rPr>
                <w:rFonts w:ascii="Arial" w:hAnsi="Arial" w:cs="Arial"/>
                <w:b/>
                <w:bCs/>
                <w:sz w:val="18"/>
                <w:szCs w:val="18"/>
              </w:rPr>
              <w:t>2.83</w:t>
            </w:r>
          </w:p>
        </w:tc>
        <w:tc>
          <w:tcPr>
            <w:tcW w:w="1170" w:type="dxa"/>
            <w:tcBorders>
              <w:bottom w:val="single" w:color="auto" w:sz="4" w:space="0"/>
            </w:tcBorders>
            <w:vAlign w:val="bottom"/>
          </w:tcPr>
          <w:p w:rsidRPr="009D24D3" w:rsidR="008445E3" w:rsidP="008445E3" w:rsidRDefault="008445E3" w14:paraId="74103A4A" w14:textId="767EE736">
            <w:pPr>
              <w:jc w:val="right"/>
              <w:rPr>
                <w:rFonts w:ascii="Arial" w:hAnsi="Arial" w:cs="Arial"/>
                <w:b/>
                <w:bCs/>
                <w:sz w:val="18"/>
                <w:szCs w:val="18"/>
              </w:rPr>
            </w:pPr>
            <w:r w:rsidRPr="00E60C56">
              <w:rPr>
                <w:rFonts w:ascii="Arial" w:hAnsi="Arial" w:cs="Arial"/>
                <w:b/>
                <w:bCs/>
                <w:sz w:val="18"/>
                <w:szCs w:val="18"/>
              </w:rPr>
              <w:t xml:space="preserve">$618.57 </w:t>
            </w:r>
          </w:p>
        </w:tc>
      </w:tr>
      <w:tr w:rsidR="008445E3" w:rsidTr="00A7385E" w14:paraId="5E2D14A9" w14:textId="77777777">
        <w:trPr>
          <w:jc w:val="center"/>
        </w:trPr>
        <w:tc>
          <w:tcPr>
            <w:tcW w:w="10463" w:type="dxa"/>
            <w:gridSpan w:val="8"/>
            <w:tcBorders>
              <w:left w:val="nil"/>
              <w:bottom w:val="nil"/>
              <w:right w:val="nil"/>
            </w:tcBorders>
            <w:tcMar>
              <w:top w:w="58" w:type="dxa"/>
              <w:left w:w="115" w:type="dxa"/>
              <w:bottom w:w="58" w:type="dxa"/>
              <w:right w:w="115" w:type="dxa"/>
            </w:tcMar>
          </w:tcPr>
          <w:p w:rsidRPr="00322B2D" w:rsidR="008445E3" w:rsidP="008445E3" w:rsidRDefault="008445E3" w14:paraId="6420ECE6" w14:textId="77777777">
            <w:pPr>
              <w:rPr>
                <w:rFonts w:ascii="Arial" w:hAnsi="Arial" w:cs="Arial"/>
                <w:b/>
                <w:bCs/>
                <w:sz w:val="18"/>
                <w:szCs w:val="18"/>
              </w:rPr>
            </w:pPr>
            <w:r w:rsidRPr="00B15016">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due to rounding.</w:t>
            </w:r>
          </w:p>
        </w:tc>
      </w:tr>
      <w:bookmarkEnd w:id="104"/>
    </w:tbl>
    <w:p w:rsidR="00573FB6" w:rsidRDefault="00573FB6" w14:paraId="027E80D3" w14:textId="77777777">
      <w:pPr>
        <w:keepNext/>
        <w:keepLines/>
        <w:widowControl w:val="0"/>
        <w:tabs>
          <w:tab w:val="center" w:pos="4680"/>
        </w:tabs>
        <w:rPr>
          <w:b/>
        </w:rPr>
      </w:pPr>
    </w:p>
    <w:p w:rsidR="00C25838" w:rsidP="007245A8" w:rsidRDefault="00C25838" w14:paraId="4A20C192" w14:textId="25A03B89">
      <w:pPr>
        <w:keepNext/>
        <w:keepLines/>
        <w:widowControl w:val="0"/>
        <w:tabs>
          <w:tab w:val="left" w:pos="-1080"/>
          <w:tab w:val="left" w:pos="-720"/>
          <w:tab w:val="left" w:pos="0"/>
          <w:tab w:val="left" w:pos="27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r>
        <w:rPr>
          <w:sz w:val="24"/>
          <w:szCs w:val="24"/>
        </w:rPr>
        <w:t xml:space="preserve">The annual public reporting and recordkeeping burden for this collection of information is estimated to </w:t>
      </w:r>
      <w:r w:rsidRPr="00522A0E">
        <w:rPr>
          <w:sz w:val="24"/>
          <w:szCs w:val="24"/>
        </w:rPr>
        <w:t xml:space="preserve">average </w:t>
      </w:r>
      <w:r w:rsidR="007245A8">
        <w:rPr>
          <w:sz w:val="24"/>
          <w:szCs w:val="24"/>
        </w:rPr>
        <w:t xml:space="preserve">2.82 </w:t>
      </w:r>
      <w:r w:rsidRPr="00522A0E">
        <w:rPr>
          <w:sz w:val="24"/>
          <w:szCs w:val="24"/>
        </w:rPr>
        <w:t>ho</w:t>
      </w:r>
      <w:r w:rsidRPr="00115830">
        <w:rPr>
          <w:sz w:val="24"/>
          <w:szCs w:val="24"/>
        </w:rPr>
        <w:t>urs per response</w:t>
      </w:r>
      <w:r w:rsidR="00F84502">
        <w:rPr>
          <w:sz w:val="24"/>
          <w:szCs w:val="24"/>
        </w:rPr>
        <w:t xml:space="preserve">. </w:t>
      </w:r>
      <w:r>
        <w:rPr>
          <w:sz w:val="24"/>
          <w:szCs w:val="24"/>
        </w:rPr>
        <w:t xml:space="preserve">Burden means the total time, effort, or financial resources expended by persons to generate, maintain, retain, or disclose or provide information to or for a </w:t>
      </w:r>
      <w:r w:rsidR="0066181D">
        <w:rPr>
          <w:sz w:val="24"/>
          <w:szCs w:val="24"/>
        </w:rPr>
        <w:t>f</w:t>
      </w:r>
      <w:r>
        <w:rPr>
          <w:sz w:val="24"/>
          <w:szCs w:val="24"/>
        </w:rPr>
        <w:t>ederal agency</w:t>
      </w:r>
      <w:r w:rsidR="00F84502">
        <w:rPr>
          <w:sz w:val="24"/>
          <w:szCs w:val="24"/>
        </w:rPr>
        <w:t xml:space="preserve">. </w:t>
      </w:r>
      <w:r>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F84502">
        <w:rPr>
          <w:sz w:val="24"/>
          <w:szCs w:val="24"/>
        </w:rPr>
        <w:t xml:space="preserve">. </w:t>
      </w:r>
      <w:r>
        <w:rPr>
          <w:sz w:val="24"/>
          <w:szCs w:val="24"/>
        </w:rPr>
        <w:t>An agency may not conduct or sponsor, and a person is not required to respond to, a collection of information unless it displays a currently valid OMB control number</w:t>
      </w:r>
      <w:r w:rsidR="00F84502">
        <w:rPr>
          <w:sz w:val="24"/>
          <w:szCs w:val="24"/>
        </w:rPr>
        <w:t xml:space="preserve">. </w:t>
      </w:r>
      <w:r>
        <w:rPr>
          <w:sz w:val="24"/>
          <w:szCs w:val="24"/>
        </w:rPr>
        <w:t>The OMB control numbers for EPA's regulations are listed in 40 CFR part 9 and 48 CFR chapter 15.</w:t>
      </w:r>
    </w:p>
    <w:p w:rsidR="00C25838" w:rsidRDefault="00C25838" w14:paraId="65AECA3E" w14:textId="77777777">
      <w:pPr>
        <w:widowControl w:val="0"/>
        <w:tabs>
          <w:tab w:val="left" w:pos="-1080"/>
          <w:tab w:val="left" w:pos="-720"/>
          <w:tab w:val="left" w:pos="0"/>
          <w:tab w:val="left" w:pos="27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rsidR="00C25838" w:rsidP="00E220EC" w:rsidRDefault="00C25838" w14:paraId="7D9192F2" w14:textId="77777777">
      <w:pPr>
        <w:keepNext/>
        <w:keepLines/>
        <w:widowControl w:val="0"/>
        <w:tabs>
          <w:tab w:val="left" w:pos="-1080"/>
          <w:tab w:val="left" w:pos="-720"/>
          <w:tab w:val="left" w:pos="0"/>
          <w:tab w:val="left" w:pos="27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r>
        <w:rPr>
          <w:sz w:val="24"/>
          <w:szCs w:val="24"/>
        </w:rPr>
        <w:t xml:space="preserve">To comment on the </w:t>
      </w:r>
      <w:r w:rsidR="0066181D">
        <w:rPr>
          <w:sz w:val="24"/>
          <w:szCs w:val="24"/>
        </w:rPr>
        <w:t>a</w:t>
      </w:r>
      <w:r w:rsidRPr="00905E4B">
        <w:rPr>
          <w:sz w:val="24"/>
          <w:szCs w:val="24"/>
        </w:rPr>
        <w:t xml:space="preserve">gency's need for this information, the accuracy of the provided burden estimates, and any suggested methods for minimizing respondent burden, including the use of automated collection techniques, EPA has established a public docket for this ICR under Docket ID No. </w:t>
      </w:r>
      <w:r w:rsidRPr="00905E4B" w:rsidR="00A24E29">
        <w:rPr>
          <w:sz w:val="24"/>
          <w:szCs w:val="24"/>
        </w:rPr>
        <w:t>EPA-HQ-</w:t>
      </w:r>
      <w:r w:rsidRPr="00905E4B">
        <w:rPr>
          <w:sz w:val="24"/>
          <w:szCs w:val="24"/>
        </w:rPr>
        <w:t>OW-</w:t>
      </w:r>
      <w:r w:rsidR="0066181D">
        <w:rPr>
          <w:sz w:val="24"/>
          <w:szCs w:val="24"/>
        </w:rPr>
        <w:t>2014-0359</w:t>
      </w:r>
      <w:r w:rsidRPr="00905E4B">
        <w:rPr>
          <w:sz w:val="24"/>
          <w:szCs w:val="24"/>
        </w:rPr>
        <w:t>, which is available for public viewing at the Water Docket in the EPA Docket Cent</w:t>
      </w:r>
      <w:r w:rsidRPr="00905E4B" w:rsidR="00A24E29">
        <w:rPr>
          <w:sz w:val="24"/>
          <w:szCs w:val="24"/>
        </w:rPr>
        <w:t>er (EPA/DC), EPA West, Room 3334</w:t>
      </w:r>
      <w:r w:rsidRPr="00905E4B">
        <w:rPr>
          <w:sz w:val="24"/>
          <w:szCs w:val="24"/>
        </w:rPr>
        <w:t>, 1301 Constitution Ave., NW, Washington, DC</w:t>
      </w:r>
      <w:r w:rsidR="00F84502">
        <w:rPr>
          <w:sz w:val="24"/>
          <w:szCs w:val="24"/>
        </w:rPr>
        <w:t xml:space="preserve">. </w:t>
      </w:r>
      <w:r w:rsidRPr="00905E4B">
        <w:rPr>
          <w:sz w:val="24"/>
          <w:szCs w:val="24"/>
        </w:rPr>
        <w:t>The EPA Docket Center Public Reading Room is open from 8:30 a.m. to 4:30 p.m., Monday through Friday, excluding legal holidays</w:t>
      </w:r>
      <w:r w:rsidR="00F84502">
        <w:rPr>
          <w:sz w:val="24"/>
          <w:szCs w:val="24"/>
        </w:rPr>
        <w:t xml:space="preserve">. </w:t>
      </w:r>
      <w:r w:rsidRPr="00905E4B">
        <w:rPr>
          <w:sz w:val="24"/>
          <w:szCs w:val="24"/>
        </w:rPr>
        <w:t>The telephone number for the Reading Room is (202) 566-1744, and the telephone number for the Water Docket is (202) 566-2426</w:t>
      </w:r>
      <w:r w:rsidR="00F84502">
        <w:rPr>
          <w:sz w:val="24"/>
          <w:szCs w:val="24"/>
        </w:rPr>
        <w:t xml:space="preserve">. </w:t>
      </w:r>
      <w:r w:rsidRPr="00905E4B">
        <w:rPr>
          <w:sz w:val="24"/>
          <w:szCs w:val="24"/>
        </w:rPr>
        <w:t xml:space="preserve">An electronic version of the public docket is available through </w:t>
      </w:r>
      <w:hyperlink w:history="1" r:id="rId18">
        <w:r w:rsidRPr="00517792" w:rsidR="00C93DC9">
          <w:rPr>
            <w:rStyle w:val="Hyperlink"/>
            <w:sz w:val="24"/>
            <w:szCs w:val="24"/>
          </w:rPr>
          <w:t>http://www.regulations.gov</w:t>
        </w:r>
      </w:hyperlink>
      <w:r w:rsidR="00F84502">
        <w:rPr>
          <w:sz w:val="24"/>
          <w:szCs w:val="24"/>
        </w:rPr>
        <w:t xml:space="preserve">. </w:t>
      </w:r>
      <w:r w:rsidRPr="00905E4B">
        <w:rPr>
          <w:sz w:val="24"/>
          <w:szCs w:val="24"/>
        </w:rPr>
        <w:t xml:space="preserve">Use </w:t>
      </w:r>
      <w:hyperlink w:history="1" r:id="rId19">
        <w:r w:rsidRPr="00517792" w:rsidR="00E94C6D">
          <w:rPr>
            <w:rStyle w:val="Hyperlink"/>
            <w:sz w:val="24"/>
            <w:szCs w:val="24"/>
          </w:rPr>
          <w:t>www.regulations.gov</w:t>
        </w:r>
      </w:hyperlink>
      <w:r w:rsidR="00E94C6D">
        <w:rPr>
          <w:sz w:val="24"/>
          <w:szCs w:val="24"/>
        </w:rPr>
        <w:t xml:space="preserve"> </w:t>
      </w:r>
      <w:r w:rsidRPr="00905E4B">
        <w:rPr>
          <w:sz w:val="24"/>
          <w:szCs w:val="24"/>
        </w:rPr>
        <w:t>to submit or view public comments, access the index listing of the contents of the public docket, and to access those documents in the public docket that are available electronically</w:t>
      </w:r>
      <w:r w:rsidR="00F84502">
        <w:rPr>
          <w:sz w:val="24"/>
          <w:szCs w:val="24"/>
        </w:rPr>
        <w:t xml:space="preserve">. </w:t>
      </w:r>
      <w:r w:rsidRPr="00905E4B">
        <w:rPr>
          <w:sz w:val="24"/>
          <w:szCs w:val="24"/>
        </w:rPr>
        <w:t>Once in the system, select “search,” then key in the docket ID number identified above</w:t>
      </w:r>
      <w:r w:rsidR="00F84502">
        <w:rPr>
          <w:sz w:val="24"/>
          <w:szCs w:val="24"/>
        </w:rPr>
        <w:t xml:space="preserve">. </w:t>
      </w:r>
      <w:r w:rsidRPr="00905E4B">
        <w:rPr>
          <w:sz w:val="24"/>
          <w:szCs w:val="24"/>
        </w:rPr>
        <w:t xml:space="preserve">Also, you can send comments to the Office of Information and Regulatory Affairs, Office of Management </w:t>
      </w:r>
      <w:r w:rsidRPr="000D0065">
        <w:rPr>
          <w:sz w:val="24"/>
          <w:szCs w:val="24"/>
        </w:rPr>
        <w:t>and Budget, 725 17th Street, NW, Washington, DC 20503, Att</w:t>
      </w:r>
      <w:r w:rsidRPr="00B51FDF">
        <w:rPr>
          <w:sz w:val="24"/>
          <w:szCs w:val="24"/>
        </w:rPr>
        <w:t>ention: Desk Office</w:t>
      </w:r>
      <w:r w:rsidR="0066181D">
        <w:rPr>
          <w:sz w:val="24"/>
          <w:szCs w:val="24"/>
        </w:rPr>
        <w:t>r</w:t>
      </w:r>
      <w:r w:rsidRPr="00B51FDF">
        <w:rPr>
          <w:sz w:val="24"/>
          <w:szCs w:val="24"/>
        </w:rPr>
        <w:t xml:space="preserve"> for EPA</w:t>
      </w:r>
      <w:r w:rsidR="00F84502">
        <w:rPr>
          <w:sz w:val="24"/>
          <w:szCs w:val="24"/>
        </w:rPr>
        <w:t xml:space="preserve">. </w:t>
      </w:r>
      <w:r w:rsidRPr="00F13C5B">
        <w:rPr>
          <w:sz w:val="24"/>
        </w:rPr>
        <w:t xml:space="preserve">Please include the EPA Docket ID No. </w:t>
      </w:r>
      <w:r w:rsidRPr="00952FA5" w:rsidR="00AB5932">
        <w:rPr>
          <w:sz w:val="24"/>
        </w:rPr>
        <w:t>EPA-HQ-OW-</w:t>
      </w:r>
      <w:r w:rsidRPr="00ED3F19" w:rsidR="00AB5932">
        <w:rPr>
          <w:sz w:val="24"/>
          <w:szCs w:val="24"/>
        </w:rPr>
        <w:t>2014-0359</w:t>
      </w:r>
      <w:r w:rsidRPr="00B51FDF" w:rsidR="00A24E29">
        <w:rPr>
          <w:sz w:val="24"/>
          <w:szCs w:val="24"/>
        </w:rPr>
        <w:t xml:space="preserve"> and OMB control number </w:t>
      </w:r>
      <w:r w:rsidRPr="00F13C5B">
        <w:rPr>
          <w:sz w:val="24"/>
          <w:szCs w:val="24"/>
        </w:rPr>
        <w:t>2040-0042 in any correspondence</w:t>
      </w:r>
      <w:r w:rsidRPr="00952FA5" w:rsidR="00BE1EA0">
        <w:rPr>
          <w:sz w:val="24"/>
          <w:szCs w:val="24"/>
        </w:rPr>
        <w:t>.</w:t>
      </w:r>
      <w:bookmarkEnd w:id="69"/>
    </w:p>
    <w:sectPr w:rsidR="00C25838" w:rsidSect="00824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4FF4B" w14:textId="77777777" w:rsidR="002D6F8B" w:rsidRDefault="002D6F8B">
      <w:r>
        <w:separator/>
      </w:r>
    </w:p>
  </w:endnote>
  <w:endnote w:type="continuationSeparator" w:id="0">
    <w:p w14:paraId="682EEEC6" w14:textId="77777777" w:rsidR="002D6F8B" w:rsidRDefault="002D6F8B">
      <w:r>
        <w:continuationSeparator/>
      </w:r>
    </w:p>
  </w:endnote>
  <w:endnote w:type="continuationNotice" w:id="1">
    <w:p w14:paraId="526D1240" w14:textId="77777777" w:rsidR="002D6F8B" w:rsidRDefault="002D6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illeniaUPC">
    <w:altName w:val="DilleniaUPC"/>
    <w:panose1 w:val="02020603050405020304"/>
    <w:charset w:val="DE"/>
    <w:family w:val="roman"/>
    <w:pitch w:val="variable"/>
    <w:sig w:usb0="81000003" w:usb1="00000000" w:usb2="00000000" w:usb3="00000000" w:csb0="00010001" w:csb1="00000000"/>
  </w:font>
  <w:font w:name="assu">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5D19A" w14:textId="77777777" w:rsidR="002D6F8B" w:rsidRDefault="002D6F8B">
    <w:pPr>
      <w:rPr>
        <w:sz w:val="24"/>
        <w:szCs w:val="24"/>
      </w:rPr>
    </w:pPr>
  </w:p>
  <w:p w14:paraId="2B46F83C" w14:textId="77777777" w:rsidR="002D6F8B" w:rsidRDefault="002D6F8B">
    <w:pPr>
      <w:tabs>
        <w:tab w:val="right" w:pos="9360"/>
      </w:tabs>
      <w:rPr>
        <w:i/>
        <w:iCs/>
        <w:sz w:val="24"/>
        <w:szCs w:val="24"/>
      </w:rPr>
    </w:pPr>
    <w:r>
      <w:rPr>
        <w:i/>
        <w:iCs/>
        <w:sz w:val="22"/>
        <w:szCs w:val="22"/>
      </w:rPr>
      <w:t>Underground Injection Control Program – Information Collection Request</w:t>
    </w:r>
    <w:r>
      <w:rPr>
        <w:i/>
        <w:iCs/>
        <w:sz w:val="22"/>
        <w:szCs w:val="22"/>
      </w:rPr>
      <w:tab/>
    </w:r>
    <w:r>
      <w:rPr>
        <w:i/>
        <w:iCs/>
        <w:sz w:val="24"/>
        <w:szCs w:val="24"/>
      </w:rPr>
      <w:t xml:space="preserve">Page </w:t>
    </w:r>
    <w:r>
      <w:rPr>
        <w:i/>
        <w:iCs/>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C48B9" w14:textId="77777777" w:rsidR="002D6F8B" w:rsidRDefault="002D6F8B">
    <w:pPr>
      <w:rPr>
        <w:sz w:val="24"/>
        <w:szCs w:val="24"/>
      </w:rPr>
    </w:pPr>
  </w:p>
  <w:p w14:paraId="594EA936" w14:textId="77777777" w:rsidR="002D6F8B" w:rsidRDefault="002D6F8B">
    <w:pPr>
      <w:tabs>
        <w:tab w:val="right" w:pos="9360"/>
      </w:tabs>
      <w:rPr>
        <w:i/>
        <w:iCs/>
        <w:sz w:val="24"/>
        <w:szCs w:val="24"/>
      </w:rPr>
    </w:pPr>
    <w:r>
      <w:rPr>
        <w:i/>
        <w:iCs/>
        <w:sz w:val="22"/>
        <w:szCs w:val="22"/>
      </w:rPr>
      <w:t>Underground Injection Control Program – Information Collection Request</w:t>
    </w:r>
    <w:r>
      <w:rPr>
        <w:i/>
        <w:iCs/>
        <w:sz w:val="22"/>
        <w:szCs w:val="22"/>
      </w:rPr>
      <w:tab/>
    </w:r>
    <w:r>
      <w:rPr>
        <w:i/>
        <w:iCs/>
        <w:sz w:val="24"/>
        <w:szCs w:val="24"/>
      </w:rPr>
      <w:t xml:space="preserve">Page </w:t>
    </w:r>
    <w:r>
      <w:rPr>
        <w:i/>
        <w:iCs/>
        <w:sz w:val="24"/>
        <w:szCs w:val="24"/>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1BB62" w14:textId="77777777" w:rsidR="002D6F8B" w:rsidRDefault="002D6F8B">
    <w:pPr>
      <w:rPr>
        <w:sz w:val="24"/>
        <w:szCs w:val="24"/>
      </w:rPr>
    </w:pPr>
  </w:p>
  <w:p w14:paraId="2C6E67A8" w14:textId="77777777" w:rsidR="002D6F8B" w:rsidRDefault="002D6F8B">
    <w:pPr>
      <w:tabs>
        <w:tab w:val="right" w:pos="9360"/>
      </w:tabs>
      <w:rPr>
        <w:i/>
        <w:iCs/>
        <w:sz w:val="24"/>
        <w:szCs w:val="24"/>
      </w:rPr>
    </w:pPr>
    <w:r>
      <w:rPr>
        <w:i/>
        <w:iCs/>
        <w:sz w:val="22"/>
        <w:szCs w:val="22"/>
      </w:rPr>
      <w:t>Underground Injection Control Program – Information Collection Request</w:t>
    </w:r>
    <w:r>
      <w:rPr>
        <w:i/>
        <w:iCs/>
        <w:sz w:val="22"/>
        <w:szCs w:val="22"/>
      </w:rPr>
      <w:tab/>
    </w:r>
    <w:r>
      <w:rPr>
        <w:i/>
        <w:iCs/>
        <w:sz w:val="24"/>
        <w:szCs w:val="24"/>
      </w:rPr>
      <w:t xml:space="preserve">Page </w:t>
    </w:r>
    <w:r>
      <w:rPr>
        <w:i/>
        <w:iCs/>
        <w:sz w:val="24"/>
        <w:szCs w:val="24"/>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62F4D" w14:textId="77777777" w:rsidR="002D6F8B" w:rsidRDefault="002D6F8B">
      <w:r>
        <w:separator/>
      </w:r>
    </w:p>
  </w:footnote>
  <w:footnote w:type="continuationSeparator" w:id="0">
    <w:p w14:paraId="42A06E8B" w14:textId="77777777" w:rsidR="002D6F8B" w:rsidRDefault="002D6F8B">
      <w:r>
        <w:continuationSeparator/>
      </w:r>
    </w:p>
  </w:footnote>
  <w:footnote w:type="continuationNotice" w:id="1">
    <w:p w14:paraId="4AFFB5C6" w14:textId="77777777" w:rsidR="002D6F8B" w:rsidRDefault="002D6F8B"/>
  </w:footnote>
  <w:footnote w:id="2">
    <w:p w14:paraId="30CAB064" w14:textId="77777777" w:rsidR="002D6F8B" w:rsidRDefault="002D6F8B">
      <w:pPr>
        <w:pStyle w:val="FootnoteText"/>
      </w:pPr>
      <w:r>
        <w:rPr>
          <w:rStyle w:val="FootnoteReference"/>
        </w:rPr>
        <w:footnoteRef/>
      </w:r>
      <w:r>
        <w:t xml:space="preserve"> Throughout this ICR, r</w:t>
      </w:r>
      <w:r w:rsidRPr="00A13979">
        <w:t>eference to “States” includes Tribes and Terri</w:t>
      </w:r>
      <w:r>
        <w:t>tories pursuant to 40 CFR 144.3.</w:t>
      </w:r>
    </w:p>
  </w:footnote>
  <w:footnote w:id="3">
    <w:p w14:paraId="6ADDA74B" w14:textId="0688FF6D" w:rsidR="002D6F8B" w:rsidRDefault="002D6F8B">
      <w:pPr>
        <w:pStyle w:val="FootnoteText"/>
      </w:pPr>
      <w:r>
        <w:rPr>
          <w:rStyle w:val="FootnoteReference"/>
        </w:rPr>
        <w:footnoteRef/>
      </w:r>
      <w:r>
        <w:t xml:space="preserve"> Primary enforcement responsibility (primacy) is vested in states that have UIC programs approved by EPA's Administrator. “Direct Implementation” (DI) refers to programs in states that are administered directly by EPA regional offices.</w:t>
      </w:r>
    </w:p>
  </w:footnote>
  <w:footnote w:id="4">
    <w:p w14:paraId="740006C4" w14:textId="4AB6C738" w:rsidR="002D6F8B" w:rsidRDefault="002D6F8B" w:rsidP="00D61FCD">
      <w:pPr>
        <w:pStyle w:val="FootnoteText"/>
      </w:pPr>
      <w:r>
        <w:rPr>
          <w:rStyle w:val="FootnoteReference"/>
        </w:rPr>
        <w:footnoteRef/>
      </w:r>
      <w:r>
        <w:t xml:space="preserve"> States that want primacy for any well classes must apply to EPA and provide information about their proposed program as specified at 40 CFR 145.22. (See Section 5(a)(1).) In some states, more than one agency in a state may oversee injection wells of various classes.</w:t>
      </w:r>
    </w:p>
  </w:footnote>
  <w:footnote w:id="5">
    <w:p w14:paraId="1BB607F5" w14:textId="72DB6503" w:rsidR="002D6F8B" w:rsidRDefault="002D6F8B" w:rsidP="005E39AF">
      <w:pPr>
        <w:pStyle w:val="FootnoteText"/>
      </w:pPr>
      <w:r>
        <w:rPr>
          <w:rStyle w:val="FootnoteReference"/>
        </w:rPr>
        <w:footnoteRef/>
      </w:r>
      <w:r>
        <w:t xml:space="preserve"> A USDW is defined at 40 CFR 144.3 as </w:t>
      </w:r>
      <w:r w:rsidRPr="005E39AF">
        <w:t xml:space="preserve">an aquifer or its portion which supplies any public water system or which contains a sufficient quantity of ground water </w:t>
      </w:r>
      <w:r>
        <w:t xml:space="preserve">to supply a public water system </w:t>
      </w:r>
      <w:r w:rsidRPr="005E39AF">
        <w:t>and currently supplies drink</w:t>
      </w:r>
      <w:r>
        <w:t>ing water for human consumption</w:t>
      </w:r>
      <w:r w:rsidRPr="005E39AF">
        <w:t xml:space="preserve"> or contains fewer than 10,000 mg/l total dissolved soli</w:t>
      </w:r>
      <w:r>
        <w:t>ds</w:t>
      </w:r>
      <w:r w:rsidRPr="005E39AF">
        <w:t xml:space="preserve"> and which is not an exempted aquifer</w:t>
      </w:r>
      <w:r>
        <w:t>.</w:t>
      </w:r>
    </w:p>
  </w:footnote>
  <w:footnote w:id="6">
    <w:p w14:paraId="5467E693" w14:textId="61059D56" w:rsidR="002D6F8B" w:rsidRDefault="002D6F8B">
      <w:pPr>
        <w:pStyle w:val="FootnoteText"/>
      </w:pPr>
      <w:r>
        <w:rPr>
          <w:rStyle w:val="FootnoteReference"/>
        </w:rPr>
        <w:footnoteRef/>
      </w:r>
      <w:r>
        <w:t xml:space="preserve"> Permits may be issued on an area basis or on an individual basis, except for hazardous waste injection wells and Class VI wells. Refer to Section 5(b) for a description of how the permitting process minimizes the information burden on owners and operators.</w:t>
      </w:r>
    </w:p>
  </w:footnote>
  <w:footnote w:id="7">
    <w:p w14:paraId="310578D5" w14:textId="6E16E091" w:rsidR="002D6F8B" w:rsidRDefault="002D6F8B">
      <w:pPr>
        <w:pStyle w:val="FootnoteText"/>
      </w:pPr>
      <w:r>
        <w:rPr>
          <w:rStyle w:val="FootnoteReference"/>
        </w:rPr>
        <w:footnoteRef/>
      </w:r>
      <w:r>
        <w:t xml:space="preserve"> This requirement may be waived if the Regional Administrator determines that it is too burdensome (e.g., if the well is located in a populated area). </w:t>
      </w:r>
    </w:p>
  </w:footnote>
  <w:footnote w:id="8">
    <w:p w14:paraId="39F95EA4" w14:textId="77777777" w:rsidR="002D6F8B" w:rsidRDefault="002D6F8B">
      <w:pPr>
        <w:pStyle w:val="FootnoteText"/>
      </w:pPr>
      <w:r>
        <w:rPr>
          <w:rStyle w:val="FootnoteReference"/>
        </w:rPr>
        <w:footnoteRef/>
      </w:r>
      <w:r>
        <w:t xml:space="preserve"> Alternative MIT methods (e.g., review of cementing record) may be approved by the Director.</w:t>
      </w:r>
    </w:p>
  </w:footnote>
  <w:footnote w:id="9">
    <w:p w14:paraId="2EB09C8F" w14:textId="2F71DEF5" w:rsidR="002D6F8B" w:rsidRDefault="002D6F8B">
      <w:pPr>
        <w:pStyle w:val="FootnoteText"/>
      </w:pPr>
      <w:r>
        <w:rPr>
          <w:rStyle w:val="FootnoteReference"/>
        </w:rPr>
        <w:footnoteRef/>
      </w:r>
      <w:r>
        <w:t xml:space="preserve"> In accordance with the Paperwork Reduction Act of 1995, the reporting requirements covered by this information collection are consistent with the reporting and recordkeeping activities currently in practice by the respondents. For example, respondents generally may report required information in either electronic or hard-copy format, whichever is compatible with their facility practices.</w:t>
      </w:r>
    </w:p>
  </w:footnote>
  <w:footnote w:id="10">
    <w:p w14:paraId="79E119FD" w14:textId="0C69FC89" w:rsidR="002D6F8B" w:rsidRDefault="002D6F8B">
      <w:pPr>
        <w:pStyle w:val="FootnoteText"/>
      </w:pPr>
      <w:r>
        <w:rPr>
          <w:rStyle w:val="FootnoteReference"/>
        </w:rPr>
        <w:footnoteRef/>
      </w:r>
      <w:r>
        <w:t xml:space="preserve"> Note: throughout this chapter, </w:t>
      </w:r>
      <w:r w:rsidRPr="006158CC">
        <w:t>numbers may not appear to total due to rounding</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53AA9F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 w15:restartNumberingAfterBreak="0">
    <w:nsid w:val="00BD10A5"/>
    <w:multiLevelType w:val="hybridMultilevel"/>
    <w:tmpl w:val="95A69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56974"/>
    <w:multiLevelType w:val="hybridMultilevel"/>
    <w:tmpl w:val="CB7A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D3B62"/>
    <w:multiLevelType w:val="hybridMultilevel"/>
    <w:tmpl w:val="D2F804B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0B5F7BF5"/>
    <w:multiLevelType w:val="hybridMultilevel"/>
    <w:tmpl w:val="91E2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94FAA"/>
    <w:multiLevelType w:val="hybridMultilevel"/>
    <w:tmpl w:val="0534EA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E2786"/>
    <w:multiLevelType w:val="hybridMultilevel"/>
    <w:tmpl w:val="CFFC90BE"/>
    <w:lvl w:ilvl="0" w:tplc="0D945988">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3C06846"/>
    <w:multiLevelType w:val="hybridMultilevel"/>
    <w:tmpl w:val="1354C04C"/>
    <w:lvl w:ilvl="0" w:tplc="DC7C1318">
      <w:numFmt w:val="bullet"/>
      <w:lvlText w:val=""/>
      <w:lvlJc w:val="left"/>
      <w:pPr>
        <w:ind w:left="1440" w:hanging="720"/>
      </w:pPr>
      <w:rPr>
        <w:rFonts w:ascii="WP MathA" w:eastAsia="Times New Roman" w:hAnsi="WP MathA" w:cs="WP Math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656369"/>
    <w:multiLevelType w:val="hybridMultilevel"/>
    <w:tmpl w:val="FA40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176B3"/>
    <w:multiLevelType w:val="hybridMultilevel"/>
    <w:tmpl w:val="E8580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CD0365"/>
    <w:multiLevelType w:val="hybridMultilevel"/>
    <w:tmpl w:val="F5A45CA8"/>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E6035E"/>
    <w:multiLevelType w:val="hybridMultilevel"/>
    <w:tmpl w:val="06D67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B088B"/>
    <w:multiLevelType w:val="hybridMultilevel"/>
    <w:tmpl w:val="28744F40"/>
    <w:lvl w:ilvl="0" w:tplc="4A180C16">
      <w:numFmt w:val="bullet"/>
      <w:lvlText w:val=""/>
      <w:lvlJc w:val="left"/>
      <w:pPr>
        <w:ind w:left="1080" w:hanging="360"/>
      </w:pPr>
      <w:rPr>
        <w:rFonts w:ascii="WP MathA" w:eastAsia="Times New Roman" w:hAnsi="WP MathA" w:cs="WP Math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475D75"/>
    <w:multiLevelType w:val="hybridMultilevel"/>
    <w:tmpl w:val="6DD26E04"/>
    <w:lvl w:ilvl="0" w:tplc="04090001">
      <w:start w:val="1"/>
      <w:numFmt w:val="bullet"/>
      <w:lvlText w:val=""/>
      <w:lvlJc w:val="left"/>
      <w:pPr>
        <w:ind w:left="360" w:hanging="360"/>
      </w:pPr>
      <w:rPr>
        <w:rFonts w:ascii="Symbol" w:hAnsi="Symbol" w:hint="default"/>
      </w:rPr>
    </w:lvl>
    <w:lvl w:ilvl="1" w:tplc="556C60EC">
      <w:numFmt w:val="bullet"/>
      <w:lvlText w:val=""/>
      <w:lvlJc w:val="left"/>
      <w:pPr>
        <w:ind w:left="1080" w:hanging="360"/>
      </w:pPr>
      <w:rPr>
        <w:rFonts w:ascii="WP MathA" w:eastAsia="Times New Roman" w:hAnsi="WP MathA" w:cs="WP Math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5C3446"/>
    <w:multiLevelType w:val="hybridMultilevel"/>
    <w:tmpl w:val="E8082D7C"/>
    <w:lvl w:ilvl="0" w:tplc="3B0ED85C">
      <w:numFmt w:val="bullet"/>
      <w:lvlText w:val=""/>
      <w:lvlJc w:val="left"/>
      <w:pPr>
        <w:ind w:left="1080" w:hanging="360"/>
      </w:pPr>
      <w:rPr>
        <w:rFonts w:ascii="WP MathA" w:eastAsia="Times New Roman" w:hAnsi="WP MathA" w:cs="WP Math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4B6D5F"/>
    <w:multiLevelType w:val="hybridMultilevel"/>
    <w:tmpl w:val="530C4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C3C85"/>
    <w:multiLevelType w:val="hybridMultilevel"/>
    <w:tmpl w:val="D4B4982C"/>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075F84"/>
    <w:multiLevelType w:val="hybridMultilevel"/>
    <w:tmpl w:val="3A8ED3A0"/>
    <w:lvl w:ilvl="0" w:tplc="322C1D98">
      <w:start w:val="7520"/>
      <w:numFmt w:val="bullet"/>
      <w:lvlText w:val="—"/>
      <w:lvlJc w:val="left"/>
      <w:pPr>
        <w:ind w:left="1800" w:hanging="360"/>
      </w:pPr>
      <w:rPr>
        <w:rFonts w:ascii="Times New Roman" w:eastAsia="Times New Roman" w:hAnsi="Times New Roman" w:cs="Times New Roman"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447459D"/>
    <w:multiLevelType w:val="hybridMultilevel"/>
    <w:tmpl w:val="CD7CB3B8"/>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92873F0"/>
    <w:multiLevelType w:val="hybridMultilevel"/>
    <w:tmpl w:val="0D0E257E"/>
    <w:lvl w:ilvl="0" w:tplc="77BE27FA">
      <w:start w:val="14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B6937"/>
    <w:multiLevelType w:val="hybridMultilevel"/>
    <w:tmpl w:val="6D48ED3E"/>
    <w:lvl w:ilvl="0" w:tplc="DC7C1318">
      <w:numFmt w:val="bullet"/>
      <w:lvlText w:val=""/>
      <w:lvlJc w:val="left"/>
      <w:pPr>
        <w:ind w:left="2160" w:hanging="720"/>
      </w:pPr>
      <w:rPr>
        <w:rFonts w:ascii="WP MathA" w:eastAsia="Times New Roman" w:hAnsi="WP MathA" w:cs="WP Math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34139B"/>
    <w:multiLevelType w:val="hybridMultilevel"/>
    <w:tmpl w:val="9A986A36"/>
    <w:lvl w:ilvl="0" w:tplc="77BE27FA">
      <w:start w:val="142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F500D6"/>
    <w:multiLevelType w:val="hybridMultilevel"/>
    <w:tmpl w:val="A5D8034C"/>
    <w:lvl w:ilvl="0" w:tplc="12F0D2F2">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5574C7"/>
    <w:multiLevelType w:val="hybridMultilevel"/>
    <w:tmpl w:val="910AA872"/>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2B1DA3"/>
    <w:multiLevelType w:val="hybridMultilevel"/>
    <w:tmpl w:val="532C5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AF4F65"/>
    <w:multiLevelType w:val="hybridMultilevel"/>
    <w:tmpl w:val="B18CF1F0"/>
    <w:lvl w:ilvl="0" w:tplc="322C1D98">
      <w:start w:val="752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9214A30"/>
    <w:multiLevelType w:val="hybridMultilevel"/>
    <w:tmpl w:val="C55A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C82E0A"/>
    <w:multiLevelType w:val="hybridMultilevel"/>
    <w:tmpl w:val="FDB46B84"/>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BB056D1"/>
    <w:multiLevelType w:val="hybridMultilevel"/>
    <w:tmpl w:val="C32E2FFA"/>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076843"/>
    <w:multiLevelType w:val="hybridMultilevel"/>
    <w:tmpl w:val="216CB1AE"/>
    <w:lvl w:ilvl="0" w:tplc="32F2CFC4">
      <w:numFmt w:val="bullet"/>
      <w:lvlText w:val=""/>
      <w:lvlJc w:val="left"/>
      <w:pPr>
        <w:ind w:left="720" w:hanging="360"/>
      </w:pPr>
      <w:rPr>
        <w:rFonts w:ascii="WP MathA" w:eastAsia="Times New Roman" w:hAnsi="WP MathA" w:cs="WP Mat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5602AB"/>
    <w:multiLevelType w:val="hybridMultilevel"/>
    <w:tmpl w:val="08982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00F70"/>
    <w:multiLevelType w:val="hybridMultilevel"/>
    <w:tmpl w:val="BFB6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595A6A"/>
    <w:multiLevelType w:val="hybridMultilevel"/>
    <w:tmpl w:val="C41CE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0F4186"/>
    <w:multiLevelType w:val="hybridMultilevel"/>
    <w:tmpl w:val="E720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A03E4D"/>
    <w:multiLevelType w:val="hybridMultilevel"/>
    <w:tmpl w:val="A4EC8588"/>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E201A6"/>
    <w:multiLevelType w:val="hybridMultilevel"/>
    <w:tmpl w:val="E1CE4F58"/>
    <w:lvl w:ilvl="0" w:tplc="DC7C1318">
      <w:numFmt w:val="bullet"/>
      <w:lvlText w:val=""/>
      <w:lvlJc w:val="left"/>
      <w:pPr>
        <w:ind w:left="1440" w:hanging="720"/>
      </w:pPr>
      <w:rPr>
        <w:rFonts w:ascii="WP MathA" w:eastAsia="Times New Roman" w:hAnsi="WP MathA" w:cs="WP Math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AF5D84"/>
    <w:multiLevelType w:val="hybridMultilevel"/>
    <w:tmpl w:val="BDFCF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27D8E"/>
    <w:multiLevelType w:val="hybridMultilevel"/>
    <w:tmpl w:val="F07672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F5451F9"/>
    <w:multiLevelType w:val="hybridMultilevel"/>
    <w:tmpl w:val="E642F1C0"/>
    <w:lvl w:ilvl="0" w:tplc="77BE27FA">
      <w:start w:val="14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9B06D0"/>
    <w:multiLevelType w:val="hybridMultilevel"/>
    <w:tmpl w:val="29A65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130BA3"/>
    <w:multiLevelType w:val="hybridMultilevel"/>
    <w:tmpl w:val="479E0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9644A0"/>
    <w:multiLevelType w:val="hybridMultilevel"/>
    <w:tmpl w:val="6430ECB4"/>
    <w:lvl w:ilvl="0" w:tplc="3B0ED85C">
      <w:numFmt w:val="bullet"/>
      <w:lvlText w:val=""/>
      <w:lvlJc w:val="left"/>
      <w:pPr>
        <w:ind w:left="1080" w:hanging="360"/>
      </w:pPr>
      <w:rPr>
        <w:rFonts w:ascii="WP MathA" w:eastAsia="Times New Roman" w:hAnsi="WP MathA" w:cs="WP Math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93D220E"/>
    <w:multiLevelType w:val="hybridMultilevel"/>
    <w:tmpl w:val="727220D2"/>
    <w:lvl w:ilvl="0" w:tplc="77BE27FA">
      <w:start w:val="14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643DC4"/>
    <w:multiLevelType w:val="hybridMultilevel"/>
    <w:tmpl w:val="91EC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1D1068"/>
    <w:multiLevelType w:val="hybridMultilevel"/>
    <w:tmpl w:val="3870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CE0113"/>
    <w:multiLevelType w:val="hybridMultilevel"/>
    <w:tmpl w:val="CE900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0245CBD"/>
    <w:multiLevelType w:val="hybridMultilevel"/>
    <w:tmpl w:val="347E32F2"/>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0401CD8"/>
    <w:multiLevelType w:val="hybridMultilevel"/>
    <w:tmpl w:val="1884F0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A65A05"/>
    <w:multiLevelType w:val="hybridMultilevel"/>
    <w:tmpl w:val="78A60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F76A7D"/>
    <w:multiLevelType w:val="hybridMultilevel"/>
    <w:tmpl w:val="2E305862"/>
    <w:lvl w:ilvl="0" w:tplc="0D945988">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56D19FD"/>
    <w:multiLevelType w:val="hybridMultilevel"/>
    <w:tmpl w:val="4AC02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3E2D90"/>
    <w:multiLevelType w:val="hybridMultilevel"/>
    <w:tmpl w:val="5AF292E4"/>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26"/>
  </w:num>
  <w:num w:numId="3">
    <w:abstractNumId w:val="1"/>
  </w:num>
  <w:num w:numId="4">
    <w:abstractNumId w:val="25"/>
  </w:num>
  <w:num w:numId="5">
    <w:abstractNumId w:val="49"/>
  </w:num>
  <w:num w:numId="6">
    <w:abstractNumId w:val="16"/>
  </w:num>
  <w:num w:numId="7">
    <w:abstractNumId w:val="2"/>
  </w:num>
  <w:num w:numId="8">
    <w:abstractNumId w:val="51"/>
  </w:num>
  <w:num w:numId="9">
    <w:abstractNumId w:val="39"/>
  </w:num>
  <w:num w:numId="10">
    <w:abstractNumId w:val="43"/>
  </w:num>
  <w:num w:numId="11">
    <w:abstractNumId w:val="20"/>
  </w:num>
  <w:num w:numId="12">
    <w:abstractNumId w:val="22"/>
  </w:num>
  <w:num w:numId="13">
    <w:abstractNumId w:val="23"/>
  </w:num>
  <w:num w:numId="14">
    <w:abstractNumId w:val="37"/>
  </w:num>
  <w:num w:numId="15">
    <w:abstractNumId w:val="30"/>
  </w:num>
  <w:num w:numId="16">
    <w:abstractNumId w:val="14"/>
  </w:num>
  <w:num w:numId="17">
    <w:abstractNumId w:val="12"/>
  </w:num>
  <w:num w:numId="18">
    <w:abstractNumId w:val="4"/>
  </w:num>
  <w:num w:numId="19">
    <w:abstractNumId w:val="7"/>
  </w:num>
  <w:num w:numId="20">
    <w:abstractNumId w:val="13"/>
  </w:num>
  <w:num w:numId="21">
    <w:abstractNumId w:val="17"/>
  </w:num>
  <w:num w:numId="22">
    <w:abstractNumId w:val="15"/>
  </w:num>
  <w:num w:numId="23">
    <w:abstractNumId w:val="29"/>
  </w:num>
  <w:num w:numId="24">
    <w:abstractNumId w:val="42"/>
  </w:num>
  <w:num w:numId="25">
    <w:abstractNumId w:val="47"/>
  </w:num>
  <w:num w:numId="26">
    <w:abstractNumId w:val="36"/>
  </w:num>
  <w:num w:numId="27">
    <w:abstractNumId w:val="21"/>
  </w:num>
  <w:num w:numId="28">
    <w:abstractNumId w:val="8"/>
  </w:num>
  <w:num w:numId="29">
    <w:abstractNumId w:val="52"/>
  </w:num>
  <w:num w:numId="30">
    <w:abstractNumId w:val="50"/>
  </w:num>
  <w:num w:numId="31">
    <w:abstractNumId w:val="19"/>
  </w:num>
  <w:num w:numId="32">
    <w:abstractNumId w:val="35"/>
  </w:num>
  <w:num w:numId="33">
    <w:abstractNumId w:val="24"/>
  </w:num>
  <w:num w:numId="34">
    <w:abstractNumId w:val="28"/>
  </w:num>
  <w:num w:numId="35">
    <w:abstractNumId w:val="11"/>
  </w:num>
  <w:num w:numId="36">
    <w:abstractNumId w:val="41"/>
  </w:num>
  <w:num w:numId="37">
    <w:abstractNumId w:val="38"/>
  </w:num>
  <w:num w:numId="38">
    <w:abstractNumId w:val="31"/>
  </w:num>
  <w:num w:numId="39">
    <w:abstractNumId w:val="10"/>
  </w:num>
  <w:num w:numId="40">
    <w:abstractNumId w:val="46"/>
  </w:num>
  <w:num w:numId="41">
    <w:abstractNumId w:val="40"/>
  </w:num>
  <w:num w:numId="42">
    <w:abstractNumId w:val="34"/>
  </w:num>
  <w:num w:numId="43">
    <w:abstractNumId w:val="5"/>
  </w:num>
  <w:num w:numId="44">
    <w:abstractNumId w:val="9"/>
  </w:num>
  <w:num w:numId="45">
    <w:abstractNumId w:val="45"/>
  </w:num>
  <w:num w:numId="46">
    <w:abstractNumId w:val="32"/>
  </w:num>
  <w:num w:numId="47">
    <w:abstractNumId w:val="3"/>
  </w:num>
  <w:num w:numId="48">
    <w:abstractNumId w:val="6"/>
  </w:num>
  <w:num w:numId="49">
    <w:abstractNumId w:val="27"/>
  </w:num>
  <w:num w:numId="50">
    <w:abstractNumId w:val="44"/>
  </w:num>
  <w:num w:numId="51">
    <w:abstractNumId w:val="18"/>
  </w:num>
  <w:num w:numId="52">
    <w:abstractNumId w:val="33"/>
  </w:num>
  <w:num w:numId="53">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7A"/>
    <w:rsid w:val="00000E23"/>
    <w:rsid w:val="0000220A"/>
    <w:rsid w:val="000024C4"/>
    <w:rsid w:val="00003C7B"/>
    <w:rsid w:val="00004009"/>
    <w:rsid w:val="00004059"/>
    <w:rsid w:val="000047B1"/>
    <w:rsid w:val="00004889"/>
    <w:rsid w:val="00006577"/>
    <w:rsid w:val="0000795E"/>
    <w:rsid w:val="00013018"/>
    <w:rsid w:val="00013C40"/>
    <w:rsid w:val="0001441B"/>
    <w:rsid w:val="00014829"/>
    <w:rsid w:val="0002049E"/>
    <w:rsid w:val="000244E9"/>
    <w:rsid w:val="00025C59"/>
    <w:rsid w:val="00030FF2"/>
    <w:rsid w:val="000321C0"/>
    <w:rsid w:val="0003321F"/>
    <w:rsid w:val="00035A02"/>
    <w:rsid w:val="0004037C"/>
    <w:rsid w:val="00040899"/>
    <w:rsid w:val="000421C9"/>
    <w:rsid w:val="00042245"/>
    <w:rsid w:val="00044BE0"/>
    <w:rsid w:val="0004658F"/>
    <w:rsid w:val="0004787E"/>
    <w:rsid w:val="000505E3"/>
    <w:rsid w:val="000518FE"/>
    <w:rsid w:val="000519A8"/>
    <w:rsid w:val="00053F2B"/>
    <w:rsid w:val="000560AD"/>
    <w:rsid w:val="00056FD7"/>
    <w:rsid w:val="00064400"/>
    <w:rsid w:val="00064FC4"/>
    <w:rsid w:val="00072B54"/>
    <w:rsid w:val="00072F64"/>
    <w:rsid w:val="00073A1B"/>
    <w:rsid w:val="00075C6F"/>
    <w:rsid w:val="00076AE4"/>
    <w:rsid w:val="00077277"/>
    <w:rsid w:val="0007798B"/>
    <w:rsid w:val="00080E56"/>
    <w:rsid w:val="00081911"/>
    <w:rsid w:val="00082A43"/>
    <w:rsid w:val="00082F7C"/>
    <w:rsid w:val="00084A75"/>
    <w:rsid w:val="000859F4"/>
    <w:rsid w:val="0009214B"/>
    <w:rsid w:val="0009792B"/>
    <w:rsid w:val="00097E77"/>
    <w:rsid w:val="000A16AF"/>
    <w:rsid w:val="000A266A"/>
    <w:rsid w:val="000A26DF"/>
    <w:rsid w:val="000A57AF"/>
    <w:rsid w:val="000A7332"/>
    <w:rsid w:val="000A7E2F"/>
    <w:rsid w:val="000B054F"/>
    <w:rsid w:val="000B0DD0"/>
    <w:rsid w:val="000B23C9"/>
    <w:rsid w:val="000B2955"/>
    <w:rsid w:val="000B29A9"/>
    <w:rsid w:val="000B3107"/>
    <w:rsid w:val="000B403D"/>
    <w:rsid w:val="000B4486"/>
    <w:rsid w:val="000B4664"/>
    <w:rsid w:val="000B5DF3"/>
    <w:rsid w:val="000B604F"/>
    <w:rsid w:val="000B7912"/>
    <w:rsid w:val="000B7D18"/>
    <w:rsid w:val="000C0D95"/>
    <w:rsid w:val="000C1821"/>
    <w:rsid w:val="000C5080"/>
    <w:rsid w:val="000C52DF"/>
    <w:rsid w:val="000C6F91"/>
    <w:rsid w:val="000D0065"/>
    <w:rsid w:val="000D0FD7"/>
    <w:rsid w:val="000D24C5"/>
    <w:rsid w:val="000D6FE3"/>
    <w:rsid w:val="000D7790"/>
    <w:rsid w:val="000E0714"/>
    <w:rsid w:val="000E1176"/>
    <w:rsid w:val="000E2A9A"/>
    <w:rsid w:val="000E3751"/>
    <w:rsid w:val="000E4361"/>
    <w:rsid w:val="000F1E75"/>
    <w:rsid w:val="000F3D80"/>
    <w:rsid w:val="000F6215"/>
    <w:rsid w:val="000F6EF8"/>
    <w:rsid w:val="0010132B"/>
    <w:rsid w:val="00101D20"/>
    <w:rsid w:val="00103319"/>
    <w:rsid w:val="00103586"/>
    <w:rsid w:val="00105CC1"/>
    <w:rsid w:val="00106F56"/>
    <w:rsid w:val="00107185"/>
    <w:rsid w:val="00111CA1"/>
    <w:rsid w:val="001141FC"/>
    <w:rsid w:val="001145C7"/>
    <w:rsid w:val="00115830"/>
    <w:rsid w:val="0011613D"/>
    <w:rsid w:val="0012038E"/>
    <w:rsid w:val="00120AC8"/>
    <w:rsid w:val="00120B38"/>
    <w:rsid w:val="00121FDB"/>
    <w:rsid w:val="001234F0"/>
    <w:rsid w:val="00124C56"/>
    <w:rsid w:val="00133BEF"/>
    <w:rsid w:val="0013692C"/>
    <w:rsid w:val="00136C01"/>
    <w:rsid w:val="00141B34"/>
    <w:rsid w:val="00142C5A"/>
    <w:rsid w:val="00144A4A"/>
    <w:rsid w:val="00145058"/>
    <w:rsid w:val="00145466"/>
    <w:rsid w:val="001465B4"/>
    <w:rsid w:val="0015036D"/>
    <w:rsid w:val="00153570"/>
    <w:rsid w:val="001539FF"/>
    <w:rsid w:val="001639FA"/>
    <w:rsid w:val="00164771"/>
    <w:rsid w:val="00164F15"/>
    <w:rsid w:val="001674A1"/>
    <w:rsid w:val="001702DF"/>
    <w:rsid w:val="00172AC2"/>
    <w:rsid w:val="00172F33"/>
    <w:rsid w:val="001748FF"/>
    <w:rsid w:val="001758DB"/>
    <w:rsid w:val="001776AA"/>
    <w:rsid w:val="00177E5B"/>
    <w:rsid w:val="001806A8"/>
    <w:rsid w:val="00182320"/>
    <w:rsid w:val="001837CC"/>
    <w:rsid w:val="00183AC4"/>
    <w:rsid w:val="001849A2"/>
    <w:rsid w:val="00186DC8"/>
    <w:rsid w:val="00191CC6"/>
    <w:rsid w:val="001941A8"/>
    <w:rsid w:val="00194636"/>
    <w:rsid w:val="00195639"/>
    <w:rsid w:val="00196F99"/>
    <w:rsid w:val="00197FCA"/>
    <w:rsid w:val="001A0780"/>
    <w:rsid w:val="001A1326"/>
    <w:rsid w:val="001A2028"/>
    <w:rsid w:val="001A3BBD"/>
    <w:rsid w:val="001B002A"/>
    <w:rsid w:val="001B0CEB"/>
    <w:rsid w:val="001B1AE8"/>
    <w:rsid w:val="001B1EA6"/>
    <w:rsid w:val="001B20AF"/>
    <w:rsid w:val="001B269C"/>
    <w:rsid w:val="001B5B3D"/>
    <w:rsid w:val="001B704E"/>
    <w:rsid w:val="001C6B20"/>
    <w:rsid w:val="001D1D95"/>
    <w:rsid w:val="001D2EF0"/>
    <w:rsid w:val="001D64CD"/>
    <w:rsid w:val="001E0002"/>
    <w:rsid w:val="001E14E1"/>
    <w:rsid w:val="001E34C3"/>
    <w:rsid w:val="001E775C"/>
    <w:rsid w:val="001F0AEB"/>
    <w:rsid w:val="001F16F5"/>
    <w:rsid w:val="001F3393"/>
    <w:rsid w:val="001F3988"/>
    <w:rsid w:val="001F3AD5"/>
    <w:rsid w:val="001F4497"/>
    <w:rsid w:val="001F4796"/>
    <w:rsid w:val="001F63E9"/>
    <w:rsid w:val="001F663E"/>
    <w:rsid w:val="001F674A"/>
    <w:rsid w:val="001F786B"/>
    <w:rsid w:val="002029D6"/>
    <w:rsid w:val="002031B4"/>
    <w:rsid w:val="00203F47"/>
    <w:rsid w:val="0020413B"/>
    <w:rsid w:val="00205B81"/>
    <w:rsid w:val="002107BD"/>
    <w:rsid w:val="002109FC"/>
    <w:rsid w:val="00210B6A"/>
    <w:rsid w:val="00210B9A"/>
    <w:rsid w:val="002136CC"/>
    <w:rsid w:val="00213B9C"/>
    <w:rsid w:val="002153F7"/>
    <w:rsid w:val="0021623F"/>
    <w:rsid w:val="00216465"/>
    <w:rsid w:val="00217AD7"/>
    <w:rsid w:val="002217C3"/>
    <w:rsid w:val="00224DD1"/>
    <w:rsid w:val="00225B94"/>
    <w:rsid w:val="00226714"/>
    <w:rsid w:val="0023034A"/>
    <w:rsid w:val="0023053B"/>
    <w:rsid w:val="0023106D"/>
    <w:rsid w:val="00231DFB"/>
    <w:rsid w:val="002332B3"/>
    <w:rsid w:val="00234523"/>
    <w:rsid w:val="002430ED"/>
    <w:rsid w:val="0024518E"/>
    <w:rsid w:val="002457BD"/>
    <w:rsid w:val="00245A69"/>
    <w:rsid w:val="0024620A"/>
    <w:rsid w:val="00247191"/>
    <w:rsid w:val="002504E2"/>
    <w:rsid w:val="002505E7"/>
    <w:rsid w:val="00250A79"/>
    <w:rsid w:val="00250FCD"/>
    <w:rsid w:val="002519C7"/>
    <w:rsid w:val="0025465A"/>
    <w:rsid w:val="00255538"/>
    <w:rsid w:val="00256C61"/>
    <w:rsid w:val="0026007F"/>
    <w:rsid w:val="002631C0"/>
    <w:rsid w:val="002632F9"/>
    <w:rsid w:val="00263D86"/>
    <w:rsid w:val="00264A6D"/>
    <w:rsid w:val="00265241"/>
    <w:rsid w:val="00266F1A"/>
    <w:rsid w:val="00270E70"/>
    <w:rsid w:val="00271B3B"/>
    <w:rsid w:val="00271B51"/>
    <w:rsid w:val="00271D7D"/>
    <w:rsid w:val="00274001"/>
    <w:rsid w:val="0027428E"/>
    <w:rsid w:val="002748F1"/>
    <w:rsid w:val="0027642E"/>
    <w:rsid w:val="00276BE2"/>
    <w:rsid w:val="00277152"/>
    <w:rsid w:val="00277725"/>
    <w:rsid w:val="00280D83"/>
    <w:rsid w:val="00280F1D"/>
    <w:rsid w:val="00280F21"/>
    <w:rsid w:val="00282622"/>
    <w:rsid w:val="00282DB9"/>
    <w:rsid w:val="00284546"/>
    <w:rsid w:val="00285C70"/>
    <w:rsid w:val="00290A5E"/>
    <w:rsid w:val="00292D0E"/>
    <w:rsid w:val="00292D1F"/>
    <w:rsid w:val="002933AF"/>
    <w:rsid w:val="002952F4"/>
    <w:rsid w:val="00297607"/>
    <w:rsid w:val="002A2740"/>
    <w:rsid w:val="002A46DF"/>
    <w:rsid w:val="002A4961"/>
    <w:rsid w:val="002A7376"/>
    <w:rsid w:val="002B0597"/>
    <w:rsid w:val="002B0AC4"/>
    <w:rsid w:val="002B10CF"/>
    <w:rsid w:val="002B17AB"/>
    <w:rsid w:val="002B18F8"/>
    <w:rsid w:val="002B5655"/>
    <w:rsid w:val="002B635E"/>
    <w:rsid w:val="002B6BFD"/>
    <w:rsid w:val="002B7AF1"/>
    <w:rsid w:val="002C4AE3"/>
    <w:rsid w:val="002D0D52"/>
    <w:rsid w:val="002D1498"/>
    <w:rsid w:val="002D25BB"/>
    <w:rsid w:val="002D262D"/>
    <w:rsid w:val="002D3605"/>
    <w:rsid w:val="002D659D"/>
    <w:rsid w:val="002D6F8B"/>
    <w:rsid w:val="002E0245"/>
    <w:rsid w:val="002E3A02"/>
    <w:rsid w:val="002E3FE1"/>
    <w:rsid w:val="002E5048"/>
    <w:rsid w:val="002E580C"/>
    <w:rsid w:val="002E6D34"/>
    <w:rsid w:val="002E7595"/>
    <w:rsid w:val="002F149C"/>
    <w:rsid w:val="002F1CF4"/>
    <w:rsid w:val="002F2E4E"/>
    <w:rsid w:val="002F3114"/>
    <w:rsid w:val="002F35C0"/>
    <w:rsid w:val="002F387D"/>
    <w:rsid w:val="002F4430"/>
    <w:rsid w:val="002F4542"/>
    <w:rsid w:val="002F4D09"/>
    <w:rsid w:val="002F4F71"/>
    <w:rsid w:val="002F5E77"/>
    <w:rsid w:val="002F6815"/>
    <w:rsid w:val="002F743B"/>
    <w:rsid w:val="0030228D"/>
    <w:rsid w:val="00302641"/>
    <w:rsid w:val="00303BCD"/>
    <w:rsid w:val="00306787"/>
    <w:rsid w:val="00306F41"/>
    <w:rsid w:val="003102B9"/>
    <w:rsid w:val="0031362B"/>
    <w:rsid w:val="00315976"/>
    <w:rsid w:val="003179CB"/>
    <w:rsid w:val="00317DE8"/>
    <w:rsid w:val="00326921"/>
    <w:rsid w:val="003301F2"/>
    <w:rsid w:val="00332915"/>
    <w:rsid w:val="00335460"/>
    <w:rsid w:val="00336248"/>
    <w:rsid w:val="00336BDD"/>
    <w:rsid w:val="00336FAA"/>
    <w:rsid w:val="00337885"/>
    <w:rsid w:val="003378DB"/>
    <w:rsid w:val="00340915"/>
    <w:rsid w:val="0034383D"/>
    <w:rsid w:val="00344998"/>
    <w:rsid w:val="003459FB"/>
    <w:rsid w:val="0034602C"/>
    <w:rsid w:val="003502BA"/>
    <w:rsid w:val="00351FA5"/>
    <w:rsid w:val="00351FE5"/>
    <w:rsid w:val="00352523"/>
    <w:rsid w:val="00356421"/>
    <w:rsid w:val="00360EBA"/>
    <w:rsid w:val="00360F36"/>
    <w:rsid w:val="003636E7"/>
    <w:rsid w:val="0036516E"/>
    <w:rsid w:val="00366179"/>
    <w:rsid w:val="00367993"/>
    <w:rsid w:val="003702C6"/>
    <w:rsid w:val="0037387C"/>
    <w:rsid w:val="00375BA6"/>
    <w:rsid w:val="00375F6F"/>
    <w:rsid w:val="00380D86"/>
    <w:rsid w:val="003841EB"/>
    <w:rsid w:val="003859E1"/>
    <w:rsid w:val="003871EB"/>
    <w:rsid w:val="00387CF0"/>
    <w:rsid w:val="0039038E"/>
    <w:rsid w:val="00391140"/>
    <w:rsid w:val="00393AEB"/>
    <w:rsid w:val="00394661"/>
    <w:rsid w:val="00395613"/>
    <w:rsid w:val="00395B59"/>
    <w:rsid w:val="003978F3"/>
    <w:rsid w:val="003A0EC7"/>
    <w:rsid w:val="003A1FEC"/>
    <w:rsid w:val="003A25D2"/>
    <w:rsid w:val="003A2E76"/>
    <w:rsid w:val="003A4975"/>
    <w:rsid w:val="003A51BA"/>
    <w:rsid w:val="003A5822"/>
    <w:rsid w:val="003B0167"/>
    <w:rsid w:val="003B32D0"/>
    <w:rsid w:val="003B4AE3"/>
    <w:rsid w:val="003B544B"/>
    <w:rsid w:val="003B62B7"/>
    <w:rsid w:val="003B6334"/>
    <w:rsid w:val="003B7C07"/>
    <w:rsid w:val="003C24CF"/>
    <w:rsid w:val="003C3753"/>
    <w:rsid w:val="003C3864"/>
    <w:rsid w:val="003C4406"/>
    <w:rsid w:val="003C51EE"/>
    <w:rsid w:val="003C58C9"/>
    <w:rsid w:val="003C675D"/>
    <w:rsid w:val="003D0529"/>
    <w:rsid w:val="003D0D64"/>
    <w:rsid w:val="003D143E"/>
    <w:rsid w:val="003D2C7C"/>
    <w:rsid w:val="003D2F47"/>
    <w:rsid w:val="003D5B90"/>
    <w:rsid w:val="003D630A"/>
    <w:rsid w:val="003D67FA"/>
    <w:rsid w:val="003D7771"/>
    <w:rsid w:val="003E0B2A"/>
    <w:rsid w:val="003E14C0"/>
    <w:rsid w:val="003E24C7"/>
    <w:rsid w:val="003E34E2"/>
    <w:rsid w:val="003E38D4"/>
    <w:rsid w:val="003E41EA"/>
    <w:rsid w:val="003E55DE"/>
    <w:rsid w:val="003E676B"/>
    <w:rsid w:val="003E6D5B"/>
    <w:rsid w:val="003F06D5"/>
    <w:rsid w:val="003F4948"/>
    <w:rsid w:val="003F4FEA"/>
    <w:rsid w:val="003F6ADC"/>
    <w:rsid w:val="00401C84"/>
    <w:rsid w:val="004022D0"/>
    <w:rsid w:val="00403435"/>
    <w:rsid w:val="00404F25"/>
    <w:rsid w:val="00406A0C"/>
    <w:rsid w:val="004112FC"/>
    <w:rsid w:val="00411598"/>
    <w:rsid w:val="0041189F"/>
    <w:rsid w:val="004134E3"/>
    <w:rsid w:val="004168D3"/>
    <w:rsid w:val="00416912"/>
    <w:rsid w:val="00416F75"/>
    <w:rsid w:val="00422350"/>
    <w:rsid w:val="0042292F"/>
    <w:rsid w:val="00422E1C"/>
    <w:rsid w:val="00423777"/>
    <w:rsid w:val="00423FB8"/>
    <w:rsid w:val="00424597"/>
    <w:rsid w:val="00427CA3"/>
    <w:rsid w:val="00427F53"/>
    <w:rsid w:val="00430514"/>
    <w:rsid w:val="0043396C"/>
    <w:rsid w:val="0043465D"/>
    <w:rsid w:val="00435238"/>
    <w:rsid w:val="00436DFC"/>
    <w:rsid w:val="00443F02"/>
    <w:rsid w:val="00451A6E"/>
    <w:rsid w:val="00452083"/>
    <w:rsid w:val="004522C1"/>
    <w:rsid w:val="00452538"/>
    <w:rsid w:val="00454CFB"/>
    <w:rsid w:val="004554AB"/>
    <w:rsid w:val="00455683"/>
    <w:rsid w:val="00455780"/>
    <w:rsid w:val="004626FC"/>
    <w:rsid w:val="00464D30"/>
    <w:rsid w:val="00465E15"/>
    <w:rsid w:val="00466061"/>
    <w:rsid w:val="004713E1"/>
    <w:rsid w:val="00474F2D"/>
    <w:rsid w:val="00476B3F"/>
    <w:rsid w:val="004815F9"/>
    <w:rsid w:val="004820DA"/>
    <w:rsid w:val="0048356D"/>
    <w:rsid w:val="0048398A"/>
    <w:rsid w:val="0048681E"/>
    <w:rsid w:val="0049045D"/>
    <w:rsid w:val="004930B0"/>
    <w:rsid w:val="004979B0"/>
    <w:rsid w:val="004A01C8"/>
    <w:rsid w:val="004A072C"/>
    <w:rsid w:val="004A09D2"/>
    <w:rsid w:val="004A29CD"/>
    <w:rsid w:val="004A3432"/>
    <w:rsid w:val="004A4946"/>
    <w:rsid w:val="004A4A45"/>
    <w:rsid w:val="004A5766"/>
    <w:rsid w:val="004A6E9E"/>
    <w:rsid w:val="004B0135"/>
    <w:rsid w:val="004B09C9"/>
    <w:rsid w:val="004B4910"/>
    <w:rsid w:val="004B6AD1"/>
    <w:rsid w:val="004C12A0"/>
    <w:rsid w:val="004C495B"/>
    <w:rsid w:val="004D1235"/>
    <w:rsid w:val="004D35FB"/>
    <w:rsid w:val="004D432F"/>
    <w:rsid w:val="004D4808"/>
    <w:rsid w:val="004D6835"/>
    <w:rsid w:val="004E1AB4"/>
    <w:rsid w:val="004E30E4"/>
    <w:rsid w:val="004E46AD"/>
    <w:rsid w:val="004E497B"/>
    <w:rsid w:val="004E65B6"/>
    <w:rsid w:val="004F0009"/>
    <w:rsid w:val="004F0F7F"/>
    <w:rsid w:val="004F101B"/>
    <w:rsid w:val="004F12A9"/>
    <w:rsid w:val="004F492B"/>
    <w:rsid w:val="004F4E02"/>
    <w:rsid w:val="005026EA"/>
    <w:rsid w:val="005033E6"/>
    <w:rsid w:val="005041ED"/>
    <w:rsid w:val="005059F8"/>
    <w:rsid w:val="00510D03"/>
    <w:rsid w:val="005118DB"/>
    <w:rsid w:val="005135F0"/>
    <w:rsid w:val="00513600"/>
    <w:rsid w:val="0051394F"/>
    <w:rsid w:val="005154D2"/>
    <w:rsid w:val="0051555E"/>
    <w:rsid w:val="00516773"/>
    <w:rsid w:val="00517E6C"/>
    <w:rsid w:val="00520A06"/>
    <w:rsid w:val="00521E68"/>
    <w:rsid w:val="00522A0E"/>
    <w:rsid w:val="00525E71"/>
    <w:rsid w:val="00527C31"/>
    <w:rsid w:val="00530718"/>
    <w:rsid w:val="005308F6"/>
    <w:rsid w:val="00532BBD"/>
    <w:rsid w:val="00533546"/>
    <w:rsid w:val="005335C3"/>
    <w:rsid w:val="00533DE2"/>
    <w:rsid w:val="005340BE"/>
    <w:rsid w:val="00535D3F"/>
    <w:rsid w:val="00536719"/>
    <w:rsid w:val="0053789E"/>
    <w:rsid w:val="005405B9"/>
    <w:rsid w:val="00541C3E"/>
    <w:rsid w:val="005425B1"/>
    <w:rsid w:val="00542666"/>
    <w:rsid w:val="00542785"/>
    <w:rsid w:val="00543379"/>
    <w:rsid w:val="0054499F"/>
    <w:rsid w:val="00544D44"/>
    <w:rsid w:val="005457F4"/>
    <w:rsid w:val="00551247"/>
    <w:rsid w:val="0055483E"/>
    <w:rsid w:val="00555033"/>
    <w:rsid w:val="005556F8"/>
    <w:rsid w:val="00557514"/>
    <w:rsid w:val="00560E31"/>
    <w:rsid w:val="00560EC9"/>
    <w:rsid w:val="00561972"/>
    <w:rsid w:val="00561C6F"/>
    <w:rsid w:val="00562663"/>
    <w:rsid w:val="00564C76"/>
    <w:rsid w:val="005652C7"/>
    <w:rsid w:val="0057075E"/>
    <w:rsid w:val="00570E93"/>
    <w:rsid w:val="00572698"/>
    <w:rsid w:val="00573669"/>
    <w:rsid w:val="00573FB6"/>
    <w:rsid w:val="00574423"/>
    <w:rsid w:val="0057459B"/>
    <w:rsid w:val="0057569D"/>
    <w:rsid w:val="00576525"/>
    <w:rsid w:val="00576EE2"/>
    <w:rsid w:val="00581DBA"/>
    <w:rsid w:val="00583A8F"/>
    <w:rsid w:val="00587282"/>
    <w:rsid w:val="00590716"/>
    <w:rsid w:val="005911C1"/>
    <w:rsid w:val="0059300E"/>
    <w:rsid w:val="00594679"/>
    <w:rsid w:val="00595AF6"/>
    <w:rsid w:val="00596D7D"/>
    <w:rsid w:val="005974B5"/>
    <w:rsid w:val="005A0BB2"/>
    <w:rsid w:val="005A238D"/>
    <w:rsid w:val="005A279C"/>
    <w:rsid w:val="005A45D4"/>
    <w:rsid w:val="005A5B23"/>
    <w:rsid w:val="005A63A2"/>
    <w:rsid w:val="005B165A"/>
    <w:rsid w:val="005B2091"/>
    <w:rsid w:val="005B53E3"/>
    <w:rsid w:val="005B658B"/>
    <w:rsid w:val="005B6FB0"/>
    <w:rsid w:val="005C180E"/>
    <w:rsid w:val="005C2307"/>
    <w:rsid w:val="005C628C"/>
    <w:rsid w:val="005C644F"/>
    <w:rsid w:val="005C6AA0"/>
    <w:rsid w:val="005C6AC8"/>
    <w:rsid w:val="005C7447"/>
    <w:rsid w:val="005C77D2"/>
    <w:rsid w:val="005D07C4"/>
    <w:rsid w:val="005D319B"/>
    <w:rsid w:val="005D41AB"/>
    <w:rsid w:val="005D59B9"/>
    <w:rsid w:val="005D65DD"/>
    <w:rsid w:val="005E39AF"/>
    <w:rsid w:val="005E6AEC"/>
    <w:rsid w:val="005E7107"/>
    <w:rsid w:val="005F0829"/>
    <w:rsid w:val="005F1595"/>
    <w:rsid w:val="005F25C7"/>
    <w:rsid w:val="005F28F3"/>
    <w:rsid w:val="005F64DC"/>
    <w:rsid w:val="005F6709"/>
    <w:rsid w:val="005F750F"/>
    <w:rsid w:val="005F779D"/>
    <w:rsid w:val="005F7AD4"/>
    <w:rsid w:val="00601ECC"/>
    <w:rsid w:val="00602FF4"/>
    <w:rsid w:val="00604673"/>
    <w:rsid w:val="00605389"/>
    <w:rsid w:val="0061017B"/>
    <w:rsid w:val="0061344C"/>
    <w:rsid w:val="006150FE"/>
    <w:rsid w:val="006158CC"/>
    <w:rsid w:val="00615D0B"/>
    <w:rsid w:val="00616053"/>
    <w:rsid w:val="00621845"/>
    <w:rsid w:val="006236CE"/>
    <w:rsid w:val="00624AF7"/>
    <w:rsid w:val="00632897"/>
    <w:rsid w:val="00634B37"/>
    <w:rsid w:val="006358E7"/>
    <w:rsid w:val="006379E7"/>
    <w:rsid w:val="0064005B"/>
    <w:rsid w:val="00641259"/>
    <w:rsid w:val="00644769"/>
    <w:rsid w:val="00651103"/>
    <w:rsid w:val="00652C58"/>
    <w:rsid w:val="00655F5B"/>
    <w:rsid w:val="00656794"/>
    <w:rsid w:val="0066120C"/>
    <w:rsid w:val="0066122A"/>
    <w:rsid w:val="0066181D"/>
    <w:rsid w:val="00664424"/>
    <w:rsid w:val="00664BDC"/>
    <w:rsid w:val="0066786B"/>
    <w:rsid w:val="00667D0A"/>
    <w:rsid w:val="0067078B"/>
    <w:rsid w:val="006715FE"/>
    <w:rsid w:val="00673873"/>
    <w:rsid w:val="00675585"/>
    <w:rsid w:val="0067586F"/>
    <w:rsid w:val="006760E6"/>
    <w:rsid w:val="00681BCA"/>
    <w:rsid w:val="00682D8D"/>
    <w:rsid w:val="0068382D"/>
    <w:rsid w:val="00684D83"/>
    <w:rsid w:val="00686BC7"/>
    <w:rsid w:val="00686FE6"/>
    <w:rsid w:val="0069045D"/>
    <w:rsid w:val="00691DBC"/>
    <w:rsid w:val="00692444"/>
    <w:rsid w:val="00692454"/>
    <w:rsid w:val="0069316B"/>
    <w:rsid w:val="00696DA9"/>
    <w:rsid w:val="00696E03"/>
    <w:rsid w:val="00697069"/>
    <w:rsid w:val="00697A01"/>
    <w:rsid w:val="00697CE8"/>
    <w:rsid w:val="006A0A26"/>
    <w:rsid w:val="006A3BB4"/>
    <w:rsid w:val="006A5ED2"/>
    <w:rsid w:val="006A67E3"/>
    <w:rsid w:val="006B10E5"/>
    <w:rsid w:val="006B41B2"/>
    <w:rsid w:val="006B45BE"/>
    <w:rsid w:val="006B5DA6"/>
    <w:rsid w:val="006B71BB"/>
    <w:rsid w:val="006C45BE"/>
    <w:rsid w:val="006C525A"/>
    <w:rsid w:val="006C5F22"/>
    <w:rsid w:val="006C6A5F"/>
    <w:rsid w:val="006C6EC0"/>
    <w:rsid w:val="006C7820"/>
    <w:rsid w:val="006C7C2F"/>
    <w:rsid w:val="006D2D61"/>
    <w:rsid w:val="006D47D8"/>
    <w:rsid w:val="006D4C17"/>
    <w:rsid w:val="006D4EF7"/>
    <w:rsid w:val="006D543D"/>
    <w:rsid w:val="006D7A7F"/>
    <w:rsid w:val="006E1E0A"/>
    <w:rsid w:val="006E4487"/>
    <w:rsid w:val="006E46B1"/>
    <w:rsid w:val="006E4A93"/>
    <w:rsid w:val="006E4E24"/>
    <w:rsid w:val="006E512D"/>
    <w:rsid w:val="006F09B8"/>
    <w:rsid w:val="006F2A31"/>
    <w:rsid w:val="006F2C6E"/>
    <w:rsid w:val="006F3CDA"/>
    <w:rsid w:val="006F4D10"/>
    <w:rsid w:val="006F4E4E"/>
    <w:rsid w:val="006F733D"/>
    <w:rsid w:val="006F787D"/>
    <w:rsid w:val="0070371B"/>
    <w:rsid w:val="0070536E"/>
    <w:rsid w:val="00705B72"/>
    <w:rsid w:val="00705C9C"/>
    <w:rsid w:val="00710650"/>
    <w:rsid w:val="00713D6B"/>
    <w:rsid w:val="00714F4D"/>
    <w:rsid w:val="007178D8"/>
    <w:rsid w:val="0071791B"/>
    <w:rsid w:val="00717B6B"/>
    <w:rsid w:val="00720976"/>
    <w:rsid w:val="0072171B"/>
    <w:rsid w:val="00722073"/>
    <w:rsid w:val="007245A8"/>
    <w:rsid w:val="0072543C"/>
    <w:rsid w:val="0072637D"/>
    <w:rsid w:val="00726394"/>
    <w:rsid w:val="007270A4"/>
    <w:rsid w:val="00730060"/>
    <w:rsid w:val="00730159"/>
    <w:rsid w:val="007309D0"/>
    <w:rsid w:val="0073189C"/>
    <w:rsid w:val="00731ACC"/>
    <w:rsid w:val="0073279C"/>
    <w:rsid w:val="0073636F"/>
    <w:rsid w:val="00736836"/>
    <w:rsid w:val="00736C98"/>
    <w:rsid w:val="0074074D"/>
    <w:rsid w:val="007411B2"/>
    <w:rsid w:val="00741312"/>
    <w:rsid w:val="00741F3A"/>
    <w:rsid w:val="00744214"/>
    <w:rsid w:val="00744C40"/>
    <w:rsid w:val="007454FA"/>
    <w:rsid w:val="00746073"/>
    <w:rsid w:val="00747CBA"/>
    <w:rsid w:val="00751205"/>
    <w:rsid w:val="00752A3D"/>
    <w:rsid w:val="00752CAE"/>
    <w:rsid w:val="00754A39"/>
    <w:rsid w:val="007564C2"/>
    <w:rsid w:val="00756561"/>
    <w:rsid w:val="00760053"/>
    <w:rsid w:val="007631ED"/>
    <w:rsid w:val="007640A4"/>
    <w:rsid w:val="00765167"/>
    <w:rsid w:val="00766F8E"/>
    <w:rsid w:val="00771606"/>
    <w:rsid w:val="00772F36"/>
    <w:rsid w:val="00776699"/>
    <w:rsid w:val="00777153"/>
    <w:rsid w:val="00781991"/>
    <w:rsid w:val="007822D7"/>
    <w:rsid w:val="0079138D"/>
    <w:rsid w:val="007922E2"/>
    <w:rsid w:val="00792307"/>
    <w:rsid w:val="00792CF2"/>
    <w:rsid w:val="007934B5"/>
    <w:rsid w:val="00793D78"/>
    <w:rsid w:val="0079788D"/>
    <w:rsid w:val="007A0D92"/>
    <w:rsid w:val="007A1295"/>
    <w:rsid w:val="007A24C8"/>
    <w:rsid w:val="007A2B2A"/>
    <w:rsid w:val="007A6FD5"/>
    <w:rsid w:val="007A79AA"/>
    <w:rsid w:val="007B2497"/>
    <w:rsid w:val="007B5473"/>
    <w:rsid w:val="007B658F"/>
    <w:rsid w:val="007C3921"/>
    <w:rsid w:val="007C5CEB"/>
    <w:rsid w:val="007C5DD3"/>
    <w:rsid w:val="007C60B6"/>
    <w:rsid w:val="007C65C1"/>
    <w:rsid w:val="007C7DB2"/>
    <w:rsid w:val="007D0013"/>
    <w:rsid w:val="007D019C"/>
    <w:rsid w:val="007D1E9C"/>
    <w:rsid w:val="007D248F"/>
    <w:rsid w:val="007D30C4"/>
    <w:rsid w:val="007D3CAE"/>
    <w:rsid w:val="007E0832"/>
    <w:rsid w:val="007E1148"/>
    <w:rsid w:val="007E1A29"/>
    <w:rsid w:val="007E295E"/>
    <w:rsid w:val="007E390B"/>
    <w:rsid w:val="007E4CDA"/>
    <w:rsid w:val="007E52CE"/>
    <w:rsid w:val="007E5BF9"/>
    <w:rsid w:val="007F012C"/>
    <w:rsid w:val="007F31F5"/>
    <w:rsid w:val="007F3219"/>
    <w:rsid w:val="007F47F6"/>
    <w:rsid w:val="007F4A16"/>
    <w:rsid w:val="007F5792"/>
    <w:rsid w:val="007F6459"/>
    <w:rsid w:val="007F74EA"/>
    <w:rsid w:val="00800278"/>
    <w:rsid w:val="00800D8A"/>
    <w:rsid w:val="0080180C"/>
    <w:rsid w:val="00802DFD"/>
    <w:rsid w:val="00803573"/>
    <w:rsid w:val="00803CC5"/>
    <w:rsid w:val="0080583E"/>
    <w:rsid w:val="00805F29"/>
    <w:rsid w:val="00807B77"/>
    <w:rsid w:val="00810206"/>
    <w:rsid w:val="008102E3"/>
    <w:rsid w:val="008103BA"/>
    <w:rsid w:val="00810F17"/>
    <w:rsid w:val="008117FF"/>
    <w:rsid w:val="00811ED3"/>
    <w:rsid w:val="008122F8"/>
    <w:rsid w:val="008126FA"/>
    <w:rsid w:val="00812BF2"/>
    <w:rsid w:val="00812C4A"/>
    <w:rsid w:val="00813071"/>
    <w:rsid w:val="008161FD"/>
    <w:rsid w:val="008176C6"/>
    <w:rsid w:val="00821BB8"/>
    <w:rsid w:val="00821CFA"/>
    <w:rsid w:val="00822419"/>
    <w:rsid w:val="00824597"/>
    <w:rsid w:val="008248A6"/>
    <w:rsid w:val="008312C9"/>
    <w:rsid w:val="0083159D"/>
    <w:rsid w:val="008358BF"/>
    <w:rsid w:val="00836A46"/>
    <w:rsid w:val="008404FA"/>
    <w:rsid w:val="00840805"/>
    <w:rsid w:val="00841C88"/>
    <w:rsid w:val="008445E3"/>
    <w:rsid w:val="0084555F"/>
    <w:rsid w:val="00850AEE"/>
    <w:rsid w:val="00852825"/>
    <w:rsid w:val="008562B6"/>
    <w:rsid w:val="00856D7A"/>
    <w:rsid w:val="00857628"/>
    <w:rsid w:val="00860449"/>
    <w:rsid w:val="00860839"/>
    <w:rsid w:val="00861184"/>
    <w:rsid w:val="0086228E"/>
    <w:rsid w:val="00862C68"/>
    <w:rsid w:val="00862F67"/>
    <w:rsid w:val="008631F0"/>
    <w:rsid w:val="008636CD"/>
    <w:rsid w:val="00866323"/>
    <w:rsid w:val="00873C9F"/>
    <w:rsid w:val="00874915"/>
    <w:rsid w:val="00875349"/>
    <w:rsid w:val="00875D42"/>
    <w:rsid w:val="0087636A"/>
    <w:rsid w:val="00877E29"/>
    <w:rsid w:val="008817DF"/>
    <w:rsid w:val="00882211"/>
    <w:rsid w:val="00883AC3"/>
    <w:rsid w:val="008856D8"/>
    <w:rsid w:val="00886D9B"/>
    <w:rsid w:val="00886F0A"/>
    <w:rsid w:val="0089017A"/>
    <w:rsid w:val="008902BE"/>
    <w:rsid w:val="0089040E"/>
    <w:rsid w:val="00890F2F"/>
    <w:rsid w:val="00895B43"/>
    <w:rsid w:val="008978CC"/>
    <w:rsid w:val="008A0234"/>
    <w:rsid w:val="008A03B5"/>
    <w:rsid w:val="008A1236"/>
    <w:rsid w:val="008A1CA3"/>
    <w:rsid w:val="008A4410"/>
    <w:rsid w:val="008A4521"/>
    <w:rsid w:val="008A49FB"/>
    <w:rsid w:val="008A5249"/>
    <w:rsid w:val="008A55BC"/>
    <w:rsid w:val="008A5A4D"/>
    <w:rsid w:val="008B0C5B"/>
    <w:rsid w:val="008B2671"/>
    <w:rsid w:val="008B3571"/>
    <w:rsid w:val="008B4EC3"/>
    <w:rsid w:val="008B513A"/>
    <w:rsid w:val="008B6BDE"/>
    <w:rsid w:val="008B6EF0"/>
    <w:rsid w:val="008B73D6"/>
    <w:rsid w:val="008C0858"/>
    <w:rsid w:val="008C086A"/>
    <w:rsid w:val="008C1D47"/>
    <w:rsid w:val="008C1FB0"/>
    <w:rsid w:val="008C2FDD"/>
    <w:rsid w:val="008C316E"/>
    <w:rsid w:val="008C41E2"/>
    <w:rsid w:val="008C5D49"/>
    <w:rsid w:val="008C761F"/>
    <w:rsid w:val="008C7E86"/>
    <w:rsid w:val="008D087A"/>
    <w:rsid w:val="008D0A43"/>
    <w:rsid w:val="008D2130"/>
    <w:rsid w:val="008D2181"/>
    <w:rsid w:val="008E4537"/>
    <w:rsid w:val="008E4729"/>
    <w:rsid w:val="008E5FEE"/>
    <w:rsid w:val="008E62A3"/>
    <w:rsid w:val="008E65FC"/>
    <w:rsid w:val="008F160C"/>
    <w:rsid w:val="008F17DB"/>
    <w:rsid w:val="008F35B7"/>
    <w:rsid w:val="008F3E33"/>
    <w:rsid w:val="008F4D9C"/>
    <w:rsid w:val="008F5DB3"/>
    <w:rsid w:val="008F68A4"/>
    <w:rsid w:val="00903F5C"/>
    <w:rsid w:val="0090456B"/>
    <w:rsid w:val="00904D89"/>
    <w:rsid w:val="00905389"/>
    <w:rsid w:val="009059C3"/>
    <w:rsid w:val="00905E4B"/>
    <w:rsid w:val="00906B15"/>
    <w:rsid w:val="00907B54"/>
    <w:rsid w:val="00910272"/>
    <w:rsid w:val="0091091B"/>
    <w:rsid w:val="00911CF3"/>
    <w:rsid w:val="0092210C"/>
    <w:rsid w:val="00923ECD"/>
    <w:rsid w:val="00924B1E"/>
    <w:rsid w:val="009252CD"/>
    <w:rsid w:val="00926C92"/>
    <w:rsid w:val="0092757B"/>
    <w:rsid w:val="00931C1F"/>
    <w:rsid w:val="00932848"/>
    <w:rsid w:val="00933586"/>
    <w:rsid w:val="00934F4F"/>
    <w:rsid w:val="0093528D"/>
    <w:rsid w:val="00935489"/>
    <w:rsid w:val="00936897"/>
    <w:rsid w:val="0093779F"/>
    <w:rsid w:val="00937D41"/>
    <w:rsid w:val="009402EC"/>
    <w:rsid w:val="009415B3"/>
    <w:rsid w:val="00941D5E"/>
    <w:rsid w:val="00943722"/>
    <w:rsid w:val="009507B7"/>
    <w:rsid w:val="00951CA7"/>
    <w:rsid w:val="0095253D"/>
    <w:rsid w:val="009529B2"/>
    <w:rsid w:val="00952FA5"/>
    <w:rsid w:val="009532FE"/>
    <w:rsid w:val="00955254"/>
    <w:rsid w:val="009629A5"/>
    <w:rsid w:val="00963412"/>
    <w:rsid w:val="0096444D"/>
    <w:rsid w:val="00966D64"/>
    <w:rsid w:val="009709F2"/>
    <w:rsid w:val="00970A5C"/>
    <w:rsid w:val="009721F5"/>
    <w:rsid w:val="00972744"/>
    <w:rsid w:val="00972DDC"/>
    <w:rsid w:val="0097308D"/>
    <w:rsid w:val="00973E88"/>
    <w:rsid w:val="009742AA"/>
    <w:rsid w:val="009743F3"/>
    <w:rsid w:val="00975497"/>
    <w:rsid w:val="00976599"/>
    <w:rsid w:val="0098337D"/>
    <w:rsid w:val="0098413F"/>
    <w:rsid w:val="00984F99"/>
    <w:rsid w:val="009855B6"/>
    <w:rsid w:val="00985642"/>
    <w:rsid w:val="009902D4"/>
    <w:rsid w:val="009930F5"/>
    <w:rsid w:val="009939DA"/>
    <w:rsid w:val="00993D67"/>
    <w:rsid w:val="00994F7E"/>
    <w:rsid w:val="00994FFE"/>
    <w:rsid w:val="00997C46"/>
    <w:rsid w:val="009A03FF"/>
    <w:rsid w:val="009A20D3"/>
    <w:rsid w:val="009A2204"/>
    <w:rsid w:val="009A3178"/>
    <w:rsid w:val="009A750D"/>
    <w:rsid w:val="009B2785"/>
    <w:rsid w:val="009B3DC9"/>
    <w:rsid w:val="009B56F5"/>
    <w:rsid w:val="009B6243"/>
    <w:rsid w:val="009B64E0"/>
    <w:rsid w:val="009B6843"/>
    <w:rsid w:val="009B75E1"/>
    <w:rsid w:val="009B7DE8"/>
    <w:rsid w:val="009C2143"/>
    <w:rsid w:val="009C2E35"/>
    <w:rsid w:val="009C3260"/>
    <w:rsid w:val="009C46F3"/>
    <w:rsid w:val="009C5A2B"/>
    <w:rsid w:val="009C71AD"/>
    <w:rsid w:val="009C76A3"/>
    <w:rsid w:val="009D0BB3"/>
    <w:rsid w:val="009D2234"/>
    <w:rsid w:val="009D37B6"/>
    <w:rsid w:val="009D384E"/>
    <w:rsid w:val="009D6305"/>
    <w:rsid w:val="009D6831"/>
    <w:rsid w:val="009E0C1C"/>
    <w:rsid w:val="009E23C2"/>
    <w:rsid w:val="009E429C"/>
    <w:rsid w:val="009E4FBE"/>
    <w:rsid w:val="009E62D4"/>
    <w:rsid w:val="009E6656"/>
    <w:rsid w:val="009E6701"/>
    <w:rsid w:val="009F4150"/>
    <w:rsid w:val="009F4EFE"/>
    <w:rsid w:val="009F6496"/>
    <w:rsid w:val="00A00D4C"/>
    <w:rsid w:val="00A04058"/>
    <w:rsid w:val="00A114F1"/>
    <w:rsid w:val="00A11931"/>
    <w:rsid w:val="00A13979"/>
    <w:rsid w:val="00A160E2"/>
    <w:rsid w:val="00A16843"/>
    <w:rsid w:val="00A16BCB"/>
    <w:rsid w:val="00A22206"/>
    <w:rsid w:val="00A233EF"/>
    <w:rsid w:val="00A24E29"/>
    <w:rsid w:val="00A26455"/>
    <w:rsid w:val="00A26CE1"/>
    <w:rsid w:val="00A27703"/>
    <w:rsid w:val="00A31CE0"/>
    <w:rsid w:val="00A323B7"/>
    <w:rsid w:val="00A3343F"/>
    <w:rsid w:val="00A35E39"/>
    <w:rsid w:val="00A36DAC"/>
    <w:rsid w:val="00A41B5E"/>
    <w:rsid w:val="00A41E06"/>
    <w:rsid w:val="00A43113"/>
    <w:rsid w:val="00A433F6"/>
    <w:rsid w:val="00A43D9A"/>
    <w:rsid w:val="00A455B3"/>
    <w:rsid w:val="00A51785"/>
    <w:rsid w:val="00A53093"/>
    <w:rsid w:val="00A53902"/>
    <w:rsid w:val="00A56774"/>
    <w:rsid w:val="00A607CE"/>
    <w:rsid w:val="00A61C41"/>
    <w:rsid w:val="00A66709"/>
    <w:rsid w:val="00A67255"/>
    <w:rsid w:val="00A7003E"/>
    <w:rsid w:val="00A717F4"/>
    <w:rsid w:val="00A71AE1"/>
    <w:rsid w:val="00A73247"/>
    <w:rsid w:val="00A7385E"/>
    <w:rsid w:val="00A74E49"/>
    <w:rsid w:val="00A76D9E"/>
    <w:rsid w:val="00A77560"/>
    <w:rsid w:val="00A810A6"/>
    <w:rsid w:val="00A81CE7"/>
    <w:rsid w:val="00A86536"/>
    <w:rsid w:val="00A86DBD"/>
    <w:rsid w:val="00A8720B"/>
    <w:rsid w:val="00A92ED1"/>
    <w:rsid w:val="00A9317C"/>
    <w:rsid w:val="00A938AB"/>
    <w:rsid w:val="00A93E24"/>
    <w:rsid w:val="00A97E6A"/>
    <w:rsid w:val="00AA10D4"/>
    <w:rsid w:val="00AA24C4"/>
    <w:rsid w:val="00AA2DA4"/>
    <w:rsid w:val="00AA39C3"/>
    <w:rsid w:val="00AA5474"/>
    <w:rsid w:val="00AA63B1"/>
    <w:rsid w:val="00AA73DF"/>
    <w:rsid w:val="00AA7940"/>
    <w:rsid w:val="00AB1941"/>
    <w:rsid w:val="00AB1DAB"/>
    <w:rsid w:val="00AB366D"/>
    <w:rsid w:val="00AB5932"/>
    <w:rsid w:val="00AB7336"/>
    <w:rsid w:val="00AC28EA"/>
    <w:rsid w:val="00AC6CFD"/>
    <w:rsid w:val="00AC6F17"/>
    <w:rsid w:val="00AD3BC2"/>
    <w:rsid w:val="00AD6661"/>
    <w:rsid w:val="00AD69E5"/>
    <w:rsid w:val="00AD6CD9"/>
    <w:rsid w:val="00AE10F6"/>
    <w:rsid w:val="00AE1424"/>
    <w:rsid w:val="00AE253D"/>
    <w:rsid w:val="00AE267B"/>
    <w:rsid w:val="00AE41C4"/>
    <w:rsid w:val="00AE4C5F"/>
    <w:rsid w:val="00AE56CE"/>
    <w:rsid w:val="00AF263B"/>
    <w:rsid w:val="00AF28A8"/>
    <w:rsid w:val="00AF41AC"/>
    <w:rsid w:val="00AF48AF"/>
    <w:rsid w:val="00B029A9"/>
    <w:rsid w:val="00B02A23"/>
    <w:rsid w:val="00B031F6"/>
    <w:rsid w:val="00B04F75"/>
    <w:rsid w:val="00B058C8"/>
    <w:rsid w:val="00B06B44"/>
    <w:rsid w:val="00B06F81"/>
    <w:rsid w:val="00B10C31"/>
    <w:rsid w:val="00B11F08"/>
    <w:rsid w:val="00B140B1"/>
    <w:rsid w:val="00B1430F"/>
    <w:rsid w:val="00B15016"/>
    <w:rsid w:val="00B169A9"/>
    <w:rsid w:val="00B202AA"/>
    <w:rsid w:val="00B204BB"/>
    <w:rsid w:val="00B2153D"/>
    <w:rsid w:val="00B232DD"/>
    <w:rsid w:val="00B23866"/>
    <w:rsid w:val="00B24850"/>
    <w:rsid w:val="00B257F5"/>
    <w:rsid w:val="00B26337"/>
    <w:rsid w:val="00B30B5D"/>
    <w:rsid w:val="00B31024"/>
    <w:rsid w:val="00B315BD"/>
    <w:rsid w:val="00B3306E"/>
    <w:rsid w:val="00B33290"/>
    <w:rsid w:val="00B34F6D"/>
    <w:rsid w:val="00B35861"/>
    <w:rsid w:val="00B3605B"/>
    <w:rsid w:val="00B403DA"/>
    <w:rsid w:val="00B43913"/>
    <w:rsid w:val="00B4526B"/>
    <w:rsid w:val="00B51249"/>
    <w:rsid w:val="00B51BF3"/>
    <w:rsid w:val="00B51D0E"/>
    <w:rsid w:val="00B51FDF"/>
    <w:rsid w:val="00B5446B"/>
    <w:rsid w:val="00B549A5"/>
    <w:rsid w:val="00B56646"/>
    <w:rsid w:val="00B603F0"/>
    <w:rsid w:val="00B606A9"/>
    <w:rsid w:val="00B60FF3"/>
    <w:rsid w:val="00B61044"/>
    <w:rsid w:val="00B61C69"/>
    <w:rsid w:val="00B61C70"/>
    <w:rsid w:val="00B650E2"/>
    <w:rsid w:val="00B74F75"/>
    <w:rsid w:val="00B76F9D"/>
    <w:rsid w:val="00B7732B"/>
    <w:rsid w:val="00B83CB7"/>
    <w:rsid w:val="00B84699"/>
    <w:rsid w:val="00B849D7"/>
    <w:rsid w:val="00B867F6"/>
    <w:rsid w:val="00B91628"/>
    <w:rsid w:val="00B91C4C"/>
    <w:rsid w:val="00B977CB"/>
    <w:rsid w:val="00BA18C2"/>
    <w:rsid w:val="00BA5292"/>
    <w:rsid w:val="00BA5CEF"/>
    <w:rsid w:val="00BA6546"/>
    <w:rsid w:val="00BA7745"/>
    <w:rsid w:val="00BA79C7"/>
    <w:rsid w:val="00BA7B3F"/>
    <w:rsid w:val="00BB345D"/>
    <w:rsid w:val="00BB4952"/>
    <w:rsid w:val="00BB5832"/>
    <w:rsid w:val="00BB6198"/>
    <w:rsid w:val="00BC2C69"/>
    <w:rsid w:val="00BC55C5"/>
    <w:rsid w:val="00BC725A"/>
    <w:rsid w:val="00BD238F"/>
    <w:rsid w:val="00BD279E"/>
    <w:rsid w:val="00BD3AD7"/>
    <w:rsid w:val="00BD6C84"/>
    <w:rsid w:val="00BE08D6"/>
    <w:rsid w:val="00BE176A"/>
    <w:rsid w:val="00BE1EA0"/>
    <w:rsid w:val="00BE7C3D"/>
    <w:rsid w:val="00BF0174"/>
    <w:rsid w:val="00BF1C03"/>
    <w:rsid w:val="00BF237A"/>
    <w:rsid w:val="00BF258B"/>
    <w:rsid w:val="00BF3028"/>
    <w:rsid w:val="00BF3502"/>
    <w:rsid w:val="00BF368A"/>
    <w:rsid w:val="00BF4BE6"/>
    <w:rsid w:val="00BF55E4"/>
    <w:rsid w:val="00BF636F"/>
    <w:rsid w:val="00BF77CA"/>
    <w:rsid w:val="00BF7A28"/>
    <w:rsid w:val="00C0128B"/>
    <w:rsid w:val="00C01A80"/>
    <w:rsid w:val="00C05059"/>
    <w:rsid w:val="00C05681"/>
    <w:rsid w:val="00C059F8"/>
    <w:rsid w:val="00C062C3"/>
    <w:rsid w:val="00C07101"/>
    <w:rsid w:val="00C1018E"/>
    <w:rsid w:val="00C13A29"/>
    <w:rsid w:val="00C13BFE"/>
    <w:rsid w:val="00C13C4F"/>
    <w:rsid w:val="00C14CD4"/>
    <w:rsid w:val="00C14D55"/>
    <w:rsid w:val="00C17B20"/>
    <w:rsid w:val="00C207B3"/>
    <w:rsid w:val="00C20B10"/>
    <w:rsid w:val="00C222E3"/>
    <w:rsid w:val="00C22520"/>
    <w:rsid w:val="00C22FC6"/>
    <w:rsid w:val="00C22FCF"/>
    <w:rsid w:val="00C240CE"/>
    <w:rsid w:val="00C248D0"/>
    <w:rsid w:val="00C25838"/>
    <w:rsid w:val="00C259DD"/>
    <w:rsid w:val="00C26CBE"/>
    <w:rsid w:val="00C27EBA"/>
    <w:rsid w:val="00C312CF"/>
    <w:rsid w:val="00C320D1"/>
    <w:rsid w:val="00C328A8"/>
    <w:rsid w:val="00C33220"/>
    <w:rsid w:val="00C33C32"/>
    <w:rsid w:val="00C34D3B"/>
    <w:rsid w:val="00C35B1D"/>
    <w:rsid w:val="00C379CE"/>
    <w:rsid w:val="00C42B5A"/>
    <w:rsid w:val="00C42E54"/>
    <w:rsid w:val="00C45670"/>
    <w:rsid w:val="00C464B5"/>
    <w:rsid w:val="00C477B0"/>
    <w:rsid w:val="00C479D2"/>
    <w:rsid w:val="00C50E26"/>
    <w:rsid w:val="00C51B9D"/>
    <w:rsid w:val="00C5526D"/>
    <w:rsid w:val="00C55F47"/>
    <w:rsid w:val="00C56F87"/>
    <w:rsid w:val="00C70812"/>
    <w:rsid w:val="00C70EC0"/>
    <w:rsid w:val="00C70FE6"/>
    <w:rsid w:val="00C714A4"/>
    <w:rsid w:val="00C72425"/>
    <w:rsid w:val="00C72B5F"/>
    <w:rsid w:val="00C733F6"/>
    <w:rsid w:val="00C74EB7"/>
    <w:rsid w:val="00C75B4E"/>
    <w:rsid w:val="00C77031"/>
    <w:rsid w:val="00C824AB"/>
    <w:rsid w:val="00C83D49"/>
    <w:rsid w:val="00C83D68"/>
    <w:rsid w:val="00C85A0B"/>
    <w:rsid w:val="00C86C24"/>
    <w:rsid w:val="00C90648"/>
    <w:rsid w:val="00C90E13"/>
    <w:rsid w:val="00C9240A"/>
    <w:rsid w:val="00C93C20"/>
    <w:rsid w:val="00C93DC9"/>
    <w:rsid w:val="00C94C4A"/>
    <w:rsid w:val="00C9509F"/>
    <w:rsid w:val="00C95C98"/>
    <w:rsid w:val="00C95E80"/>
    <w:rsid w:val="00CA0F4B"/>
    <w:rsid w:val="00CA14B5"/>
    <w:rsid w:val="00CA2A38"/>
    <w:rsid w:val="00CA39C6"/>
    <w:rsid w:val="00CA4A6A"/>
    <w:rsid w:val="00CA4A77"/>
    <w:rsid w:val="00CA5053"/>
    <w:rsid w:val="00CA7085"/>
    <w:rsid w:val="00CB18A2"/>
    <w:rsid w:val="00CB1F9E"/>
    <w:rsid w:val="00CB2E56"/>
    <w:rsid w:val="00CB2F01"/>
    <w:rsid w:val="00CB3129"/>
    <w:rsid w:val="00CB5482"/>
    <w:rsid w:val="00CB592B"/>
    <w:rsid w:val="00CB6764"/>
    <w:rsid w:val="00CC0069"/>
    <w:rsid w:val="00CC019C"/>
    <w:rsid w:val="00CC0583"/>
    <w:rsid w:val="00CC3BC4"/>
    <w:rsid w:val="00CC748D"/>
    <w:rsid w:val="00CD1A31"/>
    <w:rsid w:val="00CD2599"/>
    <w:rsid w:val="00CD49F9"/>
    <w:rsid w:val="00CD560A"/>
    <w:rsid w:val="00CD64C4"/>
    <w:rsid w:val="00CD64EB"/>
    <w:rsid w:val="00CD77F3"/>
    <w:rsid w:val="00CE0F35"/>
    <w:rsid w:val="00CE1A8B"/>
    <w:rsid w:val="00CE3EEB"/>
    <w:rsid w:val="00CE4137"/>
    <w:rsid w:val="00CE71A4"/>
    <w:rsid w:val="00CF0613"/>
    <w:rsid w:val="00CF0C8B"/>
    <w:rsid w:val="00CF1CC7"/>
    <w:rsid w:val="00CF2254"/>
    <w:rsid w:val="00CF389A"/>
    <w:rsid w:val="00CF4190"/>
    <w:rsid w:val="00CF532D"/>
    <w:rsid w:val="00CF55F8"/>
    <w:rsid w:val="00CF61CD"/>
    <w:rsid w:val="00CF6C11"/>
    <w:rsid w:val="00D01261"/>
    <w:rsid w:val="00D01CED"/>
    <w:rsid w:val="00D02915"/>
    <w:rsid w:val="00D02B20"/>
    <w:rsid w:val="00D03B58"/>
    <w:rsid w:val="00D05E73"/>
    <w:rsid w:val="00D07BB4"/>
    <w:rsid w:val="00D11E50"/>
    <w:rsid w:val="00D13864"/>
    <w:rsid w:val="00D15E46"/>
    <w:rsid w:val="00D1792B"/>
    <w:rsid w:val="00D17983"/>
    <w:rsid w:val="00D21761"/>
    <w:rsid w:val="00D2345A"/>
    <w:rsid w:val="00D33CDA"/>
    <w:rsid w:val="00D34793"/>
    <w:rsid w:val="00D36208"/>
    <w:rsid w:val="00D370FD"/>
    <w:rsid w:val="00D37547"/>
    <w:rsid w:val="00D378FE"/>
    <w:rsid w:val="00D37CED"/>
    <w:rsid w:val="00D37FE6"/>
    <w:rsid w:val="00D4047D"/>
    <w:rsid w:val="00D4227B"/>
    <w:rsid w:val="00D425E4"/>
    <w:rsid w:val="00D477F4"/>
    <w:rsid w:val="00D51DB2"/>
    <w:rsid w:val="00D52254"/>
    <w:rsid w:val="00D54D3F"/>
    <w:rsid w:val="00D54FE6"/>
    <w:rsid w:val="00D5610D"/>
    <w:rsid w:val="00D60B76"/>
    <w:rsid w:val="00D61156"/>
    <w:rsid w:val="00D61B34"/>
    <w:rsid w:val="00D61E1E"/>
    <w:rsid w:val="00D61FCD"/>
    <w:rsid w:val="00D62C7B"/>
    <w:rsid w:val="00D62F3C"/>
    <w:rsid w:val="00D6381C"/>
    <w:rsid w:val="00D649E9"/>
    <w:rsid w:val="00D7080E"/>
    <w:rsid w:val="00D741E6"/>
    <w:rsid w:val="00D75A4E"/>
    <w:rsid w:val="00D75B88"/>
    <w:rsid w:val="00D76BFB"/>
    <w:rsid w:val="00D77D1D"/>
    <w:rsid w:val="00D77FF6"/>
    <w:rsid w:val="00D80DD8"/>
    <w:rsid w:val="00D81B65"/>
    <w:rsid w:val="00D84AF4"/>
    <w:rsid w:val="00D84B8F"/>
    <w:rsid w:val="00D84E25"/>
    <w:rsid w:val="00D85299"/>
    <w:rsid w:val="00D8634E"/>
    <w:rsid w:val="00D86B63"/>
    <w:rsid w:val="00D86F34"/>
    <w:rsid w:val="00D90935"/>
    <w:rsid w:val="00D94DE9"/>
    <w:rsid w:val="00D96603"/>
    <w:rsid w:val="00D96897"/>
    <w:rsid w:val="00D96E8E"/>
    <w:rsid w:val="00D96FD6"/>
    <w:rsid w:val="00D9709E"/>
    <w:rsid w:val="00DA0364"/>
    <w:rsid w:val="00DA1037"/>
    <w:rsid w:val="00DA3150"/>
    <w:rsid w:val="00DA4048"/>
    <w:rsid w:val="00DA4FA8"/>
    <w:rsid w:val="00DA549D"/>
    <w:rsid w:val="00DB67ED"/>
    <w:rsid w:val="00DB7E72"/>
    <w:rsid w:val="00DC0B9C"/>
    <w:rsid w:val="00DC12BB"/>
    <w:rsid w:val="00DC5C1F"/>
    <w:rsid w:val="00DC610D"/>
    <w:rsid w:val="00DC6AAC"/>
    <w:rsid w:val="00DD0918"/>
    <w:rsid w:val="00DD359E"/>
    <w:rsid w:val="00DD473B"/>
    <w:rsid w:val="00DD4CD1"/>
    <w:rsid w:val="00DD4CD2"/>
    <w:rsid w:val="00DD521C"/>
    <w:rsid w:val="00DD5CDE"/>
    <w:rsid w:val="00DE19A5"/>
    <w:rsid w:val="00DE3685"/>
    <w:rsid w:val="00DE3D29"/>
    <w:rsid w:val="00DE4D33"/>
    <w:rsid w:val="00DE55CC"/>
    <w:rsid w:val="00DE7825"/>
    <w:rsid w:val="00DF0437"/>
    <w:rsid w:val="00DF13BC"/>
    <w:rsid w:val="00DF399B"/>
    <w:rsid w:val="00DF3E61"/>
    <w:rsid w:val="00DF6178"/>
    <w:rsid w:val="00DF652E"/>
    <w:rsid w:val="00DF725A"/>
    <w:rsid w:val="00E00A27"/>
    <w:rsid w:val="00E01E99"/>
    <w:rsid w:val="00E054C1"/>
    <w:rsid w:val="00E057DE"/>
    <w:rsid w:val="00E14C92"/>
    <w:rsid w:val="00E220EC"/>
    <w:rsid w:val="00E23F74"/>
    <w:rsid w:val="00E24E53"/>
    <w:rsid w:val="00E26323"/>
    <w:rsid w:val="00E300AE"/>
    <w:rsid w:val="00E30A77"/>
    <w:rsid w:val="00E30D10"/>
    <w:rsid w:val="00E31ACF"/>
    <w:rsid w:val="00E32DA3"/>
    <w:rsid w:val="00E3716A"/>
    <w:rsid w:val="00E37B48"/>
    <w:rsid w:val="00E40075"/>
    <w:rsid w:val="00E40C7A"/>
    <w:rsid w:val="00E4301C"/>
    <w:rsid w:val="00E43837"/>
    <w:rsid w:val="00E46259"/>
    <w:rsid w:val="00E50F30"/>
    <w:rsid w:val="00E51080"/>
    <w:rsid w:val="00E51ADA"/>
    <w:rsid w:val="00E51DC8"/>
    <w:rsid w:val="00E52AE4"/>
    <w:rsid w:val="00E5326A"/>
    <w:rsid w:val="00E53625"/>
    <w:rsid w:val="00E540CD"/>
    <w:rsid w:val="00E5452B"/>
    <w:rsid w:val="00E61130"/>
    <w:rsid w:val="00E62C5E"/>
    <w:rsid w:val="00E62F15"/>
    <w:rsid w:val="00E63607"/>
    <w:rsid w:val="00E63C30"/>
    <w:rsid w:val="00E668A4"/>
    <w:rsid w:val="00E66BA5"/>
    <w:rsid w:val="00E71365"/>
    <w:rsid w:val="00E71638"/>
    <w:rsid w:val="00E71F53"/>
    <w:rsid w:val="00E725BE"/>
    <w:rsid w:val="00E73F90"/>
    <w:rsid w:val="00E741AE"/>
    <w:rsid w:val="00E74559"/>
    <w:rsid w:val="00E76EF4"/>
    <w:rsid w:val="00E80706"/>
    <w:rsid w:val="00E81901"/>
    <w:rsid w:val="00E8367C"/>
    <w:rsid w:val="00E84548"/>
    <w:rsid w:val="00E85914"/>
    <w:rsid w:val="00E94C6D"/>
    <w:rsid w:val="00E95F25"/>
    <w:rsid w:val="00EA2C57"/>
    <w:rsid w:val="00EA5D80"/>
    <w:rsid w:val="00EA605F"/>
    <w:rsid w:val="00EA76FF"/>
    <w:rsid w:val="00EA7DFA"/>
    <w:rsid w:val="00EB0AB4"/>
    <w:rsid w:val="00EB370B"/>
    <w:rsid w:val="00EB3EE3"/>
    <w:rsid w:val="00EB42D7"/>
    <w:rsid w:val="00EB4984"/>
    <w:rsid w:val="00EB4DBB"/>
    <w:rsid w:val="00EB512E"/>
    <w:rsid w:val="00EB55CA"/>
    <w:rsid w:val="00EB789E"/>
    <w:rsid w:val="00EB7F7D"/>
    <w:rsid w:val="00EC06F3"/>
    <w:rsid w:val="00EC255D"/>
    <w:rsid w:val="00EC2959"/>
    <w:rsid w:val="00EC327E"/>
    <w:rsid w:val="00EC32D1"/>
    <w:rsid w:val="00EC7364"/>
    <w:rsid w:val="00ED3F19"/>
    <w:rsid w:val="00ED50DB"/>
    <w:rsid w:val="00ED53AF"/>
    <w:rsid w:val="00ED5F5E"/>
    <w:rsid w:val="00EE187F"/>
    <w:rsid w:val="00EE21D7"/>
    <w:rsid w:val="00EE3000"/>
    <w:rsid w:val="00EE3709"/>
    <w:rsid w:val="00EE7A3B"/>
    <w:rsid w:val="00EE7C06"/>
    <w:rsid w:val="00EF0183"/>
    <w:rsid w:val="00EF01F4"/>
    <w:rsid w:val="00EF3910"/>
    <w:rsid w:val="00EF438B"/>
    <w:rsid w:val="00EF444C"/>
    <w:rsid w:val="00EF527D"/>
    <w:rsid w:val="00EF7BF6"/>
    <w:rsid w:val="00F01865"/>
    <w:rsid w:val="00F023BE"/>
    <w:rsid w:val="00F02AA6"/>
    <w:rsid w:val="00F047FB"/>
    <w:rsid w:val="00F05A07"/>
    <w:rsid w:val="00F13C5B"/>
    <w:rsid w:val="00F13E79"/>
    <w:rsid w:val="00F146EA"/>
    <w:rsid w:val="00F14BE1"/>
    <w:rsid w:val="00F152FC"/>
    <w:rsid w:val="00F15AEE"/>
    <w:rsid w:val="00F16074"/>
    <w:rsid w:val="00F2390B"/>
    <w:rsid w:val="00F25A3D"/>
    <w:rsid w:val="00F25AAE"/>
    <w:rsid w:val="00F275CC"/>
    <w:rsid w:val="00F30978"/>
    <w:rsid w:val="00F30C54"/>
    <w:rsid w:val="00F31502"/>
    <w:rsid w:val="00F33121"/>
    <w:rsid w:val="00F34FC2"/>
    <w:rsid w:val="00F37B4B"/>
    <w:rsid w:val="00F41B44"/>
    <w:rsid w:val="00F421F2"/>
    <w:rsid w:val="00F42531"/>
    <w:rsid w:val="00F42733"/>
    <w:rsid w:val="00F43F15"/>
    <w:rsid w:val="00F44996"/>
    <w:rsid w:val="00F44E60"/>
    <w:rsid w:val="00F53441"/>
    <w:rsid w:val="00F55221"/>
    <w:rsid w:val="00F56712"/>
    <w:rsid w:val="00F635A1"/>
    <w:rsid w:val="00F63765"/>
    <w:rsid w:val="00F64D70"/>
    <w:rsid w:val="00F6743B"/>
    <w:rsid w:val="00F70E54"/>
    <w:rsid w:val="00F71756"/>
    <w:rsid w:val="00F72165"/>
    <w:rsid w:val="00F72D05"/>
    <w:rsid w:val="00F767CD"/>
    <w:rsid w:val="00F80AF8"/>
    <w:rsid w:val="00F80BAB"/>
    <w:rsid w:val="00F8138A"/>
    <w:rsid w:val="00F817B9"/>
    <w:rsid w:val="00F82CB8"/>
    <w:rsid w:val="00F83E70"/>
    <w:rsid w:val="00F84502"/>
    <w:rsid w:val="00F85FA7"/>
    <w:rsid w:val="00F86580"/>
    <w:rsid w:val="00F90996"/>
    <w:rsid w:val="00F93C6A"/>
    <w:rsid w:val="00F9593B"/>
    <w:rsid w:val="00F96249"/>
    <w:rsid w:val="00FA02D1"/>
    <w:rsid w:val="00FA2952"/>
    <w:rsid w:val="00FA3584"/>
    <w:rsid w:val="00FA6933"/>
    <w:rsid w:val="00FB060A"/>
    <w:rsid w:val="00FB3724"/>
    <w:rsid w:val="00FB3CC9"/>
    <w:rsid w:val="00FB7FF1"/>
    <w:rsid w:val="00FC20AC"/>
    <w:rsid w:val="00FC3F1C"/>
    <w:rsid w:val="00FC413B"/>
    <w:rsid w:val="00FC512F"/>
    <w:rsid w:val="00FD0231"/>
    <w:rsid w:val="00FD19A6"/>
    <w:rsid w:val="00FD1E15"/>
    <w:rsid w:val="00FD2409"/>
    <w:rsid w:val="00FD5BF3"/>
    <w:rsid w:val="00FE1CE6"/>
    <w:rsid w:val="00FE7C25"/>
    <w:rsid w:val="00FF1CB4"/>
    <w:rsid w:val="00FF2D6A"/>
    <w:rsid w:val="00FF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41132"/>
  <w15:docId w15:val="{8781BE62-BD6D-456F-9C4B-3DE2D6DB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7B9"/>
    <w:pPr>
      <w:autoSpaceDE w:val="0"/>
      <w:autoSpaceDN w:val="0"/>
      <w:adjustRightInd w:val="0"/>
    </w:pPr>
  </w:style>
  <w:style w:type="paragraph" w:styleId="Heading1">
    <w:name w:val="heading 1"/>
    <w:basedOn w:val="Normal"/>
    <w:next w:val="Normal"/>
    <w:qFormat/>
    <w:rsid w:val="001941A8"/>
    <w:pPr>
      <w:keepNext/>
      <w:outlineLvl w:val="0"/>
    </w:pPr>
    <w:rPr>
      <w:b/>
      <w:sz w:val="36"/>
      <w:szCs w:val="24"/>
    </w:rPr>
  </w:style>
  <w:style w:type="paragraph" w:styleId="Heading2">
    <w:name w:val="heading 2"/>
    <w:basedOn w:val="Normal"/>
    <w:next w:val="Normal"/>
    <w:qFormat/>
    <w:rsid w:val="001941A8"/>
    <w:pPr>
      <w:keepNext/>
      <w:outlineLvl w:val="1"/>
    </w:pPr>
    <w:rPr>
      <w:b/>
      <w:bCs/>
      <w:sz w:val="28"/>
      <w:szCs w:val="24"/>
    </w:rPr>
  </w:style>
  <w:style w:type="paragraph" w:styleId="Heading3">
    <w:name w:val="heading 3"/>
    <w:basedOn w:val="Normal"/>
    <w:next w:val="Normal"/>
    <w:qFormat/>
    <w:rsid w:val="007E52CE"/>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2"/>
    </w:pPr>
    <w:rPr>
      <w:i/>
      <w:iCs/>
      <w:sz w:val="24"/>
      <w:szCs w:val="24"/>
    </w:rPr>
  </w:style>
  <w:style w:type="paragraph" w:styleId="Heading4">
    <w:name w:val="heading 4"/>
    <w:basedOn w:val="Normal"/>
    <w:next w:val="Normal"/>
    <w:qFormat/>
    <w:rsid w:val="007E52CE"/>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7E52CE"/>
    <w:pPr>
      <w:autoSpaceDE w:val="0"/>
      <w:autoSpaceDN w:val="0"/>
      <w:adjustRightInd w:val="0"/>
      <w:ind w:left="720"/>
    </w:pPr>
    <w:rPr>
      <w:sz w:val="24"/>
      <w:szCs w:val="24"/>
    </w:rPr>
  </w:style>
  <w:style w:type="paragraph" w:customStyle="1" w:styleId="test">
    <w:name w:val="test"/>
    <w:rsid w:val="007E52CE"/>
    <w:pPr>
      <w:autoSpaceDE w:val="0"/>
      <w:autoSpaceDN w:val="0"/>
      <w:adjustRightInd w:val="0"/>
    </w:pPr>
    <w:rPr>
      <w:sz w:val="24"/>
      <w:szCs w:val="24"/>
    </w:rPr>
  </w:style>
  <w:style w:type="paragraph" w:customStyle="1" w:styleId="a">
    <w:name w:val="#"/>
    <w:rsid w:val="007E52CE"/>
    <w:pPr>
      <w:autoSpaceDE w:val="0"/>
      <w:autoSpaceDN w:val="0"/>
      <w:adjustRightInd w:val="0"/>
      <w:ind w:left="-1440"/>
    </w:pPr>
    <w:rPr>
      <w:sz w:val="24"/>
      <w:szCs w:val="24"/>
    </w:rPr>
  </w:style>
  <w:style w:type="paragraph" w:customStyle="1" w:styleId="a0">
    <w:name w:val=""/>
    <w:rsid w:val="007E52CE"/>
    <w:pPr>
      <w:autoSpaceDE w:val="0"/>
      <w:autoSpaceDN w:val="0"/>
      <w:adjustRightInd w:val="0"/>
      <w:ind w:left="720"/>
    </w:pPr>
    <w:rPr>
      <w:sz w:val="24"/>
      <w:szCs w:val="24"/>
    </w:rPr>
  </w:style>
  <w:style w:type="paragraph" w:styleId="Header">
    <w:name w:val="header"/>
    <w:basedOn w:val="Normal"/>
    <w:rsid w:val="007E52CE"/>
    <w:pPr>
      <w:tabs>
        <w:tab w:val="center" w:pos="4320"/>
        <w:tab w:val="right" w:pos="8640"/>
      </w:tabs>
    </w:pPr>
  </w:style>
  <w:style w:type="paragraph" w:styleId="Footer">
    <w:name w:val="footer"/>
    <w:basedOn w:val="Normal"/>
    <w:rsid w:val="007E52CE"/>
    <w:pPr>
      <w:tabs>
        <w:tab w:val="center" w:pos="4320"/>
        <w:tab w:val="right" w:pos="8640"/>
      </w:tabs>
    </w:pPr>
  </w:style>
  <w:style w:type="paragraph" w:styleId="TOC1">
    <w:name w:val="toc 1"/>
    <w:basedOn w:val="Normal"/>
    <w:next w:val="Normal"/>
    <w:autoRedefine/>
    <w:uiPriority w:val="39"/>
    <w:rsid w:val="007E52CE"/>
  </w:style>
  <w:style w:type="paragraph" w:styleId="TOC2">
    <w:name w:val="toc 2"/>
    <w:basedOn w:val="Normal"/>
    <w:next w:val="Normal"/>
    <w:autoRedefine/>
    <w:uiPriority w:val="39"/>
    <w:rsid w:val="006C7C2F"/>
    <w:pPr>
      <w:tabs>
        <w:tab w:val="left" w:pos="800"/>
        <w:tab w:val="right" w:leader="dot" w:pos="9350"/>
      </w:tabs>
      <w:ind w:left="200"/>
    </w:pPr>
  </w:style>
  <w:style w:type="paragraph" w:styleId="TOC4">
    <w:name w:val="toc 4"/>
    <w:basedOn w:val="Normal"/>
    <w:next w:val="Normal"/>
    <w:autoRedefine/>
    <w:semiHidden/>
    <w:rsid w:val="007E52CE"/>
    <w:pPr>
      <w:ind w:left="600"/>
    </w:pPr>
  </w:style>
  <w:style w:type="paragraph" w:styleId="TOC3">
    <w:name w:val="toc 3"/>
    <w:basedOn w:val="Normal"/>
    <w:next w:val="Normal"/>
    <w:autoRedefine/>
    <w:semiHidden/>
    <w:rsid w:val="007E52CE"/>
    <w:pPr>
      <w:ind w:left="400"/>
    </w:pPr>
  </w:style>
  <w:style w:type="paragraph" w:styleId="TOC5">
    <w:name w:val="toc 5"/>
    <w:basedOn w:val="Normal"/>
    <w:next w:val="Normal"/>
    <w:autoRedefine/>
    <w:semiHidden/>
    <w:rsid w:val="007E52CE"/>
    <w:pPr>
      <w:ind w:left="800"/>
    </w:pPr>
  </w:style>
  <w:style w:type="paragraph" w:styleId="BodyTextIndent">
    <w:name w:val="Body Text Indent"/>
    <w:basedOn w:val="Normal"/>
    <w:rsid w:val="007E52CE"/>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Pr>
      <w:color w:val="FF0000"/>
    </w:rPr>
  </w:style>
  <w:style w:type="paragraph" w:customStyle="1" w:styleId="Level2">
    <w:name w:val="Level 2"/>
    <w:basedOn w:val="Normal"/>
    <w:rsid w:val="007E52CE"/>
    <w:pPr>
      <w:widowControl w:val="0"/>
      <w:autoSpaceDE/>
      <w:autoSpaceDN/>
      <w:adjustRightInd/>
    </w:pPr>
    <w:rPr>
      <w:sz w:val="24"/>
    </w:rPr>
  </w:style>
  <w:style w:type="paragraph" w:customStyle="1" w:styleId="Level3">
    <w:name w:val="Level 3"/>
    <w:basedOn w:val="Normal"/>
    <w:rsid w:val="007E52CE"/>
    <w:pPr>
      <w:widowControl w:val="0"/>
      <w:autoSpaceDE/>
      <w:autoSpaceDN/>
      <w:adjustRightInd/>
    </w:pPr>
    <w:rPr>
      <w:sz w:val="24"/>
    </w:rPr>
  </w:style>
  <w:style w:type="paragraph" w:customStyle="1" w:styleId="Level4">
    <w:name w:val="Level 4"/>
    <w:basedOn w:val="Normal"/>
    <w:rsid w:val="007E52CE"/>
    <w:pPr>
      <w:widowControl w:val="0"/>
      <w:autoSpaceDE/>
      <w:autoSpaceDN/>
      <w:adjustRightInd/>
    </w:pPr>
    <w:rPr>
      <w:sz w:val="24"/>
    </w:rPr>
  </w:style>
  <w:style w:type="paragraph" w:customStyle="1" w:styleId="Level5">
    <w:name w:val="Level 5"/>
    <w:basedOn w:val="Normal"/>
    <w:rsid w:val="007E52CE"/>
    <w:pPr>
      <w:widowControl w:val="0"/>
      <w:autoSpaceDE/>
      <w:autoSpaceDN/>
      <w:adjustRightInd/>
    </w:pPr>
    <w:rPr>
      <w:sz w:val="24"/>
    </w:rPr>
  </w:style>
  <w:style w:type="paragraph" w:customStyle="1" w:styleId="Level6">
    <w:name w:val="Level 6"/>
    <w:basedOn w:val="Normal"/>
    <w:rsid w:val="007E52CE"/>
    <w:pPr>
      <w:widowControl w:val="0"/>
      <w:autoSpaceDE/>
      <w:autoSpaceDN/>
      <w:adjustRightInd/>
    </w:pPr>
    <w:rPr>
      <w:sz w:val="24"/>
    </w:rPr>
  </w:style>
  <w:style w:type="paragraph" w:customStyle="1" w:styleId="Level7">
    <w:name w:val="Level 7"/>
    <w:basedOn w:val="Normal"/>
    <w:rsid w:val="007E52CE"/>
    <w:pPr>
      <w:widowControl w:val="0"/>
      <w:autoSpaceDE/>
      <w:autoSpaceDN/>
      <w:adjustRightInd/>
    </w:pPr>
    <w:rPr>
      <w:sz w:val="24"/>
    </w:rPr>
  </w:style>
  <w:style w:type="paragraph" w:customStyle="1" w:styleId="Level8">
    <w:name w:val="Level 8"/>
    <w:basedOn w:val="Normal"/>
    <w:rsid w:val="007E52CE"/>
    <w:pPr>
      <w:widowControl w:val="0"/>
      <w:autoSpaceDE/>
      <w:autoSpaceDN/>
      <w:adjustRightInd/>
    </w:pPr>
    <w:rPr>
      <w:sz w:val="24"/>
    </w:rPr>
  </w:style>
  <w:style w:type="paragraph" w:customStyle="1" w:styleId="Level9">
    <w:name w:val="Level 9"/>
    <w:basedOn w:val="Normal"/>
    <w:rsid w:val="007E52CE"/>
    <w:pPr>
      <w:widowControl w:val="0"/>
      <w:autoSpaceDE/>
      <w:autoSpaceDN/>
      <w:adjustRightInd/>
    </w:pPr>
    <w:rPr>
      <w:sz w:val="24"/>
    </w:rPr>
  </w:style>
  <w:style w:type="paragraph" w:customStyle="1" w:styleId="a1">
    <w:name w:val="آ"/>
    <w:basedOn w:val="Normal"/>
    <w:rsid w:val="007E52CE"/>
    <w:pPr>
      <w:widowControl w:val="0"/>
      <w:autoSpaceDE/>
      <w:autoSpaceDN/>
      <w:adjustRightInd/>
    </w:pPr>
    <w:rPr>
      <w:sz w:val="24"/>
    </w:rPr>
  </w:style>
  <w:style w:type="character" w:styleId="PageNumber">
    <w:name w:val="page number"/>
    <w:basedOn w:val="DefaultParagraphFont"/>
    <w:rsid w:val="007E52CE"/>
  </w:style>
  <w:style w:type="paragraph" w:styleId="FootnoteText">
    <w:name w:val="footnote text"/>
    <w:basedOn w:val="Normal"/>
    <w:semiHidden/>
    <w:rsid w:val="007E52CE"/>
  </w:style>
  <w:style w:type="character" w:styleId="FootnoteReference">
    <w:name w:val="footnote reference"/>
    <w:semiHidden/>
    <w:rsid w:val="007E52CE"/>
    <w:rPr>
      <w:vertAlign w:val="superscript"/>
    </w:rPr>
  </w:style>
  <w:style w:type="character" w:styleId="CommentReference">
    <w:name w:val="annotation reference"/>
    <w:semiHidden/>
    <w:rsid w:val="007E52CE"/>
    <w:rPr>
      <w:sz w:val="16"/>
      <w:szCs w:val="16"/>
    </w:rPr>
  </w:style>
  <w:style w:type="paragraph" w:styleId="CommentText">
    <w:name w:val="annotation text"/>
    <w:basedOn w:val="Normal"/>
    <w:semiHidden/>
    <w:rsid w:val="007E52CE"/>
  </w:style>
  <w:style w:type="paragraph" w:styleId="CommentSubject">
    <w:name w:val="annotation subject"/>
    <w:basedOn w:val="CommentText"/>
    <w:next w:val="CommentText"/>
    <w:semiHidden/>
    <w:rsid w:val="007E52CE"/>
    <w:rPr>
      <w:b/>
      <w:bCs/>
    </w:rPr>
  </w:style>
  <w:style w:type="paragraph" w:styleId="BalloonText">
    <w:name w:val="Balloon Text"/>
    <w:basedOn w:val="Normal"/>
    <w:semiHidden/>
    <w:rsid w:val="007E52CE"/>
    <w:rPr>
      <w:rFonts w:ascii="Tahoma" w:hAnsi="Tahoma" w:cs="Tahoma"/>
      <w:sz w:val="16"/>
      <w:szCs w:val="16"/>
    </w:rPr>
  </w:style>
  <w:style w:type="character" w:styleId="Hyperlink">
    <w:name w:val="Hyperlink"/>
    <w:rsid w:val="00A24E29"/>
    <w:rPr>
      <w:color w:val="0000FF"/>
      <w:u w:val="single"/>
    </w:rPr>
  </w:style>
  <w:style w:type="paragraph" w:styleId="PlainText">
    <w:name w:val="Plain Text"/>
    <w:basedOn w:val="Normal"/>
    <w:link w:val="PlainTextChar"/>
    <w:uiPriority w:val="99"/>
    <w:unhideWhenUsed/>
    <w:rsid w:val="00D741E6"/>
    <w:pPr>
      <w:autoSpaceDE/>
      <w:autoSpaceDN/>
      <w:adjustRightInd/>
    </w:pPr>
    <w:rPr>
      <w:rFonts w:ascii="Consolas" w:eastAsia="Calibri" w:hAnsi="Consolas"/>
      <w:sz w:val="21"/>
      <w:szCs w:val="21"/>
    </w:rPr>
  </w:style>
  <w:style w:type="character" w:customStyle="1" w:styleId="PlainTextChar">
    <w:name w:val="Plain Text Char"/>
    <w:link w:val="PlainText"/>
    <w:uiPriority w:val="99"/>
    <w:rsid w:val="00D741E6"/>
    <w:rPr>
      <w:rFonts w:ascii="Consolas" w:eastAsia="Calibri" w:hAnsi="Consolas" w:cs="Times New Roman"/>
      <w:sz w:val="21"/>
      <w:szCs w:val="21"/>
    </w:rPr>
  </w:style>
  <w:style w:type="paragraph" w:styleId="ListParagraph">
    <w:name w:val="List Paragraph"/>
    <w:basedOn w:val="Normal"/>
    <w:uiPriority w:val="34"/>
    <w:qFormat/>
    <w:rsid w:val="00EB789E"/>
    <w:pPr>
      <w:ind w:left="720"/>
    </w:pPr>
  </w:style>
  <w:style w:type="character" w:styleId="FollowedHyperlink">
    <w:name w:val="FollowedHyperlink"/>
    <w:rsid w:val="000B29A9"/>
    <w:rPr>
      <w:color w:val="800080"/>
      <w:u w:val="single"/>
    </w:rPr>
  </w:style>
  <w:style w:type="paragraph" w:styleId="Revision">
    <w:name w:val="Revision"/>
    <w:hidden/>
    <w:uiPriority w:val="99"/>
    <w:semiHidden/>
    <w:rsid w:val="00230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465362">
      <w:bodyDiv w:val="1"/>
      <w:marLeft w:val="0"/>
      <w:marRight w:val="0"/>
      <w:marTop w:val="0"/>
      <w:marBottom w:val="0"/>
      <w:divBdr>
        <w:top w:val="none" w:sz="0" w:space="0" w:color="auto"/>
        <w:left w:val="none" w:sz="0" w:space="0" w:color="auto"/>
        <w:bottom w:val="none" w:sz="0" w:space="0" w:color="auto"/>
        <w:right w:val="none" w:sz="0" w:space="0" w:color="auto"/>
      </w:divBdr>
    </w:div>
    <w:div w:id="400522994">
      <w:bodyDiv w:val="1"/>
      <w:marLeft w:val="0"/>
      <w:marRight w:val="0"/>
      <w:marTop w:val="0"/>
      <w:marBottom w:val="0"/>
      <w:divBdr>
        <w:top w:val="none" w:sz="0" w:space="0" w:color="auto"/>
        <w:left w:val="none" w:sz="0" w:space="0" w:color="auto"/>
        <w:bottom w:val="none" w:sz="0" w:space="0" w:color="auto"/>
        <w:right w:val="none" w:sz="0" w:space="0" w:color="auto"/>
      </w:divBdr>
    </w:div>
    <w:div w:id="409347910">
      <w:bodyDiv w:val="1"/>
      <w:marLeft w:val="0"/>
      <w:marRight w:val="0"/>
      <w:marTop w:val="0"/>
      <w:marBottom w:val="0"/>
      <w:divBdr>
        <w:top w:val="none" w:sz="0" w:space="0" w:color="auto"/>
        <w:left w:val="none" w:sz="0" w:space="0" w:color="auto"/>
        <w:bottom w:val="none" w:sz="0" w:space="0" w:color="auto"/>
        <w:right w:val="none" w:sz="0" w:space="0" w:color="auto"/>
      </w:divBdr>
    </w:div>
    <w:div w:id="483131885">
      <w:bodyDiv w:val="1"/>
      <w:marLeft w:val="0"/>
      <w:marRight w:val="0"/>
      <w:marTop w:val="0"/>
      <w:marBottom w:val="0"/>
      <w:divBdr>
        <w:top w:val="none" w:sz="0" w:space="0" w:color="auto"/>
        <w:left w:val="none" w:sz="0" w:space="0" w:color="auto"/>
        <w:bottom w:val="none" w:sz="0" w:space="0" w:color="auto"/>
        <w:right w:val="none" w:sz="0" w:space="0" w:color="auto"/>
      </w:divBdr>
    </w:div>
    <w:div w:id="591092054">
      <w:bodyDiv w:val="1"/>
      <w:marLeft w:val="0"/>
      <w:marRight w:val="0"/>
      <w:marTop w:val="0"/>
      <w:marBottom w:val="0"/>
      <w:divBdr>
        <w:top w:val="none" w:sz="0" w:space="0" w:color="auto"/>
        <w:left w:val="none" w:sz="0" w:space="0" w:color="auto"/>
        <w:bottom w:val="none" w:sz="0" w:space="0" w:color="auto"/>
        <w:right w:val="none" w:sz="0" w:space="0" w:color="auto"/>
      </w:divBdr>
    </w:div>
    <w:div w:id="764809584">
      <w:bodyDiv w:val="1"/>
      <w:marLeft w:val="0"/>
      <w:marRight w:val="0"/>
      <w:marTop w:val="0"/>
      <w:marBottom w:val="0"/>
      <w:divBdr>
        <w:top w:val="none" w:sz="0" w:space="0" w:color="auto"/>
        <w:left w:val="none" w:sz="0" w:space="0" w:color="auto"/>
        <w:bottom w:val="none" w:sz="0" w:space="0" w:color="auto"/>
        <w:right w:val="none" w:sz="0" w:space="0" w:color="auto"/>
      </w:divBdr>
    </w:div>
    <w:div w:id="830104108">
      <w:bodyDiv w:val="1"/>
      <w:marLeft w:val="0"/>
      <w:marRight w:val="0"/>
      <w:marTop w:val="0"/>
      <w:marBottom w:val="0"/>
      <w:divBdr>
        <w:top w:val="none" w:sz="0" w:space="0" w:color="auto"/>
        <w:left w:val="none" w:sz="0" w:space="0" w:color="auto"/>
        <w:bottom w:val="none" w:sz="0" w:space="0" w:color="auto"/>
        <w:right w:val="none" w:sz="0" w:space="0" w:color="auto"/>
      </w:divBdr>
    </w:div>
    <w:div w:id="831606486">
      <w:bodyDiv w:val="1"/>
      <w:marLeft w:val="0"/>
      <w:marRight w:val="0"/>
      <w:marTop w:val="0"/>
      <w:marBottom w:val="0"/>
      <w:divBdr>
        <w:top w:val="none" w:sz="0" w:space="0" w:color="auto"/>
        <w:left w:val="none" w:sz="0" w:space="0" w:color="auto"/>
        <w:bottom w:val="none" w:sz="0" w:space="0" w:color="auto"/>
        <w:right w:val="none" w:sz="0" w:space="0" w:color="auto"/>
      </w:divBdr>
    </w:div>
    <w:div w:id="899563379">
      <w:bodyDiv w:val="1"/>
      <w:marLeft w:val="0"/>
      <w:marRight w:val="0"/>
      <w:marTop w:val="0"/>
      <w:marBottom w:val="0"/>
      <w:divBdr>
        <w:top w:val="none" w:sz="0" w:space="0" w:color="auto"/>
        <w:left w:val="none" w:sz="0" w:space="0" w:color="auto"/>
        <w:bottom w:val="none" w:sz="0" w:space="0" w:color="auto"/>
        <w:right w:val="none" w:sz="0" w:space="0" w:color="auto"/>
      </w:divBdr>
    </w:div>
    <w:div w:id="925842126">
      <w:bodyDiv w:val="1"/>
      <w:marLeft w:val="0"/>
      <w:marRight w:val="0"/>
      <w:marTop w:val="0"/>
      <w:marBottom w:val="0"/>
      <w:divBdr>
        <w:top w:val="none" w:sz="0" w:space="0" w:color="auto"/>
        <w:left w:val="none" w:sz="0" w:space="0" w:color="auto"/>
        <w:bottom w:val="none" w:sz="0" w:space="0" w:color="auto"/>
        <w:right w:val="none" w:sz="0" w:space="0" w:color="auto"/>
      </w:divBdr>
    </w:div>
    <w:div w:id="957567057">
      <w:bodyDiv w:val="1"/>
      <w:marLeft w:val="0"/>
      <w:marRight w:val="0"/>
      <w:marTop w:val="0"/>
      <w:marBottom w:val="0"/>
      <w:divBdr>
        <w:top w:val="none" w:sz="0" w:space="0" w:color="auto"/>
        <w:left w:val="none" w:sz="0" w:space="0" w:color="auto"/>
        <w:bottom w:val="none" w:sz="0" w:space="0" w:color="auto"/>
        <w:right w:val="none" w:sz="0" w:space="0" w:color="auto"/>
      </w:divBdr>
    </w:div>
    <w:div w:id="963392020">
      <w:bodyDiv w:val="1"/>
      <w:marLeft w:val="0"/>
      <w:marRight w:val="0"/>
      <w:marTop w:val="0"/>
      <w:marBottom w:val="0"/>
      <w:divBdr>
        <w:top w:val="none" w:sz="0" w:space="0" w:color="auto"/>
        <w:left w:val="none" w:sz="0" w:space="0" w:color="auto"/>
        <w:bottom w:val="none" w:sz="0" w:space="0" w:color="auto"/>
        <w:right w:val="none" w:sz="0" w:space="0" w:color="auto"/>
      </w:divBdr>
    </w:div>
    <w:div w:id="1065644434">
      <w:bodyDiv w:val="1"/>
      <w:marLeft w:val="0"/>
      <w:marRight w:val="0"/>
      <w:marTop w:val="0"/>
      <w:marBottom w:val="0"/>
      <w:divBdr>
        <w:top w:val="none" w:sz="0" w:space="0" w:color="auto"/>
        <w:left w:val="none" w:sz="0" w:space="0" w:color="auto"/>
        <w:bottom w:val="none" w:sz="0" w:space="0" w:color="auto"/>
        <w:right w:val="none" w:sz="0" w:space="0" w:color="auto"/>
      </w:divBdr>
    </w:div>
    <w:div w:id="1255482275">
      <w:bodyDiv w:val="1"/>
      <w:marLeft w:val="0"/>
      <w:marRight w:val="0"/>
      <w:marTop w:val="0"/>
      <w:marBottom w:val="0"/>
      <w:divBdr>
        <w:top w:val="none" w:sz="0" w:space="0" w:color="auto"/>
        <w:left w:val="none" w:sz="0" w:space="0" w:color="auto"/>
        <w:bottom w:val="none" w:sz="0" w:space="0" w:color="auto"/>
        <w:right w:val="none" w:sz="0" w:space="0" w:color="auto"/>
      </w:divBdr>
    </w:div>
    <w:div w:id="1331062356">
      <w:bodyDiv w:val="1"/>
      <w:marLeft w:val="0"/>
      <w:marRight w:val="0"/>
      <w:marTop w:val="0"/>
      <w:marBottom w:val="0"/>
      <w:divBdr>
        <w:top w:val="none" w:sz="0" w:space="0" w:color="auto"/>
        <w:left w:val="none" w:sz="0" w:space="0" w:color="auto"/>
        <w:bottom w:val="none" w:sz="0" w:space="0" w:color="auto"/>
        <w:right w:val="none" w:sz="0" w:space="0" w:color="auto"/>
      </w:divBdr>
    </w:div>
    <w:div w:id="1388801453">
      <w:bodyDiv w:val="1"/>
      <w:marLeft w:val="0"/>
      <w:marRight w:val="0"/>
      <w:marTop w:val="0"/>
      <w:marBottom w:val="0"/>
      <w:divBdr>
        <w:top w:val="none" w:sz="0" w:space="0" w:color="auto"/>
        <w:left w:val="none" w:sz="0" w:space="0" w:color="auto"/>
        <w:bottom w:val="none" w:sz="0" w:space="0" w:color="auto"/>
        <w:right w:val="none" w:sz="0" w:space="0" w:color="auto"/>
      </w:divBdr>
    </w:div>
    <w:div w:id="1452942355">
      <w:bodyDiv w:val="1"/>
      <w:marLeft w:val="0"/>
      <w:marRight w:val="0"/>
      <w:marTop w:val="0"/>
      <w:marBottom w:val="0"/>
      <w:divBdr>
        <w:top w:val="none" w:sz="0" w:space="0" w:color="auto"/>
        <w:left w:val="none" w:sz="0" w:space="0" w:color="auto"/>
        <w:bottom w:val="none" w:sz="0" w:space="0" w:color="auto"/>
        <w:right w:val="none" w:sz="0" w:space="0" w:color="auto"/>
      </w:divBdr>
    </w:div>
    <w:div w:id="1486967316">
      <w:bodyDiv w:val="1"/>
      <w:marLeft w:val="0"/>
      <w:marRight w:val="0"/>
      <w:marTop w:val="0"/>
      <w:marBottom w:val="0"/>
      <w:divBdr>
        <w:top w:val="none" w:sz="0" w:space="0" w:color="auto"/>
        <w:left w:val="none" w:sz="0" w:space="0" w:color="auto"/>
        <w:bottom w:val="none" w:sz="0" w:space="0" w:color="auto"/>
        <w:right w:val="none" w:sz="0" w:space="0" w:color="auto"/>
      </w:divBdr>
    </w:div>
    <w:div w:id="1596135176">
      <w:bodyDiv w:val="1"/>
      <w:marLeft w:val="0"/>
      <w:marRight w:val="0"/>
      <w:marTop w:val="0"/>
      <w:marBottom w:val="0"/>
      <w:divBdr>
        <w:top w:val="none" w:sz="0" w:space="0" w:color="auto"/>
        <w:left w:val="none" w:sz="0" w:space="0" w:color="auto"/>
        <w:bottom w:val="none" w:sz="0" w:space="0" w:color="auto"/>
        <w:right w:val="none" w:sz="0" w:space="0" w:color="auto"/>
      </w:divBdr>
    </w:div>
    <w:div w:id="1599291395">
      <w:bodyDiv w:val="1"/>
      <w:marLeft w:val="0"/>
      <w:marRight w:val="0"/>
      <w:marTop w:val="0"/>
      <w:marBottom w:val="0"/>
      <w:divBdr>
        <w:top w:val="none" w:sz="0" w:space="0" w:color="auto"/>
        <w:left w:val="none" w:sz="0" w:space="0" w:color="auto"/>
        <w:bottom w:val="none" w:sz="0" w:space="0" w:color="auto"/>
        <w:right w:val="none" w:sz="0" w:space="0" w:color="auto"/>
      </w:divBdr>
    </w:div>
    <w:div w:id="1917744468">
      <w:bodyDiv w:val="1"/>
      <w:marLeft w:val="0"/>
      <w:marRight w:val="0"/>
      <w:marTop w:val="0"/>
      <w:marBottom w:val="0"/>
      <w:divBdr>
        <w:top w:val="none" w:sz="0" w:space="0" w:color="auto"/>
        <w:left w:val="none" w:sz="0" w:space="0" w:color="auto"/>
        <w:bottom w:val="none" w:sz="0" w:space="0" w:color="auto"/>
        <w:right w:val="none" w:sz="0" w:space="0" w:color="auto"/>
      </w:divBdr>
    </w:div>
    <w:div w:id="1926760162">
      <w:bodyDiv w:val="1"/>
      <w:marLeft w:val="0"/>
      <w:marRight w:val="0"/>
      <w:marTop w:val="0"/>
      <w:marBottom w:val="0"/>
      <w:divBdr>
        <w:top w:val="none" w:sz="0" w:space="0" w:color="auto"/>
        <w:left w:val="none" w:sz="0" w:space="0" w:color="auto"/>
        <w:bottom w:val="none" w:sz="0" w:space="0" w:color="auto"/>
        <w:right w:val="none" w:sz="0" w:space="0" w:color="auto"/>
      </w:divBdr>
    </w:div>
    <w:div w:id="1988318457">
      <w:bodyDiv w:val="1"/>
      <w:marLeft w:val="0"/>
      <w:marRight w:val="0"/>
      <w:marTop w:val="0"/>
      <w:marBottom w:val="0"/>
      <w:divBdr>
        <w:top w:val="none" w:sz="0" w:space="0" w:color="auto"/>
        <w:left w:val="none" w:sz="0" w:space="0" w:color="auto"/>
        <w:bottom w:val="none" w:sz="0" w:space="0" w:color="auto"/>
        <w:right w:val="none" w:sz="0" w:space="0" w:color="auto"/>
      </w:divBdr>
    </w:div>
    <w:div w:id="2020306184">
      <w:bodyDiv w:val="1"/>
      <w:marLeft w:val="0"/>
      <w:marRight w:val="5"/>
      <w:marTop w:val="0"/>
      <w:marBottom w:val="480"/>
      <w:divBdr>
        <w:top w:val="none" w:sz="0" w:space="0" w:color="auto"/>
        <w:left w:val="none" w:sz="0" w:space="0" w:color="auto"/>
        <w:bottom w:val="none" w:sz="0" w:space="0" w:color="auto"/>
        <w:right w:val="none" w:sz="0" w:space="0" w:color="auto"/>
      </w:divBdr>
      <w:divsChild>
        <w:div w:id="1492335496">
          <w:marLeft w:val="1812"/>
          <w:marRight w:val="0"/>
          <w:marTop w:val="360"/>
          <w:marBottom w:val="240"/>
          <w:divBdr>
            <w:top w:val="none" w:sz="0" w:space="0" w:color="auto"/>
            <w:left w:val="none" w:sz="0" w:space="0" w:color="auto"/>
            <w:bottom w:val="none" w:sz="0" w:space="0" w:color="auto"/>
            <w:right w:val="none" w:sz="0" w:space="0" w:color="auto"/>
          </w:divBdr>
          <w:divsChild>
            <w:div w:id="470101548">
              <w:marLeft w:val="0"/>
              <w:marRight w:val="120"/>
              <w:marTop w:val="0"/>
              <w:marBottom w:val="0"/>
              <w:divBdr>
                <w:top w:val="none" w:sz="0" w:space="0" w:color="auto"/>
                <w:left w:val="none" w:sz="0" w:space="0" w:color="auto"/>
                <w:bottom w:val="none" w:sz="0" w:space="0" w:color="auto"/>
                <w:right w:val="none" w:sz="0" w:space="0" w:color="auto"/>
              </w:divBdr>
              <w:divsChild>
                <w:div w:id="1275746558">
                  <w:marLeft w:val="0"/>
                  <w:marRight w:val="0"/>
                  <w:marTop w:val="0"/>
                  <w:marBottom w:val="0"/>
                  <w:divBdr>
                    <w:top w:val="single" w:sz="24" w:space="0" w:color="000066"/>
                    <w:left w:val="single" w:sz="4" w:space="3" w:color="000066"/>
                    <w:bottom w:val="single" w:sz="4" w:space="0" w:color="000066"/>
                    <w:right w:val="single" w:sz="4" w:space="3" w:color="000066"/>
                  </w:divBdr>
                </w:div>
              </w:divsChild>
            </w:div>
          </w:divsChild>
        </w:div>
      </w:divsChild>
    </w:div>
    <w:div w:id="2128427505">
      <w:bodyDiv w:val="1"/>
      <w:marLeft w:val="0"/>
      <w:marRight w:val="5"/>
      <w:marTop w:val="0"/>
      <w:marBottom w:val="480"/>
      <w:divBdr>
        <w:top w:val="none" w:sz="0" w:space="0" w:color="auto"/>
        <w:left w:val="none" w:sz="0" w:space="0" w:color="auto"/>
        <w:bottom w:val="none" w:sz="0" w:space="0" w:color="auto"/>
        <w:right w:val="none" w:sz="0" w:space="0" w:color="auto"/>
      </w:divBdr>
      <w:divsChild>
        <w:div w:id="1461799878">
          <w:marLeft w:val="1812"/>
          <w:marRight w:val="0"/>
          <w:marTop w:val="360"/>
          <w:marBottom w:val="240"/>
          <w:divBdr>
            <w:top w:val="none" w:sz="0" w:space="0" w:color="auto"/>
            <w:left w:val="none" w:sz="0" w:space="0" w:color="auto"/>
            <w:bottom w:val="none" w:sz="0" w:space="0" w:color="auto"/>
            <w:right w:val="none" w:sz="0" w:space="0" w:color="auto"/>
          </w:divBdr>
          <w:divsChild>
            <w:div w:id="1521972565">
              <w:marLeft w:val="0"/>
              <w:marRight w:val="120"/>
              <w:marTop w:val="0"/>
              <w:marBottom w:val="0"/>
              <w:divBdr>
                <w:top w:val="none" w:sz="0" w:space="0" w:color="auto"/>
                <w:left w:val="none" w:sz="0" w:space="0" w:color="auto"/>
                <w:bottom w:val="none" w:sz="0" w:space="0" w:color="auto"/>
                <w:right w:val="none" w:sz="0" w:space="0" w:color="auto"/>
              </w:divBdr>
              <w:divsChild>
                <w:div w:id="1850174874">
                  <w:marLeft w:val="0"/>
                  <w:marRight w:val="0"/>
                  <w:marTop w:val="0"/>
                  <w:marBottom w:val="0"/>
                  <w:divBdr>
                    <w:top w:val="single" w:sz="24" w:space="0" w:color="000066"/>
                    <w:left w:val="single" w:sz="4" w:space="3" w:color="000066"/>
                    <w:bottom w:val="single" w:sz="4" w:space="0" w:color="000066"/>
                    <w:right w:val="single" w:sz="4" w:space="3" w:color="000066"/>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regulation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ater.epa.gov/type/groundwater/uic/reportingforms.cfm" TargetMode="External"/><Relationship Id="rId10" Type="http://schemas.openxmlformats.org/officeDocument/2006/relationships/endnotes" Target="endnotes.xml"/><Relationship Id="rId19"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FE7E474A08D04CA8B24304FCC615D4" ma:contentTypeVersion="4" ma:contentTypeDescription="Create a new document." ma:contentTypeScope="" ma:versionID="360de58ddaafa000cfbbc5f65b7d7e49">
  <xsd:schema xmlns:xsd="http://www.w3.org/2001/XMLSchema" xmlns:xs="http://www.w3.org/2001/XMLSchema" xmlns:p="http://schemas.microsoft.com/office/2006/metadata/properties" xmlns:ns2="f424f6fa-3ab0-40ac-95d2-ea224b358043" targetNamespace="http://schemas.microsoft.com/office/2006/metadata/properties" ma:root="true" ma:fieldsID="8dc2fa7ebf4b30fe44a087b22d1eac3f" ns2:_="">
    <xsd:import namespace="f424f6fa-3ab0-40ac-95d2-ea224b358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4f6fa-3ab0-40ac-95d2-ea224b358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FCF8B-E676-4853-BF67-707E40896346}">
  <ds:schemaRefs>
    <ds:schemaRef ds:uri="http://purl.org/dc/dcmitype/"/>
    <ds:schemaRef ds:uri="http://schemas.openxmlformats.org/package/2006/metadata/core-properties"/>
    <ds:schemaRef ds:uri="f424f6fa-3ab0-40ac-95d2-ea224b358043"/>
    <ds:schemaRef ds:uri="http://schemas.microsoft.com/office/2006/metadata/properties"/>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34AA0F7C-EC75-43D0-B735-813F08622465}">
  <ds:schemaRefs>
    <ds:schemaRef ds:uri="http://schemas.openxmlformats.org/officeDocument/2006/bibliography"/>
  </ds:schemaRefs>
</ds:datastoreItem>
</file>

<file path=customXml/itemProps3.xml><?xml version="1.0" encoding="utf-8"?>
<ds:datastoreItem xmlns:ds="http://schemas.openxmlformats.org/officeDocument/2006/customXml" ds:itemID="{E4392A88-E1B9-463C-B411-A5059C593BCB}">
  <ds:schemaRefs>
    <ds:schemaRef ds:uri="http://schemas.microsoft.com/sharepoint/v3/contenttype/forms"/>
  </ds:schemaRefs>
</ds:datastoreItem>
</file>

<file path=customXml/itemProps4.xml><?xml version="1.0" encoding="utf-8"?>
<ds:datastoreItem xmlns:ds="http://schemas.openxmlformats.org/officeDocument/2006/customXml" ds:itemID="{955D73EC-209C-4D91-8D6A-755B60757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4f6fa-3ab0-40ac-95d2-ea224b35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49</Pages>
  <Words>16005</Words>
  <Characters>93676</Characters>
  <Application>Microsoft Office Word</Application>
  <DocSecurity>0</DocSecurity>
  <Lines>780</Lines>
  <Paragraphs>218</Paragraphs>
  <ScaleCrop>false</ScaleCrop>
  <HeadingPairs>
    <vt:vector size="2" baseType="variant">
      <vt:variant>
        <vt:lpstr>Title</vt:lpstr>
      </vt:variant>
      <vt:variant>
        <vt:i4>1</vt:i4>
      </vt:variant>
    </vt:vector>
  </HeadingPairs>
  <TitlesOfParts>
    <vt:vector size="1" baseType="lpstr">
      <vt:lpstr>Kristy Burt and my edits are highlighted in “Red”</vt:lpstr>
    </vt:vector>
  </TitlesOfParts>
  <Company>CadmusGroup Inc</Company>
  <LinksUpToDate>false</LinksUpToDate>
  <CharactersWithSpaces>109463</CharactersWithSpaces>
  <SharedDoc>false</SharedDoc>
  <HLinks>
    <vt:vector size="18" baseType="variant">
      <vt:variant>
        <vt:i4>2818151</vt:i4>
      </vt:variant>
      <vt:variant>
        <vt:i4>102</vt:i4>
      </vt:variant>
      <vt:variant>
        <vt:i4>0</vt:i4>
      </vt:variant>
      <vt:variant>
        <vt:i4>5</vt:i4>
      </vt:variant>
      <vt:variant>
        <vt:lpwstr>http://www.regulations.gov/</vt:lpwstr>
      </vt:variant>
      <vt:variant>
        <vt:lpwstr/>
      </vt:variant>
      <vt:variant>
        <vt:i4>2818151</vt:i4>
      </vt:variant>
      <vt:variant>
        <vt:i4>99</vt:i4>
      </vt:variant>
      <vt:variant>
        <vt:i4>0</vt:i4>
      </vt:variant>
      <vt:variant>
        <vt:i4>5</vt:i4>
      </vt:variant>
      <vt:variant>
        <vt:lpwstr>http://www.regulations.gov/</vt:lpwstr>
      </vt:variant>
      <vt:variant>
        <vt:lpwstr/>
      </vt:variant>
      <vt:variant>
        <vt:i4>1245204</vt:i4>
      </vt:variant>
      <vt:variant>
        <vt:i4>96</vt:i4>
      </vt:variant>
      <vt:variant>
        <vt:i4>0</vt:i4>
      </vt:variant>
      <vt:variant>
        <vt:i4>5</vt:i4>
      </vt:variant>
      <vt:variant>
        <vt:lpwstr>http://water.epa.gov/type/groundwater/uic/reportingforms.cfm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Kristy Burt and my edits are highlighted in “Red”</dc:title>
  <dc:creator>Kristy</dc:creator>
  <cp:lastModifiedBy>Carey, Kyle</cp:lastModifiedBy>
  <cp:revision>6</cp:revision>
  <cp:lastPrinted>2018-04-19T13:59:00Z</cp:lastPrinted>
  <dcterms:created xsi:type="dcterms:W3CDTF">2021-11-04T15:13:00Z</dcterms:created>
  <dcterms:modified xsi:type="dcterms:W3CDTF">2021-11-30T13:07:00Z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0x0101008CFE7E474A08D04CA8B24304FCC615D4</vt:lpwstr>
  </property>
  <property fmtid="{D5CDD505-2E9C-101B-9397-08002B2CF9AE}" pid="3" name="TaxKeyword">
    <vt:lpwstr/>
  </property>
  <property fmtid="{D5CDD505-2E9C-101B-9397-08002B2CF9AE}" pid="4" name="ContractDivisions">
    <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ProjectSubjectAreas">
    <vt:lpwstr/>
  </property>
  <property fmtid="{D5CDD505-2E9C-101B-9397-08002B2CF9AE}" pid="9" name="ServiceSectors">
    <vt:lpwstr/>
  </property>
  <property fmtid="{D5CDD505-2E9C-101B-9397-08002B2CF9AE}" pid="10" name="WorkType">
    <vt:lpwstr/>
  </property>
  <property fmtid="{D5CDD505-2E9C-101B-9397-08002B2CF9AE}" pid="11" name="ProjectClients">
    <vt:lpwstr/>
  </property>
  <property fmtid="{D5CDD505-2E9C-101B-9397-08002B2CF9AE}" pid="12" name="ProjectServiceSectors">
    <vt:lpwstr/>
  </property>
  <property fmtid="{D5CDD505-2E9C-101B-9397-08002B2CF9AE}" pid="13" name="Locations">
    <vt:lpwstr/>
  </property>
</Properties>
</file>