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D44" w:rsidP="00B56589" w:rsidRDefault="000D7D44" w14:paraId="18028DD1" w14:textId="77777777">
      <w:pPr>
        <w:rPr>
          <w:b/>
        </w:rPr>
      </w:pPr>
    </w:p>
    <w:p w:rsidRPr="00B139CA" w:rsidR="000F7E22" w:rsidP="000F7E22" w:rsidRDefault="007F7061" w14:paraId="338A03E6" w14:textId="6CAEF47E">
      <w:pPr>
        <w:pStyle w:val="ReportCover-Title"/>
        <w:jc w:val="center"/>
        <w:rPr>
          <w:rFonts w:ascii="Arial" w:hAnsi="Arial" w:cs="Arial"/>
          <w:color w:val="auto"/>
        </w:rPr>
      </w:pPr>
      <w:r w:rsidRPr="00B139CA">
        <w:rPr>
          <w:rFonts w:ascii="Arial" w:hAnsi="Arial" w:eastAsia="Arial Unicode MS" w:cs="Arial"/>
          <w:noProof/>
          <w:color w:val="auto"/>
        </w:rPr>
        <w:t>Youth</w:t>
      </w:r>
      <w:r w:rsidRPr="00B139CA" w:rsidR="009D02DB">
        <w:rPr>
          <w:rFonts w:ascii="Arial" w:hAnsi="Arial" w:eastAsia="Arial Unicode MS" w:cs="Arial"/>
          <w:noProof/>
          <w:color w:val="auto"/>
        </w:rPr>
        <w:t xml:space="preserve"> Survey of</w:t>
      </w:r>
      <w:r w:rsidRPr="00B139CA">
        <w:rPr>
          <w:rFonts w:ascii="Arial" w:hAnsi="Arial" w:eastAsia="Arial Unicode MS" w:cs="Arial"/>
          <w:noProof/>
          <w:color w:val="auto"/>
        </w:rPr>
        <w:t xml:space="preserve"> </w:t>
      </w:r>
      <w:r w:rsidRPr="00B139CA" w:rsidR="009A4D57">
        <w:rPr>
          <w:rFonts w:ascii="Arial" w:hAnsi="Arial" w:eastAsia="Arial Unicode MS" w:cs="Arial"/>
          <w:noProof/>
          <w:color w:val="auto"/>
        </w:rPr>
        <w:t>Relationships</w:t>
      </w:r>
      <w:r w:rsidRPr="00B139CA" w:rsidR="00044ADA">
        <w:rPr>
          <w:rFonts w:ascii="Arial" w:hAnsi="Arial" w:eastAsia="Arial Unicode MS" w:cs="Arial"/>
          <w:noProof/>
          <w:color w:val="auto"/>
        </w:rPr>
        <w:t>, Education, and Behavior</w:t>
      </w:r>
    </w:p>
    <w:p w:rsidRPr="00B139CA" w:rsidR="00D51337" w:rsidP="00D51337" w:rsidRDefault="00D51337" w14:paraId="6AFF1AEC" w14:textId="77777777">
      <w:pPr>
        <w:pStyle w:val="ReportCover-Title"/>
        <w:rPr>
          <w:rFonts w:ascii="Arial" w:hAnsi="Arial" w:cs="Arial"/>
          <w:color w:val="auto"/>
        </w:rPr>
      </w:pPr>
    </w:p>
    <w:p w:rsidRPr="00B139CA" w:rsidR="00D51337" w:rsidP="00D51337" w:rsidRDefault="00D51337" w14:paraId="57B8C8E4" w14:textId="77777777">
      <w:pPr>
        <w:pStyle w:val="ReportCover-Title"/>
        <w:rPr>
          <w:rFonts w:ascii="Arial" w:hAnsi="Arial" w:cs="Arial"/>
          <w:color w:val="auto"/>
        </w:rPr>
      </w:pPr>
    </w:p>
    <w:p w:rsidRPr="00B139CA" w:rsidR="009B3DFB" w:rsidP="009B3DFB" w:rsidRDefault="009B3DFB" w14:paraId="7B3B50B5" w14:textId="77777777">
      <w:pPr>
        <w:pStyle w:val="ReportCover-Title"/>
        <w:jc w:val="center"/>
        <w:rPr>
          <w:rFonts w:ascii="Arial" w:hAnsi="Arial" w:cs="Arial"/>
          <w:color w:val="auto"/>
          <w:sz w:val="32"/>
          <w:szCs w:val="32"/>
        </w:rPr>
      </w:pPr>
      <w:r w:rsidRPr="00B139CA">
        <w:rPr>
          <w:rFonts w:ascii="Arial" w:hAnsi="Arial" w:cs="Arial"/>
          <w:color w:val="auto"/>
          <w:sz w:val="32"/>
          <w:szCs w:val="32"/>
        </w:rPr>
        <w:t>Formative Data Collections for Program Support</w:t>
      </w:r>
    </w:p>
    <w:p w:rsidRPr="00B139CA" w:rsidR="009B3DFB" w:rsidP="009B3DFB" w:rsidRDefault="009B3DFB" w14:paraId="5ABABFA1" w14:textId="77777777">
      <w:pPr>
        <w:pStyle w:val="ReportCover-Title"/>
        <w:jc w:val="center"/>
        <w:rPr>
          <w:rFonts w:ascii="Arial" w:hAnsi="Arial" w:cs="Arial"/>
          <w:color w:val="auto"/>
          <w:sz w:val="32"/>
          <w:szCs w:val="32"/>
        </w:rPr>
      </w:pPr>
    </w:p>
    <w:p w:rsidRPr="00B139CA" w:rsidR="000F7E22" w:rsidP="000F7E22" w:rsidRDefault="000F7E22" w14:paraId="2BA3F774" w14:textId="24565CEF">
      <w:pPr>
        <w:pStyle w:val="ReportCover-Title"/>
        <w:jc w:val="center"/>
        <w:rPr>
          <w:rFonts w:ascii="Arial" w:hAnsi="Arial" w:cs="Arial"/>
          <w:color w:val="auto"/>
          <w:sz w:val="32"/>
          <w:szCs w:val="32"/>
        </w:rPr>
      </w:pPr>
      <w:r w:rsidRPr="00B139CA">
        <w:rPr>
          <w:rFonts w:ascii="Arial" w:hAnsi="Arial" w:cs="Arial"/>
          <w:color w:val="auto"/>
          <w:sz w:val="32"/>
          <w:szCs w:val="32"/>
        </w:rPr>
        <w:t>0970</w:t>
      </w:r>
      <w:r w:rsidRPr="00B139CA" w:rsidR="00044ADA">
        <w:rPr>
          <w:rFonts w:ascii="Arial" w:hAnsi="Arial" w:cs="Arial"/>
          <w:color w:val="auto"/>
          <w:sz w:val="32"/>
          <w:szCs w:val="32"/>
        </w:rPr>
        <w:t>–</w:t>
      </w:r>
      <w:r w:rsidRPr="00B139CA">
        <w:rPr>
          <w:rFonts w:ascii="Arial" w:hAnsi="Arial" w:cs="Arial"/>
          <w:color w:val="auto"/>
          <w:sz w:val="32"/>
          <w:szCs w:val="32"/>
        </w:rPr>
        <w:t>0531</w:t>
      </w:r>
    </w:p>
    <w:p w:rsidRPr="00B139CA" w:rsidR="00D51337" w:rsidP="00D51337" w:rsidRDefault="00D51337" w14:paraId="4A4DC21E" w14:textId="77777777">
      <w:pPr>
        <w:rPr>
          <w:rFonts w:ascii="Arial" w:hAnsi="Arial" w:cs="Arial"/>
        </w:rPr>
      </w:pPr>
    </w:p>
    <w:p w:rsidRPr="00B139CA" w:rsidR="00D51337" w:rsidP="00D51337" w:rsidRDefault="00D51337" w14:paraId="241CDD3B" w14:textId="77777777">
      <w:pPr>
        <w:pStyle w:val="ReportCover-Date"/>
        <w:jc w:val="center"/>
        <w:rPr>
          <w:rFonts w:ascii="Arial" w:hAnsi="Arial" w:cs="Arial"/>
          <w:color w:val="auto"/>
        </w:rPr>
      </w:pPr>
    </w:p>
    <w:p w:rsidRPr="00B139CA"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9CA">
        <w:rPr>
          <w:rFonts w:ascii="Arial" w:hAnsi="Arial" w:cs="Arial"/>
          <w:color w:val="auto"/>
          <w:sz w:val="48"/>
          <w:szCs w:val="48"/>
        </w:rPr>
        <w:t>Supporting Statement</w:t>
      </w:r>
    </w:p>
    <w:p w:rsidRPr="00B139CA"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9CA">
        <w:rPr>
          <w:rFonts w:ascii="Arial" w:hAnsi="Arial" w:cs="Arial"/>
          <w:color w:val="auto"/>
          <w:sz w:val="48"/>
          <w:szCs w:val="48"/>
        </w:rPr>
        <w:t xml:space="preserve">Part </w:t>
      </w:r>
      <w:r w:rsidRPr="00B139CA" w:rsidR="00E80588">
        <w:rPr>
          <w:rFonts w:ascii="Arial" w:hAnsi="Arial" w:cs="Arial"/>
          <w:color w:val="auto"/>
          <w:sz w:val="48"/>
          <w:szCs w:val="48"/>
        </w:rPr>
        <w:t>B</w:t>
      </w:r>
    </w:p>
    <w:p w:rsidRPr="00B139CA" w:rsidR="00D51337" w:rsidP="00D51337" w:rsidRDefault="00263A16" w14:paraId="6AE3DDAE" w14:textId="05B8A4AE">
      <w:pPr>
        <w:pStyle w:val="ReportCover-Date"/>
        <w:jc w:val="center"/>
        <w:rPr>
          <w:rFonts w:ascii="Arial" w:hAnsi="Arial" w:cs="Arial"/>
          <w:color w:val="auto"/>
        </w:rPr>
      </w:pPr>
      <w:r w:rsidRPr="00B139CA">
        <w:rPr>
          <w:rFonts w:ascii="Arial" w:hAnsi="Arial" w:cs="Arial"/>
          <w:color w:val="auto"/>
        </w:rPr>
        <w:t xml:space="preserve">May </w:t>
      </w:r>
      <w:r w:rsidRPr="00B139CA" w:rsidR="000F7E22">
        <w:rPr>
          <w:rFonts w:ascii="Arial" w:hAnsi="Arial" w:cs="Arial"/>
          <w:color w:val="auto"/>
        </w:rPr>
        <w:t>2021</w:t>
      </w:r>
    </w:p>
    <w:p w:rsidRPr="00B139CA" w:rsidR="00D51337" w:rsidP="00D51337" w:rsidRDefault="00D51337" w14:paraId="42BC44A9" w14:textId="77777777">
      <w:pPr>
        <w:spacing w:after="0" w:line="240" w:lineRule="auto"/>
        <w:jc w:val="center"/>
        <w:rPr>
          <w:rFonts w:ascii="Arial" w:hAnsi="Arial" w:cs="Arial"/>
        </w:rPr>
      </w:pPr>
    </w:p>
    <w:p w:rsidRPr="00B139CA" w:rsidR="00D51337" w:rsidP="00D51337" w:rsidRDefault="00D51337" w14:paraId="4BA2E953" w14:textId="20494646">
      <w:pPr>
        <w:spacing w:after="0" w:line="240" w:lineRule="auto"/>
        <w:jc w:val="center"/>
        <w:rPr>
          <w:rFonts w:ascii="Arial" w:hAnsi="Arial" w:cs="Arial"/>
        </w:rPr>
      </w:pPr>
      <w:r w:rsidRPr="00B139CA">
        <w:rPr>
          <w:rFonts w:ascii="Arial" w:hAnsi="Arial" w:cs="Arial"/>
        </w:rPr>
        <w:t xml:space="preserve">Submitted </w:t>
      </w:r>
      <w:r w:rsidRPr="00B139CA" w:rsidR="00044ADA">
        <w:rPr>
          <w:rFonts w:ascii="Arial" w:hAnsi="Arial" w:cs="Arial"/>
        </w:rPr>
        <w:t>b</w:t>
      </w:r>
      <w:r w:rsidRPr="00B139CA">
        <w:rPr>
          <w:rFonts w:ascii="Arial" w:hAnsi="Arial" w:cs="Arial"/>
        </w:rPr>
        <w:t>y:</w:t>
      </w:r>
    </w:p>
    <w:p w:rsidRPr="00B139CA" w:rsidR="00D51337" w:rsidP="00D51337" w:rsidRDefault="00D51337" w14:paraId="43DDFE80" w14:textId="021BBCC0">
      <w:pPr>
        <w:spacing w:after="0" w:line="240" w:lineRule="auto"/>
        <w:jc w:val="center"/>
        <w:rPr>
          <w:rFonts w:ascii="Arial" w:hAnsi="Arial" w:cs="Arial"/>
        </w:rPr>
      </w:pPr>
      <w:r w:rsidRPr="00B139CA">
        <w:rPr>
          <w:rFonts w:ascii="Arial" w:hAnsi="Arial" w:cs="Arial"/>
        </w:rPr>
        <w:t>Office of Planning, Research</w:t>
      </w:r>
      <w:r w:rsidR="0021590C">
        <w:rPr>
          <w:rFonts w:ascii="Arial" w:hAnsi="Arial" w:cs="Arial"/>
        </w:rPr>
        <w:t>,</w:t>
      </w:r>
      <w:r w:rsidRPr="00B139CA">
        <w:rPr>
          <w:rFonts w:ascii="Arial" w:hAnsi="Arial" w:cs="Arial"/>
        </w:rPr>
        <w:t xml:space="preserve"> and Evaluation</w:t>
      </w:r>
    </w:p>
    <w:p w:rsidRPr="00B139CA" w:rsidR="00D51337" w:rsidP="00D51337" w:rsidRDefault="00D51337" w14:paraId="36795D2D" w14:textId="77777777">
      <w:pPr>
        <w:spacing w:after="0" w:line="240" w:lineRule="auto"/>
        <w:jc w:val="center"/>
        <w:rPr>
          <w:rFonts w:ascii="Arial" w:hAnsi="Arial" w:cs="Arial"/>
        </w:rPr>
      </w:pPr>
      <w:r w:rsidRPr="00B139CA">
        <w:rPr>
          <w:rFonts w:ascii="Arial" w:hAnsi="Arial" w:cs="Arial"/>
        </w:rPr>
        <w:t xml:space="preserve">Administration for Children and Families </w:t>
      </w:r>
    </w:p>
    <w:p w:rsidRPr="00B139CA" w:rsidR="00D51337" w:rsidP="00D51337" w:rsidRDefault="00D51337" w14:paraId="68F857AB" w14:textId="77777777">
      <w:pPr>
        <w:spacing w:after="0" w:line="240" w:lineRule="auto"/>
        <w:jc w:val="center"/>
        <w:rPr>
          <w:rFonts w:ascii="Arial" w:hAnsi="Arial" w:cs="Arial"/>
        </w:rPr>
      </w:pPr>
      <w:r w:rsidRPr="00B139CA">
        <w:rPr>
          <w:rFonts w:ascii="Arial" w:hAnsi="Arial" w:cs="Arial"/>
        </w:rPr>
        <w:t>U.S. Department of Health and Human Services</w:t>
      </w:r>
    </w:p>
    <w:p w:rsidRPr="00B139CA" w:rsidR="00D51337" w:rsidP="00D51337" w:rsidRDefault="00D51337" w14:paraId="1A483089" w14:textId="77777777">
      <w:pPr>
        <w:spacing w:after="0" w:line="240" w:lineRule="auto"/>
        <w:jc w:val="center"/>
        <w:rPr>
          <w:rFonts w:ascii="Arial" w:hAnsi="Arial" w:cs="Arial"/>
        </w:rPr>
      </w:pPr>
    </w:p>
    <w:p w:rsidRPr="00B139CA" w:rsidR="00D51337" w:rsidP="00D51337" w:rsidRDefault="00D51337" w14:paraId="5E7AC372" w14:textId="77777777">
      <w:pPr>
        <w:spacing w:after="0" w:line="240" w:lineRule="auto"/>
        <w:jc w:val="center"/>
        <w:rPr>
          <w:rFonts w:ascii="Arial" w:hAnsi="Arial" w:cs="Arial"/>
        </w:rPr>
      </w:pPr>
      <w:r w:rsidRPr="00B139CA">
        <w:rPr>
          <w:rFonts w:ascii="Arial" w:hAnsi="Arial" w:cs="Arial"/>
        </w:rPr>
        <w:t>4</w:t>
      </w:r>
      <w:r w:rsidRPr="00B139CA">
        <w:rPr>
          <w:rFonts w:ascii="Arial" w:hAnsi="Arial" w:cs="Arial"/>
          <w:vertAlign w:val="superscript"/>
        </w:rPr>
        <w:t>th</w:t>
      </w:r>
      <w:r w:rsidRPr="00B139CA">
        <w:rPr>
          <w:rFonts w:ascii="Arial" w:hAnsi="Arial" w:cs="Arial"/>
        </w:rPr>
        <w:t xml:space="preserve"> Floor, Mary E. Switzer Building</w:t>
      </w:r>
    </w:p>
    <w:p w:rsidRPr="00B139CA" w:rsidR="00D51337" w:rsidP="00D51337" w:rsidRDefault="00D51337" w14:paraId="26A8D7CA" w14:textId="77777777">
      <w:pPr>
        <w:spacing w:after="0" w:line="240" w:lineRule="auto"/>
        <w:jc w:val="center"/>
        <w:rPr>
          <w:rFonts w:ascii="Arial" w:hAnsi="Arial" w:cs="Arial"/>
        </w:rPr>
      </w:pPr>
      <w:r w:rsidRPr="00B139CA">
        <w:rPr>
          <w:rFonts w:ascii="Arial" w:hAnsi="Arial" w:cs="Arial"/>
        </w:rPr>
        <w:t>330 C Street, SW</w:t>
      </w:r>
    </w:p>
    <w:p w:rsidRPr="00B139CA" w:rsidR="00D51337" w:rsidP="00D51337" w:rsidRDefault="00D51337" w14:paraId="366B1F06" w14:textId="6AF5FC67">
      <w:pPr>
        <w:spacing w:after="0" w:line="240" w:lineRule="auto"/>
        <w:jc w:val="center"/>
        <w:rPr>
          <w:rFonts w:ascii="Arial" w:hAnsi="Arial" w:cs="Arial"/>
        </w:rPr>
      </w:pPr>
      <w:r w:rsidRPr="00B139CA">
        <w:rPr>
          <w:rFonts w:ascii="Arial" w:hAnsi="Arial" w:cs="Arial"/>
        </w:rPr>
        <w:t>Washington, DC 20201</w:t>
      </w:r>
    </w:p>
    <w:p w:rsidRPr="00B139CA" w:rsidR="00D51337" w:rsidP="00D51337" w:rsidRDefault="00D51337" w14:paraId="4691FD53" w14:textId="77777777">
      <w:pPr>
        <w:spacing w:after="0" w:line="240" w:lineRule="auto"/>
        <w:jc w:val="center"/>
        <w:rPr>
          <w:rFonts w:ascii="Arial" w:hAnsi="Arial" w:cs="Arial"/>
        </w:rPr>
      </w:pPr>
    </w:p>
    <w:p w:rsidRPr="00B139CA" w:rsidR="000F7E22" w:rsidP="000F7E22" w:rsidRDefault="000F7E22" w14:paraId="1BEC8879" w14:textId="77777777">
      <w:pPr>
        <w:spacing w:after="0" w:line="240" w:lineRule="auto"/>
        <w:jc w:val="center"/>
        <w:rPr>
          <w:rFonts w:ascii="Arial" w:hAnsi="Arial" w:cs="Arial"/>
        </w:rPr>
      </w:pPr>
      <w:r w:rsidRPr="00B139CA">
        <w:rPr>
          <w:rFonts w:ascii="Arial" w:hAnsi="Arial" w:cs="Arial"/>
        </w:rPr>
        <w:t xml:space="preserve">Project Officer: </w:t>
      </w:r>
    </w:p>
    <w:p w:rsidRPr="00B139CA" w:rsidR="007F7061" w:rsidP="007F7061" w:rsidRDefault="007F7061" w14:paraId="17491194" w14:textId="77777777">
      <w:pPr>
        <w:spacing w:after="0" w:line="240" w:lineRule="auto"/>
        <w:jc w:val="center"/>
        <w:rPr>
          <w:rFonts w:ascii="Arial" w:hAnsi="Arial" w:cs="Arial"/>
        </w:rPr>
      </w:pPr>
      <w:r w:rsidRPr="00B139CA">
        <w:rPr>
          <w:rFonts w:ascii="Arial" w:hAnsi="Arial" w:cs="Arial"/>
        </w:rPr>
        <w:t>Caryn Blitz</w:t>
      </w:r>
    </w:p>
    <w:p w:rsidRPr="00B139CA" w:rsidR="00D51337" w:rsidP="00D51337" w:rsidRDefault="00D51337" w14:paraId="27872D1C" w14:textId="77777777">
      <w:pPr>
        <w:spacing w:after="0" w:line="240" w:lineRule="auto"/>
        <w:jc w:val="center"/>
        <w:rPr>
          <w:b/>
        </w:rPr>
      </w:pPr>
    </w:p>
    <w:p w:rsidRPr="00B139CA" w:rsidR="001253F4" w:rsidP="00624DDC" w:rsidRDefault="00B4182B" w14:paraId="71A43DA4" w14:textId="77777777">
      <w:pPr>
        <w:jc w:val="center"/>
        <w:rPr>
          <w:b/>
          <w:sz w:val="32"/>
          <w:szCs w:val="32"/>
        </w:rPr>
      </w:pPr>
      <w:r w:rsidRPr="00B139CA">
        <w:br w:type="page"/>
      </w:r>
      <w:r w:rsidRPr="00B139CA" w:rsidR="001253F4">
        <w:rPr>
          <w:b/>
          <w:sz w:val="32"/>
          <w:szCs w:val="32"/>
        </w:rPr>
        <w:lastRenderedPageBreak/>
        <w:t>Part B</w:t>
      </w:r>
    </w:p>
    <w:p w:rsidRPr="00B139CA" w:rsidR="00EE38AF" w:rsidP="008369BA" w:rsidRDefault="00EE38AF" w14:paraId="66C05F3B" w14:textId="77777777">
      <w:pPr>
        <w:spacing w:after="0" w:line="240" w:lineRule="auto"/>
        <w:rPr>
          <w:b/>
        </w:rPr>
      </w:pPr>
    </w:p>
    <w:p w:rsidRPr="00B139CA" w:rsidR="0072072F" w:rsidP="00F85D35" w:rsidRDefault="00EE38AF" w14:paraId="23F27413" w14:textId="33345C07">
      <w:pPr>
        <w:spacing w:after="120" w:line="240" w:lineRule="auto"/>
      </w:pPr>
      <w:r w:rsidRPr="00B139CA">
        <w:rPr>
          <w:b/>
        </w:rPr>
        <w:t>B1.</w:t>
      </w:r>
      <w:r w:rsidRPr="00B139CA">
        <w:rPr>
          <w:b/>
        </w:rPr>
        <w:tab/>
      </w:r>
      <w:r w:rsidRPr="00B139CA" w:rsidR="0020629A">
        <w:rPr>
          <w:b/>
        </w:rPr>
        <w:t>O</w:t>
      </w:r>
      <w:r w:rsidRPr="00B139CA" w:rsidR="008369BA">
        <w:rPr>
          <w:b/>
        </w:rPr>
        <w:t>bjectives</w:t>
      </w:r>
    </w:p>
    <w:p w:rsidRPr="00B139CA" w:rsidR="0072072F" w:rsidP="00F85D35" w:rsidRDefault="0072072F" w14:paraId="40621335" w14:textId="41E40AA2">
      <w:pPr>
        <w:spacing w:after="60" w:line="240" w:lineRule="auto"/>
        <w:rPr>
          <w:i/>
        </w:rPr>
      </w:pPr>
      <w:r w:rsidRPr="00B139CA">
        <w:rPr>
          <w:i/>
        </w:rPr>
        <w:t>Study Objectives</w:t>
      </w:r>
    </w:p>
    <w:p w:rsidRPr="00B139CA" w:rsidR="006D6430" w:rsidP="00075CC0" w:rsidRDefault="009E45FA" w14:paraId="5C29B4B2" w14:textId="17925F69">
      <w:pPr>
        <w:spacing w:after="0" w:line="264" w:lineRule="auto"/>
        <w:rPr>
          <w:rFonts w:ascii="Times New Roman" w:hAnsi="Times New Roman" w:cs="Times New Roman"/>
          <w:sz w:val="24"/>
          <w:szCs w:val="24"/>
        </w:rPr>
      </w:pPr>
      <w:r w:rsidRPr="00B139CA">
        <w:t xml:space="preserve">The </w:t>
      </w:r>
      <w:r w:rsidRPr="00B139CA" w:rsidR="006D6430">
        <w:t xml:space="preserve">objective of the </w:t>
      </w:r>
      <w:r w:rsidRPr="00B139CA" w:rsidR="009A4D57">
        <w:t>Youth Survey of Relationships</w:t>
      </w:r>
      <w:r w:rsidRPr="00B139CA" w:rsidR="00A6239E">
        <w:t xml:space="preserve">, Education, and Behavior </w:t>
      </w:r>
      <w:r w:rsidRPr="00B139CA" w:rsidR="006D6430">
        <w:t xml:space="preserve">is to collect data from </w:t>
      </w:r>
      <w:r w:rsidRPr="00B139CA" w:rsidR="00044ADA">
        <w:rPr>
          <w:rFonts w:cs="Calibri"/>
        </w:rPr>
        <w:t xml:space="preserve">high school–age youth </w:t>
      </w:r>
      <w:r w:rsidRPr="00B139CA" w:rsidR="00044ADA">
        <w:t xml:space="preserve">about </w:t>
      </w:r>
      <w:r w:rsidRPr="00B139CA" w:rsidR="006D6430">
        <w:t xml:space="preserve">changes in parental relationships, sex education, and </w:t>
      </w:r>
      <w:r w:rsidRPr="00B139CA" w:rsidR="00481CD5">
        <w:t xml:space="preserve">sexual </w:t>
      </w:r>
      <w:r w:rsidRPr="00B139CA" w:rsidR="006D6430">
        <w:t>behaviors</w:t>
      </w:r>
      <w:r w:rsidRPr="00B139CA" w:rsidR="002530BF">
        <w:t xml:space="preserve"> during the</w:t>
      </w:r>
      <w:r w:rsidRPr="00B139CA" w:rsidR="009F54F6">
        <w:t xml:space="preserve"> </w:t>
      </w:r>
      <w:r w:rsidRPr="00B139CA" w:rsidR="006D6430">
        <w:t xml:space="preserve">COVID-19 </w:t>
      </w:r>
      <w:r w:rsidRPr="00B139CA" w:rsidR="00230090">
        <w:t>pandemic</w:t>
      </w:r>
      <w:r w:rsidRPr="00B139CA" w:rsidR="006D6430">
        <w:t>.</w:t>
      </w:r>
      <w:r w:rsidRPr="00B139CA" w:rsidR="006D6430">
        <w:rPr>
          <w:rFonts w:ascii="Times New Roman" w:hAnsi="Times New Roman" w:cs="Times New Roman"/>
          <w:sz w:val="24"/>
          <w:szCs w:val="24"/>
        </w:rPr>
        <w:t xml:space="preserve"> </w:t>
      </w:r>
    </w:p>
    <w:p w:rsidRPr="00B139CA" w:rsidR="006D6430" w:rsidP="00075CC0" w:rsidRDefault="006D6430" w14:paraId="4B8EAB2E" w14:textId="3B49CE57">
      <w:pPr>
        <w:spacing w:after="0" w:line="264" w:lineRule="auto"/>
        <w:rPr>
          <w:rFonts w:ascii="Times New Roman" w:hAnsi="Times New Roman" w:cs="Times New Roman"/>
          <w:sz w:val="24"/>
          <w:szCs w:val="24"/>
        </w:rPr>
      </w:pPr>
    </w:p>
    <w:p w:rsidRPr="00B139CA" w:rsidR="006D6430" w:rsidP="00075CC0" w:rsidRDefault="006D6430" w14:paraId="197DB626" w14:textId="41B79481">
      <w:pPr>
        <w:spacing w:after="60" w:line="264" w:lineRule="auto"/>
      </w:pPr>
      <w:r w:rsidRPr="00B139CA">
        <w:t xml:space="preserve">The data collected from the surveys will: </w:t>
      </w:r>
    </w:p>
    <w:p w:rsidRPr="00B139CA" w:rsidR="00435F63" w:rsidP="00075CC0" w:rsidRDefault="00435F63" w14:paraId="00F841EA" w14:textId="116053FB">
      <w:pPr>
        <w:pStyle w:val="ListParagraph"/>
        <w:numPr>
          <w:ilvl w:val="0"/>
          <w:numId w:val="30"/>
        </w:numPr>
        <w:spacing w:after="60" w:line="264" w:lineRule="auto"/>
      </w:pPr>
      <w:r w:rsidRPr="00B139CA">
        <w:t>Provide the Administration for Children and Families</w:t>
      </w:r>
      <w:r w:rsidRPr="00B139CA" w:rsidR="006D6430">
        <w:t xml:space="preserve"> </w:t>
      </w:r>
      <w:r w:rsidRPr="00B139CA">
        <w:t>(</w:t>
      </w:r>
      <w:r w:rsidRPr="00B139CA" w:rsidR="006D6430">
        <w:t>ACF</w:t>
      </w:r>
      <w:r w:rsidRPr="00B139CA">
        <w:t xml:space="preserve">) with current information from youth on </w:t>
      </w:r>
      <w:r w:rsidRPr="00B139CA" w:rsidR="00647D22">
        <w:t xml:space="preserve">the relationship between </w:t>
      </w:r>
      <w:r w:rsidRPr="00B139CA" w:rsidR="009F54F6">
        <w:rPr>
          <w:rFonts w:cs="Calibri"/>
        </w:rPr>
        <w:t xml:space="preserve">high school–age </w:t>
      </w:r>
      <w:r w:rsidRPr="00B139CA" w:rsidR="00647D22">
        <w:t xml:space="preserve">youth and their parents, the ways in which sex education was delivered to teens, </w:t>
      </w:r>
      <w:r w:rsidRPr="00B139CA" w:rsidR="0090483C">
        <w:t>how much was learned, and how engaged they were with the sex education they received</w:t>
      </w:r>
      <w:r w:rsidRPr="00B139CA" w:rsidR="00647D22">
        <w:t xml:space="preserve">, and </w:t>
      </w:r>
      <w:r w:rsidRPr="00B139CA" w:rsidR="00A138CE">
        <w:t>the types of sexual risk behaviors youth have engaged in</w:t>
      </w:r>
      <w:r w:rsidRPr="00B139CA" w:rsidR="00647D22">
        <w:t xml:space="preserve"> during the </w:t>
      </w:r>
      <w:r w:rsidRPr="00B139CA" w:rsidR="00230090">
        <w:t>pandemic</w:t>
      </w:r>
      <w:r w:rsidRPr="00B139CA" w:rsidR="009F54F6">
        <w:t>.</w:t>
      </w:r>
    </w:p>
    <w:p w:rsidRPr="00B139CA" w:rsidR="00BB2925" w:rsidP="00075CC0" w:rsidRDefault="00647D22" w14:paraId="6EC0106B" w14:textId="017C5440">
      <w:pPr>
        <w:pStyle w:val="ListParagraph"/>
        <w:numPr>
          <w:ilvl w:val="0"/>
          <w:numId w:val="30"/>
        </w:numPr>
        <w:spacing w:after="0" w:line="264" w:lineRule="auto"/>
      </w:pPr>
      <w:r w:rsidRPr="00B139CA">
        <w:t xml:space="preserve">Help to identify particular areas of need </w:t>
      </w:r>
      <w:r w:rsidRPr="00B139CA" w:rsidR="00781C03">
        <w:t>related to adolescent pregnancy prevention and optimal health development</w:t>
      </w:r>
      <w:r w:rsidRPr="00B139CA">
        <w:t xml:space="preserve"> to inform future ACF programming and research. ACF can use the data to provide evidence-informed technical assistance to PREP and SRAE grantees operating programs in the next year, something over three-quarters have requested from ACF (based on </w:t>
      </w:r>
      <w:r w:rsidRPr="00B139CA" w:rsidR="00230090">
        <w:t xml:space="preserve">feedback received through the </w:t>
      </w:r>
      <w:r w:rsidRPr="00B139CA">
        <w:t>Grantee COVID Survey, Fall 2020</w:t>
      </w:r>
      <w:r w:rsidRPr="00B139CA" w:rsidR="00230090">
        <w:rPr>
          <w:rStyle w:val="FootnoteReference"/>
        </w:rPr>
        <w:footnoteReference w:id="1"/>
      </w:r>
      <w:r w:rsidRPr="00B139CA">
        <w:t>).</w:t>
      </w:r>
    </w:p>
    <w:p w:rsidRPr="00B139CA" w:rsidR="00BB2925" w:rsidP="0072072F" w:rsidRDefault="00BB2925" w14:paraId="13F28F66" w14:textId="21295A7C">
      <w:pPr>
        <w:spacing w:after="0" w:line="240" w:lineRule="auto"/>
      </w:pPr>
    </w:p>
    <w:p w:rsidRPr="00B139CA" w:rsidR="005F2951" w:rsidP="00F85D35" w:rsidRDefault="0072072F" w14:paraId="75A4A02E" w14:textId="53C99950">
      <w:pPr>
        <w:spacing w:after="60" w:line="240" w:lineRule="auto"/>
        <w:rPr>
          <w:i/>
        </w:rPr>
      </w:pPr>
      <w:r w:rsidRPr="00B139CA">
        <w:rPr>
          <w:i/>
        </w:rPr>
        <w:t xml:space="preserve">Generalizability of Results </w:t>
      </w:r>
    </w:p>
    <w:p w:rsidRPr="00B139CA" w:rsidR="00F85D35" w:rsidP="00075CC0" w:rsidRDefault="00202DD3" w14:paraId="33260685" w14:textId="5AFB9235">
      <w:pPr>
        <w:autoSpaceDE w:val="0"/>
        <w:autoSpaceDN w:val="0"/>
        <w:adjustRightInd w:val="0"/>
        <w:spacing w:after="0" w:line="264" w:lineRule="auto"/>
        <w:rPr>
          <w:rFonts w:eastAsia="Times New Roman" w:cstheme="minorHAnsi"/>
        </w:rPr>
      </w:pPr>
      <w:r w:rsidRPr="00B139CA">
        <w:rPr>
          <w:rFonts w:eastAsia="Times New Roman" w:cstheme="minorHAnsi"/>
        </w:rPr>
        <w:t xml:space="preserve">Because this is a non-probability sample, the survey data will not be used to generate generalizable statistics for </w:t>
      </w:r>
      <w:r w:rsidRPr="00B139CA" w:rsidR="009F54F6">
        <w:rPr>
          <w:rFonts w:cs="Calibri"/>
        </w:rPr>
        <w:t xml:space="preserve">high school–age </w:t>
      </w:r>
      <w:r w:rsidRPr="00B139CA">
        <w:rPr>
          <w:rFonts w:eastAsia="Times New Roman" w:cstheme="minorHAnsi"/>
        </w:rPr>
        <w:t>youth.</w:t>
      </w:r>
    </w:p>
    <w:p w:rsidRPr="00B139CA" w:rsidR="00BB2925" w:rsidP="0072072F" w:rsidRDefault="00BB2925" w14:paraId="39A69560" w14:textId="77777777">
      <w:pPr>
        <w:autoSpaceDE w:val="0"/>
        <w:autoSpaceDN w:val="0"/>
        <w:adjustRightInd w:val="0"/>
        <w:spacing w:after="0" w:line="240" w:lineRule="atLeast"/>
        <w:rPr>
          <w:rFonts w:eastAsia="Times New Roman" w:cstheme="minorHAnsi"/>
          <w:color w:val="000000"/>
        </w:rPr>
      </w:pPr>
    </w:p>
    <w:p w:rsidRPr="00B139CA" w:rsidR="00E41EE9" w:rsidP="00F85D35" w:rsidRDefault="0072072F" w14:paraId="210DC9F0" w14:textId="41961C50">
      <w:pPr>
        <w:autoSpaceDE w:val="0"/>
        <w:autoSpaceDN w:val="0"/>
        <w:adjustRightInd w:val="0"/>
        <w:spacing w:after="60" w:line="240" w:lineRule="atLeast"/>
        <w:rPr>
          <w:rFonts w:eastAsia="Times New Roman" w:cstheme="minorHAnsi"/>
          <w:i/>
          <w:color w:val="000000"/>
        </w:rPr>
      </w:pPr>
      <w:r w:rsidRPr="00B139CA">
        <w:rPr>
          <w:rFonts w:eastAsia="Times New Roman" w:cstheme="minorHAnsi"/>
          <w:i/>
          <w:color w:val="000000"/>
        </w:rPr>
        <w:t xml:space="preserve">Appropriateness of Study Design and Methods for Planned Uses </w:t>
      </w:r>
    </w:p>
    <w:p w:rsidRPr="00B139CA" w:rsidR="0042464A" w:rsidP="00075CC0" w:rsidRDefault="0042464A" w14:paraId="3507AA0B" w14:textId="4A5F6C7F">
      <w:pPr>
        <w:pStyle w:val="Paragraph"/>
        <w:rPr>
          <w:rFonts w:eastAsiaTheme="minorHAnsi" w:cstheme="minorBidi"/>
          <w:sz w:val="22"/>
          <w:szCs w:val="22"/>
        </w:rPr>
      </w:pPr>
      <w:r w:rsidRPr="00B139CA">
        <w:rPr>
          <w:rFonts w:eastAsiaTheme="minorHAnsi" w:cstheme="minorBidi"/>
          <w:sz w:val="22"/>
          <w:szCs w:val="22"/>
        </w:rPr>
        <w:t xml:space="preserve">The data collected with the survey will be used to help identify </w:t>
      </w:r>
      <w:r w:rsidRPr="00B139CA" w:rsidR="00781C03">
        <w:rPr>
          <w:rFonts w:eastAsiaTheme="minorHAnsi" w:cstheme="minorBidi"/>
          <w:sz w:val="22"/>
          <w:szCs w:val="22"/>
        </w:rPr>
        <w:t xml:space="preserve">changes in parent-child relationships, youth sexual behaviors, and the receipt of sex education programming </w:t>
      </w:r>
      <w:r w:rsidRPr="00B139CA">
        <w:rPr>
          <w:rFonts w:eastAsiaTheme="minorHAnsi" w:cstheme="minorBidi"/>
          <w:sz w:val="22"/>
          <w:szCs w:val="22"/>
        </w:rPr>
        <w:t>to inform future ACF programming and research.</w:t>
      </w:r>
      <w:r w:rsidRPr="00B139CA" w:rsidR="00DF2A58">
        <w:rPr>
          <w:rFonts w:eastAsiaTheme="minorHAnsi" w:cstheme="minorBidi"/>
          <w:sz w:val="22"/>
          <w:szCs w:val="22"/>
        </w:rPr>
        <w:t xml:space="preserve"> </w:t>
      </w:r>
      <w:bookmarkStart w:name="_Hlk70616144" w:id="0"/>
      <w:r w:rsidRPr="00B139CA" w:rsidR="00865140">
        <w:rPr>
          <w:rFonts w:eastAsiaTheme="minorHAnsi" w:cstheme="minorBidi"/>
          <w:sz w:val="22"/>
          <w:szCs w:val="22"/>
        </w:rPr>
        <w:t xml:space="preserve">As the data collected will be analyzed in the aggregate, Ipsos’s KnowledgePanel® (see Study Design section of A.2) </w:t>
      </w:r>
      <w:bookmarkEnd w:id="0"/>
      <w:r w:rsidRPr="00B139CA" w:rsidR="00865140">
        <w:rPr>
          <w:rFonts w:eastAsiaTheme="minorHAnsi" w:cstheme="minorBidi"/>
          <w:sz w:val="22"/>
          <w:szCs w:val="22"/>
        </w:rPr>
        <w:t>is a convenient way to collect descriptive data from youth across the country</w:t>
      </w:r>
      <w:r w:rsidRPr="00B139CA" w:rsidR="002958B8">
        <w:rPr>
          <w:rFonts w:eastAsiaTheme="minorHAnsi" w:cstheme="minorBidi"/>
          <w:sz w:val="22"/>
          <w:szCs w:val="22"/>
        </w:rPr>
        <w:t>.</w:t>
      </w:r>
      <w:r w:rsidRPr="00B139CA">
        <w:rPr>
          <w:rFonts w:eastAsiaTheme="minorHAnsi" w:cstheme="minorBidi"/>
          <w:sz w:val="22"/>
          <w:szCs w:val="22"/>
        </w:rPr>
        <w:t xml:space="preserve"> </w:t>
      </w:r>
      <w:r w:rsidRPr="00B139CA" w:rsidR="00481CD5">
        <w:rPr>
          <w:rFonts w:eastAsiaTheme="minorHAnsi" w:cstheme="minorBidi"/>
          <w:sz w:val="22"/>
          <w:szCs w:val="22"/>
        </w:rPr>
        <w:t>Key limitations</w:t>
      </w:r>
      <w:r w:rsidRPr="00B139CA" w:rsidR="00320ECA">
        <w:rPr>
          <w:rFonts w:eastAsiaTheme="minorHAnsi" w:cstheme="minorBidi"/>
          <w:sz w:val="22"/>
          <w:szCs w:val="22"/>
        </w:rPr>
        <w:t>, described in A2,</w:t>
      </w:r>
      <w:r w:rsidRPr="00B139CA" w:rsidR="00481CD5">
        <w:rPr>
          <w:rFonts w:eastAsiaTheme="minorHAnsi" w:cstheme="minorBidi"/>
          <w:sz w:val="22"/>
          <w:szCs w:val="22"/>
        </w:rPr>
        <w:t xml:space="preserve"> will be included in written products associated with the study.</w:t>
      </w:r>
    </w:p>
    <w:p w:rsidRPr="00B139CA" w:rsidR="005C7E12" w:rsidP="00075CC0" w:rsidRDefault="005C7E12" w14:paraId="611E1659" w14:textId="77777777">
      <w:pPr>
        <w:spacing w:after="0" w:line="264" w:lineRule="auto"/>
      </w:pPr>
      <w:r w:rsidRPr="00B139CA">
        <w:t xml:space="preserve">As noted in Supporting Statement A, this information is not intended to be used as the principal basis for public policy decisions and is not expected to meet the threshold of influential or highly influential scientific information.   </w:t>
      </w:r>
    </w:p>
    <w:p w:rsidRPr="00B139CA" w:rsidR="00BB2925" w:rsidP="008369BA" w:rsidRDefault="00BB2925" w14:paraId="0C4F0DEF" w14:textId="77777777">
      <w:pPr>
        <w:pStyle w:val="ListParagraph"/>
        <w:spacing w:after="0" w:line="240" w:lineRule="auto"/>
        <w:ind w:left="0"/>
      </w:pPr>
    </w:p>
    <w:p w:rsidRPr="00B139CA" w:rsidR="005F2951" w:rsidP="00F85D35" w:rsidRDefault="00EE38AF" w14:paraId="2E3CD75A" w14:textId="14B2DD89">
      <w:pPr>
        <w:pStyle w:val="ListParagraph"/>
        <w:spacing w:after="120"/>
        <w:ind w:left="0"/>
        <w:rPr>
          <w:rFonts w:eastAsia="Times New Roman" w:cstheme="minorHAnsi"/>
          <w:color w:val="000000"/>
        </w:rPr>
      </w:pPr>
      <w:r w:rsidRPr="00B139CA">
        <w:rPr>
          <w:b/>
        </w:rPr>
        <w:t>B2.</w:t>
      </w:r>
      <w:r w:rsidRPr="00B139CA">
        <w:rPr>
          <w:b/>
        </w:rPr>
        <w:tab/>
      </w:r>
      <w:r w:rsidRPr="00B139CA" w:rsidR="007C2EE0">
        <w:rPr>
          <w:rFonts w:eastAsia="Times New Roman" w:cstheme="minorHAnsi"/>
          <w:b/>
          <w:bCs/>
          <w:color w:val="000000"/>
        </w:rPr>
        <w:t>Methods and Design</w:t>
      </w:r>
    </w:p>
    <w:p w:rsidRPr="00B139CA" w:rsidR="005F2951" w:rsidP="0000790C" w:rsidRDefault="0072072F" w14:paraId="542973ED" w14:textId="3B14CB06">
      <w:pPr>
        <w:spacing w:after="60"/>
        <w:rPr>
          <w:i/>
          <w:iCs/>
        </w:rPr>
      </w:pPr>
      <w:r w:rsidRPr="00B139CA">
        <w:rPr>
          <w:i/>
          <w:iCs/>
        </w:rPr>
        <w:t>Target Population</w:t>
      </w:r>
    </w:p>
    <w:p w:rsidRPr="00B139CA" w:rsidR="00360839" w:rsidP="00075CC0" w:rsidRDefault="00360839" w14:paraId="5836EAC5" w14:textId="5A3560FC">
      <w:pPr>
        <w:spacing w:after="0" w:line="264" w:lineRule="auto"/>
        <w:rPr>
          <w:rFonts w:eastAsia="Times New Roman" w:cstheme="minorHAnsi"/>
        </w:rPr>
      </w:pPr>
      <w:r w:rsidRPr="00B139CA">
        <w:rPr>
          <w:rFonts w:eastAsia="Times New Roman" w:cstheme="minorHAnsi"/>
        </w:rPr>
        <w:lastRenderedPageBreak/>
        <w:t xml:space="preserve">The survey will be administered via </w:t>
      </w:r>
      <w:r w:rsidRPr="00B139CA" w:rsidR="00115B1C">
        <w:rPr>
          <w:rFonts w:eastAsia="Times New Roman" w:cstheme="minorHAnsi"/>
        </w:rPr>
        <w:t>the internet</w:t>
      </w:r>
      <w:r w:rsidRPr="00B139CA">
        <w:rPr>
          <w:rFonts w:eastAsia="Times New Roman" w:cstheme="minorHAnsi"/>
        </w:rPr>
        <w:t xml:space="preserve"> to a non-probability sample of English and Spanish speaking </w:t>
      </w:r>
      <w:r w:rsidRPr="00B139CA" w:rsidR="009F54F6">
        <w:rPr>
          <w:rFonts w:cs="Calibri"/>
        </w:rPr>
        <w:t xml:space="preserve">high school–age </w:t>
      </w:r>
      <w:r w:rsidRPr="00B139CA">
        <w:rPr>
          <w:rFonts w:eastAsia="Times New Roman" w:cstheme="minorHAnsi"/>
        </w:rPr>
        <w:t>students in the United States who are 14-1</w:t>
      </w:r>
      <w:r w:rsidRPr="00B139CA" w:rsidR="00781C03">
        <w:rPr>
          <w:rFonts w:eastAsia="Times New Roman" w:cstheme="minorHAnsi"/>
        </w:rPr>
        <w:t>9</w:t>
      </w:r>
      <w:r w:rsidRPr="00B139CA">
        <w:rPr>
          <w:rFonts w:eastAsia="Times New Roman" w:cstheme="minorHAnsi"/>
        </w:rPr>
        <w:t xml:space="preserve"> years</w:t>
      </w:r>
      <w:r w:rsidRPr="00B139CA" w:rsidR="00E04A15">
        <w:rPr>
          <w:rFonts w:eastAsia="Times New Roman" w:cstheme="minorHAnsi"/>
        </w:rPr>
        <w:t xml:space="preserve"> old</w:t>
      </w:r>
      <w:r w:rsidRPr="00B139CA">
        <w:rPr>
          <w:rFonts w:eastAsia="Times New Roman" w:cstheme="minorHAnsi"/>
        </w:rPr>
        <w:t xml:space="preserve"> and have parental consent</w:t>
      </w:r>
      <w:r w:rsidRPr="00B139CA" w:rsidR="00781C03">
        <w:rPr>
          <w:rFonts w:eastAsia="Times New Roman" w:cstheme="minorHAnsi"/>
        </w:rPr>
        <w:t>, if under 18,</w:t>
      </w:r>
      <w:r w:rsidRPr="00B139CA">
        <w:rPr>
          <w:rFonts w:eastAsia="Times New Roman" w:cstheme="minorHAnsi"/>
        </w:rPr>
        <w:t xml:space="preserve"> to participate. </w:t>
      </w:r>
      <w:r w:rsidRPr="00B139CA" w:rsidR="00E44A35">
        <w:rPr>
          <w:rFonts w:eastAsia="Times New Roman" w:cstheme="minorHAnsi"/>
        </w:rPr>
        <w:t>Youth participants will be recruited through their parents, who are participants of the KnowledgePanel</w:t>
      </w:r>
      <w:r w:rsidRPr="00B139CA" w:rsidR="00AB450D">
        <w:t>®</w:t>
      </w:r>
      <w:r w:rsidRPr="00B139CA" w:rsidR="00E44A35">
        <w:rPr>
          <w:rFonts w:eastAsia="Times New Roman" w:cstheme="minorHAnsi"/>
        </w:rPr>
        <w:t>.</w:t>
      </w:r>
      <w:r w:rsidRPr="00B139CA" w:rsidR="004C6C46">
        <w:rPr>
          <w:rFonts w:eastAsia="Times New Roman" w:cstheme="minorHAnsi"/>
        </w:rPr>
        <w:t xml:space="preserve"> All eligible youth will be recruited to participate in the study. </w:t>
      </w:r>
      <w:r w:rsidRPr="00B139CA">
        <w:rPr>
          <w:rFonts w:eastAsia="Times New Roman" w:cstheme="minorHAnsi"/>
        </w:rPr>
        <w:t>The online panel</w:t>
      </w:r>
      <w:r w:rsidRPr="00B139CA" w:rsidR="00115B1C">
        <w:rPr>
          <w:rFonts w:eastAsia="Times New Roman" w:cstheme="minorHAnsi"/>
        </w:rPr>
        <w:t xml:space="preserve"> </w:t>
      </w:r>
      <w:r w:rsidRPr="00B139CA" w:rsidR="009D67D2">
        <w:rPr>
          <w:rFonts w:eastAsia="Times New Roman" w:cstheme="minorHAnsi"/>
        </w:rPr>
        <w:t>is</w:t>
      </w:r>
      <w:r w:rsidRPr="00B139CA">
        <w:rPr>
          <w:rFonts w:eastAsia="Times New Roman" w:cstheme="minorHAnsi"/>
        </w:rPr>
        <w:t xml:space="preserve"> maintained by Ipsos. Because this is a non-probability sample, the survey data will not be used to generate generalizable statistics for </w:t>
      </w:r>
      <w:r w:rsidRPr="00B139CA" w:rsidR="009F54F6">
        <w:rPr>
          <w:rFonts w:cs="Calibri"/>
        </w:rPr>
        <w:t xml:space="preserve">high school–age </w:t>
      </w:r>
      <w:r w:rsidRPr="00B139CA">
        <w:rPr>
          <w:rFonts w:eastAsia="Times New Roman" w:cstheme="minorHAnsi"/>
        </w:rPr>
        <w:t xml:space="preserve">youth. </w:t>
      </w:r>
    </w:p>
    <w:p w:rsidRPr="00B139CA" w:rsidR="00BB2925" w:rsidP="00075CC0" w:rsidRDefault="00BB2925" w14:paraId="1E51CBD6" w14:textId="77777777">
      <w:pPr>
        <w:autoSpaceDE w:val="0"/>
        <w:autoSpaceDN w:val="0"/>
        <w:adjustRightInd w:val="0"/>
        <w:spacing w:after="0" w:line="264" w:lineRule="auto"/>
        <w:contextualSpacing/>
        <w:rPr>
          <w:rFonts w:eastAsia="Times New Roman" w:cstheme="minorHAnsi"/>
          <w:color w:val="000000"/>
        </w:rPr>
      </w:pPr>
    </w:p>
    <w:p w:rsidRPr="00B139CA" w:rsidR="005F2951" w:rsidP="0000790C" w:rsidRDefault="000D7942" w14:paraId="1C642C78" w14:textId="7EA88071">
      <w:pPr>
        <w:spacing w:after="60"/>
        <w:rPr>
          <w:i/>
          <w:iCs/>
        </w:rPr>
      </w:pPr>
      <w:r w:rsidRPr="00B139CA">
        <w:rPr>
          <w:i/>
          <w:iCs/>
        </w:rPr>
        <w:t>Sampling</w:t>
      </w:r>
      <w:r w:rsidRPr="00B139CA" w:rsidR="00566122">
        <w:rPr>
          <w:i/>
          <w:iCs/>
        </w:rPr>
        <w:t xml:space="preserve"> (Respondent Recruitment)</w:t>
      </w:r>
    </w:p>
    <w:p w:rsidRPr="00B139CA" w:rsidR="00487654" w:rsidP="00075CC0" w:rsidRDefault="00EA60C4" w14:paraId="6A3764F2" w14:textId="2E0E8CB4">
      <w:pPr>
        <w:autoSpaceDE w:val="0"/>
        <w:autoSpaceDN w:val="0"/>
        <w:adjustRightInd w:val="0"/>
        <w:spacing w:after="0" w:line="264" w:lineRule="auto"/>
        <w:rPr>
          <w:rFonts w:eastAsia="Times New Roman" w:cstheme="minorHAnsi"/>
          <w:color w:val="000000"/>
        </w:rPr>
      </w:pPr>
      <w:r w:rsidRPr="00B139CA">
        <w:rPr>
          <w:rFonts w:cstheme="minorHAnsi"/>
          <w:iCs/>
        </w:rPr>
        <w:t xml:space="preserve">Ipsos uses an Address-Based Sampling (ABS) methodology to recruit new members into </w:t>
      </w:r>
      <w:r w:rsidRPr="00B139CA" w:rsidR="00F820A5">
        <w:rPr>
          <w:rFonts w:cstheme="minorHAnsi"/>
          <w:iCs/>
        </w:rPr>
        <w:t xml:space="preserve">the </w:t>
      </w:r>
      <w:r w:rsidRPr="00B139CA">
        <w:rPr>
          <w:rFonts w:cstheme="minorHAnsi"/>
          <w:iCs/>
        </w:rPr>
        <w:t>KnowledgePanel</w:t>
      </w:r>
      <w:r w:rsidRPr="00B139CA" w:rsidR="00AB450D">
        <w:t>®</w:t>
      </w:r>
      <w:r w:rsidRPr="00B139CA">
        <w:rPr>
          <w:rFonts w:cstheme="minorHAnsi"/>
          <w:iCs/>
        </w:rPr>
        <w:t xml:space="preserve">. </w:t>
      </w:r>
      <w:r w:rsidRPr="00B139CA" w:rsidR="00C97282">
        <w:rPr>
          <w:rFonts w:cstheme="minorHAnsi"/>
          <w:iCs/>
        </w:rPr>
        <w:t xml:space="preserve">For this study, </w:t>
      </w:r>
      <w:r w:rsidRPr="00B139CA" w:rsidR="00175209">
        <w:rPr>
          <w:rFonts w:cstheme="minorHAnsi"/>
          <w:iCs/>
        </w:rPr>
        <w:t xml:space="preserve">we will be drawing on members of the panel who have </w:t>
      </w:r>
      <w:r w:rsidRPr="00B139CA" w:rsidR="009F54F6">
        <w:rPr>
          <w:rFonts w:cs="Calibri"/>
        </w:rPr>
        <w:t xml:space="preserve">high school–age </w:t>
      </w:r>
      <w:r w:rsidRPr="00B139CA" w:rsidR="00175209">
        <w:rPr>
          <w:rFonts w:cstheme="minorHAnsi"/>
          <w:iCs/>
        </w:rPr>
        <w:t>children for respondent recruitment</w:t>
      </w:r>
      <w:r w:rsidRPr="00B139CA" w:rsidR="00E87123">
        <w:rPr>
          <w:rFonts w:cstheme="minorHAnsi"/>
          <w:iCs/>
        </w:rPr>
        <w:t>.</w:t>
      </w:r>
      <w:r w:rsidRPr="00B139CA" w:rsidR="00175209">
        <w:rPr>
          <w:rFonts w:cstheme="minorHAnsi"/>
          <w:iCs/>
        </w:rPr>
        <w:t xml:space="preserve"> A geographically diverse sample of parents</w:t>
      </w:r>
      <w:r w:rsidRPr="00B139CA" w:rsidR="00E04A15">
        <w:rPr>
          <w:rFonts w:cstheme="minorHAnsi"/>
          <w:iCs/>
        </w:rPr>
        <w:t xml:space="preserve"> of 14-19 year old high-school students</w:t>
      </w:r>
      <w:r w:rsidRPr="00B139CA" w:rsidR="00175209">
        <w:rPr>
          <w:rFonts w:cstheme="minorHAnsi"/>
          <w:iCs/>
        </w:rPr>
        <w:t xml:space="preserve"> will be sent consent forms</w:t>
      </w:r>
      <w:r w:rsidRPr="00B139CA" w:rsidR="005E03C8">
        <w:rPr>
          <w:rFonts w:cstheme="minorHAnsi"/>
          <w:iCs/>
        </w:rPr>
        <w:t xml:space="preserve"> (Appendix A: Parent Consent Form)</w:t>
      </w:r>
      <w:r w:rsidRPr="00B139CA" w:rsidR="00175209">
        <w:rPr>
          <w:rFonts w:cstheme="minorHAnsi"/>
          <w:iCs/>
        </w:rPr>
        <w:t xml:space="preserve"> for their child to participate in the survey. While panel members are recruited through </w:t>
      </w:r>
      <w:r w:rsidRPr="00B139CA" w:rsidR="00566122">
        <w:rPr>
          <w:rFonts w:cstheme="minorHAnsi"/>
          <w:iCs/>
        </w:rPr>
        <w:t xml:space="preserve">ABS methodology, </w:t>
      </w:r>
      <w:r w:rsidRPr="00B139CA" w:rsidR="00115B1C">
        <w:rPr>
          <w:rFonts w:cstheme="minorHAnsi"/>
          <w:iCs/>
        </w:rPr>
        <w:t xml:space="preserve">youth </w:t>
      </w:r>
      <w:r w:rsidRPr="00B139CA" w:rsidR="00566122">
        <w:rPr>
          <w:rFonts w:cstheme="minorHAnsi"/>
          <w:iCs/>
        </w:rPr>
        <w:t xml:space="preserve">participants for this study will be recruited through a convenience sample of </w:t>
      </w:r>
      <w:r w:rsidRPr="00B139CA" w:rsidR="00973A21">
        <w:rPr>
          <w:rFonts w:cstheme="minorHAnsi"/>
          <w:iCs/>
        </w:rPr>
        <w:t>panel members</w:t>
      </w:r>
      <w:r w:rsidRPr="00B139CA" w:rsidR="00566122">
        <w:rPr>
          <w:rFonts w:cstheme="minorHAnsi"/>
          <w:iCs/>
        </w:rPr>
        <w:t xml:space="preserve"> who provide consent for their child to participate. </w:t>
      </w:r>
      <w:r w:rsidR="00B651E4">
        <w:rPr>
          <w:rFonts w:eastAsia="Times New Roman" w:cstheme="minorHAnsi"/>
          <w:color w:val="000000"/>
        </w:rPr>
        <w:t>S</w:t>
      </w:r>
      <w:r w:rsidRPr="00B139CA" w:rsidR="00D44452">
        <w:rPr>
          <w:rFonts w:eastAsia="Times New Roman" w:cstheme="minorHAnsi"/>
          <w:color w:val="000000"/>
        </w:rPr>
        <w:t xml:space="preserve">ince several items were </w:t>
      </w:r>
      <w:r w:rsidRPr="00B139CA" w:rsidR="00F820A5">
        <w:rPr>
          <w:rFonts w:eastAsia="Times New Roman" w:cstheme="minorHAnsi"/>
          <w:color w:val="000000"/>
        </w:rPr>
        <w:t>new or</w:t>
      </w:r>
      <w:r w:rsidRPr="00B139CA" w:rsidR="00D44452">
        <w:rPr>
          <w:rFonts w:eastAsia="Times New Roman" w:cstheme="minorHAnsi"/>
          <w:color w:val="000000"/>
        </w:rPr>
        <w:t xml:space="preserve"> adapted for this </w:t>
      </w:r>
      <w:r w:rsidRPr="00B139CA" w:rsidR="007F2413">
        <w:rPr>
          <w:rFonts w:eastAsia="Times New Roman" w:cstheme="minorHAnsi"/>
          <w:color w:val="000000"/>
        </w:rPr>
        <w:t>study,</w:t>
      </w:r>
      <w:r w:rsidRPr="00B139CA" w:rsidR="00D44452">
        <w:rPr>
          <w:rFonts w:eastAsia="Times New Roman" w:cstheme="minorHAnsi"/>
          <w:color w:val="000000"/>
        </w:rPr>
        <w:t xml:space="preserve"> we pilot tested the full instrument with </w:t>
      </w:r>
      <w:r w:rsidRPr="00B139CA" w:rsidR="00F820A5">
        <w:rPr>
          <w:rFonts w:eastAsia="Times New Roman" w:cstheme="minorHAnsi"/>
          <w:color w:val="000000"/>
        </w:rPr>
        <w:t>nine</w:t>
      </w:r>
      <w:r w:rsidRPr="00B139CA" w:rsidR="00D44452">
        <w:rPr>
          <w:rFonts w:eastAsia="Times New Roman" w:cstheme="minorHAnsi"/>
          <w:color w:val="000000"/>
        </w:rPr>
        <w:t xml:space="preserve"> youth to </w:t>
      </w:r>
      <w:r w:rsidRPr="00B139CA" w:rsidR="00641097">
        <w:rPr>
          <w:rFonts w:eastAsia="Times New Roman" w:cstheme="minorHAnsi"/>
          <w:color w:val="000000"/>
        </w:rPr>
        <w:t>gain a clear</w:t>
      </w:r>
      <w:r w:rsidRPr="00B139CA" w:rsidR="00641097">
        <w:rPr>
          <w:rFonts w:cstheme="minorHAnsi"/>
        </w:rPr>
        <w:t xml:space="preserve"> understanding of participants’ comprehension, recall, judgment, and response strategies for items and confirm the </w:t>
      </w:r>
      <w:r w:rsidRPr="00B139CA" w:rsidR="00185863">
        <w:rPr>
          <w:rFonts w:cstheme="minorHAnsi"/>
        </w:rPr>
        <w:t>time needed for youth</w:t>
      </w:r>
      <w:r w:rsidRPr="00B139CA" w:rsidR="00641097">
        <w:rPr>
          <w:rFonts w:cstheme="minorHAnsi"/>
        </w:rPr>
        <w:t xml:space="preserve"> to complete the survey.</w:t>
      </w:r>
    </w:p>
    <w:p w:rsidRPr="00B139CA" w:rsidR="00F85D35" w:rsidP="00901040" w:rsidRDefault="00F85D35" w14:paraId="0AB97A4E"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Pr="00B139CA" w:rsidR="00EB6134" w:rsidP="00F85D35" w:rsidRDefault="00901040" w14:paraId="6079F68E" w14:textId="4D7E392A">
      <w:pPr>
        <w:autoSpaceDE w:val="0"/>
        <w:autoSpaceDN w:val="0"/>
        <w:adjustRightInd w:val="0"/>
        <w:spacing w:after="120" w:line="240" w:lineRule="atLeast"/>
        <w:rPr>
          <w:rFonts w:eastAsia="Times New Roman" w:cstheme="minorHAnsi"/>
          <w:color w:val="000000"/>
        </w:rPr>
      </w:pPr>
      <w:r w:rsidRPr="00B139CA">
        <w:rPr>
          <w:rFonts w:eastAsia="Times New Roman" w:cstheme="minorHAnsi"/>
          <w:b/>
          <w:bCs/>
          <w:color w:val="000000"/>
        </w:rPr>
        <w:t xml:space="preserve">B4. </w:t>
      </w:r>
      <w:r w:rsidRPr="00B139CA" w:rsidR="00DF1291">
        <w:rPr>
          <w:rFonts w:eastAsia="Times New Roman" w:cstheme="minorHAnsi"/>
          <w:b/>
          <w:bCs/>
          <w:color w:val="000000"/>
        </w:rPr>
        <w:tab/>
      </w:r>
      <w:r w:rsidRPr="00B139CA">
        <w:rPr>
          <w:rFonts w:eastAsia="Times New Roman" w:cstheme="minorHAnsi"/>
          <w:b/>
          <w:bCs/>
          <w:color w:val="000000"/>
        </w:rPr>
        <w:t>Collection of Data</w:t>
      </w:r>
      <w:r w:rsidRPr="00B139CA" w:rsidR="00EB6134">
        <w:rPr>
          <w:rFonts w:eastAsia="Times New Roman" w:cstheme="minorHAnsi"/>
          <w:b/>
          <w:bCs/>
          <w:color w:val="000000"/>
        </w:rPr>
        <w:t xml:space="preserve"> and Quality Control</w:t>
      </w:r>
    </w:p>
    <w:p w:rsidRPr="00B139CA" w:rsidR="00AD7739" w:rsidP="00075CC0" w:rsidRDefault="00F320D0" w14:paraId="1FF897D3" w14:textId="5667E6D8">
      <w:pPr>
        <w:autoSpaceDE w:val="0"/>
        <w:autoSpaceDN w:val="0"/>
        <w:adjustRightInd w:val="0"/>
        <w:spacing w:after="0" w:line="264" w:lineRule="auto"/>
        <w:rPr>
          <w:rFonts w:cstheme="minorHAnsi"/>
        </w:rPr>
      </w:pPr>
      <w:r w:rsidRPr="00B139CA">
        <w:rPr>
          <w:rFonts w:eastAsia="Calibri" w:cstheme="minorHAnsi"/>
        </w:rPr>
        <w:t xml:space="preserve">ACF is contracting with Mathematica for this data collection. The researchers at Mathematica have extensive experience </w:t>
      </w:r>
      <w:r w:rsidRPr="00B139CA" w:rsidR="00AD7739">
        <w:rPr>
          <w:rFonts w:eastAsia="Calibri" w:cstheme="minorHAnsi"/>
        </w:rPr>
        <w:t>conducting survey data collections</w:t>
      </w:r>
      <w:r w:rsidRPr="00B139CA">
        <w:rPr>
          <w:rFonts w:eastAsia="Calibri" w:cstheme="minorHAnsi"/>
        </w:rPr>
        <w:t xml:space="preserve"> for prior studies sponsored by the U.S. Department of Health and Human Services and other federal agencies</w:t>
      </w:r>
      <w:r w:rsidRPr="00B139CA" w:rsidR="00AD7739">
        <w:rPr>
          <w:rFonts w:eastAsia="Calibri" w:cstheme="minorHAnsi"/>
        </w:rPr>
        <w:t xml:space="preserve">. Data will be collected using one survey instrument, the </w:t>
      </w:r>
      <w:r w:rsidRPr="00B139CA" w:rsidR="00AD7739">
        <w:rPr>
          <w:rFonts w:cstheme="minorHAnsi"/>
        </w:rPr>
        <w:t>Youth Survey of Relationships</w:t>
      </w:r>
      <w:r w:rsidRPr="00B139CA" w:rsidR="00A35181">
        <w:rPr>
          <w:rFonts w:cstheme="minorHAnsi"/>
        </w:rPr>
        <w:t xml:space="preserve">, Education, and Behavior </w:t>
      </w:r>
      <w:r w:rsidRPr="00B139CA" w:rsidR="00AD7739">
        <w:rPr>
          <w:rFonts w:cstheme="minorHAnsi"/>
        </w:rPr>
        <w:t xml:space="preserve">(Instrument 1), a </w:t>
      </w:r>
      <w:r w:rsidR="00075CC0">
        <w:rPr>
          <w:rFonts w:cstheme="minorHAnsi"/>
        </w:rPr>
        <w:t>2</w:t>
      </w:r>
      <w:r w:rsidRPr="00B139CA" w:rsidR="00AD7739">
        <w:rPr>
          <w:rFonts w:cstheme="minorHAnsi"/>
        </w:rPr>
        <w:t>5-minute web-based survey of youth ages 14-1</w:t>
      </w:r>
      <w:r w:rsidRPr="00B139CA" w:rsidR="00781C03">
        <w:rPr>
          <w:rFonts w:cstheme="minorHAnsi"/>
        </w:rPr>
        <w:t>9</w:t>
      </w:r>
      <w:r w:rsidRPr="00B139CA" w:rsidR="00AD7739">
        <w:rPr>
          <w:rFonts w:cstheme="minorHAnsi"/>
        </w:rPr>
        <w:t xml:space="preserve"> and currently in high school.</w:t>
      </w:r>
      <w:r w:rsidRPr="00B139CA" w:rsidR="00CC5303">
        <w:rPr>
          <w:rFonts w:cstheme="minorHAnsi"/>
        </w:rPr>
        <w:t xml:space="preserve"> As discussed in SSA and section B2, Mathematica will use the Ipsos </w:t>
      </w:r>
      <w:r w:rsidRPr="00B139CA" w:rsidR="00CC5303">
        <w:rPr>
          <w:rFonts w:eastAsia="Times New Roman" w:cstheme="minorHAnsi"/>
        </w:rPr>
        <w:t>KnowledgePanel® for data collection. Ipsos will begin by obtaining parental consent, by sending an online consent form</w:t>
      </w:r>
      <w:r w:rsidRPr="00B139CA" w:rsidR="005E03C8">
        <w:rPr>
          <w:rFonts w:eastAsia="Times New Roman" w:cstheme="minorHAnsi"/>
        </w:rPr>
        <w:t xml:space="preserve"> (Appendix A: Parent Consent Form)</w:t>
      </w:r>
      <w:r w:rsidRPr="00B139CA" w:rsidR="00CC5303">
        <w:rPr>
          <w:rFonts w:eastAsia="Times New Roman" w:cstheme="minorHAnsi"/>
        </w:rPr>
        <w:t xml:space="preserve"> to parents with youth meeting the target population. Once consent is obtained, Ipsos will send a </w:t>
      </w:r>
      <w:r w:rsidRPr="00B139CA" w:rsidR="005E03C8">
        <w:rPr>
          <w:rFonts w:eastAsia="Times New Roman" w:cstheme="minorHAnsi"/>
        </w:rPr>
        <w:t xml:space="preserve">survey invitation email containing a </w:t>
      </w:r>
      <w:r w:rsidRPr="00B139CA" w:rsidR="00CC5303">
        <w:rPr>
          <w:rFonts w:eastAsia="Times New Roman" w:cstheme="minorHAnsi"/>
        </w:rPr>
        <w:t>link to the web-based survey</w:t>
      </w:r>
      <w:r w:rsidRPr="00B139CA" w:rsidR="005E03C8">
        <w:rPr>
          <w:rFonts w:eastAsia="Times New Roman" w:cstheme="minorHAnsi"/>
        </w:rPr>
        <w:t xml:space="preserve"> (Instrument 1: Youth Survey of Relationship</w:t>
      </w:r>
      <w:r w:rsidRPr="00B139CA" w:rsidR="00A35181">
        <w:rPr>
          <w:rFonts w:eastAsia="Times New Roman" w:cstheme="minorHAnsi"/>
        </w:rPr>
        <w:t>s, Education, and Behavior</w:t>
      </w:r>
      <w:r w:rsidRPr="00B139CA" w:rsidR="005E03C8">
        <w:rPr>
          <w:rFonts w:eastAsia="Times New Roman" w:cstheme="minorHAnsi"/>
        </w:rPr>
        <w:t>)</w:t>
      </w:r>
      <w:r w:rsidRPr="00B139CA" w:rsidR="00CC5303">
        <w:rPr>
          <w:rFonts w:eastAsia="Times New Roman" w:cstheme="minorHAnsi"/>
        </w:rPr>
        <w:t xml:space="preserve"> to</w:t>
      </w:r>
      <w:r w:rsidRPr="00B139CA" w:rsidR="005E03C8">
        <w:rPr>
          <w:rFonts w:eastAsia="Times New Roman" w:cstheme="minorHAnsi"/>
        </w:rPr>
        <w:t xml:space="preserve"> youth whose parent or guardian has provide</w:t>
      </w:r>
      <w:r w:rsidRPr="00B139CA" w:rsidR="007303AE">
        <w:rPr>
          <w:rFonts w:eastAsia="Times New Roman" w:cstheme="minorHAnsi"/>
        </w:rPr>
        <w:t>d</w:t>
      </w:r>
      <w:r w:rsidRPr="00B139CA" w:rsidR="005E03C8">
        <w:rPr>
          <w:rFonts w:eastAsia="Times New Roman" w:cstheme="minorHAnsi"/>
        </w:rPr>
        <w:t xml:space="preserve"> consent. Youth will provide their assent to participate in the survey (Appendix B: Youth Assent)</w:t>
      </w:r>
      <w:r w:rsidRPr="00B139CA" w:rsidR="005D0DFA">
        <w:rPr>
          <w:rFonts w:eastAsia="Times New Roman" w:cstheme="minorHAnsi"/>
        </w:rPr>
        <w:t xml:space="preserve"> by responding to a survey question. The remaining survey questions will only be shown to those providing assent. Ipsos will send follow-up </w:t>
      </w:r>
      <w:r w:rsidRPr="00B139CA" w:rsidR="00A44260">
        <w:rPr>
          <w:rFonts w:eastAsia="Times New Roman" w:cstheme="minorHAnsi"/>
        </w:rPr>
        <w:t xml:space="preserve">reminder </w:t>
      </w:r>
      <w:r w:rsidRPr="00B139CA" w:rsidR="005D0DFA">
        <w:rPr>
          <w:rFonts w:eastAsia="Times New Roman" w:cstheme="minorHAnsi"/>
        </w:rPr>
        <w:t>emails</w:t>
      </w:r>
      <w:r w:rsidRPr="00B139CA" w:rsidR="00733671">
        <w:rPr>
          <w:rFonts w:eastAsia="Times New Roman" w:cstheme="minorHAnsi"/>
        </w:rPr>
        <w:t xml:space="preserve"> to the youth</w:t>
      </w:r>
      <w:r w:rsidRPr="00B139CA" w:rsidR="005D0DFA">
        <w:rPr>
          <w:rFonts w:eastAsia="Times New Roman" w:cstheme="minorHAnsi"/>
        </w:rPr>
        <w:t xml:space="preserve"> during the </w:t>
      </w:r>
      <w:r w:rsidRPr="00B139CA" w:rsidR="00A44260">
        <w:rPr>
          <w:rFonts w:eastAsia="Times New Roman" w:cstheme="minorHAnsi"/>
        </w:rPr>
        <w:t>three-week</w:t>
      </w:r>
      <w:r w:rsidRPr="00B139CA" w:rsidR="005D0DFA">
        <w:rPr>
          <w:rFonts w:eastAsia="Times New Roman" w:cstheme="minorHAnsi"/>
        </w:rPr>
        <w:t xml:space="preserve"> data collection period. </w:t>
      </w:r>
    </w:p>
    <w:p w:rsidRPr="00B139CA" w:rsidR="00BB2925" w:rsidP="00075CC0" w:rsidRDefault="00BB2925" w14:paraId="06CF4494" w14:textId="21BA6EC3">
      <w:pPr>
        <w:autoSpaceDE w:val="0"/>
        <w:autoSpaceDN w:val="0"/>
        <w:adjustRightInd w:val="0"/>
        <w:spacing w:after="0" w:line="264" w:lineRule="auto"/>
        <w:rPr>
          <w:rFonts w:eastAsia="Times New Roman" w:cstheme="minorHAnsi"/>
          <w:b/>
          <w:color w:val="000000"/>
        </w:rPr>
      </w:pPr>
    </w:p>
    <w:p w:rsidRPr="00B139CA" w:rsidR="00AD7739" w:rsidP="00075CC0" w:rsidRDefault="00F26162" w14:paraId="37FD12E7" w14:textId="50311239">
      <w:pPr>
        <w:autoSpaceDE w:val="0"/>
        <w:autoSpaceDN w:val="0"/>
        <w:adjustRightInd w:val="0"/>
        <w:spacing w:after="0" w:line="264" w:lineRule="auto"/>
        <w:rPr>
          <w:rFonts w:cstheme="minorHAnsi"/>
        </w:rPr>
      </w:pPr>
      <w:r w:rsidRPr="00B139CA">
        <w:rPr>
          <w:rFonts w:cstheme="minorHAnsi"/>
        </w:rPr>
        <w:t xml:space="preserve">To program the survey, Ipsos uses Qualtrics, a state-of-the-art survey software platform that the vendor uses to build and launch multimode surveys. Qualtrics offers several advantages for respondents, </w:t>
      </w:r>
      <w:r w:rsidRPr="00B139CA" w:rsidR="002958B8">
        <w:rPr>
          <w:rFonts w:cstheme="minorHAnsi"/>
        </w:rPr>
        <w:t>including enabling web respondents to participate on their own time and using their preferred electronic device (smartphone, tablet, laptop, or desktop computers). The software has built-in mobile formatting to ensure that the display adjusts for device screen size. If needed, respondents can pause and restart the survey, with their responses saved.</w:t>
      </w:r>
      <w:r w:rsidRPr="00B139CA" w:rsidR="00AD7739">
        <w:rPr>
          <w:rFonts w:cstheme="minorHAnsi"/>
        </w:rPr>
        <w:t xml:space="preserve"> </w:t>
      </w:r>
    </w:p>
    <w:p w:rsidRPr="00B139CA" w:rsidR="00AD7739" w:rsidP="00075CC0" w:rsidRDefault="00AD7739" w14:paraId="3DD36665" w14:textId="77777777">
      <w:pPr>
        <w:autoSpaceDE w:val="0"/>
        <w:autoSpaceDN w:val="0"/>
        <w:adjustRightInd w:val="0"/>
        <w:spacing w:after="0" w:line="264" w:lineRule="auto"/>
        <w:rPr>
          <w:rFonts w:cstheme="minorHAnsi"/>
        </w:rPr>
      </w:pPr>
    </w:p>
    <w:p w:rsidRPr="00B139CA" w:rsidR="00AD7739" w:rsidP="00075CC0" w:rsidRDefault="00AD7739" w14:paraId="76A49349" w14:textId="73024079">
      <w:pPr>
        <w:autoSpaceDE w:val="0"/>
        <w:autoSpaceDN w:val="0"/>
        <w:adjustRightInd w:val="0"/>
        <w:spacing w:after="0" w:line="264" w:lineRule="auto"/>
        <w:rPr>
          <w:rFonts w:cstheme="minorHAnsi"/>
        </w:rPr>
      </w:pPr>
      <w:r w:rsidRPr="00B139CA">
        <w:rPr>
          <w:rFonts w:cstheme="minorHAnsi"/>
        </w:rPr>
        <w:lastRenderedPageBreak/>
        <w:t>Quality control (QC) will be embedded in the design and programming of the survey instrument, and during data collection through study staff ongoing and real-time review of incoming data, as described in section B7.</w:t>
      </w:r>
    </w:p>
    <w:p w:rsidRPr="00B139CA" w:rsidR="007A4616" w:rsidP="00DF1291" w:rsidRDefault="007A4616" w14:paraId="6C088F63" w14:textId="77777777">
      <w:pPr>
        <w:autoSpaceDE w:val="0"/>
        <w:autoSpaceDN w:val="0"/>
        <w:adjustRightInd w:val="0"/>
        <w:spacing w:after="0" w:line="240" w:lineRule="atLeast"/>
        <w:rPr>
          <w:rFonts w:eastAsia="Times New Roman" w:cstheme="minorHAnsi"/>
          <w:b/>
          <w:color w:val="000000"/>
        </w:rPr>
      </w:pPr>
    </w:p>
    <w:p w:rsidRPr="00B139CA"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B139CA">
        <w:rPr>
          <w:rFonts w:eastAsia="Times New Roman" w:cstheme="minorHAnsi"/>
          <w:b/>
          <w:color w:val="000000"/>
        </w:rPr>
        <w:t>B5.</w:t>
      </w:r>
      <w:r w:rsidRPr="00B139CA">
        <w:rPr>
          <w:rFonts w:eastAsia="Times New Roman" w:cstheme="minorHAnsi"/>
          <w:b/>
          <w:color w:val="000000"/>
        </w:rPr>
        <w:tab/>
      </w:r>
      <w:r w:rsidRPr="00B139CA" w:rsidR="00901040">
        <w:rPr>
          <w:rFonts w:eastAsia="Times New Roman" w:cstheme="minorHAnsi"/>
          <w:b/>
          <w:color w:val="000000"/>
        </w:rPr>
        <w:t xml:space="preserve">Response </w:t>
      </w:r>
      <w:r w:rsidRPr="00B139CA" w:rsidR="00165818">
        <w:rPr>
          <w:rFonts w:eastAsia="Times New Roman" w:cstheme="minorHAnsi"/>
          <w:b/>
          <w:color w:val="000000"/>
        </w:rPr>
        <w:t>R</w:t>
      </w:r>
      <w:r w:rsidRPr="00B139CA" w:rsidR="00901040">
        <w:rPr>
          <w:rFonts w:eastAsia="Times New Roman" w:cstheme="minorHAnsi"/>
          <w:b/>
          <w:color w:val="000000"/>
        </w:rPr>
        <w:t xml:space="preserve">ates and </w:t>
      </w:r>
      <w:r w:rsidRPr="00B139CA" w:rsidR="00165818">
        <w:rPr>
          <w:rFonts w:eastAsia="Times New Roman" w:cstheme="minorHAnsi"/>
          <w:b/>
          <w:color w:val="000000"/>
        </w:rPr>
        <w:t>P</w:t>
      </w:r>
      <w:r w:rsidRPr="00B139CA" w:rsidR="00901040">
        <w:rPr>
          <w:rFonts w:eastAsia="Times New Roman" w:cstheme="minorHAnsi"/>
          <w:b/>
          <w:color w:val="000000"/>
        </w:rPr>
        <w:t xml:space="preserve">otential </w:t>
      </w:r>
      <w:r w:rsidRPr="00B139CA" w:rsidR="00165818">
        <w:rPr>
          <w:rFonts w:eastAsia="Times New Roman" w:cstheme="minorHAnsi"/>
          <w:b/>
          <w:color w:val="000000"/>
        </w:rPr>
        <w:t>N</w:t>
      </w:r>
      <w:r w:rsidRPr="00B139CA" w:rsidR="00901040">
        <w:rPr>
          <w:rFonts w:eastAsia="Times New Roman" w:cstheme="minorHAnsi"/>
          <w:b/>
          <w:color w:val="000000"/>
        </w:rPr>
        <w:t xml:space="preserve">onresponse </w:t>
      </w:r>
      <w:r w:rsidRPr="00B139CA" w:rsidR="00165818">
        <w:rPr>
          <w:rFonts w:eastAsia="Times New Roman" w:cstheme="minorHAnsi"/>
          <w:b/>
          <w:color w:val="000000"/>
        </w:rPr>
        <w:t>B</w:t>
      </w:r>
      <w:r w:rsidRPr="00B139CA" w:rsidR="00901040">
        <w:rPr>
          <w:rFonts w:eastAsia="Times New Roman" w:cstheme="minorHAnsi"/>
          <w:b/>
          <w:color w:val="000000"/>
        </w:rPr>
        <w:t>ias</w:t>
      </w:r>
    </w:p>
    <w:p w:rsidRPr="00B139CA" w:rsidR="007C2EE0" w:rsidP="00F85D35" w:rsidRDefault="007C2EE0" w14:paraId="4C6D8F66" w14:textId="48A3918C">
      <w:pPr>
        <w:autoSpaceDE w:val="0"/>
        <w:autoSpaceDN w:val="0"/>
        <w:adjustRightInd w:val="0"/>
        <w:spacing w:after="60" w:line="240" w:lineRule="atLeast"/>
        <w:rPr>
          <w:rFonts w:eastAsia="Times New Roman" w:cstheme="minorHAnsi"/>
          <w:i/>
          <w:color w:val="000000"/>
        </w:rPr>
      </w:pPr>
      <w:r w:rsidRPr="00B139CA">
        <w:rPr>
          <w:rFonts w:eastAsia="Times New Roman" w:cstheme="minorHAnsi"/>
          <w:i/>
          <w:color w:val="000000"/>
        </w:rPr>
        <w:t>Response Rates</w:t>
      </w:r>
    </w:p>
    <w:p w:rsidRPr="00B139CA" w:rsidR="009D02DB" w:rsidP="00F917E5" w:rsidRDefault="00AE7A89" w14:paraId="3AC9CD80" w14:textId="77777777">
      <w:pPr>
        <w:autoSpaceDE w:val="0"/>
        <w:autoSpaceDN w:val="0"/>
        <w:adjustRightInd w:val="0"/>
        <w:spacing w:after="0" w:line="240" w:lineRule="atLeast"/>
        <w:rPr>
          <w:rFonts w:eastAsia="Times New Roman" w:cstheme="minorHAnsi"/>
          <w:color w:val="000000"/>
        </w:rPr>
      </w:pPr>
      <w:r w:rsidRPr="00B139CA">
        <w:rPr>
          <w:rFonts w:eastAsia="Times New Roman" w:cstheme="minorHAnsi"/>
          <w:color w:val="000000"/>
        </w:rPr>
        <w:t xml:space="preserve">The survey is not designed to produce statistically generalizable findings and participation is wholly at the respondent’s discretion.  </w:t>
      </w:r>
    </w:p>
    <w:p w:rsidRPr="00B139CA" w:rsidR="00BB2925" w:rsidP="00F917E5" w:rsidRDefault="00AE7A89" w14:paraId="74D4A4AC" w14:textId="387D5244">
      <w:pPr>
        <w:autoSpaceDE w:val="0"/>
        <w:autoSpaceDN w:val="0"/>
        <w:adjustRightInd w:val="0"/>
        <w:spacing w:after="0" w:line="240" w:lineRule="atLeast"/>
        <w:rPr>
          <w:rFonts w:eastAsia="Times New Roman" w:cstheme="minorHAnsi"/>
          <w:i/>
          <w:color w:val="000000"/>
        </w:rPr>
      </w:pPr>
      <w:r w:rsidRPr="00B139CA">
        <w:rPr>
          <w:rFonts w:eastAsia="Times New Roman" w:cstheme="minorHAnsi"/>
          <w:color w:val="000000"/>
        </w:rPr>
        <w:br/>
        <w:t>Response rates will not be calculated or reported.</w:t>
      </w:r>
    </w:p>
    <w:p w:rsidRPr="00B139CA" w:rsidR="00F917E5" w:rsidP="00F917E5" w:rsidRDefault="00F917E5" w14:paraId="32AF85FE" w14:textId="77777777">
      <w:pPr>
        <w:autoSpaceDE w:val="0"/>
        <w:autoSpaceDN w:val="0"/>
        <w:adjustRightInd w:val="0"/>
        <w:spacing w:after="0" w:line="240" w:lineRule="atLeast"/>
        <w:rPr>
          <w:rFonts w:eastAsia="Times New Roman" w:cstheme="minorHAnsi"/>
          <w:i/>
          <w:color w:val="000000"/>
        </w:rPr>
      </w:pPr>
    </w:p>
    <w:p w:rsidRPr="00B139CA" w:rsidR="00F917E5" w:rsidP="00F85D35" w:rsidRDefault="00F917E5" w14:paraId="14F6FBDC" w14:textId="2701395E">
      <w:pPr>
        <w:autoSpaceDE w:val="0"/>
        <w:autoSpaceDN w:val="0"/>
        <w:adjustRightInd w:val="0"/>
        <w:spacing w:after="60" w:line="240" w:lineRule="atLeast"/>
        <w:rPr>
          <w:rFonts w:eastAsia="Times New Roman" w:cstheme="minorHAnsi"/>
          <w:i/>
          <w:color w:val="000000"/>
        </w:rPr>
      </w:pPr>
      <w:r w:rsidRPr="00B139CA">
        <w:rPr>
          <w:rFonts w:eastAsia="Times New Roman" w:cstheme="minorHAnsi"/>
          <w:i/>
          <w:color w:val="000000"/>
        </w:rPr>
        <w:t>NonResponse</w:t>
      </w:r>
    </w:p>
    <w:p w:rsidRPr="00B139CA" w:rsidR="00F85D35" w:rsidP="00075CC0" w:rsidRDefault="00AE7A89" w14:paraId="63881DD6" w14:textId="56E9EE94">
      <w:pPr>
        <w:autoSpaceDE w:val="0"/>
        <w:autoSpaceDN w:val="0"/>
        <w:adjustRightInd w:val="0"/>
        <w:spacing w:after="0" w:line="264" w:lineRule="auto"/>
        <w:rPr>
          <w:rFonts w:ascii="Times New Roman" w:hAnsi="Times New Roman" w:eastAsia="Times New Roman" w:cs="Times New Roman"/>
          <w:b/>
          <w:bCs/>
          <w:color w:val="000000"/>
        </w:rPr>
      </w:pPr>
      <w:r w:rsidRPr="00B139CA">
        <w:rPr>
          <w:rFonts w:eastAsia="Times New Roman" w:cstheme="minorHAnsi"/>
          <w:color w:val="000000"/>
        </w:rPr>
        <w:t>As participants will not be randomly sampled and findings are not intended to be representative, non-response bias will not be calculated. Respondent demographics will be documented and reported in written materials associated with the data collection.</w:t>
      </w:r>
      <w:r w:rsidRPr="00B139CA" w:rsidR="009D02DB">
        <w:rPr>
          <w:rFonts w:eastAsia="Times New Roman" w:cstheme="minorHAnsi"/>
          <w:color w:val="000000"/>
        </w:rPr>
        <w:t xml:space="preserve"> We will work with the panel vendor to obtain a diverse sample of survey participants, demographically and geographically.</w:t>
      </w:r>
    </w:p>
    <w:p w:rsidRPr="00102031" w:rsidR="00BB2925" w:rsidP="00102031" w:rsidRDefault="00BB2925" w14:paraId="0FC57B4D" w14:textId="77777777">
      <w:pPr>
        <w:autoSpaceDE w:val="0"/>
        <w:autoSpaceDN w:val="0"/>
        <w:adjustRightInd w:val="0"/>
        <w:spacing w:after="120" w:line="240" w:lineRule="atLeast"/>
        <w:rPr>
          <w:rFonts w:eastAsia="Times New Roman" w:cstheme="minorHAnsi"/>
          <w:b/>
          <w:color w:val="000000"/>
        </w:rPr>
      </w:pPr>
    </w:p>
    <w:p w:rsidRPr="00102031" w:rsidR="00901040" w:rsidP="00102031" w:rsidRDefault="00EB6134" w14:paraId="36E8E8E3" w14:textId="7FA973BC">
      <w:pPr>
        <w:autoSpaceDE w:val="0"/>
        <w:autoSpaceDN w:val="0"/>
        <w:adjustRightInd w:val="0"/>
        <w:spacing w:after="120" w:line="240" w:lineRule="atLeast"/>
        <w:rPr>
          <w:rFonts w:eastAsia="Times New Roman" w:cstheme="minorHAnsi"/>
          <w:b/>
          <w:color w:val="000000"/>
        </w:rPr>
      </w:pPr>
      <w:r w:rsidRPr="00102031">
        <w:rPr>
          <w:rFonts w:eastAsia="Times New Roman" w:cstheme="minorHAnsi"/>
          <w:b/>
          <w:color w:val="000000"/>
        </w:rPr>
        <w:t>B6</w:t>
      </w:r>
      <w:r w:rsidRPr="00102031" w:rsidR="00901040">
        <w:rPr>
          <w:rFonts w:eastAsia="Times New Roman" w:cstheme="minorHAnsi"/>
          <w:b/>
          <w:color w:val="000000"/>
        </w:rPr>
        <w:t>.</w:t>
      </w:r>
      <w:r w:rsidR="00102031">
        <w:rPr>
          <w:rFonts w:eastAsia="Times New Roman" w:cstheme="minorHAnsi"/>
          <w:b/>
          <w:color w:val="000000"/>
        </w:rPr>
        <w:tab/>
      </w:r>
      <w:r w:rsidRPr="00102031" w:rsidR="00901040">
        <w:rPr>
          <w:rFonts w:eastAsia="Times New Roman" w:cstheme="minorHAnsi"/>
          <w:b/>
          <w:color w:val="000000"/>
        </w:rPr>
        <w:t xml:space="preserve">Production of Estimates and Projections </w:t>
      </w:r>
    </w:p>
    <w:p w:rsidRPr="00B139CA" w:rsidR="00360839" w:rsidP="00194751" w:rsidRDefault="00360839" w14:paraId="4A550408" w14:textId="77777777">
      <w:pPr>
        <w:spacing w:after="0" w:line="240" w:lineRule="auto"/>
        <w:rPr>
          <w:rFonts w:ascii="Times New Roman" w:hAnsi="Times New Roman" w:eastAsia="Times New Roman" w:cs="Times New Roman"/>
          <w:sz w:val="24"/>
          <w:szCs w:val="24"/>
        </w:rPr>
      </w:pPr>
      <w:r w:rsidRPr="00B139CA">
        <w:t xml:space="preserve">The data will not </w:t>
      </w:r>
      <w:r w:rsidRPr="00B139CA">
        <w:rPr>
          <w:rFonts w:eastAsia="Calibri" w:cstheme="minorHAnsi"/>
        </w:rPr>
        <w:t>be</w:t>
      </w:r>
      <w:r w:rsidRPr="00B139CA">
        <w:t xml:space="preserve"> used to generate population estimates, either for internal use or dissemination.</w:t>
      </w:r>
    </w:p>
    <w:p w:rsidRPr="00B139CA" w:rsidR="0020219E" w:rsidP="00901040" w:rsidRDefault="0020219E" w14:paraId="4EEC67EF" w14:textId="77777777">
      <w:pPr>
        <w:spacing w:after="0" w:line="240" w:lineRule="auto"/>
        <w:rPr>
          <w:rFonts w:ascii="Times New Roman" w:hAnsi="Times New Roman" w:eastAsia="Times New Roman" w:cs="Times New Roman"/>
          <w:sz w:val="24"/>
          <w:szCs w:val="24"/>
        </w:rPr>
      </w:pPr>
    </w:p>
    <w:p w:rsidRPr="00B139CA" w:rsidR="007B6CA2" w:rsidP="00F85D35" w:rsidRDefault="00901040" w14:paraId="47D35F1B" w14:textId="4839F007">
      <w:pPr>
        <w:autoSpaceDE w:val="0"/>
        <w:autoSpaceDN w:val="0"/>
        <w:adjustRightInd w:val="0"/>
        <w:spacing w:after="120" w:line="240" w:lineRule="atLeast"/>
        <w:rPr>
          <w:rFonts w:eastAsia="Times New Roman" w:cstheme="minorHAnsi"/>
          <w:b/>
          <w:bCs/>
          <w:color w:val="000000"/>
        </w:rPr>
      </w:pPr>
      <w:r w:rsidRPr="00B139CA">
        <w:rPr>
          <w:rFonts w:eastAsia="Times New Roman" w:cstheme="minorHAnsi"/>
          <w:b/>
          <w:bCs/>
          <w:color w:val="000000"/>
        </w:rPr>
        <w:t>B7.</w:t>
      </w:r>
      <w:r w:rsidR="00102031">
        <w:rPr>
          <w:rFonts w:eastAsia="Times New Roman" w:cstheme="minorHAnsi"/>
          <w:color w:val="000000"/>
        </w:rPr>
        <w:tab/>
      </w:r>
      <w:r w:rsidRPr="00B139CA">
        <w:rPr>
          <w:rFonts w:eastAsia="Times New Roman" w:cstheme="minorHAnsi"/>
          <w:b/>
          <w:bCs/>
          <w:color w:val="000000"/>
        </w:rPr>
        <w:t xml:space="preserve">Data </w:t>
      </w:r>
      <w:r w:rsidRPr="00B139CA" w:rsidR="00EB6134">
        <w:rPr>
          <w:rFonts w:eastAsia="Times New Roman" w:cstheme="minorHAnsi"/>
          <w:b/>
          <w:bCs/>
          <w:color w:val="000000"/>
        </w:rPr>
        <w:t xml:space="preserve">Handling and </w:t>
      </w:r>
      <w:r w:rsidRPr="00B139CA" w:rsidR="007B6CA2">
        <w:rPr>
          <w:rFonts w:eastAsia="Times New Roman" w:cstheme="minorHAnsi"/>
          <w:b/>
          <w:bCs/>
          <w:color w:val="000000"/>
        </w:rPr>
        <w:t>Analysis</w:t>
      </w:r>
    </w:p>
    <w:p w:rsidRPr="00B139CA" w:rsidR="007B6CA2" w:rsidP="00F85D35" w:rsidRDefault="007B6CA2" w14:paraId="0FB9DBDE" w14:textId="04F8F6DD">
      <w:pPr>
        <w:autoSpaceDE w:val="0"/>
        <w:autoSpaceDN w:val="0"/>
        <w:adjustRightInd w:val="0"/>
        <w:spacing w:after="60" w:line="240" w:lineRule="atLeast"/>
        <w:rPr>
          <w:rFonts w:eastAsia="Times New Roman" w:cstheme="minorHAnsi"/>
          <w:bCs/>
          <w:i/>
          <w:color w:val="000000"/>
        </w:rPr>
      </w:pPr>
      <w:r w:rsidRPr="00B139CA">
        <w:rPr>
          <w:rFonts w:eastAsia="Times New Roman" w:cstheme="minorHAnsi"/>
          <w:bCs/>
          <w:i/>
          <w:color w:val="000000"/>
        </w:rPr>
        <w:t>Data Handling</w:t>
      </w:r>
    </w:p>
    <w:p w:rsidRPr="00B139CA" w:rsidR="007B6CA2" w:rsidP="00075CC0" w:rsidRDefault="009F646A" w14:paraId="5E232A37" w14:textId="6B0FE16E">
      <w:pPr>
        <w:autoSpaceDE w:val="0"/>
        <w:autoSpaceDN w:val="0"/>
        <w:adjustRightInd w:val="0"/>
        <w:spacing w:after="0" w:line="264" w:lineRule="auto"/>
        <w:rPr>
          <w:rFonts w:ascii="Calibri" w:hAnsi="Calibri" w:eastAsia="Calibri" w:cs="Calibri"/>
        </w:rPr>
      </w:pPr>
      <w:r w:rsidRPr="00B139CA">
        <w:rPr>
          <w:rFonts w:ascii="Calibri" w:hAnsi="Calibri" w:eastAsia="Calibri" w:cs="Calibri"/>
        </w:rPr>
        <w:t>Prior to the start of data collection, the study team will conduct testing of the web survey to ensure the survey functions correctly and that data are stored properly. The web testing occurs in two stages; first the instrument design team thoroughly tests every survey question to confirm that all response options function as expected, item skips are programmed correctly, and that all soft and hard checks are working as specified. Next, the study team conducts a comprehensive testing of every possible path in the survey instrument using randomly generated data. The study team also reviews data storage, to ensure the data are being saved correctly and securely.</w:t>
      </w:r>
    </w:p>
    <w:p w:rsidRPr="00B139CA" w:rsidR="009F646A" w:rsidP="00075CC0" w:rsidRDefault="009F646A" w14:paraId="6BCE9132" w14:textId="43B8A7AF">
      <w:pPr>
        <w:autoSpaceDE w:val="0"/>
        <w:autoSpaceDN w:val="0"/>
        <w:adjustRightInd w:val="0"/>
        <w:spacing w:after="0" w:line="264" w:lineRule="auto"/>
        <w:rPr>
          <w:rFonts w:ascii="Calibri" w:hAnsi="Calibri" w:eastAsia="Calibri" w:cs="Calibri"/>
        </w:rPr>
      </w:pPr>
    </w:p>
    <w:p w:rsidRPr="00B139CA" w:rsidR="00B76534" w:rsidP="00075CC0" w:rsidRDefault="00B76534" w14:paraId="1E05C5E9" w14:textId="6C99A2C8">
      <w:pPr>
        <w:autoSpaceDE w:val="0"/>
        <w:autoSpaceDN w:val="0"/>
        <w:adjustRightInd w:val="0"/>
        <w:spacing w:after="0" w:line="264" w:lineRule="auto"/>
        <w:rPr>
          <w:rFonts w:eastAsia="Times New Roman" w:cstheme="minorHAnsi"/>
          <w:bCs/>
          <w:i/>
          <w:color w:val="000000"/>
        </w:rPr>
      </w:pPr>
      <w:r w:rsidRPr="00B139CA">
        <w:rPr>
          <w:rFonts w:ascii="Calibri" w:hAnsi="Calibri" w:eastAsia="Calibri" w:cs="Calibri"/>
        </w:rPr>
        <w:t>During data collection, the web surveys are programmed to include specific and tailored checks on each item, to ensure that responses are within expected and logical ranges, do not contradict prior responses given, and to encourage item response for items respondents do not answer. During data collection, Mathematica will review incoming data at multiple time points, to check that the survey is functioning as expected and to check for issues that might need immediate resolution. The data will be checked within the first two days of the release of the web survey, and then checked two additional times before the end of data collection.</w:t>
      </w:r>
    </w:p>
    <w:p w:rsidRPr="00B139CA" w:rsidR="00BB2925" w:rsidP="00901040" w:rsidRDefault="00BB2925" w14:paraId="334FB80F" w14:textId="77777777">
      <w:pPr>
        <w:autoSpaceDE w:val="0"/>
        <w:autoSpaceDN w:val="0"/>
        <w:adjustRightInd w:val="0"/>
        <w:spacing w:after="0" w:line="240" w:lineRule="atLeast"/>
        <w:rPr>
          <w:rFonts w:eastAsia="Times New Roman" w:cstheme="minorHAnsi"/>
          <w:bCs/>
          <w:i/>
          <w:color w:val="000000"/>
        </w:rPr>
      </w:pPr>
    </w:p>
    <w:p w:rsidRPr="00B139CA" w:rsidR="007B6CA2" w:rsidP="00F85D35" w:rsidRDefault="007B6CA2" w14:paraId="4B58405D" w14:textId="784AF053">
      <w:pPr>
        <w:autoSpaceDE w:val="0"/>
        <w:autoSpaceDN w:val="0"/>
        <w:adjustRightInd w:val="0"/>
        <w:spacing w:after="60" w:line="240" w:lineRule="atLeast"/>
        <w:rPr>
          <w:rFonts w:eastAsia="Times New Roman" w:cstheme="minorHAnsi"/>
          <w:bCs/>
          <w:i/>
          <w:color w:val="000000"/>
        </w:rPr>
      </w:pPr>
      <w:r w:rsidRPr="00B139CA">
        <w:rPr>
          <w:rFonts w:eastAsia="Times New Roman" w:cstheme="minorHAnsi"/>
          <w:bCs/>
          <w:i/>
          <w:color w:val="000000"/>
        </w:rPr>
        <w:t>Data Analysis</w:t>
      </w:r>
    </w:p>
    <w:p w:rsidRPr="00B139CA" w:rsidR="00BB2925" w:rsidP="00075CC0" w:rsidRDefault="00887429" w14:paraId="76B28BA2" w14:textId="47F2C7C7">
      <w:pPr>
        <w:autoSpaceDE w:val="0"/>
        <w:autoSpaceDN w:val="0"/>
        <w:adjustRightInd w:val="0"/>
        <w:spacing w:after="0" w:line="264" w:lineRule="auto"/>
        <w:rPr>
          <w:rFonts w:eastAsia="Times New Roman" w:cstheme="minorHAnsi"/>
          <w:bCs/>
          <w:iCs/>
          <w:color w:val="000000"/>
        </w:rPr>
      </w:pPr>
      <w:r w:rsidRPr="00B139CA">
        <w:rPr>
          <w:rFonts w:eastAsia="Times New Roman" w:cstheme="minorHAnsi"/>
          <w:bCs/>
          <w:iCs/>
          <w:color w:val="000000"/>
        </w:rPr>
        <w:t xml:space="preserve">The survey instrument included in this OMB package will produce quantitative data that will allow for a descriptive analysis of the survey results. The analyses will only be conducted at the aggregate level; there will be no subgroup analyses.  The </w:t>
      </w:r>
      <w:r w:rsidRPr="00B139CA" w:rsidR="00C37835">
        <w:rPr>
          <w:rFonts w:eastAsia="Times New Roman" w:cstheme="minorHAnsi"/>
          <w:bCs/>
          <w:iCs/>
          <w:color w:val="000000"/>
        </w:rPr>
        <w:t xml:space="preserve">analyses will examine frequencies of responses to the survey questions related to relationships and communication between the youth and their parents during the </w:t>
      </w:r>
      <w:r w:rsidRPr="00B139CA" w:rsidR="00C37835">
        <w:rPr>
          <w:rFonts w:eastAsia="Times New Roman" w:cstheme="minorHAnsi"/>
          <w:bCs/>
          <w:iCs/>
          <w:color w:val="000000"/>
        </w:rPr>
        <w:lastRenderedPageBreak/>
        <w:t xml:space="preserve">pandemic; whether youth received sexual education during the pandemic, and if so what topics were covered and what topics would youth like to have covered in the future; and the extent to which responding youth engaged in sexual risk behaviors during the pandemic. </w:t>
      </w:r>
      <w:r w:rsidRPr="00B139CA" w:rsidR="007F2413">
        <w:rPr>
          <w:rFonts w:eastAsia="Times New Roman" w:cstheme="minorHAnsi"/>
          <w:bCs/>
          <w:iCs/>
          <w:color w:val="000000"/>
        </w:rPr>
        <w:t>The descriptive analyses</w:t>
      </w:r>
      <w:r w:rsidRPr="00B139CA" w:rsidR="00C37835">
        <w:rPr>
          <w:rFonts w:eastAsia="Times New Roman" w:cstheme="minorHAnsi"/>
          <w:bCs/>
          <w:iCs/>
          <w:color w:val="000000"/>
        </w:rPr>
        <w:t xml:space="preserve"> will serve to inform </w:t>
      </w:r>
      <w:r w:rsidRPr="00B139CA" w:rsidR="009A4D57">
        <w:rPr>
          <w:rFonts w:eastAsia="Times New Roman" w:cstheme="minorHAnsi"/>
          <w:bCs/>
          <w:iCs/>
          <w:color w:val="000000"/>
        </w:rPr>
        <w:t>future ACF programming and areas of potential research. ACF may also use information learned from the descriptive analysis to provide technical assistance to PREP and SRAE grantees.</w:t>
      </w:r>
    </w:p>
    <w:p w:rsidRPr="00B139CA" w:rsidR="00BB2925" w:rsidP="00901040" w:rsidRDefault="00BB2925" w14:paraId="1A82E9FF" w14:textId="41B662B4">
      <w:pPr>
        <w:autoSpaceDE w:val="0"/>
        <w:autoSpaceDN w:val="0"/>
        <w:adjustRightInd w:val="0"/>
        <w:spacing w:after="0" w:line="240" w:lineRule="atLeast"/>
        <w:rPr>
          <w:rFonts w:eastAsia="Times New Roman" w:cstheme="minorHAnsi"/>
          <w:bCs/>
          <w:i/>
          <w:color w:val="000000"/>
        </w:rPr>
      </w:pPr>
    </w:p>
    <w:p w:rsidRPr="00B139CA" w:rsidR="007B6CA2" w:rsidP="00F85D35" w:rsidRDefault="007B6CA2" w14:paraId="6115EDAE" w14:textId="3AD922A4">
      <w:pPr>
        <w:autoSpaceDE w:val="0"/>
        <w:autoSpaceDN w:val="0"/>
        <w:adjustRightInd w:val="0"/>
        <w:spacing w:after="60" w:line="240" w:lineRule="atLeast"/>
        <w:rPr>
          <w:rFonts w:eastAsia="Times New Roman" w:cstheme="minorHAnsi"/>
          <w:i/>
          <w:color w:val="000000"/>
        </w:rPr>
      </w:pPr>
      <w:r w:rsidRPr="00B139CA">
        <w:rPr>
          <w:rFonts w:eastAsia="Times New Roman" w:cstheme="minorHAnsi"/>
          <w:bCs/>
          <w:i/>
          <w:color w:val="000000"/>
        </w:rPr>
        <w:t>Data Use</w:t>
      </w:r>
    </w:p>
    <w:p w:rsidRPr="00B139CA" w:rsidR="00BB2925" w:rsidP="00075CC0" w:rsidRDefault="007A61A6" w14:paraId="68A82357" w14:textId="42648BD6">
      <w:pPr>
        <w:spacing w:after="0" w:line="264" w:lineRule="auto"/>
        <w:rPr>
          <w:rFonts w:ascii="Calibri" w:hAnsi="Calibri" w:eastAsia="Calibri" w:cs="Calibri"/>
        </w:rPr>
      </w:pPr>
      <w:r w:rsidRPr="00B139CA">
        <w:rPr>
          <w:rFonts w:ascii="Calibri" w:hAnsi="Calibri" w:eastAsia="Calibri" w:cs="Calibri"/>
        </w:rPr>
        <w:t xml:space="preserve">The survey data will be used to help inform ACF youth programming and research agendas both during and </w:t>
      </w:r>
      <w:r w:rsidRPr="00B139CA" w:rsidR="004D274D">
        <w:rPr>
          <w:rFonts w:ascii="Calibri" w:hAnsi="Calibri" w:eastAsia="Calibri" w:cs="Calibri"/>
        </w:rPr>
        <w:t>after the COVID-19 pandemic</w:t>
      </w:r>
      <w:r w:rsidRPr="00B139CA">
        <w:rPr>
          <w:rFonts w:ascii="Calibri" w:hAnsi="Calibri" w:eastAsia="Calibri" w:cs="Calibri"/>
        </w:rPr>
        <w:t xml:space="preserve"> to provide targeted training and technical assistance to better serve youth. ACF can use information from this data collection effort to understand if youth received sexual education during the 2020-2021 school year, </w:t>
      </w:r>
      <w:r w:rsidRPr="00B139CA" w:rsidR="00A138CE">
        <w:rPr>
          <w:rFonts w:ascii="Calibri" w:hAnsi="Calibri" w:eastAsia="Calibri" w:cs="Calibri"/>
        </w:rPr>
        <w:t>what they learned</w:t>
      </w:r>
      <w:r w:rsidRPr="00B139CA">
        <w:rPr>
          <w:rFonts w:ascii="Calibri" w:hAnsi="Calibri" w:eastAsia="Calibri" w:cs="Calibri"/>
        </w:rPr>
        <w:t xml:space="preserve"> and </w:t>
      </w:r>
      <w:r w:rsidRPr="00B139CA" w:rsidR="00A138CE">
        <w:rPr>
          <w:rFonts w:ascii="Calibri" w:hAnsi="Calibri" w:eastAsia="Calibri" w:cs="Calibri"/>
        </w:rPr>
        <w:t xml:space="preserve">how </w:t>
      </w:r>
      <w:r w:rsidRPr="00B139CA">
        <w:rPr>
          <w:rFonts w:ascii="Calibri" w:hAnsi="Calibri" w:eastAsia="Calibri" w:cs="Calibri"/>
        </w:rPr>
        <w:t xml:space="preserve">engaged youth were with the sexual education received. This will allow ACF to tailor training and technical assistance opportunities for SRAE and PREP grantees to better serve youth related to sex education programming. </w:t>
      </w:r>
      <w:r w:rsidRPr="00B139CA" w:rsidR="0017451F">
        <w:rPr>
          <w:rFonts w:ascii="Calibri" w:hAnsi="Calibri" w:eastAsia="Calibri" w:cs="Calibri"/>
        </w:rPr>
        <w:t xml:space="preserve">As noted in SSA, ACF </w:t>
      </w:r>
      <w:r w:rsidRPr="00B139CA" w:rsidR="0017451F">
        <w:rPr>
          <w:rFonts w:cstheme="minorHAnsi"/>
        </w:rPr>
        <w:t>will develop a memo that summarizes key themes and lessons</w:t>
      </w:r>
      <w:r w:rsidRPr="00B139CA" w:rsidR="00C9756C">
        <w:rPr>
          <w:rFonts w:cstheme="minorHAnsi"/>
        </w:rPr>
        <w:t>. We may also develop a public facing document in order to share findings with grantees</w:t>
      </w:r>
      <w:r w:rsidRPr="00B139CA" w:rsidR="00C527D1">
        <w:rPr>
          <w:rFonts w:cstheme="minorHAnsi"/>
        </w:rPr>
        <w:t xml:space="preserve"> and stakeholders</w:t>
      </w:r>
      <w:r w:rsidRPr="00B139CA" w:rsidR="00C9756C">
        <w:rPr>
          <w:rFonts w:cstheme="minorHAnsi"/>
        </w:rPr>
        <w:t xml:space="preserve">, </w:t>
      </w:r>
      <w:r w:rsidR="00F635A2">
        <w:rPr>
          <w:rFonts w:cstheme="minorHAnsi"/>
        </w:rPr>
        <w:t>this</w:t>
      </w:r>
      <w:r w:rsidRPr="00B139CA" w:rsidR="004A67E9">
        <w:rPr>
          <w:rFonts w:cs="Calibri"/>
        </w:rPr>
        <w:t xml:space="preserve"> will include a discussion of the limitations (see A2) and information on how it should be used and interpreted. </w:t>
      </w:r>
    </w:p>
    <w:p w:rsidRPr="00B139CA" w:rsidR="00BB2925" w:rsidP="00901040" w:rsidRDefault="00BB2925" w14:paraId="32C05314" w14:textId="77777777">
      <w:pPr>
        <w:spacing w:after="0" w:line="240" w:lineRule="auto"/>
        <w:rPr>
          <w:rFonts w:eastAsia="Times New Roman" w:cstheme="minorHAnsi"/>
        </w:rPr>
      </w:pPr>
    </w:p>
    <w:p w:rsidRPr="00102031" w:rsidR="00901040" w:rsidP="00102031" w:rsidRDefault="007B6FFF" w14:paraId="69EFFF84" w14:textId="346694D7">
      <w:pPr>
        <w:autoSpaceDE w:val="0"/>
        <w:autoSpaceDN w:val="0"/>
        <w:adjustRightInd w:val="0"/>
        <w:spacing w:after="120" w:line="240" w:lineRule="atLeast"/>
        <w:rPr>
          <w:rFonts w:eastAsia="Times New Roman" w:cstheme="minorHAnsi"/>
          <w:b/>
          <w:bCs/>
          <w:color w:val="000000"/>
        </w:rPr>
      </w:pPr>
      <w:r w:rsidRPr="00102031">
        <w:rPr>
          <w:rFonts w:eastAsia="Times New Roman" w:cstheme="minorHAnsi"/>
          <w:b/>
          <w:bCs/>
          <w:color w:val="000000"/>
        </w:rPr>
        <w:t>B8.</w:t>
      </w:r>
      <w:r w:rsidR="00102031">
        <w:rPr>
          <w:rFonts w:eastAsia="Times New Roman" w:cstheme="minorHAnsi"/>
          <w:b/>
          <w:bCs/>
          <w:color w:val="000000"/>
        </w:rPr>
        <w:tab/>
      </w:r>
      <w:r w:rsidRPr="00102031">
        <w:rPr>
          <w:rFonts w:eastAsia="Times New Roman" w:cstheme="minorHAnsi"/>
          <w:b/>
          <w:bCs/>
          <w:color w:val="000000"/>
        </w:rPr>
        <w:t>Contact Persons</w:t>
      </w:r>
    </w:p>
    <w:p w:rsidRPr="00B139CA" w:rsidR="00D7219C" w:rsidP="00F635A2" w:rsidRDefault="00D7219C" w14:paraId="43671A45" w14:textId="77777777">
      <w:pPr>
        <w:spacing w:line="264" w:lineRule="auto"/>
        <w:rPr>
          <w:rFonts w:ascii="Calibri" w:hAnsi="Calibri" w:eastAsia="Calibri" w:cs="Calibri"/>
        </w:rPr>
      </w:pPr>
      <w:r w:rsidRPr="00B139CA">
        <w:rPr>
          <w:rFonts w:ascii="Calibri" w:hAnsi="Calibri" w:eastAsia="Calibri" w:cs="Calibri"/>
        </w:rPr>
        <w:t>Table B8 lists the federal and contract staff responsible for the study, including each individual’s affiliation and email address.</w:t>
      </w:r>
    </w:p>
    <w:p w:rsidRPr="00A60874" w:rsidR="00D7219C" w:rsidP="00A60874" w:rsidRDefault="00D7219C" w14:paraId="4C8A4F71" w14:textId="780D4090">
      <w:pPr>
        <w:pStyle w:val="TableTitle"/>
      </w:pPr>
      <w:r w:rsidRPr="00A60874">
        <w:t xml:space="preserve">Table B8. Individuals Responsible for </w:t>
      </w:r>
      <w:r w:rsidRPr="00A60874" w:rsidR="001000B0">
        <w:t>Study</w:t>
      </w:r>
    </w:p>
    <w:tbl>
      <w:tblPr>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973"/>
        <w:gridCol w:w="4322"/>
        <w:gridCol w:w="3055"/>
      </w:tblGrid>
      <w:tr w:rsidRPr="00B139CA" w:rsidR="00B64356" w:rsidTr="002C3E0F" w14:paraId="3F1E9B40" w14:textId="77777777">
        <w:tc>
          <w:tcPr>
            <w:tcW w:w="1973" w:type="dxa"/>
            <w:shd w:val="clear" w:color="auto" w:fill="auto"/>
          </w:tcPr>
          <w:p w:rsidRPr="00B139CA" w:rsidR="00B64356" w:rsidP="002C3E0F" w:rsidRDefault="00B64356" w14:paraId="03283168" w14:textId="77777777">
            <w:pPr>
              <w:pBdr>
                <w:top w:val="nil"/>
                <w:left w:val="nil"/>
                <w:bottom w:val="nil"/>
                <w:right w:val="nil"/>
                <w:between w:val="nil"/>
              </w:pBdr>
              <w:spacing w:after="240" w:line="240" w:lineRule="auto"/>
              <w:rPr>
                <w:rFonts w:ascii="Lucida Sans" w:hAnsi="Lucida Sans" w:eastAsia="Times New Roman" w:cs="Times New Roman"/>
                <w:b/>
                <w:color w:val="000000"/>
                <w:sz w:val="18"/>
                <w:szCs w:val="18"/>
              </w:rPr>
            </w:pPr>
            <w:r w:rsidRPr="00B139CA">
              <w:rPr>
                <w:rFonts w:ascii="Lucida Sans" w:hAnsi="Lucida Sans" w:eastAsia="Times New Roman" w:cs="Times New Roman"/>
                <w:b/>
                <w:color w:val="000000"/>
                <w:sz w:val="18"/>
                <w:szCs w:val="18"/>
              </w:rPr>
              <w:t>Name</w:t>
            </w:r>
          </w:p>
        </w:tc>
        <w:tc>
          <w:tcPr>
            <w:tcW w:w="4322" w:type="dxa"/>
            <w:shd w:val="clear" w:color="auto" w:fill="auto"/>
          </w:tcPr>
          <w:p w:rsidRPr="00B139CA" w:rsidR="00B64356" w:rsidP="002C3E0F" w:rsidRDefault="00B64356" w14:paraId="37FC0360" w14:textId="77777777">
            <w:pPr>
              <w:pBdr>
                <w:top w:val="nil"/>
                <w:left w:val="nil"/>
                <w:bottom w:val="nil"/>
                <w:right w:val="nil"/>
                <w:between w:val="nil"/>
              </w:pBdr>
              <w:spacing w:after="240" w:line="240" w:lineRule="auto"/>
              <w:rPr>
                <w:rFonts w:ascii="Lucida Sans" w:hAnsi="Lucida Sans" w:eastAsia="Times New Roman" w:cs="Times New Roman"/>
                <w:b/>
                <w:color w:val="000000"/>
                <w:sz w:val="18"/>
                <w:szCs w:val="18"/>
              </w:rPr>
            </w:pPr>
            <w:r w:rsidRPr="00B139CA">
              <w:rPr>
                <w:rFonts w:ascii="Lucida Sans" w:hAnsi="Lucida Sans" w:eastAsia="Times New Roman" w:cs="Times New Roman"/>
                <w:b/>
                <w:color w:val="000000"/>
                <w:sz w:val="18"/>
                <w:szCs w:val="18"/>
              </w:rPr>
              <w:t>Affiliation</w:t>
            </w:r>
          </w:p>
        </w:tc>
        <w:tc>
          <w:tcPr>
            <w:tcW w:w="3055" w:type="dxa"/>
          </w:tcPr>
          <w:p w:rsidRPr="00B139CA" w:rsidR="00B64356" w:rsidP="002C3E0F" w:rsidRDefault="00B64356" w14:paraId="5A1A543D" w14:textId="77777777">
            <w:pPr>
              <w:pBdr>
                <w:top w:val="nil"/>
                <w:left w:val="nil"/>
                <w:bottom w:val="nil"/>
                <w:right w:val="nil"/>
                <w:between w:val="nil"/>
              </w:pBdr>
              <w:spacing w:after="240" w:line="240" w:lineRule="auto"/>
              <w:rPr>
                <w:rFonts w:ascii="Lucida Sans" w:hAnsi="Lucida Sans" w:eastAsia="Times New Roman" w:cs="Times New Roman"/>
                <w:b/>
                <w:color w:val="000000"/>
                <w:sz w:val="18"/>
                <w:szCs w:val="18"/>
              </w:rPr>
            </w:pPr>
            <w:r w:rsidRPr="00B139CA">
              <w:rPr>
                <w:rFonts w:ascii="Lucida Sans" w:hAnsi="Lucida Sans" w:eastAsia="Times New Roman" w:cs="Times New Roman"/>
                <w:b/>
                <w:color w:val="000000"/>
                <w:sz w:val="18"/>
                <w:szCs w:val="18"/>
              </w:rPr>
              <w:t>Email address</w:t>
            </w:r>
          </w:p>
        </w:tc>
      </w:tr>
      <w:tr w:rsidRPr="00B139CA" w:rsidR="00B64356" w:rsidTr="002C3E0F" w14:paraId="2FBEAE4D" w14:textId="77777777">
        <w:trPr>
          <w:trHeight w:val="719"/>
        </w:trPr>
        <w:tc>
          <w:tcPr>
            <w:tcW w:w="1973" w:type="dxa"/>
            <w:shd w:val="clear" w:color="auto" w:fill="auto"/>
          </w:tcPr>
          <w:p w:rsidRPr="00B139CA" w:rsidR="00B64356" w:rsidP="002C3E0F" w:rsidRDefault="00B64356" w14:paraId="1436C018" w14:textId="77777777">
            <w:pPr>
              <w:pBdr>
                <w:top w:val="nil"/>
                <w:left w:val="nil"/>
                <w:bottom w:val="nil"/>
                <w:right w:val="nil"/>
                <w:between w:val="nil"/>
              </w:pBdr>
              <w:spacing w:before="60" w:after="0" w:line="240" w:lineRule="auto"/>
              <w:rPr>
                <w:rFonts w:ascii="Lucida Sans" w:hAnsi="Lucida Sans" w:eastAsia="Times New Roman" w:cs="Times New Roman"/>
                <w:color w:val="000000"/>
                <w:sz w:val="18"/>
                <w:szCs w:val="18"/>
              </w:rPr>
            </w:pPr>
            <w:r w:rsidRPr="00B139CA">
              <w:rPr>
                <w:rFonts w:ascii="Lucida Sans" w:hAnsi="Lucida Sans" w:eastAsia="Times New Roman" w:cs="Times New Roman"/>
                <w:color w:val="000000"/>
                <w:sz w:val="18"/>
                <w:szCs w:val="18"/>
              </w:rPr>
              <w:t>Caryn Blitz</w:t>
            </w:r>
          </w:p>
        </w:tc>
        <w:tc>
          <w:tcPr>
            <w:tcW w:w="4322" w:type="dxa"/>
            <w:shd w:val="clear" w:color="auto" w:fill="auto"/>
          </w:tcPr>
          <w:p w:rsidRPr="00B139CA" w:rsidR="00B64356" w:rsidP="002C3E0F" w:rsidRDefault="00B64356" w14:paraId="13740408" w14:textId="77777777">
            <w:pPr>
              <w:pBdr>
                <w:top w:val="nil"/>
                <w:left w:val="nil"/>
                <w:bottom w:val="nil"/>
                <w:right w:val="nil"/>
                <w:between w:val="nil"/>
              </w:pBdr>
              <w:spacing w:before="60" w:after="0" w:line="240" w:lineRule="auto"/>
              <w:rPr>
                <w:rFonts w:ascii="Lucida Sans" w:hAnsi="Lucida Sans" w:eastAsia="Times New Roman" w:cs="Times New Roman"/>
                <w:color w:val="000000"/>
                <w:sz w:val="18"/>
                <w:szCs w:val="18"/>
              </w:rPr>
            </w:pPr>
            <w:r w:rsidRPr="00B139CA">
              <w:rPr>
                <w:rFonts w:ascii="Lucida Sans" w:hAnsi="Lucida Sans" w:eastAsia="Times New Roman" w:cs="Times New Roman"/>
                <w:color w:val="000000"/>
                <w:sz w:val="18"/>
                <w:szCs w:val="18"/>
              </w:rPr>
              <w:t>Office of Planning, Research, and Evaluation</w:t>
            </w:r>
          </w:p>
          <w:p w:rsidRPr="00B139CA" w:rsidR="00B64356" w:rsidP="002C3E0F" w:rsidRDefault="00B64356" w14:paraId="64CB59EE" w14:textId="77777777">
            <w:pPr>
              <w:pBdr>
                <w:top w:val="nil"/>
                <w:left w:val="nil"/>
                <w:bottom w:val="nil"/>
                <w:right w:val="nil"/>
                <w:between w:val="nil"/>
              </w:pBdr>
              <w:spacing w:after="0" w:line="240" w:lineRule="auto"/>
              <w:rPr>
                <w:rFonts w:ascii="Lucida Sans" w:hAnsi="Lucida Sans" w:eastAsia="Times New Roman" w:cs="Times New Roman"/>
                <w:color w:val="000000"/>
                <w:sz w:val="18"/>
                <w:szCs w:val="18"/>
              </w:rPr>
            </w:pPr>
            <w:r w:rsidRPr="00B139CA">
              <w:rPr>
                <w:rFonts w:ascii="Lucida Sans" w:hAnsi="Lucida Sans" w:eastAsia="Times New Roman" w:cs="Times New Roman"/>
                <w:color w:val="000000"/>
                <w:sz w:val="18"/>
                <w:szCs w:val="18"/>
              </w:rPr>
              <w:t>Administration for Children and Families</w:t>
            </w:r>
          </w:p>
          <w:p w:rsidRPr="00B139CA" w:rsidR="00B64356" w:rsidP="002C3E0F" w:rsidRDefault="00B64356" w14:paraId="6845F40C" w14:textId="77777777">
            <w:pPr>
              <w:pBdr>
                <w:top w:val="nil"/>
                <w:left w:val="nil"/>
                <w:bottom w:val="nil"/>
                <w:right w:val="nil"/>
                <w:between w:val="nil"/>
              </w:pBdr>
              <w:spacing w:after="0" w:line="240" w:lineRule="auto"/>
              <w:rPr>
                <w:rFonts w:ascii="Lucida Sans" w:hAnsi="Lucida Sans" w:eastAsia="Times New Roman" w:cs="Times New Roman"/>
                <w:color w:val="000000"/>
                <w:sz w:val="18"/>
                <w:szCs w:val="18"/>
              </w:rPr>
            </w:pPr>
            <w:r w:rsidRPr="00B139CA">
              <w:rPr>
                <w:rFonts w:ascii="Lucida Sans" w:hAnsi="Lucida Sans" w:eastAsia="Times New Roman" w:cs="Times New Roman"/>
                <w:color w:val="000000"/>
                <w:sz w:val="18"/>
                <w:szCs w:val="18"/>
              </w:rPr>
              <w:t>U.S. Department of Health and Human Services</w:t>
            </w:r>
          </w:p>
        </w:tc>
        <w:tc>
          <w:tcPr>
            <w:tcW w:w="3055" w:type="dxa"/>
          </w:tcPr>
          <w:p w:rsidRPr="00B139CA" w:rsidR="00B64356" w:rsidP="002C3E0F" w:rsidRDefault="00B64356" w14:paraId="5EB06279" w14:textId="77777777">
            <w:pPr>
              <w:pBdr>
                <w:top w:val="nil"/>
                <w:left w:val="nil"/>
                <w:bottom w:val="nil"/>
                <w:right w:val="nil"/>
                <w:between w:val="nil"/>
              </w:pBdr>
              <w:spacing w:before="60" w:after="60" w:line="240" w:lineRule="auto"/>
              <w:rPr>
                <w:rFonts w:ascii="Lucida Sans" w:hAnsi="Lucida Sans" w:eastAsia="Times New Roman" w:cs="Times New Roman"/>
                <w:color w:val="000000"/>
                <w:sz w:val="18"/>
                <w:szCs w:val="18"/>
              </w:rPr>
            </w:pPr>
            <w:r w:rsidRPr="00B139CA">
              <w:rPr>
                <w:rFonts w:ascii="Lucida Sans" w:hAnsi="Lucida Sans" w:eastAsia="Times New Roman" w:cs="Times New Roman"/>
                <w:color w:val="000000"/>
                <w:sz w:val="18"/>
                <w:szCs w:val="18"/>
              </w:rPr>
              <w:t>Caryn.Blitz@acf.hhs.gov</w:t>
            </w:r>
          </w:p>
        </w:tc>
      </w:tr>
      <w:tr w:rsidRPr="00B139CA" w:rsidR="00B64356" w:rsidTr="002C3E0F" w14:paraId="49A2DBAD" w14:textId="77777777">
        <w:tc>
          <w:tcPr>
            <w:tcW w:w="1973" w:type="dxa"/>
            <w:shd w:val="clear" w:color="auto" w:fill="auto"/>
          </w:tcPr>
          <w:p w:rsidRPr="00B139CA" w:rsidR="00B64356" w:rsidP="002C3E0F" w:rsidRDefault="00B64356" w14:paraId="41317A7E" w14:textId="77777777">
            <w:pPr>
              <w:pBdr>
                <w:top w:val="nil"/>
                <w:left w:val="nil"/>
                <w:bottom w:val="nil"/>
                <w:right w:val="nil"/>
                <w:between w:val="nil"/>
              </w:pBdr>
              <w:spacing w:before="60" w:after="0" w:line="240" w:lineRule="auto"/>
              <w:rPr>
                <w:rFonts w:ascii="Lucida Sans" w:hAnsi="Lucida Sans" w:eastAsia="Times New Roman" w:cs="Times New Roman"/>
                <w:color w:val="000000"/>
                <w:sz w:val="18"/>
                <w:szCs w:val="18"/>
              </w:rPr>
            </w:pPr>
            <w:r w:rsidRPr="00B139CA">
              <w:rPr>
                <w:rFonts w:ascii="Lucida Sans" w:hAnsi="Lucida Sans" w:eastAsia="Times New Roman" w:cs="Times New Roman"/>
                <w:color w:val="000000"/>
                <w:sz w:val="18"/>
                <w:szCs w:val="18"/>
              </w:rPr>
              <w:t>Kathleen McCoy</w:t>
            </w:r>
          </w:p>
        </w:tc>
        <w:tc>
          <w:tcPr>
            <w:tcW w:w="4322" w:type="dxa"/>
            <w:shd w:val="clear" w:color="auto" w:fill="auto"/>
          </w:tcPr>
          <w:p w:rsidRPr="00B139CA" w:rsidR="00B64356" w:rsidP="002C3E0F" w:rsidRDefault="00F11D22" w14:paraId="2235084B" w14:textId="61438959">
            <w:pPr>
              <w:pBdr>
                <w:top w:val="nil"/>
                <w:left w:val="nil"/>
                <w:bottom w:val="nil"/>
                <w:right w:val="nil"/>
                <w:between w:val="nil"/>
              </w:pBdr>
              <w:spacing w:before="60" w:after="0" w:line="240" w:lineRule="auto"/>
              <w:rPr>
                <w:rFonts w:ascii="Lucida Sans" w:hAnsi="Lucida Sans" w:eastAsia="Times New Roman" w:cs="Times New Roman"/>
                <w:color w:val="000000"/>
                <w:sz w:val="18"/>
                <w:szCs w:val="18"/>
              </w:rPr>
            </w:pPr>
            <w:r w:rsidRPr="00B139CA">
              <w:rPr>
                <w:rFonts w:ascii="Lucida Sans" w:hAnsi="Lucida Sans" w:eastAsia="Times New Roman" w:cs="Times New Roman"/>
                <w:color w:val="000000"/>
                <w:sz w:val="18"/>
                <w:szCs w:val="18"/>
              </w:rPr>
              <w:t>VPD Government Solutions</w:t>
            </w:r>
            <w:r w:rsidRPr="00B139CA" w:rsidR="00B64356">
              <w:rPr>
                <w:rFonts w:ascii="Lucida Sans" w:hAnsi="Lucida Sans" w:eastAsia="Times New Roman" w:cs="Times New Roman"/>
                <w:color w:val="000000"/>
                <w:sz w:val="18"/>
                <w:szCs w:val="18"/>
              </w:rPr>
              <w:t xml:space="preserve"> Office of Planning, Research, and Evaluation</w:t>
            </w:r>
          </w:p>
          <w:p w:rsidRPr="00B139CA" w:rsidR="00B64356" w:rsidP="002C3E0F" w:rsidRDefault="00B64356" w14:paraId="678BFAE3" w14:textId="77777777">
            <w:pPr>
              <w:pBdr>
                <w:top w:val="nil"/>
                <w:left w:val="nil"/>
                <w:bottom w:val="nil"/>
                <w:right w:val="nil"/>
                <w:between w:val="nil"/>
              </w:pBdr>
              <w:spacing w:after="0" w:line="240" w:lineRule="auto"/>
              <w:rPr>
                <w:rFonts w:ascii="Lucida Sans" w:hAnsi="Lucida Sans" w:eastAsia="Times New Roman" w:cs="Times New Roman"/>
                <w:color w:val="000000"/>
                <w:sz w:val="18"/>
                <w:szCs w:val="18"/>
              </w:rPr>
            </w:pPr>
            <w:r w:rsidRPr="00B139CA">
              <w:rPr>
                <w:rFonts w:ascii="Lucida Sans" w:hAnsi="Lucida Sans" w:eastAsia="Times New Roman" w:cs="Times New Roman"/>
                <w:color w:val="000000"/>
                <w:sz w:val="18"/>
                <w:szCs w:val="18"/>
              </w:rPr>
              <w:t>Administration for Children and Families</w:t>
            </w:r>
          </w:p>
          <w:p w:rsidRPr="00B139CA" w:rsidR="00B64356" w:rsidP="002C3E0F" w:rsidRDefault="00B64356" w14:paraId="0024C7E9" w14:textId="77777777">
            <w:pPr>
              <w:pBdr>
                <w:top w:val="nil"/>
                <w:left w:val="nil"/>
                <w:bottom w:val="nil"/>
                <w:right w:val="nil"/>
                <w:between w:val="nil"/>
              </w:pBdr>
              <w:spacing w:after="60" w:line="240" w:lineRule="auto"/>
              <w:rPr>
                <w:rFonts w:ascii="Lucida Sans" w:hAnsi="Lucida Sans" w:eastAsia="Times New Roman" w:cs="Times New Roman"/>
                <w:color w:val="000000"/>
                <w:sz w:val="18"/>
                <w:szCs w:val="18"/>
              </w:rPr>
            </w:pPr>
            <w:r w:rsidRPr="00B139CA">
              <w:rPr>
                <w:rFonts w:ascii="Lucida Sans" w:hAnsi="Lucida Sans" w:eastAsia="Times New Roman" w:cs="Times New Roman"/>
                <w:color w:val="000000"/>
                <w:sz w:val="18"/>
                <w:szCs w:val="18"/>
              </w:rPr>
              <w:t>U.S. Department of Health and Human Services</w:t>
            </w:r>
          </w:p>
        </w:tc>
        <w:tc>
          <w:tcPr>
            <w:tcW w:w="3055" w:type="dxa"/>
          </w:tcPr>
          <w:p w:rsidRPr="00B139CA" w:rsidR="00B64356" w:rsidP="002C3E0F" w:rsidRDefault="00B64356" w14:paraId="1E15E946" w14:textId="77777777">
            <w:pPr>
              <w:pBdr>
                <w:top w:val="nil"/>
                <w:left w:val="nil"/>
                <w:bottom w:val="nil"/>
                <w:right w:val="nil"/>
                <w:between w:val="nil"/>
              </w:pBdr>
              <w:spacing w:before="60" w:after="60" w:line="240" w:lineRule="auto"/>
              <w:rPr>
                <w:rFonts w:ascii="Lucida Sans" w:hAnsi="Lucida Sans" w:eastAsia="Times New Roman" w:cs="Times New Roman"/>
                <w:color w:val="000000"/>
                <w:sz w:val="18"/>
                <w:szCs w:val="18"/>
              </w:rPr>
            </w:pPr>
            <w:r w:rsidRPr="00B139CA">
              <w:rPr>
                <w:rFonts w:ascii="Lucida Sans" w:hAnsi="Lucida Sans" w:eastAsia="Times New Roman" w:cs="Times New Roman"/>
                <w:color w:val="000000"/>
                <w:sz w:val="18"/>
                <w:szCs w:val="18"/>
              </w:rPr>
              <w:t>Kathleen.McCoy@acf.hhs.gov</w:t>
            </w:r>
          </w:p>
        </w:tc>
      </w:tr>
      <w:tr w:rsidRPr="00B139CA" w:rsidR="00B64356" w:rsidTr="002C3E0F" w14:paraId="2AF23773" w14:textId="77777777">
        <w:tc>
          <w:tcPr>
            <w:tcW w:w="1973" w:type="dxa"/>
            <w:shd w:val="clear" w:color="auto" w:fill="auto"/>
          </w:tcPr>
          <w:p w:rsidRPr="00B139CA" w:rsidR="00B64356" w:rsidP="002C3E0F" w:rsidRDefault="00B64356" w14:paraId="07D25B63" w14:textId="77777777">
            <w:pPr>
              <w:pBdr>
                <w:top w:val="nil"/>
                <w:left w:val="nil"/>
                <w:bottom w:val="nil"/>
                <w:right w:val="nil"/>
                <w:between w:val="nil"/>
              </w:pBdr>
              <w:spacing w:before="60" w:after="0" w:line="240" w:lineRule="auto"/>
              <w:rPr>
                <w:rFonts w:ascii="Lucida Sans" w:hAnsi="Lucida Sans" w:eastAsia="Times New Roman" w:cs="Times New Roman"/>
                <w:color w:val="000000"/>
                <w:sz w:val="18"/>
                <w:szCs w:val="18"/>
              </w:rPr>
            </w:pPr>
            <w:r w:rsidRPr="00B139CA">
              <w:rPr>
                <w:rFonts w:ascii="Lucida Sans" w:hAnsi="Lucida Sans" w:eastAsia="Times New Roman" w:cs="Times New Roman"/>
                <w:color w:val="000000"/>
                <w:sz w:val="18"/>
                <w:szCs w:val="18"/>
              </w:rPr>
              <w:t>Susan Zief</w:t>
            </w:r>
          </w:p>
        </w:tc>
        <w:tc>
          <w:tcPr>
            <w:tcW w:w="4322" w:type="dxa"/>
            <w:shd w:val="clear" w:color="auto" w:fill="auto"/>
          </w:tcPr>
          <w:p w:rsidRPr="00B139CA" w:rsidR="00B64356" w:rsidP="002C3E0F" w:rsidRDefault="00B64356" w14:paraId="2C0888C8" w14:textId="77777777">
            <w:pPr>
              <w:pBdr>
                <w:top w:val="nil"/>
                <w:left w:val="nil"/>
                <w:bottom w:val="nil"/>
                <w:right w:val="nil"/>
                <w:between w:val="nil"/>
              </w:pBdr>
              <w:spacing w:before="60" w:after="0" w:line="240" w:lineRule="auto"/>
              <w:rPr>
                <w:rFonts w:ascii="Lucida Sans" w:hAnsi="Lucida Sans" w:eastAsia="Times New Roman" w:cs="Times New Roman"/>
                <w:color w:val="000000"/>
                <w:sz w:val="18"/>
                <w:szCs w:val="18"/>
              </w:rPr>
            </w:pPr>
            <w:r w:rsidRPr="00B139CA">
              <w:rPr>
                <w:rFonts w:ascii="Lucida Sans" w:hAnsi="Lucida Sans" w:eastAsia="Times New Roman" w:cs="Times New Roman"/>
                <w:color w:val="000000"/>
                <w:sz w:val="18"/>
                <w:szCs w:val="18"/>
              </w:rPr>
              <w:t>Mathematica</w:t>
            </w:r>
          </w:p>
        </w:tc>
        <w:tc>
          <w:tcPr>
            <w:tcW w:w="3055" w:type="dxa"/>
          </w:tcPr>
          <w:p w:rsidRPr="00B139CA" w:rsidR="00B64356" w:rsidP="002C3E0F" w:rsidRDefault="00B64356" w14:paraId="5E7433C0" w14:textId="77777777">
            <w:pPr>
              <w:pBdr>
                <w:top w:val="nil"/>
                <w:left w:val="nil"/>
                <w:bottom w:val="nil"/>
                <w:right w:val="nil"/>
                <w:between w:val="nil"/>
              </w:pBdr>
              <w:spacing w:before="60" w:after="60" w:line="240" w:lineRule="auto"/>
              <w:rPr>
                <w:rFonts w:ascii="Lucida Sans" w:hAnsi="Lucida Sans" w:eastAsia="Times New Roman" w:cs="Times New Roman"/>
                <w:color w:val="000000"/>
                <w:sz w:val="18"/>
                <w:szCs w:val="18"/>
              </w:rPr>
            </w:pPr>
            <w:r w:rsidRPr="00B139CA">
              <w:rPr>
                <w:rFonts w:ascii="Lucida Sans" w:hAnsi="Lucida Sans" w:eastAsia="Times New Roman" w:cs="Times New Roman"/>
                <w:color w:val="000000"/>
                <w:sz w:val="18"/>
                <w:szCs w:val="18"/>
              </w:rPr>
              <w:t>SZief@mathematica-mpr.com</w:t>
            </w:r>
          </w:p>
        </w:tc>
      </w:tr>
      <w:tr w:rsidRPr="00B139CA" w:rsidR="00B64356" w:rsidTr="00F635A2" w14:paraId="3749DB13" w14:textId="77777777">
        <w:trPr>
          <w:trHeight w:val="593"/>
        </w:trPr>
        <w:tc>
          <w:tcPr>
            <w:tcW w:w="1973" w:type="dxa"/>
            <w:tcBorders>
              <w:bottom w:val="single" w:color="auto" w:sz="4" w:space="0"/>
            </w:tcBorders>
            <w:shd w:val="clear" w:color="auto" w:fill="auto"/>
          </w:tcPr>
          <w:p w:rsidRPr="00B139CA" w:rsidR="00B64356" w:rsidP="002C3E0F" w:rsidRDefault="00B64356" w14:paraId="2946036E" w14:textId="77777777">
            <w:pPr>
              <w:pBdr>
                <w:top w:val="nil"/>
                <w:left w:val="nil"/>
                <w:bottom w:val="nil"/>
                <w:right w:val="nil"/>
                <w:between w:val="nil"/>
              </w:pBdr>
              <w:spacing w:before="60" w:after="0" w:line="240" w:lineRule="auto"/>
              <w:rPr>
                <w:rFonts w:ascii="Lucida Sans" w:hAnsi="Lucida Sans" w:eastAsia="Times New Roman" w:cs="Times New Roman"/>
                <w:color w:val="000000"/>
                <w:sz w:val="18"/>
                <w:szCs w:val="18"/>
              </w:rPr>
            </w:pPr>
            <w:r w:rsidRPr="00B139CA">
              <w:rPr>
                <w:rFonts w:ascii="Lucida Sans" w:hAnsi="Lucida Sans" w:eastAsia="Times New Roman" w:cs="Times New Roman"/>
                <w:color w:val="000000"/>
                <w:sz w:val="18"/>
                <w:szCs w:val="18"/>
              </w:rPr>
              <w:t>Tiffany Waits</w:t>
            </w:r>
          </w:p>
        </w:tc>
        <w:tc>
          <w:tcPr>
            <w:tcW w:w="4322" w:type="dxa"/>
            <w:tcBorders>
              <w:bottom w:val="single" w:color="auto" w:sz="4" w:space="0"/>
            </w:tcBorders>
            <w:shd w:val="clear" w:color="auto" w:fill="auto"/>
          </w:tcPr>
          <w:p w:rsidRPr="00B139CA" w:rsidR="00B64356" w:rsidP="002C3E0F" w:rsidRDefault="00B64356" w14:paraId="7DFE65D4" w14:textId="77777777">
            <w:pPr>
              <w:pBdr>
                <w:top w:val="nil"/>
                <w:left w:val="nil"/>
                <w:bottom w:val="nil"/>
                <w:right w:val="nil"/>
                <w:between w:val="nil"/>
              </w:pBdr>
              <w:spacing w:before="60" w:after="0" w:line="240" w:lineRule="auto"/>
              <w:rPr>
                <w:rFonts w:ascii="Lucida Sans" w:hAnsi="Lucida Sans" w:eastAsia="Times New Roman" w:cs="Times New Roman"/>
                <w:color w:val="000000"/>
                <w:sz w:val="18"/>
                <w:szCs w:val="18"/>
              </w:rPr>
            </w:pPr>
            <w:r w:rsidRPr="00B139CA">
              <w:rPr>
                <w:rFonts w:ascii="Lucida Sans" w:hAnsi="Lucida Sans" w:eastAsia="Times New Roman" w:cs="Times New Roman"/>
                <w:color w:val="000000"/>
                <w:sz w:val="18"/>
                <w:szCs w:val="18"/>
              </w:rPr>
              <w:t>Mathematica</w:t>
            </w:r>
          </w:p>
        </w:tc>
        <w:tc>
          <w:tcPr>
            <w:tcW w:w="3055" w:type="dxa"/>
            <w:tcBorders>
              <w:bottom w:val="single" w:color="auto" w:sz="4" w:space="0"/>
            </w:tcBorders>
          </w:tcPr>
          <w:p w:rsidRPr="00B139CA" w:rsidR="00B64356" w:rsidP="002C3E0F" w:rsidRDefault="00B64356" w14:paraId="2395722D" w14:textId="77777777">
            <w:pPr>
              <w:pBdr>
                <w:top w:val="nil"/>
                <w:left w:val="nil"/>
                <w:bottom w:val="nil"/>
                <w:right w:val="nil"/>
                <w:between w:val="nil"/>
              </w:pBdr>
              <w:spacing w:before="60" w:after="60" w:line="240" w:lineRule="auto"/>
              <w:rPr>
                <w:rFonts w:ascii="Lucida Sans" w:hAnsi="Lucida Sans" w:eastAsia="Times New Roman" w:cs="Times New Roman"/>
                <w:color w:val="000000"/>
                <w:sz w:val="18"/>
                <w:szCs w:val="18"/>
              </w:rPr>
            </w:pPr>
            <w:r w:rsidRPr="00B139CA">
              <w:rPr>
                <w:rFonts w:ascii="Lucida Sans" w:hAnsi="Lucida Sans" w:eastAsia="Times New Roman" w:cs="Times New Roman"/>
                <w:color w:val="000000"/>
                <w:sz w:val="18"/>
                <w:szCs w:val="18"/>
              </w:rPr>
              <w:t>TWaits@mathematica-mpr.com</w:t>
            </w:r>
          </w:p>
        </w:tc>
      </w:tr>
      <w:tr w:rsidRPr="00B139CA" w:rsidR="00B64356" w:rsidTr="00F635A2" w14:paraId="64AA4145" w14:textId="77777777">
        <w:trPr>
          <w:trHeight w:val="593"/>
        </w:trPr>
        <w:tc>
          <w:tcPr>
            <w:tcW w:w="1973" w:type="dxa"/>
            <w:tcBorders>
              <w:top w:val="single" w:color="auto" w:sz="4" w:space="0"/>
              <w:left w:val="single" w:color="auto" w:sz="4" w:space="0"/>
              <w:bottom w:val="single" w:color="auto" w:sz="4" w:space="0"/>
              <w:right w:val="single" w:color="auto" w:sz="4" w:space="0"/>
            </w:tcBorders>
            <w:shd w:val="clear" w:color="auto" w:fill="auto"/>
          </w:tcPr>
          <w:p w:rsidRPr="00B139CA" w:rsidR="00B64356" w:rsidP="002C3E0F" w:rsidRDefault="00B64356" w14:paraId="2766409F" w14:textId="77777777">
            <w:pPr>
              <w:pBdr>
                <w:top w:val="nil"/>
                <w:left w:val="nil"/>
                <w:bottom w:val="nil"/>
                <w:right w:val="nil"/>
                <w:between w:val="nil"/>
              </w:pBdr>
              <w:spacing w:before="60" w:after="0" w:line="240" w:lineRule="auto"/>
              <w:rPr>
                <w:rFonts w:ascii="Lucida Sans" w:hAnsi="Lucida Sans" w:eastAsia="Times New Roman" w:cs="Times New Roman"/>
                <w:color w:val="000000"/>
                <w:sz w:val="18"/>
                <w:szCs w:val="18"/>
              </w:rPr>
            </w:pPr>
            <w:r w:rsidRPr="00B139CA">
              <w:rPr>
                <w:rFonts w:ascii="Lucida Sans" w:hAnsi="Lucida Sans" w:eastAsia="Times New Roman" w:cs="Times New Roman"/>
                <w:color w:val="000000"/>
                <w:sz w:val="18"/>
                <w:szCs w:val="18"/>
              </w:rPr>
              <w:t>Jennifer Walzer</w:t>
            </w:r>
          </w:p>
        </w:tc>
        <w:tc>
          <w:tcPr>
            <w:tcW w:w="4322" w:type="dxa"/>
            <w:tcBorders>
              <w:top w:val="single" w:color="auto" w:sz="4" w:space="0"/>
              <w:left w:val="single" w:color="auto" w:sz="4" w:space="0"/>
              <w:bottom w:val="single" w:color="auto" w:sz="4" w:space="0"/>
              <w:right w:val="single" w:color="auto" w:sz="4" w:space="0"/>
            </w:tcBorders>
            <w:shd w:val="clear" w:color="auto" w:fill="auto"/>
          </w:tcPr>
          <w:p w:rsidRPr="00B139CA" w:rsidR="00B64356" w:rsidP="002C3E0F" w:rsidRDefault="00B64356" w14:paraId="18C9C9A3" w14:textId="77777777">
            <w:pPr>
              <w:pBdr>
                <w:top w:val="nil"/>
                <w:left w:val="nil"/>
                <w:bottom w:val="nil"/>
                <w:right w:val="nil"/>
                <w:between w:val="nil"/>
              </w:pBdr>
              <w:spacing w:before="60" w:after="0" w:line="240" w:lineRule="auto"/>
              <w:rPr>
                <w:rFonts w:ascii="Lucida Sans" w:hAnsi="Lucida Sans" w:eastAsia="Times New Roman" w:cs="Times New Roman"/>
                <w:color w:val="000000"/>
                <w:sz w:val="18"/>
                <w:szCs w:val="18"/>
              </w:rPr>
            </w:pPr>
            <w:r w:rsidRPr="00B139CA">
              <w:rPr>
                <w:rFonts w:ascii="Lucida Sans" w:hAnsi="Lucida Sans" w:eastAsia="Times New Roman" w:cs="Times New Roman"/>
                <w:color w:val="000000"/>
                <w:sz w:val="18"/>
                <w:szCs w:val="18"/>
              </w:rPr>
              <w:t>Mathematica</w:t>
            </w:r>
          </w:p>
        </w:tc>
        <w:tc>
          <w:tcPr>
            <w:tcW w:w="3055" w:type="dxa"/>
            <w:tcBorders>
              <w:top w:val="single" w:color="auto" w:sz="4" w:space="0"/>
              <w:left w:val="single" w:color="auto" w:sz="4" w:space="0"/>
              <w:bottom w:val="single" w:color="auto" w:sz="4" w:space="0"/>
              <w:right w:val="single" w:color="auto" w:sz="4" w:space="0"/>
            </w:tcBorders>
          </w:tcPr>
          <w:p w:rsidRPr="00B139CA" w:rsidR="00B64356" w:rsidP="002C3E0F" w:rsidRDefault="00B64356" w14:paraId="10493CB2" w14:textId="77777777">
            <w:pPr>
              <w:pBdr>
                <w:top w:val="nil"/>
                <w:left w:val="nil"/>
                <w:bottom w:val="nil"/>
                <w:right w:val="nil"/>
                <w:between w:val="nil"/>
              </w:pBdr>
              <w:spacing w:before="60" w:after="60" w:line="240" w:lineRule="auto"/>
              <w:rPr>
                <w:rFonts w:ascii="Lucida Sans" w:hAnsi="Lucida Sans" w:eastAsia="Times New Roman" w:cs="Times New Roman"/>
                <w:color w:val="000000"/>
                <w:sz w:val="18"/>
                <w:szCs w:val="18"/>
              </w:rPr>
            </w:pPr>
            <w:r w:rsidRPr="00B139CA">
              <w:rPr>
                <w:rFonts w:ascii="Lucida Sans" w:hAnsi="Lucida Sans" w:eastAsia="Times New Roman" w:cs="Times New Roman"/>
                <w:color w:val="000000"/>
                <w:sz w:val="18"/>
                <w:szCs w:val="18"/>
              </w:rPr>
              <w:t>JWalzer@mathematica-mpr.com</w:t>
            </w:r>
          </w:p>
        </w:tc>
      </w:tr>
    </w:tbl>
    <w:p w:rsidRPr="00B139CA" w:rsidR="00BB2925" w:rsidP="008369BA" w:rsidRDefault="00BB2925" w14:paraId="06674544" w14:textId="4E7A3DF5">
      <w:pPr>
        <w:pStyle w:val="ListParagraph"/>
        <w:spacing w:after="0" w:line="240" w:lineRule="auto"/>
        <w:ind w:left="0"/>
        <w:rPr>
          <w:rFonts w:cstheme="minorHAnsi"/>
          <w:b/>
        </w:rPr>
      </w:pPr>
    </w:p>
    <w:p w:rsidRPr="00B139CA" w:rsidR="00083227" w:rsidP="00F85D35" w:rsidRDefault="00A1108E" w14:paraId="1E574BF6" w14:textId="03488F7D">
      <w:pPr>
        <w:spacing w:after="120" w:line="240" w:lineRule="auto"/>
        <w:rPr>
          <w:b/>
        </w:rPr>
      </w:pPr>
      <w:bookmarkStart w:name="_GoBack" w:id="1"/>
      <w:r w:rsidRPr="00B139CA">
        <w:rPr>
          <w:b/>
        </w:rPr>
        <w:t>Attachments</w:t>
      </w:r>
    </w:p>
    <w:p w:rsidRPr="00B139CA" w:rsidR="00D76640" w:rsidP="00D76640" w:rsidRDefault="00D76640" w14:paraId="74374D21" w14:textId="77777777">
      <w:pPr>
        <w:spacing w:after="120"/>
        <w:rPr>
          <w:b/>
          <w:bCs/>
        </w:rPr>
      </w:pPr>
      <w:r w:rsidRPr="00B139CA">
        <w:rPr>
          <w:b/>
          <w:bCs/>
        </w:rPr>
        <w:t>Appendices</w:t>
      </w:r>
    </w:p>
    <w:bookmarkEnd w:id="1"/>
    <w:p w:rsidRPr="00B139CA" w:rsidR="00D02CA9" w:rsidP="00194751" w:rsidRDefault="00D02CA9" w14:paraId="4771B832" w14:textId="2AB7D376">
      <w:pPr>
        <w:spacing w:after="0"/>
      </w:pPr>
      <w:r w:rsidRPr="00B139CA">
        <w:t xml:space="preserve">Appendix A: Parent </w:t>
      </w:r>
      <w:r w:rsidRPr="00B139CA" w:rsidR="00DE7A6A">
        <w:t>C</w:t>
      </w:r>
      <w:r w:rsidRPr="00B139CA">
        <w:t>onsent</w:t>
      </w:r>
      <w:r w:rsidRPr="00B139CA" w:rsidR="0042051A">
        <w:t xml:space="preserve"> Form</w:t>
      </w:r>
    </w:p>
    <w:p w:rsidRPr="00B139CA" w:rsidR="00813243" w:rsidP="00813243" w:rsidRDefault="00D02CA9" w14:paraId="40F133AC" w14:textId="19F30077">
      <w:pPr>
        <w:spacing w:after="0"/>
      </w:pPr>
      <w:r w:rsidRPr="00B139CA">
        <w:t>Appendix B: Youth Assent</w:t>
      </w:r>
    </w:p>
    <w:p w:rsidRPr="00B139CA" w:rsidR="0030175F" w:rsidP="00813243" w:rsidRDefault="0030175F" w14:paraId="7C01186C" w14:textId="5B756003">
      <w:pPr>
        <w:spacing w:after="0"/>
      </w:pPr>
      <w:r w:rsidRPr="00B139CA">
        <w:t>Appendix C. Item by Item Source Crosswalk for Survey</w:t>
      </w:r>
    </w:p>
    <w:p w:rsidR="00102031" w:rsidP="00D76640" w:rsidRDefault="00102031" w14:paraId="73B13B71" w14:textId="77777777">
      <w:pPr>
        <w:spacing w:after="120"/>
        <w:rPr>
          <w:b/>
          <w:bCs/>
        </w:rPr>
      </w:pPr>
    </w:p>
    <w:p w:rsidRPr="00B139CA" w:rsidR="00D76640" w:rsidP="00D76640" w:rsidRDefault="00D76640" w14:paraId="7D7A9020" w14:textId="5E68C097">
      <w:pPr>
        <w:spacing w:after="120"/>
        <w:rPr>
          <w:b/>
          <w:bCs/>
        </w:rPr>
      </w:pPr>
      <w:r w:rsidRPr="00B139CA">
        <w:rPr>
          <w:b/>
          <w:bCs/>
        </w:rPr>
        <w:lastRenderedPageBreak/>
        <w:t>Instrument</w:t>
      </w:r>
    </w:p>
    <w:p w:rsidR="00D02CA9" w:rsidP="00D02CA9" w:rsidRDefault="00D02CA9" w14:paraId="6844A42C" w14:textId="13E99A10">
      <w:r w:rsidRPr="00B139CA">
        <w:t xml:space="preserve">Instrument 1: </w:t>
      </w:r>
      <w:r w:rsidRPr="00B139CA" w:rsidR="00A3143A">
        <w:t>Youth Survey of Relationships, Education, and Behavior</w:t>
      </w:r>
    </w:p>
    <w:p w:rsidR="002A3A59" w:rsidRDefault="002A3A59" w14:paraId="342E0712" w14:textId="77777777">
      <w:pPr>
        <w:rPr>
          <w:b/>
        </w:rPr>
      </w:pPr>
      <w:r>
        <w:rPr>
          <w:b/>
        </w:rPr>
        <w:br w:type="page"/>
      </w:r>
    </w:p>
    <w:p w:rsidRPr="00616C62" w:rsidR="002A3A59" w:rsidP="002A3A59" w:rsidRDefault="002A3A59" w14:paraId="52BF3B24" w14:textId="45F6EC67">
      <w:pPr>
        <w:pStyle w:val="References"/>
        <w:spacing w:after="120"/>
        <w:rPr>
          <w:rFonts w:cstheme="minorHAnsi"/>
          <w:sz w:val="22"/>
          <w:szCs w:val="22"/>
          <w:shd w:val="clear" w:color="auto" w:fill="FEFEFE"/>
        </w:rPr>
      </w:pPr>
    </w:p>
    <w:sectPr w:rsidRPr="00616C62" w:rsidR="002A3A59"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62C76" w14:textId="77777777" w:rsidR="00604741" w:rsidRDefault="00604741" w:rsidP="0004063C">
      <w:pPr>
        <w:spacing w:after="0" w:line="240" w:lineRule="auto"/>
      </w:pPr>
      <w:r>
        <w:separator/>
      </w:r>
    </w:p>
  </w:endnote>
  <w:endnote w:type="continuationSeparator" w:id="0">
    <w:p w14:paraId="0CC147C6" w14:textId="77777777" w:rsidR="00604741" w:rsidRDefault="00604741"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1737"/>
      <w:docPartObj>
        <w:docPartGallery w:val="Page Numbers (Bottom of Page)"/>
        <w:docPartUnique/>
      </w:docPartObj>
    </w:sdtPr>
    <w:sdtEndPr>
      <w:rPr>
        <w:noProof/>
      </w:rPr>
    </w:sdtEndPr>
    <w:sdtContent>
      <w:p w14:paraId="03A5A331" w14:textId="6F56C47F" w:rsidR="00BD702B" w:rsidRDefault="00BD702B">
        <w:pPr>
          <w:pStyle w:val="Footer"/>
          <w:jc w:val="right"/>
        </w:pPr>
        <w:r>
          <w:fldChar w:fldCharType="begin"/>
        </w:r>
        <w:r>
          <w:instrText xml:space="preserve"> PAGE   \* MERGEFORMAT </w:instrText>
        </w:r>
        <w:r>
          <w:fldChar w:fldCharType="separate"/>
        </w:r>
        <w:r w:rsidR="00B139CA">
          <w:rPr>
            <w:noProof/>
          </w:rPr>
          <w:t>7</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9054F" w14:textId="77777777" w:rsidR="00604741" w:rsidRDefault="00604741" w:rsidP="0004063C">
      <w:pPr>
        <w:spacing w:after="0" w:line="240" w:lineRule="auto"/>
      </w:pPr>
      <w:r>
        <w:separator/>
      </w:r>
    </w:p>
  </w:footnote>
  <w:footnote w:type="continuationSeparator" w:id="0">
    <w:p w14:paraId="6656E28D" w14:textId="77777777" w:rsidR="00604741" w:rsidRDefault="00604741" w:rsidP="0004063C">
      <w:pPr>
        <w:spacing w:after="0" w:line="240" w:lineRule="auto"/>
      </w:pPr>
      <w:r>
        <w:continuationSeparator/>
      </w:r>
    </w:p>
  </w:footnote>
  <w:footnote w:id="1">
    <w:p w14:paraId="19B8DE63" w14:textId="418B0519" w:rsidR="00230090" w:rsidRDefault="00230090">
      <w:pPr>
        <w:pStyle w:val="FootnoteText"/>
      </w:pPr>
      <w:r>
        <w:rPr>
          <w:rStyle w:val="FootnoteReference"/>
        </w:rPr>
        <w:footnoteRef/>
      </w:r>
      <w:r>
        <w:t xml:space="preserve"> Information collection activity approved under OMB #0970-0401.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55770" w14:textId="77777777" w:rsidR="00DF15DA" w:rsidRPr="000D7D44" w:rsidRDefault="00DF15DA" w:rsidP="00DF15DA">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14:paraId="26590F82" w14:textId="7315F179" w:rsidR="00DF15DA" w:rsidRPr="00DF15DA" w:rsidRDefault="00DF15DA" w:rsidP="00DF15DA">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4"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0166D7"/>
    <w:multiLevelType w:val="hybridMultilevel"/>
    <w:tmpl w:val="31E69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4"/>
  </w:num>
  <w:num w:numId="4">
    <w:abstractNumId w:val="21"/>
  </w:num>
  <w:num w:numId="5">
    <w:abstractNumId w:val="13"/>
  </w:num>
  <w:num w:numId="6">
    <w:abstractNumId w:val="27"/>
  </w:num>
  <w:num w:numId="7">
    <w:abstractNumId w:val="3"/>
  </w:num>
  <w:num w:numId="8">
    <w:abstractNumId w:val="8"/>
  </w:num>
  <w:num w:numId="9">
    <w:abstractNumId w:val="12"/>
  </w:num>
  <w:num w:numId="10">
    <w:abstractNumId w:val="26"/>
  </w:num>
  <w:num w:numId="11">
    <w:abstractNumId w:val="29"/>
  </w:num>
  <w:num w:numId="12">
    <w:abstractNumId w:val="24"/>
  </w:num>
  <w:num w:numId="13">
    <w:abstractNumId w:val="20"/>
  </w:num>
  <w:num w:numId="14">
    <w:abstractNumId w:val="25"/>
  </w:num>
  <w:num w:numId="15">
    <w:abstractNumId w:val="14"/>
  </w:num>
  <w:num w:numId="16">
    <w:abstractNumId w:val="19"/>
  </w:num>
  <w:num w:numId="17">
    <w:abstractNumId w:val="10"/>
  </w:num>
  <w:num w:numId="18">
    <w:abstractNumId w:val="7"/>
  </w:num>
  <w:num w:numId="19">
    <w:abstractNumId w:val="6"/>
  </w:num>
  <w:num w:numId="20">
    <w:abstractNumId w:val="18"/>
  </w:num>
  <w:num w:numId="21">
    <w:abstractNumId w:val="0"/>
  </w:num>
  <w:num w:numId="22">
    <w:abstractNumId w:val="1"/>
  </w:num>
  <w:num w:numId="23">
    <w:abstractNumId w:val="15"/>
  </w:num>
  <w:num w:numId="24">
    <w:abstractNumId w:val="2"/>
  </w:num>
  <w:num w:numId="25">
    <w:abstractNumId w:val="9"/>
  </w:num>
  <w:num w:numId="26">
    <w:abstractNumId w:val="17"/>
  </w:num>
  <w:num w:numId="27">
    <w:abstractNumId w:val="11"/>
  </w:num>
  <w:num w:numId="28">
    <w:abstractNumId w:val="28"/>
  </w:num>
  <w:num w:numId="29">
    <w:abstractNumId w:val="22"/>
  </w:num>
  <w:num w:numId="30">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790C"/>
    <w:rsid w:val="0001255D"/>
    <w:rsid w:val="00027E79"/>
    <w:rsid w:val="00030957"/>
    <w:rsid w:val="000334F2"/>
    <w:rsid w:val="0004063C"/>
    <w:rsid w:val="0004247F"/>
    <w:rsid w:val="00044ADA"/>
    <w:rsid w:val="00060C59"/>
    <w:rsid w:val="00062AFB"/>
    <w:rsid w:val="000655DD"/>
    <w:rsid w:val="00071F79"/>
    <w:rsid w:val="0007251B"/>
    <w:rsid w:val="000733A5"/>
    <w:rsid w:val="00075CC0"/>
    <w:rsid w:val="00082C5B"/>
    <w:rsid w:val="00083227"/>
    <w:rsid w:val="00086CBE"/>
    <w:rsid w:val="00090812"/>
    <w:rsid w:val="00090E15"/>
    <w:rsid w:val="000921F0"/>
    <w:rsid w:val="0009656A"/>
    <w:rsid w:val="000A012A"/>
    <w:rsid w:val="000D4E9A"/>
    <w:rsid w:val="000D61D4"/>
    <w:rsid w:val="000D6F77"/>
    <w:rsid w:val="000D7942"/>
    <w:rsid w:val="000D7D44"/>
    <w:rsid w:val="000E6D86"/>
    <w:rsid w:val="000F1E4A"/>
    <w:rsid w:val="000F7E22"/>
    <w:rsid w:val="001000B0"/>
    <w:rsid w:val="00100D34"/>
    <w:rsid w:val="00102031"/>
    <w:rsid w:val="00103EFD"/>
    <w:rsid w:val="00107D87"/>
    <w:rsid w:val="00113DA1"/>
    <w:rsid w:val="00115B1C"/>
    <w:rsid w:val="001253F4"/>
    <w:rsid w:val="00146A10"/>
    <w:rsid w:val="00157482"/>
    <w:rsid w:val="00165818"/>
    <w:rsid w:val="001707D8"/>
    <w:rsid w:val="0017451F"/>
    <w:rsid w:val="00175209"/>
    <w:rsid w:val="00185863"/>
    <w:rsid w:val="00194751"/>
    <w:rsid w:val="001B0A76"/>
    <w:rsid w:val="001B6E1A"/>
    <w:rsid w:val="001D4F3C"/>
    <w:rsid w:val="001F57F5"/>
    <w:rsid w:val="0020219E"/>
    <w:rsid w:val="00202DD3"/>
    <w:rsid w:val="0020401C"/>
    <w:rsid w:val="0020629A"/>
    <w:rsid w:val="00206E11"/>
    <w:rsid w:val="00206FE3"/>
    <w:rsid w:val="00207554"/>
    <w:rsid w:val="00211261"/>
    <w:rsid w:val="00212256"/>
    <w:rsid w:val="0021590C"/>
    <w:rsid w:val="00222979"/>
    <w:rsid w:val="00230090"/>
    <w:rsid w:val="002517BB"/>
    <w:rsid w:val="002530BF"/>
    <w:rsid w:val="00256E1C"/>
    <w:rsid w:val="00256E24"/>
    <w:rsid w:val="00263A16"/>
    <w:rsid w:val="00263ABA"/>
    <w:rsid w:val="00265491"/>
    <w:rsid w:val="00275D54"/>
    <w:rsid w:val="00276CE2"/>
    <w:rsid w:val="00283795"/>
    <w:rsid w:val="00287AF1"/>
    <w:rsid w:val="002958B8"/>
    <w:rsid w:val="002A3A59"/>
    <w:rsid w:val="002A41C6"/>
    <w:rsid w:val="002B785B"/>
    <w:rsid w:val="002E6CCF"/>
    <w:rsid w:val="002F33D0"/>
    <w:rsid w:val="00300722"/>
    <w:rsid w:val="0030175F"/>
    <w:rsid w:val="00302F3D"/>
    <w:rsid w:val="0030316D"/>
    <w:rsid w:val="00320ECA"/>
    <w:rsid w:val="00360839"/>
    <w:rsid w:val="00373D2F"/>
    <w:rsid w:val="00382109"/>
    <w:rsid w:val="003A7774"/>
    <w:rsid w:val="003B0287"/>
    <w:rsid w:val="003C7358"/>
    <w:rsid w:val="003E61F6"/>
    <w:rsid w:val="003E7271"/>
    <w:rsid w:val="003F0D93"/>
    <w:rsid w:val="00407537"/>
    <w:rsid w:val="004165BD"/>
    <w:rsid w:val="0042051A"/>
    <w:rsid w:val="0042220D"/>
    <w:rsid w:val="004239FE"/>
    <w:rsid w:val="0042464A"/>
    <w:rsid w:val="0043377A"/>
    <w:rsid w:val="00435F63"/>
    <w:rsid w:val="004379B6"/>
    <w:rsid w:val="0044428E"/>
    <w:rsid w:val="00446465"/>
    <w:rsid w:val="00460D54"/>
    <w:rsid w:val="00461D3E"/>
    <w:rsid w:val="004706CC"/>
    <w:rsid w:val="00481CD5"/>
    <w:rsid w:val="00486B58"/>
    <w:rsid w:val="00487654"/>
    <w:rsid w:val="004A67E9"/>
    <w:rsid w:val="004A7813"/>
    <w:rsid w:val="004B75AC"/>
    <w:rsid w:val="004C3644"/>
    <w:rsid w:val="004C6C46"/>
    <w:rsid w:val="004D12DD"/>
    <w:rsid w:val="004D274D"/>
    <w:rsid w:val="004D58C3"/>
    <w:rsid w:val="004E5778"/>
    <w:rsid w:val="004E5B17"/>
    <w:rsid w:val="004E7ED8"/>
    <w:rsid w:val="0050376D"/>
    <w:rsid w:val="00512C25"/>
    <w:rsid w:val="005302CB"/>
    <w:rsid w:val="0055434C"/>
    <w:rsid w:val="00566122"/>
    <w:rsid w:val="00572854"/>
    <w:rsid w:val="00583093"/>
    <w:rsid w:val="00591283"/>
    <w:rsid w:val="005A61CE"/>
    <w:rsid w:val="005A7E5A"/>
    <w:rsid w:val="005B1285"/>
    <w:rsid w:val="005B1410"/>
    <w:rsid w:val="005B431B"/>
    <w:rsid w:val="005C7E12"/>
    <w:rsid w:val="005D0DFA"/>
    <w:rsid w:val="005D4A40"/>
    <w:rsid w:val="005E03C8"/>
    <w:rsid w:val="005E493B"/>
    <w:rsid w:val="005F2951"/>
    <w:rsid w:val="00604741"/>
    <w:rsid w:val="00624DDC"/>
    <w:rsid w:val="006253B6"/>
    <w:rsid w:val="006257ED"/>
    <w:rsid w:val="0062686E"/>
    <w:rsid w:val="00630B30"/>
    <w:rsid w:val="006345D7"/>
    <w:rsid w:val="00641097"/>
    <w:rsid w:val="00647D22"/>
    <w:rsid w:val="00651966"/>
    <w:rsid w:val="00651FF6"/>
    <w:rsid w:val="00653F9D"/>
    <w:rsid w:val="00664778"/>
    <w:rsid w:val="0068303E"/>
    <w:rsid w:val="0068383E"/>
    <w:rsid w:val="006A4D02"/>
    <w:rsid w:val="006B1BF9"/>
    <w:rsid w:val="006B31DA"/>
    <w:rsid w:val="006B53F1"/>
    <w:rsid w:val="006B6037"/>
    <w:rsid w:val="006C0E56"/>
    <w:rsid w:val="006D3C83"/>
    <w:rsid w:val="006D6430"/>
    <w:rsid w:val="006E4F82"/>
    <w:rsid w:val="0070626F"/>
    <w:rsid w:val="00717BDC"/>
    <w:rsid w:val="00717C1E"/>
    <w:rsid w:val="0072072F"/>
    <w:rsid w:val="00723A28"/>
    <w:rsid w:val="007303AE"/>
    <w:rsid w:val="00733671"/>
    <w:rsid w:val="00736B62"/>
    <w:rsid w:val="007440E8"/>
    <w:rsid w:val="00750E74"/>
    <w:rsid w:val="007607AF"/>
    <w:rsid w:val="00764C85"/>
    <w:rsid w:val="00781C03"/>
    <w:rsid w:val="00793E3E"/>
    <w:rsid w:val="00797DF7"/>
    <w:rsid w:val="007A29C5"/>
    <w:rsid w:val="007A4616"/>
    <w:rsid w:val="007A61A6"/>
    <w:rsid w:val="007B6CA2"/>
    <w:rsid w:val="007B6FFF"/>
    <w:rsid w:val="007C2EE0"/>
    <w:rsid w:val="007C3CB7"/>
    <w:rsid w:val="007C7B4B"/>
    <w:rsid w:val="007E7ABE"/>
    <w:rsid w:val="007F2413"/>
    <w:rsid w:val="007F7061"/>
    <w:rsid w:val="00810DF0"/>
    <w:rsid w:val="00813243"/>
    <w:rsid w:val="00823428"/>
    <w:rsid w:val="008369BA"/>
    <w:rsid w:val="00840D32"/>
    <w:rsid w:val="00843933"/>
    <w:rsid w:val="00850F4C"/>
    <w:rsid w:val="00864C1F"/>
    <w:rsid w:val="00865140"/>
    <w:rsid w:val="00867294"/>
    <w:rsid w:val="00870FA1"/>
    <w:rsid w:val="00875220"/>
    <w:rsid w:val="00887429"/>
    <w:rsid w:val="00891CD9"/>
    <w:rsid w:val="008A5E03"/>
    <w:rsid w:val="008B390E"/>
    <w:rsid w:val="008D3E97"/>
    <w:rsid w:val="008E0239"/>
    <w:rsid w:val="008E4718"/>
    <w:rsid w:val="008F2446"/>
    <w:rsid w:val="00901040"/>
    <w:rsid w:val="0090483C"/>
    <w:rsid w:val="00923F25"/>
    <w:rsid w:val="00941CF8"/>
    <w:rsid w:val="00963503"/>
    <w:rsid w:val="00963BE5"/>
    <w:rsid w:val="00965DBD"/>
    <w:rsid w:val="00971944"/>
    <w:rsid w:val="00973A21"/>
    <w:rsid w:val="00980C44"/>
    <w:rsid w:val="009815C6"/>
    <w:rsid w:val="00983FC0"/>
    <w:rsid w:val="009956C2"/>
    <w:rsid w:val="00996201"/>
    <w:rsid w:val="009A39E1"/>
    <w:rsid w:val="009A3AD8"/>
    <w:rsid w:val="009A4D57"/>
    <w:rsid w:val="009A6EE8"/>
    <w:rsid w:val="009B0F58"/>
    <w:rsid w:val="009B3DFB"/>
    <w:rsid w:val="009C3380"/>
    <w:rsid w:val="009D02DB"/>
    <w:rsid w:val="009D67D2"/>
    <w:rsid w:val="009E45FA"/>
    <w:rsid w:val="009E7E38"/>
    <w:rsid w:val="009F265B"/>
    <w:rsid w:val="009F482C"/>
    <w:rsid w:val="009F54F6"/>
    <w:rsid w:val="009F5E87"/>
    <w:rsid w:val="009F646A"/>
    <w:rsid w:val="009F68DB"/>
    <w:rsid w:val="00A00451"/>
    <w:rsid w:val="00A03E3F"/>
    <w:rsid w:val="00A1108E"/>
    <w:rsid w:val="00A138CE"/>
    <w:rsid w:val="00A27CD0"/>
    <w:rsid w:val="00A3143A"/>
    <w:rsid w:val="00A35181"/>
    <w:rsid w:val="00A362B6"/>
    <w:rsid w:val="00A44260"/>
    <w:rsid w:val="00A464DD"/>
    <w:rsid w:val="00A60874"/>
    <w:rsid w:val="00A6239E"/>
    <w:rsid w:val="00A67DFF"/>
    <w:rsid w:val="00A71475"/>
    <w:rsid w:val="00A714DC"/>
    <w:rsid w:val="00A7179C"/>
    <w:rsid w:val="00A761CB"/>
    <w:rsid w:val="00A85701"/>
    <w:rsid w:val="00A867BC"/>
    <w:rsid w:val="00AA4EA3"/>
    <w:rsid w:val="00AB450D"/>
    <w:rsid w:val="00AD0344"/>
    <w:rsid w:val="00AD3261"/>
    <w:rsid w:val="00AD4355"/>
    <w:rsid w:val="00AD7739"/>
    <w:rsid w:val="00AE3F5F"/>
    <w:rsid w:val="00AE6BE6"/>
    <w:rsid w:val="00AE7A89"/>
    <w:rsid w:val="00AF04E2"/>
    <w:rsid w:val="00B139CA"/>
    <w:rsid w:val="00B13DC4"/>
    <w:rsid w:val="00B17B7C"/>
    <w:rsid w:val="00B20DD1"/>
    <w:rsid w:val="00B23277"/>
    <w:rsid w:val="00B245AD"/>
    <w:rsid w:val="00B4182B"/>
    <w:rsid w:val="00B55E54"/>
    <w:rsid w:val="00B56589"/>
    <w:rsid w:val="00B64356"/>
    <w:rsid w:val="00B64D05"/>
    <w:rsid w:val="00B651E4"/>
    <w:rsid w:val="00B70460"/>
    <w:rsid w:val="00B73EA6"/>
    <w:rsid w:val="00B76534"/>
    <w:rsid w:val="00B8018B"/>
    <w:rsid w:val="00B9441B"/>
    <w:rsid w:val="00B96EE7"/>
    <w:rsid w:val="00BB2925"/>
    <w:rsid w:val="00BB4BF8"/>
    <w:rsid w:val="00BD702B"/>
    <w:rsid w:val="00BD714E"/>
    <w:rsid w:val="00BD7B78"/>
    <w:rsid w:val="00BE371B"/>
    <w:rsid w:val="00BE773B"/>
    <w:rsid w:val="00C05352"/>
    <w:rsid w:val="00C32404"/>
    <w:rsid w:val="00C37835"/>
    <w:rsid w:val="00C527D1"/>
    <w:rsid w:val="00C73360"/>
    <w:rsid w:val="00C86CB2"/>
    <w:rsid w:val="00C91C71"/>
    <w:rsid w:val="00C95126"/>
    <w:rsid w:val="00C97282"/>
    <w:rsid w:val="00C9756C"/>
    <w:rsid w:val="00CA72A5"/>
    <w:rsid w:val="00CC07BF"/>
    <w:rsid w:val="00CC4651"/>
    <w:rsid w:val="00CC5303"/>
    <w:rsid w:val="00CE018E"/>
    <w:rsid w:val="00CE7A4A"/>
    <w:rsid w:val="00CF315D"/>
    <w:rsid w:val="00D02CA9"/>
    <w:rsid w:val="00D1343F"/>
    <w:rsid w:val="00D13AA8"/>
    <w:rsid w:val="00D13EB6"/>
    <w:rsid w:val="00D239B5"/>
    <w:rsid w:val="00D32B72"/>
    <w:rsid w:val="00D4033C"/>
    <w:rsid w:val="00D44452"/>
    <w:rsid w:val="00D45504"/>
    <w:rsid w:val="00D51337"/>
    <w:rsid w:val="00D5346A"/>
    <w:rsid w:val="00D55767"/>
    <w:rsid w:val="00D71BA0"/>
    <w:rsid w:val="00D7219C"/>
    <w:rsid w:val="00D749DF"/>
    <w:rsid w:val="00D76640"/>
    <w:rsid w:val="00D82755"/>
    <w:rsid w:val="00D82E67"/>
    <w:rsid w:val="00D831AC"/>
    <w:rsid w:val="00D97926"/>
    <w:rsid w:val="00DA3557"/>
    <w:rsid w:val="00DA4701"/>
    <w:rsid w:val="00DC3C44"/>
    <w:rsid w:val="00DC65F2"/>
    <w:rsid w:val="00DC7876"/>
    <w:rsid w:val="00DC7DD5"/>
    <w:rsid w:val="00DE3ED7"/>
    <w:rsid w:val="00DE7A6A"/>
    <w:rsid w:val="00DF0651"/>
    <w:rsid w:val="00DF1291"/>
    <w:rsid w:val="00DF15DA"/>
    <w:rsid w:val="00DF2A58"/>
    <w:rsid w:val="00E000EC"/>
    <w:rsid w:val="00E04A15"/>
    <w:rsid w:val="00E1392C"/>
    <w:rsid w:val="00E22AC6"/>
    <w:rsid w:val="00E24830"/>
    <w:rsid w:val="00E318A6"/>
    <w:rsid w:val="00E41C62"/>
    <w:rsid w:val="00E41EE9"/>
    <w:rsid w:val="00E44A35"/>
    <w:rsid w:val="00E461D4"/>
    <w:rsid w:val="00E54BF0"/>
    <w:rsid w:val="00E62285"/>
    <w:rsid w:val="00E62819"/>
    <w:rsid w:val="00E66FE2"/>
    <w:rsid w:val="00E71E25"/>
    <w:rsid w:val="00E75D57"/>
    <w:rsid w:val="00E80588"/>
    <w:rsid w:val="00E87123"/>
    <w:rsid w:val="00E9045F"/>
    <w:rsid w:val="00EA0D4F"/>
    <w:rsid w:val="00EA405B"/>
    <w:rsid w:val="00EA60C4"/>
    <w:rsid w:val="00EB4C26"/>
    <w:rsid w:val="00EB6134"/>
    <w:rsid w:val="00EC1A6C"/>
    <w:rsid w:val="00ED7509"/>
    <w:rsid w:val="00EE38AF"/>
    <w:rsid w:val="00EF254B"/>
    <w:rsid w:val="00EF4FF2"/>
    <w:rsid w:val="00F071DE"/>
    <w:rsid w:val="00F11D22"/>
    <w:rsid w:val="00F26162"/>
    <w:rsid w:val="00F320D0"/>
    <w:rsid w:val="00F42246"/>
    <w:rsid w:val="00F50593"/>
    <w:rsid w:val="00F635A2"/>
    <w:rsid w:val="00F74630"/>
    <w:rsid w:val="00F820A5"/>
    <w:rsid w:val="00F8280A"/>
    <w:rsid w:val="00F85D35"/>
    <w:rsid w:val="00F862E6"/>
    <w:rsid w:val="00F9122A"/>
    <w:rsid w:val="00F917E5"/>
    <w:rsid w:val="00FA6D2C"/>
    <w:rsid w:val="00FB5BF6"/>
    <w:rsid w:val="00FC779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43A651"/>
  <w15:docId w15:val="{7C2883A3-FCF8-462B-9434-AB5CEDCCA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Paragraph">
    <w:name w:val="Paragraph"/>
    <w:basedOn w:val="Normal"/>
    <w:uiPriority w:val="1"/>
    <w:qFormat/>
    <w:rsid w:val="0042464A"/>
    <w:pPr>
      <w:spacing w:after="240" w:line="264" w:lineRule="auto"/>
    </w:pPr>
    <w:rPr>
      <w:rFonts w:eastAsia="Times New Roman" w:cs="Times New Roman"/>
      <w:sz w:val="24"/>
      <w:szCs w:val="20"/>
    </w:rPr>
  </w:style>
  <w:style w:type="paragraph" w:customStyle="1" w:styleId="References">
    <w:name w:val="References"/>
    <w:basedOn w:val="Normal"/>
    <w:semiHidden/>
    <w:qFormat/>
    <w:rsid w:val="002A3A59"/>
    <w:pPr>
      <w:keepLines/>
      <w:spacing w:after="60" w:line="264" w:lineRule="auto"/>
      <w:ind w:left="432" w:hanging="432"/>
    </w:pPr>
    <w:rPr>
      <w:rFonts w:eastAsia="Times New Roman" w:cs="Times New Roman"/>
      <w:sz w:val="24"/>
      <w:szCs w:val="20"/>
    </w:rPr>
  </w:style>
  <w:style w:type="character" w:styleId="Emphasis">
    <w:name w:val="Emphasis"/>
    <w:basedOn w:val="DefaultParagraphFont"/>
    <w:uiPriority w:val="20"/>
    <w:qFormat/>
    <w:rsid w:val="002A3A59"/>
    <w:rPr>
      <w:i/>
      <w:iCs/>
    </w:rPr>
  </w:style>
  <w:style w:type="character" w:customStyle="1" w:styleId="journaltitle">
    <w:name w:val="journaltitle"/>
    <w:basedOn w:val="DefaultParagraphFont"/>
    <w:rsid w:val="002A3A59"/>
  </w:style>
  <w:style w:type="paragraph" w:customStyle="1" w:styleId="TableTitle">
    <w:name w:val="Table Title"/>
    <w:basedOn w:val="Normal"/>
    <w:next w:val="Paragraph"/>
    <w:qFormat/>
    <w:rsid w:val="00A60874"/>
    <w:pPr>
      <w:keepNext/>
      <w:spacing w:before="360" w:after="60" w:line="264" w:lineRule="auto"/>
    </w:pPr>
    <w:rPr>
      <w:rFonts w:asciiTheme="majorHAnsi" w:eastAsia="Times New Roman" w:hAnsiTheme="majorHAnsi"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10" ma:contentTypeDescription="Create a new document." ma:contentTypeScope="" ma:versionID="8e65aef03f522746de5f7c6259aa9482">
  <xsd:schema xmlns:xsd="http://www.w3.org/2001/XMLSchema" xmlns:xs="http://www.w3.org/2001/XMLSchema" xmlns:p="http://schemas.microsoft.com/office/2006/metadata/properties" xmlns:ns3="c87c70f9-ce00-4b4f-8430-823df24ad0b9" targetNamespace="http://schemas.microsoft.com/office/2006/metadata/properties" ma:root="true" ma:fieldsID="1f94689f8fa1074ac9292438d85a4349"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2.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B33C14-6324-442C-B96B-F350C8BA1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A0E19A-9773-4AFE-89E9-CCC8CB069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1662</Words>
  <Characters>9476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Woolverton, Maria (ACF)</dc:creator>
  <cp:lastModifiedBy>Mathematica</cp:lastModifiedBy>
  <cp:revision>7</cp:revision>
  <dcterms:created xsi:type="dcterms:W3CDTF">2021-05-03T18:50:00Z</dcterms:created>
  <dcterms:modified xsi:type="dcterms:W3CDTF">2021-05-14T21:44:00Z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