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500" w:rsidP="00DF5500" w:rsidRDefault="0009465F" w14:paraId="224D19A3" w14:textId="5DEC7F73">
      <w:pPr>
        <w:pStyle w:val="TableContentStyling"/>
        <w:rPr>
          <w:noProof/>
          <w:sz w:val="24"/>
          <w:szCs w:val="24"/>
        </w:rPr>
      </w:pPr>
      <w:r w:rsidRPr="0009465F">
        <w:rPr>
          <w:b/>
          <w:bCs/>
          <w:noProof/>
          <w:sz w:val="24"/>
          <w:szCs w:val="24"/>
        </w:rPr>
        <w:t>Dispensing Throughput Drill</w:t>
      </w:r>
      <w:r w:rsidRPr="0009465F">
        <w:rPr>
          <w:noProof/>
          <w:sz w:val="24"/>
          <w:szCs w:val="24"/>
        </w:rPr>
        <w:t xml:space="preserve"> </w:t>
      </w:r>
      <w:r w:rsidRPr="00C83133" w:rsidR="00DF5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51163399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974120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974120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51163399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974120">
                        <w:rPr>
                          <w:sz w:val="22"/>
                        </w:rPr>
                        <w:t>xx/xx/</w:t>
                      </w:r>
                      <w:proofErr w:type="spellStart"/>
                      <w:r w:rsidR="00974120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65F" w:rsidP="00DF5500" w:rsidRDefault="0009465F" w14:paraId="54E25191" w14:textId="44B96485">
      <w:pPr>
        <w:pStyle w:val="TableContentStyling"/>
        <w:rPr>
          <w:noProof/>
          <w:sz w:val="24"/>
          <w:szCs w:val="24"/>
        </w:rPr>
      </w:pPr>
    </w:p>
    <w:p w:rsidR="0009465F" w:rsidP="00DF5500" w:rsidRDefault="0009465F" w14:paraId="17521A36" w14:textId="43C43F91">
      <w:pPr>
        <w:pStyle w:val="TableContentStyling"/>
        <w:rPr>
          <w:noProof/>
          <w:sz w:val="24"/>
          <w:szCs w:val="24"/>
        </w:rPr>
      </w:pPr>
    </w:p>
    <w:p w:rsidR="0009465F" w:rsidP="00DF5500" w:rsidRDefault="0009465F" w14:paraId="5AC76F1F" w14:textId="2FFEE31C">
      <w:pPr>
        <w:pStyle w:val="TableContentStyling"/>
        <w:rPr>
          <w:noProof/>
          <w:sz w:val="24"/>
          <w:szCs w:val="24"/>
        </w:rPr>
      </w:pPr>
    </w:p>
    <w:p w:rsidRPr="00C83133" w:rsidR="0009465F" w:rsidP="00DF5500" w:rsidRDefault="0009465F" w14:paraId="605B83C2" w14:textId="77777777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</w:p>
    <w:p w:rsidRPr="0009465F" w:rsidR="0009465F" w:rsidP="0009465F" w:rsidRDefault="0009465F" w14:paraId="060C896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Drill information</w:t>
      </w:r>
    </w:p>
    <w:p w:rsidRPr="0009465F" w:rsidR="0009465F" w:rsidP="0009465F" w:rsidRDefault="0009465F" w14:paraId="2A00187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Extent of advanced notification (full, partial, none) </w:t>
      </w:r>
    </w:p>
    <w:p w:rsidRPr="0009465F" w:rsidR="0009465F" w:rsidP="0009465F" w:rsidRDefault="0009465F" w14:paraId="60B6BA0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Number of facilities set up </w:t>
      </w:r>
    </w:p>
    <w:p w:rsidRPr="0009465F" w:rsidR="0009465F" w:rsidP="0009465F" w:rsidRDefault="0009465F" w14:paraId="5D0CB9D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Name of facility (per facility)</w:t>
      </w:r>
    </w:p>
    <w:p w:rsidRPr="0009465F" w:rsidR="0009465F" w:rsidP="0009465F" w:rsidRDefault="0009465F" w14:paraId="4C41AE7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Type of facility (POD, DVC)</w:t>
      </w:r>
    </w:p>
    <w:p w:rsidRPr="0009465F" w:rsidR="0009465F" w:rsidP="0009465F" w:rsidRDefault="0009465F" w14:paraId="0ECEEAC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Total number of people or vehicles processed through facility (enter per facility)</w:t>
      </w:r>
    </w:p>
    <w:p w:rsidRPr="0009465F" w:rsidR="0009465F" w:rsidP="0009465F" w:rsidRDefault="0009465F" w14:paraId="33112B6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Open or closed facility</w:t>
      </w:r>
    </w:p>
    <w:p w:rsidRPr="0009465F" w:rsidR="0009465F" w:rsidP="0009465F" w:rsidRDefault="0009465F" w14:paraId="34BA21B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Walk or Drive through (for PODs)</w:t>
      </w:r>
    </w:p>
    <w:p w:rsidRPr="0009465F" w:rsidR="0009465F" w:rsidP="0009465F" w:rsidRDefault="0009465F" w14:paraId="63AB945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Traditional/Assisted or Express Dispensing</w:t>
      </w:r>
    </w:p>
    <w:p w:rsidRPr="0009465F" w:rsidR="0009465F" w:rsidP="0009465F" w:rsidRDefault="0009465F" w14:paraId="4867807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Delivery method (Oral, vaccine, other)</w:t>
      </w:r>
    </w:p>
    <w:p w:rsidR="007F1106" w:rsidP="0009465F" w:rsidRDefault="0009465F" w14:paraId="3C639567" w14:textId="45B71B8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09465F">
        <w:rPr>
          <w:rFonts w:asciiTheme="minorHAnsi" w:hAnsiTheme="minorHAnsi" w:cstheme="minorHAnsi"/>
          <w:color w:val="000000"/>
          <w:sz w:val="24"/>
          <w:szCs w:val="24"/>
        </w:rPr>
        <w:t>j.</w:t>
      </w:r>
      <w:r w:rsidRPr="0009465F">
        <w:rPr>
          <w:rFonts w:asciiTheme="minorHAnsi" w:hAnsiTheme="minorHAnsi" w:cstheme="minorHAnsi"/>
          <w:color w:val="000000"/>
          <w:sz w:val="24"/>
          <w:szCs w:val="24"/>
        </w:rPr>
        <w:tab/>
        <w:t>Target time for set up (in minutes)</w:t>
      </w: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FF4A04" w:rsidP="005709F6" w:rsidRDefault="00FF4A04" w14:paraId="4CEB724D" w14:textId="79A68B49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145C4911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09465F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145C4911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09465F">
                      <w:rPr>
                        <w:rFonts w:eastAsia="Arial Unicode MS" w:cstheme="minorBidi"/>
                        <w:sz w:val="14"/>
                        <w:szCs w:val="14"/>
                      </w:rPr>
                      <w:t>12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09465F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74120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