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26969" w:rsidR="007F1106" w:rsidP="00226969" w:rsidRDefault="00DF5500" w14:paraId="3C639567" w14:textId="68E3BEB5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4E68794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195046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195046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4E68794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195046">
                        <w:rPr>
                          <w:sz w:val="22"/>
                        </w:rPr>
                        <w:t>xx/xx/</w:t>
                      </w:r>
                      <w:proofErr w:type="spellStart"/>
                      <w:r w:rsidR="00195046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6969">
        <w:rPr>
          <w:noProof/>
          <w:sz w:val="24"/>
          <w:szCs w:val="24"/>
        </w:rPr>
        <w:t>Ops 1</w:t>
      </w:r>
    </w:p>
    <w:p w:rsidR="00460DBC" w:rsidP="00E82E3C" w:rsidRDefault="00460DBC" w14:paraId="11CC6527" w14:textId="04180D3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26969" w:rsidP="00E82E3C" w:rsidRDefault="00226969" w14:paraId="29C0645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226969" w:rsidR="00226969" w:rsidP="00226969" w:rsidRDefault="00226969" w14:paraId="2E74B11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Description of operation</w:t>
      </w:r>
    </w:p>
    <w:p w:rsidRPr="00226969" w:rsidR="00226969" w:rsidP="00226969" w:rsidRDefault="00226969" w14:paraId="4DBACA0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Name of exercise/event/incident</w:t>
      </w:r>
    </w:p>
    <w:p w:rsidRPr="00226969" w:rsidR="00226969" w:rsidP="00226969" w:rsidRDefault="00226969" w14:paraId="11E6108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Start date/time</w:t>
      </w:r>
    </w:p>
    <w:p w:rsidRPr="00226969" w:rsidR="00226969" w:rsidP="00226969" w:rsidRDefault="00226969" w14:paraId="42146FD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End date/time</w:t>
      </w:r>
    </w:p>
    <w:p w:rsidRPr="00226969" w:rsidR="00226969" w:rsidP="00226969" w:rsidRDefault="00226969" w14:paraId="25138DC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Category </w:t>
      </w:r>
    </w:p>
    <w:p w:rsidRPr="00226969" w:rsidR="00226969" w:rsidP="00226969" w:rsidRDefault="00226969" w14:paraId="7A33031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Partners involved</w:t>
      </w:r>
    </w:p>
    <w:p w:rsidRPr="00226969" w:rsidR="00226969" w:rsidP="00226969" w:rsidRDefault="00226969" w14:paraId="120AE74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Capabilities applied</w:t>
      </w:r>
    </w:p>
    <w:p w:rsidRPr="00226969" w:rsidR="00226969" w:rsidP="00226969" w:rsidRDefault="00226969" w14:paraId="475802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AAR Submission due</w:t>
      </w:r>
    </w:p>
    <w:p w:rsidRPr="00226969" w:rsidR="00226969" w:rsidP="00226969" w:rsidRDefault="00226969" w14:paraId="1677561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Area(s) identified for improvement</w:t>
      </w:r>
    </w:p>
    <w:p w:rsidR="00FF4A04" w:rsidP="00226969" w:rsidRDefault="00226969" w14:paraId="4CEB724D" w14:textId="7B2F64D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26969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226969">
        <w:rPr>
          <w:rFonts w:asciiTheme="minorHAnsi" w:hAnsiTheme="minorHAnsi" w:cstheme="minorHAnsi"/>
          <w:color w:val="000000"/>
          <w:sz w:val="24"/>
          <w:szCs w:val="24"/>
        </w:rPr>
        <w:tab/>
        <w:t>EOC activated (y/n)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11D2E3F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226969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11D2E3F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226969">
                      <w:rPr>
                        <w:rFonts w:eastAsia="Arial Unicode MS" w:cstheme="minorBidi"/>
                        <w:sz w:val="14"/>
                        <w:szCs w:val="14"/>
                      </w:rPr>
                      <w:t>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5046"/>
    <w:rsid w:val="00197477"/>
    <w:rsid w:val="00226969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