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57C8A" w:rsidP="00357C8A" w14:paraId="39C0F1E5" w14:textId="77777777">
      <w:pPr>
        <w:jc w:val="center"/>
        <w:rPr>
          <w:rFonts w:eastAsia="Calibri"/>
        </w:rPr>
      </w:pPr>
      <w:r w:rsidRPr="00357C8A">
        <w:rPr>
          <w:rFonts w:eastAsia="Calibri"/>
        </w:rPr>
        <w:t>United States Food and Drug Administration</w:t>
      </w:r>
    </w:p>
    <w:p w:rsidR="00357C8A" w:rsidP="00357C8A" w14:paraId="3A0CB855" w14:textId="77777777">
      <w:pPr>
        <w:jc w:val="center"/>
        <w:rPr>
          <w:rFonts w:eastAsia="Calibri"/>
        </w:rPr>
      </w:pPr>
    </w:p>
    <w:p w:rsidR="00357C8A" w:rsidP="00357C8A" w14:paraId="15085C10" w14:textId="77777777">
      <w:pPr>
        <w:jc w:val="center"/>
      </w:pPr>
      <w:r>
        <w:t>Abbreviated New Animal Drug Applications</w:t>
      </w:r>
    </w:p>
    <w:p w:rsidR="00F53114" w:rsidP="00357C8A" w14:paraId="7CC09AB7" w14:textId="77777777">
      <w:pPr>
        <w:jc w:val="center"/>
        <w:rPr>
          <w:rFonts w:eastAsia="Calibri"/>
        </w:rPr>
      </w:pPr>
    </w:p>
    <w:p w:rsidR="00357C8A" w:rsidP="00357C8A" w14:paraId="03FC5492" w14:textId="77777777">
      <w:pPr>
        <w:jc w:val="center"/>
        <w:rPr>
          <w:rFonts w:eastAsia="Calibri"/>
        </w:rPr>
      </w:pPr>
      <w:r w:rsidRPr="00357C8A">
        <w:rPr>
          <w:rFonts w:eastAsia="Calibri"/>
        </w:rPr>
        <w:t>OMB Control No. 0910-</w:t>
      </w:r>
      <w:r w:rsidR="00CA6675">
        <w:rPr>
          <w:rFonts w:eastAsia="Calibri"/>
        </w:rPr>
        <w:t>06</w:t>
      </w:r>
      <w:r w:rsidR="00F53114">
        <w:rPr>
          <w:rFonts w:eastAsia="Calibri"/>
        </w:rPr>
        <w:t>69</w:t>
      </w:r>
    </w:p>
    <w:p w:rsidR="00357C8A" w:rsidP="00357C8A" w14:paraId="024522B6" w14:textId="77777777">
      <w:pPr>
        <w:jc w:val="center"/>
        <w:rPr>
          <w:rFonts w:eastAsia="Calibri"/>
        </w:rPr>
      </w:pPr>
    </w:p>
    <w:p w:rsidR="00357C8A" w:rsidP="00357C8A" w14:paraId="3151400A" w14:textId="77777777">
      <w:pPr>
        <w:jc w:val="center"/>
        <w:rPr>
          <w:rFonts w:eastAsia="Calibri"/>
        </w:rPr>
      </w:pPr>
      <w:r w:rsidRPr="00357C8A">
        <w:rPr>
          <w:rFonts w:eastAsia="Calibri"/>
        </w:rPr>
        <w:t>SUPPORTING STATEMENT</w:t>
      </w:r>
    </w:p>
    <w:p w:rsidR="009B4DF2" w:rsidP="00357C8A" w14:paraId="151281A6" w14:textId="77777777">
      <w:pPr>
        <w:jc w:val="center"/>
        <w:rPr>
          <w:rFonts w:eastAsia="Calibri"/>
        </w:rPr>
      </w:pPr>
    </w:p>
    <w:p w:rsidR="00357C8A" w:rsidP="000D79CC" w14:paraId="020488C3" w14:textId="77777777">
      <w:pPr>
        <w:rPr>
          <w:rFonts w:eastAsia="Calibri"/>
        </w:rPr>
      </w:pPr>
      <w:r w:rsidRPr="00357C8A">
        <w:rPr>
          <w:rFonts w:eastAsia="Calibri"/>
          <w:b/>
        </w:rPr>
        <w:t>Part A:  Justification</w:t>
      </w:r>
      <w:r w:rsidRPr="00357C8A">
        <w:rPr>
          <w:rFonts w:eastAsia="Calibri"/>
        </w:rPr>
        <w:t>:</w:t>
      </w:r>
    </w:p>
    <w:p w:rsidR="000D79CC" w:rsidRPr="00357C8A" w:rsidP="000D79CC" w14:paraId="02FF50F3" w14:textId="77777777">
      <w:pPr>
        <w:rPr>
          <w:rFonts w:eastAsia="Calibri"/>
        </w:rPr>
      </w:pPr>
    </w:p>
    <w:p w:rsidR="00357C8A" w:rsidRPr="00357C8A" w:rsidP="006705EA" w14:paraId="17D11EEC"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436A32" w:rsidP="00436A32" w14:paraId="18D45A5F" w14:textId="77777777">
      <w:pPr>
        <w:rPr>
          <w:rFonts w:eastAsia="Calibri"/>
        </w:rPr>
      </w:pPr>
      <w:r w:rsidRPr="00436A32">
        <w:rPr>
          <w:rFonts w:eastAsia="Calibri"/>
        </w:rPr>
        <w:t>Under section 512(b)(2) of the Federal Food, Drug, and Cosmetic Act (FD&amp;C Act)</w:t>
      </w:r>
      <w:r w:rsidR="00CA6675">
        <w:rPr>
          <w:rFonts w:eastAsia="Calibri"/>
        </w:rPr>
        <w:t xml:space="preserve"> </w:t>
      </w:r>
      <w:r w:rsidR="00CA6675">
        <w:t>(21 U.S.C. 360b(b)(2))</w:t>
      </w:r>
      <w:r w:rsidRPr="00436A32">
        <w:rPr>
          <w:rFonts w:eastAsia="Calibri"/>
        </w:rPr>
        <w:t>, any person may file an abbreviated new animal drug application (ANADA) seeking approval of a generic copy of an approved new animal drug.  The information required to be submitted as part of an ANADA is described in section 512(n)(1) of the FD&amp;C Act</w:t>
      </w:r>
      <w:r w:rsidR="00CA6675">
        <w:rPr>
          <w:rFonts w:eastAsia="Calibri"/>
        </w:rPr>
        <w:t xml:space="preserve"> </w:t>
      </w:r>
      <w:r w:rsidR="00CA6675">
        <w:t>(21 U.S.C. 360b(n)(1))</w:t>
      </w:r>
      <w:r w:rsidRPr="00436A32">
        <w:rPr>
          <w:rFonts w:eastAsia="Calibri"/>
        </w:rPr>
        <w:t>.  Among other things, an ANADA is required to contain information to show that the proposed generic drug is bioequivalent to, and has the same labeling as, the approved new animal drug.  We allow applicants to submit a complete ANADA or to submit information in support of an ANADA for phased review.  Applicants may submit Form FDA 356v with a complete ANADA or a phased review submission to ensure efficient and accurate processing of information.  Form FDA 356v is approved under OMB control number 0910-0032.  We use the information submitted, among other things, to assess bioequivalence to the originally approved drug and thus, the safety and effectiveness of the generic new animal drug.</w:t>
      </w:r>
    </w:p>
    <w:p w:rsidR="00646941" w:rsidRPr="00436A32" w:rsidP="00436A32" w14:paraId="259BA403" w14:textId="77777777">
      <w:pPr>
        <w:rPr>
          <w:rFonts w:eastAsia="Calibri"/>
        </w:rPr>
      </w:pPr>
    </w:p>
    <w:p w:rsidR="00423272" w:rsidP="00423272" w14:paraId="5EEFD517" w14:textId="0CA4FF16">
      <w:pPr>
        <w:rPr>
          <w:rFonts w:eastAsia="Calibri"/>
        </w:rPr>
      </w:pPr>
      <w:r w:rsidRPr="00436A32">
        <w:rPr>
          <w:rFonts w:eastAsia="Calibri"/>
        </w:rPr>
        <w:t xml:space="preserve">The information collection also includes applicant requests to waive the requirement to establish bioequivalence through in vivo studies (biowaiver requests) for soluble powder oral dosage form products or certain Type A medicated articles based upon either of two methods.  We use the information submitted by applicants in the biowaiver request as the basis for our decision whether to grant the request.  Therefore, the information collection references the guidance document GFI #171 </w:t>
      </w:r>
      <w:r w:rsidR="00556E00">
        <w:rPr>
          <w:rFonts w:eastAsia="Calibri"/>
        </w:rPr>
        <w:t>–</w:t>
      </w:r>
      <w:r w:rsidRPr="00436A32">
        <w:rPr>
          <w:rFonts w:eastAsia="Calibri"/>
        </w:rPr>
        <w:t xml:space="preserve"> Demonstrating Bioequivalence for Soluble Powder Oral Dosage Form Products and Type A Medicated Articles Containing Active Pharmaceutical Ingredients Considered to Be Soluble in Aqueous Media</w:t>
      </w:r>
      <w:r w:rsidR="001956C7">
        <w:rPr>
          <w:rFonts w:eastAsia="Calibri"/>
        </w:rPr>
        <w:t xml:space="preserve"> (</w:t>
      </w:r>
      <w:hyperlink r:id="rId8" w:history="1">
        <w:r w:rsidRPr="00167707" w:rsidR="00C20B2F">
          <w:rPr>
            <w:rStyle w:val="Hyperlink"/>
            <w:rFonts w:eastAsia="Calibri"/>
          </w:rPr>
          <w:t>https://www.fda.gov/regulatory-information/search-fda-guidance-documents/cvm-gfi-171-demonstrating-bioequivalence-soluble-powder-oral-dosage-form-products-and-type-medicated</w:t>
        </w:r>
      </w:hyperlink>
      <w:r w:rsidR="001956C7">
        <w:rPr>
          <w:rFonts w:eastAsia="Calibri"/>
        </w:rPr>
        <w:t>)</w:t>
      </w:r>
      <w:r w:rsidR="00C20B2F">
        <w:rPr>
          <w:rFonts w:eastAsia="Calibri"/>
        </w:rPr>
        <w:t xml:space="preserve"> </w:t>
      </w:r>
      <w:r w:rsidR="003B53C0">
        <w:rPr>
          <w:rFonts w:eastAsia="Calibri"/>
        </w:rPr>
        <w:t>(May 2021)</w:t>
      </w:r>
      <w:r w:rsidRPr="00436A32">
        <w:rPr>
          <w:rFonts w:eastAsia="Calibri"/>
        </w:rPr>
        <w:t>, which discusses statutory bioequivalence requirements as well as qualifications for requesting a waiver from the requirements.</w:t>
      </w:r>
      <w:r w:rsidRPr="007D342D" w:rsidR="00E90E4B">
        <w:t xml:space="preserve"> </w:t>
      </w:r>
      <w:r w:rsidRPr="007D342D" w:rsidR="00131360">
        <w:t xml:space="preserve">The guidance document was developed consistent with </w:t>
      </w:r>
      <w:r w:rsidR="0065049B">
        <w:t>the a</w:t>
      </w:r>
      <w:r w:rsidRPr="007D342D" w:rsidR="00131360">
        <w:t>gency</w:t>
      </w:r>
      <w:r w:rsidR="0065049B">
        <w:t>’s</w:t>
      </w:r>
      <w:r w:rsidRPr="007D342D" w:rsidR="00131360">
        <w:t xml:space="preserve"> Good Guidance Practice regulations in 21 CFR 10.115, which provide for comment at any time.</w:t>
      </w:r>
      <w:r w:rsidRPr="00F1433F" w:rsidR="00131360">
        <w:t xml:space="preserve"> </w:t>
      </w:r>
    </w:p>
    <w:p w:rsidR="0034311A" w:rsidP="00423272" w14:paraId="31CEB091" w14:textId="77777777">
      <w:pPr>
        <w:rPr>
          <w:rFonts w:eastAsia="Calibri"/>
        </w:rPr>
      </w:pPr>
    </w:p>
    <w:p w:rsidR="00423272" w:rsidRPr="00423272" w:rsidP="00423272" w14:paraId="61588304" w14:textId="6BAC2E57">
      <w:pPr>
        <w:rPr>
          <w:rFonts w:eastAsia="Calibri"/>
          <w:i/>
        </w:rPr>
      </w:pPr>
      <w:r w:rsidRPr="005C71CA">
        <w:rPr>
          <w:rFonts w:eastAsia="Calibri"/>
        </w:rPr>
        <w:t>We therefore request extension of OMB approval of</w:t>
      </w:r>
      <w:r w:rsidR="001F2C97">
        <w:rPr>
          <w:rFonts w:eastAsia="Calibri"/>
        </w:rPr>
        <w:t xml:space="preserve"> the </w:t>
      </w:r>
      <w:r w:rsidR="00CA6675">
        <w:t xml:space="preserve">information collection requirements in 21 U.S.C. 360b(b)(2) and (n)(1) and this use of Form FDA </w:t>
      </w:r>
      <w:r w:rsidR="00CA6675">
        <w:rPr>
          <w:bCs/>
        </w:rPr>
        <w:t>356V, New Animal Drug Application</w:t>
      </w:r>
      <w:r w:rsidR="00E85177">
        <w:rPr>
          <w:bCs/>
        </w:rPr>
        <w:t xml:space="preserve">, </w:t>
      </w:r>
      <w:r w:rsidR="001430FC">
        <w:rPr>
          <w:bCs/>
        </w:rPr>
        <w:t>as well as</w:t>
      </w:r>
      <w:r w:rsidR="00E85177">
        <w:rPr>
          <w:bCs/>
        </w:rPr>
        <w:t xml:space="preserve"> </w:t>
      </w:r>
      <w:r w:rsidR="00CA6675">
        <w:rPr>
          <w:bCs/>
        </w:rPr>
        <w:t xml:space="preserve">biowaiver requests </w:t>
      </w:r>
      <w:r w:rsidRPr="005C71CA">
        <w:rPr>
          <w:rFonts w:eastAsia="Calibri"/>
        </w:rPr>
        <w:t>as discussed in this supporting statement</w:t>
      </w:r>
      <w:r w:rsidR="00CA6675">
        <w:rPr>
          <w:rFonts w:eastAsia="Calibri"/>
        </w:rPr>
        <w:t>.</w:t>
      </w:r>
    </w:p>
    <w:p w:rsidR="00357C8A" w:rsidRPr="00357C8A" w:rsidP="0022425B" w14:paraId="1BA71037" w14:textId="77777777">
      <w:pPr>
        <w:spacing w:after="200"/>
        <w:rPr>
          <w:rFonts w:eastAsia="Calibri"/>
          <w:color w:val="FF0000"/>
        </w:rPr>
      </w:pPr>
    </w:p>
    <w:p w:rsidR="00357C8A" w:rsidRPr="00357C8A" w:rsidP="006705EA" w14:paraId="7325C6B3"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646941" w:rsidRPr="00646941" w:rsidP="00646941" w14:paraId="0B44AE20" w14:textId="77777777">
      <w:pPr>
        <w:spacing w:after="200"/>
        <w:rPr>
          <w:rFonts w:eastAsia="Calibri"/>
        </w:rPr>
      </w:pPr>
      <w:r w:rsidRPr="00646941">
        <w:rPr>
          <w:rFonts w:eastAsia="Calibri"/>
        </w:rPr>
        <w:t xml:space="preserve">The reporting associated with ANADAs and related submissions is necessary to ensure that new animal drugs </w:t>
      </w:r>
      <w:r w:rsidRPr="00646941">
        <w:rPr>
          <w:rFonts w:eastAsia="Calibri"/>
        </w:rPr>
        <w:t>are in compliance with</w:t>
      </w:r>
      <w:r w:rsidRPr="00646941">
        <w:rPr>
          <w:rFonts w:eastAsia="Calibri"/>
        </w:rPr>
        <w:t xml:space="preserve"> section 512(b)(2) of the FD&amp;C Act.  We use the information submitted, among other things, to assess bioequivalence to the originally approved drug and thus, </w:t>
      </w:r>
      <w:r w:rsidRPr="00646941">
        <w:rPr>
          <w:rFonts w:eastAsia="Calibri"/>
        </w:rPr>
        <w:t xml:space="preserve">the safety and effectiveness of the generic new animal drug.  </w:t>
      </w:r>
      <w:r w:rsidR="00CA6675">
        <w:t>We use the information submitted by applicants in the biowaiver request as the basis for our decision whether to grant the request.</w:t>
      </w:r>
    </w:p>
    <w:p w:rsidR="009818A1" w:rsidRPr="00842DB7" w:rsidP="00646941" w14:paraId="64D8C715" w14:textId="77777777">
      <w:pPr>
        <w:spacing w:after="200"/>
        <w:rPr>
          <w:rFonts w:eastAsia="Calibri"/>
        </w:rPr>
      </w:pPr>
      <w:r w:rsidRPr="00CA6675">
        <w:rPr>
          <w:rFonts w:eastAsia="Calibri"/>
          <w:i/>
          <w:iCs/>
        </w:rPr>
        <w:t>Description of Respondents:</w:t>
      </w:r>
      <w:r w:rsidRPr="00646941">
        <w:rPr>
          <w:rFonts w:eastAsia="Calibri"/>
        </w:rPr>
        <w:t xml:space="preserve">  The respondents for this collection of information are veterinary pharmaceutical manufacturers.</w:t>
      </w:r>
    </w:p>
    <w:p w:rsidR="00357C8A" w:rsidRPr="00357C8A" w:rsidP="006705EA" w14:paraId="6B5A5914"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357C8A" w:rsidP="0022425B" w14:paraId="0418360D" w14:textId="77777777">
      <w:pPr>
        <w:spacing w:after="200"/>
        <w:rPr>
          <w:rFonts w:eastAsia="Calibri"/>
        </w:rPr>
      </w:pPr>
      <w:r>
        <w:t xml:space="preserve">Sponsors and manufacturers of generic animal drug products </w:t>
      </w:r>
      <w:r w:rsidR="00A84136">
        <w:t xml:space="preserve">must download and </w:t>
      </w:r>
      <w:r>
        <w:t xml:space="preserve">use </w:t>
      </w:r>
      <w:r>
        <w:t>eSubmitter</w:t>
      </w:r>
      <w:r>
        <w:t>, a secure online submission tool created by CVM, for all submissions related to the abbreviated new animal drug approval process</w:t>
      </w:r>
      <w:r w:rsidR="002C685E">
        <w:t xml:space="preserve"> </w:t>
      </w:r>
      <w:r w:rsidRPr="005D0DD6" w:rsidR="002C685E">
        <w:t>(</w:t>
      </w:r>
      <w:hyperlink r:id="rId9" w:history="1">
        <w:r w:rsidRPr="005D0DD6" w:rsidR="00486F86">
          <w:rPr>
            <w:rStyle w:val="Hyperlink"/>
          </w:rPr>
          <w:t>https://www.fda.gov/industry/fda-esubmitter/getting-started-esubmitter</w:t>
        </w:r>
      </w:hyperlink>
      <w:r w:rsidR="002C685E">
        <w:t>)</w:t>
      </w:r>
      <w:r>
        <w:t>.  100% of all</w:t>
      </w:r>
      <w:r w:rsidR="00A940A1">
        <w:t xml:space="preserve"> the</w:t>
      </w:r>
      <w:r>
        <w:t xml:space="preserve"> ANADA submissions are submitted electronically</w:t>
      </w:r>
    </w:p>
    <w:p w:rsidR="00357C8A" w:rsidRPr="00357C8A" w:rsidP="006705EA" w14:paraId="2FDE45D9"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357C8A" w:rsidRPr="000C1260" w:rsidP="0053380B" w14:paraId="7D2A675A" w14:textId="77777777">
      <w:pPr>
        <w:spacing w:after="200"/>
      </w:pPr>
      <w:r w:rsidRPr="005C71CA">
        <w:t>We are unaware of duplicative information collection.</w:t>
      </w:r>
    </w:p>
    <w:p w:rsidR="00357C8A" w:rsidRPr="00357C8A" w:rsidP="006705EA" w14:paraId="5ECBD983"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4D644D22" w14:textId="77777777">
      <w:pPr>
        <w:spacing w:after="200"/>
        <w:rPr>
          <w:rFonts w:eastAsia="Calibri"/>
        </w:rPr>
      </w:pPr>
      <w:r>
        <w:rPr>
          <w:bCs/>
        </w:rPr>
        <w:t>We estimate that one or fewer respondents would qualify as a small business.  We assist small businesses to meet the requirements of sections 512(b)(2) and (n)(1) of the FD&amp;C Act through our</w:t>
      </w:r>
      <w:r>
        <w:t xml:space="preserve"> Regional Small Business Representatives</w:t>
      </w:r>
      <w:r>
        <w:rPr>
          <w:bCs/>
        </w:rPr>
        <w:t xml:space="preserve"> and through the scientific and administrative staff within the Center.</w:t>
      </w:r>
    </w:p>
    <w:p w:rsidR="00357C8A" w:rsidRPr="00357C8A" w:rsidP="006705EA" w14:paraId="1BEFE353"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357C8A" w:rsidP="00357C8A" w14:paraId="5CF0B60D" w14:textId="77777777">
      <w:pPr>
        <w:spacing w:after="200"/>
        <w:rPr>
          <w:rFonts w:eastAsia="Calibri"/>
          <w:color w:val="FF0000"/>
        </w:rPr>
      </w:pPr>
      <w:r w:rsidRPr="00A940A1">
        <w:rPr>
          <w:rFonts w:eastAsia="Calibri"/>
        </w:rPr>
        <w:t xml:space="preserve">Data collection occurs occasionally. There are no specific regulatory time frames imposed on an applicant for </w:t>
      </w:r>
      <w:r w:rsidRPr="00A940A1">
        <w:rPr>
          <w:rFonts w:eastAsia="Calibri"/>
        </w:rPr>
        <w:t>submitting an application</w:t>
      </w:r>
      <w:r w:rsidRPr="00A940A1">
        <w:rPr>
          <w:rFonts w:eastAsia="Calibri"/>
        </w:rPr>
        <w:t xml:space="preserve"> or supplement.  After the initial submission of an application, the applicant can submit any required information as he/she sees fit or as may be imposed by the regulations under 21 CFR parts 514, 211, 225, or 226.</w:t>
      </w:r>
    </w:p>
    <w:p w:rsidR="00357C8A" w:rsidRPr="00357C8A" w:rsidP="006705EA" w14:paraId="1984F4D4"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1CB13645" w14:textId="77777777">
      <w:pPr>
        <w:spacing w:after="200"/>
        <w:rPr>
          <w:rFonts w:eastAsia="Calibri"/>
        </w:rPr>
      </w:pPr>
      <w:r>
        <w:rPr>
          <w:rFonts w:eastAsia="Calibri"/>
        </w:rPr>
        <w:t xml:space="preserve">There are no </w:t>
      </w:r>
      <w:r>
        <w:rPr>
          <w:rFonts w:eastAsia="Calibri"/>
        </w:rPr>
        <w:t>special circumstances</w:t>
      </w:r>
      <w:r>
        <w:rPr>
          <w:rFonts w:eastAsia="Calibri"/>
        </w:rPr>
        <w:t xml:space="preserve"> associated with this collection of information.</w:t>
      </w:r>
    </w:p>
    <w:p w:rsidR="00357C8A" w:rsidRPr="00357C8A" w:rsidP="006705EA" w14:paraId="557BB2F5"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792947" w:rsidP="00357C8A" w14:paraId="058D3C32" w14:textId="77777777">
      <w:pPr>
        <w:spacing w:after="200"/>
        <w:rPr>
          <w:rFonts w:eastAsia="Calibri"/>
        </w:rPr>
      </w:pPr>
      <w:r>
        <w:rPr>
          <w:rFonts w:eastAsia="Calibri"/>
        </w:rPr>
        <w:t xml:space="preserve">FDA published a 60-day notice for public comment in the </w:t>
      </w:r>
      <w:r w:rsidRPr="009009E7">
        <w:rPr>
          <w:rFonts w:eastAsia="Calibri"/>
          <w:i/>
        </w:rPr>
        <w:t>Federal Register</w:t>
      </w:r>
      <w:r>
        <w:rPr>
          <w:rFonts w:eastAsia="Calibri"/>
        </w:rPr>
        <w:t xml:space="preserve"> of </w:t>
      </w:r>
      <w:r w:rsidR="00A940A1">
        <w:rPr>
          <w:rFonts w:eastAsia="Calibri"/>
        </w:rPr>
        <w:t>March 18, 2022</w:t>
      </w:r>
      <w:r w:rsidR="009009E7">
        <w:rPr>
          <w:rFonts w:eastAsia="Calibri"/>
        </w:rPr>
        <w:t xml:space="preserve"> (</w:t>
      </w:r>
      <w:r w:rsidR="00AC74B2">
        <w:rPr>
          <w:rFonts w:eastAsia="Calibri"/>
        </w:rPr>
        <w:t>87</w:t>
      </w:r>
      <w:r w:rsidR="009009E7">
        <w:rPr>
          <w:rFonts w:eastAsia="Calibri"/>
        </w:rPr>
        <w:t xml:space="preserve"> FR </w:t>
      </w:r>
      <w:r w:rsidR="00AC74B2">
        <w:rPr>
          <w:rFonts w:eastAsia="Calibri"/>
        </w:rPr>
        <w:t>15436</w:t>
      </w:r>
      <w:r w:rsidR="009009E7">
        <w:rPr>
          <w:rFonts w:eastAsia="Calibri"/>
        </w:rPr>
        <w:t>)</w:t>
      </w:r>
      <w:r w:rsidR="00AC74B2">
        <w:rPr>
          <w:rFonts w:eastAsia="Calibri"/>
        </w:rPr>
        <w:t>.</w:t>
      </w:r>
      <w:r w:rsidR="00F76DA3">
        <w:rPr>
          <w:rFonts w:eastAsia="Calibri"/>
        </w:rPr>
        <w:t xml:space="preserve">  </w:t>
      </w:r>
    </w:p>
    <w:p w:rsidR="003D7C69" w:rsidP="003D7C69" w14:paraId="164AFFD1" w14:textId="77777777">
      <w:r w:rsidRPr="00683087">
        <w:t xml:space="preserve">We received </w:t>
      </w:r>
      <w:r w:rsidR="004A2BF0">
        <w:t>and consider</w:t>
      </w:r>
      <w:r w:rsidR="00E749F3">
        <w:t>ed</w:t>
      </w:r>
      <w:r w:rsidR="004A2BF0">
        <w:t xml:space="preserve"> </w:t>
      </w:r>
      <w:r w:rsidRPr="00683087">
        <w:t>one comment</w:t>
      </w:r>
      <w:r w:rsidR="00E56216">
        <w:t xml:space="preserve"> </w:t>
      </w:r>
      <w:r w:rsidR="004A2BF0">
        <w:t xml:space="preserve">requesting the posting </w:t>
      </w:r>
      <w:r w:rsidRPr="00E90E4B" w:rsidR="004A2BF0">
        <w:t>of new animal drug applications for public access</w:t>
      </w:r>
      <w:r w:rsidRPr="00683087">
        <w:t xml:space="preserve">. </w:t>
      </w:r>
      <w:r w:rsidR="00E56216">
        <w:t xml:space="preserve">While </w:t>
      </w:r>
      <w:r w:rsidRPr="00683087">
        <w:t xml:space="preserve">FDA posts </w:t>
      </w:r>
      <w:r w:rsidRPr="003D7C69">
        <w:t xml:space="preserve">a summary of the safety and effectiveness data and information submitted in the application, which supports the basis for FDA’s approval  </w:t>
      </w:r>
      <w:r w:rsidRPr="00683087">
        <w:t>(</w:t>
      </w:r>
      <w:hyperlink r:id="rId10" w:history="1">
        <w:r w:rsidRPr="00683087">
          <w:rPr>
            <w:rStyle w:val="Hyperlink"/>
          </w:rPr>
          <w:t>https://www.fda.gov/animal-veterinary/approved-animal-drug-products-green-book/freedom-information-foi-summaries-approved-animal-drugs</w:t>
        </w:r>
      </w:hyperlink>
      <w:r w:rsidRPr="00683087">
        <w:t>)</w:t>
      </w:r>
      <w:r w:rsidR="00E56216">
        <w:t xml:space="preserve">, we are </w:t>
      </w:r>
      <w:r w:rsidRPr="003D7C69">
        <w:t>prohibited from disclosing commercial confidential information contained in an ANADA.</w:t>
      </w:r>
      <w:r>
        <w:t xml:space="preserve"> </w:t>
      </w:r>
    </w:p>
    <w:p w:rsidR="000538E9" w:rsidRPr="00357C8A" w:rsidP="00683087" w14:paraId="5644AA80" w14:textId="77777777">
      <w:pPr>
        <w:rPr>
          <w:rFonts w:eastAsia="Calibri"/>
        </w:rPr>
      </w:pPr>
      <w:r>
        <w:t xml:space="preserve"> </w:t>
      </w:r>
    </w:p>
    <w:p w:rsidR="00357C8A" w:rsidRPr="00357C8A" w:rsidP="006705EA" w14:paraId="234DC579"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792947" w:rsidRPr="00792947" w:rsidP="00DD0E02" w14:paraId="799D65AE" w14:textId="77777777">
      <w:pPr>
        <w:spacing w:after="200"/>
        <w:rPr>
          <w:rFonts w:eastAsia="Calibri"/>
          <w:i/>
        </w:rPr>
      </w:pPr>
      <w:r w:rsidRPr="002074FE">
        <w:rPr>
          <w:rFonts w:eastAsia="Calibri"/>
        </w:rPr>
        <w:t>There are no incentives, payments or gifts associated with this information collection.</w:t>
      </w:r>
    </w:p>
    <w:p w:rsidR="00357C8A" w:rsidRPr="00357C8A" w:rsidP="006705EA" w14:paraId="2652C34B"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4152C2" w:rsidRPr="004152C2" w:rsidP="004152C2" w14:paraId="501ACA1E" w14:textId="77777777">
      <w:pPr>
        <w:spacing w:after="200"/>
        <w:rPr>
          <w:rFonts w:eastAsia="Calibri"/>
        </w:rPr>
      </w:pPr>
      <w:r w:rsidRPr="004152C2">
        <w:rPr>
          <w:rFonts w:eastAsia="Calibri"/>
        </w:rPr>
        <w:t xml:space="preserve">In preparing this Supporting Statement, we consulted our Privacy Office to ensure appropriate identification and handling of information collected.                                                                                                                                        </w:t>
      </w:r>
    </w:p>
    <w:p w:rsidR="004152C2" w:rsidP="004152C2" w14:paraId="2EC8D1BE" w14:textId="77777777">
      <w:pPr>
        <w:spacing w:after="200"/>
        <w:rPr>
          <w:rFonts w:eastAsia="Calibri"/>
        </w:rPr>
      </w:pPr>
      <w:r w:rsidRPr="004152C2">
        <w:rPr>
          <w:rFonts w:eastAsia="Calibri"/>
        </w:rPr>
        <w:t xml:space="preserve">This ICR collects personally identifiable information (PII).  PII is collected in the context of the subject individuals’ professional capacity and the FDA-related work they perform for their employer (e.g., point of contact at a regulated entity).  The PII submitted via Form FDA 356V (Application for Approval of a New Animal Drug or submission to support new animal drug approval) is name, address, telephone number, fax number, and email address. FDA determined that although PII is collected it is not subject to the Privacy Act of 1974 and the particular notice and other requirements of the Act do not apply. </w:t>
      </w:r>
      <w:r w:rsidRPr="005D0DD6" w:rsidR="005D0DD6">
        <w:rPr>
          <w:rFonts w:eastAsia="Calibri"/>
        </w:rPr>
        <w:t>Specifically,</w:t>
      </w:r>
      <w:r w:rsidRPr="005D0DD6" w:rsidR="00486F86">
        <w:rPr>
          <w:rFonts w:eastAsia="Calibri"/>
        </w:rPr>
        <w:t xml:space="preserve"> </w:t>
      </w:r>
      <w:r w:rsidRPr="005D0DD6">
        <w:rPr>
          <w:rFonts w:eastAsia="Calibri"/>
        </w:rPr>
        <w:t>FDA do</w:t>
      </w:r>
      <w:r w:rsidRPr="005D0DD6" w:rsidR="00486F86">
        <w:rPr>
          <w:rFonts w:eastAsia="Calibri"/>
        </w:rPr>
        <w:t>es</w:t>
      </w:r>
      <w:r w:rsidRPr="004152C2">
        <w:rPr>
          <w:rFonts w:eastAsia="Calibri"/>
        </w:rPr>
        <w:t xml:space="preserve"> not use name or any other personal identifier to routinely retrieve records from the information collected. Through appropriate form design, FDA limited submission fields and minimized the PII collected to protect the privacy of the individuals.</w:t>
      </w:r>
    </w:p>
    <w:p w:rsidR="001075D3" w:rsidP="004152C2" w14:paraId="69232EA0" w14:textId="77777777">
      <w:pPr>
        <w:spacing w:after="200"/>
        <w:rPr>
          <w:rFonts w:eastAsia="Calibri"/>
        </w:rPr>
      </w:pPr>
      <w:r w:rsidRPr="004152C2">
        <w:rPr>
          <w:rFonts w:eastAsia="Calibri"/>
        </w:rPr>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1016D4" w:rsidRPr="001016D4" w:rsidP="001016D4" w14:paraId="05C0B0B5" w14:textId="77777777">
      <w:pPr>
        <w:spacing w:after="200"/>
        <w:rPr>
          <w:rFonts w:eastAsia="Calibri"/>
        </w:rPr>
      </w:pPr>
      <w:r w:rsidRPr="001016D4">
        <w:rPr>
          <w:rFonts w:eastAsia="Calibri"/>
        </w:rPr>
        <w:t>We expect that an ANADA will contain trade secret and commercial confidential information.  As a result, all files are maintained in a secured area.  Confidentiality of the information submitted under these reporting requirements is protected under 21 CFR 514.11.  Only information that is releasable under the agency’s regulations in 21 CFR part 20 would be released to the public.  This information is also safeguarded by section 301(j) of the FD&amp;C Act and would be protected from disclosure under the Freedom of Information Act (FOIA) under sections 552(a) and (b) (5 U.S.C. 552(a) and (b)).</w:t>
      </w:r>
    </w:p>
    <w:p w:rsidR="00357C8A" w:rsidRPr="00357C8A" w:rsidP="006705EA" w14:paraId="4C47B78A"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F53114" w:rsidP="0022425B" w14:paraId="76591447" w14:textId="77777777">
      <w:pPr>
        <w:spacing w:after="200"/>
        <w:rPr>
          <w:rFonts w:eastAsia="Calibri"/>
          <w:iCs/>
        </w:rPr>
      </w:pPr>
      <w:r w:rsidRPr="00F53114">
        <w:rPr>
          <w:rFonts w:eastAsia="Calibri"/>
          <w:iCs/>
        </w:rPr>
        <w:t>The collection of information does not involve sensitive questions.</w:t>
      </w:r>
    </w:p>
    <w:p w:rsidR="00357C8A" w:rsidRPr="00357C8A" w:rsidP="006705EA" w14:paraId="526BDE41"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P="0022425B" w14:paraId="0F3A4433" w14:textId="36029DE2">
      <w:pPr>
        <w:spacing w:after="200"/>
        <w:ind w:left="360"/>
        <w:rPr>
          <w:rFonts w:eastAsia="Calibri"/>
        </w:rPr>
      </w:pPr>
      <w:r w:rsidRPr="005C71CA">
        <w:rPr>
          <w:rFonts w:eastAsia="Calibri"/>
        </w:rPr>
        <w:t>12a.  Annualized Hour Burden Estimate</w:t>
      </w:r>
    </w:p>
    <w:p w:rsidR="001D09E2" w:rsidRPr="007F28F3" w:rsidP="001D09E2" w14:paraId="645AC2EF" w14:textId="15621D66">
      <w:pPr>
        <w:spacing w:after="200" w:line="276" w:lineRule="auto"/>
        <w:ind w:left="360"/>
        <w:rPr>
          <w:rFonts w:eastAsia="Calibri"/>
        </w:rPr>
      </w:pPr>
      <w:bookmarkStart w:id="0" w:name="_Hlk114818192"/>
      <w:r w:rsidRPr="007F28F3">
        <w:rPr>
          <w:rFonts w:eastAsia="Calibri"/>
        </w:rPr>
        <w:t>In the burden hour table</w:t>
      </w:r>
      <w:r>
        <w:rPr>
          <w:rFonts w:eastAsia="Calibri"/>
        </w:rPr>
        <w:t xml:space="preserve"> below</w:t>
      </w:r>
      <w:r w:rsidRPr="007F28F3">
        <w:rPr>
          <w:rFonts w:eastAsia="Calibri"/>
        </w:rPr>
        <w:t>, we calculate a total of 39 respondents and</w:t>
      </w:r>
      <w:r w:rsidR="0009705B">
        <w:rPr>
          <w:rFonts w:eastAsia="Calibri"/>
        </w:rPr>
        <w:t xml:space="preserve"> </w:t>
      </w:r>
      <w:r w:rsidRPr="0009705B" w:rsidR="0009705B">
        <w:rPr>
          <w:rFonts w:eastAsia="Calibri"/>
        </w:rPr>
        <w:t>some line items represent a subset of those respondents</w:t>
      </w:r>
      <w:r w:rsidRPr="007F28F3">
        <w:rPr>
          <w:rFonts w:eastAsia="Calibri"/>
        </w:rPr>
        <w:t xml:space="preserve">.  </w:t>
      </w:r>
    </w:p>
    <w:bookmarkEnd w:id="0"/>
    <w:p w:rsidR="001D09E2" w:rsidP="0022425B" w14:paraId="1D6FC810" w14:textId="77777777">
      <w:pPr>
        <w:spacing w:after="200"/>
        <w:ind w:left="360"/>
        <w:rPr>
          <w:rFonts w:eastAsia="Calibri"/>
        </w:rPr>
      </w:pPr>
    </w:p>
    <w:p w:rsidR="00337D0F" w:rsidRPr="00337D0F" w:rsidP="00337D0F" w14:paraId="4957112C" w14:textId="77777777">
      <w:pPr>
        <w:keepNext/>
        <w:jc w:val="center"/>
      </w:pPr>
      <w:r w:rsidRPr="00337D0F">
        <w:rPr>
          <w:sz w:val="20"/>
          <w:szCs w:val="20"/>
        </w:rPr>
        <w:t>Table 1.--Estimated Annual Reporting Burden</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8"/>
        <w:gridCol w:w="804"/>
        <w:gridCol w:w="1250"/>
        <w:gridCol w:w="1339"/>
        <w:gridCol w:w="1250"/>
        <w:gridCol w:w="1249"/>
        <w:gridCol w:w="1068"/>
      </w:tblGrid>
      <w:tr w14:paraId="649DBD63" w14:textId="77777777" w:rsidTr="005A5320">
        <w:tblPrEx>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953"/>
          <w:tblHeader/>
        </w:trPr>
        <w:tc>
          <w:tcPr>
            <w:tcW w:w="1293" w:type="pct"/>
            <w:shd w:val="clear" w:color="auto" w:fill="auto"/>
          </w:tcPr>
          <w:p w:rsidR="00AC0BD9" w:rsidP="00337D0F" w14:paraId="2C3AAB1D" w14:textId="77777777">
            <w:pPr>
              <w:jc w:val="center"/>
              <w:rPr>
                <w:sz w:val="20"/>
                <w:szCs w:val="20"/>
              </w:rPr>
            </w:pPr>
            <w:bookmarkStart w:id="1" w:name="_Hlk92359058"/>
            <w:r w:rsidRPr="00337D0F">
              <w:rPr>
                <w:sz w:val="20"/>
                <w:szCs w:val="20"/>
              </w:rPr>
              <w:t>Activity</w:t>
            </w:r>
            <w:r w:rsidR="00827874">
              <w:rPr>
                <w:sz w:val="20"/>
                <w:szCs w:val="20"/>
              </w:rPr>
              <w:t>;</w:t>
            </w:r>
            <w:r w:rsidR="00827874">
              <w:rPr>
                <w:sz w:val="20"/>
                <w:szCs w:val="20"/>
              </w:rPr>
              <w:t xml:space="preserve"> </w:t>
            </w:r>
          </w:p>
          <w:p w:rsidR="00AC0BD9" w:rsidP="00337D0F" w14:paraId="61C3411D" w14:textId="77777777">
            <w:pPr>
              <w:jc w:val="center"/>
              <w:rPr>
                <w:sz w:val="20"/>
                <w:szCs w:val="20"/>
              </w:rPr>
            </w:pPr>
            <w:r>
              <w:rPr>
                <w:sz w:val="20"/>
                <w:szCs w:val="20"/>
              </w:rPr>
              <w:t xml:space="preserve">Guidance </w:t>
            </w:r>
          </w:p>
          <w:p w:rsidR="00AC0BD9" w:rsidP="00337D0F" w14:paraId="1AA5DD9D" w14:textId="77777777">
            <w:pPr>
              <w:jc w:val="center"/>
              <w:rPr>
                <w:sz w:val="20"/>
                <w:szCs w:val="20"/>
              </w:rPr>
            </w:pPr>
            <w:r>
              <w:rPr>
                <w:sz w:val="20"/>
                <w:szCs w:val="20"/>
              </w:rPr>
              <w:t>Document</w:t>
            </w:r>
          </w:p>
          <w:p w:rsidR="00337D0F" w:rsidRPr="00337D0F" w:rsidP="00337D0F" w14:paraId="68338EF9" w14:textId="77777777">
            <w:pPr>
              <w:jc w:val="center"/>
              <w:rPr>
                <w:sz w:val="20"/>
                <w:szCs w:val="20"/>
              </w:rPr>
            </w:pPr>
            <w:r>
              <w:rPr>
                <w:sz w:val="20"/>
                <w:szCs w:val="20"/>
              </w:rPr>
              <w:t xml:space="preserve"> Section</w:t>
            </w:r>
          </w:p>
        </w:tc>
        <w:tc>
          <w:tcPr>
            <w:tcW w:w="428" w:type="pct"/>
          </w:tcPr>
          <w:p w:rsidR="00337D0F" w:rsidRPr="00337D0F" w:rsidP="00337D0F" w14:paraId="1D00D67A" w14:textId="77777777">
            <w:pPr>
              <w:jc w:val="center"/>
              <w:rPr>
                <w:sz w:val="20"/>
                <w:szCs w:val="20"/>
              </w:rPr>
            </w:pPr>
            <w:r w:rsidRPr="00337D0F">
              <w:rPr>
                <w:sz w:val="20"/>
                <w:szCs w:val="20"/>
              </w:rPr>
              <w:t>FDA Form No.</w:t>
            </w:r>
          </w:p>
        </w:tc>
        <w:tc>
          <w:tcPr>
            <w:tcW w:w="666" w:type="pct"/>
            <w:shd w:val="clear" w:color="auto" w:fill="auto"/>
          </w:tcPr>
          <w:p w:rsidR="00337D0F" w:rsidRPr="00337D0F" w:rsidP="00337D0F" w14:paraId="4430CF00" w14:textId="77777777">
            <w:pPr>
              <w:jc w:val="center"/>
              <w:rPr>
                <w:sz w:val="20"/>
                <w:szCs w:val="20"/>
              </w:rPr>
            </w:pPr>
            <w:r w:rsidRPr="00337D0F">
              <w:rPr>
                <w:sz w:val="20"/>
                <w:szCs w:val="20"/>
              </w:rPr>
              <w:t>No. of Respondents</w:t>
            </w:r>
          </w:p>
        </w:tc>
        <w:tc>
          <w:tcPr>
            <w:tcW w:w="713" w:type="pct"/>
            <w:shd w:val="clear" w:color="auto" w:fill="auto"/>
          </w:tcPr>
          <w:p w:rsidR="00337D0F" w:rsidRPr="00337D0F" w:rsidP="00337D0F" w14:paraId="1F82142F" w14:textId="77777777">
            <w:pPr>
              <w:jc w:val="center"/>
              <w:rPr>
                <w:sz w:val="20"/>
                <w:szCs w:val="20"/>
              </w:rPr>
            </w:pPr>
            <w:r w:rsidRPr="00337D0F">
              <w:rPr>
                <w:bCs/>
                <w:sz w:val="20"/>
                <w:szCs w:val="20"/>
              </w:rPr>
              <w:t>No. of Responses per Respondent</w:t>
            </w:r>
          </w:p>
        </w:tc>
        <w:tc>
          <w:tcPr>
            <w:tcW w:w="666" w:type="pct"/>
            <w:shd w:val="clear" w:color="auto" w:fill="auto"/>
          </w:tcPr>
          <w:p w:rsidR="00337D0F" w:rsidRPr="00337D0F" w:rsidP="00337D0F" w14:paraId="5C4D191A" w14:textId="77777777">
            <w:pPr>
              <w:jc w:val="center"/>
              <w:rPr>
                <w:sz w:val="20"/>
                <w:szCs w:val="20"/>
              </w:rPr>
            </w:pPr>
            <w:r w:rsidRPr="00337D0F">
              <w:rPr>
                <w:sz w:val="20"/>
                <w:szCs w:val="20"/>
              </w:rPr>
              <w:t>Total Annual Responses</w:t>
            </w:r>
          </w:p>
        </w:tc>
        <w:tc>
          <w:tcPr>
            <w:tcW w:w="665" w:type="pct"/>
            <w:shd w:val="clear" w:color="auto" w:fill="auto"/>
          </w:tcPr>
          <w:p w:rsidR="00337D0F" w:rsidRPr="00337D0F" w:rsidP="00337D0F" w14:paraId="14C8E5F8" w14:textId="77777777">
            <w:pPr>
              <w:jc w:val="center"/>
              <w:rPr>
                <w:sz w:val="20"/>
                <w:szCs w:val="20"/>
              </w:rPr>
            </w:pPr>
            <w:r w:rsidRPr="00337D0F">
              <w:rPr>
                <w:bCs/>
                <w:sz w:val="20"/>
                <w:szCs w:val="20"/>
              </w:rPr>
              <w:t>Average Burden per Response</w:t>
            </w:r>
          </w:p>
        </w:tc>
        <w:tc>
          <w:tcPr>
            <w:tcW w:w="569" w:type="pct"/>
            <w:shd w:val="clear" w:color="auto" w:fill="auto"/>
          </w:tcPr>
          <w:p w:rsidR="00337D0F" w:rsidRPr="00337D0F" w:rsidP="00337D0F" w14:paraId="7A2B27AB" w14:textId="77777777">
            <w:pPr>
              <w:jc w:val="center"/>
              <w:rPr>
                <w:sz w:val="20"/>
                <w:szCs w:val="20"/>
              </w:rPr>
            </w:pPr>
            <w:r w:rsidRPr="00337D0F">
              <w:rPr>
                <w:sz w:val="20"/>
                <w:szCs w:val="20"/>
              </w:rPr>
              <w:t>Total Hours</w:t>
            </w:r>
          </w:p>
        </w:tc>
      </w:tr>
      <w:tr w14:paraId="2D416227" w14:textId="77777777" w:rsidTr="005A5320">
        <w:tblPrEx>
          <w:tblW w:w="4944" w:type="pct"/>
          <w:tblLook w:val="01E0"/>
        </w:tblPrEx>
        <w:trPr>
          <w:cantSplit/>
          <w:trHeight w:val="20"/>
          <w:tblHeader/>
        </w:trPr>
        <w:tc>
          <w:tcPr>
            <w:tcW w:w="1293" w:type="pct"/>
            <w:shd w:val="clear" w:color="auto" w:fill="auto"/>
          </w:tcPr>
          <w:p w:rsidR="00337D0F" w:rsidRPr="00337D0F" w:rsidP="00337D0F" w14:paraId="127758F5" w14:textId="77777777">
            <w:pPr>
              <w:rPr>
                <w:sz w:val="20"/>
                <w:szCs w:val="20"/>
              </w:rPr>
            </w:pPr>
            <w:r w:rsidRPr="00337D0F">
              <w:rPr>
                <w:sz w:val="20"/>
                <w:szCs w:val="20"/>
              </w:rPr>
              <w:t>ANADA</w:t>
            </w:r>
          </w:p>
        </w:tc>
        <w:tc>
          <w:tcPr>
            <w:tcW w:w="428" w:type="pct"/>
          </w:tcPr>
          <w:p w:rsidR="00337D0F" w:rsidRPr="00337D0F" w:rsidP="00337D0F" w14:paraId="079C6841" w14:textId="77777777">
            <w:pPr>
              <w:jc w:val="right"/>
              <w:rPr>
                <w:sz w:val="20"/>
                <w:szCs w:val="20"/>
              </w:rPr>
            </w:pPr>
            <w:r w:rsidRPr="00337D0F">
              <w:rPr>
                <w:sz w:val="20"/>
                <w:szCs w:val="20"/>
              </w:rPr>
              <w:t>356v</w:t>
            </w:r>
          </w:p>
        </w:tc>
        <w:tc>
          <w:tcPr>
            <w:tcW w:w="666" w:type="pct"/>
            <w:shd w:val="clear" w:color="auto" w:fill="auto"/>
          </w:tcPr>
          <w:p w:rsidR="00337D0F" w:rsidRPr="00337D0F" w:rsidP="00337D0F" w14:paraId="16583066" w14:textId="77777777">
            <w:pPr>
              <w:jc w:val="right"/>
              <w:rPr>
                <w:sz w:val="20"/>
                <w:szCs w:val="20"/>
              </w:rPr>
            </w:pPr>
            <w:r w:rsidRPr="00337D0F">
              <w:rPr>
                <w:sz w:val="20"/>
                <w:szCs w:val="20"/>
              </w:rPr>
              <w:t>20</w:t>
            </w:r>
          </w:p>
        </w:tc>
        <w:tc>
          <w:tcPr>
            <w:tcW w:w="713" w:type="pct"/>
            <w:shd w:val="clear" w:color="auto" w:fill="auto"/>
          </w:tcPr>
          <w:p w:rsidR="00337D0F" w:rsidRPr="00337D0F" w:rsidP="00337D0F" w14:paraId="50458807" w14:textId="77777777">
            <w:pPr>
              <w:jc w:val="right"/>
              <w:rPr>
                <w:sz w:val="20"/>
                <w:szCs w:val="20"/>
              </w:rPr>
            </w:pPr>
            <w:r w:rsidRPr="00337D0F">
              <w:rPr>
                <w:sz w:val="20"/>
                <w:szCs w:val="20"/>
              </w:rPr>
              <w:t>1</w:t>
            </w:r>
          </w:p>
        </w:tc>
        <w:tc>
          <w:tcPr>
            <w:tcW w:w="666" w:type="pct"/>
            <w:shd w:val="clear" w:color="auto" w:fill="auto"/>
          </w:tcPr>
          <w:p w:rsidR="00337D0F" w:rsidRPr="00337D0F" w:rsidP="00337D0F" w14:paraId="16805F9E" w14:textId="77777777">
            <w:pPr>
              <w:jc w:val="right"/>
              <w:rPr>
                <w:sz w:val="20"/>
                <w:szCs w:val="20"/>
              </w:rPr>
            </w:pPr>
            <w:r w:rsidRPr="00337D0F">
              <w:rPr>
                <w:sz w:val="20"/>
                <w:szCs w:val="20"/>
              </w:rPr>
              <w:t>20</w:t>
            </w:r>
          </w:p>
        </w:tc>
        <w:tc>
          <w:tcPr>
            <w:tcW w:w="665" w:type="pct"/>
            <w:shd w:val="clear" w:color="auto" w:fill="auto"/>
          </w:tcPr>
          <w:p w:rsidR="00337D0F" w:rsidRPr="00337D0F" w:rsidP="00337D0F" w14:paraId="55E0F987" w14:textId="77777777">
            <w:pPr>
              <w:jc w:val="right"/>
              <w:rPr>
                <w:sz w:val="20"/>
                <w:szCs w:val="20"/>
              </w:rPr>
            </w:pPr>
            <w:r w:rsidRPr="00337D0F">
              <w:rPr>
                <w:sz w:val="20"/>
                <w:szCs w:val="20"/>
              </w:rPr>
              <w:t>159</w:t>
            </w:r>
          </w:p>
        </w:tc>
        <w:tc>
          <w:tcPr>
            <w:tcW w:w="569" w:type="pct"/>
            <w:shd w:val="clear" w:color="auto" w:fill="auto"/>
          </w:tcPr>
          <w:p w:rsidR="00337D0F" w:rsidRPr="00337D0F" w:rsidP="00337D0F" w14:paraId="32D194AC" w14:textId="77777777">
            <w:pPr>
              <w:jc w:val="right"/>
              <w:rPr>
                <w:sz w:val="20"/>
                <w:szCs w:val="20"/>
              </w:rPr>
            </w:pPr>
            <w:r w:rsidRPr="00337D0F">
              <w:rPr>
                <w:sz w:val="20"/>
                <w:szCs w:val="20"/>
              </w:rPr>
              <w:t>3,180</w:t>
            </w:r>
          </w:p>
        </w:tc>
      </w:tr>
      <w:tr w14:paraId="3C25DC7D" w14:textId="77777777" w:rsidTr="005A5320">
        <w:tblPrEx>
          <w:tblW w:w="4944" w:type="pct"/>
          <w:tblLook w:val="01E0"/>
        </w:tblPrEx>
        <w:trPr>
          <w:cantSplit/>
          <w:trHeight w:val="20"/>
          <w:tblHeader/>
        </w:trPr>
        <w:tc>
          <w:tcPr>
            <w:tcW w:w="1293" w:type="pct"/>
            <w:shd w:val="clear" w:color="auto" w:fill="auto"/>
          </w:tcPr>
          <w:p w:rsidR="00337D0F" w:rsidRPr="00337D0F" w:rsidP="00337D0F" w14:paraId="405F3993" w14:textId="77777777">
            <w:pPr>
              <w:rPr>
                <w:sz w:val="20"/>
                <w:szCs w:val="20"/>
              </w:rPr>
            </w:pPr>
            <w:r w:rsidRPr="00337D0F">
              <w:rPr>
                <w:sz w:val="20"/>
                <w:szCs w:val="20"/>
              </w:rPr>
              <w:t>Phased review with administrative ANADA</w:t>
            </w:r>
          </w:p>
        </w:tc>
        <w:tc>
          <w:tcPr>
            <w:tcW w:w="428" w:type="pct"/>
          </w:tcPr>
          <w:p w:rsidR="00337D0F" w:rsidRPr="00337D0F" w:rsidP="00337D0F" w14:paraId="20309A37" w14:textId="77777777">
            <w:pPr>
              <w:jc w:val="right"/>
              <w:rPr>
                <w:sz w:val="20"/>
                <w:szCs w:val="20"/>
              </w:rPr>
            </w:pPr>
            <w:r w:rsidRPr="00337D0F">
              <w:rPr>
                <w:sz w:val="20"/>
                <w:szCs w:val="20"/>
              </w:rPr>
              <w:t>356v</w:t>
            </w:r>
          </w:p>
        </w:tc>
        <w:tc>
          <w:tcPr>
            <w:tcW w:w="666" w:type="pct"/>
            <w:shd w:val="clear" w:color="auto" w:fill="auto"/>
          </w:tcPr>
          <w:p w:rsidR="00337D0F" w:rsidRPr="00337D0F" w:rsidP="00337D0F" w14:paraId="0398F358" w14:textId="77777777">
            <w:pPr>
              <w:jc w:val="right"/>
              <w:rPr>
                <w:sz w:val="20"/>
                <w:szCs w:val="20"/>
              </w:rPr>
            </w:pPr>
            <w:r w:rsidRPr="00337D0F">
              <w:rPr>
                <w:sz w:val="20"/>
                <w:szCs w:val="20"/>
              </w:rPr>
              <w:t>6</w:t>
            </w:r>
          </w:p>
        </w:tc>
        <w:tc>
          <w:tcPr>
            <w:tcW w:w="713" w:type="pct"/>
            <w:shd w:val="clear" w:color="auto" w:fill="auto"/>
          </w:tcPr>
          <w:p w:rsidR="00337D0F" w:rsidRPr="00337D0F" w:rsidP="00337D0F" w14:paraId="1DBC35C3" w14:textId="77777777">
            <w:pPr>
              <w:jc w:val="right"/>
              <w:rPr>
                <w:sz w:val="20"/>
                <w:szCs w:val="20"/>
              </w:rPr>
            </w:pPr>
            <w:r w:rsidRPr="00337D0F">
              <w:rPr>
                <w:sz w:val="20"/>
                <w:szCs w:val="20"/>
              </w:rPr>
              <w:t>5</w:t>
            </w:r>
          </w:p>
        </w:tc>
        <w:tc>
          <w:tcPr>
            <w:tcW w:w="666" w:type="pct"/>
            <w:shd w:val="clear" w:color="auto" w:fill="auto"/>
          </w:tcPr>
          <w:p w:rsidR="00337D0F" w:rsidRPr="00337D0F" w:rsidP="00337D0F" w14:paraId="5867358E" w14:textId="77777777">
            <w:pPr>
              <w:jc w:val="right"/>
              <w:rPr>
                <w:sz w:val="20"/>
                <w:szCs w:val="20"/>
              </w:rPr>
            </w:pPr>
            <w:r w:rsidRPr="00337D0F">
              <w:rPr>
                <w:sz w:val="20"/>
                <w:szCs w:val="20"/>
              </w:rPr>
              <w:t>30</w:t>
            </w:r>
          </w:p>
        </w:tc>
        <w:tc>
          <w:tcPr>
            <w:tcW w:w="665" w:type="pct"/>
            <w:shd w:val="clear" w:color="auto" w:fill="auto"/>
          </w:tcPr>
          <w:p w:rsidR="00337D0F" w:rsidRPr="00337D0F" w:rsidP="00337D0F" w14:paraId="0A7E7FE0" w14:textId="77777777">
            <w:pPr>
              <w:jc w:val="right"/>
              <w:rPr>
                <w:sz w:val="20"/>
                <w:szCs w:val="20"/>
              </w:rPr>
            </w:pPr>
            <w:r w:rsidRPr="00337D0F">
              <w:rPr>
                <w:sz w:val="20"/>
                <w:szCs w:val="20"/>
              </w:rPr>
              <w:t>31.8</w:t>
            </w:r>
          </w:p>
        </w:tc>
        <w:tc>
          <w:tcPr>
            <w:tcW w:w="569" w:type="pct"/>
            <w:shd w:val="clear" w:color="auto" w:fill="auto"/>
          </w:tcPr>
          <w:p w:rsidR="00337D0F" w:rsidRPr="00337D0F" w:rsidP="00337D0F" w14:paraId="31FC6E72" w14:textId="77777777">
            <w:pPr>
              <w:jc w:val="right"/>
              <w:rPr>
                <w:sz w:val="20"/>
                <w:szCs w:val="20"/>
              </w:rPr>
            </w:pPr>
            <w:r w:rsidRPr="00337D0F">
              <w:rPr>
                <w:sz w:val="20"/>
                <w:szCs w:val="20"/>
              </w:rPr>
              <w:t>954</w:t>
            </w:r>
          </w:p>
        </w:tc>
      </w:tr>
      <w:tr w14:paraId="32139B54" w14:textId="77777777" w:rsidTr="005A5320">
        <w:tblPrEx>
          <w:tblW w:w="4944" w:type="pct"/>
          <w:tblLook w:val="01E0"/>
        </w:tblPrEx>
        <w:trPr>
          <w:cantSplit/>
          <w:trHeight w:val="20"/>
          <w:tblHeader/>
        </w:trPr>
        <w:tc>
          <w:tcPr>
            <w:tcW w:w="1293" w:type="pct"/>
            <w:shd w:val="clear" w:color="auto" w:fill="auto"/>
          </w:tcPr>
          <w:p w:rsidR="00337D0F" w:rsidRPr="00337D0F" w:rsidP="00337D0F" w14:paraId="13886F6B" w14:textId="77777777">
            <w:pPr>
              <w:rPr>
                <w:sz w:val="20"/>
                <w:szCs w:val="20"/>
              </w:rPr>
            </w:pPr>
            <w:r w:rsidRPr="00337D0F">
              <w:rPr>
                <w:sz w:val="20"/>
                <w:szCs w:val="20"/>
              </w:rPr>
              <w:t>Biowaiver request for soluble powder oral dosage form product, using same formulation/manufacturing process approach</w:t>
            </w:r>
            <w:r w:rsidR="00AC0BD9">
              <w:rPr>
                <w:sz w:val="20"/>
                <w:szCs w:val="20"/>
              </w:rPr>
              <w:t xml:space="preserve">; </w:t>
            </w:r>
            <w:r w:rsidRPr="00E4347F" w:rsidR="00AC0BD9">
              <w:rPr>
                <w:sz w:val="20"/>
                <w:szCs w:val="20"/>
              </w:rPr>
              <w:t xml:space="preserve">Section </w:t>
            </w:r>
            <w:r w:rsidRPr="00E4347F" w:rsidR="00BD357C">
              <w:rPr>
                <w:sz w:val="20"/>
                <w:szCs w:val="20"/>
              </w:rPr>
              <w:t>IV</w:t>
            </w:r>
          </w:p>
        </w:tc>
        <w:tc>
          <w:tcPr>
            <w:tcW w:w="428" w:type="pct"/>
          </w:tcPr>
          <w:p w:rsidR="00337D0F" w:rsidRPr="00337D0F" w:rsidP="00337D0F" w14:paraId="742724B3" w14:textId="77777777">
            <w:pPr>
              <w:jc w:val="right"/>
              <w:rPr>
                <w:sz w:val="20"/>
                <w:szCs w:val="20"/>
              </w:rPr>
            </w:pPr>
            <w:r w:rsidRPr="00337D0F">
              <w:rPr>
                <w:sz w:val="20"/>
                <w:szCs w:val="20"/>
              </w:rPr>
              <w:t>N/A</w:t>
            </w:r>
          </w:p>
        </w:tc>
        <w:tc>
          <w:tcPr>
            <w:tcW w:w="666" w:type="pct"/>
            <w:shd w:val="clear" w:color="auto" w:fill="auto"/>
          </w:tcPr>
          <w:p w:rsidR="00337D0F" w:rsidRPr="00337D0F" w:rsidP="00337D0F" w14:paraId="1CB7D626" w14:textId="77777777">
            <w:pPr>
              <w:jc w:val="right"/>
              <w:rPr>
                <w:sz w:val="20"/>
                <w:szCs w:val="20"/>
              </w:rPr>
            </w:pPr>
            <w:r w:rsidRPr="00337D0F">
              <w:rPr>
                <w:sz w:val="20"/>
                <w:szCs w:val="20"/>
              </w:rPr>
              <w:t>1</w:t>
            </w:r>
          </w:p>
        </w:tc>
        <w:tc>
          <w:tcPr>
            <w:tcW w:w="713" w:type="pct"/>
            <w:shd w:val="clear" w:color="auto" w:fill="auto"/>
          </w:tcPr>
          <w:p w:rsidR="00337D0F" w:rsidRPr="00337D0F" w:rsidP="00337D0F" w14:paraId="539F31AA" w14:textId="77777777">
            <w:pPr>
              <w:jc w:val="right"/>
              <w:rPr>
                <w:sz w:val="20"/>
                <w:szCs w:val="20"/>
              </w:rPr>
            </w:pPr>
            <w:r w:rsidRPr="00337D0F">
              <w:rPr>
                <w:sz w:val="20"/>
                <w:szCs w:val="20"/>
              </w:rPr>
              <w:t>1</w:t>
            </w:r>
          </w:p>
        </w:tc>
        <w:tc>
          <w:tcPr>
            <w:tcW w:w="666" w:type="pct"/>
            <w:shd w:val="clear" w:color="auto" w:fill="auto"/>
          </w:tcPr>
          <w:p w:rsidR="00337D0F" w:rsidRPr="00337D0F" w:rsidP="00337D0F" w14:paraId="1D413A00" w14:textId="77777777">
            <w:pPr>
              <w:jc w:val="right"/>
              <w:rPr>
                <w:sz w:val="20"/>
                <w:szCs w:val="20"/>
              </w:rPr>
            </w:pPr>
            <w:r w:rsidRPr="00337D0F">
              <w:rPr>
                <w:sz w:val="20"/>
                <w:szCs w:val="20"/>
              </w:rPr>
              <w:t>1</w:t>
            </w:r>
          </w:p>
        </w:tc>
        <w:tc>
          <w:tcPr>
            <w:tcW w:w="665" w:type="pct"/>
            <w:shd w:val="clear" w:color="auto" w:fill="auto"/>
          </w:tcPr>
          <w:p w:rsidR="00337D0F" w:rsidRPr="00337D0F" w:rsidP="00337D0F" w14:paraId="6A5AD369" w14:textId="77777777">
            <w:pPr>
              <w:jc w:val="right"/>
              <w:rPr>
                <w:sz w:val="20"/>
                <w:szCs w:val="20"/>
              </w:rPr>
            </w:pPr>
            <w:r w:rsidRPr="00337D0F">
              <w:rPr>
                <w:sz w:val="20"/>
                <w:szCs w:val="20"/>
              </w:rPr>
              <w:t>5</w:t>
            </w:r>
          </w:p>
        </w:tc>
        <w:tc>
          <w:tcPr>
            <w:tcW w:w="569" w:type="pct"/>
            <w:shd w:val="clear" w:color="auto" w:fill="auto"/>
          </w:tcPr>
          <w:p w:rsidR="00337D0F" w:rsidRPr="00337D0F" w:rsidP="00337D0F" w14:paraId="396D52F0" w14:textId="77777777">
            <w:pPr>
              <w:jc w:val="right"/>
              <w:rPr>
                <w:sz w:val="20"/>
                <w:szCs w:val="20"/>
              </w:rPr>
            </w:pPr>
            <w:r w:rsidRPr="00337D0F">
              <w:rPr>
                <w:sz w:val="20"/>
                <w:szCs w:val="20"/>
              </w:rPr>
              <w:t>5</w:t>
            </w:r>
          </w:p>
        </w:tc>
      </w:tr>
      <w:tr w14:paraId="170FC305" w14:textId="77777777" w:rsidTr="005A5320">
        <w:tblPrEx>
          <w:tblW w:w="4944" w:type="pct"/>
          <w:tblLook w:val="01E0"/>
        </w:tblPrEx>
        <w:trPr>
          <w:cantSplit/>
          <w:trHeight w:val="20"/>
          <w:tblHeader/>
        </w:trPr>
        <w:tc>
          <w:tcPr>
            <w:tcW w:w="1293" w:type="pct"/>
            <w:shd w:val="clear" w:color="auto" w:fill="auto"/>
          </w:tcPr>
          <w:p w:rsidR="00337D0F" w:rsidRPr="00337D0F" w:rsidP="00337D0F" w14:paraId="353AACB3" w14:textId="77777777">
            <w:pPr>
              <w:rPr>
                <w:sz w:val="20"/>
                <w:szCs w:val="20"/>
              </w:rPr>
            </w:pPr>
            <w:r w:rsidRPr="00337D0F">
              <w:rPr>
                <w:sz w:val="20"/>
                <w:szCs w:val="20"/>
              </w:rPr>
              <w:t>Biowaiver request for soluble powder oral dosage form product, using same API/solubility approach</w:t>
            </w:r>
            <w:r w:rsidR="00BD357C">
              <w:rPr>
                <w:sz w:val="20"/>
                <w:szCs w:val="20"/>
              </w:rPr>
              <w:t xml:space="preserve">; </w:t>
            </w:r>
            <w:r w:rsidRPr="00E4347F" w:rsidR="00BD357C">
              <w:rPr>
                <w:sz w:val="20"/>
                <w:szCs w:val="20"/>
              </w:rPr>
              <w:t>Section IV</w:t>
            </w:r>
          </w:p>
        </w:tc>
        <w:tc>
          <w:tcPr>
            <w:tcW w:w="428" w:type="pct"/>
          </w:tcPr>
          <w:p w:rsidR="00337D0F" w:rsidRPr="00337D0F" w:rsidP="00337D0F" w14:paraId="270017EF" w14:textId="77777777">
            <w:pPr>
              <w:jc w:val="right"/>
              <w:rPr>
                <w:sz w:val="20"/>
                <w:szCs w:val="20"/>
              </w:rPr>
            </w:pPr>
            <w:r w:rsidRPr="00337D0F">
              <w:rPr>
                <w:sz w:val="20"/>
                <w:szCs w:val="20"/>
              </w:rPr>
              <w:t>N/A</w:t>
            </w:r>
          </w:p>
        </w:tc>
        <w:tc>
          <w:tcPr>
            <w:tcW w:w="666" w:type="pct"/>
            <w:shd w:val="clear" w:color="auto" w:fill="auto"/>
          </w:tcPr>
          <w:p w:rsidR="00337D0F" w:rsidRPr="00337D0F" w:rsidP="00337D0F" w14:paraId="49A2FB8C" w14:textId="77777777">
            <w:pPr>
              <w:jc w:val="right"/>
              <w:rPr>
                <w:sz w:val="20"/>
                <w:szCs w:val="20"/>
              </w:rPr>
            </w:pPr>
            <w:r w:rsidRPr="00337D0F">
              <w:rPr>
                <w:sz w:val="20"/>
                <w:szCs w:val="20"/>
              </w:rPr>
              <w:t>5</w:t>
            </w:r>
          </w:p>
        </w:tc>
        <w:tc>
          <w:tcPr>
            <w:tcW w:w="713" w:type="pct"/>
            <w:shd w:val="clear" w:color="auto" w:fill="auto"/>
          </w:tcPr>
          <w:p w:rsidR="00337D0F" w:rsidRPr="00337D0F" w:rsidP="00337D0F" w14:paraId="0C990DE4" w14:textId="77777777">
            <w:pPr>
              <w:jc w:val="right"/>
              <w:rPr>
                <w:sz w:val="20"/>
                <w:szCs w:val="20"/>
              </w:rPr>
            </w:pPr>
            <w:r w:rsidRPr="00337D0F">
              <w:rPr>
                <w:sz w:val="20"/>
                <w:szCs w:val="20"/>
              </w:rPr>
              <w:t>1</w:t>
            </w:r>
          </w:p>
        </w:tc>
        <w:tc>
          <w:tcPr>
            <w:tcW w:w="666" w:type="pct"/>
            <w:shd w:val="clear" w:color="auto" w:fill="auto"/>
          </w:tcPr>
          <w:p w:rsidR="00337D0F" w:rsidRPr="00337D0F" w:rsidP="00337D0F" w14:paraId="66B6AA1C" w14:textId="77777777">
            <w:pPr>
              <w:jc w:val="right"/>
              <w:rPr>
                <w:sz w:val="20"/>
                <w:szCs w:val="20"/>
              </w:rPr>
            </w:pPr>
            <w:r w:rsidRPr="00337D0F">
              <w:rPr>
                <w:sz w:val="20"/>
                <w:szCs w:val="20"/>
              </w:rPr>
              <w:t>5</w:t>
            </w:r>
          </w:p>
        </w:tc>
        <w:tc>
          <w:tcPr>
            <w:tcW w:w="665" w:type="pct"/>
            <w:shd w:val="clear" w:color="auto" w:fill="auto"/>
          </w:tcPr>
          <w:p w:rsidR="00337D0F" w:rsidRPr="00337D0F" w:rsidP="00337D0F" w14:paraId="08A8DC8D" w14:textId="77777777">
            <w:pPr>
              <w:jc w:val="right"/>
              <w:rPr>
                <w:sz w:val="20"/>
                <w:szCs w:val="20"/>
              </w:rPr>
            </w:pPr>
            <w:r w:rsidRPr="00337D0F">
              <w:rPr>
                <w:sz w:val="20"/>
                <w:szCs w:val="20"/>
              </w:rPr>
              <w:t>10</w:t>
            </w:r>
          </w:p>
        </w:tc>
        <w:tc>
          <w:tcPr>
            <w:tcW w:w="569" w:type="pct"/>
            <w:shd w:val="clear" w:color="auto" w:fill="auto"/>
          </w:tcPr>
          <w:p w:rsidR="00337D0F" w:rsidRPr="00337D0F" w:rsidP="00337D0F" w14:paraId="5121C1AC" w14:textId="77777777">
            <w:pPr>
              <w:jc w:val="right"/>
              <w:rPr>
                <w:sz w:val="20"/>
                <w:szCs w:val="20"/>
              </w:rPr>
            </w:pPr>
            <w:r w:rsidRPr="00337D0F">
              <w:rPr>
                <w:sz w:val="20"/>
                <w:szCs w:val="20"/>
              </w:rPr>
              <w:t>50</w:t>
            </w:r>
          </w:p>
        </w:tc>
      </w:tr>
      <w:tr w14:paraId="546A6676" w14:textId="77777777" w:rsidTr="005A5320">
        <w:tblPrEx>
          <w:tblW w:w="4944" w:type="pct"/>
          <w:tblLook w:val="01E0"/>
        </w:tblPrEx>
        <w:trPr>
          <w:cantSplit/>
          <w:trHeight w:val="20"/>
          <w:tblHeader/>
        </w:trPr>
        <w:tc>
          <w:tcPr>
            <w:tcW w:w="1293" w:type="pct"/>
            <w:shd w:val="clear" w:color="auto" w:fill="auto"/>
          </w:tcPr>
          <w:p w:rsidR="00337D0F" w:rsidRPr="00337D0F" w:rsidP="00337D0F" w14:paraId="52B960FF" w14:textId="77777777">
            <w:pPr>
              <w:rPr>
                <w:sz w:val="20"/>
                <w:szCs w:val="20"/>
              </w:rPr>
            </w:pPr>
            <w:r w:rsidRPr="00337D0F">
              <w:rPr>
                <w:sz w:val="20"/>
                <w:szCs w:val="20"/>
              </w:rPr>
              <w:t>Biowaiver request for Type A medicated article, using same formulation/manufacturing process approach</w:t>
            </w:r>
            <w:r w:rsidR="00BD357C">
              <w:rPr>
                <w:sz w:val="20"/>
                <w:szCs w:val="20"/>
              </w:rPr>
              <w:t xml:space="preserve">; </w:t>
            </w:r>
            <w:r w:rsidRPr="00E4347F" w:rsidR="00BD357C">
              <w:rPr>
                <w:sz w:val="20"/>
                <w:szCs w:val="20"/>
              </w:rPr>
              <w:t>Section V</w:t>
            </w:r>
          </w:p>
        </w:tc>
        <w:tc>
          <w:tcPr>
            <w:tcW w:w="428" w:type="pct"/>
          </w:tcPr>
          <w:p w:rsidR="00337D0F" w:rsidRPr="00337D0F" w:rsidP="00337D0F" w14:paraId="2CCAE9BC" w14:textId="77777777">
            <w:pPr>
              <w:jc w:val="right"/>
              <w:rPr>
                <w:sz w:val="20"/>
                <w:szCs w:val="20"/>
              </w:rPr>
            </w:pPr>
            <w:r w:rsidRPr="00337D0F">
              <w:rPr>
                <w:sz w:val="20"/>
                <w:szCs w:val="20"/>
              </w:rPr>
              <w:t>N/A</w:t>
            </w:r>
          </w:p>
        </w:tc>
        <w:tc>
          <w:tcPr>
            <w:tcW w:w="666" w:type="pct"/>
            <w:shd w:val="clear" w:color="auto" w:fill="auto"/>
          </w:tcPr>
          <w:p w:rsidR="00337D0F" w:rsidRPr="00337D0F" w:rsidP="00337D0F" w14:paraId="7F7595A1" w14:textId="77777777">
            <w:pPr>
              <w:jc w:val="right"/>
              <w:rPr>
                <w:sz w:val="20"/>
                <w:szCs w:val="20"/>
              </w:rPr>
            </w:pPr>
            <w:r w:rsidRPr="00337D0F">
              <w:rPr>
                <w:sz w:val="20"/>
                <w:szCs w:val="20"/>
              </w:rPr>
              <w:t>2</w:t>
            </w:r>
          </w:p>
        </w:tc>
        <w:tc>
          <w:tcPr>
            <w:tcW w:w="713" w:type="pct"/>
            <w:shd w:val="clear" w:color="auto" w:fill="auto"/>
          </w:tcPr>
          <w:p w:rsidR="00337D0F" w:rsidRPr="00337D0F" w:rsidP="00337D0F" w14:paraId="5CFA3480" w14:textId="77777777">
            <w:pPr>
              <w:jc w:val="right"/>
              <w:rPr>
                <w:sz w:val="20"/>
                <w:szCs w:val="20"/>
              </w:rPr>
            </w:pPr>
            <w:r w:rsidRPr="00337D0F">
              <w:rPr>
                <w:sz w:val="20"/>
                <w:szCs w:val="20"/>
              </w:rPr>
              <w:t>1</w:t>
            </w:r>
          </w:p>
        </w:tc>
        <w:tc>
          <w:tcPr>
            <w:tcW w:w="666" w:type="pct"/>
            <w:shd w:val="clear" w:color="auto" w:fill="auto"/>
          </w:tcPr>
          <w:p w:rsidR="00337D0F" w:rsidRPr="00337D0F" w:rsidP="00337D0F" w14:paraId="05BD0BD0" w14:textId="77777777">
            <w:pPr>
              <w:jc w:val="right"/>
              <w:rPr>
                <w:sz w:val="20"/>
                <w:szCs w:val="20"/>
              </w:rPr>
            </w:pPr>
            <w:r w:rsidRPr="00337D0F">
              <w:rPr>
                <w:sz w:val="20"/>
                <w:szCs w:val="20"/>
              </w:rPr>
              <w:t>2</w:t>
            </w:r>
          </w:p>
        </w:tc>
        <w:tc>
          <w:tcPr>
            <w:tcW w:w="665" w:type="pct"/>
            <w:shd w:val="clear" w:color="auto" w:fill="auto"/>
          </w:tcPr>
          <w:p w:rsidR="00337D0F" w:rsidRPr="00337D0F" w:rsidP="00337D0F" w14:paraId="407AE0F6" w14:textId="77777777">
            <w:pPr>
              <w:jc w:val="right"/>
              <w:rPr>
                <w:sz w:val="20"/>
                <w:szCs w:val="20"/>
              </w:rPr>
            </w:pPr>
            <w:r w:rsidRPr="00337D0F">
              <w:rPr>
                <w:sz w:val="20"/>
                <w:szCs w:val="20"/>
              </w:rPr>
              <w:t>5</w:t>
            </w:r>
          </w:p>
        </w:tc>
        <w:tc>
          <w:tcPr>
            <w:tcW w:w="569" w:type="pct"/>
            <w:shd w:val="clear" w:color="auto" w:fill="auto"/>
          </w:tcPr>
          <w:p w:rsidR="00337D0F" w:rsidRPr="00337D0F" w:rsidP="00337D0F" w14:paraId="45151243" w14:textId="77777777">
            <w:pPr>
              <w:jc w:val="right"/>
              <w:rPr>
                <w:sz w:val="20"/>
                <w:szCs w:val="20"/>
              </w:rPr>
            </w:pPr>
            <w:r w:rsidRPr="00337D0F">
              <w:rPr>
                <w:sz w:val="20"/>
                <w:szCs w:val="20"/>
              </w:rPr>
              <w:t>10</w:t>
            </w:r>
          </w:p>
        </w:tc>
      </w:tr>
      <w:tr w14:paraId="6B2F418B" w14:textId="77777777" w:rsidTr="005A5320">
        <w:tblPrEx>
          <w:tblW w:w="4944" w:type="pct"/>
          <w:tblLook w:val="01E0"/>
        </w:tblPrEx>
        <w:trPr>
          <w:cantSplit/>
          <w:trHeight w:val="20"/>
          <w:tblHeader/>
        </w:trPr>
        <w:tc>
          <w:tcPr>
            <w:tcW w:w="1293" w:type="pct"/>
            <w:shd w:val="clear" w:color="auto" w:fill="auto"/>
          </w:tcPr>
          <w:p w:rsidR="00337D0F" w:rsidRPr="00337D0F" w:rsidP="00337D0F" w14:paraId="10E999B5" w14:textId="77777777">
            <w:pPr>
              <w:rPr>
                <w:sz w:val="20"/>
                <w:szCs w:val="20"/>
              </w:rPr>
            </w:pPr>
            <w:r w:rsidRPr="00337D0F">
              <w:rPr>
                <w:sz w:val="20"/>
                <w:szCs w:val="20"/>
              </w:rPr>
              <w:t>Biowaiver request for Type A medicated article, using same API/solubility approach</w:t>
            </w:r>
            <w:r w:rsidR="00BD357C">
              <w:rPr>
                <w:sz w:val="20"/>
                <w:szCs w:val="20"/>
              </w:rPr>
              <w:t xml:space="preserve">; </w:t>
            </w:r>
            <w:r w:rsidRPr="00E4347F" w:rsidR="00BD357C">
              <w:rPr>
                <w:sz w:val="20"/>
                <w:szCs w:val="20"/>
              </w:rPr>
              <w:t>Section V</w:t>
            </w:r>
          </w:p>
        </w:tc>
        <w:tc>
          <w:tcPr>
            <w:tcW w:w="428" w:type="pct"/>
          </w:tcPr>
          <w:p w:rsidR="00337D0F" w:rsidRPr="00337D0F" w:rsidP="00337D0F" w14:paraId="6CBA6A40" w14:textId="77777777">
            <w:pPr>
              <w:jc w:val="right"/>
              <w:rPr>
                <w:sz w:val="20"/>
                <w:szCs w:val="20"/>
              </w:rPr>
            </w:pPr>
            <w:r w:rsidRPr="00337D0F">
              <w:rPr>
                <w:sz w:val="20"/>
                <w:szCs w:val="20"/>
              </w:rPr>
              <w:t>N/A</w:t>
            </w:r>
          </w:p>
        </w:tc>
        <w:tc>
          <w:tcPr>
            <w:tcW w:w="666" w:type="pct"/>
            <w:shd w:val="clear" w:color="auto" w:fill="auto"/>
          </w:tcPr>
          <w:p w:rsidR="00337D0F" w:rsidRPr="00337D0F" w:rsidP="00337D0F" w14:paraId="468B0D9D" w14:textId="77777777">
            <w:pPr>
              <w:jc w:val="right"/>
              <w:rPr>
                <w:sz w:val="20"/>
                <w:szCs w:val="20"/>
              </w:rPr>
            </w:pPr>
            <w:r w:rsidRPr="00337D0F">
              <w:rPr>
                <w:sz w:val="20"/>
                <w:szCs w:val="20"/>
              </w:rPr>
              <w:t>5</w:t>
            </w:r>
          </w:p>
        </w:tc>
        <w:tc>
          <w:tcPr>
            <w:tcW w:w="713" w:type="pct"/>
            <w:shd w:val="clear" w:color="auto" w:fill="auto"/>
          </w:tcPr>
          <w:p w:rsidR="00337D0F" w:rsidRPr="00337D0F" w:rsidP="00337D0F" w14:paraId="5F961D52" w14:textId="77777777">
            <w:pPr>
              <w:jc w:val="right"/>
              <w:rPr>
                <w:sz w:val="20"/>
                <w:szCs w:val="20"/>
              </w:rPr>
            </w:pPr>
            <w:r w:rsidRPr="00337D0F">
              <w:rPr>
                <w:sz w:val="20"/>
                <w:szCs w:val="20"/>
              </w:rPr>
              <w:t>1</w:t>
            </w:r>
          </w:p>
        </w:tc>
        <w:tc>
          <w:tcPr>
            <w:tcW w:w="666" w:type="pct"/>
            <w:shd w:val="clear" w:color="auto" w:fill="auto"/>
          </w:tcPr>
          <w:p w:rsidR="00337D0F" w:rsidRPr="00337D0F" w:rsidP="00337D0F" w14:paraId="1CEFB21A" w14:textId="77777777">
            <w:pPr>
              <w:jc w:val="right"/>
              <w:rPr>
                <w:sz w:val="20"/>
                <w:szCs w:val="20"/>
              </w:rPr>
            </w:pPr>
            <w:r w:rsidRPr="00337D0F">
              <w:rPr>
                <w:sz w:val="20"/>
                <w:szCs w:val="20"/>
              </w:rPr>
              <w:t>5</w:t>
            </w:r>
          </w:p>
        </w:tc>
        <w:tc>
          <w:tcPr>
            <w:tcW w:w="665" w:type="pct"/>
            <w:shd w:val="clear" w:color="auto" w:fill="auto"/>
          </w:tcPr>
          <w:p w:rsidR="00337D0F" w:rsidRPr="00337D0F" w:rsidP="00337D0F" w14:paraId="329044B8" w14:textId="77777777">
            <w:pPr>
              <w:jc w:val="right"/>
              <w:rPr>
                <w:sz w:val="20"/>
                <w:szCs w:val="20"/>
              </w:rPr>
            </w:pPr>
            <w:r w:rsidRPr="00337D0F">
              <w:rPr>
                <w:sz w:val="20"/>
                <w:szCs w:val="20"/>
              </w:rPr>
              <w:t>20</w:t>
            </w:r>
          </w:p>
        </w:tc>
        <w:tc>
          <w:tcPr>
            <w:tcW w:w="569" w:type="pct"/>
            <w:shd w:val="clear" w:color="auto" w:fill="auto"/>
          </w:tcPr>
          <w:p w:rsidR="00337D0F" w:rsidRPr="00337D0F" w:rsidP="00337D0F" w14:paraId="63A9264D" w14:textId="77777777">
            <w:pPr>
              <w:jc w:val="right"/>
              <w:rPr>
                <w:sz w:val="20"/>
                <w:szCs w:val="20"/>
              </w:rPr>
            </w:pPr>
            <w:r w:rsidRPr="00337D0F">
              <w:rPr>
                <w:sz w:val="20"/>
                <w:szCs w:val="20"/>
              </w:rPr>
              <w:t>100</w:t>
            </w:r>
          </w:p>
        </w:tc>
      </w:tr>
      <w:bookmarkEnd w:id="1"/>
      <w:tr w14:paraId="264519C8" w14:textId="77777777" w:rsidTr="001D09E2">
        <w:tblPrEx>
          <w:tblW w:w="4944" w:type="pct"/>
          <w:tblLook w:val="01E0"/>
        </w:tblPrEx>
        <w:trPr>
          <w:cantSplit/>
          <w:trHeight w:val="20"/>
          <w:tblHeader/>
        </w:trPr>
        <w:tc>
          <w:tcPr>
            <w:tcW w:w="4431" w:type="pct"/>
            <w:gridSpan w:val="6"/>
            <w:shd w:val="clear" w:color="auto" w:fill="auto"/>
          </w:tcPr>
          <w:p w:rsidR="001D09E2" w:rsidRPr="00337D0F" w:rsidP="001D09E2" w14:paraId="13FD85FF" w14:textId="57EAA876">
            <w:pPr>
              <w:rPr>
                <w:sz w:val="20"/>
                <w:szCs w:val="20"/>
              </w:rPr>
            </w:pPr>
            <w:r w:rsidRPr="00337D0F">
              <w:rPr>
                <w:sz w:val="20"/>
                <w:szCs w:val="20"/>
              </w:rPr>
              <w:t>Total</w:t>
            </w:r>
          </w:p>
        </w:tc>
        <w:tc>
          <w:tcPr>
            <w:tcW w:w="569" w:type="pct"/>
            <w:shd w:val="clear" w:color="auto" w:fill="auto"/>
          </w:tcPr>
          <w:p w:rsidR="001D09E2" w:rsidRPr="00337D0F" w:rsidP="00337D0F" w14:paraId="000A4D53" w14:textId="77777777">
            <w:pPr>
              <w:jc w:val="right"/>
              <w:rPr>
                <w:sz w:val="20"/>
                <w:szCs w:val="20"/>
              </w:rPr>
            </w:pPr>
            <w:r w:rsidRPr="00337D0F">
              <w:rPr>
                <w:sz w:val="20"/>
                <w:szCs w:val="20"/>
              </w:rPr>
              <w:t>4,299</w:t>
            </w:r>
          </w:p>
        </w:tc>
      </w:tr>
    </w:tbl>
    <w:p w:rsidR="00C40A0D" w:rsidP="0022425B" w14:paraId="43FAE313" w14:textId="77777777">
      <w:pPr>
        <w:spacing w:after="200"/>
        <w:ind w:left="360"/>
        <w:rPr>
          <w:rFonts w:eastAsia="Calibri"/>
          <w:i/>
        </w:rPr>
      </w:pPr>
    </w:p>
    <w:p w:rsidR="0078458A" w:rsidP="0078458A" w14:paraId="0AE63A14" w14:textId="77777777">
      <w:pPr>
        <w:ind w:left="720"/>
      </w:pPr>
      <w:r>
        <w:t xml:space="preserve">We base our estimates on our records of generic drug applications.  We estimate that we will receive 20 ANADA submissions per year over the next 3 years and that 6 of those submissions will request phased review. We estimate that each applicant that uses the phased review process will have approximately 5 phased reviews per application. We estimate that an applicant will take approximately 159 hours to prepare either an ANADA or the estimated </w:t>
      </w:r>
      <w:r w:rsidR="0039230E">
        <w:t>five</w:t>
      </w:r>
      <w:r>
        <w:t xml:space="preserve"> ANADA phased review submissions and the administrative ANADA.  Our estimates of the burden of biowaiver requests for generic soluble powder oral dosage form products and Type A medicated articles differ based on the type of product and the basis for the request, as shown in table 1.  We estimate that an applicant will take between 5 and 20 hours to prepare a biowaiver request.</w:t>
      </w:r>
    </w:p>
    <w:p w:rsidR="00BD357C" w:rsidP="0078458A" w14:paraId="3D4ED381" w14:textId="77777777">
      <w:pPr>
        <w:ind w:left="720"/>
      </w:pPr>
    </w:p>
    <w:p w:rsidR="00BD357C" w:rsidRPr="00357C8A" w:rsidP="001430FC" w14:paraId="1414C539" w14:textId="77777777">
      <w:pPr>
        <w:spacing w:after="200"/>
        <w:ind w:left="720"/>
        <w:rPr>
          <w:rFonts w:eastAsia="Calibri"/>
          <w:color w:val="FF0000"/>
        </w:rPr>
      </w:pPr>
      <w:r w:rsidRPr="005D0DD6">
        <w:rPr>
          <w:rFonts w:eastAsia="Calibri"/>
        </w:rPr>
        <w:t xml:space="preserve">While we have not </w:t>
      </w:r>
      <w:r w:rsidRPr="005D0DD6">
        <w:rPr>
          <w:rFonts w:eastAsia="Calibri"/>
        </w:rPr>
        <w:t>made changes to</w:t>
      </w:r>
      <w:r w:rsidRPr="005D0DD6">
        <w:rPr>
          <w:rFonts w:eastAsia="Calibri"/>
        </w:rPr>
        <w:t xml:space="preserve"> the burden response itself, there has been an increase in the number of respondents, and in turn, the number of responses for ANADAs and Phased Review requests. This is due to the everchanging industry/marketplace. We also note there is a decrease in the number of biowaiver requests for Type A medicated article, using the same API/solubility method, which we also attribute to changes in the animal drug industry/marketplace.</w:t>
      </w:r>
    </w:p>
    <w:p w:rsidR="001D09E2" w14:paraId="1EEE1C44" w14:textId="77777777">
      <w:pPr>
        <w:rPr>
          <w:rFonts w:eastAsia="Calibri"/>
        </w:rPr>
      </w:pPr>
      <w:r>
        <w:rPr>
          <w:rFonts w:eastAsia="Calibri"/>
        </w:rPr>
        <w:br w:type="page"/>
      </w:r>
    </w:p>
    <w:p w:rsidR="00357C8A" w:rsidRPr="005C71CA" w:rsidP="00DC371B" w14:paraId="7BDEC883" w14:textId="604DACE1">
      <w:pPr>
        <w:spacing w:after="200"/>
        <w:ind w:left="360"/>
        <w:rPr>
          <w:rFonts w:eastAsia="Calibri"/>
        </w:rPr>
      </w:pPr>
      <w:r w:rsidRPr="005C71CA">
        <w:rPr>
          <w:rFonts w:eastAsia="Calibri"/>
        </w:rPr>
        <w:t>12b.  Annualized Cost Burden Estimate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800"/>
        <w:gridCol w:w="2394"/>
        <w:gridCol w:w="1926"/>
      </w:tblGrid>
      <w:tr w14:paraId="4379550C" w14:textId="77777777" w:rsidTr="005A5320">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160" w:type="dxa"/>
            <w:shd w:val="clear" w:color="auto" w:fill="auto"/>
          </w:tcPr>
          <w:p w:rsidR="00337D0F" w:rsidP="005A5320" w14:paraId="2CBF3B42" w14:textId="77777777">
            <w:r>
              <w:t>Type of Respondent</w:t>
            </w:r>
          </w:p>
        </w:tc>
        <w:tc>
          <w:tcPr>
            <w:tcW w:w="1800" w:type="dxa"/>
            <w:shd w:val="clear" w:color="auto" w:fill="auto"/>
          </w:tcPr>
          <w:p w:rsidR="00337D0F" w:rsidP="005A5320" w14:paraId="3F511B95" w14:textId="77777777">
            <w:r>
              <w:t>Total Burden Hours</w:t>
            </w:r>
          </w:p>
        </w:tc>
        <w:tc>
          <w:tcPr>
            <w:tcW w:w="2394" w:type="dxa"/>
            <w:shd w:val="clear" w:color="auto" w:fill="auto"/>
          </w:tcPr>
          <w:p w:rsidR="00337D0F" w:rsidP="005A5320" w14:paraId="259BFD58" w14:textId="77777777">
            <w:r>
              <w:t>Hourly Wage Rate</w:t>
            </w:r>
          </w:p>
        </w:tc>
        <w:tc>
          <w:tcPr>
            <w:tcW w:w="1926" w:type="dxa"/>
            <w:shd w:val="clear" w:color="auto" w:fill="auto"/>
          </w:tcPr>
          <w:p w:rsidR="00337D0F" w:rsidP="005A5320" w14:paraId="6C52E71E" w14:textId="77777777">
            <w:r>
              <w:t>Total Respondent Costs</w:t>
            </w:r>
          </w:p>
        </w:tc>
      </w:tr>
      <w:tr w14:paraId="4B5C851A" w14:textId="77777777" w:rsidTr="005A5320">
        <w:tblPrEx>
          <w:tblW w:w="0" w:type="auto"/>
          <w:tblInd w:w="828" w:type="dxa"/>
          <w:tblLook w:val="01E0"/>
        </w:tblPrEx>
        <w:tc>
          <w:tcPr>
            <w:tcW w:w="2160" w:type="dxa"/>
            <w:shd w:val="clear" w:color="auto" w:fill="auto"/>
          </w:tcPr>
          <w:p w:rsidR="00337D0F" w:rsidP="005A5320" w14:paraId="20C07D9C" w14:textId="77777777">
            <w:r>
              <w:t>Industry Compliance Officer</w:t>
            </w:r>
          </w:p>
        </w:tc>
        <w:tc>
          <w:tcPr>
            <w:tcW w:w="1800" w:type="dxa"/>
            <w:shd w:val="clear" w:color="auto" w:fill="auto"/>
          </w:tcPr>
          <w:p w:rsidR="00337D0F" w:rsidP="005A5320" w14:paraId="139F91C2" w14:textId="77777777">
            <w:r>
              <w:t>4,299</w:t>
            </w:r>
          </w:p>
        </w:tc>
        <w:tc>
          <w:tcPr>
            <w:tcW w:w="2394" w:type="dxa"/>
            <w:shd w:val="clear" w:color="auto" w:fill="auto"/>
          </w:tcPr>
          <w:p w:rsidR="00337D0F" w:rsidRPr="00363A59" w:rsidP="005A5320" w14:paraId="6BA768E9" w14:textId="77777777">
            <w:pPr>
              <w:rPr>
                <w:vertAlign w:val="superscript"/>
              </w:rPr>
            </w:pPr>
            <w:r>
              <w:t>$</w:t>
            </w:r>
            <w:r w:rsidR="0078458A">
              <w:t>55.16</w:t>
            </w:r>
            <w:r>
              <w:rPr>
                <w:vertAlign w:val="superscript"/>
              </w:rPr>
              <w:t>1</w:t>
            </w:r>
          </w:p>
        </w:tc>
        <w:tc>
          <w:tcPr>
            <w:tcW w:w="1926" w:type="dxa"/>
            <w:shd w:val="clear" w:color="auto" w:fill="auto"/>
          </w:tcPr>
          <w:p w:rsidR="00337D0F" w:rsidP="005A5320" w14:paraId="10709DA5" w14:textId="77777777">
            <w:r>
              <w:t>$</w:t>
            </w:r>
            <w:r w:rsidR="0078458A">
              <w:t>237,132.84</w:t>
            </w:r>
          </w:p>
        </w:tc>
      </w:tr>
    </w:tbl>
    <w:p w:rsidR="0039230E" w:rsidP="001D09E2" w14:paraId="23989875" w14:textId="59848FE7">
      <w:pPr>
        <w:pStyle w:val="BodyText2"/>
        <w:ind w:left="720"/>
        <w:rPr>
          <w:sz w:val="18"/>
          <w:szCs w:val="18"/>
        </w:rPr>
      </w:pPr>
      <w:r>
        <w:rPr>
          <w:sz w:val="18"/>
          <w:szCs w:val="18"/>
          <w:vertAlign w:val="superscript"/>
        </w:rPr>
        <w:t>1</w:t>
      </w:r>
      <w:r w:rsidRPr="00363A59">
        <w:rPr>
          <w:sz w:val="18"/>
          <w:szCs w:val="18"/>
        </w:rPr>
        <w:t>May 20</w:t>
      </w:r>
      <w:r w:rsidR="0078458A">
        <w:rPr>
          <w:sz w:val="18"/>
          <w:szCs w:val="18"/>
        </w:rPr>
        <w:t>21</w:t>
      </w:r>
      <w:r w:rsidRPr="00363A59">
        <w:rPr>
          <w:sz w:val="18"/>
          <w:szCs w:val="18"/>
        </w:rPr>
        <w:t xml:space="preserve"> National Industry-Specific Occupational Employment and Wage Estimates, U.S. Department of Labor, Bureau of Labor Statistics, 13-1041</w:t>
      </w:r>
      <w:r>
        <w:rPr>
          <w:sz w:val="18"/>
          <w:szCs w:val="18"/>
        </w:rPr>
        <w:t xml:space="preserve"> Compliance Officer (</w:t>
      </w:r>
      <w:hyperlink r:id="rId11" w:history="1">
        <w:r w:rsidRPr="00B75CCE">
          <w:rPr>
            <w:rStyle w:val="Hyperlink"/>
            <w:sz w:val="18"/>
            <w:szCs w:val="18"/>
          </w:rPr>
          <w:t>www.bls.gov</w:t>
        </w:r>
      </w:hyperlink>
      <w:r>
        <w:rPr>
          <w:sz w:val="18"/>
          <w:szCs w:val="18"/>
        </w:rPr>
        <w:t>)</w:t>
      </w:r>
      <w:r w:rsidRPr="00363A59">
        <w:rPr>
          <w:sz w:val="18"/>
          <w:szCs w:val="18"/>
        </w:rPr>
        <w:t>, $</w:t>
      </w:r>
      <w:r w:rsidR="0078458A">
        <w:rPr>
          <w:sz w:val="18"/>
          <w:szCs w:val="18"/>
        </w:rPr>
        <w:t>42.43</w:t>
      </w:r>
      <w:r w:rsidRPr="00363A59">
        <w:rPr>
          <w:sz w:val="18"/>
          <w:szCs w:val="18"/>
        </w:rPr>
        <w:t xml:space="preserve"> plus 30% adjusted for benefits equals approximately $</w:t>
      </w:r>
      <w:r>
        <w:rPr>
          <w:sz w:val="18"/>
          <w:szCs w:val="18"/>
        </w:rPr>
        <w:t>5</w:t>
      </w:r>
      <w:r w:rsidR="0078458A">
        <w:rPr>
          <w:sz w:val="18"/>
          <w:szCs w:val="18"/>
        </w:rPr>
        <w:t>5</w:t>
      </w:r>
      <w:r>
        <w:rPr>
          <w:sz w:val="18"/>
          <w:szCs w:val="18"/>
        </w:rPr>
        <w:t>.</w:t>
      </w:r>
      <w:r w:rsidR="0078458A">
        <w:rPr>
          <w:sz w:val="18"/>
          <w:szCs w:val="18"/>
        </w:rPr>
        <w:t>16</w:t>
      </w:r>
      <w:r w:rsidRPr="00363A59">
        <w:rPr>
          <w:sz w:val="18"/>
          <w:szCs w:val="18"/>
        </w:rPr>
        <w:t xml:space="preserve"> per hour wage</w:t>
      </w:r>
      <w:r w:rsidR="001D09E2">
        <w:rPr>
          <w:sz w:val="18"/>
          <w:szCs w:val="18"/>
        </w:rPr>
        <w:t>.</w:t>
      </w:r>
    </w:p>
    <w:p w:rsidR="001D09E2" w:rsidRPr="00357C8A" w:rsidP="001D09E2" w14:paraId="4D918030" w14:textId="77777777">
      <w:pPr>
        <w:pStyle w:val="BodyText2"/>
        <w:ind w:left="720"/>
        <w:rPr>
          <w:rFonts w:eastAsia="Calibri"/>
        </w:rPr>
      </w:pPr>
    </w:p>
    <w:p w:rsidR="00357C8A" w:rsidRPr="00357C8A" w:rsidP="006705EA" w14:paraId="301D8B6F"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14:paraId="787AED60" w14:textId="77777777">
      <w:pPr>
        <w:spacing w:after="200" w:line="276" w:lineRule="auto"/>
        <w:rPr>
          <w:rFonts w:eastAsia="Calibri"/>
          <w:u w:val="single"/>
        </w:rPr>
      </w:pPr>
      <w:r>
        <w:t xml:space="preserve">There are no capital, start-up, </w:t>
      </w:r>
      <w:r>
        <w:t>operating</w:t>
      </w:r>
      <w:r>
        <w:t xml:space="preserve"> or maintenance costs associated with this information collection.</w:t>
      </w:r>
    </w:p>
    <w:p w:rsidR="00357C8A" w:rsidRPr="00357C8A" w:rsidP="006705EA" w14:paraId="1EF163BA" w14:textId="77777777">
      <w:pPr>
        <w:numPr>
          <w:ilvl w:val="0"/>
          <w:numId w:val="6"/>
        </w:numPr>
        <w:spacing w:after="200" w:line="276" w:lineRule="auto"/>
        <w:rPr>
          <w:rFonts w:eastAsia="Calibri"/>
          <w:u w:val="single"/>
        </w:rPr>
      </w:pPr>
      <w:bookmarkStart w:id="2" w:name="_Hlk106971606"/>
      <w:r w:rsidRPr="00357C8A">
        <w:rPr>
          <w:rFonts w:eastAsia="Calibri"/>
          <w:u w:val="single"/>
        </w:rPr>
        <w:t>Annualized Cost to the Federal Government</w:t>
      </w:r>
    </w:p>
    <w:p w:rsidR="00EC2A5B" w:rsidRPr="00EC2A5B" w:rsidP="00EC2A5B" w14:paraId="2D8BA71F" w14:textId="77777777">
      <w:pPr>
        <w:spacing w:after="200"/>
        <w:rPr>
          <w:rFonts w:eastAsia="Calibri"/>
          <w:u w:val="single"/>
        </w:rPr>
      </w:pPr>
      <w:r w:rsidRPr="00EC2A5B">
        <w:rPr>
          <w:rFonts w:eastAsia="Calibri"/>
          <w:bCs/>
        </w:rPr>
        <w:t>We estimate the annualized cost to the Federal government for the review and evaluation of submissions for the next three years to be $</w:t>
      </w:r>
      <w:r w:rsidR="000D3C15">
        <w:rPr>
          <w:rFonts w:eastAsia="Calibri"/>
          <w:bCs/>
        </w:rPr>
        <w:t>5,1</w:t>
      </w:r>
      <w:r w:rsidR="00243364">
        <w:rPr>
          <w:rFonts w:eastAsia="Calibri"/>
          <w:bCs/>
        </w:rPr>
        <w:t>02,970.85</w:t>
      </w:r>
      <w:r w:rsidRPr="00EC2A5B">
        <w:rPr>
          <w:rFonts w:eastAsia="Calibri"/>
          <w:bCs/>
        </w:rPr>
        <w:t xml:space="preserve"> annually.  </w:t>
      </w:r>
      <w:r w:rsidRPr="000357E5">
        <w:rPr>
          <w:bCs/>
        </w:rPr>
        <w:t>For calendar year 20</w:t>
      </w:r>
      <w:r w:rsidR="000D3C15">
        <w:rPr>
          <w:bCs/>
        </w:rPr>
        <w:t>21</w:t>
      </w:r>
      <w:r w:rsidRPr="000357E5">
        <w:rPr>
          <w:bCs/>
        </w:rPr>
        <w:t>, we expended approximately 80,</w:t>
      </w:r>
      <w:r w:rsidR="000D3C15">
        <w:rPr>
          <w:bCs/>
        </w:rPr>
        <w:t>134.50</w:t>
      </w:r>
      <w:r w:rsidRPr="000357E5" w:rsidR="000D3C15">
        <w:rPr>
          <w:bCs/>
        </w:rPr>
        <w:t xml:space="preserve"> </w:t>
      </w:r>
      <w:r w:rsidRPr="000357E5">
        <w:rPr>
          <w:bCs/>
        </w:rPr>
        <w:t xml:space="preserve">person hours in review and support, and approximately </w:t>
      </w:r>
      <w:r w:rsidRPr="000357E5" w:rsidR="000D3C15">
        <w:rPr>
          <w:bCs/>
        </w:rPr>
        <w:t>1</w:t>
      </w:r>
      <w:r w:rsidR="000D3C15">
        <w:rPr>
          <w:bCs/>
        </w:rPr>
        <w:t>2</w:t>
      </w:r>
      <w:r w:rsidRPr="000357E5">
        <w:rPr>
          <w:bCs/>
        </w:rPr>
        <w:t>,</w:t>
      </w:r>
      <w:r w:rsidR="000D3C15">
        <w:rPr>
          <w:bCs/>
        </w:rPr>
        <w:t>996.50</w:t>
      </w:r>
      <w:r w:rsidRPr="000357E5" w:rsidR="000D3C15">
        <w:rPr>
          <w:bCs/>
        </w:rPr>
        <w:t xml:space="preserve"> </w:t>
      </w:r>
      <w:r w:rsidRPr="000357E5">
        <w:rPr>
          <w:bCs/>
        </w:rPr>
        <w:t>person hours of supervisory support of the review of submissions.</w:t>
      </w:r>
      <w:r>
        <w:rPr>
          <w:bCs/>
        </w:rPr>
        <w:t xml:space="preserve">  </w:t>
      </w:r>
      <w:r w:rsidRPr="00EC2A5B">
        <w:rPr>
          <w:rFonts w:eastAsia="Calibri"/>
          <w:bCs/>
        </w:rPr>
        <w:t>We estimate the average hourly wage for personnel to review and evaluate a submission to be at the GS-13-2 level in the locality pay area of Washington-Baltimore-Arlington, DC-MD-VA-WV-PA in 20</w:t>
      </w:r>
      <w:r>
        <w:rPr>
          <w:rFonts w:eastAsia="Calibri"/>
          <w:bCs/>
        </w:rPr>
        <w:t>22</w:t>
      </w:r>
      <w:r w:rsidRPr="00EC2A5B">
        <w:rPr>
          <w:rFonts w:eastAsia="Calibri"/>
          <w:bCs/>
        </w:rPr>
        <w:t>, approximately $</w:t>
      </w:r>
      <w:r w:rsidR="00243364">
        <w:rPr>
          <w:rFonts w:eastAsia="Calibri"/>
          <w:bCs/>
        </w:rPr>
        <w:t>52.89</w:t>
      </w:r>
      <w:r w:rsidRPr="00EC2A5B">
        <w:rPr>
          <w:rFonts w:eastAsia="Calibri"/>
          <w:bCs/>
        </w:rPr>
        <w:t>/hour, and the average hourly wage for supervisory personnel at the GS-14-</w:t>
      </w:r>
      <w:r w:rsidR="00243364">
        <w:rPr>
          <w:rFonts w:eastAsia="Calibri"/>
          <w:bCs/>
        </w:rPr>
        <w:t>4</w:t>
      </w:r>
      <w:r w:rsidRPr="00EC2A5B">
        <w:rPr>
          <w:rFonts w:eastAsia="Calibri"/>
          <w:bCs/>
        </w:rPr>
        <w:t xml:space="preserve"> level in the locality pay area of Washington-Baltimore-Arlington, DC-MD-VA-WV-PA in 20</w:t>
      </w:r>
      <w:r>
        <w:rPr>
          <w:rFonts w:eastAsia="Calibri"/>
          <w:bCs/>
        </w:rPr>
        <w:t>22</w:t>
      </w:r>
      <w:r w:rsidRPr="00EC2A5B">
        <w:rPr>
          <w:rFonts w:eastAsia="Calibri"/>
          <w:bCs/>
        </w:rPr>
        <w:t>, approximately $</w:t>
      </w:r>
      <w:r w:rsidR="00243364">
        <w:rPr>
          <w:rFonts w:eastAsia="Calibri"/>
          <w:bCs/>
        </w:rPr>
        <w:t>66</w:t>
      </w:r>
      <w:r>
        <w:rPr>
          <w:rFonts w:eastAsia="Calibri"/>
          <w:bCs/>
        </w:rPr>
        <w:t>.</w:t>
      </w:r>
      <w:r w:rsidR="00243364">
        <w:rPr>
          <w:rFonts w:eastAsia="Calibri"/>
          <w:bCs/>
        </w:rPr>
        <w:t>53</w:t>
      </w:r>
      <w:r w:rsidRPr="00EC2A5B">
        <w:rPr>
          <w:rFonts w:eastAsia="Calibri"/>
          <w:bCs/>
        </w:rPr>
        <w:t>/hour. The estimated annualized cost to the Federal government is $</w:t>
      </w:r>
      <w:r w:rsidR="000D3C15">
        <w:rPr>
          <w:rFonts w:eastAsia="Calibri"/>
          <w:bCs/>
        </w:rPr>
        <w:t>5,1</w:t>
      </w:r>
      <w:r w:rsidR="00243364">
        <w:rPr>
          <w:rFonts w:eastAsia="Calibri"/>
          <w:bCs/>
        </w:rPr>
        <w:t>02,970.85</w:t>
      </w:r>
      <w:r w:rsidRPr="00EC2A5B">
        <w:rPr>
          <w:rFonts w:eastAsia="Calibri"/>
          <w:bCs/>
        </w:rPr>
        <w:t xml:space="preserve"> [(80,</w:t>
      </w:r>
      <w:r w:rsidR="000D3C15">
        <w:rPr>
          <w:rFonts w:eastAsia="Calibri"/>
          <w:bCs/>
        </w:rPr>
        <w:t>134.50</w:t>
      </w:r>
      <w:r w:rsidRPr="00EC2A5B">
        <w:rPr>
          <w:rFonts w:eastAsia="Calibri"/>
          <w:bCs/>
        </w:rPr>
        <w:t xml:space="preserve"> hours x $</w:t>
      </w:r>
      <w:r w:rsidR="000D3C15">
        <w:rPr>
          <w:rFonts w:eastAsia="Calibri"/>
          <w:bCs/>
        </w:rPr>
        <w:t>52.89</w:t>
      </w:r>
      <w:r w:rsidRPr="00EC2A5B">
        <w:rPr>
          <w:rFonts w:eastAsia="Calibri"/>
          <w:bCs/>
        </w:rPr>
        <w:t>/hour) + (1</w:t>
      </w:r>
      <w:r w:rsidR="000D3C15">
        <w:rPr>
          <w:rFonts w:eastAsia="Calibri"/>
          <w:bCs/>
        </w:rPr>
        <w:t>2</w:t>
      </w:r>
      <w:r w:rsidRPr="00EC2A5B">
        <w:rPr>
          <w:rFonts w:eastAsia="Calibri"/>
          <w:bCs/>
        </w:rPr>
        <w:t>,</w:t>
      </w:r>
      <w:r w:rsidR="000D3C15">
        <w:rPr>
          <w:rFonts w:eastAsia="Calibri"/>
          <w:bCs/>
        </w:rPr>
        <w:t>996.50</w:t>
      </w:r>
      <w:r w:rsidRPr="00EC2A5B">
        <w:rPr>
          <w:rFonts w:eastAsia="Calibri"/>
          <w:bCs/>
        </w:rPr>
        <w:t xml:space="preserve"> hours x $</w:t>
      </w:r>
      <w:r w:rsidR="00243364">
        <w:rPr>
          <w:rFonts w:eastAsia="Calibri"/>
          <w:bCs/>
        </w:rPr>
        <w:t>66.53</w:t>
      </w:r>
      <w:r w:rsidRPr="00EC2A5B">
        <w:rPr>
          <w:rFonts w:eastAsia="Calibri"/>
          <w:bCs/>
        </w:rPr>
        <w:t>/hour) = $</w:t>
      </w:r>
      <w:r w:rsidR="000D3C15">
        <w:rPr>
          <w:rFonts w:eastAsia="Calibri"/>
          <w:bCs/>
        </w:rPr>
        <w:t>5,1</w:t>
      </w:r>
      <w:r w:rsidR="00243364">
        <w:rPr>
          <w:rFonts w:eastAsia="Calibri"/>
          <w:bCs/>
        </w:rPr>
        <w:t>02,970.85</w:t>
      </w:r>
      <w:r w:rsidRPr="00EC2A5B">
        <w:rPr>
          <w:rFonts w:eastAsia="Calibri"/>
          <w:bCs/>
        </w:rPr>
        <w:t>].</w:t>
      </w:r>
    </w:p>
    <w:bookmarkEnd w:id="2"/>
    <w:p w:rsidR="00357C8A" w:rsidP="006705EA" w14:paraId="61970DDA"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357C8A" w:rsidP="00357C8A" w14:paraId="7AFB49DF" w14:textId="6A97C25F">
      <w:pPr>
        <w:spacing w:after="200"/>
        <w:rPr>
          <w:rFonts w:eastAsia="Calibri"/>
          <w:color w:val="FF0000"/>
        </w:rPr>
      </w:pPr>
      <w:r w:rsidRPr="005D0DD6">
        <w:t>Our estimated burden for the information collection reflects an overall</w:t>
      </w:r>
      <w:r w:rsidR="00F93F69">
        <w:t xml:space="preserve"> adjustment</w:t>
      </w:r>
      <w:r w:rsidRPr="005D0DD6">
        <w:t xml:space="preserve"> increase of 695 hours and a corresponding increase of 12 responses.  Based on a review of the information collection since our last request for OMB renewal, the increase in the burden hours estimate is attributable to an increase in the number of respondents submitting generic drug applications</w:t>
      </w:r>
      <w:r w:rsidRPr="005D0DD6" w:rsidR="0072795B">
        <w:rPr>
          <w:rFonts w:eastAsia="Calibri"/>
        </w:rPr>
        <w:t>.</w:t>
      </w:r>
    </w:p>
    <w:p w:rsidR="00357C8A" w:rsidRPr="00357C8A" w:rsidP="006705EA" w14:paraId="154DDC83"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357C8A" w:rsidP="00357C8A" w14:paraId="671141AA" w14:textId="77777777">
      <w:pPr>
        <w:spacing w:after="200"/>
        <w:rPr>
          <w:rFonts w:eastAsia="Calibri"/>
          <w:color w:val="FF0000"/>
        </w:rPr>
      </w:pPr>
      <w:r w:rsidRPr="005C71CA">
        <w:rPr>
          <w:rFonts w:eastAsia="Calibri"/>
        </w:rPr>
        <w:t>This information collected will not be published or tabulated.</w:t>
      </w:r>
    </w:p>
    <w:p w:rsidR="00357C8A" w:rsidRPr="00357C8A" w:rsidP="006705EA" w14:paraId="1C10F9D1"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744525" w:rsidP="00357C8A" w14:paraId="524C7F59" w14:textId="77777777">
      <w:pPr>
        <w:spacing w:after="200"/>
        <w:rPr>
          <w:rFonts w:eastAsia="Calibri"/>
        </w:rPr>
      </w:pPr>
      <w:r w:rsidRPr="00A779A6">
        <w:rPr>
          <w:rFonts w:eastAsia="Calibri"/>
        </w:rPr>
        <w:t xml:space="preserve">FDA will display the OMB expiration date as required by 5 CFR 1320.5. </w:t>
      </w:r>
    </w:p>
    <w:p w:rsidR="00357C8A" w:rsidRPr="00357C8A" w:rsidP="006705EA" w14:paraId="5BBE4A8E"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A779A6" w14:paraId="2E3EFF88" w14:textId="77777777">
      <w:pPr>
        <w:spacing w:after="200"/>
        <w:rPr>
          <w:rFonts w:eastAsia="Calibri"/>
        </w:rPr>
      </w:pPr>
      <w:r w:rsidRPr="007E59A8">
        <w:rPr>
          <w:rFonts w:eastAsia="Calibri"/>
        </w:rPr>
        <w:t>There are no exceptions to the certification</w:t>
      </w:r>
      <w:r>
        <w:rPr>
          <w:rFonts w:eastAsia="Calibri"/>
        </w:rPr>
        <w:t>.</w:t>
      </w:r>
    </w:p>
    <w:sectPr w:rsidSect="005C71CA">
      <w:footerReference w:type="even" r:id="rId12"/>
      <w:footerReference w:type="default" r:id="rId13"/>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60B5302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220615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0048638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741F67D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5341"/>
    <w:rsid w:val="000161E3"/>
    <w:rsid w:val="00031A2C"/>
    <w:rsid w:val="000357E5"/>
    <w:rsid w:val="000400DC"/>
    <w:rsid w:val="00042B93"/>
    <w:rsid w:val="00043C7F"/>
    <w:rsid w:val="000467A8"/>
    <w:rsid w:val="000538E9"/>
    <w:rsid w:val="0006570F"/>
    <w:rsid w:val="00075DE8"/>
    <w:rsid w:val="0008106B"/>
    <w:rsid w:val="00087439"/>
    <w:rsid w:val="0009705B"/>
    <w:rsid w:val="000C1260"/>
    <w:rsid w:val="000C560C"/>
    <w:rsid w:val="000D080B"/>
    <w:rsid w:val="000D3C15"/>
    <w:rsid w:val="000D48FD"/>
    <w:rsid w:val="000D79CC"/>
    <w:rsid w:val="000E1C64"/>
    <w:rsid w:val="000F7119"/>
    <w:rsid w:val="0010044D"/>
    <w:rsid w:val="00100739"/>
    <w:rsid w:val="001016D4"/>
    <w:rsid w:val="0010493E"/>
    <w:rsid w:val="001075D3"/>
    <w:rsid w:val="00107885"/>
    <w:rsid w:val="00114FC4"/>
    <w:rsid w:val="0012329C"/>
    <w:rsid w:val="00131360"/>
    <w:rsid w:val="00134FA7"/>
    <w:rsid w:val="00137950"/>
    <w:rsid w:val="001430FC"/>
    <w:rsid w:val="00152F29"/>
    <w:rsid w:val="0016129A"/>
    <w:rsid w:val="00167707"/>
    <w:rsid w:val="00174D54"/>
    <w:rsid w:val="0017702C"/>
    <w:rsid w:val="00177491"/>
    <w:rsid w:val="00180820"/>
    <w:rsid w:val="00181E70"/>
    <w:rsid w:val="00185270"/>
    <w:rsid w:val="001956C7"/>
    <w:rsid w:val="001A14D3"/>
    <w:rsid w:val="001A385F"/>
    <w:rsid w:val="001A3B5A"/>
    <w:rsid w:val="001A458C"/>
    <w:rsid w:val="001B7CE9"/>
    <w:rsid w:val="001D09E2"/>
    <w:rsid w:val="001D495A"/>
    <w:rsid w:val="001E244C"/>
    <w:rsid w:val="001E318A"/>
    <w:rsid w:val="001F1437"/>
    <w:rsid w:val="001F2C97"/>
    <w:rsid w:val="00206799"/>
    <w:rsid w:val="002074FE"/>
    <w:rsid w:val="00223FBE"/>
    <w:rsid w:val="0022425B"/>
    <w:rsid w:val="002259EF"/>
    <w:rsid w:val="002269F2"/>
    <w:rsid w:val="00242ED1"/>
    <w:rsid w:val="00243364"/>
    <w:rsid w:val="002444BB"/>
    <w:rsid w:val="00254069"/>
    <w:rsid w:val="00270748"/>
    <w:rsid w:val="00272B9D"/>
    <w:rsid w:val="002734E5"/>
    <w:rsid w:val="002746DB"/>
    <w:rsid w:val="00280CAF"/>
    <w:rsid w:val="00282F09"/>
    <w:rsid w:val="00291810"/>
    <w:rsid w:val="00294D62"/>
    <w:rsid w:val="00297532"/>
    <w:rsid w:val="00297FFD"/>
    <w:rsid w:val="002A1210"/>
    <w:rsid w:val="002A47D2"/>
    <w:rsid w:val="002A7FB5"/>
    <w:rsid w:val="002B2074"/>
    <w:rsid w:val="002C685E"/>
    <w:rsid w:val="002D14D8"/>
    <w:rsid w:val="002D4799"/>
    <w:rsid w:val="002E3FA4"/>
    <w:rsid w:val="002E53A5"/>
    <w:rsid w:val="002E64B8"/>
    <w:rsid w:val="002E6834"/>
    <w:rsid w:val="003113FF"/>
    <w:rsid w:val="00312161"/>
    <w:rsid w:val="00312622"/>
    <w:rsid w:val="0032277F"/>
    <w:rsid w:val="00336941"/>
    <w:rsid w:val="00336B69"/>
    <w:rsid w:val="00337D0F"/>
    <w:rsid w:val="0034302B"/>
    <w:rsid w:val="0034311A"/>
    <w:rsid w:val="00350523"/>
    <w:rsid w:val="0035189D"/>
    <w:rsid w:val="00355B62"/>
    <w:rsid w:val="00357C8A"/>
    <w:rsid w:val="00363A59"/>
    <w:rsid w:val="003740BC"/>
    <w:rsid w:val="0037456B"/>
    <w:rsid w:val="003801A3"/>
    <w:rsid w:val="00383D90"/>
    <w:rsid w:val="003863FD"/>
    <w:rsid w:val="003870AE"/>
    <w:rsid w:val="0039230E"/>
    <w:rsid w:val="003A1A27"/>
    <w:rsid w:val="003A50CC"/>
    <w:rsid w:val="003B42B3"/>
    <w:rsid w:val="003B53C0"/>
    <w:rsid w:val="003B6384"/>
    <w:rsid w:val="003C0FE2"/>
    <w:rsid w:val="003C4EBB"/>
    <w:rsid w:val="003D1531"/>
    <w:rsid w:val="003D7C69"/>
    <w:rsid w:val="003E4EC6"/>
    <w:rsid w:val="003E527E"/>
    <w:rsid w:val="003E553E"/>
    <w:rsid w:val="003E6EE4"/>
    <w:rsid w:val="003E7078"/>
    <w:rsid w:val="003F3DF5"/>
    <w:rsid w:val="003F73B8"/>
    <w:rsid w:val="0040297E"/>
    <w:rsid w:val="00411D11"/>
    <w:rsid w:val="00414494"/>
    <w:rsid w:val="004152C2"/>
    <w:rsid w:val="00415E23"/>
    <w:rsid w:val="0041670D"/>
    <w:rsid w:val="00423272"/>
    <w:rsid w:val="00424061"/>
    <w:rsid w:val="00436A32"/>
    <w:rsid w:val="00442A3C"/>
    <w:rsid w:val="00443969"/>
    <w:rsid w:val="004446E3"/>
    <w:rsid w:val="00447D74"/>
    <w:rsid w:val="00450A74"/>
    <w:rsid w:val="004546BF"/>
    <w:rsid w:val="00465350"/>
    <w:rsid w:val="00476B91"/>
    <w:rsid w:val="004817DB"/>
    <w:rsid w:val="004846BF"/>
    <w:rsid w:val="00486F86"/>
    <w:rsid w:val="00494912"/>
    <w:rsid w:val="004A2BF0"/>
    <w:rsid w:val="004A5323"/>
    <w:rsid w:val="004A5A99"/>
    <w:rsid w:val="004C6979"/>
    <w:rsid w:val="004D13A2"/>
    <w:rsid w:val="004D3E7A"/>
    <w:rsid w:val="004F594B"/>
    <w:rsid w:val="004F61E1"/>
    <w:rsid w:val="00517FC9"/>
    <w:rsid w:val="0052048A"/>
    <w:rsid w:val="0053380B"/>
    <w:rsid w:val="00543194"/>
    <w:rsid w:val="00544138"/>
    <w:rsid w:val="00554E34"/>
    <w:rsid w:val="00556E00"/>
    <w:rsid w:val="005757EF"/>
    <w:rsid w:val="00584583"/>
    <w:rsid w:val="00586158"/>
    <w:rsid w:val="00590E90"/>
    <w:rsid w:val="00590EEB"/>
    <w:rsid w:val="005A17EE"/>
    <w:rsid w:val="005A4099"/>
    <w:rsid w:val="005A5320"/>
    <w:rsid w:val="005B43E4"/>
    <w:rsid w:val="005C38B2"/>
    <w:rsid w:val="005C5029"/>
    <w:rsid w:val="005C55C2"/>
    <w:rsid w:val="005C71CA"/>
    <w:rsid w:val="005C745C"/>
    <w:rsid w:val="005D0DD6"/>
    <w:rsid w:val="005D4DF5"/>
    <w:rsid w:val="005E42BA"/>
    <w:rsid w:val="00606F36"/>
    <w:rsid w:val="00611D6B"/>
    <w:rsid w:val="00625CFD"/>
    <w:rsid w:val="006326EC"/>
    <w:rsid w:val="00646941"/>
    <w:rsid w:val="0065049B"/>
    <w:rsid w:val="00663A42"/>
    <w:rsid w:val="006641C7"/>
    <w:rsid w:val="006705EA"/>
    <w:rsid w:val="00670BE2"/>
    <w:rsid w:val="00683087"/>
    <w:rsid w:val="00690132"/>
    <w:rsid w:val="006916D9"/>
    <w:rsid w:val="006A0845"/>
    <w:rsid w:val="006A0E05"/>
    <w:rsid w:val="006A26C6"/>
    <w:rsid w:val="006A465A"/>
    <w:rsid w:val="006A7D5D"/>
    <w:rsid w:val="006D0C12"/>
    <w:rsid w:val="006D5D57"/>
    <w:rsid w:val="006E2538"/>
    <w:rsid w:val="006E302F"/>
    <w:rsid w:val="006F4D6D"/>
    <w:rsid w:val="00705086"/>
    <w:rsid w:val="00722001"/>
    <w:rsid w:val="0072795B"/>
    <w:rsid w:val="00744525"/>
    <w:rsid w:val="00751E66"/>
    <w:rsid w:val="00754497"/>
    <w:rsid w:val="00773201"/>
    <w:rsid w:val="00780476"/>
    <w:rsid w:val="0078458A"/>
    <w:rsid w:val="00786561"/>
    <w:rsid w:val="00787C39"/>
    <w:rsid w:val="00792947"/>
    <w:rsid w:val="00795DF3"/>
    <w:rsid w:val="007A373C"/>
    <w:rsid w:val="007B225C"/>
    <w:rsid w:val="007C5244"/>
    <w:rsid w:val="007C75B1"/>
    <w:rsid w:val="007D342D"/>
    <w:rsid w:val="007D3DFC"/>
    <w:rsid w:val="007D4D70"/>
    <w:rsid w:val="007E2F07"/>
    <w:rsid w:val="007E59A8"/>
    <w:rsid w:val="007F0005"/>
    <w:rsid w:val="007F28F3"/>
    <w:rsid w:val="0080776D"/>
    <w:rsid w:val="00810145"/>
    <w:rsid w:val="008108FA"/>
    <w:rsid w:val="00810FF1"/>
    <w:rsid w:val="00822336"/>
    <w:rsid w:val="00823DFA"/>
    <w:rsid w:val="00824DE0"/>
    <w:rsid w:val="00827874"/>
    <w:rsid w:val="00842DB7"/>
    <w:rsid w:val="00843752"/>
    <w:rsid w:val="0084479F"/>
    <w:rsid w:val="0085725E"/>
    <w:rsid w:val="00873D4F"/>
    <w:rsid w:val="0087509F"/>
    <w:rsid w:val="0088499D"/>
    <w:rsid w:val="00885B09"/>
    <w:rsid w:val="00892400"/>
    <w:rsid w:val="008938C2"/>
    <w:rsid w:val="008A209D"/>
    <w:rsid w:val="008A22BB"/>
    <w:rsid w:val="008B035D"/>
    <w:rsid w:val="008B0E29"/>
    <w:rsid w:val="008B0EFA"/>
    <w:rsid w:val="008B30AB"/>
    <w:rsid w:val="008C3BB8"/>
    <w:rsid w:val="008C4B65"/>
    <w:rsid w:val="008E511C"/>
    <w:rsid w:val="008E5F55"/>
    <w:rsid w:val="009009E7"/>
    <w:rsid w:val="00905DEF"/>
    <w:rsid w:val="00906056"/>
    <w:rsid w:val="009122AE"/>
    <w:rsid w:val="00913B43"/>
    <w:rsid w:val="0091748F"/>
    <w:rsid w:val="00930203"/>
    <w:rsid w:val="009311D2"/>
    <w:rsid w:val="009311E6"/>
    <w:rsid w:val="00931275"/>
    <w:rsid w:val="009346F0"/>
    <w:rsid w:val="00936AC7"/>
    <w:rsid w:val="00947761"/>
    <w:rsid w:val="00953B64"/>
    <w:rsid w:val="009646A7"/>
    <w:rsid w:val="00970A88"/>
    <w:rsid w:val="009726F8"/>
    <w:rsid w:val="009818A1"/>
    <w:rsid w:val="009A1674"/>
    <w:rsid w:val="009B38BE"/>
    <w:rsid w:val="009B4DF2"/>
    <w:rsid w:val="009C684F"/>
    <w:rsid w:val="009D074C"/>
    <w:rsid w:val="009D6E73"/>
    <w:rsid w:val="009F1F1D"/>
    <w:rsid w:val="009F2B4F"/>
    <w:rsid w:val="009F3C63"/>
    <w:rsid w:val="009F66B5"/>
    <w:rsid w:val="00A02F10"/>
    <w:rsid w:val="00A1060C"/>
    <w:rsid w:val="00A16221"/>
    <w:rsid w:val="00A20A7D"/>
    <w:rsid w:val="00A35D42"/>
    <w:rsid w:val="00A46CCF"/>
    <w:rsid w:val="00A506DE"/>
    <w:rsid w:val="00A53451"/>
    <w:rsid w:val="00A70426"/>
    <w:rsid w:val="00A707CC"/>
    <w:rsid w:val="00A71410"/>
    <w:rsid w:val="00A779A6"/>
    <w:rsid w:val="00A84136"/>
    <w:rsid w:val="00A91E9A"/>
    <w:rsid w:val="00A93ED9"/>
    <w:rsid w:val="00A940A1"/>
    <w:rsid w:val="00A96221"/>
    <w:rsid w:val="00AA176E"/>
    <w:rsid w:val="00AC0BD9"/>
    <w:rsid w:val="00AC2DBB"/>
    <w:rsid w:val="00AC6A99"/>
    <w:rsid w:val="00AC74B2"/>
    <w:rsid w:val="00AD6048"/>
    <w:rsid w:val="00AD7790"/>
    <w:rsid w:val="00AE0E1E"/>
    <w:rsid w:val="00AF0A45"/>
    <w:rsid w:val="00AF2063"/>
    <w:rsid w:val="00B055EF"/>
    <w:rsid w:val="00B06B5B"/>
    <w:rsid w:val="00B23769"/>
    <w:rsid w:val="00B41789"/>
    <w:rsid w:val="00B75CCE"/>
    <w:rsid w:val="00B81808"/>
    <w:rsid w:val="00B86DFA"/>
    <w:rsid w:val="00B936D0"/>
    <w:rsid w:val="00BB15FB"/>
    <w:rsid w:val="00BD357C"/>
    <w:rsid w:val="00BD3D5B"/>
    <w:rsid w:val="00BD539D"/>
    <w:rsid w:val="00BE3600"/>
    <w:rsid w:val="00C01F6F"/>
    <w:rsid w:val="00C041EA"/>
    <w:rsid w:val="00C065D5"/>
    <w:rsid w:val="00C06927"/>
    <w:rsid w:val="00C13BBD"/>
    <w:rsid w:val="00C149AB"/>
    <w:rsid w:val="00C15EE1"/>
    <w:rsid w:val="00C16929"/>
    <w:rsid w:val="00C20690"/>
    <w:rsid w:val="00C20B2F"/>
    <w:rsid w:val="00C31E59"/>
    <w:rsid w:val="00C36020"/>
    <w:rsid w:val="00C40694"/>
    <w:rsid w:val="00C40A0D"/>
    <w:rsid w:val="00C42A5B"/>
    <w:rsid w:val="00C479BF"/>
    <w:rsid w:val="00C5124B"/>
    <w:rsid w:val="00C70542"/>
    <w:rsid w:val="00C75CBF"/>
    <w:rsid w:val="00CA6675"/>
    <w:rsid w:val="00CB0BF3"/>
    <w:rsid w:val="00CC2894"/>
    <w:rsid w:val="00CD77C3"/>
    <w:rsid w:val="00CE112C"/>
    <w:rsid w:val="00CE6BC5"/>
    <w:rsid w:val="00CF55D4"/>
    <w:rsid w:val="00CF72B1"/>
    <w:rsid w:val="00D0402C"/>
    <w:rsid w:val="00D608DA"/>
    <w:rsid w:val="00D730BF"/>
    <w:rsid w:val="00D852F4"/>
    <w:rsid w:val="00DB1110"/>
    <w:rsid w:val="00DB3730"/>
    <w:rsid w:val="00DC371B"/>
    <w:rsid w:val="00DC3788"/>
    <w:rsid w:val="00DC3C07"/>
    <w:rsid w:val="00DC432D"/>
    <w:rsid w:val="00DC76C7"/>
    <w:rsid w:val="00DD09F5"/>
    <w:rsid w:val="00DD0E02"/>
    <w:rsid w:val="00DD4201"/>
    <w:rsid w:val="00DD5E9F"/>
    <w:rsid w:val="00DE5711"/>
    <w:rsid w:val="00E00EA0"/>
    <w:rsid w:val="00E021CB"/>
    <w:rsid w:val="00E138F1"/>
    <w:rsid w:val="00E2309D"/>
    <w:rsid w:val="00E26758"/>
    <w:rsid w:val="00E369A8"/>
    <w:rsid w:val="00E4347F"/>
    <w:rsid w:val="00E4357B"/>
    <w:rsid w:val="00E443A7"/>
    <w:rsid w:val="00E45904"/>
    <w:rsid w:val="00E56216"/>
    <w:rsid w:val="00E60BF5"/>
    <w:rsid w:val="00E63DE5"/>
    <w:rsid w:val="00E647AF"/>
    <w:rsid w:val="00E647C7"/>
    <w:rsid w:val="00E65A37"/>
    <w:rsid w:val="00E65EF7"/>
    <w:rsid w:val="00E749F3"/>
    <w:rsid w:val="00E77B48"/>
    <w:rsid w:val="00E809EA"/>
    <w:rsid w:val="00E85177"/>
    <w:rsid w:val="00E857FB"/>
    <w:rsid w:val="00E90E4B"/>
    <w:rsid w:val="00E91799"/>
    <w:rsid w:val="00E95641"/>
    <w:rsid w:val="00E97DF8"/>
    <w:rsid w:val="00EA21FE"/>
    <w:rsid w:val="00EA34E3"/>
    <w:rsid w:val="00EB7538"/>
    <w:rsid w:val="00EC1868"/>
    <w:rsid w:val="00EC2A5B"/>
    <w:rsid w:val="00EC4131"/>
    <w:rsid w:val="00ED21A9"/>
    <w:rsid w:val="00EE6468"/>
    <w:rsid w:val="00F1299B"/>
    <w:rsid w:val="00F1433F"/>
    <w:rsid w:val="00F15E75"/>
    <w:rsid w:val="00F207A4"/>
    <w:rsid w:val="00F25173"/>
    <w:rsid w:val="00F355AC"/>
    <w:rsid w:val="00F40CF7"/>
    <w:rsid w:val="00F44194"/>
    <w:rsid w:val="00F53114"/>
    <w:rsid w:val="00F6765B"/>
    <w:rsid w:val="00F71A5A"/>
    <w:rsid w:val="00F73A1A"/>
    <w:rsid w:val="00F769E0"/>
    <w:rsid w:val="00F76DA3"/>
    <w:rsid w:val="00F93F69"/>
    <w:rsid w:val="00FA2229"/>
    <w:rsid w:val="00FA4A46"/>
    <w:rsid w:val="00FA75FE"/>
    <w:rsid w:val="00FB1032"/>
    <w:rsid w:val="00FB39BC"/>
    <w:rsid w:val="00FB6A53"/>
    <w:rsid w:val="00FC11CA"/>
    <w:rsid w:val="00FC6BDE"/>
    <w:rsid w:val="00FD1019"/>
    <w:rsid w:val="00FE7B39"/>
    <w:rsid w:val="00FF0148"/>
    <w:rsid w:val="00FF32F9"/>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BCE23F"/>
  <w15:chartTrackingRefBased/>
  <w15:docId w15:val="{0A301A26-6271-424D-937C-CD4FC622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4152C2"/>
    <w:rPr>
      <w:sz w:val="16"/>
      <w:szCs w:val="16"/>
    </w:rPr>
  </w:style>
  <w:style w:type="paragraph" w:styleId="CommentText">
    <w:name w:val="annotation text"/>
    <w:basedOn w:val="Normal"/>
    <w:link w:val="CommentTextChar"/>
    <w:rsid w:val="004152C2"/>
    <w:rPr>
      <w:sz w:val="20"/>
      <w:szCs w:val="20"/>
    </w:rPr>
  </w:style>
  <w:style w:type="character" w:customStyle="1" w:styleId="CommentTextChar">
    <w:name w:val="Comment Text Char"/>
    <w:basedOn w:val="DefaultParagraphFont"/>
    <w:link w:val="CommentText"/>
    <w:rsid w:val="004152C2"/>
  </w:style>
  <w:style w:type="paragraph" w:styleId="CommentSubject">
    <w:name w:val="annotation subject"/>
    <w:basedOn w:val="CommentText"/>
    <w:next w:val="CommentText"/>
    <w:link w:val="CommentSubjectChar"/>
    <w:rsid w:val="004152C2"/>
    <w:rPr>
      <w:b/>
      <w:bCs/>
    </w:rPr>
  </w:style>
  <w:style w:type="character" w:customStyle="1" w:styleId="CommentSubjectChar">
    <w:name w:val="Comment Subject Char"/>
    <w:link w:val="CommentSubject"/>
    <w:rsid w:val="004152C2"/>
    <w:rPr>
      <w:b/>
      <w:bCs/>
    </w:rPr>
  </w:style>
  <w:style w:type="paragraph" w:styleId="FootnoteText">
    <w:name w:val="footnote text"/>
    <w:basedOn w:val="Normal"/>
    <w:link w:val="FootnoteTextChar"/>
    <w:rsid w:val="00E749F3"/>
    <w:rPr>
      <w:sz w:val="20"/>
      <w:szCs w:val="20"/>
    </w:rPr>
  </w:style>
  <w:style w:type="character" w:customStyle="1" w:styleId="FootnoteTextChar">
    <w:name w:val="Footnote Text Char"/>
    <w:basedOn w:val="DefaultParagraphFont"/>
    <w:link w:val="FootnoteText"/>
    <w:rsid w:val="00E749F3"/>
  </w:style>
  <w:style w:type="character" w:styleId="FootnoteReference">
    <w:name w:val="footnote reference"/>
    <w:rsid w:val="00E749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animal-veterinary/approved-animal-drug-products-green-book/freedom-information-foi-summaries-approved-animal-drugs" TargetMode="External" /><Relationship Id="rId11" Type="http://schemas.openxmlformats.org/officeDocument/2006/relationships/hyperlink" Target="http://www.bls.go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da.gov/regulatory-information/search-fda-guidance-documents/cvm-gfi-171-demonstrating-bioequivalence-soluble-powder-oral-dosage-form-products-and-type-medicated" TargetMode="External" /><Relationship Id="rId9" Type="http://schemas.openxmlformats.org/officeDocument/2006/relationships/hyperlink" Target="https://www.fda.gov/industry/fda-esubmitter/getting-started-esubmit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eforeICRFlag xmlns="7389913f-922f-4e80-b417-8e04b3f2c4f9">false</BeforeICRFlag>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0FC6E1A17FC941A2344FC05EA6CD14" ma:contentTypeVersion="7" ma:contentTypeDescription="Create a new document." ma:contentTypeScope="" ma:versionID="10bf8f031eb5aa7b2cca99f3676c5a92">
  <xsd:schema xmlns:xsd="http://www.w3.org/2001/XMLSchema" xmlns:xs="http://www.w3.org/2001/XMLSchema" xmlns:p="http://schemas.microsoft.com/office/2006/metadata/properties" xmlns:ns2="7389913f-922f-4e80-b417-8e04b3f2c4f9" targetNamespace="http://schemas.microsoft.com/office/2006/metadata/properties" ma:root="true" ma:fieldsID="2a81f4174fd3fb2552144a86327366e7" ns2:_="">
    <xsd:import namespace="7389913f-922f-4e80-b417-8e04b3f2c4f9"/>
    <xsd:element name="properties">
      <xsd:complexType>
        <xsd:sequence>
          <xsd:element name="documentManagement">
            <xsd:complexType>
              <xsd:all>
                <xsd:element ref="ns2:MediaServiceMetadata" minOccurs="0"/>
                <xsd:element ref="ns2:MediaServiceFastMetadata" minOccurs="0"/>
                <xsd:element ref="ns2:BeforeICRFlag"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9913f-922f-4e80-b417-8e04b3f2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foreICRFlag" ma:index="10" nillable="true" ma:displayName="Before ICR Flag" ma:default="0" ma:description="To flag if the document should be displayed on Before Submitting Your ICR page" ma:format="Dropdown" ma:internalName="BeforeICRFlag">
      <xsd:simpleType>
        <xsd:restriction base="dms:Boolea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DD700-652B-435C-B87E-23D922D3A1E4}">
  <ds:schemaRefs>
    <ds:schemaRef ds:uri="http://schemas.openxmlformats.org/officeDocument/2006/bibliography"/>
  </ds:schemaRefs>
</ds:datastoreItem>
</file>

<file path=customXml/itemProps2.xml><?xml version="1.0" encoding="utf-8"?>
<ds:datastoreItem xmlns:ds="http://schemas.openxmlformats.org/officeDocument/2006/customXml" ds:itemID="{0665D03A-C2CA-4242-A2C4-A64304E1B5E0}">
  <ds:schemaRefs>
    <ds:schemaRef ds:uri="http://schemas.microsoft.com/office/2006/metadata/properties"/>
    <ds:schemaRef ds:uri="http://schemas.microsoft.com/office/infopath/2007/PartnerControls"/>
    <ds:schemaRef ds:uri="7389913f-922f-4e80-b417-8e04b3f2c4f9"/>
  </ds:schemaRefs>
</ds:datastoreItem>
</file>

<file path=customXml/itemProps3.xml><?xml version="1.0" encoding="utf-8"?>
<ds:datastoreItem xmlns:ds="http://schemas.openxmlformats.org/officeDocument/2006/customXml" ds:itemID="{9AA518F2-462A-4DFA-8FEE-F4EE8A760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9913f-922f-4e80-b417-8e04b3f2c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B79619-0FC4-40E9-AB0D-65C47D5DD1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1859</Words>
  <Characters>11356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Showalter, Rachel</cp:lastModifiedBy>
  <cp:revision>10</cp:revision>
  <cp:lastPrinted>2019-07-03T16:25:00Z</cp:lastPrinted>
  <dcterms:created xsi:type="dcterms:W3CDTF">2022-09-23T13:53:00Z</dcterms:created>
  <dcterms:modified xsi:type="dcterms:W3CDTF">2022-09-23T17:31:00Z</dcterms:modified>
</cp:coreProperties>
</file>