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11332599">
      <w:pPr>
        <w:jc w:val="center"/>
      </w:pPr>
      <w:r w:rsidRPr="00980E58">
        <w:t>[</w:t>
      </w:r>
      <w:r w:rsidRPr="007633DD">
        <w:t>Docket No</w:t>
      </w:r>
      <w:r w:rsidRPr="00413FDE">
        <w:t xml:space="preserve">. </w:t>
      </w:r>
      <w:r w:rsidRPr="00413FDE" w:rsidR="00613169">
        <w:t>IC</w:t>
      </w:r>
      <w:r w:rsidRPr="00413FDE" w:rsidR="00FB078F">
        <w:t>2</w:t>
      </w:r>
      <w:r w:rsidR="00EA0E8C">
        <w:t>2</w:t>
      </w:r>
      <w:r w:rsidRPr="00413FDE" w:rsidR="00613169">
        <w:t>-</w:t>
      </w:r>
      <w:r w:rsidR="009E7B5F">
        <w:t>2</w:t>
      </w:r>
      <w:r w:rsidRPr="00413FDE" w:rsidR="00613169">
        <w:t>-000</w:t>
      </w:r>
      <w:r w:rsidRPr="00413FDE">
        <w:t>]</w:t>
      </w:r>
    </w:p>
    <w:p w:rsidR="00A2604E" w:rsidP="00A2604E" w:rsidRDefault="00A2604E" w14:paraId="4D16FE54" w14:textId="77777777"/>
    <w:p w:rsidR="00A2604E" w:rsidP="00A2604E" w:rsidRDefault="00A2604E" w14:paraId="0627AE31" w14:textId="24782E23">
      <w:pPr>
        <w:jc w:val="center"/>
      </w:pPr>
      <w:r>
        <w:t>COMMISSION INFORMATION COLLECTION ACTIVITIES (FERC-</w:t>
      </w:r>
      <w:r w:rsidRPr="00AE45D5" w:rsidR="000D6969">
        <w:t>7</w:t>
      </w:r>
      <w:r w:rsidR="00186EC5">
        <w:t>32</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6759AE" w:rsidP="008826CA" w:rsidRDefault="008826CA" w14:paraId="561791E3" w14:textId="14C2A349">
      <w:pPr>
        <w:jc w:val="center"/>
      </w:pPr>
      <w:r w:rsidRPr="008826CA">
        <w:t>(January 20, 2022)</w:t>
      </w:r>
    </w:p>
    <w:p w:rsidRPr="008826CA" w:rsidR="008826CA" w:rsidP="008826CA" w:rsidRDefault="008826CA" w14:paraId="09FEF3F3"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0C9776F2">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r w:rsidR="009E7B5F">
        <w:rPr>
          <w:rFonts w:eastAsiaTheme="minorHAnsi"/>
          <w:szCs w:val="26"/>
        </w:rPr>
        <w:t>FERC-732, (</w:t>
      </w:r>
      <w:r w:rsidRPr="00727872" w:rsidR="009E7B5F">
        <w:rPr>
          <w:rFonts w:eastAsiaTheme="minorHAnsi"/>
          <w:bCs/>
          <w:szCs w:val="26"/>
        </w:rPr>
        <w:t>Electric Rate Schedule and Tariffs: Long-Term Firm Transmission Rights in Organized Electricity Markets</w:t>
      </w:r>
      <w:r w:rsidR="009E7B5F">
        <w:rPr>
          <w:rFonts w:eastAsiaTheme="minorHAnsi"/>
          <w:bCs/>
          <w:szCs w:val="26"/>
        </w:rPr>
        <w:t>)</w:t>
      </w:r>
      <w:r w:rsidR="00564ADB">
        <w:rPr>
          <w:rFonts w:eastAsiaTheme="minorHAnsi"/>
          <w:szCs w:val="26"/>
        </w:rPr>
        <w:t xml:space="preserve">, </w:t>
      </w:r>
      <w:r w:rsidRPr="00564ADB" w:rsidR="00564ADB">
        <w:rPr>
          <w:rFonts w:eastAsiaTheme="minorHAnsi"/>
          <w:szCs w:val="26"/>
        </w:rPr>
        <w:t>which will be submitted to the Office of Management and Budget (OMB) for review.</w:t>
      </w:r>
      <w:r w:rsidR="001A7665">
        <w:rPr>
          <w:rFonts w:eastAsiaTheme="minorHAnsi"/>
          <w:szCs w:val="26"/>
        </w:rPr>
        <w:t xml:space="preserve">  The </w:t>
      </w:r>
      <w:bookmarkStart w:name="_Hlk92266693" w:id="1"/>
      <w:r w:rsidR="001A7665">
        <w:rPr>
          <w:rFonts w:eastAsiaTheme="minorHAnsi"/>
          <w:szCs w:val="26"/>
        </w:rPr>
        <w:t xml:space="preserve">Commission issued a 60-day notice on November </w:t>
      </w:r>
      <w:r w:rsidR="009E7B5F">
        <w:rPr>
          <w:rFonts w:eastAsiaTheme="minorHAnsi"/>
          <w:szCs w:val="26"/>
        </w:rPr>
        <w:t>15</w:t>
      </w:r>
      <w:r w:rsidR="001A7665">
        <w:rPr>
          <w:rFonts w:eastAsiaTheme="minorHAnsi"/>
          <w:szCs w:val="26"/>
        </w:rPr>
        <w:t>, 2021 requesting public comments; no comments were received.</w:t>
      </w:r>
    </w:p>
    <w:bookmarkEnd w:id="1"/>
    <w:p w:rsidRPr="00524164" w:rsidR="00A2604E" w:rsidP="00A2604E" w:rsidRDefault="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Pr="00BB5EF5" w:rsidR="00564ADB" w:rsidP="00564ADB" w:rsidRDefault="00A2604E" w14:paraId="55C4F2A9" w14:textId="676C027C">
      <w:pPr>
        <w:spacing w:line="480" w:lineRule="auto"/>
      </w:pPr>
      <w:r w:rsidRPr="00524164">
        <w:rPr>
          <w:b/>
        </w:rPr>
        <w:t>ADDRESSES:</w:t>
      </w:r>
      <w:r w:rsidRPr="00524164">
        <w:t xml:space="preserve"> </w:t>
      </w:r>
      <w:r w:rsidRPr="00BB5EF5" w:rsidR="00564ADB">
        <w:rPr>
          <w:iCs/>
        </w:rPr>
        <w:t>Send written comments on FERC-7</w:t>
      </w:r>
      <w:r w:rsidR="001C64F5">
        <w:rPr>
          <w:iCs/>
        </w:rPr>
        <w:t>32</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w:t>
      </w:r>
      <w:r w:rsidR="001C64F5">
        <w:rPr>
          <w:iCs/>
        </w:rPr>
        <w:t>245</w:t>
      </w:r>
      <w:r w:rsidRPr="00BB5EF5" w:rsidR="00564ADB">
        <w:rPr>
          <w:iCs/>
        </w:rPr>
        <w:t>) in the subject line of your comments.  Comments</w:t>
      </w:r>
      <w:r w:rsidRPr="00BB5EF5" w:rsidR="00564ADB">
        <w:t xml:space="preserve"> should be sent </w:t>
      </w:r>
      <w:bookmarkStart w:name="_Hlk35891527" w:id="2"/>
      <w:r w:rsidRPr="00BB5EF5" w:rsidR="00564ADB">
        <w:t xml:space="preserve">within 30 days of publication of this notice  to </w:t>
      </w:r>
      <w:bookmarkStart w:name="_Hlk38028221" w:id="3"/>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2"/>
      <w:bookmarkEnd w:id="3"/>
    </w:p>
    <w:p w:rsidRPr="00BB5EF5" w:rsidR="00564ADB" w:rsidP="00564ADB" w:rsidRDefault="00564ADB" w14:paraId="7F9E2910" w14:textId="308D246E">
      <w:pPr>
        <w:spacing w:line="480" w:lineRule="auto"/>
      </w:pPr>
      <w:r w:rsidRPr="00BB5EF5">
        <w:lastRenderedPageBreak/>
        <w:t>Please submit copies of your comments to the Commission.  You may submit copies of your comments (identified by Docket No. IC2</w:t>
      </w:r>
      <w:r w:rsidR="00EA0E8C">
        <w:t>2</w:t>
      </w:r>
      <w:r w:rsidRPr="00BB5EF5">
        <w:t>-</w:t>
      </w:r>
      <w:r w:rsidR="00186EC5">
        <w:t>2</w:t>
      </w:r>
      <w:r w:rsidRPr="00BB5EF5">
        <w:t>-000) by one of the following methods:</w:t>
      </w:r>
    </w:p>
    <w:p w:rsidRPr="00BB5EF5" w:rsidR="00564ADB" w:rsidP="00564ADB" w:rsidRDefault="00564ADB" w14:paraId="719A4BB0" w14:textId="77777777">
      <w:pPr>
        <w:spacing w:line="480" w:lineRule="auto"/>
      </w:pPr>
      <w:r w:rsidRPr="00BB5EF5">
        <w:t xml:space="preserve">Electronic filing through </w:t>
      </w:r>
      <w:hyperlink w:history="1" r:id="rId13">
        <w:r w:rsidRPr="00BB5EF5">
          <w:rPr>
            <w:rStyle w:val="Hyperlink"/>
          </w:rPr>
          <w:t>http://www.ferc.gov</w:t>
        </w:r>
      </w:hyperlink>
      <w:r w:rsidRPr="00BB5EF5">
        <w:t>, is preferred.</w:t>
      </w:r>
    </w:p>
    <w:p w:rsidRPr="00BB5EF5" w:rsidR="00564ADB" w:rsidP="00564ADB" w:rsidRDefault="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4"/>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77777777">
      <w:pPr>
        <w:spacing w:line="480" w:lineRule="auto"/>
      </w:pPr>
      <w:r w:rsidRPr="00BB5EF5">
        <w:rPr>
          <w:i/>
          <w:iCs/>
        </w:rPr>
        <w:t>FERC submissions</w:t>
      </w:r>
      <w:r w:rsidRPr="00BB5EF5">
        <w:t xml:space="preserve"> </w:t>
      </w:r>
      <w:bookmarkStart w:name="_Hlk38028397" w:id="5"/>
      <w:r w:rsidRPr="00BB5EF5">
        <w:t>must be formatted and filed in accordance with submission guidelines at</w:t>
      </w:r>
      <w:bookmarkEnd w:id="5"/>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lastRenderedPageBreak/>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4"/>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000F3BC3" w:rsidP="000F3BC3" w:rsidRDefault="000F3BC3" w14:paraId="5169038C" w14:textId="349E34C9">
      <w:pPr>
        <w:spacing w:line="480" w:lineRule="auto"/>
        <w:rPr>
          <w:szCs w:val="26"/>
        </w:rPr>
      </w:pPr>
      <w:r w:rsidRPr="000F3BC3">
        <w:rPr>
          <w:b/>
          <w:szCs w:val="26"/>
        </w:rPr>
        <w:t>SUPPLEMENTARY INFORMATION:</w:t>
      </w:r>
      <w:r w:rsidRPr="000F3BC3">
        <w:rPr>
          <w:szCs w:val="26"/>
        </w:rPr>
        <w:t xml:space="preserve">  </w:t>
      </w:r>
    </w:p>
    <w:p w:rsidR="009E7B5F" w:rsidP="009E7B5F" w:rsidRDefault="009E7B5F" w14:paraId="1362B622" w14:textId="77777777">
      <w:pPr>
        <w:pStyle w:val="ListParagraph"/>
        <w:numPr>
          <w:ilvl w:val="0"/>
          <w:numId w:val="19"/>
        </w:numPr>
        <w:spacing w:line="480" w:lineRule="auto"/>
        <w:rPr>
          <w:b/>
          <w:bCs/>
          <w:szCs w:val="26"/>
        </w:rPr>
      </w:pPr>
      <w:r w:rsidRPr="00BE7A16">
        <w:rPr>
          <w:b/>
          <w:bCs/>
          <w:szCs w:val="26"/>
        </w:rPr>
        <w:t>FERC-</w:t>
      </w:r>
      <w:r>
        <w:rPr>
          <w:b/>
          <w:bCs/>
          <w:szCs w:val="26"/>
        </w:rPr>
        <w:t>732</w:t>
      </w:r>
    </w:p>
    <w:p w:rsidRPr="001A50A7" w:rsidR="009E7B5F" w:rsidP="009E7B5F" w:rsidRDefault="009E7B5F" w14:paraId="4CF1E721" w14:textId="77777777">
      <w:pPr>
        <w:spacing w:line="480" w:lineRule="auto"/>
        <w:rPr>
          <w:b/>
          <w:bCs/>
          <w:szCs w:val="26"/>
        </w:rPr>
      </w:pPr>
      <w:r w:rsidRPr="001A50A7">
        <w:rPr>
          <w:i/>
          <w:iCs/>
          <w:szCs w:val="26"/>
        </w:rPr>
        <w:t>Title:</w:t>
      </w:r>
      <w:r w:rsidRPr="001A50A7">
        <w:rPr>
          <w:rFonts w:eastAsiaTheme="minorHAnsi"/>
          <w:szCs w:val="26"/>
        </w:rPr>
        <w:t xml:space="preserve"> </w:t>
      </w:r>
      <w:r w:rsidRPr="001A50A7">
        <w:rPr>
          <w:szCs w:val="26"/>
        </w:rPr>
        <w:t xml:space="preserve">FERC-732, </w:t>
      </w:r>
      <w:r w:rsidRPr="001A50A7">
        <w:rPr>
          <w:bCs/>
          <w:szCs w:val="26"/>
        </w:rPr>
        <w:t>Electric Rate Schedule and Tariffs: Long-Term Firm Transmission Rights in Organized Electricity Markets</w:t>
      </w:r>
    </w:p>
    <w:p w:rsidRPr="00342537" w:rsidR="009E7B5F" w:rsidP="009E7B5F" w:rsidRDefault="009E7B5F" w14:paraId="773CC057" w14:textId="77777777">
      <w:pPr>
        <w:spacing w:line="480" w:lineRule="auto"/>
        <w:rPr>
          <w:szCs w:val="26"/>
        </w:rPr>
      </w:pPr>
      <w:r w:rsidRPr="00342537">
        <w:rPr>
          <w:i/>
          <w:szCs w:val="26"/>
        </w:rPr>
        <w:t>OMB Control No.:</w:t>
      </w:r>
      <w:r w:rsidRPr="00342537">
        <w:rPr>
          <w:szCs w:val="26"/>
        </w:rPr>
        <w:t xml:space="preserve"> 1902-0</w:t>
      </w:r>
      <w:r>
        <w:rPr>
          <w:szCs w:val="26"/>
        </w:rPr>
        <w:t>245</w:t>
      </w:r>
    </w:p>
    <w:p w:rsidRPr="002F3F34" w:rsidR="009E7B5F" w:rsidP="009E7B5F" w:rsidRDefault="009E7B5F" w14:paraId="70ABC443" w14:textId="77777777">
      <w:pPr>
        <w:tabs>
          <w:tab w:val="left" w:pos="7880"/>
        </w:tabs>
        <w:spacing w:line="480" w:lineRule="auto"/>
      </w:pPr>
      <w:r w:rsidRPr="002F3F34">
        <w:rPr>
          <w:i/>
        </w:rPr>
        <w:t>Type of Request:</w:t>
      </w:r>
      <w:r w:rsidRPr="002F3F34">
        <w:t xml:space="preserve"> Three-year extension of the FERC-732 information collection requirement with no changes to the current reporting requirements.</w:t>
      </w:r>
    </w:p>
    <w:p w:rsidRPr="002F3F34" w:rsidR="009E7B5F" w:rsidP="009E7B5F" w:rsidRDefault="009E7B5F" w14:paraId="08952585" w14:textId="77777777">
      <w:pPr>
        <w:tabs>
          <w:tab w:val="left" w:pos="7880"/>
        </w:tabs>
        <w:spacing w:line="480" w:lineRule="auto"/>
      </w:pPr>
      <w:r w:rsidRPr="002F3F34">
        <w:rPr>
          <w:i/>
        </w:rPr>
        <w:t>Abstract:</w:t>
      </w:r>
      <w:r w:rsidRPr="002F3F34">
        <w:t xml:space="preserve"> 18 CFR Part 42 provides the reporting requirements of FERC-732 as they pertain to long-term transmission rights.  To implement section 1233</w:t>
      </w:r>
      <w:r w:rsidRPr="002F3F34">
        <w:rPr>
          <w:b/>
          <w:vertAlign w:val="superscript"/>
        </w:rPr>
        <w:footnoteReference w:id="2"/>
      </w:r>
      <w:r w:rsidRPr="002F3F34">
        <w:t xml:space="preserve"> of the Energy Policy Act of 2005 (</w:t>
      </w:r>
      <w:proofErr w:type="spellStart"/>
      <w:r w:rsidRPr="002F3F34">
        <w:t>EPAct</w:t>
      </w:r>
      <w:proofErr w:type="spellEnd"/>
      <w:r w:rsidRPr="002F3F34">
        <w:t xml:space="preserve"> 2005)</w:t>
      </w:r>
      <w:r w:rsidRPr="002F3F34">
        <w:rPr>
          <w:b/>
          <w:vertAlign w:val="superscript"/>
        </w:rPr>
        <w:footnoteReference w:id="3"/>
      </w:r>
      <w:r w:rsidRPr="002F3F34">
        <w:t>, the Commission requires each transmission organization that is a public utility with one or more organized electricity markets to make available long-term firm transmission rights that satisfy each of the Commission’s guidelines.</w:t>
      </w:r>
      <w:r w:rsidRPr="002F3F34">
        <w:rPr>
          <w:b/>
          <w:vertAlign w:val="superscript"/>
        </w:rPr>
        <w:footnoteReference w:id="4"/>
      </w:r>
      <w:r w:rsidRPr="002F3F34">
        <w:t xml:space="preserve">   </w:t>
      </w:r>
    </w:p>
    <w:p w:rsidRPr="002F3F34" w:rsidR="009E7B5F" w:rsidP="009E7B5F" w:rsidRDefault="009E7B5F" w14:paraId="5CCD1770" w14:textId="77777777">
      <w:pPr>
        <w:tabs>
          <w:tab w:val="left" w:pos="7880"/>
        </w:tabs>
        <w:spacing w:line="480" w:lineRule="auto"/>
      </w:pPr>
      <w:r w:rsidRPr="002F3F34">
        <w:lastRenderedPageBreak/>
        <w:t>The FERC-732 regulations require that transmission organizations (that are public utilities with one or more organized electricity markets) choose one of two ways to file:</w:t>
      </w:r>
    </w:p>
    <w:p w:rsidRPr="002F3F34" w:rsidR="009E7B5F" w:rsidP="009E7B5F" w:rsidRDefault="009E7B5F" w14:paraId="4308FF66" w14:textId="77777777">
      <w:pPr>
        <w:numPr>
          <w:ilvl w:val="0"/>
          <w:numId w:val="20"/>
        </w:numPr>
        <w:tabs>
          <w:tab w:val="left" w:pos="7880"/>
        </w:tabs>
        <w:spacing w:after="160" w:line="480" w:lineRule="auto"/>
      </w:pPr>
      <w:r w:rsidRPr="002F3F34">
        <w:t>File tariff sheets making long-term firm transmission rights available that are consistent with each of the guidelines established by FERC.</w:t>
      </w:r>
    </w:p>
    <w:p w:rsidRPr="002F3F34" w:rsidR="009E7B5F" w:rsidP="009E7B5F" w:rsidRDefault="009E7B5F" w14:paraId="4B3AD27B" w14:textId="77777777">
      <w:pPr>
        <w:numPr>
          <w:ilvl w:val="0"/>
          <w:numId w:val="20"/>
        </w:numPr>
        <w:tabs>
          <w:tab w:val="left" w:pos="7880"/>
        </w:tabs>
        <w:spacing w:after="160" w:line="480" w:lineRule="auto"/>
      </w:pPr>
      <w:r w:rsidRPr="002F3F34">
        <w:t xml:space="preserve">File an explanation describing how their existing tariffs already provide long-term firm transmission rights that are consistent with the guidelines.  </w:t>
      </w:r>
    </w:p>
    <w:p w:rsidRPr="002F3F34" w:rsidR="009E7B5F" w:rsidP="009E7B5F" w:rsidRDefault="009E7B5F" w14:paraId="2AA99E23" w14:textId="77777777">
      <w:pPr>
        <w:tabs>
          <w:tab w:val="left" w:pos="7880"/>
        </w:tabs>
        <w:spacing w:line="480" w:lineRule="auto"/>
      </w:pPr>
      <w:r w:rsidRPr="002F3F34">
        <w:t>Additionally, the Commission requires each transmission organization to make its transmission planning and expansion procedures and plans available to the public.</w:t>
      </w:r>
    </w:p>
    <w:p w:rsidRPr="002F3F34" w:rsidR="009E7B5F" w:rsidP="009E7B5F" w:rsidRDefault="009E7B5F" w14:paraId="48247C4E" w14:textId="77777777">
      <w:pPr>
        <w:tabs>
          <w:tab w:val="left" w:pos="7880"/>
        </w:tabs>
        <w:spacing w:line="480" w:lineRule="auto"/>
      </w:pPr>
      <w:r w:rsidRPr="002F3F34">
        <w:t xml:space="preserve">FERC-732 enables the Commission to exercise its wholesale electric rate and electric power transmission oversight and enforcement responsibilities in accordance with the FPA, the Department of Energy Organization Act (DOE Act), and </w:t>
      </w:r>
      <w:proofErr w:type="spellStart"/>
      <w:r w:rsidRPr="002F3F34">
        <w:t>EPAct</w:t>
      </w:r>
      <w:proofErr w:type="spellEnd"/>
      <w:r w:rsidRPr="002F3F34">
        <w:t xml:space="preserve"> 2005.</w:t>
      </w:r>
    </w:p>
    <w:p w:rsidRPr="003C5E1A" w:rsidR="009E7B5F" w:rsidP="009E7B5F" w:rsidRDefault="009E7B5F" w14:paraId="3AC1A323" w14:textId="77777777">
      <w:pPr>
        <w:tabs>
          <w:tab w:val="left" w:pos="7880"/>
        </w:tabs>
        <w:spacing w:line="480" w:lineRule="auto"/>
      </w:pPr>
      <w:r w:rsidRPr="002F3F34">
        <w:rPr>
          <w:i/>
        </w:rPr>
        <w:t xml:space="preserve">Type of Respondents: </w:t>
      </w:r>
      <w:r w:rsidRPr="00385FC5">
        <w:t>Public utility with one or more organized electricity markets</w:t>
      </w:r>
    </w:p>
    <w:p w:rsidRPr="002F3F34" w:rsidR="009E7B5F" w:rsidP="009E7B5F" w:rsidRDefault="009E7B5F" w14:paraId="319C57A6" w14:textId="77777777">
      <w:pPr>
        <w:tabs>
          <w:tab w:val="left" w:pos="7880"/>
        </w:tabs>
        <w:spacing w:line="480" w:lineRule="auto"/>
      </w:pPr>
      <w:r w:rsidRPr="003C5E1A">
        <w:rPr>
          <w:i/>
        </w:rPr>
        <w:t>Es</w:t>
      </w:r>
      <w:r w:rsidRPr="002F3F34">
        <w:rPr>
          <w:i/>
        </w:rPr>
        <w:t>timate of Annual Burden</w:t>
      </w:r>
      <w:r w:rsidRPr="002F3F34">
        <w:rPr>
          <w:b/>
          <w:i/>
          <w:vertAlign w:val="superscript"/>
        </w:rPr>
        <w:footnoteReference w:id="5"/>
      </w:r>
      <w:r w:rsidRPr="002F3F34">
        <w:rPr>
          <w:i/>
        </w:rPr>
        <w:t xml:space="preserve">: </w:t>
      </w:r>
      <w:r w:rsidRPr="002F3F34">
        <w:t>The Commission estimates the total burden and cost</w:t>
      </w:r>
      <w:r w:rsidRPr="002F3F34">
        <w:rPr>
          <w:b/>
          <w:vertAlign w:val="superscript"/>
        </w:rPr>
        <w:footnoteReference w:id="6"/>
      </w:r>
      <w:r w:rsidRPr="002F3F34">
        <w:t xml:space="preserve">  for this information collection as follows.</w:t>
      </w:r>
    </w:p>
    <w:tbl>
      <w:tblPr>
        <w:tblW w:w="490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1"/>
        <w:gridCol w:w="1632"/>
        <w:gridCol w:w="1531"/>
        <w:gridCol w:w="1404"/>
        <w:gridCol w:w="1404"/>
        <w:gridCol w:w="1510"/>
        <w:gridCol w:w="21"/>
      </w:tblGrid>
      <w:tr w:rsidRPr="002F3F34" w:rsidR="009E7B5F" w:rsidTr="00A84B7E" w14:paraId="56F1858E" w14:textId="77777777">
        <w:trPr>
          <w:gridAfter w:val="1"/>
          <w:wAfter w:w="9" w:type="pct"/>
          <w:cantSplit/>
        </w:trPr>
        <w:tc>
          <w:tcPr>
            <w:tcW w:w="4991"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2F3F34" w:rsidR="009E7B5F" w:rsidP="00A84B7E" w:rsidRDefault="009E7B5F" w14:paraId="55DB3E4A" w14:textId="77777777">
            <w:pPr>
              <w:tabs>
                <w:tab w:val="left" w:pos="7880"/>
              </w:tabs>
              <w:rPr>
                <w:b/>
              </w:rPr>
            </w:pPr>
            <w:r w:rsidRPr="002F3F34">
              <w:rPr>
                <w:b/>
              </w:rPr>
              <w:lastRenderedPageBreak/>
              <w:t>FERC-732, Electric Rate Schedules and Tariffs: Long-Term Firm Transmission Rights in Organized Electricity Markets</w:t>
            </w:r>
          </w:p>
        </w:tc>
      </w:tr>
      <w:tr w:rsidRPr="002F3F34" w:rsidR="009E7B5F" w:rsidTr="00A84B7E" w14:paraId="47ED6EEE" w14:textId="77777777">
        <w:trPr>
          <w:cantSplit/>
        </w:trPr>
        <w:tc>
          <w:tcPr>
            <w:tcW w:w="960" w:type="pct"/>
            <w:tcBorders>
              <w:top w:val="single" w:color="auto" w:sz="4" w:space="0"/>
              <w:left w:val="single" w:color="auto" w:sz="4" w:space="0"/>
              <w:bottom w:val="single" w:color="auto" w:sz="4" w:space="0"/>
              <w:right w:val="single" w:color="auto" w:sz="4" w:space="0"/>
            </w:tcBorders>
            <w:shd w:val="clear" w:color="auto" w:fill="D9D9D9"/>
          </w:tcPr>
          <w:p w:rsidRPr="002F3F34" w:rsidR="009E7B5F" w:rsidP="00A84B7E" w:rsidRDefault="009E7B5F" w14:paraId="0A9D8F47" w14:textId="77777777">
            <w:pPr>
              <w:tabs>
                <w:tab w:val="left" w:pos="7880"/>
              </w:tabs>
              <w:rPr>
                <w:b/>
              </w:rPr>
            </w:pPr>
          </w:p>
        </w:tc>
        <w:tc>
          <w:tcPr>
            <w:tcW w:w="89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9E7B5F" w:rsidP="00A84B7E" w:rsidRDefault="009E7B5F" w14:paraId="598E3F7A" w14:textId="77777777">
            <w:pPr>
              <w:tabs>
                <w:tab w:val="left" w:pos="7880"/>
              </w:tabs>
              <w:rPr>
                <w:b/>
              </w:rPr>
            </w:pPr>
            <w:r w:rsidRPr="002F3F34">
              <w:rPr>
                <w:b/>
              </w:rPr>
              <w:t>Number of Respondents (1)</w:t>
            </w:r>
          </w:p>
        </w:tc>
        <w:tc>
          <w:tcPr>
            <w:tcW w:w="88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9E7B5F" w:rsidP="00A84B7E" w:rsidRDefault="009E7B5F" w14:paraId="41261D5D" w14:textId="77777777">
            <w:pPr>
              <w:tabs>
                <w:tab w:val="left" w:pos="7880"/>
              </w:tabs>
              <w:rPr>
                <w:b/>
              </w:rPr>
            </w:pPr>
            <w:r w:rsidRPr="002F3F34">
              <w:rPr>
                <w:b/>
              </w:rPr>
              <w:t>Annual Number of Responses per Respondent</w:t>
            </w:r>
          </w:p>
          <w:p w:rsidRPr="002F3F34" w:rsidR="009E7B5F" w:rsidP="00A84B7E" w:rsidRDefault="009E7B5F" w14:paraId="6E413DCB" w14:textId="77777777">
            <w:pPr>
              <w:tabs>
                <w:tab w:val="left" w:pos="7880"/>
              </w:tabs>
              <w:rPr>
                <w:b/>
              </w:rPr>
            </w:pPr>
            <w:r w:rsidRPr="002F3F34">
              <w:rPr>
                <w:b/>
              </w:rPr>
              <w:t>(2)</w:t>
            </w:r>
          </w:p>
        </w:tc>
        <w:tc>
          <w:tcPr>
            <w:tcW w:w="83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9E7B5F" w:rsidP="00A84B7E" w:rsidRDefault="009E7B5F" w14:paraId="57EC79C0" w14:textId="77777777">
            <w:pPr>
              <w:tabs>
                <w:tab w:val="left" w:pos="7880"/>
              </w:tabs>
              <w:rPr>
                <w:b/>
              </w:rPr>
            </w:pPr>
            <w:r w:rsidRPr="002F3F34">
              <w:rPr>
                <w:b/>
              </w:rPr>
              <w:t>Total Number of Responses (</w:t>
            </w:r>
            <w:proofErr w:type="gramStart"/>
            <w:r w:rsidRPr="002F3F34">
              <w:rPr>
                <w:b/>
              </w:rPr>
              <w:t>1)*</w:t>
            </w:r>
            <w:proofErr w:type="gramEnd"/>
            <w:r w:rsidRPr="002F3F34">
              <w:rPr>
                <w:b/>
              </w:rPr>
              <w:t>(2)=(3)</w:t>
            </w:r>
          </w:p>
        </w:tc>
        <w:tc>
          <w:tcPr>
            <w:tcW w:w="78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9E7B5F" w:rsidP="00A84B7E" w:rsidRDefault="009E7B5F" w14:paraId="26078EE5" w14:textId="77777777">
            <w:pPr>
              <w:tabs>
                <w:tab w:val="left" w:pos="7880"/>
              </w:tabs>
              <w:rPr>
                <w:b/>
              </w:rPr>
            </w:pPr>
            <w:r w:rsidRPr="002F3F34">
              <w:rPr>
                <w:b/>
              </w:rPr>
              <w:t>Total Annual Burden Hours &amp; Total Annual Cost ($)</w:t>
            </w:r>
          </w:p>
          <w:p w:rsidRPr="002F3F34" w:rsidR="009E7B5F" w:rsidP="00A84B7E" w:rsidRDefault="009E7B5F" w14:paraId="0B01C05C" w14:textId="77777777">
            <w:pPr>
              <w:tabs>
                <w:tab w:val="left" w:pos="7880"/>
              </w:tabs>
              <w:rPr>
                <w:b/>
              </w:rPr>
            </w:pPr>
            <w:r w:rsidRPr="002F3F34">
              <w:rPr>
                <w:b/>
              </w:rPr>
              <w:t>(</w:t>
            </w:r>
            <w:proofErr w:type="gramStart"/>
            <w:r w:rsidRPr="002F3F34">
              <w:rPr>
                <w:b/>
              </w:rPr>
              <w:t>3)*</w:t>
            </w:r>
            <w:proofErr w:type="gramEnd"/>
            <w:r w:rsidRPr="002F3F34">
              <w:rPr>
                <w:b/>
              </w:rPr>
              <w:t>(4)=(5)</w:t>
            </w:r>
          </w:p>
        </w:tc>
        <w:tc>
          <w:tcPr>
            <w:tcW w:w="647"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9E7B5F" w:rsidP="00A84B7E" w:rsidRDefault="009E7B5F" w14:paraId="5D3D42BE" w14:textId="77777777">
            <w:pPr>
              <w:tabs>
                <w:tab w:val="left" w:pos="7880"/>
              </w:tabs>
              <w:rPr>
                <w:b/>
              </w:rPr>
            </w:pPr>
            <w:r w:rsidRPr="002F3F34">
              <w:rPr>
                <w:b/>
              </w:rPr>
              <w:t xml:space="preserve">Cost per Respondent ($) </w:t>
            </w:r>
          </w:p>
          <w:p w:rsidRPr="002F3F34" w:rsidR="009E7B5F" w:rsidP="00A84B7E" w:rsidRDefault="009E7B5F" w14:paraId="12364B24" w14:textId="77777777">
            <w:pPr>
              <w:tabs>
                <w:tab w:val="left" w:pos="7880"/>
              </w:tabs>
              <w:rPr>
                <w:b/>
              </w:rPr>
            </w:pPr>
            <w:r w:rsidRPr="002F3F34">
              <w:rPr>
                <w:b/>
              </w:rPr>
              <w:t>(</w:t>
            </w:r>
            <w:proofErr w:type="gramStart"/>
            <w:r w:rsidRPr="002F3F34">
              <w:rPr>
                <w:b/>
              </w:rPr>
              <w:t>5)÷</w:t>
            </w:r>
            <w:proofErr w:type="gramEnd"/>
            <w:r w:rsidRPr="002F3F34">
              <w:rPr>
                <w:b/>
              </w:rPr>
              <w:t>(1)</w:t>
            </w:r>
          </w:p>
        </w:tc>
      </w:tr>
      <w:tr w:rsidRPr="002F3F34" w:rsidR="009E7B5F" w:rsidTr="00A84B7E" w14:paraId="4CCFF57B" w14:textId="77777777">
        <w:trPr>
          <w:cantSplit/>
        </w:trPr>
        <w:tc>
          <w:tcPr>
            <w:tcW w:w="960" w:type="pct"/>
            <w:tcBorders>
              <w:top w:val="single" w:color="auto" w:sz="4" w:space="0"/>
              <w:left w:val="single" w:color="auto" w:sz="4" w:space="0"/>
              <w:bottom w:val="single" w:color="auto" w:sz="4" w:space="0"/>
              <w:right w:val="single" w:color="auto" w:sz="4" w:space="0"/>
            </w:tcBorders>
            <w:hideMark/>
          </w:tcPr>
          <w:p w:rsidRPr="002F3F34" w:rsidR="009E7B5F" w:rsidP="00A84B7E" w:rsidRDefault="009E7B5F" w14:paraId="7AC58BE8" w14:textId="77777777">
            <w:pPr>
              <w:tabs>
                <w:tab w:val="left" w:pos="7880"/>
              </w:tabs>
            </w:pPr>
            <w:r w:rsidRPr="002F3F34">
              <w:t>Public utility with one or more organized electricity markets</w:t>
            </w:r>
          </w:p>
        </w:tc>
        <w:tc>
          <w:tcPr>
            <w:tcW w:w="892" w:type="pct"/>
            <w:tcBorders>
              <w:top w:val="single" w:color="auto" w:sz="4" w:space="0"/>
              <w:left w:val="single" w:color="auto" w:sz="4" w:space="0"/>
              <w:bottom w:val="single" w:color="auto" w:sz="4" w:space="0"/>
              <w:right w:val="single" w:color="auto" w:sz="4" w:space="0"/>
            </w:tcBorders>
            <w:hideMark/>
          </w:tcPr>
          <w:p w:rsidRPr="002F3F34" w:rsidR="009E7B5F" w:rsidP="00A84B7E" w:rsidRDefault="009E7B5F" w14:paraId="07952F42" w14:textId="77777777">
            <w:pPr>
              <w:tabs>
                <w:tab w:val="left" w:pos="7880"/>
              </w:tabs>
              <w:jc w:val="right"/>
            </w:pPr>
            <w:r w:rsidRPr="002F3F34">
              <w:t>1</w:t>
            </w:r>
          </w:p>
        </w:tc>
        <w:tc>
          <w:tcPr>
            <w:tcW w:w="882" w:type="pct"/>
            <w:tcBorders>
              <w:top w:val="single" w:color="auto" w:sz="4" w:space="0"/>
              <w:left w:val="single" w:color="auto" w:sz="4" w:space="0"/>
              <w:bottom w:val="single" w:color="auto" w:sz="4" w:space="0"/>
              <w:right w:val="single" w:color="auto" w:sz="4" w:space="0"/>
            </w:tcBorders>
            <w:hideMark/>
          </w:tcPr>
          <w:p w:rsidRPr="002F3F34" w:rsidR="009E7B5F" w:rsidP="00A84B7E" w:rsidRDefault="009E7B5F" w14:paraId="0142A0B7" w14:textId="77777777">
            <w:pPr>
              <w:tabs>
                <w:tab w:val="left" w:pos="7880"/>
              </w:tabs>
              <w:jc w:val="right"/>
            </w:pPr>
            <w:r w:rsidRPr="002F3F34">
              <w:t>1</w:t>
            </w:r>
          </w:p>
        </w:tc>
        <w:tc>
          <w:tcPr>
            <w:tcW w:w="834" w:type="pct"/>
            <w:tcBorders>
              <w:top w:val="single" w:color="auto" w:sz="4" w:space="0"/>
              <w:left w:val="single" w:color="auto" w:sz="4" w:space="0"/>
              <w:bottom w:val="single" w:color="auto" w:sz="4" w:space="0"/>
              <w:right w:val="single" w:color="auto" w:sz="4" w:space="0"/>
            </w:tcBorders>
            <w:hideMark/>
          </w:tcPr>
          <w:p w:rsidRPr="002F3F34" w:rsidR="009E7B5F" w:rsidP="00A84B7E" w:rsidRDefault="009E7B5F" w14:paraId="741C469F" w14:textId="77777777">
            <w:pPr>
              <w:tabs>
                <w:tab w:val="left" w:pos="7880"/>
              </w:tabs>
              <w:jc w:val="right"/>
            </w:pPr>
            <w:r w:rsidRPr="002F3F34">
              <w:t>1</w:t>
            </w:r>
            <w:r>
              <w:rPr>
                <w:rStyle w:val="FootnoteReference"/>
              </w:rPr>
              <w:footnoteReference w:id="7"/>
            </w:r>
          </w:p>
        </w:tc>
        <w:tc>
          <w:tcPr>
            <w:tcW w:w="785" w:type="pct"/>
            <w:tcBorders>
              <w:top w:val="single" w:color="auto" w:sz="4" w:space="0"/>
              <w:left w:val="single" w:color="auto" w:sz="4" w:space="0"/>
              <w:bottom w:val="single" w:color="auto" w:sz="4" w:space="0"/>
              <w:right w:val="single" w:color="auto" w:sz="4" w:space="0"/>
            </w:tcBorders>
            <w:hideMark/>
          </w:tcPr>
          <w:p w:rsidRPr="002F3F34" w:rsidR="009E7B5F" w:rsidP="00A84B7E" w:rsidRDefault="009E7B5F" w14:paraId="7BCE402A" w14:textId="77777777">
            <w:pPr>
              <w:tabs>
                <w:tab w:val="left" w:pos="7880"/>
              </w:tabs>
              <w:jc w:val="right"/>
            </w:pPr>
            <w:r w:rsidRPr="002F3F34">
              <w:t>1,180 hrs.; $</w:t>
            </w:r>
            <w:r>
              <w:t>102,660</w:t>
            </w:r>
          </w:p>
        </w:tc>
        <w:tc>
          <w:tcPr>
            <w:tcW w:w="647" w:type="pct"/>
            <w:gridSpan w:val="2"/>
            <w:tcBorders>
              <w:top w:val="single" w:color="auto" w:sz="4" w:space="0"/>
              <w:left w:val="single" w:color="auto" w:sz="4" w:space="0"/>
              <w:bottom w:val="single" w:color="auto" w:sz="4" w:space="0"/>
              <w:right w:val="single" w:color="auto" w:sz="4" w:space="0"/>
            </w:tcBorders>
          </w:tcPr>
          <w:p w:rsidRPr="002F3F34" w:rsidR="009E7B5F" w:rsidP="00A84B7E" w:rsidRDefault="009E7B5F" w14:paraId="3280811F" w14:textId="77777777">
            <w:pPr>
              <w:tabs>
                <w:tab w:val="left" w:pos="7880"/>
              </w:tabs>
              <w:jc w:val="right"/>
            </w:pPr>
            <w:r w:rsidRPr="002F3F34">
              <w:t>$</w:t>
            </w:r>
            <w:r>
              <w:t>102,660</w:t>
            </w:r>
            <w:r w:rsidRPr="002F3F34">
              <w:t xml:space="preserve">       </w:t>
            </w:r>
          </w:p>
          <w:p w:rsidRPr="002F3F34" w:rsidR="009E7B5F" w:rsidP="00A84B7E" w:rsidRDefault="009E7B5F" w14:paraId="06E65177" w14:textId="77777777">
            <w:pPr>
              <w:tabs>
                <w:tab w:val="left" w:pos="7880"/>
              </w:tabs>
              <w:jc w:val="right"/>
            </w:pPr>
          </w:p>
        </w:tc>
      </w:tr>
    </w:tbl>
    <w:p w:rsidR="009E7B5F" w:rsidP="002906E5" w:rsidRDefault="009E7B5F" w14:paraId="6B5768F7" w14:textId="77777777">
      <w:pPr>
        <w:autoSpaceDE w:val="0"/>
        <w:autoSpaceDN w:val="0"/>
        <w:adjustRightInd w:val="0"/>
        <w:spacing w:line="480" w:lineRule="auto"/>
        <w:rPr>
          <w:i/>
        </w:rPr>
      </w:pPr>
    </w:p>
    <w:p w:rsidR="00881405" w:rsidP="002906E5" w:rsidRDefault="00AE1F12" w14:paraId="40735770" w14:textId="341A2DAF">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rsidRDefault="006759AE" w14:paraId="3D4182FC" w14:textId="383A8CDF"/>
    <w:p w:rsidR="006759AE" w:rsidP="006759AE" w:rsidRDefault="006759AE" w14:paraId="34402E9E" w14:textId="5BAF24F1"/>
    <w:p w:rsidR="006759AE" w:rsidP="006759AE" w:rsidRDefault="006759AE" w14:paraId="69290CE3" w14:textId="26AE2AB7"/>
    <w:p w:rsidRPr="006759AE" w:rsidR="006759AE" w:rsidP="006759AE" w:rsidRDefault="006759AE" w14:paraId="02A9681B" w14:textId="34CC3C47">
      <w:pPr>
        <w:ind w:firstLine="2174"/>
        <w:jc w:val="center"/>
      </w:pPr>
      <w:r w:rsidRPr="006759AE">
        <w:t>Kimberly D. Bose,</w:t>
      </w:r>
    </w:p>
    <w:p w:rsidRPr="006759AE" w:rsidR="006759AE" w:rsidP="006759AE" w:rsidRDefault="006759AE" w14:paraId="37125A20" w14:textId="1A314FEE">
      <w:pPr>
        <w:ind w:firstLine="2174"/>
        <w:jc w:val="center"/>
      </w:pPr>
      <w:r w:rsidRPr="006759AE">
        <w:t>Secretary.</w:t>
      </w:r>
    </w:p>
    <w:p w:rsidR="006759AE" w:rsidP="006759AE" w:rsidRDefault="006759AE" w14:paraId="3333C399" w14:textId="77777777"/>
    <w:sectPr w:rsidR="006759AE" w:rsidSect="006759AE">
      <w:headerReference w:type="default" r:id="rId18"/>
      <w:pgSz w:w="12240" w:h="15840"/>
      <w:pgMar w:top="1440" w:right="1440" w:bottom="17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9D02" w14:textId="77777777" w:rsidR="000A3078" w:rsidRDefault="000A3078" w:rsidP="00B01B16">
      <w:r>
        <w:separator/>
      </w:r>
    </w:p>
  </w:endnote>
  <w:endnote w:type="continuationSeparator" w:id="0">
    <w:p w14:paraId="3A1C1AD5" w14:textId="77777777" w:rsidR="000A3078" w:rsidRDefault="000A3078" w:rsidP="00B01B16">
      <w:r>
        <w:continuationSeparator/>
      </w:r>
    </w:p>
  </w:endnote>
  <w:endnote w:type="continuationNotice" w:id="1">
    <w:p w14:paraId="646BF5EE" w14:textId="77777777" w:rsidR="000A3078" w:rsidRDefault="000A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443B" w14:textId="77777777" w:rsidR="000A3078" w:rsidRDefault="000A3078" w:rsidP="00B01B16">
      <w:r>
        <w:separator/>
      </w:r>
    </w:p>
  </w:footnote>
  <w:footnote w:type="continuationSeparator" w:id="0">
    <w:p w14:paraId="51C8964A" w14:textId="77777777" w:rsidR="000A3078" w:rsidRDefault="000A3078" w:rsidP="00B01B16">
      <w:r>
        <w:continuationSeparator/>
      </w:r>
    </w:p>
  </w:footnote>
  <w:footnote w:type="continuationNotice" w:id="1">
    <w:p w14:paraId="37B3A102" w14:textId="77777777" w:rsidR="000A3078" w:rsidRDefault="000A3078"/>
  </w:footnote>
  <w:footnote w:id="2">
    <w:p w14:paraId="610952D0" w14:textId="77777777" w:rsidR="009E7B5F" w:rsidRDefault="009E7B5F" w:rsidP="008826CA">
      <w:pPr>
        <w:pStyle w:val="FootnoteText"/>
        <w:ind w:firstLine="720"/>
        <w:jc w:val="both"/>
        <w:rPr>
          <w:sz w:val="26"/>
          <w:szCs w:val="26"/>
        </w:rPr>
      </w:pPr>
      <w:r>
        <w:rPr>
          <w:rStyle w:val="FootnoteReference"/>
        </w:rPr>
        <w:footnoteRef/>
      </w:r>
      <w:r>
        <w:rPr>
          <w:sz w:val="26"/>
          <w:szCs w:val="26"/>
        </w:rPr>
        <w:t xml:space="preserve"> 16 U.S.C. 824</w:t>
      </w:r>
    </w:p>
    <w:p w14:paraId="3DBADB51" w14:textId="77777777" w:rsidR="009E7B5F" w:rsidRDefault="009E7B5F" w:rsidP="009E7B5F">
      <w:pPr>
        <w:pStyle w:val="FootnoteText"/>
        <w:jc w:val="both"/>
        <w:rPr>
          <w:rFonts w:eastAsia="Calibri"/>
          <w:sz w:val="26"/>
          <w:szCs w:val="26"/>
        </w:rPr>
      </w:pPr>
      <w:r>
        <w:rPr>
          <w:sz w:val="26"/>
          <w:szCs w:val="26"/>
        </w:rPr>
        <w:t xml:space="preserve"> </w:t>
      </w:r>
    </w:p>
  </w:footnote>
  <w:footnote w:id="3">
    <w:p w14:paraId="447C7F87" w14:textId="77777777" w:rsidR="009E7B5F" w:rsidRDefault="009E7B5F" w:rsidP="008826CA">
      <w:pPr>
        <w:pStyle w:val="FootnoteText"/>
        <w:ind w:firstLine="720"/>
        <w:jc w:val="both"/>
        <w:rPr>
          <w:sz w:val="26"/>
          <w:szCs w:val="26"/>
        </w:rPr>
      </w:pPr>
      <w:r>
        <w:rPr>
          <w:rStyle w:val="FootnoteReference"/>
        </w:rPr>
        <w:footnoteRef/>
      </w:r>
      <w:r>
        <w:rPr>
          <w:sz w:val="26"/>
          <w:szCs w:val="26"/>
        </w:rPr>
        <w:t xml:space="preserve"> 16 U.S.C. 824q</w:t>
      </w:r>
    </w:p>
  </w:footnote>
  <w:footnote w:id="4">
    <w:p w14:paraId="7735345B" w14:textId="77777777" w:rsidR="009E7B5F" w:rsidRDefault="009E7B5F" w:rsidP="008826CA">
      <w:pPr>
        <w:pStyle w:val="FootnoteText"/>
        <w:ind w:firstLine="720"/>
        <w:jc w:val="both"/>
        <w:rPr>
          <w:sz w:val="26"/>
          <w:szCs w:val="26"/>
        </w:rPr>
      </w:pPr>
      <w:r>
        <w:rPr>
          <w:rStyle w:val="FootnoteReference"/>
        </w:rPr>
        <w:footnoteRef/>
      </w:r>
      <w:r>
        <w:t xml:space="preserve"> </w:t>
      </w:r>
      <w:r>
        <w:rPr>
          <w:sz w:val="26"/>
          <w:szCs w:val="26"/>
        </w:rPr>
        <w:t>18 CFR 42.1(d)</w:t>
      </w:r>
    </w:p>
    <w:p w14:paraId="4F2690DA" w14:textId="77777777" w:rsidR="009E7B5F" w:rsidRDefault="009E7B5F" w:rsidP="009E7B5F">
      <w:pPr>
        <w:pStyle w:val="FootnoteText"/>
        <w:jc w:val="both"/>
        <w:rPr>
          <w:sz w:val="26"/>
          <w:szCs w:val="26"/>
        </w:rPr>
      </w:pPr>
    </w:p>
  </w:footnote>
  <w:footnote w:id="5">
    <w:p w14:paraId="158FD689" w14:textId="77777777" w:rsidR="009E7B5F" w:rsidRDefault="009E7B5F" w:rsidP="008826CA">
      <w:pPr>
        <w:pStyle w:val="FootnoteText"/>
        <w:ind w:firstLine="720"/>
        <w:rPr>
          <w:sz w:val="26"/>
          <w:szCs w:val="26"/>
        </w:rPr>
      </w:pPr>
      <w:r>
        <w:rPr>
          <w:rStyle w:val="FootnoteReference"/>
        </w:rPr>
        <w:footnoteRef/>
      </w:r>
      <w:r>
        <w:t xml:space="preserve"> </w:t>
      </w:r>
      <w:r>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p w14:paraId="4A26095B" w14:textId="77777777" w:rsidR="009E7B5F" w:rsidRDefault="009E7B5F" w:rsidP="009E7B5F">
      <w:pPr>
        <w:pStyle w:val="FootnoteText"/>
        <w:rPr>
          <w:sz w:val="26"/>
          <w:szCs w:val="26"/>
        </w:rPr>
      </w:pPr>
      <w:r>
        <w:rPr>
          <w:sz w:val="26"/>
          <w:szCs w:val="26"/>
        </w:rPr>
        <w:t xml:space="preserve"> </w:t>
      </w:r>
    </w:p>
  </w:footnote>
  <w:footnote w:id="6">
    <w:p w14:paraId="3041BBC1" w14:textId="77777777" w:rsidR="009E7B5F" w:rsidRPr="00CA2C56" w:rsidRDefault="009E7B5F" w:rsidP="008826CA">
      <w:pPr>
        <w:pStyle w:val="FootnoteText"/>
        <w:ind w:firstLine="720"/>
        <w:rPr>
          <w:sz w:val="26"/>
          <w:szCs w:val="26"/>
        </w:rPr>
      </w:pPr>
      <w:r>
        <w:rPr>
          <w:rStyle w:val="FootnoteReference"/>
        </w:rPr>
        <w:footnoteRef/>
      </w:r>
      <w:r>
        <w:rPr>
          <w:sz w:val="26"/>
          <w:szCs w:val="26"/>
        </w:rPr>
        <w:t xml:space="preserve"> FERC staff estimates that industry costs for salary plus benefits are </w:t>
      </w:r>
      <w:proofErr w:type="gramStart"/>
      <w:r>
        <w:rPr>
          <w:sz w:val="26"/>
          <w:szCs w:val="26"/>
        </w:rPr>
        <w:t>similar to</w:t>
      </w:r>
      <w:proofErr w:type="gramEnd"/>
      <w:r>
        <w:rPr>
          <w:sz w:val="26"/>
          <w:szCs w:val="26"/>
        </w:rPr>
        <w:t xml:space="preserve"> Commission costs.</w:t>
      </w:r>
      <w:r w:rsidRPr="00CA2C56">
        <w:rPr>
          <w:sz w:val="26"/>
          <w:szCs w:val="26"/>
        </w:rPr>
        <w:t xml:space="preserve"> The FERC 2021 average salary plus benefits for one FERC full-time equivalent (FTE) is $180,703/year (or $87.00/hour) posted by the Bureau of Labor Statistics for the Utilities sector (available at</w:t>
      </w:r>
      <w:r>
        <w:rPr>
          <w:sz w:val="26"/>
          <w:szCs w:val="26"/>
        </w:rPr>
        <w:t xml:space="preserve"> </w:t>
      </w:r>
      <w:hyperlink r:id="rId1" w:history="1">
        <w:r w:rsidRPr="00D62F9E">
          <w:rPr>
            <w:rStyle w:val="Hyperlink"/>
            <w:sz w:val="26"/>
            <w:szCs w:val="26"/>
          </w:rPr>
          <w:t>https://www.bls.gov/oes/current/naics3_221000.htm</w:t>
        </w:r>
      </w:hyperlink>
      <w:r w:rsidRPr="00CA2C56">
        <w:rPr>
          <w:sz w:val="26"/>
          <w:szCs w:val="26"/>
        </w:rPr>
        <w:t>)</w:t>
      </w:r>
    </w:p>
    <w:p w14:paraId="64CCB0D4" w14:textId="77777777" w:rsidR="009E7B5F" w:rsidRDefault="009E7B5F" w:rsidP="009E7B5F">
      <w:pPr>
        <w:pStyle w:val="FootnoteText"/>
        <w:rPr>
          <w:sz w:val="26"/>
          <w:szCs w:val="26"/>
        </w:rPr>
      </w:pPr>
    </w:p>
  </w:footnote>
  <w:footnote w:id="7">
    <w:p w14:paraId="1BA8AD6E" w14:textId="77777777" w:rsidR="009E7B5F" w:rsidRDefault="009E7B5F" w:rsidP="008826CA">
      <w:pPr>
        <w:pStyle w:val="FootnoteText"/>
        <w:ind w:firstLine="720"/>
      </w:pPr>
      <w:r>
        <w:rPr>
          <w:rStyle w:val="FootnoteReference"/>
        </w:rPr>
        <w:footnoteRef/>
      </w:r>
      <w:r>
        <w:t xml:space="preserve"> </w:t>
      </w:r>
      <w:r w:rsidRPr="0017059D">
        <w:t>The “1” Tariff filing is a placeholder for future fillers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48F0BB93" w:rsidR="00C80D25" w:rsidRDefault="00C80D25">
        <w:pPr>
          <w:pStyle w:val="Header"/>
        </w:pPr>
        <w:r w:rsidRPr="00D954AE">
          <w:t xml:space="preserve">Docket </w:t>
        </w:r>
        <w:r w:rsidRPr="00E74313">
          <w:t>No. IC2</w:t>
        </w:r>
        <w:r w:rsidR="0066458B" w:rsidRPr="00E74313">
          <w:t>2-</w:t>
        </w:r>
        <w:r w:rsidR="009E7B5F">
          <w:t>2</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5ED7"/>
    <w:multiLevelType w:val="hybridMultilevel"/>
    <w:tmpl w:val="C150C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7B996CF3"/>
    <w:multiLevelType w:val="hybridMultilevel"/>
    <w:tmpl w:val="E5C2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num>
  <w:num w:numId="5">
    <w:abstractNumId w:val="18"/>
  </w:num>
  <w:num w:numId="6">
    <w:abstractNumId w:val="2"/>
  </w:num>
  <w:num w:numId="7">
    <w:abstractNumId w:val="13"/>
  </w:num>
  <w:num w:numId="8">
    <w:abstractNumId w:val="1"/>
  </w:num>
  <w:num w:numId="9">
    <w:abstractNumId w:val="11"/>
  </w:num>
  <w:num w:numId="10">
    <w:abstractNumId w:val="17"/>
  </w:num>
  <w:num w:numId="11">
    <w:abstractNumId w:val="3"/>
  </w:num>
  <w:num w:numId="12">
    <w:abstractNumId w:val="15"/>
  </w:num>
  <w:num w:numId="13">
    <w:abstractNumId w:val="0"/>
  </w:num>
  <w:num w:numId="14">
    <w:abstractNumId w:val="16"/>
  </w:num>
  <w:num w:numId="15">
    <w:abstractNumId w:val="10"/>
  </w:num>
  <w:num w:numId="16">
    <w:abstractNumId w:val="5"/>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86EC5"/>
    <w:rsid w:val="0019402A"/>
    <w:rsid w:val="00197435"/>
    <w:rsid w:val="001974A9"/>
    <w:rsid w:val="001A2DAA"/>
    <w:rsid w:val="001A6645"/>
    <w:rsid w:val="001A6AD6"/>
    <w:rsid w:val="001A7665"/>
    <w:rsid w:val="001B0BD2"/>
    <w:rsid w:val="001B78B8"/>
    <w:rsid w:val="001C543C"/>
    <w:rsid w:val="001C64F5"/>
    <w:rsid w:val="001C7064"/>
    <w:rsid w:val="001D578A"/>
    <w:rsid w:val="001E3237"/>
    <w:rsid w:val="001F1CDF"/>
    <w:rsid w:val="00202E41"/>
    <w:rsid w:val="00207AE7"/>
    <w:rsid w:val="00211105"/>
    <w:rsid w:val="002131D0"/>
    <w:rsid w:val="00213696"/>
    <w:rsid w:val="00224BF8"/>
    <w:rsid w:val="00224DD2"/>
    <w:rsid w:val="00237AB9"/>
    <w:rsid w:val="00237B93"/>
    <w:rsid w:val="0024271E"/>
    <w:rsid w:val="0024309C"/>
    <w:rsid w:val="00253F98"/>
    <w:rsid w:val="00257CC2"/>
    <w:rsid w:val="00262096"/>
    <w:rsid w:val="00265B23"/>
    <w:rsid w:val="00266431"/>
    <w:rsid w:val="002906E5"/>
    <w:rsid w:val="00292A4C"/>
    <w:rsid w:val="00297211"/>
    <w:rsid w:val="002B5874"/>
    <w:rsid w:val="002C2C8B"/>
    <w:rsid w:val="002C3223"/>
    <w:rsid w:val="002C3579"/>
    <w:rsid w:val="002C5E0E"/>
    <w:rsid w:val="002D09B3"/>
    <w:rsid w:val="002D17E5"/>
    <w:rsid w:val="002D57E8"/>
    <w:rsid w:val="002E06A0"/>
    <w:rsid w:val="002E1C29"/>
    <w:rsid w:val="002E68D4"/>
    <w:rsid w:val="002E6DAA"/>
    <w:rsid w:val="002F4401"/>
    <w:rsid w:val="002F708A"/>
    <w:rsid w:val="00301E3D"/>
    <w:rsid w:val="00303516"/>
    <w:rsid w:val="003053E3"/>
    <w:rsid w:val="00306318"/>
    <w:rsid w:val="00311D90"/>
    <w:rsid w:val="0031393E"/>
    <w:rsid w:val="00314219"/>
    <w:rsid w:val="003149BC"/>
    <w:rsid w:val="0032099D"/>
    <w:rsid w:val="0033340D"/>
    <w:rsid w:val="00336AD9"/>
    <w:rsid w:val="00340D3C"/>
    <w:rsid w:val="00353270"/>
    <w:rsid w:val="00365468"/>
    <w:rsid w:val="003658A2"/>
    <w:rsid w:val="003673EC"/>
    <w:rsid w:val="00373A2E"/>
    <w:rsid w:val="00376525"/>
    <w:rsid w:val="00397ABE"/>
    <w:rsid w:val="003A2C3F"/>
    <w:rsid w:val="003B435C"/>
    <w:rsid w:val="003B5B0B"/>
    <w:rsid w:val="003B6A4A"/>
    <w:rsid w:val="003C08DE"/>
    <w:rsid w:val="003C3E7A"/>
    <w:rsid w:val="003D0BB4"/>
    <w:rsid w:val="003D28D2"/>
    <w:rsid w:val="003E1657"/>
    <w:rsid w:val="003E1B25"/>
    <w:rsid w:val="003E1B5A"/>
    <w:rsid w:val="003E40B2"/>
    <w:rsid w:val="003E44AD"/>
    <w:rsid w:val="003E5168"/>
    <w:rsid w:val="003F0FE7"/>
    <w:rsid w:val="003F2E32"/>
    <w:rsid w:val="003F2EC7"/>
    <w:rsid w:val="003F570B"/>
    <w:rsid w:val="003F6466"/>
    <w:rsid w:val="00401401"/>
    <w:rsid w:val="00407BCE"/>
    <w:rsid w:val="00410A8B"/>
    <w:rsid w:val="00411B62"/>
    <w:rsid w:val="00413AA8"/>
    <w:rsid w:val="00413FDE"/>
    <w:rsid w:val="004177CD"/>
    <w:rsid w:val="00425ADD"/>
    <w:rsid w:val="004266F6"/>
    <w:rsid w:val="0042688C"/>
    <w:rsid w:val="0042765E"/>
    <w:rsid w:val="00427AE5"/>
    <w:rsid w:val="00443282"/>
    <w:rsid w:val="00447C9E"/>
    <w:rsid w:val="00450D64"/>
    <w:rsid w:val="004562F1"/>
    <w:rsid w:val="004628F2"/>
    <w:rsid w:val="00465456"/>
    <w:rsid w:val="00471921"/>
    <w:rsid w:val="00471FF2"/>
    <w:rsid w:val="00480D2D"/>
    <w:rsid w:val="00491543"/>
    <w:rsid w:val="00492111"/>
    <w:rsid w:val="00497A62"/>
    <w:rsid w:val="004A661D"/>
    <w:rsid w:val="004A6FC8"/>
    <w:rsid w:val="004C0BC3"/>
    <w:rsid w:val="004C70C8"/>
    <w:rsid w:val="004E44F8"/>
    <w:rsid w:val="004E683E"/>
    <w:rsid w:val="004F56E3"/>
    <w:rsid w:val="00524164"/>
    <w:rsid w:val="00527733"/>
    <w:rsid w:val="00531000"/>
    <w:rsid w:val="005401E0"/>
    <w:rsid w:val="00544424"/>
    <w:rsid w:val="0054746C"/>
    <w:rsid w:val="00562BE8"/>
    <w:rsid w:val="0056490E"/>
    <w:rsid w:val="00564ADB"/>
    <w:rsid w:val="00565830"/>
    <w:rsid w:val="00565B5E"/>
    <w:rsid w:val="00566B5F"/>
    <w:rsid w:val="00567315"/>
    <w:rsid w:val="005739F7"/>
    <w:rsid w:val="005749DE"/>
    <w:rsid w:val="00574BB6"/>
    <w:rsid w:val="0058195F"/>
    <w:rsid w:val="00584A11"/>
    <w:rsid w:val="005854FC"/>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3FBE"/>
    <w:rsid w:val="0066458B"/>
    <w:rsid w:val="00664931"/>
    <w:rsid w:val="006670C8"/>
    <w:rsid w:val="006759AE"/>
    <w:rsid w:val="006841A7"/>
    <w:rsid w:val="00687348"/>
    <w:rsid w:val="00693721"/>
    <w:rsid w:val="00694C22"/>
    <w:rsid w:val="006963BC"/>
    <w:rsid w:val="006970F4"/>
    <w:rsid w:val="006A2E15"/>
    <w:rsid w:val="006A4398"/>
    <w:rsid w:val="006B3479"/>
    <w:rsid w:val="006D3D49"/>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1AF6"/>
    <w:rsid w:val="00752A48"/>
    <w:rsid w:val="00757503"/>
    <w:rsid w:val="00757707"/>
    <w:rsid w:val="00761148"/>
    <w:rsid w:val="007633DD"/>
    <w:rsid w:val="007755E3"/>
    <w:rsid w:val="00781803"/>
    <w:rsid w:val="00781E6A"/>
    <w:rsid w:val="007830C6"/>
    <w:rsid w:val="007B1800"/>
    <w:rsid w:val="007B1F57"/>
    <w:rsid w:val="007B3014"/>
    <w:rsid w:val="007B370F"/>
    <w:rsid w:val="007B4938"/>
    <w:rsid w:val="007D02D8"/>
    <w:rsid w:val="007E3706"/>
    <w:rsid w:val="007F4CD3"/>
    <w:rsid w:val="007F61C2"/>
    <w:rsid w:val="00801456"/>
    <w:rsid w:val="008018DB"/>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26CA"/>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F0C45"/>
    <w:rsid w:val="00904B00"/>
    <w:rsid w:val="009112D0"/>
    <w:rsid w:val="00940C0F"/>
    <w:rsid w:val="00951DC3"/>
    <w:rsid w:val="0095548F"/>
    <w:rsid w:val="00964FA4"/>
    <w:rsid w:val="00965AD5"/>
    <w:rsid w:val="009744C8"/>
    <w:rsid w:val="00974530"/>
    <w:rsid w:val="00980E58"/>
    <w:rsid w:val="009815BD"/>
    <w:rsid w:val="00981886"/>
    <w:rsid w:val="00990102"/>
    <w:rsid w:val="00990FEC"/>
    <w:rsid w:val="00992257"/>
    <w:rsid w:val="009928CD"/>
    <w:rsid w:val="009949AA"/>
    <w:rsid w:val="00995921"/>
    <w:rsid w:val="009A1B08"/>
    <w:rsid w:val="009B0524"/>
    <w:rsid w:val="009B3A62"/>
    <w:rsid w:val="009C3CB9"/>
    <w:rsid w:val="009C4A13"/>
    <w:rsid w:val="009C6E33"/>
    <w:rsid w:val="009C745D"/>
    <w:rsid w:val="009D50C1"/>
    <w:rsid w:val="009E2D84"/>
    <w:rsid w:val="009E7B5F"/>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5D5"/>
    <w:rsid w:val="00AE4B7C"/>
    <w:rsid w:val="00AE66F6"/>
    <w:rsid w:val="00AF17CE"/>
    <w:rsid w:val="00AF336D"/>
    <w:rsid w:val="00AF349B"/>
    <w:rsid w:val="00AF65F0"/>
    <w:rsid w:val="00B009E9"/>
    <w:rsid w:val="00B01711"/>
    <w:rsid w:val="00B01B16"/>
    <w:rsid w:val="00B03644"/>
    <w:rsid w:val="00B062D0"/>
    <w:rsid w:val="00B11D16"/>
    <w:rsid w:val="00B17A95"/>
    <w:rsid w:val="00B24588"/>
    <w:rsid w:val="00B30F2D"/>
    <w:rsid w:val="00B34021"/>
    <w:rsid w:val="00B34928"/>
    <w:rsid w:val="00B35B74"/>
    <w:rsid w:val="00B403F1"/>
    <w:rsid w:val="00B4163B"/>
    <w:rsid w:val="00B447D7"/>
    <w:rsid w:val="00B556C9"/>
    <w:rsid w:val="00B60113"/>
    <w:rsid w:val="00B6081E"/>
    <w:rsid w:val="00B61016"/>
    <w:rsid w:val="00B624EB"/>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5E13"/>
    <w:rsid w:val="00D86288"/>
    <w:rsid w:val="00D872BC"/>
    <w:rsid w:val="00D954AE"/>
    <w:rsid w:val="00D96929"/>
    <w:rsid w:val="00DA1B6F"/>
    <w:rsid w:val="00DA529F"/>
    <w:rsid w:val="00DB5AAE"/>
    <w:rsid w:val="00DB636B"/>
    <w:rsid w:val="00DB6882"/>
    <w:rsid w:val="00DC4B63"/>
    <w:rsid w:val="00DC5017"/>
    <w:rsid w:val="00DC5129"/>
    <w:rsid w:val="00DD1009"/>
    <w:rsid w:val="00DD7F1B"/>
    <w:rsid w:val="00DE1A87"/>
    <w:rsid w:val="00DE451F"/>
    <w:rsid w:val="00E03D2D"/>
    <w:rsid w:val="00E12A7A"/>
    <w:rsid w:val="00E23063"/>
    <w:rsid w:val="00E24583"/>
    <w:rsid w:val="00E27FD6"/>
    <w:rsid w:val="00E36A0F"/>
    <w:rsid w:val="00E400C7"/>
    <w:rsid w:val="00E40322"/>
    <w:rsid w:val="00E40CB4"/>
    <w:rsid w:val="00E41DB9"/>
    <w:rsid w:val="00E56612"/>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C3F00"/>
    <w:rsid w:val="00FC750D"/>
    <w:rsid w:val="00FD0EA3"/>
    <w:rsid w:val="00FE34E4"/>
    <w:rsid w:val="00FF1D71"/>
    <w:rsid w:val="00FF5141"/>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A81932C4-AB21-4DAC-9A5D-AACC6CE85FA5}">
  <ds:schemaRefs>
    <ds:schemaRef ds:uri="Microsoft.SharePoint.Taxonomy.ContentTypeSync"/>
  </ds:schemaRefs>
</ds:datastoreItem>
</file>

<file path=customXml/itemProps3.xml><?xml version="1.0" encoding="utf-8"?>
<ds:datastoreItem xmlns:ds="http://schemas.openxmlformats.org/officeDocument/2006/customXml" ds:itemID="{24A764AB-3390-462F-88D4-21AE894B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5.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2022-01-26T13:39:00Z</dcterms:created>
  <dcterms:modified xsi:type="dcterms:W3CDTF">2022-01-26T13:39:00Z</dcterms:modified>
  <cp:category/>
  <dc:identifier/>
  <cp:contentStatus/>
  <cp:version/>
</cp:coreProperties>
</file>