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0268" w:rsidR="001945CA" w:rsidP="009F4D1C" w:rsidRDefault="00B50861" w14:paraId="5EC9B0B8" w14:textId="77777777">
      <w:pPr>
        <w:jc w:val="center"/>
      </w:pPr>
      <w:r w:rsidRPr="00BE0268">
        <w:t>Department of the Treasury</w:t>
      </w:r>
    </w:p>
    <w:p w:rsidRPr="00BE0268" w:rsidR="00857B7C" w:rsidP="009F4D1C" w:rsidRDefault="00857B7C" w14:paraId="7A8D6BBD" w14:textId="77777777">
      <w:pPr>
        <w:jc w:val="center"/>
      </w:pPr>
      <w:r w:rsidRPr="00BE0268">
        <w:t>Information Collection Request – Supporting Statement</w:t>
      </w:r>
    </w:p>
    <w:p w:rsidR="00857B7C" w:rsidP="009F4D1C" w:rsidRDefault="00857B7C" w14:paraId="1E6B3D41" w14:textId="7B30592D">
      <w:pPr>
        <w:jc w:val="center"/>
      </w:pPr>
    </w:p>
    <w:p w:rsidRPr="00BE0268" w:rsidR="00C47802" w:rsidP="00C47802" w:rsidRDefault="00C47802" w14:paraId="7C8ADEEE" w14:textId="01AA846D">
      <w:pPr>
        <w:jc w:val="center"/>
      </w:pPr>
      <w:r w:rsidRPr="00BE0268">
        <w:t xml:space="preserve">Emergency </w:t>
      </w:r>
      <w:r w:rsidRPr="00BE0268" w:rsidR="0029275B">
        <w:t>Capital Investment</w:t>
      </w:r>
      <w:r w:rsidRPr="00BE0268">
        <w:t xml:space="preserve"> </w:t>
      </w:r>
      <w:r w:rsidR="00FF05F8">
        <w:t>Program</w:t>
      </w:r>
      <w:r w:rsidRPr="00BE0268">
        <w:t xml:space="preserve"> </w:t>
      </w:r>
    </w:p>
    <w:p w:rsidRPr="00BE0268" w:rsidR="00110D39" w:rsidP="00512B62" w:rsidRDefault="00B601FF" w14:paraId="5A839BA5" w14:textId="236AA132">
      <w:pPr>
        <w:jc w:val="center"/>
      </w:pPr>
      <w:r w:rsidRPr="00BE0268">
        <w:t xml:space="preserve">OMB No. </w:t>
      </w:r>
      <w:r w:rsidRPr="00BE0268" w:rsidR="2EC322D4">
        <w:t>1505</w:t>
      </w:r>
      <w:r w:rsidRPr="00BE0268" w:rsidR="00FC5C02">
        <w:t>–</w:t>
      </w:r>
      <w:r w:rsidRPr="00BE0268" w:rsidR="2EC322D4">
        <w:t>0267</w:t>
      </w:r>
      <w:r w:rsidRPr="00BE0268" w:rsidR="00FC5C02">
        <w:t xml:space="preserve"> </w:t>
      </w:r>
    </w:p>
    <w:p w:rsidR="00FD768C" w:rsidP="00512B62" w:rsidRDefault="00FD768C" w14:paraId="0D537F5E" w14:textId="43E757C0">
      <w:pPr>
        <w:jc w:val="center"/>
      </w:pPr>
    </w:p>
    <w:p w:rsidRPr="00BE0268" w:rsidR="00FD768C" w:rsidP="00512B62" w:rsidRDefault="00FD768C" w14:paraId="1D1E28B9" w14:textId="77777777">
      <w:pPr>
        <w:jc w:val="center"/>
      </w:pPr>
    </w:p>
    <w:p w:rsidRPr="00BE0268" w:rsidR="00A73FE3" w:rsidP="00857B7C" w:rsidRDefault="00857B7C" w14:paraId="6BD41F69" w14:textId="1F538285">
      <w:pPr>
        <w:rPr>
          <w:b/>
        </w:rPr>
      </w:pPr>
      <w:r w:rsidRPr="00BE0268">
        <w:rPr>
          <w:b/>
        </w:rPr>
        <w:t>A.  Justification</w:t>
      </w:r>
    </w:p>
    <w:p w:rsidRPr="00BE0268" w:rsidR="00857B7C" w:rsidP="009E2FFF" w:rsidRDefault="00857B7C" w14:paraId="43C5FBC0" w14:textId="77777777">
      <w:pPr>
        <w:pStyle w:val="ListParagraph"/>
      </w:pPr>
    </w:p>
    <w:p w:rsidRPr="00BE0268" w:rsidR="00B50861" w:rsidP="00FD768C" w:rsidRDefault="00B50861" w14:paraId="1D57D14A" w14:textId="0F8550B8">
      <w:pPr>
        <w:numPr>
          <w:ilvl w:val="0"/>
          <w:numId w:val="12"/>
        </w:numPr>
        <w:tabs>
          <w:tab w:val="clear" w:pos="720"/>
        </w:tabs>
        <w:ind w:left="360"/>
        <w:rPr>
          <w:u w:val="single"/>
        </w:rPr>
      </w:pPr>
      <w:bookmarkStart w:name="_Hlk73529221" w:id="0"/>
      <w:r w:rsidRPr="00BE0268">
        <w:rPr>
          <w:u w:val="single"/>
        </w:rPr>
        <w:t>Circumstances necessitating the collection of information</w:t>
      </w:r>
    </w:p>
    <w:bookmarkEnd w:id="0"/>
    <w:p w:rsidRPr="00BE0268" w:rsidR="00990870" w:rsidP="00990870" w:rsidRDefault="00990870" w14:paraId="4D04C3DF" w14:textId="77777777">
      <w:pPr>
        <w:ind w:left="360"/>
        <w:rPr>
          <w:u w:val="single"/>
        </w:rPr>
      </w:pPr>
    </w:p>
    <w:p w:rsidR="00FD768C" w:rsidP="003E53BD" w:rsidRDefault="00717738" w14:paraId="3C8EDEAA" w14:textId="77777777">
      <w:pPr>
        <w:rPr>
          <w:i/>
        </w:rPr>
      </w:pPr>
      <w:r w:rsidRPr="00BE0268">
        <w:rPr>
          <w:i/>
        </w:rPr>
        <w:t>Justification for Emergency Processing:</w:t>
      </w:r>
    </w:p>
    <w:p w:rsidRPr="00FF05F8" w:rsidR="00FD768C" w:rsidRDefault="00FD768C" w14:paraId="4F717FE5" w14:textId="77777777">
      <w:pPr>
        <w:rPr>
          <w:i/>
          <w:iCs/>
        </w:rPr>
      </w:pPr>
    </w:p>
    <w:p w:rsidR="0040260B" w:rsidP="3709AA8B" w:rsidRDefault="4D87ED97" w14:paraId="480D1E90" w14:textId="05A70CD0">
      <w:bookmarkStart w:name="_Hlk60659491" w:id="1"/>
      <w:bookmarkStart w:name="_Hlk73528079" w:id="2"/>
      <w:r w:rsidRPr="4D87ED97">
        <w:t xml:space="preserve">The Consolidated Appropriations Act, 2021, signed into law on December 27, 2020, added Section 104A of the Community Development Banking and Financial Institutions Act of 1994 (the “Act”).  Section 104A authorizes the Secretary of the Treasury to establish the </w:t>
      </w:r>
      <w:r w:rsidR="00FF05F8">
        <w:t>Emergency Capital Investment Program (Program)</w:t>
      </w:r>
      <w:r w:rsidRPr="4D87ED97">
        <w:t xml:space="preserve"> to support the efforts of low- and moderate-income community financial institutions to, among other things, provide loans, grants, and forbearance for small businesses, minority-owned businesses, and consumers, especially in low-income and underserved communities, including persistent poverty counties, that may be disproportionately impacted by the economic effects of the COVID-19 pandemic by providing direct and indirect capital investments in low-and moderate-income community financial institutions.</w:t>
      </w:r>
    </w:p>
    <w:p w:rsidR="0040260B" w:rsidP="004545E1" w:rsidRDefault="4D87ED97" w14:paraId="36637422" w14:textId="28607DCF">
      <w:r w:rsidRPr="4D87ED97">
        <w:t xml:space="preserve"> </w:t>
      </w:r>
    </w:p>
    <w:p w:rsidRPr="009741B4" w:rsidR="00065C60" w:rsidP="004545E1" w:rsidRDefault="4D87ED97" w14:paraId="1F1AB500" w14:textId="5C07D219">
      <w:r w:rsidRPr="4D87ED97">
        <w:t>Applications</w:t>
      </w:r>
      <w:r w:rsidR="00FF05F8">
        <w:t>, a state regulator response form, and eligible applicant intent to participate form</w:t>
      </w:r>
      <w:r w:rsidRPr="4D87ED97">
        <w:t xml:space="preserve"> were previously approved under 1505-0267. Following review of the applications, Treasury </w:t>
      </w:r>
      <w:r w:rsidR="00694A4B">
        <w:t>anticipates</w:t>
      </w:r>
      <w:r w:rsidR="00FF05F8">
        <w:t>,</w:t>
      </w:r>
      <w:r w:rsidR="00694A4B">
        <w:t xml:space="preserve"> beginning in January 2022</w:t>
      </w:r>
      <w:r w:rsidR="00FF05F8">
        <w:t>,</w:t>
      </w:r>
      <w:r w:rsidR="00694A4B">
        <w:t xml:space="preserve"> to enter into </w:t>
      </w:r>
      <w:r w:rsidR="003224BD">
        <w:t>l</w:t>
      </w:r>
      <w:r w:rsidR="00BD2468">
        <w:t xml:space="preserve">etter </w:t>
      </w:r>
      <w:r w:rsidR="003224BD">
        <w:t>a</w:t>
      </w:r>
      <w:r w:rsidR="00BD2468">
        <w:t>greements</w:t>
      </w:r>
      <w:r w:rsidR="00065C60">
        <w:t xml:space="preserve"> </w:t>
      </w:r>
      <w:r w:rsidR="003224BD">
        <w:t xml:space="preserve">(agreements) </w:t>
      </w:r>
      <w:r w:rsidR="00065C60">
        <w:t xml:space="preserve">with participating financial institutions.  These </w:t>
      </w:r>
      <w:r w:rsidR="00BD2468">
        <w:t>agreements</w:t>
      </w:r>
      <w:r w:rsidR="00065C60">
        <w:t xml:space="preserve"> are still under development but contain standardized information collection </w:t>
      </w:r>
      <w:r w:rsidR="00FF05F8">
        <w:t xml:space="preserve">necessary for the legal closing process.  While the agreements are </w:t>
      </w:r>
      <w:r w:rsidRPr="009741B4" w:rsidR="00FF05F8">
        <w:t xml:space="preserve">still in draft form, the information collection elements are </w:t>
      </w:r>
      <w:r w:rsidRPr="009741B4" w:rsidR="00065C60">
        <w:t xml:space="preserve">not expected to be altered </w:t>
      </w:r>
      <w:r w:rsidRPr="009741B4" w:rsidR="00FF05F8">
        <w:t>prior to use</w:t>
      </w:r>
      <w:r w:rsidRPr="009741B4" w:rsidR="00065C60">
        <w:t>.</w:t>
      </w:r>
      <w:r w:rsidRPr="009741B4" w:rsidR="00BD2468">
        <w:rPr>
          <w:rStyle w:val="FootnoteReference"/>
        </w:rPr>
        <w:footnoteReference w:id="2"/>
      </w:r>
      <w:r w:rsidRPr="009741B4" w:rsidR="00065C60">
        <w:t xml:space="preserve"> </w:t>
      </w:r>
      <w:r w:rsidRPr="009741B4" w:rsidR="006E6FF3">
        <w:t xml:space="preserve">The agreements have also been sent to the federal banking agencies and the National Credit Union Administration for their input and the agencies are not expected to have revisions to the information collection elements in the agreements. </w:t>
      </w:r>
      <w:r w:rsidRPr="009741B4" w:rsidR="00065C60">
        <w:t xml:space="preserve"> </w:t>
      </w:r>
    </w:p>
    <w:p w:rsidRPr="009741B4" w:rsidR="00065C60" w:rsidP="004545E1" w:rsidRDefault="00065C60" w14:paraId="0411AE04" w14:textId="77777777"/>
    <w:p w:rsidRPr="009741B4" w:rsidR="4D87ED97" w:rsidRDefault="4D87ED97" w14:paraId="34FE1D3B" w14:textId="4EFCF852">
      <w:bookmarkStart w:name="_Hlk91060447" w:id="3"/>
      <w:r w:rsidRPr="009741B4">
        <w:t xml:space="preserve">Due to the need to make Covid-19 relief investments under the </w:t>
      </w:r>
      <w:r w:rsidRPr="009741B4" w:rsidR="00FF05F8">
        <w:t>Program</w:t>
      </w:r>
      <w:r w:rsidRPr="009741B4">
        <w:t xml:space="preserve"> as soon as possible, Treasury requests emergency processing and approval by </w:t>
      </w:r>
      <w:r w:rsidRPr="009741B4" w:rsidR="00065C60">
        <w:t>January</w:t>
      </w:r>
      <w:r w:rsidRPr="009741B4" w:rsidR="00694A4B">
        <w:t xml:space="preserve"> </w:t>
      </w:r>
      <w:r w:rsidR="00956232">
        <w:t>20</w:t>
      </w:r>
      <w:r w:rsidRPr="009741B4" w:rsidR="00065C60">
        <w:t>, 2022</w:t>
      </w:r>
      <w:r w:rsidRPr="009741B4">
        <w:t xml:space="preserve"> for the </w:t>
      </w:r>
      <w:r w:rsidRPr="009741B4" w:rsidR="000F57E7">
        <w:t>a</w:t>
      </w:r>
      <w:r w:rsidRPr="009741B4" w:rsidR="00694A4B">
        <w:t>greements</w:t>
      </w:r>
      <w:r w:rsidRPr="009741B4">
        <w:t xml:space="preserve">. The </w:t>
      </w:r>
      <w:r w:rsidRPr="009741B4" w:rsidR="000F57E7">
        <w:t xml:space="preserve">agreements </w:t>
      </w:r>
      <w:r w:rsidRPr="009741B4">
        <w:t xml:space="preserve">collect information from applicants </w:t>
      </w:r>
      <w:r w:rsidRPr="009741B4" w:rsidR="000F57E7">
        <w:t xml:space="preserve">in </w:t>
      </w:r>
      <w:r w:rsidRPr="009741B4" w:rsidR="0026512B">
        <w:t>two</w:t>
      </w:r>
      <w:r w:rsidRPr="009741B4" w:rsidR="000F57E7">
        <w:t xml:space="preserve"> general categories: (1) administrative information</w:t>
      </w:r>
      <w:r w:rsidRPr="009741B4" w:rsidR="0026512B">
        <w:t xml:space="preserve"> needed to facilitate payments and notifications and </w:t>
      </w:r>
      <w:r w:rsidRPr="009741B4" w:rsidR="000F57E7">
        <w:t xml:space="preserve">(2) </w:t>
      </w:r>
      <w:r w:rsidRPr="009741B4" w:rsidR="0026512B">
        <w:t>disclosure</w:t>
      </w:r>
      <w:r w:rsidRPr="009741B4" w:rsidR="006E6FF3">
        <w:t>s</w:t>
      </w:r>
      <w:r w:rsidRPr="009741B4" w:rsidR="0026512B">
        <w:t xml:space="preserve"> to Treasury (</w:t>
      </w:r>
      <w:proofErr w:type="gramStart"/>
      <w:r w:rsidRPr="009741B4" w:rsidR="0026512B">
        <w:t>e.g.</w:t>
      </w:r>
      <w:proofErr w:type="gramEnd"/>
      <w:r w:rsidRPr="009741B4" w:rsidR="0026512B">
        <w:t xml:space="preserve"> litigation or exceptions to representations and warranties).  Participants are the only parties that can provide information of this type to Treasury.  Treasury intends to publish</w:t>
      </w:r>
      <w:r w:rsidRPr="009741B4" w:rsidR="00FB40AD">
        <w:t xml:space="preserve"> this form on the Treasury website </w:t>
      </w:r>
      <w:r w:rsidRPr="009741B4" w:rsidR="00CC7F48">
        <w:t xml:space="preserve">on or about January </w:t>
      </w:r>
      <w:r w:rsidR="00956232">
        <w:t>21</w:t>
      </w:r>
      <w:r w:rsidRPr="009741B4" w:rsidR="00CC7F48">
        <w:t xml:space="preserve">, 2022.  Based on this publication, Treasury will provide an opportunity for eligible applicants to review the terms and conditions of the investments prior to indicating to Treasury whether the institution intends to participate in the </w:t>
      </w:r>
      <w:r w:rsidRPr="009741B4" w:rsidR="00FF05F8">
        <w:t>P</w:t>
      </w:r>
      <w:r w:rsidRPr="009741B4" w:rsidR="00CC7F48">
        <w:t xml:space="preserve">rogram.  </w:t>
      </w:r>
      <w:r w:rsidRPr="009741B4">
        <w:t xml:space="preserve">Treasury </w:t>
      </w:r>
      <w:r w:rsidRPr="009741B4">
        <w:lastRenderedPageBreak/>
        <w:t>requests a waiver from the requirement to publish notice in the Federal Register seeking public comments</w:t>
      </w:r>
      <w:r w:rsidRPr="009741B4" w:rsidR="00FF05F8">
        <w:t xml:space="preserve"> on the letter agreements</w:t>
      </w:r>
      <w:r w:rsidRPr="009741B4">
        <w:t xml:space="preserve">.  </w:t>
      </w:r>
      <w:bookmarkEnd w:id="1"/>
      <w:bookmarkEnd w:id="2"/>
    </w:p>
    <w:bookmarkEnd w:id="3"/>
    <w:p w:rsidRPr="009741B4" w:rsidR="00AF13F4" w:rsidP="0040260B" w:rsidRDefault="00AF13F4" w14:paraId="43A33034" w14:textId="2B8E06DC">
      <w:pPr>
        <w:rPr>
          <w:b/>
          <w:bCs/>
          <w:u w:val="single"/>
        </w:rPr>
      </w:pPr>
    </w:p>
    <w:p w:rsidRPr="009741B4" w:rsidR="003C1AB8" w:rsidP="00FD768C" w:rsidRDefault="00F72D0B" w14:paraId="0BBDC9CC" w14:textId="77777777">
      <w:pPr>
        <w:numPr>
          <w:ilvl w:val="0"/>
          <w:numId w:val="12"/>
        </w:numPr>
        <w:tabs>
          <w:tab w:val="clear" w:pos="720"/>
        </w:tabs>
        <w:ind w:left="360"/>
        <w:rPr>
          <w:u w:val="single"/>
        </w:rPr>
      </w:pPr>
      <w:r w:rsidRPr="009741B4">
        <w:rPr>
          <w:u w:val="single"/>
        </w:rPr>
        <w:t>U</w:t>
      </w:r>
      <w:r w:rsidRPr="009741B4" w:rsidR="003C1AB8">
        <w:rPr>
          <w:u w:val="single"/>
        </w:rPr>
        <w:t>se of the data</w:t>
      </w:r>
    </w:p>
    <w:p w:rsidRPr="009741B4" w:rsidR="003C1AB8" w:rsidP="003C1AB8" w:rsidRDefault="003C1AB8" w14:paraId="0AF34797" w14:textId="77777777">
      <w:pPr>
        <w:rPr>
          <w:u w:val="single"/>
        </w:rPr>
      </w:pPr>
    </w:p>
    <w:p w:rsidRPr="009741B4" w:rsidR="004D4E71" w:rsidP="004D4E71" w:rsidRDefault="00A3346E" w14:paraId="4A904B00" w14:textId="2F433D21">
      <w:bookmarkStart w:name="_Hlk73528585" w:id="4"/>
      <w:r w:rsidRPr="009741B4">
        <w:t xml:space="preserve">The information reported will allow Treasury to </w:t>
      </w:r>
      <w:r w:rsidRPr="009741B4" w:rsidR="00CC7F48">
        <w:t xml:space="preserve">complete the legal agreement process and to reduce risk through disclosure prior to making investments.  </w:t>
      </w:r>
    </w:p>
    <w:p w:rsidRPr="009741B4" w:rsidR="009B60FB" w:rsidP="004D4E71" w:rsidRDefault="009B60FB" w14:paraId="320E3357" w14:textId="21E0DD23"/>
    <w:bookmarkEnd w:id="4"/>
    <w:p w:rsidRPr="009741B4" w:rsidR="003C1AB8" w:rsidP="00FD768C" w:rsidRDefault="00F72D0B" w14:paraId="1CE8586C" w14:textId="56AFE561">
      <w:pPr>
        <w:numPr>
          <w:ilvl w:val="0"/>
          <w:numId w:val="12"/>
        </w:numPr>
        <w:tabs>
          <w:tab w:val="clear" w:pos="720"/>
        </w:tabs>
        <w:ind w:left="360"/>
        <w:rPr>
          <w:u w:val="single"/>
        </w:rPr>
      </w:pPr>
      <w:r w:rsidRPr="009741B4">
        <w:rPr>
          <w:u w:val="single"/>
        </w:rPr>
        <w:t xml:space="preserve">Use of </w:t>
      </w:r>
      <w:r w:rsidRPr="009741B4" w:rsidR="00F34B54">
        <w:rPr>
          <w:u w:val="single"/>
        </w:rPr>
        <w:t>i</w:t>
      </w:r>
      <w:r w:rsidRPr="009741B4">
        <w:rPr>
          <w:u w:val="single"/>
        </w:rPr>
        <w:t xml:space="preserve">nformation </w:t>
      </w:r>
      <w:r w:rsidRPr="009741B4" w:rsidR="00F34B54">
        <w:rPr>
          <w:u w:val="single"/>
        </w:rPr>
        <w:t>technology</w:t>
      </w:r>
    </w:p>
    <w:p w:rsidRPr="009741B4" w:rsidR="003C1AB8" w:rsidP="00961823" w:rsidRDefault="003C1AB8" w14:paraId="1894E667" w14:textId="77777777">
      <w:pPr>
        <w:keepNext/>
      </w:pPr>
    </w:p>
    <w:p w:rsidRPr="009741B4" w:rsidR="00D24A88" w:rsidP="00F72D0B" w:rsidRDefault="001F31FB" w14:paraId="2357B59E" w14:textId="6FFE8355">
      <w:r w:rsidRPr="009741B4">
        <w:t xml:space="preserve">Treasury </w:t>
      </w:r>
      <w:r w:rsidRPr="009741B4" w:rsidR="00B375A0">
        <w:t>will</w:t>
      </w:r>
      <w:r w:rsidRPr="009741B4">
        <w:t xml:space="preserve"> manage the submission process</w:t>
      </w:r>
      <w:r w:rsidRPr="009741B4" w:rsidR="00DE76C6">
        <w:t xml:space="preserve"> with the use of </w:t>
      </w:r>
      <w:r w:rsidRPr="009741B4" w:rsidR="00605173">
        <w:t>existing</w:t>
      </w:r>
      <w:r w:rsidRPr="009741B4" w:rsidR="009B60FB">
        <w:t xml:space="preserve"> and widely</w:t>
      </w:r>
      <w:r w:rsidRPr="009741B4" w:rsidR="0028685C">
        <w:t xml:space="preserve"> </w:t>
      </w:r>
      <w:r w:rsidRPr="009741B4" w:rsidR="009B60FB">
        <w:t>available</w:t>
      </w:r>
      <w:r w:rsidRPr="009741B4" w:rsidR="00605173">
        <w:t xml:space="preserve"> technology </w:t>
      </w:r>
      <w:r w:rsidRPr="009741B4" w:rsidR="009B60FB">
        <w:t>such as</w:t>
      </w:r>
      <w:r w:rsidRPr="009741B4" w:rsidR="00A7640C">
        <w:t xml:space="preserve"> </w:t>
      </w:r>
      <w:r w:rsidRPr="009741B4" w:rsidR="006E6FF3">
        <w:t>the existing ECIP</w:t>
      </w:r>
      <w:r w:rsidRPr="009741B4" w:rsidR="00AF13F4">
        <w:t xml:space="preserve"> </w:t>
      </w:r>
      <w:r w:rsidRPr="009741B4" w:rsidR="00A7640C">
        <w:t>web portal and</w:t>
      </w:r>
      <w:r w:rsidRPr="009741B4" w:rsidR="00605173">
        <w:t xml:space="preserve"> e</w:t>
      </w:r>
      <w:r w:rsidRPr="009741B4" w:rsidR="0028685C">
        <w:t>-</w:t>
      </w:r>
      <w:r w:rsidRPr="009741B4" w:rsidR="00605173">
        <w:t>mail.</w:t>
      </w:r>
    </w:p>
    <w:p w:rsidRPr="009741B4" w:rsidR="00FD768C" w:rsidP="000C6F26" w:rsidRDefault="00FD768C" w14:paraId="3099DE12" w14:textId="77777777">
      <w:pPr>
        <w:ind w:left="720" w:hanging="720"/>
      </w:pPr>
    </w:p>
    <w:p w:rsidRPr="009741B4" w:rsidR="00F72D0B" w:rsidP="00FD768C" w:rsidRDefault="00F72D0B" w14:paraId="6A7690C9" w14:textId="4631C605">
      <w:pPr>
        <w:numPr>
          <w:ilvl w:val="0"/>
          <w:numId w:val="12"/>
        </w:numPr>
        <w:tabs>
          <w:tab w:val="clear" w:pos="720"/>
        </w:tabs>
        <w:ind w:left="360"/>
        <w:rPr>
          <w:u w:val="single"/>
        </w:rPr>
      </w:pPr>
      <w:r w:rsidRPr="009741B4">
        <w:rPr>
          <w:u w:val="single"/>
        </w:rPr>
        <w:t>Efforts to identify duplication</w:t>
      </w:r>
    </w:p>
    <w:p w:rsidRPr="009741B4" w:rsidR="00406DAA" w:rsidP="00CC4534" w:rsidRDefault="00406DAA" w14:paraId="619D54D8" w14:textId="77777777"/>
    <w:p w:rsidRPr="009741B4" w:rsidR="007D48AC" w:rsidP="00856DD0" w:rsidRDefault="009B60FB" w14:paraId="3F400C50" w14:textId="7D883A3D">
      <w:r w:rsidRPr="009741B4">
        <w:t>The</w:t>
      </w:r>
      <w:r w:rsidRPr="009741B4" w:rsidR="00B375A0">
        <w:t xml:space="preserve"> information colle</w:t>
      </w:r>
      <w:r w:rsidRPr="009741B4" w:rsidR="00BD0B65">
        <w:t>ction</w:t>
      </w:r>
      <w:r w:rsidRPr="009741B4">
        <w:t>s are under new statutor</w:t>
      </w:r>
      <w:r w:rsidRPr="009741B4" w:rsidR="00012F7C">
        <w:t>y</w:t>
      </w:r>
      <w:r w:rsidRPr="009741B4">
        <w:t xml:space="preserve"> mandate</w:t>
      </w:r>
      <w:r w:rsidRPr="009741B4" w:rsidR="00464E08">
        <w:t>s</w:t>
      </w:r>
      <w:r w:rsidRPr="009741B4">
        <w:t xml:space="preserve">. </w:t>
      </w:r>
      <w:r w:rsidRPr="009741B4" w:rsidR="003D3E32">
        <w:t xml:space="preserve"> </w:t>
      </w:r>
      <w:r w:rsidRPr="009741B4" w:rsidR="00B375A0">
        <w:t>Th</w:t>
      </w:r>
      <w:r w:rsidRPr="009741B4" w:rsidR="00F72D0B">
        <w:t xml:space="preserve">e information </w:t>
      </w:r>
      <w:r w:rsidRPr="009741B4" w:rsidR="002551F6">
        <w:t xml:space="preserve">is not known to </w:t>
      </w:r>
      <w:r w:rsidRPr="009741B4" w:rsidR="005A5C1B">
        <w:t xml:space="preserve">overlap with </w:t>
      </w:r>
      <w:r w:rsidRPr="009741B4" w:rsidR="002551F6">
        <w:t xml:space="preserve">any other </w:t>
      </w:r>
      <w:r w:rsidRPr="009741B4" w:rsidR="005A5C1B">
        <w:t xml:space="preserve">data collected </w:t>
      </w:r>
      <w:r w:rsidRPr="009741B4" w:rsidR="0054191E">
        <w:t xml:space="preserve">under </w:t>
      </w:r>
      <w:r w:rsidRPr="009741B4" w:rsidR="00B375A0">
        <w:t xml:space="preserve">any other </w:t>
      </w:r>
      <w:r w:rsidRPr="009741B4" w:rsidR="0054191E">
        <w:t>information</w:t>
      </w:r>
      <w:r w:rsidRPr="009741B4" w:rsidR="00B375A0">
        <w:t xml:space="preserve"> collections at Treasury.</w:t>
      </w:r>
      <w:r w:rsidRPr="009741B4" w:rsidR="00B62D0C">
        <w:t xml:space="preserve"> Where Treasury determines that it has access to requested information, Treasury will provide such information to each participant and request confirmation of accuracy only.</w:t>
      </w:r>
    </w:p>
    <w:p w:rsidRPr="009741B4" w:rsidR="007D48AC" w:rsidP="00856DD0" w:rsidRDefault="007D48AC" w14:paraId="073BAF52" w14:textId="77777777"/>
    <w:p w:rsidRPr="009741B4" w:rsidR="00A5370F" w:rsidP="00856DD0" w:rsidRDefault="006F6497" w14:paraId="6BCCDCE6" w14:textId="6E2F40DA">
      <w:r w:rsidRPr="009741B4">
        <w:t xml:space="preserve">The information being collected is not </w:t>
      </w:r>
      <w:r w:rsidRPr="009741B4" w:rsidR="006B5137">
        <w:t>publicly</w:t>
      </w:r>
      <w:r w:rsidRPr="009741B4">
        <w:t xml:space="preserve"> available and can only be collected from </w:t>
      </w:r>
      <w:r w:rsidRPr="009741B4" w:rsidR="00CC7F48">
        <w:t>participating institutions</w:t>
      </w:r>
      <w:r w:rsidRPr="009741B4">
        <w:t>.</w:t>
      </w:r>
    </w:p>
    <w:p w:rsidRPr="009741B4" w:rsidR="00D24A88" w:rsidP="00F72D0B" w:rsidRDefault="00D24A88" w14:paraId="2D435C1E" w14:textId="77777777"/>
    <w:p w:rsidRPr="009741B4" w:rsidR="00F72D0B" w:rsidP="00FD768C" w:rsidRDefault="00F72D0B" w14:paraId="0C31A86B" w14:textId="3473A5C0">
      <w:pPr>
        <w:numPr>
          <w:ilvl w:val="0"/>
          <w:numId w:val="12"/>
        </w:numPr>
        <w:tabs>
          <w:tab w:val="clear" w:pos="720"/>
        </w:tabs>
        <w:ind w:left="360"/>
        <w:rPr>
          <w:u w:val="single"/>
        </w:rPr>
      </w:pPr>
      <w:r w:rsidRPr="009741B4">
        <w:rPr>
          <w:u w:val="single"/>
        </w:rPr>
        <w:t>Impact on small entities</w:t>
      </w:r>
    </w:p>
    <w:p w:rsidRPr="009741B4" w:rsidR="00F72D0B" w:rsidP="00F72D0B" w:rsidRDefault="00F72D0B" w14:paraId="6816C937" w14:textId="77777777"/>
    <w:p w:rsidRPr="009741B4" w:rsidR="00A9305B" w:rsidP="00A9305B" w:rsidRDefault="000C6F26" w14:paraId="4D323399" w14:textId="6DAFBE1F">
      <w:r w:rsidRPr="009741B4">
        <w:t xml:space="preserve">This collection of information </w:t>
      </w:r>
      <w:r w:rsidRPr="009741B4" w:rsidR="000B7AAF">
        <w:t>will minimally</w:t>
      </w:r>
      <w:r w:rsidRPr="009741B4" w:rsidR="008956E9">
        <w:t xml:space="preserve"> affect</w:t>
      </w:r>
      <w:r w:rsidRPr="009741B4">
        <w:t xml:space="preserve"> small entities</w:t>
      </w:r>
      <w:r w:rsidRPr="009741B4" w:rsidR="00B62D0C">
        <w:t xml:space="preserve"> that participate in the </w:t>
      </w:r>
      <w:r w:rsidRPr="009741B4" w:rsidR="00FF05F8">
        <w:t>Program</w:t>
      </w:r>
      <w:r w:rsidRPr="009741B4" w:rsidR="00A9305B">
        <w:t>.</w:t>
      </w:r>
      <w:r w:rsidRPr="009741B4" w:rsidR="008C332E">
        <w:t xml:space="preserve"> </w:t>
      </w:r>
      <w:r w:rsidRPr="009741B4" w:rsidR="003D3E32">
        <w:t xml:space="preserve"> </w:t>
      </w:r>
      <w:r w:rsidRPr="009741B4" w:rsidR="00A9305B">
        <w:t xml:space="preserve">However, Treasury will attempt to minimize burden on small entities to the greatest extent practicable. </w:t>
      </w:r>
    </w:p>
    <w:p w:rsidRPr="009741B4" w:rsidR="00D24A88" w:rsidP="00F72D0B" w:rsidRDefault="00D24A88" w14:paraId="19F24EA6" w14:textId="4A4B9F38"/>
    <w:p w:rsidRPr="009741B4" w:rsidR="00F72D0B" w:rsidP="00FD768C" w:rsidRDefault="00F72D0B" w14:paraId="7FBFF684" w14:textId="2578B5CF">
      <w:pPr>
        <w:numPr>
          <w:ilvl w:val="0"/>
          <w:numId w:val="12"/>
        </w:numPr>
        <w:tabs>
          <w:tab w:val="clear" w:pos="720"/>
        </w:tabs>
        <w:ind w:left="360"/>
        <w:rPr>
          <w:u w:val="single"/>
        </w:rPr>
      </w:pPr>
      <w:r w:rsidRPr="009741B4">
        <w:rPr>
          <w:u w:val="single"/>
        </w:rPr>
        <w:t>Consequences of less frequent collection and obstacles to burden reduction</w:t>
      </w:r>
    </w:p>
    <w:p w:rsidRPr="009741B4" w:rsidR="00F72D0B" w:rsidP="00FD768C" w:rsidRDefault="00F72D0B" w14:paraId="02611959" w14:textId="77777777">
      <w:pPr>
        <w:ind w:left="360"/>
        <w:rPr>
          <w:u w:val="single"/>
        </w:rPr>
      </w:pPr>
    </w:p>
    <w:p w:rsidRPr="009741B4" w:rsidR="006F6497" w:rsidP="00DD104D" w:rsidRDefault="007D48AC" w14:paraId="76954A63" w14:textId="2B487405">
      <w:bookmarkStart w:name="_Hlk73531417" w:id="5"/>
      <w:r w:rsidRPr="009741B4">
        <w:t xml:space="preserve">Treasury will collect the information </w:t>
      </w:r>
      <w:r w:rsidRPr="009741B4" w:rsidR="002B26FA">
        <w:t>only once for purposes</w:t>
      </w:r>
      <w:r w:rsidRPr="009741B4" w:rsidR="004A47FF">
        <w:t xml:space="preserve"> of</w:t>
      </w:r>
      <w:r w:rsidRPr="009741B4" w:rsidR="002B26FA">
        <w:t xml:space="preserve"> </w:t>
      </w:r>
      <w:r w:rsidRPr="009741B4" w:rsidR="00B62D0C">
        <w:t>executing the legal closing process and facilitating payments to</w:t>
      </w:r>
      <w:r w:rsidRPr="009741B4" w:rsidR="002B26FA">
        <w:t xml:space="preserve"> approved applicants.  </w:t>
      </w:r>
      <w:r w:rsidRPr="009741B4">
        <w:t xml:space="preserve">Treasury cannot meet its statutory requirement to make </w:t>
      </w:r>
      <w:r w:rsidRPr="009741B4" w:rsidR="004A47FF">
        <w:t xml:space="preserve">investments under the </w:t>
      </w:r>
      <w:r w:rsidRPr="009741B4" w:rsidR="00FF05F8">
        <w:t>Program</w:t>
      </w:r>
      <w:r w:rsidRPr="009741B4">
        <w:t xml:space="preserve"> without </w:t>
      </w:r>
      <w:r w:rsidRPr="009741B4" w:rsidR="002B26FA">
        <w:t>this information</w:t>
      </w:r>
      <w:r w:rsidRPr="009741B4">
        <w:t xml:space="preserve">.  The applicant will submit information that should be readily available to the entity in the ordinary course of business. </w:t>
      </w:r>
      <w:r w:rsidRPr="009741B4" w:rsidR="006F6497">
        <w:t xml:space="preserve">If this information is not collected, Treasury will </w:t>
      </w:r>
      <w:r w:rsidRPr="009741B4" w:rsidR="00B62D0C">
        <w:t xml:space="preserve">not be able to make investments under the </w:t>
      </w:r>
      <w:r w:rsidRPr="009741B4" w:rsidR="00FF05F8">
        <w:t>Program</w:t>
      </w:r>
      <w:r w:rsidRPr="009741B4" w:rsidR="006F6497">
        <w:t>.</w:t>
      </w:r>
    </w:p>
    <w:bookmarkEnd w:id="5"/>
    <w:p w:rsidRPr="009741B4" w:rsidR="00F72D0B" w:rsidP="00F72D0B" w:rsidRDefault="00F72D0B" w14:paraId="04164EFC" w14:textId="34D82999"/>
    <w:p w:rsidRPr="009741B4" w:rsidR="00F72D0B" w:rsidP="00FD768C" w:rsidRDefault="00CB003A" w14:paraId="66E0BEB6" w14:textId="5CA4B18E">
      <w:pPr>
        <w:numPr>
          <w:ilvl w:val="0"/>
          <w:numId w:val="12"/>
        </w:numPr>
        <w:tabs>
          <w:tab w:val="clear" w:pos="720"/>
        </w:tabs>
        <w:ind w:left="360"/>
        <w:rPr>
          <w:u w:val="single"/>
        </w:rPr>
      </w:pPr>
      <w:r w:rsidRPr="009741B4">
        <w:rPr>
          <w:u w:val="single"/>
        </w:rPr>
        <w:t>Circumstances requiring special information collection</w:t>
      </w:r>
    </w:p>
    <w:p w:rsidRPr="009741B4" w:rsidR="00FB7F1C" w:rsidP="00CB003A" w:rsidRDefault="00FB7F1C" w14:paraId="5701298D" w14:textId="77777777">
      <w:pPr>
        <w:rPr>
          <w:u w:val="single"/>
        </w:rPr>
      </w:pPr>
    </w:p>
    <w:p w:rsidRPr="009741B4" w:rsidR="00E13A9C" w:rsidP="00CB003A" w:rsidRDefault="007B29AC" w14:paraId="62A3F377" w14:textId="77777777">
      <w:r w:rsidRPr="009741B4">
        <w:t>There are no special circumstances that require the collection to be conducted in a manner inconsistent with OMB guidelines.</w:t>
      </w:r>
    </w:p>
    <w:p w:rsidRPr="009741B4" w:rsidR="007B29AC" w:rsidP="00CB003A" w:rsidRDefault="007B29AC" w14:paraId="46C015FD" w14:textId="77777777"/>
    <w:p w:rsidRPr="009741B4" w:rsidR="00CB003A" w:rsidP="00FD768C" w:rsidRDefault="00CB003A" w14:paraId="52186B1E" w14:textId="03496E1D">
      <w:pPr>
        <w:numPr>
          <w:ilvl w:val="0"/>
          <w:numId w:val="12"/>
        </w:numPr>
        <w:tabs>
          <w:tab w:val="clear" w:pos="720"/>
        </w:tabs>
        <w:ind w:left="360"/>
        <w:rPr>
          <w:u w:val="single"/>
        </w:rPr>
      </w:pPr>
      <w:r w:rsidRPr="009741B4">
        <w:rPr>
          <w:u w:val="single"/>
        </w:rPr>
        <w:t>Solicitation of comments on information collection</w:t>
      </w:r>
      <w:r w:rsidRPr="009741B4" w:rsidR="00040666">
        <w:rPr>
          <w:u w:val="single"/>
        </w:rPr>
        <w:t xml:space="preserve"> and justification for expedited processing pursuant to 5 C</w:t>
      </w:r>
      <w:r w:rsidRPr="009741B4" w:rsidR="00247B5F">
        <w:rPr>
          <w:u w:val="single"/>
        </w:rPr>
        <w:t>.</w:t>
      </w:r>
      <w:r w:rsidRPr="009741B4" w:rsidR="00040666">
        <w:rPr>
          <w:u w:val="single"/>
        </w:rPr>
        <w:t>F</w:t>
      </w:r>
      <w:r w:rsidRPr="009741B4" w:rsidR="00247B5F">
        <w:rPr>
          <w:u w:val="single"/>
        </w:rPr>
        <w:t>.</w:t>
      </w:r>
      <w:r w:rsidRPr="009741B4" w:rsidR="00040666">
        <w:rPr>
          <w:u w:val="single"/>
        </w:rPr>
        <w:t>R</w:t>
      </w:r>
      <w:r w:rsidRPr="009741B4" w:rsidR="00247B5F">
        <w:rPr>
          <w:u w:val="single"/>
        </w:rPr>
        <w:t>. §</w:t>
      </w:r>
      <w:r w:rsidRPr="009741B4" w:rsidR="00040666">
        <w:rPr>
          <w:u w:val="single"/>
        </w:rPr>
        <w:t xml:space="preserve"> 1320.13</w:t>
      </w:r>
    </w:p>
    <w:p w:rsidRPr="00BE0268" w:rsidR="00CB003A" w:rsidP="00CB003A" w:rsidRDefault="00CB003A" w14:paraId="0DD2406F" w14:textId="77777777"/>
    <w:p w:rsidRPr="00BE0268" w:rsidR="002551F6" w:rsidP="00CB003A" w:rsidRDefault="00C63A58" w14:paraId="55FE9054" w14:textId="74BDF7AD">
      <w:pPr>
        <w:rPr>
          <w:rStyle w:val="CommentReference"/>
          <w:sz w:val="24"/>
          <w:szCs w:val="24"/>
        </w:rPr>
      </w:pPr>
      <w:r w:rsidRPr="00BE0268">
        <w:rPr>
          <w:rStyle w:val="CommentReference"/>
          <w:sz w:val="24"/>
          <w:szCs w:val="24"/>
        </w:rPr>
        <w:lastRenderedPageBreak/>
        <w:t xml:space="preserve">This </w:t>
      </w:r>
      <w:r w:rsidRPr="00BE0268" w:rsidR="006F5CAC">
        <w:rPr>
          <w:rStyle w:val="CommentReference"/>
          <w:sz w:val="24"/>
          <w:szCs w:val="24"/>
        </w:rPr>
        <w:t>application</w:t>
      </w:r>
      <w:r w:rsidRPr="00BE0268">
        <w:rPr>
          <w:rStyle w:val="CommentReference"/>
          <w:sz w:val="24"/>
          <w:szCs w:val="24"/>
        </w:rPr>
        <w:t xml:space="preserve"> is </w:t>
      </w:r>
      <w:r w:rsidRPr="00BE0268" w:rsidR="008C332E">
        <w:rPr>
          <w:rStyle w:val="CommentReference"/>
          <w:sz w:val="24"/>
          <w:szCs w:val="24"/>
        </w:rPr>
        <w:t xml:space="preserve">being </w:t>
      </w:r>
      <w:r w:rsidRPr="00BE0268">
        <w:rPr>
          <w:rStyle w:val="CommentReference"/>
          <w:sz w:val="24"/>
          <w:szCs w:val="24"/>
        </w:rPr>
        <w:t xml:space="preserve">submitted </w:t>
      </w:r>
      <w:r w:rsidRPr="00BE0268" w:rsidR="008C332E">
        <w:rPr>
          <w:rStyle w:val="CommentReference"/>
          <w:sz w:val="24"/>
          <w:szCs w:val="24"/>
        </w:rPr>
        <w:t xml:space="preserve">under </w:t>
      </w:r>
      <w:r w:rsidRPr="00BE0268">
        <w:rPr>
          <w:rStyle w:val="CommentReference"/>
          <w:sz w:val="24"/>
          <w:szCs w:val="24"/>
        </w:rPr>
        <w:t xml:space="preserve">emergency clearance </w:t>
      </w:r>
      <w:r w:rsidRPr="00BE0268" w:rsidR="008C332E">
        <w:rPr>
          <w:rStyle w:val="CommentReference"/>
          <w:sz w:val="24"/>
          <w:szCs w:val="24"/>
        </w:rPr>
        <w:t xml:space="preserve">procedures </w:t>
      </w:r>
      <w:r w:rsidRPr="00BE0268">
        <w:rPr>
          <w:rStyle w:val="CommentReference"/>
          <w:sz w:val="24"/>
          <w:szCs w:val="24"/>
        </w:rPr>
        <w:t xml:space="preserve">to </w:t>
      </w:r>
      <w:r w:rsidR="006E6FF3">
        <w:rPr>
          <w:rStyle w:val="CommentReference"/>
          <w:sz w:val="24"/>
          <w:szCs w:val="24"/>
        </w:rPr>
        <w:t>facilitate the statutory purpose of the ECIP</w:t>
      </w:r>
      <w:r w:rsidRPr="00BE0268" w:rsidR="00AC1EC6">
        <w:rPr>
          <w:rStyle w:val="CommentReference"/>
          <w:sz w:val="24"/>
          <w:szCs w:val="24"/>
        </w:rPr>
        <w:t xml:space="preserve">. </w:t>
      </w:r>
      <w:r w:rsidR="003D3E32">
        <w:rPr>
          <w:rStyle w:val="CommentReference"/>
          <w:sz w:val="24"/>
          <w:szCs w:val="24"/>
        </w:rPr>
        <w:t xml:space="preserve"> </w:t>
      </w:r>
      <w:r w:rsidRPr="00BE0268" w:rsidR="008C332E">
        <w:rPr>
          <w:rStyle w:val="CommentReference"/>
          <w:sz w:val="24"/>
          <w:szCs w:val="24"/>
        </w:rPr>
        <w:t>As such, advance public notice and comment is not possible.</w:t>
      </w:r>
    </w:p>
    <w:p w:rsidRPr="00BE0268" w:rsidR="00AC1EC6" w:rsidP="00CB003A" w:rsidRDefault="00AC1EC6" w14:paraId="21F3D496" w14:textId="77777777"/>
    <w:p w:rsidRPr="00BE0268" w:rsidR="00147A26" w:rsidP="00FD768C" w:rsidRDefault="00147A26" w14:paraId="222F51D1" w14:textId="4D85C8B1">
      <w:pPr>
        <w:numPr>
          <w:ilvl w:val="0"/>
          <w:numId w:val="12"/>
        </w:numPr>
        <w:tabs>
          <w:tab w:val="clear" w:pos="720"/>
        </w:tabs>
        <w:ind w:left="360"/>
      </w:pPr>
      <w:r w:rsidRPr="00BE0268">
        <w:rPr>
          <w:u w:val="single"/>
        </w:rPr>
        <w:t xml:space="preserve">Provision of payments to </w:t>
      </w:r>
      <w:r w:rsidRPr="00BE0268" w:rsidR="003B7343">
        <w:rPr>
          <w:u w:val="single"/>
        </w:rPr>
        <w:t>respondents</w:t>
      </w:r>
    </w:p>
    <w:p w:rsidRPr="00BE0268" w:rsidR="00147A26" w:rsidP="00FB7F1C" w:rsidRDefault="00147A26" w14:paraId="0C6271CE" w14:textId="77777777">
      <w:pPr>
        <w:keepNext/>
      </w:pPr>
    </w:p>
    <w:p w:rsidRPr="00BE0268" w:rsidR="00256911" w:rsidP="00CB003A" w:rsidRDefault="00E96BF2" w14:paraId="37B4AC20" w14:textId="77777777">
      <w:r w:rsidRPr="00BE0268">
        <w:t>No payments or gifts are provided to respondents</w:t>
      </w:r>
      <w:r w:rsidRPr="00BE0268" w:rsidR="009B6FA0">
        <w:t>.</w:t>
      </w:r>
    </w:p>
    <w:p w:rsidRPr="00BE0268" w:rsidR="00BA51F9" w:rsidP="00CB003A" w:rsidRDefault="00BA51F9" w14:paraId="293C1B9F" w14:textId="77777777"/>
    <w:p w:rsidRPr="00FD768C" w:rsidR="00147A26" w:rsidP="00FD768C" w:rsidRDefault="00147A26" w14:paraId="01FC6DFE" w14:textId="4011A69B">
      <w:pPr>
        <w:numPr>
          <w:ilvl w:val="0"/>
          <w:numId w:val="12"/>
        </w:numPr>
        <w:tabs>
          <w:tab w:val="clear" w:pos="720"/>
        </w:tabs>
        <w:ind w:left="360"/>
        <w:rPr>
          <w:u w:val="single"/>
        </w:rPr>
      </w:pPr>
      <w:r w:rsidRPr="00BE0268">
        <w:rPr>
          <w:u w:val="single"/>
        </w:rPr>
        <w:t>Assurance of confidentiality</w:t>
      </w:r>
    </w:p>
    <w:p w:rsidRPr="00BE0268" w:rsidR="00147A26" w:rsidP="00666B6D" w:rsidRDefault="00147A26" w14:paraId="4C146AD6" w14:textId="77777777">
      <w:pPr>
        <w:keepNext/>
      </w:pPr>
    </w:p>
    <w:p w:rsidR="0035119A" w:rsidP="00E146F2" w:rsidRDefault="005F1EBD" w14:paraId="46536B1C" w14:textId="6B13C396">
      <w:pPr>
        <w:autoSpaceDE w:val="0"/>
        <w:autoSpaceDN w:val="0"/>
      </w:pPr>
      <w:r w:rsidRPr="00BE0268">
        <w:t xml:space="preserve">Information collected will be </w:t>
      </w:r>
      <w:r w:rsidRPr="00BE0268" w:rsidR="00247B5F">
        <w:t xml:space="preserve">kept </w:t>
      </w:r>
      <w:r w:rsidRPr="00BE0268">
        <w:t>confidential to the extent appropriate and consistent with the Freedom of Information Act and other applicable law</w:t>
      </w:r>
      <w:r w:rsidRPr="00BE0268" w:rsidR="00247B5F">
        <w:t>s</w:t>
      </w:r>
      <w:r w:rsidRPr="00BE0268">
        <w:t>.</w:t>
      </w:r>
    </w:p>
    <w:p w:rsidRPr="00BE0268" w:rsidR="007D48AC" w:rsidP="00E146F2" w:rsidRDefault="007D48AC" w14:paraId="70433A77" w14:textId="77777777">
      <w:pPr>
        <w:autoSpaceDE w:val="0"/>
        <w:autoSpaceDN w:val="0"/>
      </w:pPr>
    </w:p>
    <w:p w:rsidRPr="00BE0268" w:rsidR="00147A26" w:rsidP="00FD768C" w:rsidRDefault="00147A26" w14:paraId="1CC669C5" w14:textId="7E8732E8">
      <w:pPr>
        <w:numPr>
          <w:ilvl w:val="0"/>
          <w:numId w:val="12"/>
        </w:numPr>
        <w:tabs>
          <w:tab w:val="clear" w:pos="720"/>
        </w:tabs>
        <w:ind w:left="360"/>
        <w:rPr>
          <w:u w:val="single"/>
        </w:rPr>
      </w:pPr>
      <w:r w:rsidRPr="00BE0268">
        <w:rPr>
          <w:u w:val="single"/>
        </w:rPr>
        <w:t>Justification of sensitive questions</w:t>
      </w:r>
    </w:p>
    <w:p w:rsidRPr="00BE0268" w:rsidR="004F6BB6" w:rsidP="00CB003A" w:rsidRDefault="004F6BB6" w14:paraId="02D46D42" w14:textId="77777777"/>
    <w:p w:rsidR="5C563C24" w:rsidP="00FF05F8" w:rsidRDefault="006E6FF3" w14:paraId="1CBADBE1" w14:textId="36D3A2F5">
      <w:pPr>
        <w:spacing w:line="259" w:lineRule="auto"/>
      </w:pPr>
      <w:r>
        <w:t xml:space="preserve">Sensitive questions, such as the disclose of material litigation, are necessary to mitigate risk to Treasury. </w:t>
      </w:r>
    </w:p>
    <w:p w:rsidRPr="00BE0268" w:rsidR="0028091A" w:rsidP="009E2FFF" w:rsidRDefault="0028091A" w14:paraId="2B0B7A52" w14:textId="77777777"/>
    <w:p w:rsidRPr="00BE0268" w:rsidR="00A95A75" w:rsidP="00FD768C" w:rsidRDefault="00ED50C9" w14:paraId="726059FA" w14:textId="38D26AE3">
      <w:pPr>
        <w:numPr>
          <w:ilvl w:val="0"/>
          <w:numId w:val="12"/>
        </w:numPr>
        <w:tabs>
          <w:tab w:val="clear" w:pos="720"/>
        </w:tabs>
        <w:ind w:left="360"/>
        <w:rPr>
          <w:u w:val="single"/>
        </w:rPr>
      </w:pPr>
      <w:bookmarkStart w:name="_Hlk91060160" w:id="6"/>
      <w:r w:rsidRPr="00BE0268">
        <w:rPr>
          <w:u w:val="single"/>
        </w:rPr>
        <w:t xml:space="preserve">Estimate of the hour burden of information collection. </w:t>
      </w:r>
    </w:p>
    <w:p w:rsidRPr="00BE0268" w:rsidR="00ED50C9" w:rsidP="009E2FFF" w:rsidRDefault="00ED50C9" w14:paraId="7568C2E1" w14:textId="77777777">
      <w:pPr>
        <w:rPr>
          <w:u w:val="single"/>
        </w:rPr>
      </w:pPr>
    </w:p>
    <w:p w:rsidRPr="00BE0268" w:rsidR="00ED50C9" w:rsidP="009E2FFF" w:rsidRDefault="006B3DDE" w14:paraId="4F0923B4" w14:textId="02E613F5">
      <w:pPr>
        <w:rPr>
          <w:color w:val="FF0000"/>
          <w:u w:val="single"/>
        </w:rPr>
      </w:pPr>
      <w:r w:rsidRPr="00BE0268">
        <w:t xml:space="preserve">The </w:t>
      </w:r>
      <w:r w:rsidRPr="00BE0268" w:rsidR="27AF86F5">
        <w:t xml:space="preserve">reporting burden related to the </w:t>
      </w:r>
      <w:r w:rsidRPr="00BE0268">
        <w:t xml:space="preserve">Emergency Capital Investment </w:t>
      </w:r>
      <w:r w:rsidR="00FF05F8">
        <w:t>Program</w:t>
      </w:r>
      <w:r w:rsidRPr="00BE0268">
        <w:t xml:space="preserve"> </w:t>
      </w:r>
      <w:r w:rsidR="006E6FF3">
        <w:t>Letter Agreement</w:t>
      </w:r>
      <w:r w:rsidR="0F976CC1">
        <w:t xml:space="preserve"> is </w:t>
      </w:r>
      <w:r w:rsidRPr="00BE0268" w:rsidR="005F1EBD">
        <w:t>as follows:</w:t>
      </w:r>
    </w:p>
    <w:tbl>
      <w:tblPr>
        <w:tblpPr w:leftFromText="180" w:rightFromText="180" w:vertAnchor="text" w:horzAnchor="margin" w:tblpXSpec="center" w:tblpY="194"/>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440"/>
        <w:gridCol w:w="1710"/>
        <w:gridCol w:w="1080"/>
        <w:gridCol w:w="1885"/>
        <w:gridCol w:w="1350"/>
        <w:gridCol w:w="1895"/>
      </w:tblGrid>
      <w:tr w:rsidRPr="00BE0268" w:rsidR="00155215" w:rsidTr="00FF05F8" w14:paraId="0A0322A1" w14:textId="77777777">
        <w:trPr>
          <w:trHeight w:val="660"/>
        </w:trPr>
        <w:tc>
          <w:tcPr>
            <w:tcW w:w="1440" w:type="dxa"/>
            <w:shd w:val="clear" w:color="auto" w:fill="FFFFFF" w:themeFill="background1"/>
          </w:tcPr>
          <w:p w:rsidRPr="00BE0268" w:rsidR="00155215" w:rsidP="00155215" w:rsidRDefault="00155215" w14:paraId="715FB2F4" w14:textId="77777777">
            <w:pPr>
              <w:jc w:val="center"/>
              <w:rPr>
                <w:color w:val="000000"/>
                <w:sz w:val="20"/>
                <w:szCs w:val="20"/>
              </w:rPr>
            </w:pPr>
            <w:r>
              <w:rPr>
                <w:color w:val="000000"/>
                <w:sz w:val="20"/>
                <w:szCs w:val="20"/>
              </w:rPr>
              <w:t>Information Collection</w:t>
            </w:r>
          </w:p>
        </w:tc>
        <w:tc>
          <w:tcPr>
            <w:tcW w:w="1440" w:type="dxa"/>
            <w:shd w:val="clear" w:color="auto" w:fill="FFFFFF" w:themeFill="background1"/>
            <w:vAlign w:val="center"/>
            <w:hideMark/>
          </w:tcPr>
          <w:p w:rsidRPr="00BE0268" w:rsidR="00155215" w:rsidP="00155215" w:rsidRDefault="00155215" w14:paraId="7F613824" w14:textId="77777777">
            <w:pPr>
              <w:jc w:val="center"/>
              <w:rPr>
                <w:color w:val="000000"/>
                <w:sz w:val="20"/>
                <w:szCs w:val="20"/>
              </w:rPr>
            </w:pPr>
            <w:r w:rsidRPr="00BE0268">
              <w:rPr>
                <w:color w:val="000000"/>
                <w:sz w:val="20"/>
                <w:szCs w:val="20"/>
              </w:rPr>
              <w:t>Number of Respondents</w:t>
            </w:r>
            <w:r>
              <w:rPr>
                <w:color w:val="000000"/>
                <w:sz w:val="20"/>
                <w:szCs w:val="20"/>
              </w:rPr>
              <w:t>*</w:t>
            </w:r>
          </w:p>
        </w:tc>
        <w:tc>
          <w:tcPr>
            <w:tcW w:w="1710" w:type="dxa"/>
            <w:shd w:val="clear" w:color="auto" w:fill="FFFFFF" w:themeFill="background1"/>
            <w:vAlign w:val="center"/>
            <w:hideMark/>
          </w:tcPr>
          <w:p w:rsidRPr="00BE0268" w:rsidR="00155215" w:rsidP="00155215" w:rsidRDefault="00155215" w14:paraId="4FB3C6DF" w14:textId="77777777">
            <w:pPr>
              <w:jc w:val="center"/>
              <w:rPr>
                <w:color w:val="000000"/>
                <w:sz w:val="20"/>
                <w:szCs w:val="20"/>
              </w:rPr>
            </w:pPr>
            <w:r w:rsidRPr="00BE0268">
              <w:rPr>
                <w:color w:val="000000"/>
                <w:sz w:val="20"/>
                <w:szCs w:val="20"/>
              </w:rPr>
              <w:t># Responses Per Respondent</w:t>
            </w:r>
          </w:p>
          <w:p w:rsidRPr="00BE0268" w:rsidR="00155215" w:rsidP="00155215" w:rsidRDefault="00155215" w14:paraId="3EE1345A" w14:textId="77777777">
            <w:pPr>
              <w:jc w:val="center"/>
              <w:rPr>
                <w:color w:val="000000"/>
                <w:sz w:val="20"/>
                <w:szCs w:val="20"/>
              </w:rPr>
            </w:pPr>
          </w:p>
        </w:tc>
        <w:tc>
          <w:tcPr>
            <w:tcW w:w="1080" w:type="dxa"/>
            <w:shd w:val="clear" w:color="auto" w:fill="FFFFFF" w:themeFill="background1"/>
            <w:vAlign w:val="center"/>
            <w:hideMark/>
          </w:tcPr>
          <w:p w:rsidRPr="00BE0268" w:rsidR="00155215" w:rsidP="00155215" w:rsidRDefault="00155215" w14:paraId="60A22447" w14:textId="77777777">
            <w:pPr>
              <w:jc w:val="center"/>
              <w:rPr>
                <w:color w:val="000000"/>
                <w:sz w:val="20"/>
                <w:szCs w:val="20"/>
              </w:rPr>
            </w:pPr>
            <w:r w:rsidRPr="00BE0268">
              <w:rPr>
                <w:color w:val="000000"/>
                <w:sz w:val="20"/>
                <w:szCs w:val="20"/>
              </w:rPr>
              <w:t>Total Responses</w:t>
            </w:r>
          </w:p>
        </w:tc>
        <w:tc>
          <w:tcPr>
            <w:tcW w:w="1885" w:type="dxa"/>
            <w:shd w:val="clear" w:color="auto" w:fill="FFFFFF" w:themeFill="background1"/>
            <w:vAlign w:val="center"/>
            <w:hideMark/>
          </w:tcPr>
          <w:p w:rsidRPr="00BE0268" w:rsidR="00155215" w:rsidP="00155215" w:rsidRDefault="00155215" w14:paraId="4756B1DA" w14:textId="77777777">
            <w:pPr>
              <w:jc w:val="center"/>
              <w:rPr>
                <w:color w:val="000000"/>
                <w:sz w:val="20"/>
                <w:szCs w:val="20"/>
              </w:rPr>
            </w:pPr>
            <w:r w:rsidRPr="00BE0268">
              <w:rPr>
                <w:color w:val="000000"/>
                <w:sz w:val="20"/>
                <w:szCs w:val="20"/>
              </w:rPr>
              <w:t>Hours per response</w:t>
            </w:r>
          </w:p>
        </w:tc>
        <w:tc>
          <w:tcPr>
            <w:tcW w:w="1350" w:type="dxa"/>
            <w:shd w:val="clear" w:color="auto" w:fill="FFFFFF" w:themeFill="background1"/>
            <w:vAlign w:val="center"/>
            <w:hideMark/>
          </w:tcPr>
          <w:p w:rsidRPr="00BE0268" w:rsidR="00155215" w:rsidP="00155215" w:rsidRDefault="00155215" w14:paraId="63F1CDE9" w14:textId="77777777">
            <w:pPr>
              <w:jc w:val="center"/>
              <w:rPr>
                <w:color w:val="000000"/>
                <w:sz w:val="20"/>
                <w:szCs w:val="20"/>
              </w:rPr>
            </w:pPr>
            <w:r w:rsidRPr="00BE0268">
              <w:rPr>
                <w:color w:val="000000"/>
                <w:sz w:val="20"/>
                <w:szCs w:val="20"/>
              </w:rPr>
              <w:t>Total Burden in Hours</w:t>
            </w:r>
          </w:p>
        </w:tc>
        <w:tc>
          <w:tcPr>
            <w:tcW w:w="1895" w:type="dxa"/>
            <w:shd w:val="clear" w:color="auto" w:fill="FFFFFF" w:themeFill="background1"/>
            <w:vAlign w:val="center"/>
            <w:hideMark/>
          </w:tcPr>
          <w:p w:rsidRPr="00BE0268" w:rsidR="00155215" w:rsidP="00155215" w:rsidRDefault="00155215" w14:paraId="4E755C0E" w14:textId="4770B19C">
            <w:pPr>
              <w:jc w:val="center"/>
              <w:rPr>
                <w:color w:val="000000"/>
                <w:sz w:val="20"/>
                <w:szCs w:val="20"/>
              </w:rPr>
            </w:pPr>
            <w:r w:rsidRPr="00BE0268">
              <w:rPr>
                <w:color w:val="000000"/>
                <w:sz w:val="20"/>
                <w:szCs w:val="20"/>
              </w:rPr>
              <w:t>Cost to Respondent</w:t>
            </w:r>
            <w:r w:rsidR="004A47FF">
              <w:rPr>
                <w:color w:val="000000"/>
                <w:sz w:val="20"/>
                <w:szCs w:val="20"/>
              </w:rPr>
              <w:t>**</w:t>
            </w:r>
          </w:p>
          <w:p w:rsidRPr="00BE0268" w:rsidR="00155215" w:rsidP="00155215" w:rsidRDefault="00155215" w14:paraId="07595AF5" w14:textId="4842DD0A">
            <w:pPr>
              <w:jc w:val="center"/>
              <w:rPr>
                <w:color w:val="000000"/>
                <w:sz w:val="20"/>
                <w:szCs w:val="20"/>
              </w:rPr>
            </w:pPr>
          </w:p>
        </w:tc>
      </w:tr>
      <w:tr w:rsidRPr="00BE0268" w:rsidR="00E56798" w:rsidTr="00FF05F8" w14:paraId="19F48BC8" w14:textId="77777777">
        <w:trPr>
          <w:trHeight w:val="315"/>
        </w:trPr>
        <w:tc>
          <w:tcPr>
            <w:tcW w:w="1440" w:type="dxa"/>
            <w:shd w:val="clear" w:color="auto" w:fill="FFFFFF" w:themeFill="background1"/>
          </w:tcPr>
          <w:p w:rsidRPr="00FF05F8" w:rsidR="00E56798" w:rsidP="00E56798" w:rsidRDefault="00E56798" w14:paraId="6799CB9F" w14:textId="77777777">
            <w:pPr>
              <w:jc w:val="center"/>
              <w:rPr>
                <w:color w:val="000000" w:themeColor="text1"/>
                <w:sz w:val="20"/>
                <w:szCs w:val="20"/>
              </w:rPr>
            </w:pPr>
            <w:r>
              <w:rPr>
                <w:color w:val="000000"/>
                <w:sz w:val="20"/>
                <w:szCs w:val="20"/>
              </w:rPr>
              <w:t>Response to Applicant Notification</w:t>
            </w:r>
          </w:p>
          <w:p w:rsidR="00E56798" w:rsidP="00E56798" w:rsidRDefault="00E56798" w14:paraId="1421E0D6" w14:textId="12258EC5">
            <w:pPr>
              <w:jc w:val="center"/>
              <w:rPr>
                <w:color w:val="000000"/>
                <w:sz w:val="20"/>
                <w:szCs w:val="20"/>
              </w:rPr>
            </w:pPr>
            <w:r>
              <w:rPr>
                <w:color w:val="000000"/>
                <w:sz w:val="20"/>
                <w:szCs w:val="20"/>
              </w:rPr>
              <w:t>Letter</w:t>
            </w:r>
          </w:p>
        </w:tc>
        <w:tc>
          <w:tcPr>
            <w:tcW w:w="1440" w:type="dxa"/>
            <w:shd w:val="clear" w:color="auto" w:fill="FFFFFF" w:themeFill="background1"/>
            <w:vAlign w:val="center"/>
          </w:tcPr>
          <w:p w:rsidR="00E56798" w:rsidP="00E56798" w:rsidRDefault="00E56798" w14:paraId="72BB2BA9" w14:textId="7E22EE02">
            <w:pPr>
              <w:jc w:val="center"/>
              <w:rPr>
                <w:color w:val="000000"/>
                <w:sz w:val="20"/>
                <w:szCs w:val="20"/>
              </w:rPr>
            </w:pPr>
            <w:r>
              <w:rPr>
                <w:color w:val="000000"/>
                <w:sz w:val="20"/>
                <w:szCs w:val="20"/>
              </w:rPr>
              <w:t>186</w:t>
            </w:r>
          </w:p>
        </w:tc>
        <w:tc>
          <w:tcPr>
            <w:tcW w:w="1710" w:type="dxa"/>
            <w:shd w:val="clear" w:color="auto" w:fill="FFFFFF" w:themeFill="background1"/>
            <w:noWrap/>
            <w:vAlign w:val="center"/>
          </w:tcPr>
          <w:p w:rsidR="00E56798" w:rsidP="00E56798" w:rsidRDefault="00E56798" w14:paraId="1186DBE6" w14:textId="4BE62800">
            <w:pPr>
              <w:jc w:val="center"/>
              <w:rPr>
                <w:color w:val="000000"/>
                <w:sz w:val="20"/>
                <w:szCs w:val="20"/>
              </w:rPr>
            </w:pPr>
            <w:r>
              <w:rPr>
                <w:color w:val="000000"/>
                <w:sz w:val="20"/>
                <w:szCs w:val="20"/>
              </w:rPr>
              <w:t>1</w:t>
            </w:r>
          </w:p>
        </w:tc>
        <w:tc>
          <w:tcPr>
            <w:tcW w:w="1080" w:type="dxa"/>
            <w:shd w:val="clear" w:color="auto" w:fill="FFFFFF" w:themeFill="background1"/>
            <w:noWrap/>
            <w:vAlign w:val="center"/>
          </w:tcPr>
          <w:p w:rsidR="00E56798" w:rsidP="00E56798" w:rsidRDefault="00E56798" w14:paraId="7DAEB070" w14:textId="32AFE241">
            <w:pPr>
              <w:jc w:val="center"/>
              <w:rPr>
                <w:color w:val="000000"/>
                <w:sz w:val="20"/>
                <w:szCs w:val="20"/>
              </w:rPr>
            </w:pPr>
            <w:r>
              <w:rPr>
                <w:color w:val="000000"/>
                <w:sz w:val="20"/>
                <w:szCs w:val="20"/>
              </w:rPr>
              <w:t>186</w:t>
            </w:r>
          </w:p>
        </w:tc>
        <w:tc>
          <w:tcPr>
            <w:tcW w:w="1885" w:type="dxa"/>
            <w:shd w:val="clear" w:color="auto" w:fill="FFFFFF" w:themeFill="background1"/>
            <w:noWrap/>
            <w:vAlign w:val="center"/>
          </w:tcPr>
          <w:p w:rsidR="00E56798" w:rsidP="00E56798" w:rsidRDefault="00E56798" w14:paraId="31B3A722" w14:textId="0C4013E6">
            <w:pPr>
              <w:jc w:val="center"/>
              <w:rPr>
                <w:rStyle w:val="CommentReference"/>
                <w:sz w:val="20"/>
                <w:szCs w:val="20"/>
              </w:rPr>
            </w:pPr>
            <w:r>
              <w:rPr>
                <w:rStyle w:val="CommentReference"/>
                <w:sz w:val="20"/>
                <w:szCs w:val="20"/>
              </w:rPr>
              <w:t>0.25</w:t>
            </w:r>
          </w:p>
        </w:tc>
        <w:tc>
          <w:tcPr>
            <w:tcW w:w="1350" w:type="dxa"/>
            <w:shd w:val="clear" w:color="auto" w:fill="FFFFFF" w:themeFill="background1"/>
            <w:noWrap/>
            <w:vAlign w:val="center"/>
          </w:tcPr>
          <w:p w:rsidR="00E56798" w:rsidP="00E56798" w:rsidRDefault="00E56798" w14:paraId="541F934D" w14:textId="175292C7">
            <w:pPr>
              <w:jc w:val="center"/>
              <w:rPr>
                <w:color w:val="000000"/>
                <w:sz w:val="20"/>
                <w:szCs w:val="20"/>
              </w:rPr>
            </w:pPr>
            <w:r>
              <w:rPr>
                <w:color w:val="000000"/>
                <w:sz w:val="20"/>
                <w:szCs w:val="20"/>
              </w:rPr>
              <w:t>46.5</w:t>
            </w:r>
          </w:p>
        </w:tc>
        <w:tc>
          <w:tcPr>
            <w:tcW w:w="1895" w:type="dxa"/>
            <w:shd w:val="clear" w:color="auto" w:fill="FFFFFF" w:themeFill="background1"/>
            <w:noWrap/>
            <w:vAlign w:val="center"/>
          </w:tcPr>
          <w:p w:rsidR="00E56798" w:rsidP="00E56798" w:rsidRDefault="00E56798" w14:paraId="5A62C38B" w14:textId="7C5B3159">
            <w:pPr>
              <w:jc w:val="center"/>
              <w:rPr>
                <w:color w:val="000000"/>
                <w:sz w:val="20"/>
                <w:szCs w:val="20"/>
              </w:rPr>
            </w:pPr>
            <w:r>
              <w:rPr>
                <w:color w:val="000000"/>
                <w:sz w:val="20"/>
                <w:szCs w:val="20"/>
              </w:rPr>
              <w:t>$2,209</w:t>
            </w:r>
          </w:p>
        </w:tc>
      </w:tr>
      <w:tr w:rsidRPr="00BE0268" w:rsidR="00E56798" w:rsidTr="00FF05F8" w14:paraId="0440383E" w14:textId="77777777">
        <w:trPr>
          <w:trHeight w:val="315"/>
        </w:trPr>
        <w:tc>
          <w:tcPr>
            <w:tcW w:w="1440" w:type="dxa"/>
            <w:shd w:val="clear" w:color="auto" w:fill="FFFFFF" w:themeFill="background1"/>
          </w:tcPr>
          <w:p w:rsidR="00E56798" w:rsidP="00E56798" w:rsidRDefault="00E56798" w14:paraId="78103062" w14:textId="77777777">
            <w:pPr>
              <w:jc w:val="center"/>
              <w:rPr>
                <w:color w:val="000000"/>
                <w:sz w:val="20"/>
                <w:szCs w:val="20"/>
              </w:rPr>
            </w:pPr>
            <w:r>
              <w:rPr>
                <w:color w:val="000000"/>
                <w:sz w:val="20"/>
                <w:szCs w:val="20"/>
              </w:rPr>
              <w:t>Letter</w:t>
            </w:r>
          </w:p>
          <w:p w:rsidRPr="00BE0268" w:rsidR="00E56798" w:rsidP="00E56798" w:rsidRDefault="00E56798" w14:paraId="355421C0" w14:textId="0992CA43">
            <w:pPr>
              <w:jc w:val="center"/>
              <w:rPr>
                <w:color w:val="000000"/>
                <w:sz w:val="20"/>
                <w:szCs w:val="20"/>
              </w:rPr>
            </w:pPr>
            <w:r>
              <w:rPr>
                <w:color w:val="000000"/>
                <w:sz w:val="20"/>
                <w:szCs w:val="20"/>
              </w:rPr>
              <w:t>Agreements</w:t>
            </w:r>
          </w:p>
        </w:tc>
        <w:tc>
          <w:tcPr>
            <w:tcW w:w="1440" w:type="dxa"/>
            <w:shd w:val="clear" w:color="auto" w:fill="FFFFFF" w:themeFill="background1"/>
            <w:vAlign w:val="center"/>
          </w:tcPr>
          <w:p w:rsidRPr="00BE0268" w:rsidR="00E56798" w:rsidP="00E56798" w:rsidRDefault="00E56798" w14:paraId="779FA37B" w14:textId="4A2A4883">
            <w:pPr>
              <w:jc w:val="center"/>
              <w:rPr>
                <w:color w:val="000000"/>
                <w:sz w:val="20"/>
                <w:szCs w:val="20"/>
              </w:rPr>
            </w:pPr>
            <w:r>
              <w:rPr>
                <w:color w:val="000000"/>
                <w:sz w:val="20"/>
                <w:szCs w:val="20"/>
              </w:rPr>
              <w:t>186</w:t>
            </w:r>
          </w:p>
        </w:tc>
        <w:tc>
          <w:tcPr>
            <w:tcW w:w="1710" w:type="dxa"/>
            <w:shd w:val="clear" w:color="auto" w:fill="FFFFFF" w:themeFill="background1"/>
            <w:noWrap/>
            <w:vAlign w:val="center"/>
          </w:tcPr>
          <w:p w:rsidRPr="00BE0268" w:rsidR="00E56798" w:rsidP="00E56798" w:rsidRDefault="00E56798" w14:paraId="424F92A1" w14:textId="532C9A70">
            <w:pPr>
              <w:jc w:val="center"/>
              <w:rPr>
                <w:color w:val="000000"/>
                <w:sz w:val="20"/>
                <w:szCs w:val="20"/>
              </w:rPr>
            </w:pPr>
            <w:r>
              <w:rPr>
                <w:color w:val="000000"/>
                <w:sz w:val="20"/>
                <w:szCs w:val="20"/>
              </w:rPr>
              <w:t>1</w:t>
            </w:r>
          </w:p>
        </w:tc>
        <w:tc>
          <w:tcPr>
            <w:tcW w:w="1080" w:type="dxa"/>
            <w:shd w:val="clear" w:color="auto" w:fill="FFFFFF" w:themeFill="background1"/>
            <w:noWrap/>
            <w:vAlign w:val="center"/>
          </w:tcPr>
          <w:p w:rsidRPr="00BE0268" w:rsidR="00E56798" w:rsidP="00E56798" w:rsidRDefault="00E56798" w14:paraId="01B90887" w14:textId="7C99715C">
            <w:pPr>
              <w:jc w:val="center"/>
              <w:rPr>
                <w:color w:val="000000"/>
                <w:sz w:val="20"/>
                <w:szCs w:val="20"/>
              </w:rPr>
            </w:pPr>
            <w:r>
              <w:rPr>
                <w:color w:val="000000"/>
                <w:sz w:val="20"/>
                <w:szCs w:val="20"/>
              </w:rPr>
              <w:t>186</w:t>
            </w:r>
          </w:p>
        </w:tc>
        <w:tc>
          <w:tcPr>
            <w:tcW w:w="1885" w:type="dxa"/>
            <w:shd w:val="clear" w:color="auto" w:fill="FFFFFF" w:themeFill="background1"/>
            <w:noWrap/>
            <w:vAlign w:val="center"/>
          </w:tcPr>
          <w:p w:rsidRPr="00BE0268" w:rsidR="00E56798" w:rsidP="00E56798" w:rsidRDefault="00E56798" w14:paraId="3288D4F2" w14:textId="56E4E92B">
            <w:pPr>
              <w:jc w:val="center"/>
              <w:rPr>
                <w:color w:val="000000"/>
                <w:sz w:val="20"/>
                <w:szCs w:val="20"/>
              </w:rPr>
            </w:pPr>
            <w:r>
              <w:rPr>
                <w:rStyle w:val="CommentReference"/>
                <w:sz w:val="20"/>
                <w:szCs w:val="20"/>
              </w:rPr>
              <w:t>8</w:t>
            </w:r>
          </w:p>
        </w:tc>
        <w:tc>
          <w:tcPr>
            <w:tcW w:w="1350" w:type="dxa"/>
            <w:shd w:val="clear" w:color="auto" w:fill="FFFFFF" w:themeFill="background1"/>
            <w:noWrap/>
            <w:vAlign w:val="center"/>
          </w:tcPr>
          <w:p w:rsidRPr="00BE0268" w:rsidR="00E56798" w:rsidP="00E56798" w:rsidRDefault="00E56798" w14:paraId="465E20B5" w14:textId="229CA03B">
            <w:pPr>
              <w:jc w:val="center"/>
              <w:rPr>
                <w:color w:val="000000"/>
                <w:sz w:val="20"/>
                <w:szCs w:val="20"/>
              </w:rPr>
            </w:pPr>
            <w:r>
              <w:rPr>
                <w:color w:val="000000"/>
                <w:sz w:val="20"/>
                <w:szCs w:val="20"/>
              </w:rPr>
              <w:t>1,488</w:t>
            </w:r>
          </w:p>
        </w:tc>
        <w:tc>
          <w:tcPr>
            <w:tcW w:w="1895" w:type="dxa"/>
            <w:shd w:val="clear" w:color="auto" w:fill="FFFFFF" w:themeFill="background1"/>
            <w:noWrap/>
            <w:vAlign w:val="center"/>
          </w:tcPr>
          <w:p w:rsidRPr="00BE0268" w:rsidR="00E56798" w:rsidP="00E56798" w:rsidRDefault="00E56798" w14:paraId="2419939A" w14:textId="5CE530E5">
            <w:pPr>
              <w:jc w:val="center"/>
              <w:rPr>
                <w:color w:val="000000"/>
                <w:sz w:val="20"/>
                <w:szCs w:val="20"/>
              </w:rPr>
            </w:pPr>
            <w:r>
              <w:rPr>
                <w:color w:val="000000"/>
                <w:sz w:val="20"/>
                <w:szCs w:val="20"/>
              </w:rPr>
              <w:t>$117,329</w:t>
            </w:r>
          </w:p>
        </w:tc>
      </w:tr>
      <w:tr w:rsidRPr="00BE0268" w:rsidR="00E56798" w:rsidTr="00FF05F8" w14:paraId="10C38C35" w14:textId="77777777">
        <w:trPr>
          <w:trHeight w:val="315"/>
        </w:trPr>
        <w:tc>
          <w:tcPr>
            <w:tcW w:w="1440" w:type="dxa"/>
            <w:shd w:val="clear" w:color="auto" w:fill="FFFFFF" w:themeFill="background1"/>
          </w:tcPr>
          <w:p w:rsidRPr="000B432F" w:rsidR="00E56798" w:rsidP="00E56798" w:rsidRDefault="00E56798" w14:paraId="2C6F388B" w14:textId="77777777">
            <w:pPr>
              <w:jc w:val="center"/>
              <w:rPr>
                <w:b/>
                <w:bCs/>
                <w:color w:val="000000"/>
                <w:sz w:val="20"/>
                <w:szCs w:val="20"/>
              </w:rPr>
            </w:pPr>
            <w:r w:rsidRPr="000B432F">
              <w:rPr>
                <w:b/>
                <w:bCs/>
                <w:color w:val="000000"/>
                <w:sz w:val="20"/>
                <w:szCs w:val="20"/>
              </w:rPr>
              <w:t>TOTAL</w:t>
            </w:r>
          </w:p>
        </w:tc>
        <w:tc>
          <w:tcPr>
            <w:tcW w:w="1440" w:type="dxa"/>
            <w:shd w:val="clear" w:color="auto" w:fill="A6A6A6" w:themeFill="background1" w:themeFillShade="A6"/>
            <w:vAlign w:val="center"/>
          </w:tcPr>
          <w:p w:rsidRPr="000B432F" w:rsidR="00E56798" w:rsidP="00E56798" w:rsidRDefault="00E56798" w14:paraId="41D90908" w14:textId="77777777">
            <w:pPr>
              <w:jc w:val="center"/>
              <w:rPr>
                <w:b/>
                <w:bCs/>
                <w:color w:val="000000"/>
                <w:sz w:val="20"/>
                <w:szCs w:val="20"/>
              </w:rPr>
            </w:pPr>
          </w:p>
        </w:tc>
        <w:tc>
          <w:tcPr>
            <w:tcW w:w="1710" w:type="dxa"/>
            <w:shd w:val="clear" w:color="auto" w:fill="A6A6A6" w:themeFill="background1" w:themeFillShade="A6"/>
            <w:noWrap/>
            <w:vAlign w:val="center"/>
          </w:tcPr>
          <w:p w:rsidRPr="000B432F" w:rsidR="00E56798" w:rsidP="00E56798" w:rsidRDefault="00E56798" w14:paraId="3E3C5E42" w14:textId="77777777">
            <w:pPr>
              <w:jc w:val="center"/>
              <w:rPr>
                <w:b/>
                <w:bCs/>
                <w:color w:val="000000"/>
                <w:sz w:val="20"/>
                <w:szCs w:val="20"/>
              </w:rPr>
            </w:pPr>
          </w:p>
        </w:tc>
        <w:tc>
          <w:tcPr>
            <w:tcW w:w="1080" w:type="dxa"/>
            <w:shd w:val="clear" w:color="auto" w:fill="FFFFFF" w:themeFill="background1"/>
            <w:noWrap/>
            <w:vAlign w:val="center"/>
          </w:tcPr>
          <w:p w:rsidRPr="000B432F" w:rsidR="00E56798" w:rsidP="00E56798" w:rsidRDefault="00E56798" w14:paraId="2CF8E876" w14:textId="35212E50">
            <w:pPr>
              <w:jc w:val="center"/>
              <w:rPr>
                <w:b/>
                <w:bCs/>
                <w:color w:val="000000"/>
                <w:sz w:val="20"/>
                <w:szCs w:val="20"/>
              </w:rPr>
            </w:pPr>
            <w:r>
              <w:rPr>
                <w:b/>
                <w:bCs/>
                <w:color w:val="000000"/>
                <w:sz w:val="20"/>
                <w:szCs w:val="20"/>
              </w:rPr>
              <w:t>372</w:t>
            </w:r>
          </w:p>
        </w:tc>
        <w:tc>
          <w:tcPr>
            <w:tcW w:w="1885" w:type="dxa"/>
            <w:shd w:val="clear" w:color="auto" w:fill="A6A6A6" w:themeFill="background1" w:themeFillShade="A6"/>
            <w:noWrap/>
            <w:vAlign w:val="center"/>
          </w:tcPr>
          <w:p w:rsidRPr="000B432F" w:rsidR="00E56798" w:rsidP="00E56798" w:rsidRDefault="00E56798" w14:paraId="63FAD294" w14:textId="77777777">
            <w:pPr>
              <w:jc w:val="center"/>
              <w:rPr>
                <w:rStyle w:val="CommentReference"/>
                <w:b/>
                <w:bCs/>
                <w:sz w:val="20"/>
                <w:szCs w:val="20"/>
              </w:rPr>
            </w:pPr>
          </w:p>
        </w:tc>
        <w:tc>
          <w:tcPr>
            <w:tcW w:w="1350" w:type="dxa"/>
            <w:shd w:val="clear" w:color="auto" w:fill="FFFFFF" w:themeFill="background1"/>
            <w:noWrap/>
            <w:vAlign w:val="center"/>
          </w:tcPr>
          <w:p w:rsidRPr="000B432F" w:rsidR="00E56798" w:rsidP="00E56798" w:rsidRDefault="00E56798" w14:paraId="286D5E32" w14:textId="1A217CF9">
            <w:pPr>
              <w:jc w:val="center"/>
              <w:rPr>
                <w:b/>
                <w:bCs/>
                <w:color w:val="000000"/>
                <w:sz w:val="20"/>
                <w:szCs w:val="20"/>
              </w:rPr>
            </w:pPr>
            <w:r>
              <w:rPr>
                <w:b/>
                <w:bCs/>
                <w:color w:val="000000"/>
                <w:sz w:val="20"/>
                <w:szCs w:val="20"/>
              </w:rPr>
              <w:t>1,535</w:t>
            </w:r>
          </w:p>
        </w:tc>
        <w:tc>
          <w:tcPr>
            <w:tcW w:w="1895" w:type="dxa"/>
            <w:shd w:val="clear" w:color="auto" w:fill="FFFFFF" w:themeFill="background1"/>
            <w:noWrap/>
            <w:vAlign w:val="center"/>
          </w:tcPr>
          <w:p w:rsidRPr="000B432F" w:rsidR="00E56798" w:rsidP="00E56798" w:rsidRDefault="00E56798" w14:paraId="06C36342" w14:textId="0139000C">
            <w:pPr>
              <w:jc w:val="center"/>
              <w:rPr>
                <w:b/>
                <w:bCs/>
                <w:color w:val="000000"/>
                <w:sz w:val="20"/>
                <w:szCs w:val="20"/>
              </w:rPr>
            </w:pPr>
            <w:r>
              <w:rPr>
                <w:b/>
                <w:bCs/>
                <w:color w:val="000000"/>
                <w:sz w:val="20"/>
                <w:szCs w:val="20"/>
              </w:rPr>
              <w:t>$</w:t>
            </w:r>
            <w:r w:rsidRPr="00E56798">
              <w:rPr>
                <w:b/>
                <w:bCs/>
                <w:color w:val="000000"/>
                <w:sz w:val="20"/>
                <w:szCs w:val="20"/>
              </w:rPr>
              <w:t>119</w:t>
            </w:r>
            <w:r>
              <w:rPr>
                <w:b/>
                <w:bCs/>
                <w:color w:val="000000"/>
                <w:sz w:val="20"/>
                <w:szCs w:val="20"/>
              </w:rPr>
              <w:t>,</w:t>
            </w:r>
            <w:r w:rsidRPr="00E56798">
              <w:rPr>
                <w:b/>
                <w:bCs/>
                <w:color w:val="000000"/>
                <w:sz w:val="20"/>
                <w:szCs w:val="20"/>
              </w:rPr>
              <w:t>538</w:t>
            </w:r>
          </w:p>
        </w:tc>
      </w:tr>
    </w:tbl>
    <w:p w:rsidRPr="00BE0268" w:rsidR="004063EA" w:rsidP="004B0AEF" w:rsidRDefault="004063EA" w14:paraId="2CAB94DF" w14:textId="77777777">
      <w:pPr>
        <w:ind w:firstLine="360"/>
        <w:rPr>
          <w:b/>
          <w:u w:val="single"/>
        </w:rPr>
      </w:pPr>
    </w:p>
    <w:p w:rsidR="00F46543" w:rsidP="001D7E4B" w:rsidRDefault="00F46543" w14:paraId="27AF2AC3" w14:textId="2DA923FB">
      <w:pPr>
        <w:rPr>
          <w:sz w:val="20"/>
        </w:rPr>
      </w:pPr>
      <w:r>
        <w:rPr>
          <w:sz w:val="20"/>
        </w:rPr>
        <w:t>*</w:t>
      </w:r>
      <w:r w:rsidR="00FD768C">
        <w:rPr>
          <w:sz w:val="20"/>
        </w:rPr>
        <w:t xml:space="preserve">  </w:t>
      </w:r>
      <w:r>
        <w:rPr>
          <w:sz w:val="20"/>
        </w:rPr>
        <w:t xml:space="preserve">Treasury </w:t>
      </w:r>
      <w:r w:rsidR="00B62D0C">
        <w:rPr>
          <w:sz w:val="20"/>
        </w:rPr>
        <w:t xml:space="preserve">determined 186 </w:t>
      </w:r>
      <w:r w:rsidR="00FF05F8">
        <w:rPr>
          <w:sz w:val="20"/>
        </w:rPr>
        <w:t>Program</w:t>
      </w:r>
      <w:r w:rsidR="00592ACD">
        <w:rPr>
          <w:sz w:val="20"/>
        </w:rPr>
        <w:t xml:space="preserve"> applicants to be eligible for investment.  All eligible applicants are expected to participate in the </w:t>
      </w:r>
      <w:r w:rsidR="00FF05F8">
        <w:rPr>
          <w:sz w:val="20"/>
        </w:rPr>
        <w:t>Program</w:t>
      </w:r>
      <w:r>
        <w:rPr>
          <w:sz w:val="20"/>
        </w:rPr>
        <w:t>.</w:t>
      </w:r>
    </w:p>
    <w:p w:rsidR="00FD768C" w:rsidP="001D7E4B" w:rsidRDefault="003C5B6F" w14:paraId="382BB30A" w14:textId="3BCF51AA">
      <w:pPr>
        <w:rPr>
          <w:sz w:val="20"/>
          <w:szCs w:val="20"/>
        </w:rPr>
      </w:pPr>
      <w:r w:rsidRPr="00BE0268">
        <w:rPr>
          <w:sz w:val="20"/>
        </w:rPr>
        <w:t>*</w:t>
      </w:r>
      <w:proofErr w:type="gramStart"/>
      <w:r w:rsidR="00F46543">
        <w:rPr>
          <w:sz w:val="20"/>
        </w:rPr>
        <w:t>*</w:t>
      </w:r>
      <w:r w:rsidRPr="00BE0268">
        <w:rPr>
          <w:sz w:val="20"/>
        </w:rPr>
        <w:t xml:space="preserve"> </w:t>
      </w:r>
      <w:r w:rsidR="00FD768C">
        <w:rPr>
          <w:sz w:val="20"/>
        </w:rPr>
        <w:t xml:space="preserve"> </w:t>
      </w:r>
      <w:r w:rsidRPr="00BE0268">
        <w:rPr>
          <w:sz w:val="20"/>
        </w:rPr>
        <w:t>Bureau</w:t>
      </w:r>
      <w:proofErr w:type="gramEnd"/>
      <w:r w:rsidRPr="00BE0268">
        <w:rPr>
          <w:sz w:val="20"/>
        </w:rPr>
        <w:t xml:space="preserve"> of Labor Statistics</w:t>
      </w:r>
      <w:r w:rsidRPr="00BE0268" w:rsidR="00367DA5">
        <w:rPr>
          <w:sz w:val="20"/>
        </w:rPr>
        <w:t xml:space="preserve"> (BLS)</w:t>
      </w:r>
      <w:r w:rsidRPr="00BE0268">
        <w:rPr>
          <w:sz w:val="20"/>
        </w:rPr>
        <w:t xml:space="preserve">, U.S. Department of Labor, Occupational Outlook Handbook, </w:t>
      </w:r>
      <w:r w:rsidR="00592ACD">
        <w:rPr>
          <w:sz w:val="20"/>
        </w:rPr>
        <w:t>Lawyers</w:t>
      </w:r>
      <w:r w:rsidRPr="00BE0268">
        <w:rPr>
          <w:sz w:val="20"/>
        </w:rPr>
        <w:t xml:space="preserve">, on the Internet at </w:t>
      </w:r>
      <w:r w:rsidRPr="00592ACD" w:rsidR="00592ACD">
        <w:rPr>
          <w:sz w:val="20"/>
        </w:rPr>
        <w:t xml:space="preserve">https://www.bls.gov/ooh/legal/lawyers.htm </w:t>
      </w:r>
      <w:r w:rsidRPr="00BE0268">
        <w:rPr>
          <w:sz w:val="20"/>
        </w:rPr>
        <w:t xml:space="preserve">(visited </w:t>
      </w:r>
      <w:r w:rsidRPr="00BE0268" w:rsidR="004A5E19">
        <w:rPr>
          <w:sz w:val="20"/>
        </w:rPr>
        <w:t xml:space="preserve">December </w:t>
      </w:r>
      <w:r w:rsidR="00592ACD">
        <w:rPr>
          <w:sz w:val="20"/>
        </w:rPr>
        <w:t>21</w:t>
      </w:r>
      <w:r w:rsidRPr="00BE0268">
        <w:rPr>
          <w:sz w:val="20"/>
        </w:rPr>
        <w:t>, 202</w:t>
      </w:r>
      <w:r w:rsidR="00592ACD">
        <w:rPr>
          <w:sz w:val="20"/>
        </w:rPr>
        <w:t>1</w:t>
      </w:r>
      <w:r w:rsidRPr="00BE0268">
        <w:rPr>
          <w:sz w:val="20"/>
        </w:rPr>
        <w:t>).</w:t>
      </w:r>
      <w:r w:rsidRPr="00BE0268" w:rsidR="00D03489">
        <w:rPr>
          <w:sz w:val="20"/>
          <w:szCs w:val="20"/>
        </w:rPr>
        <w:t xml:space="preserve"> </w:t>
      </w:r>
      <w:r w:rsidRPr="00BE0268" w:rsidR="004A5E19">
        <w:rPr>
          <w:sz w:val="20"/>
          <w:szCs w:val="20"/>
        </w:rPr>
        <w:t>In 20</w:t>
      </w:r>
      <w:r w:rsidR="00592ACD">
        <w:rPr>
          <w:sz w:val="20"/>
          <w:szCs w:val="20"/>
        </w:rPr>
        <w:t>20</w:t>
      </w:r>
      <w:r w:rsidRPr="00BE0268" w:rsidR="004A5E19">
        <w:rPr>
          <w:sz w:val="20"/>
          <w:szCs w:val="20"/>
        </w:rPr>
        <w:t xml:space="preserve">, the median pay for </w:t>
      </w:r>
      <w:proofErr w:type="spellStart"/>
      <w:r w:rsidR="00592ACD">
        <w:rPr>
          <w:sz w:val="20"/>
          <w:szCs w:val="20"/>
        </w:rPr>
        <w:t>laywers</w:t>
      </w:r>
      <w:proofErr w:type="spellEnd"/>
      <w:r w:rsidR="00592ACD">
        <w:rPr>
          <w:sz w:val="20"/>
          <w:szCs w:val="20"/>
        </w:rPr>
        <w:t xml:space="preserve"> was $61.03</w:t>
      </w:r>
      <w:r w:rsidRPr="00BE0268" w:rsidR="00D03489">
        <w:rPr>
          <w:sz w:val="20"/>
          <w:szCs w:val="20"/>
        </w:rPr>
        <w:t>/hour</w:t>
      </w:r>
      <w:r w:rsidRPr="00BE0268" w:rsidR="004A5E19">
        <w:rPr>
          <w:sz w:val="20"/>
          <w:szCs w:val="20"/>
        </w:rPr>
        <w:t xml:space="preserve">. </w:t>
      </w:r>
      <w:r w:rsidRPr="00BE0268" w:rsidR="00607A70">
        <w:rPr>
          <w:sz w:val="20"/>
          <w:szCs w:val="20"/>
        </w:rPr>
        <w:t xml:space="preserve">To account for the </w:t>
      </w:r>
      <w:proofErr w:type="gramStart"/>
      <w:r w:rsidRPr="00BE0268" w:rsidR="00607A70">
        <w:rPr>
          <w:sz w:val="20"/>
          <w:szCs w:val="20"/>
        </w:rPr>
        <w:t>fully-loaded</w:t>
      </w:r>
      <w:proofErr w:type="gramEnd"/>
      <w:r w:rsidRPr="00BE0268" w:rsidR="00607A70">
        <w:rPr>
          <w:sz w:val="20"/>
          <w:szCs w:val="20"/>
        </w:rPr>
        <w:t xml:space="preserve"> employer cost of employee compensation, the median pay is increased by </w:t>
      </w:r>
      <w:r w:rsidR="00EA649B">
        <w:rPr>
          <w:sz w:val="20"/>
          <w:szCs w:val="20"/>
        </w:rPr>
        <w:t>29.2</w:t>
      </w:r>
      <w:r w:rsidRPr="00BE0268" w:rsidR="00607A70">
        <w:rPr>
          <w:sz w:val="20"/>
          <w:szCs w:val="20"/>
        </w:rPr>
        <w:t>%, resulting in a fully-loaded wage rate of $</w:t>
      </w:r>
      <w:r w:rsidR="00EA649B">
        <w:rPr>
          <w:sz w:val="20"/>
          <w:szCs w:val="20"/>
        </w:rPr>
        <w:t>78.85</w:t>
      </w:r>
      <w:r w:rsidRPr="00BE0268" w:rsidR="00607A70">
        <w:rPr>
          <w:sz w:val="20"/>
          <w:szCs w:val="20"/>
        </w:rPr>
        <w:t xml:space="preserve">. </w:t>
      </w:r>
      <w:r w:rsidRPr="00BE0268" w:rsidR="00367DA5">
        <w:rPr>
          <w:sz w:val="20"/>
          <w:szCs w:val="20"/>
        </w:rPr>
        <w:t>According to BLS’s Employer Cost for Employee Compensation from September 202</w:t>
      </w:r>
      <w:r w:rsidR="00EA649B">
        <w:rPr>
          <w:sz w:val="20"/>
          <w:szCs w:val="20"/>
        </w:rPr>
        <w:t>1</w:t>
      </w:r>
      <w:r w:rsidRPr="00BE0268" w:rsidR="00367DA5">
        <w:rPr>
          <w:sz w:val="20"/>
          <w:szCs w:val="20"/>
        </w:rPr>
        <w:t xml:space="preserve"> (released on December 17, 2020: </w:t>
      </w:r>
      <w:proofErr w:type="gramStart"/>
      <w:r w:rsidRPr="00EA649B" w:rsidR="00EA649B">
        <w:rPr>
          <w:sz w:val="20"/>
          <w:szCs w:val="20"/>
        </w:rPr>
        <w:t xml:space="preserve">https://www.bls.gov/news.release/pdf/ecec.pdf </w:t>
      </w:r>
      <w:r w:rsidRPr="00BE0268" w:rsidR="00367DA5">
        <w:rPr>
          <w:sz w:val="20"/>
          <w:szCs w:val="20"/>
        </w:rPr>
        <w:t>)</w:t>
      </w:r>
      <w:proofErr w:type="gramEnd"/>
      <w:r w:rsidRPr="00BE0268" w:rsidR="00367DA5">
        <w:rPr>
          <w:sz w:val="20"/>
          <w:szCs w:val="20"/>
        </w:rPr>
        <w:t xml:space="preserve">, </w:t>
      </w:r>
      <w:r w:rsidR="00EA649B">
        <w:rPr>
          <w:sz w:val="20"/>
          <w:szCs w:val="20"/>
        </w:rPr>
        <w:t xml:space="preserve">private sector </w:t>
      </w:r>
      <w:r w:rsidRPr="00BE0268" w:rsidR="00367DA5">
        <w:rPr>
          <w:sz w:val="20"/>
          <w:szCs w:val="20"/>
        </w:rPr>
        <w:t>employer</w:t>
      </w:r>
      <w:r w:rsidRPr="00BE0268" w:rsidR="002263FC">
        <w:rPr>
          <w:sz w:val="20"/>
          <w:szCs w:val="20"/>
        </w:rPr>
        <w:t xml:space="preserve">s provided </w:t>
      </w:r>
      <w:r w:rsidR="00EA649B">
        <w:rPr>
          <w:sz w:val="20"/>
          <w:szCs w:val="20"/>
        </w:rPr>
        <w:t>29.2</w:t>
      </w:r>
      <w:r w:rsidRPr="00BE0268" w:rsidR="002263FC">
        <w:rPr>
          <w:sz w:val="20"/>
          <w:szCs w:val="20"/>
        </w:rPr>
        <w:t xml:space="preserve">% of total employee compensation in the form of </w:t>
      </w:r>
      <w:r w:rsidRPr="00BE0268" w:rsidR="00607A70">
        <w:rPr>
          <w:sz w:val="20"/>
          <w:szCs w:val="20"/>
        </w:rPr>
        <w:t xml:space="preserve">non-wage </w:t>
      </w:r>
      <w:r w:rsidRPr="00BE0268" w:rsidR="00367DA5">
        <w:rPr>
          <w:sz w:val="20"/>
          <w:szCs w:val="20"/>
        </w:rPr>
        <w:t>compensation (</w:t>
      </w:r>
      <w:r w:rsidRPr="00BE0268" w:rsidR="004746D2">
        <w:rPr>
          <w:sz w:val="20"/>
          <w:szCs w:val="20"/>
        </w:rPr>
        <w:t xml:space="preserve">i.e., </w:t>
      </w:r>
      <w:r w:rsidRPr="00BE0268" w:rsidR="002263FC">
        <w:rPr>
          <w:sz w:val="20"/>
          <w:szCs w:val="20"/>
        </w:rPr>
        <w:t>benef</w:t>
      </w:r>
      <w:r w:rsidRPr="00BE0268" w:rsidR="004746D2">
        <w:rPr>
          <w:sz w:val="20"/>
          <w:szCs w:val="20"/>
        </w:rPr>
        <w:t>its</w:t>
      </w:r>
      <w:r w:rsidRPr="00BE0268" w:rsidR="002263FC">
        <w:rPr>
          <w:sz w:val="20"/>
          <w:szCs w:val="20"/>
        </w:rPr>
        <w:t xml:space="preserve"> such as paid leave, health insurance, etc.</w:t>
      </w:r>
      <w:r w:rsidRPr="00BE0268" w:rsidR="00367DA5">
        <w:rPr>
          <w:sz w:val="20"/>
          <w:szCs w:val="20"/>
        </w:rPr>
        <w:t xml:space="preserve">). </w:t>
      </w:r>
    </w:p>
    <w:bookmarkEnd w:id="6"/>
    <w:p w:rsidR="00AC0BA0" w:rsidP="001D7E4B" w:rsidRDefault="00AC0BA0" w14:paraId="2695EE54" w14:textId="77777777">
      <w:pPr>
        <w:rPr>
          <w:sz w:val="20"/>
          <w:szCs w:val="20"/>
        </w:rPr>
      </w:pPr>
    </w:p>
    <w:p w:rsidR="00FD768C" w:rsidP="001D7E4B" w:rsidRDefault="00FD768C" w14:paraId="77C03921" w14:textId="77777777">
      <w:pPr>
        <w:rPr>
          <w:sz w:val="20"/>
          <w:szCs w:val="20"/>
        </w:rPr>
      </w:pPr>
      <w:bookmarkStart w:name="_Hlk91059991" w:id="7"/>
    </w:p>
    <w:p w:rsidRPr="00FD768C" w:rsidR="00FB7F1C" w:rsidP="00FD768C" w:rsidRDefault="00961823" w14:paraId="2512A8C8" w14:textId="5D41EC9F">
      <w:pPr>
        <w:numPr>
          <w:ilvl w:val="0"/>
          <w:numId w:val="12"/>
        </w:numPr>
        <w:tabs>
          <w:tab w:val="clear" w:pos="720"/>
        </w:tabs>
        <w:ind w:left="360"/>
        <w:rPr>
          <w:u w:val="single"/>
        </w:rPr>
      </w:pPr>
      <w:r w:rsidRPr="00BE0268">
        <w:rPr>
          <w:u w:val="single"/>
        </w:rPr>
        <w:t>Estimated total annual cost burden to respondents</w:t>
      </w:r>
    </w:p>
    <w:p w:rsidRPr="00BE0268" w:rsidR="00403DA0" w:rsidP="00CB003A" w:rsidRDefault="00403DA0" w14:paraId="57E1D55D" w14:textId="77777777"/>
    <w:p w:rsidR="00AE6FD9" w:rsidP="00AE6FD9" w:rsidRDefault="00AE6FD9" w14:paraId="10C91C12" w14:textId="580C6CA0">
      <w:r w:rsidRPr="00AE6FD9">
        <w:t>No purchase of equipment or services will need to be made by respondents for this information collection other than as required as a part of customary and usual business practices.</w:t>
      </w:r>
    </w:p>
    <w:bookmarkEnd w:id="7"/>
    <w:p w:rsidRPr="00AE6FD9" w:rsidR="00AE6FD9" w:rsidP="00AE6FD9" w:rsidRDefault="00AE6FD9" w14:paraId="1F0A527C" w14:textId="77777777"/>
    <w:p w:rsidRPr="00FD768C" w:rsidR="00961823" w:rsidP="00FD768C" w:rsidRDefault="00961823" w14:paraId="6909D241" w14:textId="2F6CBCC2">
      <w:pPr>
        <w:numPr>
          <w:ilvl w:val="0"/>
          <w:numId w:val="12"/>
        </w:numPr>
        <w:tabs>
          <w:tab w:val="clear" w:pos="720"/>
        </w:tabs>
        <w:ind w:left="360"/>
        <w:rPr>
          <w:u w:val="single"/>
        </w:rPr>
      </w:pPr>
      <w:r w:rsidRPr="00BE0268">
        <w:rPr>
          <w:u w:val="single"/>
        </w:rPr>
        <w:t>Estimated cost to the federal government</w:t>
      </w:r>
      <w:r w:rsidRPr="00FD768C">
        <w:rPr>
          <w:u w:val="single"/>
        </w:rPr>
        <w:t>.</w:t>
      </w:r>
    </w:p>
    <w:p w:rsidRPr="00BE0268" w:rsidR="00961823" w:rsidP="00AE6FD9" w:rsidRDefault="00961823" w14:paraId="38D3F3A9" w14:textId="77777777"/>
    <w:p w:rsidRPr="00BE0268" w:rsidR="00961823" w:rsidP="00CB003A" w:rsidRDefault="008C332E" w14:paraId="36377163" w14:textId="321407B6">
      <w:r w:rsidRPr="00BE0268">
        <w:t xml:space="preserve">Federal costs </w:t>
      </w:r>
      <w:r w:rsidR="004A47FF">
        <w:t>are estimated to be $</w:t>
      </w:r>
      <w:r w:rsidR="00192740">
        <w:t>3,500 based on 10-15 minutes of review per returned letter agreement</w:t>
      </w:r>
      <w:r w:rsidRPr="00BE0268">
        <w:t>.</w:t>
      </w:r>
    </w:p>
    <w:p w:rsidRPr="00BE0268" w:rsidR="00E13A9C" w:rsidP="00CB003A" w:rsidRDefault="00E13A9C" w14:paraId="0805B863" w14:textId="77777777"/>
    <w:p w:rsidRPr="00BE0268" w:rsidR="00961823" w:rsidP="00FD768C" w:rsidRDefault="00961823" w14:paraId="5E7F6423" w14:textId="28A0EC1F">
      <w:pPr>
        <w:numPr>
          <w:ilvl w:val="0"/>
          <w:numId w:val="12"/>
        </w:numPr>
        <w:tabs>
          <w:tab w:val="clear" w:pos="720"/>
        </w:tabs>
        <w:ind w:left="360"/>
      </w:pPr>
      <w:bookmarkStart w:name="_Hlk73535513" w:id="8"/>
      <w:r w:rsidRPr="00BE0268">
        <w:rPr>
          <w:u w:val="single"/>
        </w:rPr>
        <w:t>Reasons for change in burden</w:t>
      </w:r>
      <w:bookmarkEnd w:id="8"/>
    </w:p>
    <w:p w:rsidRPr="00BE0268" w:rsidR="00961823" w:rsidP="00666B6D" w:rsidRDefault="00961823" w14:paraId="58317911" w14:textId="77777777">
      <w:pPr>
        <w:keepNext/>
      </w:pPr>
    </w:p>
    <w:p w:rsidRPr="00BE0268" w:rsidR="00403DA0" w:rsidP="00CB003A" w:rsidRDefault="00D851F7" w14:paraId="7CFE5FA8" w14:textId="288CCEAD">
      <w:r w:rsidRPr="00BE0268">
        <w:t xml:space="preserve">This collection of information </w:t>
      </w:r>
      <w:r w:rsidR="00291BC3">
        <w:t>reflects a</w:t>
      </w:r>
      <w:r w:rsidR="00812CDB">
        <w:t xml:space="preserve">n increase of </w:t>
      </w:r>
      <w:r w:rsidR="00192740">
        <w:t>1,488</w:t>
      </w:r>
      <w:r w:rsidR="004A47FF">
        <w:t xml:space="preserve"> b</w:t>
      </w:r>
      <w:r w:rsidR="00291BC3">
        <w:t>urden</w:t>
      </w:r>
      <w:r w:rsidR="00812CDB">
        <w:t xml:space="preserve"> hours</w:t>
      </w:r>
      <w:r w:rsidR="008352B8">
        <w:t xml:space="preserve"> due to the addition of the letter agreements.</w:t>
      </w:r>
      <w:r w:rsidR="00AE4386">
        <w:t xml:space="preserve"> </w:t>
      </w:r>
    </w:p>
    <w:p w:rsidRPr="00BE0268" w:rsidR="00E13A9C" w:rsidP="00CB003A" w:rsidRDefault="00E13A9C" w14:paraId="45A8B21B" w14:textId="77777777"/>
    <w:p w:rsidRPr="00FD768C" w:rsidR="00961823" w:rsidP="00FD768C" w:rsidRDefault="00961823" w14:paraId="73C59C3C" w14:textId="65ADF545">
      <w:pPr>
        <w:numPr>
          <w:ilvl w:val="0"/>
          <w:numId w:val="12"/>
        </w:numPr>
        <w:tabs>
          <w:tab w:val="clear" w:pos="720"/>
        </w:tabs>
        <w:ind w:left="360"/>
        <w:rPr>
          <w:u w:val="single"/>
        </w:rPr>
      </w:pPr>
      <w:r w:rsidRPr="00BE0268">
        <w:rPr>
          <w:u w:val="single"/>
        </w:rPr>
        <w:t xml:space="preserve">Plans for tabulation, statistical </w:t>
      </w:r>
      <w:r w:rsidRPr="00BE0268" w:rsidR="00AC0BA0">
        <w:rPr>
          <w:u w:val="single"/>
        </w:rPr>
        <w:t>analysis,</w:t>
      </w:r>
      <w:r w:rsidRPr="00BE0268" w:rsidR="00A2596F">
        <w:rPr>
          <w:u w:val="single"/>
        </w:rPr>
        <w:t xml:space="preserve"> and publication</w:t>
      </w:r>
    </w:p>
    <w:p w:rsidRPr="00BE0268" w:rsidR="00A2596F" w:rsidP="00CB003A" w:rsidRDefault="00A2596F" w14:paraId="7F078F3F" w14:textId="77777777"/>
    <w:p w:rsidRPr="00BE0268" w:rsidR="006F68C4" w:rsidP="00FD768C" w:rsidRDefault="00257E8B" w14:paraId="600F61FD" w14:textId="47CD23AF">
      <w:pPr>
        <w:spacing w:line="276" w:lineRule="auto"/>
      </w:pPr>
      <w:r w:rsidRPr="00BE0268">
        <w:rPr>
          <w:rFonts w:eastAsia="Calibri"/>
        </w:rPr>
        <w:t>Confidential or proprietary information collected through this information collection will not be published</w:t>
      </w:r>
      <w:r w:rsidRPr="00BE0268">
        <w:t>.</w:t>
      </w:r>
    </w:p>
    <w:p w:rsidRPr="00BE0268" w:rsidR="0028091A" w:rsidP="00060833" w:rsidRDefault="0028091A" w14:paraId="492F1BB9" w14:textId="77777777"/>
    <w:p w:rsidRPr="00FD768C" w:rsidR="00060833" w:rsidP="00FD768C" w:rsidRDefault="00060833" w14:paraId="2F4768DE" w14:textId="51507B87">
      <w:pPr>
        <w:numPr>
          <w:ilvl w:val="0"/>
          <w:numId w:val="12"/>
        </w:numPr>
        <w:tabs>
          <w:tab w:val="clear" w:pos="720"/>
        </w:tabs>
        <w:ind w:left="360"/>
        <w:rPr>
          <w:u w:val="single"/>
        </w:rPr>
      </w:pPr>
      <w:r w:rsidRPr="00BE0268">
        <w:rPr>
          <w:u w:val="single"/>
        </w:rPr>
        <w:t>Display of the expiration date for OMB approval</w:t>
      </w:r>
    </w:p>
    <w:p w:rsidRPr="00BE0268" w:rsidR="00060833" w:rsidP="00060833" w:rsidRDefault="00060833" w14:paraId="618ECC43" w14:textId="77777777"/>
    <w:p w:rsidR="00060833" w:rsidP="009E2FFF" w:rsidRDefault="00060833" w14:paraId="1330084A" w14:textId="60E4C755">
      <w:r w:rsidRPr="00BE0268">
        <w:t>Treasury plans to display the expiration date for OMB approval of the information collection on all instruments.</w:t>
      </w:r>
    </w:p>
    <w:p w:rsidRPr="00BE0268" w:rsidR="00FD768C" w:rsidP="009E2FFF" w:rsidRDefault="00FD768C" w14:paraId="2AEED10D" w14:textId="77777777"/>
    <w:p w:rsidRPr="00FD768C" w:rsidR="004B7407" w:rsidP="00FD768C" w:rsidRDefault="004B7407" w14:paraId="34BABD13" w14:textId="29EC31B5">
      <w:pPr>
        <w:numPr>
          <w:ilvl w:val="0"/>
          <w:numId w:val="12"/>
        </w:numPr>
        <w:tabs>
          <w:tab w:val="clear" w:pos="720"/>
        </w:tabs>
        <w:ind w:left="360"/>
        <w:rPr>
          <w:u w:val="single"/>
        </w:rPr>
      </w:pPr>
      <w:r w:rsidRPr="00BE0268">
        <w:rPr>
          <w:u w:val="single"/>
        </w:rPr>
        <w:t xml:space="preserve">Exceptions to </w:t>
      </w:r>
      <w:r w:rsidRPr="00BE0268" w:rsidR="003A5C25">
        <w:rPr>
          <w:u w:val="single"/>
        </w:rPr>
        <w:t xml:space="preserve">submission </w:t>
      </w:r>
      <w:r w:rsidRPr="00BE0268">
        <w:rPr>
          <w:u w:val="single"/>
        </w:rPr>
        <w:t>requirement</w:t>
      </w:r>
      <w:r w:rsidRPr="00BE0268" w:rsidR="003A5C25">
        <w:rPr>
          <w:u w:val="single"/>
        </w:rPr>
        <w:t>s</w:t>
      </w:r>
    </w:p>
    <w:p w:rsidRPr="00FD768C" w:rsidR="004B7407" w:rsidP="00FD768C" w:rsidRDefault="004B7407" w14:paraId="7AF45299" w14:textId="77777777">
      <w:pPr>
        <w:rPr>
          <w:u w:val="single"/>
        </w:rPr>
      </w:pPr>
    </w:p>
    <w:p w:rsidR="00E03689" w:rsidP="00A90BAB" w:rsidRDefault="008D0548" w14:paraId="17DB3D94" w14:textId="36A45A97">
      <w:r w:rsidRPr="00BE0268">
        <w:t>T</w:t>
      </w:r>
      <w:r w:rsidRPr="00BE0268" w:rsidR="000E1F44">
        <w:t xml:space="preserve">here are no exceptions to the </w:t>
      </w:r>
      <w:r w:rsidRPr="00BE0268" w:rsidR="003A5C25">
        <w:t>submission requirements</w:t>
      </w:r>
      <w:r w:rsidRPr="00BE0268" w:rsidR="000E1F44">
        <w:t>.</w:t>
      </w:r>
    </w:p>
    <w:p w:rsidRPr="00BE0268" w:rsidR="00FD768C" w:rsidP="00A90BAB" w:rsidRDefault="00FD768C" w14:paraId="164BFE7B" w14:textId="77777777"/>
    <w:p w:rsidRPr="00FD768C" w:rsidR="00717738" w:rsidP="00717738" w:rsidRDefault="00717738" w14:paraId="50D603CC" w14:textId="01540660">
      <w:pPr>
        <w:rPr>
          <w:b/>
        </w:rPr>
      </w:pPr>
      <w:r w:rsidRPr="00FD768C">
        <w:rPr>
          <w:b/>
        </w:rPr>
        <w:t>Part B.  Describe the use of statistical methods such as sampling or imputation</w:t>
      </w:r>
    </w:p>
    <w:p w:rsidRPr="00BE0268" w:rsidR="00717738" w:rsidP="00717738" w:rsidRDefault="00717738" w14:paraId="3D5C8951" w14:textId="77777777">
      <w:pPr>
        <w:rPr>
          <w:u w:val="single"/>
        </w:rPr>
      </w:pPr>
    </w:p>
    <w:p w:rsidRPr="008268EE" w:rsidR="007C7314" w:rsidP="00A90BAB" w:rsidRDefault="00717738" w14:paraId="220CCAF5" w14:textId="77777777">
      <w:pPr>
        <w:rPr>
          <w:b/>
        </w:rPr>
      </w:pPr>
      <w:r w:rsidRPr="00BE0268">
        <w:t>This collection does not employ statistical methods.</w:t>
      </w:r>
    </w:p>
    <w:sectPr w:rsidRPr="008268EE" w:rsidR="007C7314" w:rsidSect="00065C60">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9531B" w14:textId="77777777" w:rsidR="002F5445" w:rsidRDefault="002F5445">
      <w:r>
        <w:separator/>
      </w:r>
    </w:p>
  </w:endnote>
  <w:endnote w:type="continuationSeparator" w:id="0">
    <w:p w14:paraId="2CF6650E" w14:textId="77777777" w:rsidR="002F5445" w:rsidRDefault="002F5445">
      <w:r>
        <w:continuationSeparator/>
      </w:r>
    </w:p>
  </w:endnote>
  <w:endnote w:type="continuationNotice" w:id="1">
    <w:p w14:paraId="3620C8D6" w14:textId="77777777" w:rsidR="002F5445" w:rsidRDefault="002F5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6E46FD88"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E8B">
      <w:rPr>
        <w:rStyle w:val="PageNumber"/>
        <w:noProof/>
      </w:rPr>
      <w:t>4</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1740E" w14:textId="77777777" w:rsidR="002F5445" w:rsidRDefault="002F5445">
      <w:r>
        <w:separator/>
      </w:r>
    </w:p>
  </w:footnote>
  <w:footnote w:type="continuationSeparator" w:id="0">
    <w:p w14:paraId="3E77E800" w14:textId="77777777" w:rsidR="002F5445" w:rsidRDefault="002F5445">
      <w:r>
        <w:continuationSeparator/>
      </w:r>
    </w:p>
  </w:footnote>
  <w:footnote w:type="continuationNotice" w:id="1">
    <w:p w14:paraId="02B7388E" w14:textId="77777777" w:rsidR="002F5445" w:rsidRDefault="002F5445"/>
  </w:footnote>
  <w:footnote w:id="2">
    <w:p w14:paraId="01BCA8FB" w14:textId="68E30A84" w:rsidR="00BD2468" w:rsidRDefault="00BD2468">
      <w:pPr>
        <w:pStyle w:val="FootnoteText"/>
      </w:pPr>
      <w:r>
        <w:rPr>
          <w:rStyle w:val="FootnoteReference"/>
        </w:rPr>
        <w:footnoteRef/>
      </w:r>
      <w:r>
        <w:t xml:space="preserve"> Treasury will </w:t>
      </w:r>
      <w:r w:rsidR="003224BD">
        <w:t>use</w:t>
      </w:r>
      <w:r>
        <w:t xml:space="preserve"> three different letter agreements.  These documents are customized for the following: (1) institutions able to issue senior preferred stock; (2) </w:t>
      </w:r>
      <w:proofErr w:type="spellStart"/>
      <w:r>
        <w:t>Mutuals</w:t>
      </w:r>
      <w:proofErr w:type="spellEnd"/>
      <w:r>
        <w:t xml:space="preserve"> and Subchapter S corporations issuing subordinated </w:t>
      </w:r>
      <w:r w:rsidR="006E6FF3">
        <w:t>debt</w:t>
      </w:r>
      <w:r>
        <w:t xml:space="preserve">; and (3) </w:t>
      </w:r>
      <w:r w:rsidR="003224BD">
        <w:t>credit unions.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2F6B59"/>
    <w:multiLevelType w:val="hybridMultilevel"/>
    <w:tmpl w:val="2BFE2946"/>
    <w:lvl w:ilvl="0" w:tplc="C7E65A54">
      <w:start w:val="1"/>
      <w:numFmt w:val="bullet"/>
      <w:lvlText w:val=""/>
      <w:lvlJc w:val="left"/>
      <w:pPr>
        <w:ind w:left="720" w:hanging="360"/>
      </w:pPr>
      <w:rPr>
        <w:rFonts w:ascii="Symbol" w:hAnsi="Symbol"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3813EBD"/>
    <w:multiLevelType w:val="hybridMultilevel"/>
    <w:tmpl w:val="31A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23"/>
  </w:num>
  <w:num w:numId="3">
    <w:abstractNumId w:val="27"/>
  </w:num>
  <w:num w:numId="4">
    <w:abstractNumId w:val="11"/>
  </w:num>
  <w:num w:numId="5">
    <w:abstractNumId w:val="26"/>
  </w:num>
  <w:num w:numId="6">
    <w:abstractNumId w:val="10"/>
  </w:num>
  <w:num w:numId="7">
    <w:abstractNumId w:val="3"/>
  </w:num>
  <w:num w:numId="8">
    <w:abstractNumId w:val="16"/>
  </w:num>
  <w:num w:numId="9">
    <w:abstractNumId w:val="15"/>
  </w:num>
  <w:num w:numId="10">
    <w:abstractNumId w:val="20"/>
  </w:num>
  <w:num w:numId="11">
    <w:abstractNumId w:val="7"/>
  </w:num>
  <w:num w:numId="12">
    <w:abstractNumId w:val="12"/>
  </w:num>
  <w:num w:numId="13">
    <w:abstractNumId w:val="18"/>
  </w:num>
  <w:num w:numId="14">
    <w:abstractNumId w:val="24"/>
  </w:num>
  <w:num w:numId="15">
    <w:abstractNumId w:val="1"/>
  </w:num>
  <w:num w:numId="16">
    <w:abstractNumId w:val="13"/>
  </w:num>
  <w:num w:numId="17">
    <w:abstractNumId w:val="25"/>
  </w:num>
  <w:num w:numId="18">
    <w:abstractNumId w:val="9"/>
  </w:num>
  <w:num w:numId="19">
    <w:abstractNumId w:val="19"/>
  </w:num>
  <w:num w:numId="20">
    <w:abstractNumId w:val="5"/>
  </w:num>
  <w:num w:numId="21">
    <w:abstractNumId w:val="2"/>
  </w:num>
  <w:num w:numId="22">
    <w:abstractNumId w:val="21"/>
  </w:num>
  <w:num w:numId="23">
    <w:abstractNumId w:val="22"/>
  </w:num>
  <w:num w:numId="24">
    <w:abstractNumId w:val="14"/>
  </w:num>
  <w:num w:numId="25">
    <w:abstractNumId w:val="17"/>
  </w:num>
  <w:num w:numId="26">
    <w:abstractNumId w:val="6"/>
  </w:num>
  <w:num w:numId="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2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801"/>
    <w:rsid w:val="000141C3"/>
    <w:rsid w:val="00014C0A"/>
    <w:rsid w:val="0001560A"/>
    <w:rsid w:val="00015A7E"/>
    <w:rsid w:val="00017845"/>
    <w:rsid w:val="000204E2"/>
    <w:rsid w:val="00021D40"/>
    <w:rsid w:val="00022F56"/>
    <w:rsid w:val="00027641"/>
    <w:rsid w:val="00032DA3"/>
    <w:rsid w:val="000337BE"/>
    <w:rsid w:val="00034778"/>
    <w:rsid w:val="000372AD"/>
    <w:rsid w:val="00037424"/>
    <w:rsid w:val="0004048C"/>
    <w:rsid w:val="00040666"/>
    <w:rsid w:val="00046B27"/>
    <w:rsid w:val="000501CB"/>
    <w:rsid w:val="000505FB"/>
    <w:rsid w:val="00051468"/>
    <w:rsid w:val="000514DB"/>
    <w:rsid w:val="00053EBD"/>
    <w:rsid w:val="0005651A"/>
    <w:rsid w:val="000565BD"/>
    <w:rsid w:val="00060833"/>
    <w:rsid w:val="00061928"/>
    <w:rsid w:val="00062774"/>
    <w:rsid w:val="00062B59"/>
    <w:rsid w:val="00065C60"/>
    <w:rsid w:val="000703E5"/>
    <w:rsid w:val="00073704"/>
    <w:rsid w:val="000762A9"/>
    <w:rsid w:val="000817D0"/>
    <w:rsid w:val="00083DB1"/>
    <w:rsid w:val="00087D91"/>
    <w:rsid w:val="00090033"/>
    <w:rsid w:val="00093B1D"/>
    <w:rsid w:val="00094CA2"/>
    <w:rsid w:val="0009709C"/>
    <w:rsid w:val="000A570C"/>
    <w:rsid w:val="000A5E4B"/>
    <w:rsid w:val="000B0264"/>
    <w:rsid w:val="000B7AAF"/>
    <w:rsid w:val="000C0934"/>
    <w:rsid w:val="000C1553"/>
    <w:rsid w:val="000C1B38"/>
    <w:rsid w:val="000C3C83"/>
    <w:rsid w:val="000C6274"/>
    <w:rsid w:val="000C6F26"/>
    <w:rsid w:val="000C7031"/>
    <w:rsid w:val="000E07A3"/>
    <w:rsid w:val="000E1D60"/>
    <w:rsid w:val="000E1F44"/>
    <w:rsid w:val="000E24F5"/>
    <w:rsid w:val="000E2B9D"/>
    <w:rsid w:val="000E72A0"/>
    <w:rsid w:val="000F2AE6"/>
    <w:rsid w:val="000F53C2"/>
    <w:rsid w:val="000F57E7"/>
    <w:rsid w:val="000F5B03"/>
    <w:rsid w:val="000F70A5"/>
    <w:rsid w:val="001022FC"/>
    <w:rsid w:val="001027AB"/>
    <w:rsid w:val="00105264"/>
    <w:rsid w:val="00105553"/>
    <w:rsid w:val="00105E4C"/>
    <w:rsid w:val="001065D8"/>
    <w:rsid w:val="00106A18"/>
    <w:rsid w:val="00110D39"/>
    <w:rsid w:val="001110E6"/>
    <w:rsid w:val="00112D71"/>
    <w:rsid w:val="001139DB"/>
    <w:rsid w:val="00113C21"/>
    <w:rsid w:val="00114490"/>
    <w:rsid w:val="00122583"/>
    <w:rsid w:val="00127B26"/>
    <w:rsid w:val="00131708"/>
    <w:rsid w:val="00132EAC"/>
    <w:rsid w:val="001374B1"/>
    <w:rsid w:val="0013796F"/>
    <w:rsid w:val="00137EC6"/>
    <w:rsid w:val="00142C90"/>
    <w:rsid w:val="001438EE"/>
    <w:rsid w:val="00146233"/>
    <w:rsid w:val="00146E55"/>
    <w:rsid w:val="00147A26"/>
    <w:rsid w:val="00155215"/>
    <w:rsid w:val="00156E23"/>
    <w:rsid w:val="0015784C"/>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214B"/>
    <w:rsid w:val="0018375D"/>
    <w:rsid w:val="00186409"/>
    <w:rsid w:val="00187672"/>
    <w:rsid w:val="00192740"/>
    <w:rsid w:val="001945CA"/>
    <w:rsid w:val="00194C78"/>
    <w:rsid w:val="0019789D"/>
    <w:rsid w:val="001A1092"/>
    <w:rsid w:val="001A1B5B"/>
    <w:rsid w:val="001A64D4"/>
    <w:rsid w:val="001A71B7"/>
    <w:rsid w:val="001A7272"/>
    <w:rsid w:val="001B591E"/>
    <w:rsid w:val="001B624D"/>
    <w:rsid w:val="001B649D"/>
    <w:rsid w:val="001C229E"/>
    <w:rsid w:val="001C2CBC"/>
    <w:rsid w:val="001D4D0C"/>
    <w:rsid w:val="001D57A5"/>
    <w:rsid w:val="001D5ADF"/>
    <w:rsid w:val="001D5AF4"/>
    <w:rsid w:val="001D7E4B"/>
    <w:rsid w:val="001E0C02"/>
    <w:rsid w:val="001E0D39"/>
    <w:rsid w:val="001E4205"/>
    <w:rsid w:val="001E4BCF"/>
    <w:rsid w:val="001E5F7B"/>
    <w:rsid w:val="001F31FB"/>
    <w:rsid w:val="001F500A"/>
    <w:rsid w:val="00210608"/>
    <w:rsid w:val="00213ABF"/>
    <w:rsid w:val="00220902"/>
    <w:rsid w:val="00220BB5"/>
    <w:rsid w:val="0022132A"/>
    <w:rsid w:val="0022138F"/>
    <w:rsid w:val="002233DA"/>
    <w:rsid w:val="00225E39"/>
    <w:rsid w:val="002263FC"/>
    <w:rsid w:val="002312D9"/>
    <w:rsid w:val="00236471"/>
    <w:rsid w:val="002371D2"/>
    <w:rsid w:val="00237FAA"/>
    <w:rsid w:val="0024000F"/>
    <w:rsid w:val="00242CFB"/>
    <w:rsid w:val="0024602D"/>
    <w:rsid w:val="002465AC"/>
    <w:rsid w:val="00247B5F"/>
    <w:rsid w:val="00250B5A"/>
    <w:rsid w:val="00252599"/>
    <w:rsid w:val="002551F6"/>
    <w:rsid w:val="00255285"/>
    <w:rsid w:val="0025604D"/>
    <w:rsid w:val="002561B1"/>
    <w:rsid w:val="00256911"/>
    <w:rsid w:val="00257E8B"/>
    <w:rsid w:val="00260CEB"/>
    <w:rsid w:val="0026512B"/>
    <w:rsid w:val="00270CF4"/>
    <w:rsid w:val="00271992"/>
    <w:rsid w:val="0027208B"/>
    <w:rsid w:val="00275D84"/>
    <w:rsid w:val="00276E84"/>
    <w:rsid w:val="00277F1D"/>
    <w:rsid w:val="0028091A"/>
    <w:rsid w:val="00281475"/>
    <w:rsid w:val="0028392B"/>
    <w:rsid w:val="0028499E"/>
    <w:rsid w:val="0028685C"/>
    <w:rsid w:val="002902D5"/>
    <w:rsid w:val="00291BC3"/>
    <w:rsid w:val="002920BD"/>
    <w:rsid w:val="0029275B"/>
    <w:rsid w:val="00293974"/>
    <w:rsid w:val="00297261"/>
    <w:rsid w:val="002A1E1D"/>
    <w:rsid w:val="002B26FA"/>
    <w:rsid w:val="002B2EBC"/>
    <w:rsid w:val="002B6FA7"/>
    <w:rsid w:val="002C1CB0"/>
    <w:rsid w:val="002C2A5D"/>
    <w:rsid w:val="002C3FA6"/>
    <w:rsid w:val="002D268B"/>
    <w:rsid w:val="002D5249"/>
    <w:rsid w:val="002E4398"/>
    <w:rsid w:val="002E4C25"/>
    <w:rsid w:val="002F2729"/>
    <w:rsid w:val="002F4085"/>
    <w:rsid w:val="002F47CC"/>
    <w:rsid w:val="002F5445"/>
    <w:rsid w:val="00302265"/>
    <w:rsid w:val="00304673"/>
    <w:rsid w:val="0030728D"/>
    <w:rsid w:val="003125A6"/>
    <w:rsid w:val="00313BE0"/>
    <w:rsid w:val="00314168"/>
    <w:rsid w:val="003224BD"/>
    <w:rsid w:val="003265D6"/>
    <w:rsid w:val="00330E47"/>
    <w:rsid w:val="00332312"/>
    <w:rsid w:val="00337AC1"/>
    <w:rsid w:val="00337E18"/>
    <w:rsid w:val="00341CAF"/>
    <w:rsid w:val="003506E7"/>
    <w:rsid w:val="0035119A"/>
    <w:rsid w:val="003522BE"/>
    <w:rsid w:val="00364995"/>
    <w:rsid w:val="00365005"/>
    <w:rsid w:val="00367BBF"/>
    <w:rsid w:val="00367DA5"/>
    <w:rsid w:val="00370853"/>
    <w:rsid w:val="00380639"/>
    <w:rsid w:val="00384175"/>
    <w:rsid w:val="00384D4D"/>
    <w:rsid w:val="00390A50"/>
    <w:rsid w:val="003915D3"/>
    <w:rsid w:val="0039349E"/>
    <w:rsid w:val="00394A61"/>
    <w:rsid w:val="003A0E21"/>
    <w:rsid w:val="003A37CA"/>
    <w:rsid w:val="003A52C5"/>
    <w:rsid w:val="003A5668"/>
    <w:rsid w:val="003A59D2"/>
    <w:rsid w:val="003A5C25"/>
    <w:rsid w:val="003B6624"/>
    <w:rsid w:val="003B7343"/>
    <w:rsid w:val="003B792F"/>
    <w:rsid w:val="003C068B"/>
    <w:rsid w:val="003C1272"/>
    <w:rsid w:val="003C1AB8"/>
    <w:rsid w:val="003C5B6F"/>
    <w:rsid w:val="003D3E32"/>
    <w:rsid w:val="003E53BD"/>
    <w:rsid w:val="003E57D1"/>
    <w:rsid w:val="003E59BE"/>
    <w:rsid w:val="003E5AE4"/>
    <w:rsid w:val="003E63D4"/>
    <w:rsid w:val="003F129E"/>
    <w:rsid w:val="003F1F95"/>
    <w:rsid w:val="003F3118"/>
    <w:rsid w:val="003F59C0"/>
    <w:rsid w:val="003F7AD4"/>
    <w:rsid w:val="004011B5"/>
    <w:rsid w:val="0040260B"/>
    <w:rsid w:val="00403DA0"/>
    <w:rsid w:val="00404BAE"/>
    <w:rsid w:val="004063EA"/>
    <w:rsid w:val="00406C35"/>
    <w:rsid w:val="00406DAA"/>
    <w:rsid w:val="004077B3"/>
    <w:rsid w:val="00410EB1"/>
    <w:rsid w:val="00414913"/>
    <w:rsid w:val="004155C0"/>
    <w:rsid w:val="0041645E"/>
    <w:rsid w:val="004267CE"/>
    <w:rsid w:val="00426F5A"/>
    <w:rsid w:val="004356D3"/>
    <w:rsid w:val="00435FFC"/>
    <w:rsid w:val="00436D07"/>
    <w:rsid w:val="00437EDC"/>
    <w:rsid w:val="00443D4F"/>
    <w:rsid w:val="0044510E"/>
    <w:rsid w:val="004516C0"/>
    <w:rsid w:val="00451786"/>
    <w:rsid w:val="004545E1"/>
    <w:rsid w:val="00460B20"/>
    <w:rsid w:val="00462AB0"/>
    <w:rsid w:val="00464E08"/>
    <w:rsid w:val="00465D64"/>
    <w:rsid w:val="00474021"/>
    <w:rsid w:val="004746D2"/>
    <w:rsid w:val="0047526A"/>
    <w:rsid w:val="00475731"/>
    <w:rsid w:val="00477EA1"/>
    <w:rsid w:val="0048035C"/>
    <w:rsid w:val="0048426A"/>
    <w:rsid w:val="004914E4"/>
    <w:rsid w:val="00495742"/>
    <w:rsid w:val="004A3EC2"/>
    <w:rsid w:val="004A47F1"/>
    <w:rsid w:val="004A47FF"/>
    <w:rsid w:val="004A5E19"/>
    <w:rsid w:val="004A7CC6"/>
    <w:rsid w:val="004B06B5"/>
    <w:rsid w:val="004B0AEF"/>
    <w:rsid w:val="004B0E13"/>
    <w:rsid w:val="004B1400"/>
    <w:rsid w:val="004B21AA"/>
    <w:rsid w:val="004B32A0"/>
    <w:rsid w:val="004B59B5"/>
    <w:rsid w:val="004B7407"/>
    <w:rsid w:val="004B7F29"/>
    <w:rsid w:val="004C1D5E"/>
    <w:rsid w:val="004C3A16"/>
    <w:rsid w:val="004C5D61"/>
    <w:rsid w:val="004D0DB9"/>
    <w:rsid w:val="004D4E71"/>
    <w:rsid w:val="004E3665"/>
    <w:rsid w:val="004E60BD"/>
    <w:rsid w:val="004E6996"/>
    <w:rsid w:val="004F09CA"/>
    <w:rsid w:val="004F4225"/>
    <w:rsid w:val="004F5145"/>
    <w:rsid w:val="004F6BB6"/>
    <w:rsid w:val="004F79CC"/>
    <w:rsid w:val="00501492"/>
    <w:rsid w:val="0050578F"/>
    <w:rsid w:val="00512B62"/>
    <w:rsid w:val="005214DD"/>
    <w:rsid w:val="005215C7"/>
    <w:rsid w:val="00522656"/>
    <w:rsid w:val="00522FBE"/>
    <w:rsid w:val="00524865"/>
    <w:rsid w:val="0052662E"/>
    <w:rsid w:val="005306F0"/>
    <w:rsid w:val="005342BD"/>
    <w:rsid w:val="00534EA9"/>
    <w:rsid w:val="00535AD0"/>
    <w:rsid w:val="005366FC"/>
    <w:rsid w:val="00536F95"/>
    <w:rsid w:val="0054191E"/>
    <w:rsid w:val="00544200"/>
    <w:rsid w:val="0054549F"/>
    <w:rsid w:val="00546D11"/>
    <w:rsid w:val="00552C62"/>
    <w:rsid w:val="00555717"/>
    <w:rsid w:val="00555E2A"/>
    <w:rsid w:val="00560426"/>
    <w:rsid w:val="00561B6F"/>
    <w:rsid w:val="00562F49"/>
    <w:rsid w:val="00565E3C"/>
    <w:rsid w:val="005678EC"/>
    <w:rsid w:val="00572D2C"/>
    <w:rsid w:val="005744E4"/>
    <w:rsid w:val="00575270"/>
    <w:rsid w:val="0057582F"/>
    <w:rsid w:val="00577B83"/>
    <w:rsid w:val="005811B2"/>
    <w:rsid w:val="0058176C"/>
    <w:rsid w:val="0058262E"/>
    <w:rsid w:val="0058297E"/>
    <w:rsid w:val="00585020"/>
    <w:rsid w:val="00586BF1"/>
    <w:rsid w:val="00587447"/>
    <w:rsid w:val="00587D50"/>
    <w:rsid w:val="00591572"/>
    <w:rsid w:val="00592ACD"/>
    <w:rsid w:val="00593C88"/>
    <w:rsid w:val="00597B8E"/>
    <w:rsid w:val="005A1476"/>
    <w:rsid w:val="005A1D4B"/>
    <w:rsid w:val="005A3B57"/>
    <w:rsid w:val="005A5C1B"/>
    <w:rsid w:val="005A7213"/>
    <w:rsid w:val="005B4124"/>
    <w:rsid w:val="005B5336"/>
    <w:rsid w:val="005B7546"/>
    <w:rsid w:val="005B774E"/>
    <w:rsid w:val="005C533B"/>
    <w:rsid w:val="005C7887"/>
    <w:rsid w:val="005D099C"/>
    <w:rsid w:val="005D1D12"/>
    <w:rsid w:val="005D6ED6"/>
    <w:rsid w:val="005E5A57"/>
    <w:rsid w:val="005E5B57"/>
    <w:rsid w:val="005F020C"/>
    <w:rsid w:val="005F1EBD"/>
    <w:rsid w:val="005F51AE"/>
    <w:rsid w:val="0060168D"/>
    <w:rsid w:val="00601812"/>
    <w:rsid w:val="006049CB"/>
    <w:rsid w:val="00605173"/>
    <w:rsid w:val="00607A70"/>
    <w:rsid w:val="00610580"/>
    <w:rsid w:val="00612025"/>
    <w:rsid w:val="006137E1"/>
    <w:rsid w:val="00616A24"/>
    <w:rsid w:val="0063065F"/>
    <w:rsid w:val="00633442"/>
    <w:rsid w:val="0064051D"/>
    <w:rsid w:val="00641517"/>
    <w:rsid w:val="0064314F"/>
    <w:rsid w:val="006437F4"/>
    <w:rsid w:val="00646931"/>
    <w:rsid w:val="00651072"/>
    <w:rsid w:val="006536E9"/>
    <w:rsid w:val="00655999"/>
    <w:rsid w:val="00661D3D"/>
    <w:rsid w:val="00664816"/>
    <w:rsid w:val="00665C72"/>
    <w:rsid w:val="00666B6D"/>
    <w:rsid w:val="006678F4"/>
    <w:rsid w:val="0067216F"/>
    <w:rsid w:val="00675F73"/>
    <w:rsid w:val="00676FFC"/>
    <w:rsid w:val="00677535"/>
    <w:rsid w:val="00680A45"/>
    <w:rsid w:val="00681FB6"/>
    <w:rsid w:val="00682E96"/>
    <w:rsid w:val="00685C0A"/>
    <w:rsid w:val="00686921"/>
    <w:rsid w:val="00686C1F"/>
    <w:rsid w:val="00687359"/>
    <w:rsid w:val="006874C5"/>
    <w:rsid w:val="00691B0E"/>
    <w:rsid w:val="006929AD"/>
    <w:rsid w:val="00692E96"/>
    <w:rsid w:val="00694A4B"/>
    <w:rsid w:val="006A2D85"/>
    <w:rsid w:val="006B03AB"/>
    <w:rsid w:val="006B22D1"/>
    <w:rsid w:val="006B2693"/>
    <w:rsid w:val="006B37E0"/>
    <w:rsid w:val="006B3DDE"/>
    <w:rsid w:val="006B3E5B"/>
    <w:rsid w:val="006B47EB"/>
    <w:rsid w:val="006B5137"/>
    <w:rsid w:val="006B6DF9"/>
    <w:rsid w:val="006C101A"/>
    <w:rsid w:val="006C2413"/>
    <w:rsid w:val="006C5DC8"/>
    <w:rsid w:val="006D32A2"/>
    <w:rsid w:val="006E02EB"/>
    <w:rsid w:val="006E25C2"/>
    <w:rsid w:val="006E5007"/>
    <w:rsid w:val="006E6033"/>
    <w:rsid w:val="006E6FF3"/>
    <w:rsid w:val="006F02DD"/>
    <w:rsid w:val="006F2321"/>
    <w:rsid w:val="006F5335"/>
    <w:rsid w:val="006F5CAC"/>
    <w:rsid w:val="006F6497"/>
    <w:rsid w:val="006F68C4"/>
    <w:rsid w:val="006F7396"/>
    <w:rsid w:val="00704B18"/>
    <w:rsid w:val="00705C2D"/>
    <w:rsid w:val="00707BDE"/>
    <w:rsid w:val="00715481"/>
    <w:rsid w:val="007156A7"/>
    <w:rsid w:val="00717380"/>
    <w:rsid w:val="00717738"/>
    <w:rsid w:val="00717A0C"/>
    <w:rsid w:val="0072166B"/>
    <w:rsid w:val="00721CA7"/>
    <w:rsid w:val="007313DF"/>
    <w:rsid w:val="00741F3C"/>
    <w:rsid w:val="00744AC4"/>
    <w:rsid w:val="00753648"/>
    <w:rsid w:val="00754059"/>
    <w:rsid w:val="007552A4"/>
    <w:rsid w:val="00756FAF"/>
    <w:rsid w:val="007614AA"/>
    <w:rsid w:val="00761AD6"/>
    <w:rsid w:val="00763C12"/>
    <w:rsid w:val="00764D4B"/>
    <w:rsid w:val="00770396"/>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B14B8"/>
    <w:rsid w:val="007B29AC"/>
    <w:rsid w:val="007B3E73"/>
    <w:rsid w:val="007B7101"/>
    <w:rsid w:val="007C698F"/>
    <w:rsid w:val="007C7314"/>
    <w:rsid w:val="007D48AC"/>
    <w:rsid w:val="007D5091"/>
    <w:rsid w:val="007D59EE"/>
    <w:rsid w:val="007E596A"/>
    <w:rsid w:val="007E69B3"/>
    <w:rsid w:val="007F0335"/>
    <w:rsid w:val="007F0AC9"/>
    <w:rsid w:val="007F1803"/>
    <w:rsid w:val="0080016E"/>
    <w:rsid w:val="00802F36"/>
    <w:rsid w:val="00810E73"/>
    <w:rsid w:val="00811E1F"/>
    <w:rsid w:val="00812CDB"/>
    <w:rsid w:val="00821205"/>
    <w:rsid w:val="008228D5"/>
    <w:rsid w:val="008268EE"/>
    <w:rsid w:val="0083064C"/>
    <w:rsid w:val="0083420D"/>
    <w:rsid w:val="008352B8"/>
    <w:rsid w:val="00841F9E"/>
    <w:rsid w:val="008475F5"/>
    <w:rsid w:val="00856DD0"/>
    <w:rsid w:val="00857B7C"/>
    <w:rsid w:val="00860267"/>
    <w:rsid w:val="00861BDE"/>
    <w:rsid w:val="00863EEF"/>
    <w:rsid w:val="008664D5"/>
    <w:rsid w:val="008668A0"/>
    <w:rsid w:val="008760DB"/>
    <w:rsid w:val="0087613A"/>
    <w:rsid w:val="008820CA"/>
    <w:rsid w:val="008821EF"/>
    <w:rsid w:val="008862C6"/>
    <w:rsid w:val="00890D39"/>
    <w:rsid w:val="00891D3E"/>
    <w:rsid w:val="0089258D"/>
    <w:rsid w:val="008956E9"/>
    <w:rsid w:val="00896264"/>
    <w:rsid w:val="00896327"/>
    <w:rsid w:val="008A01A4"/>
    <w:rsid w:val="008A5AEA"/>
    <w:rsid w:val="008A7CB6"/>
    <w:rsid w:val="008B4C30"/>
    <w:rsid w:val="008B55DF"/>
    <w:rsid w:val="008B64D0"/>
    <w:rsid w:val="008B7CB1"/>
    <w:rsid w:val="008C2439"/>
    <w:rsid w:val="008C31DD"/>
    <w:rsid w:val="008C332E"/>
    <w:rsid w:val="008D0548"/>
    <w:rsid w:val="008D0A83"/>
    <w:rsid w:val="008D211C"/>
    <w:rsid w:val="008D6002"/>
    <w:rsid w:val="008E5AF4"/>
    <w:rsid w:val="008E66AA"/>
    <w:rsid w:val="008E72EF"/>
    <w:rsid w:val="00901B22"/>
    <w:rsid w:val="009054A4"/>
    <w:rsid w:val="0090632E"/>
    <w:rsid w:val="00907541"/>
    <w:rsid w:val="00913A34"/>
    <w:rsid w:val="009175C3"/>
    <w:rsid w:val="00921EA8"/>
    <w:rsid w:val="00924B56"/>
    <w:rsid w:val="009259D5"/>
    <w:rsid w:val="00926C7F"/>
    <w:rsid w:val="00931D87"/>
    <w:rsid w:val="00940B2A"/>
    <w:rsid w:val="009465F7"/>
    <w:rsid w:val="00950A9E"/>
    <w:rsid w:val="00951C22"/>
    <w:rsid w:val="00952B31"/>
    <w:rsid w:val="00953166"/>
    <w:rsid w:val="009547BF"/>
    <w:rsid w:val="00956232"/>
    <w:rsid w:val="00960D41"/>
    <w:rsid w:val="00961823"/>
    <w:rsid w:val="00963D0A"/>
    <w:rsid w:val="00964CC6"/>
    <w:rsid w:val="00966FA8"/>
    <w:rsid w:val="0097002E"/>
    <w:rsid w:val="00970625"/>
    <w:rsid w:val="009741B4"/>
    <w:rsid w:val="00976185"/>
    <w:rsid w:val="00977D3A"/>
    <w:rsid w:val="0098194E"/>
    <w:rsid w:val="00983B56"/>
    <w:rsid w:val="00983FE8"/>
    <w:rsid w:val="00985395"/>
    <w:rsid w:val="00986077"/>
    <w:rsid w:val="00987475"/>
    <w:rsid w:val="00990870"/>
    <w:rsid w:val="009957B3"/>
    <w:rsid w:val="009A1A7C"/>
    <w:rsid w:val="009B60FB"/>
    <w:rsid w:val="009B6250"/>
    <w:rsid w:val="009B6FA0"/>
    <w:rsid w:val="009B7C7D"/>
    <w:rsid w:val="009C7335"/>
    <w:rsid w:val="009D1369"/>
    <w:rsid w:val="009D2ECF"/>
    <w:rsid w:val="009D4B33"/>
    <w:rsid w:val="009D6D37"/>
    <w:rsid w:val="009E2385"/>
    <w:rsid w:val="009E2FFF"/>
    <w:rsid w:val="009E4CDC"/>
    <w:rsid w:val="009E5FD8"/>
    <w:rsid w:val="009F4101"/>
    <w:rsid w:val="009F45CC"/>
    <w:rsid w:val="009F477E"/>
    <w:rsid w:val="009F4D1C"/>
    <w:rsid w:val="009F580D"/>
    <w:rsid w:val="009F5937"/>
    <w:rsid w:val="009F6248"/>
    <w:rsid w:val="00A00740"/>
    <w:rsid w:val="00A014CE"/>
    <w:rsid w:val="00A102B9"/>
    <w:rsid w:val="00A10A09"/>
    <w:rsid w:val="00A10CD2"/>
    <w:rsid w:val="00A118EF"/>
    <w:rsid w:val="00A137BE"/>
    <w:rsid w:val="00A14618"/>
    <w:rsid w:val="00A205F8"/>
    <w:rsid w:val="00A22870"/>
    <w:rsid w:val="00A231E6"/>
    <w:rsid w:val="00A25293"/>
    <w:rsid w:val="00A2596F"/>
    <w:rsid w:val="00A3281A"/>
    <w:rsid w:val="00A3346E"/>
    <w:rsid w:val="00A3357B"/>
    <w:rsid w:val="00A34FE6"/>
    <w:rsid w:val="00A3763C"/>
    <w:rsid w:val="00A40A6B"/>
    <w:rsid w:val="00A41E99"/>
    <w:rsid w:val="00A44E9C"/>
    <w:rsid w:val="00A45055"/>
    <w:rsid w:val="00A51E18"/>
    <w:rsid w:val="00A5370F"/>
    <w:rsid w:val="00A6381F"/>
    <w:rsid w:val="00A645CE"/>
    <w:rsid w:val="00A67505"/>
    <w:rsid w:val="00A70FB9"/>
    <w:rsid w:val="00A73029"/>
    <w:rsid w:val="00A73817"/>
    <w:rsid w:val="00A73FE3"/>
    <w:rsid w:val="00A75336"/>
    <w:rsid w:val="00A7640C"/>
    <w:rsid w:val="00A81BCB"/>
    <w:rsid w:val="00A82C81"/>
    <w:rsid w:val="00A83F90"/>
    <w:rsid w:val="00A87DA3"/>
    <w:rsid w:val="00A9027B"/>
    <w:rsid w:val="00A90BAB"/>
    <w:rsid w:val="00A91377"/>
    <w:rsid w:val="00A9145F"/>
    <w:rsid w:val="00A91D99"/>
    <w:rsid w:val="00A922EF"/>
    <w:rsid w:val="00A9305B"/>
    <w:rsid w:val="00A954B0"/>
    <w:rsid w:val="00A956B0"/>
    <w:rsid w:val="00A95A75"/>
    <w:rsid w:val="00A976DB"/>
    <w:rsid w:val="00AA13C1"/>
    <w:rsid w:val="00AA3CBA"/>
    <w:rsid w:val="00AA4840"/>
    <w:rsid w:val="00AA4949"/>
    <w:rsid w:val="00AA65FC"/>
    <w:rsid w:val="00AB2A4B"/>
    <w:rsid w:val="00AB53B9"/>
    <w:rsid w:val="00AB5C61"/>
    <w:rsid w:val="00AB6D47"/>
    <w:rsid w:val="00AC0398"/>
    <w:rsid w:val="00AC0BA0"/>
    <w:rsid w:val="00AC14CD"/>
    <w:rsid w:val="00AC1EC6"/>
    <w:rsid w:val="00AC6D68"/>
    <w:rsid w:val="00AD55CE"/>
    <w:rsid w:val="00AE07D3"/>
    <w:rsid w:val="00AE1A1E"/>
    <w:rsid w:val="00AE2193"/>
    <w:rsid w:val="00AE2A7D"/>
    <w:rsid w:val="00AE2B39"/>
    <w:rsid w:val="00AE37FD"/>
    <w:rsid w:val="00AE4386"/>
    <w:rsid w:val="00AE6EF2"/>
    <w:rsid w:val="00AE6FD9"/>
    <w:rsid w:val="00AE7799"/>
    <w:rsid w:val="00AF04BC"/>
    <w:rsid w:val="00AF0BF9"/>
    <w:rsid w:val="00AF115F"/>
    <w:rsid w:val="00AF13F4"/>
    <w:rsid w:val="00AF1D41"/>
    <w:rsid w:val="00AF2F6B"/>
    <w:rsid w:val="00AF5FD2"/>
    <w:rsid w:val="00AF7D1C"/>
    <w:rsid w:val="00AF7E11"/>
    <w:rsid w:val="00B002FE"/>
    <w:rsid w:val="00B02055"/>
    <w:rsid w:val="00B055DE"/>
    <w:rsid w:val="00B10AC2"/>
    <w:rsid w:val="00B21358"/>
    <w:rsid w:val="00B21E6C"/>
    <w:rsid w:val="00B2632C"/>
    <w:rsid w:val="00B31CDA"/>
    <w:rsid w:val="00B36755"/>
    <w:rsid w:val="00B3747A"/>
    <w:rsid w:val="00B375A0"/>
    <w:rsid w:val="00B50861"/>
    <w:rsid w:val="00B5127C"/>
    <w:rsid w:val="00B52D55"/>
    <w:rsid w:val="00B52D89"/>
    <w:rsid w:val="00B601FF"/>
    <w:rsid w:val="00B61494"/>
    <w:rsid w:val="00B62D0C"/>
    <w:rsid w:val="00B63D2D"/>
    <w:rsid w:val="00B645F0"/>
    <w:rsid w:val="00B64EA2"/>
    <w:rsid w:val="00B701A7"/>
    <w:rsid w:val="00B703DC"/>
    <w:rsid w:val="00B716A8"/>
    <w:rsid w:val="00B76B6B"/>
    <w:rsid w:val="00B8207D"/>
    <w:rsid w:val="00B82803"/>
    <w:rsid w:val="00B84ED0"/>
    <w:rsid w:val="00B90CE9"/>
    <w:rsid w:val="00B9286A"/>
    <w:rsid w:val="00B93F8E"/>
    <w:rsid w:val="00B959F1"/>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468"/>
    <w:rsid w:val="00BD2AE1"/>
    <w:rsid w:val="00BD5E56"/>
    <w:rsid w:val="00BD7051"/>
    <w:rsid w:val="00BE0268"/>
    <w:rsid w:val="00BE1AC5"/>
    <w:rsid w:val="00BE1FA4"/>
    <w:rsid w:val="00BE34DF"/>
    <w:rsid w:val="00BE4F64"/>
    <w:rsid w:val="00BE652A"/>
    <w:rsid w:val="00BE717B"/>
    <w:rsid w:val="00BF3A38"/>
    <w:rsid w:val="00BF4A67"/>
    <w:rsid w:val="00BF4B97"/>
    <w:rsid w:val="00BF5B91"/>
    <w:rsid w:val="00BF7366"/>
    <w:rsid w:val="00BF74F0"/>
    <w:rsid w:val="00BF7B70"/>
    <w:rsid w:val="00C00259"/>
    <w:rsid w:val="00C0391A"/>
    <w:rsid w:val="00C03DAC"/>
    <w:rsid w:val="00C06D3B"/>
    <w:rsid w:val="00C119BE"/>
    <w:rsid w:val="00C16E00"/>
    <w:rsid w:val="00C21BCC"/>
    <w:rsid w:val="00C226C9"/>
    <w:rsid w:val="00C27183"/>
    <w:rsid w:val="00C27364"/>
    <w:rsid w:val="00C3022F"/>
    <w:rsid w:val="00C31564"/>
    <w:rsid w:val="00C31808"/>
    <w:rsid w:val="00C34ABE"/>
    <w:rsid w:val="00C3565C"/>
    <w:rsid w:val="00C3694D"/>
    <w:rsid w:val="00C36F16"/>
    <w:rsid w:val="00C37927"/>
    <w:rsid w:val="00C450BD"/>
    <w:rsid w:val="00C4593D"/>
    <w:rsid w:val="00C47802"/>
    <w:rsid w:val="00C60DF5"/>
    <w:rsid w:val="00C6142D"/>
    <w:rsid w:val="00C632D7"/>
    <w:rsid w:val="00C63A58"/>
    <w:rsid w:val="00C63D9B"/>
    <w:rsid w:val="00C66347"/>
    <w:rsid w:val="00C67D77"/>
    <w:rsid w:val="00C75252"/>
    <w:rsid w:val="00C763CE"/>
    <w:rsid w:val="00C81F65"/>
    <w:rsid w:val="00C8288A"/>
    <w:rsid w:val="00C82F23"/>
    <w:rsid w:val="00C8419D"/>
    <w:rsid w:val="00C90A5B"/>
    <w:rsid w:val="00C936B2"/>
    <w:rsid w:val="00C94472"/>
    <w:rsid w:val="00C954EA"/>
    <w:rsid w:val="00C9704D"/>
    <w:rsid w:val="00C97486"/>
    <w:rsid w:val="00CA0EA2"/>
    <w:rsid w:val="00CA30F8"/>
    <w:rsid w:val="00CA3A13"/>
    <w:rsid w:val="00CA53FC"/>
    <w:rsid w:val="00CB003A"/>
    <w:rsid w:val="00CB085F"/>
    <w:rsid w:val="00CB3119"/>
    <w:rsid w:val="00CB3FC3"/>
    <w:rsid w:val="00CC039C"/>
    <w:rsid w:val="00CC0B33"/>
    <w:rsid w:val="00CC4534"/>
    <w:rsid w:val="00CC7F48"/>
    <w:rsid w:val="00CD059E"/>
    <w:rsid w:val="00CD3136"/>
    <w:rsid w:val="00CD36F3"/>
    <w:rsid w:val="00CD5099"/>
    <w:rsid w:val="00CD58CD"/>
    <w:rsid w:val="00CD61E0"/>
    <w:rsid w:val="00CE2D06"/>
    <w:rsid w:val="00CE332E"/>
    <w:rsid w:val="00CE6F37"/>
    <w:rsid w:val="00CE78C0"/>
    <w:rsid w:val="00CF1F4E"/>
    <w:rsid w:val="00CF2CA4"/>
    <w:rsid w:val="00CF4A47"/>
    <w:rsid w:val="00CF6A78"/>
    <w:rsid w:val="00D00CB5"/>
    <w:rsid w:val="00D01021"/>
    <w:rsid w:val="00D01AEF"/>
    <w:rsid w:val="00D03489"/>
    <w:rsid w:val="00D116B1"/>
    <w:rsid w:val="00D12A06"/>
    <w:rsid w:val="00D163CA"/>
    <w:rsid w:val="00D2017C"/>
    <w:rsid w:val="00D20B1E"/>
    <w:rsid w:val="00D23D3E"/>
    <w:rsid w:val="00D240B8"/>
    <w:rsid w:val="00D24768"/>
    <w:rsid w:val="00D24A88"/>
    <w:rsid w:val="00D2736A"/>
    <w:rsid w:val="00D3071E"/>
    <w:rsid w:val="00D367C2"/>
    <w:rsid w:val="00D41729"/>
    <w:rsid w:val="00D417A3"/>
    <w:rsid w:val="00D45451"/>
    <w:rsid w:val="00D51E0C"/>
    <w:rsid w:val="00D5303C"/>
    <w:rsid w:val="00D5510C"/>
    <w:rsid w:val="00D568EF"/>
    <w:rsid w:val="00D60427"/>
    <w:rsid w:val="00D625C4"/>
    <w:rsid w:val="00D71D19"/>
    <w:rsid w:val="00D77556"/>
    <w:rsid w:val="00D77E3D"/>
    <w:rsid w:val="00D83594"/>
    <w:rsid w:val="00D84037"/>
    <w:rsid w:val="00D8477F"/>
    <w:rsid w:val="00D851F7"/>
    <w:rsid w:val="00D87D0B"/>
    <w:rsid w:val="00D905A2"/>
    <w:rsid w:val="00D93209"/>
    <w:rsid w:val="00D96EE2"/>
    <w:rsid w:val="00D97962"/>
    <w:rsid w:val="00D97B1A"/>
    <w:rsid w:val="00DA033B"/>
    <w:rsid w:val="00DA05AC"/>
    <w:rsid w:val="00DA35D5"/>
    <w:rsid w:val="00DA48AB"/>
    <w:rsid w:val="00DA5F5B"/>
    <w:rsid w:val="00DB07B0"/>
    <w:rsid w:val="00DB29A8"/>
    <w:rsid w:val="00DB345E"/>
    <w:rsid w:val="00DC1862"/>
    <w:rsid w:val="00DC5878"/>
    <w:rsid w:val="00DD050F"/>
    <w:rsid w:val="00DD104D"/>
    <w:rsid w:val="00DD6046"/>
    <w:rsid w:val="00DD6760"/>
    <w:rsid w:val="00DE0234"/>
    <w:rsid w:val="00DE49D3"/>
    <w:rsid w:val="00DE76C6"/>
    <w:rsid w:val="00DE7858"/>
    <w:rsid w:val="00DF17C1"/>
    <w:rsid w:val="00DF17FE"/>
    <w:rsid w:val="00DF3373"/>
    <w:rsid w:val="00E01008"/>
    <w:rsid w:val="00E02D8C"/>
    <w:rsid w:val="00E03689"/>
    <w:rsid w:val="00E03BEA"/>
    <w:rsid w:val="00E03DE3"/>
    <w:rsid w:val="00E04243"/>
    <w:rsid w:val="00E04766"/>
    <w:rsid w:val="00E079A7"/>
    <w:rsid w:val="00E07A7C"/>
    <w:rsid w:val="00E10885"/>
    <w:rsid w:val="00E11046"/>
    <w:rsid w:val="00E13735"/>
    <w:rsid w:val="00E13A9C"/>
    <w:rsid w:val="00E146F2"/>
    <w:rsid w:val="00E161CC"/>
    <w:rsid w:val="00E20513"/>
    <w:rsid w:val="00E227DE"/>
    <w:rsid w:val="00E238E9"/>
    <w:rsid w:val="00E24973"/>
    <w:rsid w:val="00E27CFB"/>
    <w:rsid w:val="00E3516F"/>
    <w:rsid w:val="00E35CD0"/>
    <w:rsid w:val="00E425BD"/>
    <w:rsid w:val="00E45587"/>
    <w:rsid w:val="00E45F6B"/>
    <w:rsid w:val="00E53DB8"/>
    <w:rsid w:val="00E56798"/>
    <w:rsid w:val="00E64CE5"/>
    <w:rsid w:val="00E71397"/>
    <w:rsid w:val="00E72534"/>
    <w:rsid w:val="00E73EC5"/>
    <w:rsid w:val="00E74180"/>
    <w:rsid w:val="00E77A64"/>
    <w:rsid w:val="00E8070F"/>
    <w:rsid w:val="00E80CE1"/>
    <w:rsid w:val="00E8245B"/>
    <w:rsid w:val="00E845BB"/>
    <w:rsid w:val="00E87A27"/>
    <w:rsid w:val="00E92231"/>
    <w:rsid w:val="00E92FD5"/>
    <w:rsid w:val="00E94841"/>
    <w:rsid w:val="00E96BF2"/>
    <w:rsid w:val="00E9753E"/>
    <w:rsid w:val="00EA2F92"/>
    <w:rsid w:val="00EA475B"/>
    <w:rsid w:val="00EA542A"/>
    <w:rsid w:val="00EA649B"/>
    <w:rsid w:val="00EB21ED"/>
    <w:rsid w:val="00EB5A48"/>
    <w:rsid w:val="00EB5E62"/>
    <w:rsid w:val="00EC0C69"/>
    <w:rsid w:val="00EC0DB0"/>
    <w:rsid w:val="00EC3AE9"/>
    <w:rsid w:val="00EC43D4"/>
    <w:rsid w:val="00EC4776"/>
    <w:rsid w:val="00EC5FAF"/>
    <w:rsid w:val="00EC6749"/>
    <w:rsid w:val="00EC7908"/>
    <w:rsid w:val="00ED4EC9"/>
    <w:rsid w:val="00ED50C9"/>
    <w:rsid w:val="00ED6199"/>
    <w:rsid w:val="00EE0B0E"/>
    <w:rsid w:val="00EE3088"/>
    <w:rsid w:val="00EF2363"/>
    <w:rsid w:val="00EF5704"/>
    <w:rsid w:val="00EF6DCC"/>
    <w:rsid w:val="00EF71E5"/>
    <w:rsid w:val="00EF748D"/>
    <w:rsid w:val="00EF781C"/>
    <w:rsid w:val="00F004C2"/>
    <w:rsid w:val="00F015DB"/>
    <w:rsid w:val="00F02CD8"/>
    <w:rsid w:val="00F06072"/>
    <w:rsid w:val="00F10B74"/>
    <w:rsid w:val="00F1396F"/>
    <w:rsid w:val="00F1487E"/>
    <w:rsid w:val="00F14905"/>
    <w:rsid w:val="00F1757F"/>
    <w:rsid w:val="00F23B72"/>
    <w:rsid w:val="00F24F5A"/>
    <w:rsid w:val="00F265B4"/>
    <w:rsid w:val="00F27C5F"/>
    <w:rsid w:val="00F305F7"/>
    <w:rsid w:val="00F31337"/>
    <w:rsid w:val="00F34B54"/>
    <w:rsid w:val="00F41911"/>
    <w:rsid w:val="00F41CA8"/>
    <w:rsid w:val="00F4591C"/>
    <w:rsid w:val="00F46543"/>
    <w:rsid w:val="00F51DC7"/>
    <w:rsid w:val="00F51FEB"/>
    <w:rsid w:val="00F556D2"/>
    <w:rsid w:val="00F56D95"/>
    <w:rsid w:val="00F6095F"/>
    <w:rsid w:val="00F6525E"/>
    <w:rsid w:val="00F66713"/>
    <w:rsid w:val="00F72D0B"/>
    <w:rsid w:val="00F7395C"/>
    <w:rsid w:val="00F73AC9"/>
    <w:rsid w:val="00F7485D"/>
    <w:rsid w:val="00F74F56"/>
    <w:rsid w:val="00F75F2D"/>
    <w:rsid w:val="00F76131"/>
    <w:rsid w:val="00F77798"/>
    <w:rsid w:val="00F853A4"/>
    <w:rsid w:val="00F85CB8"/>
    <w:rsid w:val="00F9259A"/>
    <w:rsid w:val="00F9526D"/>
    <w:rsid w:val="00F95C6D"/>
    <w:rsid w:val="00FA21F9"/>
    <w:rsid w:val="00FA2D15"/>
    <w:rsid w:val="00FA30DB"/>
    <w:rsid w:val="00FA49D0"/>
    <w:rsid w:val="00FA6B23"/>
    <w:rsid w:val="00FB0552"/>
    <w:rsid w:val="00FB40AD"/>
    <w:rsid w:val="00FB496F"/>
    <w:rsid w:val="00FB7F1C"/>
    <w:rsid w:val="00FC174E"/>
    <w:rsid w:val="00FC2B60"/>
    <w:rsid w:val="00FC33E4"/>
    <w:rsid w:val="00FC4D8E"/>
    <w:rsid w:val="00FC5C02"/>
    <w:rsid w:val="00FD0BF8"/>
    <w:rsid w:val="00FD0D7E"/>
    <w:rsid w:val="00FD1539"/>
    <w:rsid w:val="00FD477E"/>
    <w:rsid w:val="00FD768C"/>
    <w:rsid w:val="00FD79FF"/>
    <w:rsid w:val="00FE3BAD"/>
    <w:rsid w:val="00FE40CB"/>
    <w:rsid w:val="00FE5155"/>
    <w:rsid w:val="00FF05F8"/>
    <w:rsid w:val="00FF3E13"/>
    <w:rsid w:val="00FF5D80"/>
    <w:rsid w:val="0F976CC1"/>
    <w:rsid w:val="26CBD0E4"/>
    <w:rsid w:val="27AF86F5"/>
    <w:rsid w:val="2EC322D4"/>
    <w:rsid w:val="3709AA8B"/>
    <w:rsid w:val="4D87ED97"/>
    <w:rsid w:val="5C563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Level1">
    <w:name w:val="Level 1"/>
    <w:basedOn w:val="Normal"/>
    <w:rsid w:val="00EA475B"/>
    <w:pPr>
      <w:widowControl w:val="0"/>
      <w:numPr>
        <w:numId w:val="27"/>
      </w:numPr>
      <w:autoSpaceDE w:val="0"/>
      <w:autoSpaceDN w:val="0"/>
      <w:adjustRightInd w:val="0"/>
      <w:ind w:left="474" w:hanging="186"/>
      <w:outlineLvl w:val="0"/>
    </w:pPr>
  </w:style>
  <w:style w:type="paragraph" w:customStyle="1" w:styleId="Level2">
    <w:name w:val="Level 2"/>
    <w:basedOn w:val="Normal"/>
    <w:rsid w:val="00EA475B"/>
    <w:pPr>
      <w:widowControl w:val="0"/>
      <w:autoSpaceDE w:val="0"/>
      <w:autoSpaceDN w:val="0"/>
      <w:adjustRightInd w:val="0"/>
      <w:ind w:left="722" w:hanging="361"/>
    </w:pPr>
  </w:style>
  <w:style w:type="character" w:styleId="UnresolvedMention">
    <w:name w:val="Unresolved Mention"/>
    <w:basedOn w:val="DefaultParagraphFont"/>
    <w:uiPriority w:val="99"/>
    <w:semiHidden/>
    <w:unhideWhenUsed/>
    <w:rsid w:val="00061928"/>
    <w:rPr>
      <w:color w:val="605E5C"/>
      <w:shd w:val="clear" w:color="auto" w:fill="E1DFDD"/>
    </w:rPr>
  </w:style>
  <w:style w:type="character" w:styleId="FollowedHyperlink">
    <w:name w:val="FollowedHyperlink"/>
    <w:basedOn w:val="DefaultParagraphFont"/>
    <w:semiHidden/>
    <w:unhideWhenUsed/>
    <w:rsid w:val="00061928"/>
    <w:rPr>
      <w:color w:val="800080" w:themeColor="followedHyperlink"/>
      <w:u w:val="single"/>
    </w:rPr>
  </w:style>
  <w:style w:type="paragraph" w:styleId="NormalWeb">
    <w:name w:val="Normal (Web)"/>
    <w:basedOn w:val="Normal"/>
    <w:uiPriority w:val="99"/>
    <w:semiHidden/>
    <w:unhideWhenUsed/>
    <w:rsid w:val="00522F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51190797">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DODOMFIN-1306720476-8345</_dlc_DocId>
    <_dlc_DocIdUrl xmlns="52222ef0-b167-44f5-92f7-438fda0857cd">
      <Url>https://my.treas.gov/Collab/domfin/FI/OCED/_layouts/15/DocIdRedir.aspx?ID=DODOMFIN-1306720476-8345</Url>
      <Description>DODOMFIN-1306720476-8345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46F83-C1F7-4441-8499-5E980EABA24F}">
  <ds:schemaRefs>
    <ds:schemaRef ds:uri="http://schemas.openxmlformats.org/officeDocument/2006/bibliography"/>
  </ds:schemaRefs>
</ds:datastoreItem>
</file>

<file path=customXml/itemProps2.xml><?xml version="1.0" encoding="utf-8"?>
<ds:datastoreItem xmlns:ds="http://schemas.openxmlformats.org/officeDocument/2006/customXml" ds:itemID="{6B0B3440-E5B5-4542-AD33-ADDC70CC3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37E63-9EE2-47BC-92D5-C418E2855674}">
  <ds:schemaRefs>
    <ds:schemaRef ds:uri="http://schemas.microsoft.com/sharepoint/events"/>
  </ds:schemaRefs>
</ds:datastoreItem>
</file>

<file path=customXml/itemProps4.xml><?xml version="1.0" encoding="utf-8"?>
<ds:datastoreItem xmlns:ds="http://schemas.openxmlformats.org/officeDocument/2006/customXml" ds:itemID="{F5476F33-7CC6-4A96-978F-4306B946D1AD}">
  <ds:schemaRefs>
    <ds:schemaRef ds:uri="661bca9a-d918-42a9-8344-574a9d3e982e"/>
    <ds:schemaRef ds:uri="http://schemas.microsoft.com/office/2006/metadata/properties"/>
    <ds:schemaRef ds:uri="http://purl.org/dc/dcmitype/"/>
    <ds:schemaRef ds:uri="http://purl.org/dc/elements/1.1/"/>
    <ds:schemaRef ds:uri="http://schemas.microsoft.com/sharepoint/v4"/>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2222ef0-b167-44f5-92f7-438fda0857cd"/>
    <ds:schemaRef ds:uri="http://purl.org/dc/terms/"/>
  </ds:schemaRefs>
</ds:datastoreItem>
</file>

<file path=customXml/itemProps5.xml><?xml version="1.0" encoding="utf-8"?>
<ds:datastoreItem xmlns:ds="http://schemas.openxmlformats.org/officeDocument/2006/customXml" ds:itemID="{8CF1542B-88F8-48C7-87DC-444F1C34C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6792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2022-01-20T20:44:00Z</dcterms:created>
  <dcterms:modified xsi:type="dcterms:W3CDTF">2022-01-20T20:44:00Z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1632e99b-9f26-458f-9906-17a9ac84dbe0</vt:lpwstr>
  </property>
</Properties>
</file>