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9FD" w:rsidRDefault="00717B3A">
      <w:pPr>
        <w:spacing w:after="5" w:line="250" w:lineRule="auto"/>
        <w:ind w:left="26" w:right="22" w:firstLine="0"/>
        <w:jc w:val="center"/>
      </w:pPr>
      <w:r>
        <w:t xml:space="preserve">SUPPORTING STATEMENT – Part A </w:t>
      </w:r>
    </w:p>
    <w:p w:rsidR="00C41981" w:rsidRDefault="00717B3A">
      <w:pPr>
        <w:spacing w:after="5" w:line="250" w:lineRule="auto"/>
        <w:ind w:left="255" w:right="22" w:hanging="229"/>
        <w:jc w:val="center"/>
      </w:pPr>
      <w:r>
        <w:t>Medicare Advantage and Prescription Drug Plan Consumer Assessment of Healthcare Providers and Systems (CAHPS) Survey Field Test</w:t>
      </w:r>
    </w:p>
    <w:p w:rsidR="005759FD" w:rsidRDefault="00C41981">
      <w:pPr>
        <w:spacing w:after="5" w:line="250" w:lineRule="auto"/>
        <w:ind w:left="255" w:right="22" w:hanging="229"/>
        <w:jc w:val="center"/>
      </w:pPr>
      <w:r>
        <w:t xml:space="preserve">(CMS-10793, </w:t>
      </w:r>
      <w:r w:rsidR="00717B3A">
        <w:t>OMB 0938-XXXX</w:t>
      </w:r>
      <w:r>
        <w:t>)</w:t>
      </w:r>
    </w:p>
    <w:p w:rsidR="005759FD" w:rsidRDefault="00717B3A">
      <w:pPr>
        <w:spacing w:after="48" w:line="259" w:lineRule="auto"/>
        <w:ind w:left="0" w:firstLine="0"/>
      </w:pPr>
      <w:r>
        <w:t xml:space="preserve"> </w:t>
      </w:r>
    </w:p>
    <w:p w:rsidR="005759FD" w:rsidRDefault="00717B3A">
      <w:pPr>
        <w:pStyle w:val="Heading1"/>
        <w:spacing w:after="357"/>
        <w:ind w:left="0" w:firstLine="0"/>
      </w:pPr>
      <w:r>
        <w:rPr>
          <w:b/>
          <w:sz w:val="22"/>
          <w:u w:val="none"/>
        </w:rPr>
        <w:t xml:space="preserve">BACKGROUND </w:t>
      </w:r>
    </w:p>
    <w:p w:rsidR="005759FD" w:rsidRDefault="00717B3A">
      <w:pPr>
        <w:ind w:left="-5"/>
      </w:pPr>
      <w:r>
        <w:t xml:space="preserve">The Medicare Advantage (MA) and Prescription Drug Plan (PDP) Consumer Assessment of Healthcare Providers and Systems (CAHPS) Surveys provide information on the quality of health services delivered through MA and PDP contracts. Consumer evaluations of health care and prescription drug services, such as those collected through the Medicare CAHPS Surveys, measure important aspects of a patient’s experience that cannot be assessed by other means.  </w:t>
      </w:r>
    </w:p>
    <w:p w:rsidR="005759FD" w:rsidRDefault="00717B3A">
      <w:pPr>
        <w:spacing w:after="0" w:line="259" w:lineRule="auto"/>
        <w:ind w:left="0" w:firstLine="0"/>
      </w:pPr>
      <w:r>
        <w:t xml:space="preserve"> </w:t>
      </w:r>
    </w:p>
    <w:p w:rsidR="005759FD" w:rsidRDefault="00717B3A">
      <w:pPr>
        <w:ind w:left="-5"/>
      </w:pPr>
      <w:r>
        <w:t>Currently, the MA &amp; PDP CAHPS Surveys are administered using a mixed mode data collection protocol (</w:t>
      </w:r>
      <w:proofErr w:type="spellStart"/>
      <w:r>
        <w:t>mail+phone</w:t>
      </w:r>
      <w:proofErr w:type="spellEnd"/>
      <w:r>
        <w:t>) that includes two survey mailings and phone follow-up with non</w:t>
      </w:r>
      <w:r w:rsidR="00C41981">
        <w:t>-</w:t>
      </w:r>
      <w:r>
        <w:t>respondents. Recent research demonstrates the potential to improve response rates with the use of a web-based mode. In particular, in the emergency department setting, a CMS-funded test demonstrated that a higher survey response rate could be achieved by using a web survey as the initial mode of administration, followed by mail, phone, or both.</w:t>
      </w:r>
      <w:r>
        <w:rPr>
          <w:vertAlign w:val="superscript"/>
        </w:rPr>
        <w:footnoteReference w:id="1"/>
      </w:r>
      <w:r>
        <w:t xml:space="preserve"> Based on this research, CMS believes adding web to the existing mixed mode protocol for MA &amp; PDP CAHPS has the potential to improve response rates, in particular among younger enrollees. In 2021, the response rate for MA and PDP enrollees under age 65 was 24% compared to 39% for enrollees age 65 and older.  </w:t>
      </w:r>
    </w:p>
    <w:p w:rsidR="005759FD" w:rsidRDefault="00717B3A">
      <w:pPr>
        <w:spacing w:after="0" w:line="259" w:lineRule="auto"/>
        <w:ind w:left="0" w:firstLine="0"/>
      </w:pPr>
      <w:r>
        <w:t xml:space="preserve"> </w:t>
      </w:r>
    </w:p>
    <w:p w:rsidR="005759FD" w:rsidRDefault="00717B3A">
      <w:pPr>
        <w:ind w:left="-5"/>
      </w:pPr>
      <w:r>
        <w:t xml:space="preserve">This request is to conduct a field test with the main goal of testing the effects of new survey content and a web-based mode on patterns of response and survey scores. The test will also allow for assessment of the measurement properties of new survey items. The results of the field test will inform CMS’s decision-making about updates to MA &amp; PDP CAHPS survey content and survey administration procedures. </w:t>
      </w:r>
    </w:p>
    <w:p w:rsidR="005759FD" w:rsidRDefault="00717B3A">
      <w:pPr>
        <w:spacing w:after="44" w:line="259" w:lineRule="auto"/>
        <w:ind w:left="0" w:firstLine="0"/>
      </w:pPr>
      <w:r>
        <w:t xml:space="preserve"> </w:t>
      </w:r>
    </w:p>
    <w:p w:rsidR="005759FD" w:rsidRDefault="00717B3A">
      <w:pPr>
        <w:spacing w:after="352" w:line="259" w:lineRule="auto"/>
        <w:ind w:left="-5"/>
      </w:pPr>
      <w:r>
        <w:rPr>
          <w:b/>
        </w:rPr>
        <w:t xml:space="preserve">A. JUSTIFICATION </w:t>
      </w:r>
    </w:p>
    <w:p w:rsidR="005759FD" w:rsidRDefault="00717B3A">
      <w:pPr>
        <w:pStyle w:val="Heading1"/>
        <w:tabs>
          <w:tab w:val="center" w:pos="1741"/>
        </w:tabs>
        <w:ind w:left="-15" w:firstLine="0"/>
      </w:pPr>
      <w:r>
        <w:rPr>
          <w:u w:val="none"/>
        </w:rPr>
        <w:t xml:space="preserve">1. </w:t>
      </w:r>
      <w:r>
        <w:rPr>
          <w:u w:val="none"/>
        </w:rPr>
        <w:tab/>
      </w:r>
      <w:r>
        <w:t>Need and Legal Basis</w:t>
      </w:r>
      <w:r>
        <w:rPr>
          <w:u w:val="none"/>
        </w:rPr>
        <w:t xml:space="preserve"> </w:t>
      </w:r>
    </w:p>
    <w:p w:rsidR="005759FD" w:rsidRDefault="00717B3A">
      <w:pPr>
        <w:spacing w:after="0" w:line="259" w:lineRule="auto"/>
        <w:ind w:left="0" w:firstLine="0"/>
      </w:pPr>
      <w:r>
        <w:t xml:space="preserve"> </w:t>
      </w:r>
    </w:p>
    <w:p w:rsidR="005759FD" w:rsidRDefault="00717B3A">
      <w:pPr>
        <w:ind w:left="-5"/>
      </w:pPr>
      <w:r>
        <w:t xml:space="preserve">CMS is required to collect and report information on the quality of health care services and prescription drug coverage available to persons enrolled in a Medicare health or prescription drug plan under provisions in the Medicare Prescription Drug, Improvement, and </w:t>
      </w:r>
    </w:p>
    <w:p w:rsidR="005759FD" w:rsidRDefault="00717B3A">
      <w:pPr>
        <w:ind w:left="-5"/>
      </w:pPr>
      <w:r>
        <w:t xml:space="preserve">Modernization Act of 2003 (MMA). Specifically, the MMA under Sec. 1860D-4 (Information to </w:t>
      </w:r>
    </w:p>
    <w:p w:rsidR="005759FD" w:rsidRDefault="00717B3A">
      <w:pPr>
        <w:ind w:left="-5"/>
      </w:pPr>
      <w:r>
        <w:t xml:space="preserve">Facilitate Enrollment) requires CMS to conduct consumer satisfaction surveys regarding </w:t>
      </w:r>
    </w:p>
    <w:p w:rsidR="00717B3A" w:rsidP="00717B3A" w:rsidRDefault="00717B3A">
      <w:pPr>
        <w:ind w:left="4" w:firstLine="0"/>
      </w:pPr>
      <w:r>
        <w:lastRenderedPageBreak/>
        <w:t xml:space="preserve">Medicare PDPs and MA plans and report this information to Medicare beneficiaries prior to the Medicare annual enrollment period. The Medicare CAHPS survey meets the requirement of collecting and publicly reporting consumer satisfaction information. The CAHPS survey measures are incorporated into the Part C and D Star Ratings that are published on </w:t>
      </w:r>
      <w:hyperlink r:id="rId7">
        <w:r w:rsidRPr="00717B3A">
          <w:rPr>
            <w:rStyle w:val="Hyperlink"/>
          </w:rPr>
          <w:t>www.medicare.gov</w:t>
        </w:r>
      </w:hyperlink>
      <w:hyperlink r:id="rId8">
        <w:r w:rsidRPr="00717B3A">
          <w:rPr>
            <w:rStyle w:val="Hyperlink"/>
          </w:rPr>
          <w:t xml:space="preserve"> </w:t>
        </w:r>
      </w:hyperlink>
      <w:r w:rsidRPr="00717B3A">
        <w:t xml:space="preserve">each fall for consumers. A subset of the CAHPS measures are also included in the Medicare &amp; You Handbook. The current MA &amp; PDP CAHPS Survey continues to be covered under OMB control number 0938-0732. </w:t>
      </w:r>
    </w:p>
    <w:p w:rsidRPr="00717B3A" w:rsidR="00717B3A" w:rsidP="00717B3A" w:rsidRDefault="00717B3A">
      <w:pPr>
        <w:ind w:left="4" w:firstLine="0"/>
      </w:pPr>
    </w:p>
    <w:p w:rsidR="005759FD" w:rsidP="00717B3A" w:rsidRDefault="00717B3A">
      <w:pPr>
        <w:ind w:left="4" w:firstLine="0"/>
      </w:pPr>
      <w:r w:rsidRPr="00717B3A">
        <w:t xml:space="preserve">The proposed field test would allow for CMS to be responsive to stakeholder feedback regarding the mode of administration and the content of the survey. Specifically, it would allow the testing of a web-based mode, as well as new survey content regarding: </w:t>
      </w:r>
    </w:p>
    <w:p w:rsidRPr="00717B3A" w:rsidR="00717B3A" w:rsidP="00717B3A" w:rsidRDefault="00717B3A">
      <w:pPr>
        <w:ind w:left="4" w:firstLine="0"/>
      </w:pPr>
    </w:p>
    <w:p w:rsidRPr="00717B3A" w:rsidR="005759FD" w:rsidP="00717B3A" w:rsidRDefault="00717B3A">
      <w:pPr>
        <w:pStyle w:val="ListParagraph"/>
        <w:numPr>
          <w:ilvl w:val="0"/>
          <w:numId w:val="3"/>
        </w:numPr>
      </w:pPr>
      <w:r w:rsidRPr="00717B3A">
        <w:t xml:space="preserve">Telemedicine (Q8-Q13 in MA-Only and MA-PD survey versions)  </w:t>
      </w:r>
    </w:p>
    <w:p w:rsidRPr="00717B3A" w:rsidR="005759FD" w:rsidP="00717B3A" w:rsidRDefault="00717B3A">
      <w:pPr>
        <w:pStyle w:val="ListParagraph"/>
        <w:numPr>
          <w:ilvl w:val="0"/>
          <w:numId w:val="3"/>
        </w:numPr>
      </w:pPr>
      <w:r w:rsidRPr="00717B3A">
        <w:t xml:space="preserve">Perceived discrimination (Q55 in MA-Only, Q60 in MA-PD, and Q15 in PDP survey versions) </w:t>
      </w:r>
    </w:p>
    <w:p w:rsidRPr="00717B3A" w:rsidR="005759FD" w:rsidP="00717B3A" w:rsidRDefault="00717B3A">
      <w:pPr>
        <w:pStyle w:val="ListParagraph"/>
        <w:numPr>
          <w:ilvl w:val="0"/>
          <w:numId w:val="3"/>
        </w:numPr>
      </w:pPr>
      <w:r w:rsidRPr="00717B3A">
        <w:t xml:space="preserve">Communication (Q31 in MA-Only and MA-PD survey versions) </w:t>
      </w:r>
    </w:p>
    <w:p w:rsidR="00717B3A" w:rsidP="00717B3A" w:rsidRDefault="00717B3A">
      <w:pPr>
        <w:pStyle w:val="ListParagraph"/>
        <w:numPr>
          <w:ilvl w:val="0"/>
          <w:numId w:val="3"/>
        </w:numPr>
      </w:pPr>
      <w:r w:rsidRPr="00717B3A">
        <w:t>Care coordination (Q14 and Q37 in MA-Only and MA-PD survey versions)</w:t>
      </w:r>
    </w:p>
    <w:p w:rsidRPr="00717B3A" w:rsidR="005759FD" w:rsidP="00717B3A" w:rsidRDefault="00717B3A">
      <w:pPr>
        <w:pStyle w:val="ListParagraph"/>
        <w:numPr>
          <w:ilvl w:val="0"/>
          <w:numId w:val="3"/>
        </w:numPr>
      </w:pPr>
      <w:r w:rsidRPr="00717B3A">
        <w:t xml:space="preserve">Test results (Q17-Q22 in MA-Only and MA-PD survey versions)  </w:t>
      </w:r>
    </w:p>
    <w:p w:rsidR="005759FD" w:rsidRDefault="00717B3A">
      <w:pPr>
        <w:spacing w:after="0" w:line="259" w:lineRule="auto"/>
        <w:ind w:left="0" w:firstLine="0"/>
      </w:pPr>
      <w:r>
        <w:t xml:space="preserve"> </w:t>
      </w:r>
    </w:p>
    <w:p w:rsidR="005759FD" w:rsidRDefault="00717B3A">
      <w:pPr>
        <w:pStyle w:val="Heading1"/>
        <w:tabs>
          <w:tab w:val="center" w:pos="1603"/>
        </w:tabs>
        <w:ind w:left="-15" w:firstLine="0"/>
      </w:pPr>
      <w:r>
        <w:rPr>
          <w:u w:val="none"/>
        </w:rPr>
        <w:t xml:space="preserve">2. </w:t>
      </w:r>
      <w:r>
        <w:rPr>
          <w:u w:val="none"/>
        </w:rPr>
        <w:tab/>
      </w:r>
      <w:r>
        <w:t>Information Users</w:t>
      </w:r>
      <w:r>
        <w:rPr>
          <w:u w:val="none"/>
        </w:rPr>
        <w:t xml:space="preserve"> </w:t>
      </w:r>
    </w:p>
    <w:p w:rsidR="005759FD" w:rsidRDefault="00717B3A">
      <w:pPr>
        <w:spacing w:after="0" w:line="259" w:lineRule="auto"/>
        <w:ind w:left="0" w:firstLine="0"/>
      </w:pPr>
      <w:r>
        <w:t xml:space="preserve"> </w:t>
      </w:r>
    </w:p>
    <w:p w:rsidR="005759FD" w:rsidRDefault="00717B3A">
      <w:pPr>
        <w:ind w:left="-5"/>
      </w:pPr>
      <w:r>
        <w:t xml:space="preserve">The data collected in this effort will be used by CMS to inform decisions on possible changes to MA &amp; PDP CAHPS survey content and survey administration procedures. </w:t>
      </w:r>
    </w:p>
    <w:p w:rsidR="005759FD" w:rsidRDefault="00717B3A">
      <w:pPr>
        <w:spacing w:after="0" w:line="259" w:lineRule="auto"/>
        <w:ind w:left="0" w:firstLine="0"/>
      </w:pPr>
      <w:r>
        <w:t xml:space="preserve"> </w:t>
      </w:r>
    </w:p>
    <w:p w:rsidR="005759FD" w:rsidRDefault="00717B3A">
      <w:pPr>
        <w:pStyle w:val="Heading1"/>
        <w:tabs>
          <w:tab w:val="center" w:pos="2727"/>
        </w:tabs>
        <w:ind w:left="-15" w:firstLine="0"/>
      </w:pPr>
      <w:r>
        <w:rPr>
          <w:u w:val="none"/>
        </w:rPr>
        <w:t xml:space="preserve">3. </w:t>
      </w:r>
      <w:r>
        <w:rPr>
          <w:u w:val="none"/>
        </w:rPr>
        <w:tab/>
      </w:r>
      <w:r>
        <w:t>Use of Improved Information Technology</w:t>
      </w:r>
      <w:r>
        <w:rPr>
          <w:u w:val="none"/>
        </w:rPr>
        <w:t xml:space="preserve"> </w:t>
      </w:r>
    </w:p>
    <w:p w:rsidR="005759FD" w:rsidRDefault="00717B3A">
      <w:pPr>
        <w:spacing w:after="0" w:line="259" w:lineRule="auto"/>
        <w:ind w:left="0" w:firstLine="0"/>
      </w:pPr>
      <w:r>
        <w:t xml:space="preserve"> </w:t>
      </w:r>
    </w:p>
    <w:p w:rsidR="005759FD" w:rsidRDefault="00717B3A">
      <w:pPr>
        <w:ind w:left="-5"/>
      </w:pPr>
      <w:r>
        <w:t xml:space="preserve">There are no barriers or obstacles that prohibit the use of improved technology for this information collection activity. CMS will provide its contractor with the sample of enrollees in each MA (with or without Part D coverage) and PDP contract. The data collection protocol is mixed mode (one arm will be mail with telephone follow-up of non-respondents, and the second arm will be web, followed by up to two surveys by mail to non-respondents, followed by telephone follow-up to remaining non-respondents). </w:t>
      </w:r>
    </w:p>
    <w:p w:rsidR="005759FD" w:rsidRDefault="00717B3A">
      <w:pPr>
        <w:spacing w:after="0" w:line="259" w:lineRule="auto"/>
        <w:ind w:left="0" w:firstLine="0"/>
      </w:pPr>
      <w:r>
        <w:t xml:space="preserve"> </w:t>
      </w:r>
    </w:p>
    <w:p w:rsidR="005759FD" w:rsidRDefault="00717B3A">
      <w:pPr>
        <w:pStyle w:val="Heading1"/>
        <w:tabs>
          <w:tab w:val="center" w:pos="1757"/>
        </w:tabs>
        <w:ind w:left="-15" w:firstLine="0"/>
      </w:pPr>
      <w:r>
        <w:rPr>
          <w:u w:val="none"/>
        </w:rPr>
        <w:t xml:space="preserve">4. </w:t>
      </w:r>
      <w:r>
        <w:rPr>
          <w:u w:val="none"/>
        </w:rPr>
        <w:tab/>
      </w:r>
      <w:r>
        <w:t>Duplication of Efforts</w:t>
      </w:r>
      <w:r>
        <w:rPr>
          <w:u w:val="none"/>
        </w:rPr>
        <w:t xml:space="preserve"> </w:t>
      </w:r>
    </w:p>
    <w:p w:rsidR="005759FD" w:rsidRDefault="00717B3A">
      <w:pPr>
        <w:spacing w:after="0" w:line="259" w:lineRule="auto"/>
        <w:ind w:left="0" w:firstLine="0"/>
      </w:pPr>
      <w:r>
        <w:t xml:space="preserve"> </w:t>
      </w:r>
    </w:p>
    <w:p w:rsidR="005759FD" w:rsidRDefault="00717B3A">
      <w:pPr>
        <w:ind w:left="-5"/>
      </w:pPr>
      <w:r>
        <w:t xml:space="preserve">CMS is conducting the MA &amp; PDP CAHPS Survey for MA and PDP enrollees in 2022. However, CMS’s contractor will use unused sample from the 2022 MA &amp; PDP CAHPS Survey to administer this field test; thus, there is no duplication of effort. </w:t>
      </w:r>
    </w:p>
    <w:p w:rsidR="00717B3A" w:rsidRDefault="00717B3A">
      <w:pPr>
        <w:ind w:left="-5"/>
      </w:pPr>
    </w:p>
    <w:p w:rsidR="005759FD" w:rsidP="00717B3A" w:rsidRDefault="00717B3A">
      <w:pPr>
        <w:spacing w:after="0" w:line="259" w:lineRule="auto"/>
        <w:ind w:left="0" w:firstLine="0"/>
      </w:pPr>
      <w:r>
        <w:t xml:space="preserve"> </w:t>
      </w:r>
      <w:r>
        <w:rPr>
          <w:u w:color="000000"/>
        </w:rPr>
        <w:t xml:space="preserve">5. </w:t>
      </w:r>
      <w:r>
        <w:rPr>
          <w:u w:color="000000"/>
        </w:rPr>
        <w:tab/>
      </w:r>
      <w:r w:rsidRPr="00717B3A">
        <w:rPr>
          <w:u w:val="single"/>
        </w:rPr>
        <w:t>Small Business</w:t>
      </w:r>
      <w:r>
        <w:rPr>
          <w:u w:color="000000"/>
        </w:rPr>
        <w:t xml:space="preserve"> </w:t>
      </w:r>
    </w:p>
    <w:p w:rsidR="005759FD" w:rsidRDefault="00717B3A">
      <w:pPr>
        <w:spacing w:after="0" w:line="259" w:lineRule="auto"/>
        <w:ind w:left="0" w:firstLine="0"/>
      </w:pPr>
      <w:r>
        <w:t xml:space="preserve"> </w:t>
      </w:r>
    </w:p>
    <w:p w:rsidR="005759FD" w:rsidRDefault="00717B3A">
      <w:pPr>
        <w:ind w:left="-5"/>
      </w:pPr>
      <w:r>
        <w:t xml:space="preserve">Survey respondents are MA or PDP enrollees. MA and PDP contracts that participate in the field test will not pay anything in order for their enrollees to be sampled for the field test survey. The survey instruments and procedures for completing the instruments are designed to minimize </w:t>
      </w:r>
      <w:r>
        <w:lastRenderedPageBreak/>
        <w:t xml:space="preserve">burden on all respondents and will not have a significant impact on small businesses or other small entities.  </w:t>
      </w:r>
    </w:p>
    <w:p w:rsidR="005759FD" w:rsidRDefault="00717B3A">
      <w:pPr>
        <w:spacing w:after="0" w:line="259" w:lineRule="auto"/>
        <w:ind w:left="0" w:firstLine="0"/>
      </w:pPr>
      <w:r>
        <w:t xml:space="preserve"> </w:t>
      </w:r>
    </w:p>
    <w:p w:rsidR="005759FD" w:rsidRDefault="00717B3A">
      <w:pPr>
        <w:tabs>
          <w:tab w:val="center" w:pos="1911"/>
        </w:tabs>
        <w:spacing w:after="0" w:line="259" w:lineRule="auto"/>
        <w:ind w:left="-15" w:firstLine="0"/>
      </w:pPr>
      <w:r>
        <w:t xml:space="preserve">6. </w:t>
      </w:r>
      <w:r>
        <w:tab/>
      </w:r>
      <w:r>
        <w:rPr>
          <w:u w:val="single" w:color="000000"/>
        </w:rPr>
        <w:t>Less Frequent Collection</w:t>
      </w:r>
      <w:r>
        <w:t xml:space="preserve"> </w:t>
      </w:r>
    </w:p>
    <w:p w:rsidR="005759FD" w:rsidRDefault="00717B3A">
      <w:pPr>
        <w:spacing w:after="0" w:line="259" w:lineRule="auto"/>
        <w:ind w:left="0" w:firstLine="0"/>
      </w:pPr>
      <w:r>
        <w:t xml:space="preserve"> </w:t>
      </w:r>
    </w:p>
    <w:p w:rsidR="005759FD" w:rsidRDefault="00717B3A">
      <w:pPr>
        <w:ind w:left="-5"/>
      </w:pPr>
      <w:r>
        <w:t xml:space="preserve">This data collection effort will be conducted only once. It will not be repeated at a future date.  </w:t>
      </w:r>
    </w:p>
    <w:p w:rsidR="005759FD" w:rsidRDefault="00717B3A">
      <w:pPr>
        <w:spacing w:after="0" w:line="259" w:lineRule="auto"/>
        <w:ind w:left="0" w:firstLine="0"/>
      </w:pPr>
      <w:r>
        <w:t xml:space="preserve"> </w:t>
      </w:r>
    </w:p>
    <w:p w:rsidR="005759FD" w:rsidRDefault="00717B3A">
      <w:pPr>
        <w:pStyle w:val="Heading1"/>
        <w:tabs>
          <w:tab w:val="center" w:pos="1798"/>
        </w:tabs>
        <w:ind w:left="-15" w:firstLine="0"/>
      </w:pPr>
      <w:r>
        <w:rPr>
          <w:u w:val="none"/>
        </w:rPr>
        <w:t xml:space="preserve">7. </w:t>
      </w:r>
      <w:r>
        <w:rPr>
          <w:u w:val="none"/>
        </w:rPr>
        <w:tab/>
      </w:r>
      <w:r>
        <w:t>Special Circumstances</w:t>
      </w:r>
      <w:r>
        <w:rPr>
          <w:u w:val="none"/>
        </w:rPr>
        <w:t xml:space="preserve"> </w:t>
      </w:r>
    </w:p>
    <w:p w:rsidR="005759FD" w:rsidRDefault="00717B3A">
      <w:pPr>
        <w:spacing w:after="0" w:line="259" w:lineRule="auto"/>
        <w:ind w:left="0" w:firstLine="0"/>
      </w:pPr>
      <w:r>
        <w:t xml:space="preserve"> </w:t>
      </w:r>
    </w:p>
    <w:p w:rsidR="005759FD" w:rsidRDefault="00717B3A">
      <w:pPr>
        <w:ind w:left="-5"/>
      </w:pPr>
      <w:r>
        <w:t xml:space="preserve">There are no special circumstances that would require an information collection to be conducted in a manner that requires respondents to:  </w:t>
      </w:r>
    </w:p>
    <w:p w:rsidR="005759FD" w:rsidRDefault="00717B3A">
      <w:pPr>
        <w:spacing w:after="0" w:line="259" w:lineRule="auto"/>
        <w:ind w:left="0" w:firstLine="0"/>
      </w:pPr>
      <w:r>
        <w:t xml:space="preserve"> </w:t>
      </w:r>
    </w:p>
    <w:p w:rsidR="005759FD" w:rsidRDefault="00717B3A">
      <w:pPr>
        <w:ind w:left="-5"/>
      </w:pPr>
      <w:r>
        <w:t xml:space="preserve">-Report information to the agency more often than quarterly; </w:t>
      </w:r>
    </w:p>
    <w:p w:rsidR="005759FD" w:rsidRDefault="00717B3A">
      <w:pPr>
        <w:spacing w:after="0" w:line="259" w:lineRule="auto"/>
        <w:ind w:left="0" w:firstLine="0"/>
      </w:pPr>
      <w:r>
        <w:t xml:space="preserve"> </w:t>
      </w:r>
    </w:p>
    <w:p w:rsidR="005759FD" w:rsidRDefault="00717B3A">
      <w:pPr>
        <w:ind w:left="-5"/>
      </w:pPr>
      <w:r>
        <w:t xml:space="preserve">-Prepare a written response to a collection of information in fewer than 30 days after receipt of it; </w:t>
      </w:r>
    </w:p>
    <w:p w:rsidR="005759FD" w:rsidRDefault="00717B3A">
      <w:pPr>
        <w:spacing w:after="0" w:line="259" w:lineRule="auto"/>
        <w:ind w:left="0" w:firstLine="0"/>
      </w:pPr>
      <w:r>
        <w:t xml:space="preserve"> </w:t>
      </w:r>
    </w:p>
    <w:p w:rsidR="005759FD" w:rsidRDefault="00717B3A">
      <w:pPr>
        <w:ind w:left="-5"/>
      </w:pPr>
      <w:r>
        <w:t xml:space="preserve">-Submit more than an original and two copies of any document; </w:t>
      </w:r>
    </w:p>
    <w:p w:rsidR="005759FD" w:rsidRDefault="00717B3A">
      <w:pPr>
        <w:spacing w:after="0" w:line="259" w:lineRule="auto"/>
        <w:ind w:left="0" w:firstLine="0"/>
      </w:pPr>
      <w:r>
        <w:t xml:space="preserve"> </w:t>
      </w:r>
    </w:p>
    <w:p w:rsidR="005759FD" w:rsidRDefault="00717B3A">
      <w:pPr>
        <w:ind w:left="-5"/>
      </w:pPr>
      <w:r>
        <w:t xml:space="preserve">-Retain records, other than health, medical, government contract, grant-in-aid, or tax records for more than three years; </w:t>
      </w:r>
    </w:p>
    <w:p w:rsidR="005759FD" w:rsidRDefault="00717B3A">
      <w:pPr>
        <w:spacing w:after="0" w:line="259" w:lineRule="auto"/>
        <w:ind w:left="0" w:firstLine="0"/>
      </w:pPr>
      <w:r>
        <w:t xml:space="preserve"> </w:t>
      </w:r>
    </w:p>
    <w:p w:rsidR="005759FD" w:rsidRDefault="00717B3A">
      <w:pPr>
        <w:ind w:left="-5"/>
      </w:pPr>
      <w:r>
        <w:t xml:space="preserve">-Collect data in connection with a statistical survey that is not designed to produce valid and reliable results that can be generalized to the universe of study; </w:t>
      </w:r>
    </w:p>
    <w:p w:rsidR="005759FD" w:rsidRDefault="00717B3A">
      <w:pPr>
        <w:spacing w:after="0" w:line="259" w:lineRule="auto"/>
        <w:ind w:left="0" w:firstLine="0"/>
      </w:pPr>
      <w:r>
        <w:t xml:space="preserve"> </w:t>
      </w:r>
    </w:p>
    <w:p w:rsidR="005759FD" w:rsidRDefault="00717B3A">
      <w:pPr>
        <w:ind w:left="-5"/>
      </w:pPr>
      <w:r>
        <w:t xml:space="preserve">-Use a statistical data classification that has not been reviewed and approved by OMB; </w:t>
      </w:r>
    </w:p>
    <w:p w:rsidR="005759FD" w:rsidRDefault="00717B3A">
      <w:pPr>
        <w:spacing w:after="0" w:line="259" w:lineRule="auto"/>
        <w:ind w:left="0" w:firstLine="0"/>
      </w:pPr>
      <w:r>
        <w:t xml:space="preserve"> </w:t>
      </w:r>
    </w:p>
    <w:p w:rsidR="005759FD" w:rsidRDefault="00717B3A">
      <w:pPr>
        <w:ind w:left="-5"/>
      </w:pPr>
      <w:r>
        <w:t xml:space="preserve">-Include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5759FD" w:rsidRDefault="00717B3A">
      <w:pPr>
        <w:spacing w:after="0" w:line="259" w:lineRule="auto"/>
        <w:ind w:left="0" w:firstLine="0"/>
      </w:pPr>
      <w:r>
        <w:t xml:space="preserve"> </w:t>
      </w:r>
    </w:p>
    <w:p w:rsidR="005759FD" w:rsidRDefault="00717B3A">
      <w:pPr>
        <w:ind w:left="-5"/>
      </w:pPr>
      <w:r>
        <w:t xml:space="preserve">-Submit proprietary trade secret, or other confidential information unless the agency can demonstrate that it has instituted procedures to protect the information's confidentiality to the extent permitted by law. </w:t>
      </w:r>
    </w:p>
    <w:p w:rsidR="005759FD" w:rsidRDefault="00717B3A">
      <w:pPr>
        <w:spacing w:after="0" w:line="259" w:lineRule="auto"/>
        <w:ind w:left="0" w:firstLine="0"/>
      </w:pPr>
      <w:r>
        <w:t xml:space="preserve"> </w:t>
      </w:r>
    </w:p>
    <w:p w:rsidR="005759FD" w:rsidRDefault="00717B3A">
      <w:pPr>
        <w:tabs>
          <w:tab w:val="center" w:pos="2583"/>
        </w:tabs>
        <w:spacing w:after="0" w:line="259" w:lineRule="auto"/>
        <w:ind w:left="-15" w:firstLine="0"/>
      </w:pPr>
      <w:r>
        <w:t xml:space="preserve">8. </w:t>
      </w:r>
      <w:r>
        <w:tab/>
      </w:r>
      <w:r>
        <w:rPr>
          <w:u w:val="single" w:color="000000"/>
        </w:rPr>
        <w:t>Federal Register/Outside Consultation</w:t>
      </w:r>
      <w:r>
        <w:t xml:space="preserve">  </w:t>
      </w:r>
    </w:p>
    <w:p w:rsidR="005759FD" w:rsidRDefault="00717B3A">
      <w:pPr>
        <w:spacing w:after="0" w:line="259" w:lineRule="auto"/>
        <w:ind w:left="0" w:firstLine="0"/>
      </w:pPr>
      <w:r>
        <w:t xml:space="preserve"> </w:t>
      </w:r>
    </w:p>
    <w:p w:rsidR="00C41981" w:rsidP="00C41981" w:rsidRDefault="00717B3A">
      <w:pPr>
        <w:ind w:left="-5"/>
      </w:pPr>
      <w:r>
        <w:t xml:space="preserve">The 60-day Federal Register Notice was published in the Federal Register </w:t>
      </w:r>
      <w:r w:rsidRPr="00C41981">
        <w:t xml:space="preserve">on </w:t>
      </w:r>
      <w:r w:rsidRPr="00C41981" w:rsidR="00C41981">
        <w:t xml:space="preserve">11/09/2021 </w:t>
      </w:r>
      <w:r w:rsidRPr="00C41981">
        <w:t>(</w:t>
      </w:r>
      <w:r w:rsidRPr="00C41981" w:rsidR="00C41981">
        <w:t>86 FR 62173</w:t>
      </w:r>
      <w:r w:rsidRPr="00C41981">
        <w:t>).</w:t>
      </w:r>
      <w:r>
        <w:t xml:space="preserve">  </w:t>
      </w:r>
    </w:p>
    <w:p w:rsidR="00C41981" w:rsidP="00C41981" w:rsidRDefault="00717B3A">
      <w:pPr>
        <w:ind w:left="-5"/>
      </w:pPr>
      <w:r>
        <w:t>One comment was received during the comment period and CMS has provided their response within</w:t>
      </w:r>
      <w:r w:rsidR="00FF7C8B">
        <w:t xml:space="preserve"> the</w:t>
      </w:r>
      <w:r>
        <w:t xml:space="preserve"> attached Response to </w:t>
      </w:r>
      <w:r w:rsidR="00FF7C8B">
        <w:t>C</w:t>
      </w:r>
      <w:r>
        <w:t>omment document.</w:t>
      </w:r>
    </w:p>
    <w:p w:rsidR="00C41981" w:rsidP="00C41981" w:rsidRDefault="00C41981">
      <w:pPr>
        <w:ind w:left="-5"/>
      </w:pPr>
    </w:p>
    <w:p w:rsidR="00C41981" w:rsidP="00C41981" w:rsidRDefault="00C41981">
      <w:pPr>
        <w:ind w:left="-5"/>
      </w:pPr>
      <w:r>
        <w:lastRenderedPageBreak/>
        <w:t>The 30-day Federal Register Notice was published in the Federal Register on</w:t>
      </w:r>
      <w:r w:rsidR="008317A6">
        <w:t xml:space="preserve"> </w:t>
      </w:r>
      <w:r w:rsidRPr="008317A6" w:rsidR="008317A6">
        <w:t xml:space="preserve">02/04/2022 </w:t>
      </w:r>
      <w:r w:rsidRPr="008317A6">
        <w:t>(</w:t>
      </w:r>
      <w:r w:rsidRPr="008317A6" w:rsidR="008317A6">
        <w:t>87 FR 6565</w:t>
      </w:r>
      <w:r w:rsidRPr="008317A6">
        <w:t xml:space="preserve">).  </w:t>
      </w:r>
    </w:p>
    <w:p w:rsidR="008317A6" w:rsidP="00C41981" w:rsidRDefault="008317A6">
      <w:pPr>
        <w:ind w:left="-5"/>
      </w:pPr>
    </w:p>
    <w:p w:rsidR="005759FD" w:rsidRDefault="00717B3A">
      <w:pPr>
        <w:pStyle w:val="Heading1"/>
        <w:tabs>
          <w:tab w:val="center" w:pos="2219"/>
        </w:tabs>
        <w:ind w:left="-15" w:firstLine="0"/>
      </w:pPr>
      <w:r>
        <w:rPr>
          <w:u w:val="none"/>
        </w:rPr>
        <w:t xml:space="preserve">9. </w:t>
      </w:r>
      <w:r>
        <w:rPr>
          <w:u w:val="none"/>
        </w:rPr>
        <w:tab/>
      </w:r>
      <w:r>
        <w:t>Payment/Gifts to Respondents</w:t>
      </w:r>
      <w:r>
        <w:rPr>
          <w:u w:val="none"/>
        </w:rPr>
        <w:t xml:space="preserve"> </w:t>
      </w:r>
    </w:p>
    <w:p w:rsidR="005759FD" w:rsidRDefault="00717B3A">
      <w:pPr>
        <w:spacing w:after="0" w:line="259" w:lineRule="auto"/>
        <w:ind w:left="0" w:firstLine="0"/>
      </w:pPr>
      <w:r>
        <w:t xml:space="preserve"> </w:t>
      </w:r>
    </w:p>
    <w:p w:rsidR="005759FD" w:rsidRDefault="00717B3A">
      <w:pPr>
        <w:ind w:left="-5"/>
      </w:pPr>
      <w:r>
        <w:t xml:space="preserve">Respondents do not receive any payments or gifts for their participation. Data collected provide CMS with information on the quality of care delivered to Medicare beneficiaries. </w:t>
      </w:r>
    </w:p>
    <w:p w:rsidR="005759FD" w:rsidRDefault="00717B3A">
      <w:pPr>
        <w:spacing w:after="0" w:line="259" w:lineRule="auto"/>
        <w:ind w:left="0" w:firstLine="0"/>
      </w:pPr>
      <w:r>
        <w:t xml:space="preserve"> </w:t>
      </w:r>
    </w:p>
    <w:p w:rsidR="005759FD" w:rsidRDefault="00717B3A">
      <w:pPr>
        <w:pStyle w:val="Heading1"/>
        <w:tabs>
          <w:tab w:val="center" w:pos="1437"/>
        </w:tabs>
        <w:ind w:left="-15" w:firstLine="0"/>
      </w:pPr>
      <w:r>
        <w:rPr>
          <w:u w:val="none"/>
        </w:rPr>
        <w:t xml:space="preserve">10. </w:t>
      </w:r>
      <w:r>
        <w:rPr>
          <w:u w:val="none"/>
        </w:rPr>
        <w:tab/>
      </w:r>
      <w:r>
        <w:t>Confidentiality</w:t>
      </w:r>
      <w:r>
        <w:rPr>
          <w:u w:val="none"/>
        </w:rPr>
        <w:t xml:space="preserve">  </w:t>
      </w:r>
    </w:p>
    <w:p w:rsidR="005759FD" w:rsidRDefault="00717B3A">
      <w:pPr>
        <w:spacing w:after="0" w:line="259" w:lineRule="auto"/>
        <w:ind w:left="0" w:firstLine="0"/>
      </w:pPr>
      <w:r>
        <w:t xml:space="preserve"> </w:t>
      </w:r>
    </w:p>
    <w:p w:rsidR="005759FD" w:rsidRDefault="00717B3A">
      <w:pPr>
        <w:ind w:left="-5"/>
      </w:pPr>
      <w:r>
        <w:t>Individuals and organizations contacted are assured of the confidentiality of their replies under 42 U.S.C. 1306, 20 CFR parts 401 and 422, 5 U.S.C. 552 (Freedom of Information Act), 5 U.S.C. 552a (Privacy Act of 1974), and OMB Circular No.</w:t>
      </w:r>
      <w:r w:rsidR="001D6EDB">
        <w:t xml:space="preserve"> </w:t>
      </w:r>
      <w:r>
        <w:t>A-130. In instances where respondent identity is needed, the information collection fully complies with all respects of the Privacy Act. The System of Records is HPMS No. 09-70-0500 (</w:t>
      </w:r>
      <w:r w:rsidR="00AF18EC">
        <w:t>February</w:t>
      </w:r>
      <w:r>
        <w:t xml:space="preserve"> 14, 20</w:t>
      </w:r>
      <w:r w:rsidR="00AF18EC">
        <w:t>1</w:t>
      </w:r>
      <w:r>
        <w:t xml:space="preserve">8; </w:t>
      </w:r>
      <w:r w:rsidR="00AF18EC">
        <w:t>83</w:t>
      </w:r>
      <w:r>
        <w:t xml:space="preserve"> FR </w:t>
      </w:r>
      <w:r w:rsidR="00AF18EC">
        <w:t>6591</w:t>
      </w:r>
      <w:r>
        <w:t>).</w:t>
      </w:r>
      <w:r>
        <w:rPr>
          <w:rFonts w:ascii="Times New Roman" w:hAnsi="Times New Roman" w:eastAsia="Times New Roman" w:cs="Times New Roman"/>
        </w:rPr>
        <w:t xml:space="preserve"> </w:t>
      </w:r>
    </w:p>
    <w:p w:rsidR="005759FD" w:rsidRDefault="00717B3A">
      <w:pPr>
        <w:spacing w:after="0" w:line="259" w:lineRule="auto"/>
        <w:ind w:left="0" w:firstLine="0"/>
      </w:pPr>
      <w:r>
        <w:t xml:space="preserve"> </w:t>
      </w:r>
    </w:p>
    <w:p w:rsidR="005759FD" w:rsidRDefault="00717B3A">
      <w:pPr>
        <w:pStyle w:val="Heading1"/>
        <w:tabs>
          <w:tab w:val="center" w:pos="1674"/>
        </w:tabs>
        <w:ind w:left="-15" w:firstLine="0"/>
      </w:pPr>
      <w:r>
        <w:rPr>
          <w:u w:val="none"/>
        </w:rPr>
        <w:t xml:space="preserve">11. </w:t>
      </w:r>
      <w:r>
        <w:rPr>
          <w:u w:val="none"/>
        </w:rPr>
        <w:tab/>
      </w:r>
      <w:r>
        <w:t>Sensitive Questions</w:t>
      </w:r>
      <w:r>
        <w:rPr>
          <w:u w:val="none"/>
        </w:rPr>
        <w:t xml:space="preserve"> </w:t>
      </w:r>
    </w:p>
    <w:p w:rsidR="005759FD" w:rsidRDefault="00717B3A">
      <w:pPr>
        <w:spacing w:after="0" w:line="259" w:lineRule="auto"/>
        <w:ind w:left="0" w:firstLine="0"/>
      </w:pPr>
      <w:r>
        <w:t xml:space="preserve"> </w:t>
      </w:r>
    </w:p>
    <w:p w:rsidR="005759FD" w:rsidRDefault="00717B3A">
      <w:pPr>
        <w:ind w:left="-5"/>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5759FD" w:rsidRDefault="00717B3A">
      <w:pPr>
        <w:spacing w:after="0" w:line="259" w:lineRule="auto"/>
        <w:ind w:left="0" w:firstLine="0"/>
      </w:pPr>
      <w:r>
        <w:t xml:space="preserve"> </w:t>
      </w:r>
    </w:p>
    <w:p w:rsidR="005759FD" w:rsidRDefault="00717B3A">
      <w:pPr>
        <w:tabs>
          <w:tab w:val="center" w:pos="2384"/>
        </w:tabs>
        <w:spacing w:after="0" w:line="259" w:lineRule="auto"/>
        <w:ind w:left="-15" w:firstLine="0"/>
      </w:pPr>
      <w:r>
        <w:t xml:space="preserve">12. </w:t>
      </w:r>
      <w:r>
        <w:tab/>
      </w:r>
      <w:r>
        <w:rPr>
          <w:u w:val="single" w:color="000000"/>
        </w:rPr>
        <w:t>Burden Estimate (Hours &amp; Wages)</w:t>
      </w:r>
      <w:r>
        <w:t xml:space="preserve"> </w:t>
      </w:r>
    </w:p>
    <w:p w:rsidR="005759FD" w:rsidRDefault="00717B3A">
      <w:pPr>
        <w:spacing w:after="0" w:line="259" w:lineRule="auto"/>
        <w:ind w:left="0" w:firstLine="0"/>
      </w:pPr>
      <w:r>
        <w:t xml:space="preserve"> </w:t>
      </w:r>
    </w:p>
    <w:p w:rsidR="005759FD" w:rsidRDefault="00717B3A">
      <w:pPr>
        <w:pStyle w:val="Heading1"/>
        <w:ind w:left="-5"/>
      </w:pPr>
      <w:r>
        <w:rPr>
          <w:i/>
          <w:u w:val="none"/>
        </w:rPr>
        <w:t xml:space="preserve">Wage Estimates </w:t>
      </w:r>
    </w:p>
    <w:p w:rsidR="005759FD" w:rsidRDefault="00717B3A">
      <w:pPr>
        <w:spacing w:after="0" w:line="259" w:lineRule="auto"/>
        <w:ind w:left="0" w:firstLine="0"/>
      </w:pPr>
      <w:r>
        <w:t xml:space="preserve"> </w:t>
      </w:r>
    </w:p>
    <w:p w:rsidR="005759FD" w:rsidRDefault="00717B3A">
      <w:pPr>
        <w:ind w:left="-5"/>
      </w:pPr>
      <w:r>
        <w:t xml:space="preserve">To derive average costs for individuals we used data from the U.S. Bureau of Labor Statistics’ </w:t>
      </w:r>
    </w:p>
    <w:p w:rsidR="005759FD" w:rsidRDefault="00717B3A">
      <w:pPr>
        <w:ind w:left="-5"/>
      </w:pPr>
      <w:r>
        <w:t xml:space="preserve">May 2020 National Occupational Employment and Wage Estimates for our salary estimate </w:t>
      </w:r>
    </w:p>
    <w:p w:rsidR="005759FD" w:rsidRDefault="00F85838">
      <w:pPr>
        <w:ind w:left="-5"/>
      </w:pPr>
      <w:hyperlink r:id="rId9">
        <w:r w:rsidR="00717B3A">
          <w:t>(</w:t>
        </w:r>
      </w:hyperlink>
      <w:hyperlink r:id="rId10">
        <w:r w:rsidR="00717B3A">
          <w:rPr>
            <w:u w:val="single" w:color="000000"/>
          </w:rPr>
          <w:t>www.bls.gov/oes/current/oes_nat.htm</w:t>
        </w:r>
      </w:hyperlink>
      <w:hyperlink r:id="rId11">
        <w:r w:rsidR="00717B3A">
          <w:t>)</w:t>
        </w:r>
      </w:hyperlink>
      <w:r w:rsidR="00717B3A">
        <w:t xml:space="preserve">. We believe that the burden will be addressed under All Occupations (occupation code 00-0000) at $27.07/hour since the group of individual respondents varies widely from working and nonworking individuals and by respondent age, location, years of employment, educational attainment, etc. </w:t>
      </w:r>
    </w:p>
    <w:p w:rsidR="005759FD" w:rsidRDefault="00717B3A">
      <w:pPr>
        <w:spacing w:after="0" w:line="259" w:lineRule="auto"/>
        <w:ind w:left="0" w:firstLine="0"/>
      </w:pPr>
      <w:r>
        <w:t xml:space="preserve"> </w:t>
      </w:r>
    </w:p>
    <w:p w:rsidR="005759FD" w:rsidRDefault="00717B3A">
      <w:pPr>
        <w:ind w:left="-5"/>
      </w:pPr>
      <w:r>
        <w:t xml:space="preserve">We are not adjusting this figure for fringe benefits and overhead since the individuals’ activities would occur outside the scope of their employment.  </w:t>
      </w:r>
    </w:p>
    <w:p w:rsidR="005759FD" w:rsidRDefault="00717B3A">
      <w:pPr>
        <w:spacing w:after="0" w:line="259" w:lineRule="auto"/>
        <w:ind w:left="0" w:firstLine="0"/>
      </w:pPr>
      <w:r>
        <w:t xml:space="preserve"> </w:t>
      </w:r>
    </w:p>
    <w:p w:rsidR="00717B3A" w:rsidRDefault="00717B3A">
      <w:pPr>
        <w:spacing w:after="0" w:line="259" w:lineRule="auto"/>
        <w:ind w:left="0" w:firstLine="0"/>
      </w:pPr>
    </w:p>
    <w:p w:rsidR="005759FD" w:rsidRDefault="00717B3A">
      <w:pPr>
        <w:pStyle w:val="Heading1"/>
        <w:ind w:left="-5"/>
      </w:pPr>
      <w:r>
        <w:rPr>
          <w:i/>
          <w:u w:val="none"/>
        </w:rPr>
        <w:t xml:space="preserve">Burden Estimates </w:t>
      </w:r>
    </w:p>
    <w:p w:rsidR="005759FD" w:rsidRDefault="00717B3A">
      <w:pPr>
        <w:spacing w:after="0" w:line="259" w:lineRule="auto"/>
        <w:ind w:left="0" w:firstLine="0"/>
      </w:pPr>
      <w:r>
        <w:t xml:space="preserve"> </w:t>
      </w:r>
    </w:p>
    <w:p w:rsidR="005759FD" w:rsidRDefault="00717B3A">
      <w:pPr>
        <w:ind w:left="-5"/>
      </w:pPr>
      <w:r>
        <w:t xml:space="preserve">The MA &amp; PDP CAHPS field test survey will be conducted one time. The CAHPS survey takes on average 14 minutes to complete. This burden varies by survey type as shown below. For the </w:t>
      </w:r>
      <w:r>
        <w:lastRenderedPageBreak/>
        <w:t>total sample of 5,000 members, the total burden to complete the survey is approximately the sum of MA</w:t>
      </w:r>
      <w:r>
        <w:rPr>
          <w:vertAlign w:val="superscript"/>
        </w:rPr>
        <w:footnoteReference w:id="2"/>
      </w:r>
      <w:r>
        <w:t xml:space="preserve"> (0.28 hours x 4,000) and PDP (0.17 hours x 1,000), or 1,290 hours.  </w:t>
      </w:r>
    </w:p>
    <w:p w:rsidR="005759FD" w:rsidRDefault="00717B3A">
      <w:pPr>
        <w:spacing w:after="0" w:line="259" w:lineRule="auto"/>
        <w:ind w:left="0" w:firstLine="0"/>
      </w:pPr>
      <w:r>
        <w:t xml:space="preserve"> </w:t>
      </w:r>
    </w:p>
    <w:p w:rsidR="005759FD" w:rsidRDefault="00717B3A">
      <w:pPr>
        <w:ind w:left="-5"/>
      </w:pPr>
      <w:r>
        <w:t xml:space="preserve">The reason for the variation in burden hours by survey type is that the CAHPS survey has specific questions relevant to the Medicare plan in which a sample member is enrolled, i.e., MA-Only, MA-PD, or PDP.  </w:t>
      </w:r>
    </w:p>
    <w:p w:rsidR="005759FD" w:rsidRDefault="00717B3A">
      <w:pPr>
        <w:spacing w:after="0" w:line="259" w:lineRule="auto"/>
        <w:ind w:left="0" w:firstLine="0"/>
      </w:pPr>
      <w:r>
        <w:t xml:space="preserve"> </w:t>
      </w:r>
    </w:p>
    <w:p w:rsidR="005759FD" w:rsidRDefault="00717B3A">
      <w:pPr>
        <w:spacing w:after="0" w:line="259" w:lineRule="auto"/>
        <w:ind w:left="-5"/>
      </w:pPr>
      <w:r>
        <w:rPr>
          <w:i/>
          <w:u w:val="single" w:color="000000"/>
        </w:rPr>
        <w:t>Time</w:t>
      </w:r>
      <w:r>
        <w:rPr>
          <w:i/>
        </w:rPr>
        <w:t xml:space="preserve"> </w:t>
      </w:r>
    </w:p>
    <w:p w:rsidR="005759FD" w:rsidRDefault="00717B3A">
      <w:pPr>
        <w:tabs>
          <w:tab w:val="center" w:pos="5309"/>
          <w:tab w:val="center" w:pos="8730"/>
        </w:tabs>
        <w:spacing w:after="0" w:line="259" w:lineRule="auto"/>
        <w:ind w:left="0" w:firstLine="0"/>
      </w:pPr>
      <w:r>
        <w:rPr>
          <w:sz w:val="22"/>
        </w:rPr>
        <w:tab/>
      </w:r>
      <w:r>
        <w:rPr>
          <w:b/>
        </w:rPr>
        <w:t xml:space="preserve">Sample by </w:t>
      </w:r>
      <w:r>
        <w:rPr>
          <w:b/>
        </w:rPr>
        <w:tab/>
        <w:t xml:space="preserve">Total </w:t>
      </w:r>
    </w:p>
    <w:p w:rsidR="005759FD" w:rsidRDefault="00717B3A">
      <w:pPr>
        <w:tabs>
          <w:tab w:val="center" w:pos="947"/>
          <w:tab w:val="center" w:pos="2360"/>
          <w:tab w:val="center" w:pos="3753"/>
          <w:tab w:val="center" w:pos="5310"/>
          <w:tab w:val="center" w:pos="7019"/>
          <w:tab w:val="center" w:pos="8730"/>
        </w:tabs>
        <w:spacing w:after="0" w:line="259" w:lineRule="auto"/>
        <w:ind w:left="0" w:firstLine="0"/>
      </w:pPr>
      <w:r>
        <w:rPr>
          <w:sz w:val="22"/>
        </w:rPr>
        <w:tab/>
      </w:r>
      <w:r>
        <w:rPr>
          <w:b/>
        </w:rPr>
        <w:t>Survey Type</w:t>
      </w:r>
      <w:r>
        <w:rPr>
          <w:b/>
          <w:sz w:val="16"/>
        </w:rPr>
        <w:t xml:space="preserve"> </w:t>
      </w:r>
      <w:r>
        <w:rPr>
          <w:b/>
          <w:sz w:val="16"/>
        </w:rPr>
        <w:tab/>
      </w:r>
      <w:r>
        <w:rPr>
          <w:b/>
        </w:rPr>
        <w:t xml:space="preserve">Units </w:t>
      </w:r>
      <w:r>
        <w:rPr>
          <w:b/>
        </w:rPr>
        <w:tab/>
        <w:t xml:space="preserve">Sample/Unit </w:t>
      </w:r>
      <w:r>
        <w:rPr>
          <w:b/>
        </w:rPr>
        <w:tab/>
        <w:t xml:space="preserve">Type </w:t>
      </w:r>
      <w:r>
        <w:rPr>
          <w:b/>
        </w:rPr>
        <w:tab/>
        <w:t xml:space="preserve">Burden/Survey </w:t>
      </w:r>
      <w:r>
        <w:rPr>
          <w:b/>
        </w:rPr>
        <w:tab/>
        <w:t xml:space="preserve">Hours </w:t>
      </w:r>
    </w:p>
    <w:p w:rsidR="005759FD" w:rsidRDefault="00717B3A">
      <w:pPr>
        <w:spacing w:after="60" w:line="259" w:lineRule="auto"/>
        <w:ind w:left="0" w:right="-4" w:firstLine="0"/>
      </w:pPr>
      <w:r>
        <w:rPr>
          <w:noProof/>
          <w:sz w:val="22"/>
        </w:rPr>
        <mc:AlternateContent>
          <mc:Choice Requires="wpg">
            <w:drawing>
              <wp:inline distT="0" distB="0" distL="0" distR="0">
                <wp:extent cx="5943600" cy="12179"/>
                <wp:effectExtent l="0" t="0" r="0" b="0"/>
                <wp:docPr id="5634" name="Group 5634"/>
                <wp:cNvGraphicFramePr/>
                <a:graphic xmlns:a="http://schemas.openxmlformats.org/drawingml/2006/main">
                  <a:graphicData uri="http://schemas.microsoft.com/office/word/2010/wordprocessingGroup">
                    <wpg:wgp>
                      <wpg:cNvGrpSpPr/>
                      <wpg:grpSpPr>
                        <a:xfrm>
                          <a:off x="0" y="0"/>
                          <a:ext cx="5943600" cy="12179"/>
                          <a:chOff x="0" y="0"/>
                          <a:chExt cx="5943600" cy="12179"/>
                        </a:xfrm>
                      </wpg:grpSpPr>
                      <wps:wsp>
                        <wps:cNvPr id="7002" name="Shape 7002"/>
                        <wps:cNvSpPr/>
                        <wps:spPr>
                          <a:xfrm>
                            <a:off x="0" y="0"/>
                            <a:ext cx="1203960" cy="12179"/>
                          </a:xfrm>
                          <a:custGeom>
                            <a:avLst/>
                            <a:gdLst/>
                            <a:ahLst/>
                            <a:cxnLst/>
                            <a:rect l="0" t="0" r="0" b="0"/>
                            <a:pathLst>
                              <a:path w="1203960" h="12179">
                                <a:moveTo>
                                  <a:pt x="0" y="0"/>
                                </a:moveTo>
                                <a:lnTo>
                                  <a:pt x="1203960" y="0"/>
                                </a:lnTo>
                                <a:lnTo>
                                  <a:pt x="1203960"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3" name="Shape 7003"/>
                        <wps:cNvSpPr/>
                        <wps:spPr>
                          <a:xfrm>
                            <a:off x="1203960" y="0"/>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4" name="Shape 7004"/>
                        <wps:cNvSpPr/>
                        <wps:spPr>
                          <a:xfrm>
                            <a:off x="1216152" y="0"/>
                            <a:ext cx="577596" cy="12179"/>
                          </a:xfrm>
                          <a:custGeom>
                            <a:avLst/>
                            <a:gdLst/>
                            <a:ahLst/>
                            <a:cxnLst/>
                            <a:rect l="0" t="0" r="0" b="0"/>
                            <a:pathLst>
                              <a:path w="577596" h="12179">
                                <a:moveTo>
                                  <a:pt x="0" y="0"/>
                                </a:moveTo>
                                <a:lnTo>
                                  <a:pt x="577596" y="0"/>
                                </a:lnTo>
                                <a:lnTo>
                                  <a:pt x="577596"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5" name="Shape 7005"/>
                        <wps:cNvSpPr/>
                        <wps:spPr>
                          <a:xfrm>
                            <a:off x="1793748" y="0"/>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6" name="Shape 7006"/>
                        <wps:cNvSpPr/>
                        <wps:spPr>
                          <a:xfrm>
                            <a:off x="1805940" y="0"/>
                            <a:ext cx="1165860" cy="12179"/>
                          </a:xfrm>
                          <a:custGeom>
                            <a:avLst/>
                            <a:gdLst/>
                            <a:ahLst/>
                            <a:cxnLst/>
                            <a:rect l="0" t="0" r="0" b="0"/>
                            <a:pathLst>
                              <a:path w="1165860" h="12179">
                                <a:moveTo>
                                  <a:pt x="0" y="0"/>
                                </a:moveTo>
                                <a:lnTo>
                                  <a:pt x="1165860" y="0"/>
                                </a:lnTo>
                                <a:lnTo>
                                  <a:pt x="1165860"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7" name="Shape 7007"/>
                        <wps:cNvSpPr/>
                        <wps:spPr>
                          <a:xfrm>
                            <a:off x="2971800" y="0"/>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8" name="Shape 7008"/>
                        <wps:cNvSpPr/>
                        <wps:spPr>
                          <a:xfrm>
                            <a:off x="2983992" y="0"/>
                            <a:ext cx="787908" cy="12179"/>
                          </a:xfrm>
                          <a:custGeom>
                            <a:avLst/>
                            <a:gdLst/>
                            <a:ahLst/>
                            <a:cxnLst/>
                            <a:rect l="0" t="0" r="0" b="0"/>
                            <a:pathLst>
                              <a:path w="787908" h="12179">
                                <a:moveTo>
                                  <a:pt x="0" y="0"/>
                                </a:moveTo>
                                <a:lnTo>
                                  <a:pt x="787908" y="0"/>
                                </a:lnTo>
                                <a:lnTo>
                                  <a:pt x="787908"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9" name="Shape 7009"/>
                        <wps:cNvSpPr/>
                        <wps:spPr>
                          <a:xfrm>
                            <a:off x="3771900" y="0"/>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0" name="Shape 7010"/>
                        <wps:cNvSpPr/>
                        <wps:spPr>
                          <a:xfrm>
                            <a:off x="3784092" y="0"/>
                            <a:ext cx="1357884" cy="12179"/>
                          </a:xfrm>
                          <a:custGeom>
                            <a:avLst/>
                            <a:gdLst/>
                            <a:ahLst/>
                            <a:cxnLst/>
                            <a:rect l="0" t="0" r="0" b="0"/>
                            <a:pathLst>
                              <a:path w="1357884" h="12179">
                                <a:moveTo>
                                  <a:pt x="0" y="0"/>
                                </a:moveTo>
                                <a:lnTo>
                                  <a:pt x="1357884" y="0"/>
                                </a:lnTo>
                                <a:lnTo>
                                  <a:pt x="1357884"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1" name="Shape 7011"/>
                        <wps:cNvSpPr/>
                        <wps:spPr>
                          <a:xfrm>
                            <a:off x="5141976" y="0"/>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2" name="Shape 7012"/>
                        <wps:cNvSpPr/>
                        <wps:spPr>
                          <a:xfrm>
                            <a:off x="5154168" y="0"/>
                            <a:ext cx="789432" cy="12179"/>
                          </a:xfrm>
                          <a:custGeom>
                            <a:avLst/>
                            <a:gdLst/>
                            <a:ahLst/>
                            <a:cxnLst/>
                            <a:rect l="0" t="0" r="0" b="0"/>
                            <a:pathLst>
                              <a:path w="789432" h="12179">
                                <a:moveTo>
                                  <a:pt x="0" y="0"/>
                                </a:moveTo>
                                <a:lnTo>
                                  <a:pt x="789432" y="0"/>
                                </a:lnTo>
                                <a:lnTo>
                                  <a:pt x="789432"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34" style="width:468pt;height:0.958984pt;mso-position-horizontal-relative:char;mso-position-vertical-relative:line" coordsize="59436,121">
                <v:shape id="Shape 7013" style="position:absolute;width:12039;height:121;left:0;top:0;" coordsize="1203960,12179" path="m0,0l1203960,0l1203960,12179l0,12179l0,0">
                  <v:stroke on="false" weight="0pt" color="#000000" opacity="0" miterlimit="10" joinstyle="miter" endcap="flat"/>
                  <v:fill on="true" color="#000000"/>
                </v:shape>
                <v:shape id="Shape 7014" style="position:absolute;width:121;height:121;left:12039;top:0;" coordsize="12192,12179" path="m0,0l12192,0l12192,12179l0,12179l0,0">
                  <v:stroke on="false" weight="0pt" color="#000000" opacity="0" miterlimit="10" joinstyle="miter" endcap="flat"/>
                  <v:fill on="true" color="#000000"/>
                </v:shape>
                <v:shape id="Shape 7015" style="position:absolute;width:5775;height:121;left:12161;top:0;" coordsize="577596,12179" path="m0,0l577596,0l577596,12179l0,12179l0,0">
                  <v:stroke on="false" weight="0pt" color="#000000" opacity="0" miterlimit="10" joinstyle="miter" endcap="flat"/>
                  <v:fill on="true" color="#000000"/>
                </v:shape>
                <v:shape id="Shape 7016" style="position:absolute;width:121;height:121;left:17937;top:0;" coordsize="12192,12179" path="m0,0l12192,0l12192,12179l0,12179l0,0">
                  <v:stroke on="false" weight="0pt" color="#000000" opacity="0" miterlimit="10" joinstyle="miter" endcap="flat"/>
                  <v:fill on="true" color="#000000"/>
                </v:shape>
                <v:shape id="Shape 7017" style="position:absolute;width:11658;height:121;left:18059;top:0;" coordsize="1165860,12179" path="m0,0l1165860,0l1165860,12179l0,12179l0,0">
                  <v:stroke on="false" weight="0pt" color="#000000" opacity="0" miterlimit="10" joinstyle="miter" endcap="flat"/>
                  <v:fill on="true" color="#000000"/>
                </v:shape>
                <v:shape id="Shape 7018" style="position:absolute;width:121;height:121;left:29718;top:0;" coordsize="12192,12179" path="m0,0l12192,0l12192,12179l0,12179l0,0">
                  <v:stroke on="false" weight="0pt" color="#000000" opacity="0" miterlimit="10" joinstyle="miter" endcap="flat"/>
                  <v:fill on="true" color="#000000"/>
                </v:shape>
                <v:shape id="Shape 7019" style="position:absolute;width:7879;height:121;left:29839;top:0;" coordsize="787908,12179" path="m0,0l787908,0l787908,12179l0,12179l0,0">
                  <v:stroke on="false" weight="0pt" color="#000000" opacity="0" miterlimit="10" joinstyle="miter" endcap="flat"/>
                  <v:fill on="true" color="#000000"/>
                </v:shape>
                <v:shape id="Shape 7020" style="position:absolute;width:121;height:121;left:37719;top:0;" coordsize="12192,12179" path="m0,0l12192,0l12192,12179l0,12179l0,0">
                  <v:stroke on="false" weight="0pt" color="#000000" opacity="0" miterlimit="10" joinstyle="miter" endcap="flat"/>
                  <v:fill on="true" color="#000000"/>
                </v:shape>
                <v:shape id="Shape 7021" style="position:absolute;width:13578;height:121;left:37840;top:0;" coordsize="1357884,12179" path="m0,0l1357884,0l1357884,12179l0,12179l0,0">
                  <v:stroke on="false" weight="0pt" color="#000000" opacity="0" miterlimit="10" joinstyle="miter" endcap="flat"/>
                  <v:fill on="true" color="#000000"/>
                </v:shape>
                <v:shape id="Shape 7022" style="position:absolute;width:121;height:121;left:51419;top:0;" coordsize="12179,12179" path="m0,0l12179,0l12179,12179l0,12179l0,0">
                  <v:stroke on="false" weight="0pt" color="#000000" opacity="0" miterlimit="10" joinstyle="miter" endcap="flat"/>
                  <v:fill on="true" color="#000000"/>
                </v:shape>
                <v:shape id="Shape 7023" style="position:absolute;width:7894;height:121;left:51541;top:0;" coordsize="789432,12179" path="m0,0l789432,0l789432,12179l0,12179l0,0">
                  <v:stroke on="false" weight="0pt" color="#000000" opacity="0" miterlimit="10" joinstyle="miter" endcap="flat"/>
                  <v:fill on="true" color="#000000"/>
                </v:shape>
              </v:group>
            </w:pict>
          </mc:Fallback>
        </mc:AlternateContent>
      </w:r>
    </w:p>
    <w:p w:rsidR="005759FD" w:rsidRDefault="00717B3A">
      <w:pPr>
        <w:tabs>
          <w:tab w:val="center" w:pos="2594"/>
          <w:tab w:val="center" w:pos="4393"/>
          <w:tab w:val="center" w:pos="5559"/>
          <w:tab w:val="center" w:pos="7778"/>
          <w:tab w:val="right" w:pos="9356"/>
        </w:tabs>
        <w:ind w:left="0" w:firstLine="0"/>
      </w:pPr>
      <w:r>
        <w:t xml:space="preserve">MA   </w:t>
      </w:r>
      <w:r>
        <w:tab/>
        <w:t xml:space="preserve">40 </w:t>
      </w:r>
      <w:r>
        <w:tab/>
        <w:t xml:space="preserve">100 </w:t>
      </w:r>
      <w:r>
        <w:tab/>
        <w:t xml:space="preserve">4,000 </w:t>
      </w:r>
      <w:r>
        <w:tab/>
        <w:t xml:space="preserve">0.28 </w:t>
      </w:r>
      <w:r>
        <w:tab/>
        <w:t xml:space="preserve">1,120 </w:t>
      </w:r>
    </w:p>
    <w:p w:rsidR="005759FD" w:rsidP="00717B3A" w:rsidRDefault="00717B3A">
      <w:pPr>
        <w:spacing w:after="0" w:line="259" w:lineRule="auto"/>
      </w:pPr>
      <w:r>
        <w:t xml:space="preserve">PDP </w:t>
      </w:r>
      <w:r>
        <w:tab/>
      </w:r>
      <w:r>
        <w:tab/>
      </w:r>
      <w:r>
        <w:tab/>
        <w:t xml:space="preserve">      10 </w:t>
      </w:r>
      <w:r>
        <w:tab/>
        <w:t xml:space="preserve">                         100 </w:t>
      </w:r>
      <w:r>
        <w:tab/>
        <w:t xml:space="preserve">     1,000 </w:t>
      </w:r>
      <w:r>
        <w:tab/>
        <w:t xml:space="preserve">                    0.17 </w:t>
      </w:r>
      <w:r>
        <w:tab/>
        <w:t xml:space="preserve">   170 </w:t>
      </w:r>
      <w:r>
        <w:rPr>
          <w:b/>
        </w:rPr>
        <w:t xml:space="preserve">TOTAL </w:t>
      </w:r>
      <w:proofErr w:type="gramStart"/>
      <w:r>
        <w:rPr>
          <w:b/>
        </w:rPr>
        <w:t xml:space="preserve">HOURS  </w:t>
      </w:r>
      <w:r>
        <w:rPr>
          <w:b/>
        </w:rPr>
        <w:tab/>
      </w:r>
      <w:proofErr w:type="gramEnd"/>
      <w:r>
        <w:rPr>
          <w:b/>
        </w:rPr>
        <w:t xml:space="preserve">       - </w:t>
      </w:r>
      <w:r>
        <w:rPr>
          <w:b/>
        </w:rPr>
        <w:tab/>
        <w:t xml:space="preserve">                </w:t>
      </w:r>
      <w:r>
        <w:rPr>
          <w:b/>
        </w:rPr>
        <w:tab/>
        <w:t xml:space="preserve">- </w:t>
      </w:r>
      <w:r>
        <w:rPr>
          <w:b/>
        </w:rPr>
        <w:tab/>
        <w:t xml:space="preserve">     5,000 </w:t>
      </w:r>
      <w:r>
        <w:rPr>
          <w:b/>
        </w:rPr>
        <w:tab/>
      </w:r>
      <w:r>
        <w:rPr>
          <w:b/>
        </w:rPr>
        <w:tab/>
        <w:t xml:space="preserve">        - </w:t>
      </w:r>
      <w:r>
        <w:rPr>
          <w:b/>
        </w:rPr>
        <w:tab/>
      </w:r>
      <w:r>
        <w:rPr>
          <w:b/>
        </w:rPr>
        <w:tab/>
        <w:t xml:space="preserve">   1,290 </w:t>
      </w:r>
    </w:p>
    <w:p w:rsidR="005759FD" w:rsidRDefault="00717B3A">
      <w:pPr>
        <w:spacing w:after="48" w:line="259" w:lineRule="auto"/>
        <w:ind w:left="-14" w:right="-4" w:firstLine="0"/>
      </w:pPr>
      <w:r>
        <w:rPr>
          <w:noProof/>
          <w:sz w:val="22"/>
        </w:rPr>
        <mc:AlternateContent>
          <mc:Choice Requires="wpg">
            <w:drawing>
              <wp:inline distT="0" distB="0" distL="0" distR="0">
                <wp:extent cx="5952744" cy="6096"/>
                <wp:effectExtent l="0" t="0" r="0" b="0"/>
                <wp:docPr id="6501" name="Group 6501"/>
                <wp:cNvGraphicFramePr/>
                <a:graphic xmlns:a="http://schemas.openxmlformats.org/drawingml/2006/main">
                  <a:graphicData uri="http://schemas.microsoft.com/office/word/2010/wordprocessingGroup">
                    <wpg:wgp>
                      <wpg:cNvGrpSpPr/>
                      <wpg:grpSpPr>
                        <a:xfrm>
                          <a:off x="0" y="0"/>
                          <a:ext cx="5952744" cy="6096"/>
                          <a:chOff x="0" y="0"/>
                          <a:chExt cx="5952744" cy="6096"/>
                        </a:xfrm>
                      </wpg:grpSpPr>
                      <wps:wsp>
                        <wps:cNvPr id="7024" name="Shape 7024"/>
                        <wps:cNvSpPr/>
                        <wps:spPr>
                          <a:xfrm>
                            <a:off x="0" y="0"/>
                            <a:ext cx="1213104" cy="9144"/>
                          </a:xfrm>
                          <a:custGeom>
                            <a:avLst/>
                            <a:gdLst/>
                            <a:ahLst/>
                            <a:cxnLst/>
                            <a:rect l="0" t="0" r="0" b="0"/>
                            <a:pathLst>
                              <a:path w="1213104" h="9144">
                                <a:moveTo>
                                  <a:pt x="0" y="0"/>
                                </a:moveTo>
                                <a:lnTo>
                                  <a:pt x="1213104" y="0"/>
                                </a:lnTo>
                                <a:lnTo>
                                  <a:pt x="1213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5" name="Shape 7025"/>
                        <wps:cNvSpPr/>
                        <wps:spPr>
                          <a:xfrm>
                            <a:off x="12039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6" name="Shape 7026"/>
                        <wps:cNvSpPr/>
                        <wps:spPr>
                          <a:xfrm>
                            <a:off x="1210056" y="0"/>
                            <a:ext cx="592823" cy="9144"/>
                          </a:xfrm>
                          <a:custGeom>
                            <a:avLst/>
                            <a:gdLst/>
                            <a:ahLst/>
                            <a:cxnLst/>
                            <a:rect l="0" t="0" r="0" b="0"/>
                            <a:pathLst>
                              <a:path w="592823" h="9144">
                                <a:moveTo>
                                  <a:pt x="0" y="0"/>
                                </a:moveTo>
                                <a:lnTo>
                                  <a:pt x="592823" y="0"/>
                                </a:lnTo>
                                <a:lnTo>
                                  <a:pt x="5928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7" name="Shape 7027"/>
                        <wps:cNvSpPr/>
                        <wps:spPr>
                          <a:xfrm>
                            <a:off x="1793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8" name="Shape 7028"/>
                        <wps:cNvSpPr/>
                        <wps:spPr>
                          <a:xfrm>
                            <a:off x="1799844" y="0"/>
                            <a:ext cx="1181100" cy="9144"/>
                          </a:xfrm>
                          <a:custGeom>
                            <a:avLst/>
                            <a:gdLst/>
                            <a:ahLst/>
                            <a:cxnLst/>
                            <a:rect l="0" t="0" r="0" b="0"/>
                            <a:pathLst>
                              <a:path w="1181100" h="9144">
                                <a:moveTo>
                                  <a:pt x="0" y="0"/>
                                </a:moveTo>
                                <a:lnTo>
                                  <a:pt x="1181100" y="0"/>
                                </a:lnTo>
                                <a:lnTo>
                                  <a:pt x="1181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9" name="Shape 7029"/>
                        <wps:cNvSpPr/>
                        <wps:spPr>
                          <a:xfrm>
                            <a:off x="2971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0" name="Shape 7030"/>
                        <wps:cNvSpPr/>
                        <wps:spPr>
                          <a:xfrm>
                            <a:off x="2977896" y="0"/>
                            <a:ext cx="803148" cy="9144"/>
                          </a:xfrm>
                          <a:custGeom>
                            <a:avLst/>
                            <a:gdLst/>
                            <a:ahLst/>
                            <a:cxnLst/>
                            <a:rect l="0" t="0" r="0" b="0"/>
                            <a:pathLst>
                              <a:path w="803148" h="9144">
                                <a:moveTo>
                                  <a:pt x="0" y="0"/>
                                </a:moveTo>
                                <a:lnTo>
                                  <a:pt x="803148" y="0"/>
                                </a:lnTo>
                                <a:lnTo>
                                  <a:pt x="80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1" name="Shape 7031"/>
                        <wps:cNvSpPr/>
                        <wps:spPr>
                          <a:xfrm>
                            <a:off x="3771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2" name="Shape 7032"/>
                        <wps:cNvSpPr/>
                        <wps:spPr>
                          <a:xfrm>
                            <a:off x="3777996" y="0"/>
                            <a:ext cx="1373137" cy="9144"/>
                          </a:xfrm>
                          <a:custGeom>
                            <a:avLst/>
                            <a:gdLst/>
                            <a:ahLst/>
                            <a:cxnLst/>
                            <a:rect l="0" t="0" r="0" b="0"/>
                            <a:pathLst>
                              <a:path w="1373137" h="9144">
                                <a:moveTo>
                                  <a:pt x="0" y="0"/>
                                </a:moveTo>
                                <a:lnTo>
                                  <a:pt x="1373137" y="0"/>
                                </a:lnTo>
                                <a:lnTo>
                                  <a:pt x="13731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3" name="Shape 7033"/>
                        <wps:cNvSpPr/>
                        <wps:spPr>
                          <a:xfrm>
                            <a:off x="51419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4" name="Shape 7034"/>
                        <wps:cNvSpPr/>
                        <wps:spPr>
                          <a:xfrm>
                            <a:off x="5148072"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01" style="width:468.72pt;height:0.47998pt;mso-position-horizontal-relative:char;mso-position-vertical-relative:line" coordsize="59527,60">
                <v:shape id="Shape 7035" style="position:absolute;width:12131;height:91;left:0;top:0;" coordsize="1213104,9144" path="m0,0l1213104,0l1213104,9144l0,9144l0,0">
                  <v:stroke on="false" weight="0pt" color="#000000" opacity="0" miterlimit="10" joinstyle="miter" endcap="flat"/>
                  <v:fill on="true" color="#000000"/>
                </v:shape>
                <v:shape id="Shape 7036" style="position:absolute;width:91;height:91;left:12039;top:0;" coordsize="9144,9144" path="m0,0l9144,0l9144,9144l0,9144l0,0">
                  <v:stroke on="false" weight="0pt" color="#000000" opacity="0" miterlimit="10" joinstyle="miter" endcap="flat"/>
                  <v:fill on="true" color="#000000"/>
                </v:shape>
                <v:shape id="Shape 7037" style="position:absolute;width:5928;height:91;left:12100;top:0;" coordsize="592823,9144" path="m0,0l592823,0l592823,9144l0,9144l0,0">
                  <v:stroke on="false" weight="0pt" color="#000000" opacity="0" miterlimit="10" joinstyle="miter" endcap="flat"/>
                  <v:fill on="true" color="#000000"/>
                </v:shape>
                <v:shape id="Shape 7038" style="position:absolute;width:91;height:91;left:17937;top:0;" coordsize="9144,9144" path="m0,0l9144,0l9144,9144l0,9144l0,0">
                  <v:stroke on="false" weight="0pt" color="#000000" opacity="0" miterlimit="10" joinstyle="miter" endcap="flat"/>
                  <v:fill on="true" color="#000000"/>
                </v:shape>
                <v:shape id="Shape 7039" style="position:absolute;width:11811;height:91;left:17998;top:0;" coordsize="1181100,9144" path="m0,0l1181100,0l1181100,9144l0,9144l0,0">
                  <v:stroke on="false" weight="0pt" color="#000000" opacity="0" miterlimit="10" joinstyle="miter" endcap="flat"/>
                  <v:fill on="true" color="#000000"/>
                </v:shape>
                <v:shape id="Shape 7040" style="position:absolute;width:91;height:91;left:29718;top:0;" coordsize="9144,9144" path="m0,0l9144,0l9144,9144l0,9144l0,0">
                  <v:stroke on="false" weight="0pt" color="#000000" opacity="0" miterlimit="10" joinstyle="miter" endcap="flat"/>
                  <v:fill on="true" color="#000000"/>
                </v:shape>
                <v:shape id="Shape 7041" style="position:absolute;width:8031;height:91;left:29778;top:0;" coordsize="803148,9144" path="m0,0l803148,0l803148,9144l0,9144l0,0">
                  <v:stroke on="false" weight="0pt" color="#000000" opacity="0" miterlimit="10" joinstyle="miter" endcap="flat"/>
                  <v:fill on="true" color="#000000"/>
                </v:shape>
                <v:shape id="Shape 7042" style="position:absolute;width:91;height:91;left:37719;top:0;" coordsize="9144,9144" path="m0,0l9144,0l9144,9144l0,9144l0,0">
                  <v:stroke on="false" weight="0pt" color="#000000" opacity="0" miterlimit="10" joinstyle="miter" endcap="flat"/>
                  <v:fill on="true" color="#000000"/>
                </v:shape>
                <v:shape id="Shape 7043" style="position:absolute;width:13731;height:91;left:37779;top:0;" coordsize="1373137,9144" path="m0,0l1373137,0l1373137,9144l0,9144l0,0">
                  <v:stroke on="false" weight="0pt" color="#000000" opacity="0" miterlimit="10" joinstyle="miter" endcap="flat"/>
                  <v:fill on="true" color="#000000"/>
                </v:shape>
                <v:shape id="Shape 7044" style="position:absolute;width:91;height:91;left:51419;top:0;" coordsize="9144,9144" path="m0,0l9144,0l9144,9144l0,9144l0,0">
                  <v:stroke on="false" weight="0pt" color="#000000" opacity="0" miterlimit="10" joinstyle="miter" endcap="flat"/>
                  <v:fill on="true" color="#000000"/>
                </v:shape>
                <v:shape id="Shape 7045" style="position:absolute;width:8046;height:91;left:51480;top:0;" coordsize="804672,9144" path="m0,0l804672,0l804672,9144l0,9144l0,0">
                  <v:stroke on="false" weight="0pt" color="#000000" opacity="0" miterlimit="10" joinstyle="miter" endcap="flat"/>
                  <v:fill on="true" color="#000000"/>
                </v:shape>
              </v:group>
            </w:pict>
          </mc:Fallback>
        </mc:AlternateContent>
      </w:r>
    </w:p>
    <w:p w:rsidR="005759FD" w:rsidRDefault="00717B3A">
      <w:pPr>
        <w:spacing w:after="0" w:line="259" w:lineRule="auto"/>
        <w:ind w:left="0" w:firstLine="0"/>
      </w:pPr>
      <w:r>
        <w:t xml:space="preserve"> </w:t>
      </w:r>
    </w:p>
    <w:p w:rsidR="005759FD" w:rsidRDefault="00717B3A">
      <w:pPr>
        <w:spacing w:after="0" w:line="259" w:lineRule="auto"/>
        <w:ind w:left="-5"/>
      </w:pPr>
      <w:r>
        <w:rPr>
          <w:i/>
          <w:u w:val="single" w:color="000000"/>
        </w:rPr>
        <w:t>Cost</w:t>
      </w:r>
      <w:r>
        <w:rPr>
          <w:i/>
        </w:rPr>
        <w:t xml:space="preserve"> </w:t>
      </w:r>
    </w:p>
    <w:p w:rsidR="005759FD" w:rsidRDefault="00717B3A">
      <w:pPr>
        <w:spacing w:after="0" w:line="259" w:lineRule="auto"/>
        <w:ind w:left="7673" w:right="164"/>
        <w:jc w:val="center"/>
      </w:pPr>
      <w:r>
        <w:rPr>
          <w:b/>
        </w:rPr>
        <w:t xml:space="preserve">Estimated Data </w:t>
      </w:r>
    </w:p>
    <w:tbl>
      <w:tblPr>
        <w:tblStyle w:val="TableGrid"/>
        <w:tblW w:w="9149" w:type="dxa"/>
        <w:tblInd w:w="108" w:type="dxa"/>
        <w:tblCellMar>
          <w:bottom w:w="5" w:type="dxa"/>
          <w:right w:w="54" w:type="dxa"/>
        </w:tblCellMar>
        <w:tblLook w:val="04A0" w:firstRow="1" w:lastRow="0" w:firstColumn="1" w:lastColumn="0" w:noHBand="0" w:noVBand="1"/>
      </w:tblPr>
      <w:tblGrid>
        <w:gridCol w:w="3762"/>
        <w:gridCol w:w="1514"/>
        <w:gridCol w:w="1082"/>
        <w:gridCol w:w="1193"/>
        <w:gridCol w:w="1598"/>
      </w:tblGrid>
      <w:tr w:rsidR="005759FD">
        <w:trPr>
          <w:trHeight w:val="835"/>
        </w:trPr>
        <w:tc>
          <w:tcPr>
            <w:tcW w:w="3761" w:type="dxa"/>
            <w:tcBorders>
              <w:top w:val="nil"/>
              <w:left w:val="nil"/>
              <w:bottom w:val="single" w:color="000000" w:sz="4" w:space="0"/>
              <w:right w:val="nil"/>
            </w:tcBorders>
            <w:vAlign w:val="bottom"/>
          </w:tcPr>
          <w:p w:rsidR="005759FD" w:rsidRDefault="00717B3A">
            <w:pPr>
              <w:spacing w:after="0" w:line="259" w:lineRule="auto"/>
              <w:ind w:left="0" w:right="56" w:firstLine="0"/>
              <w:jc w:val="center"/>
            </w:pPr>
            <w:r>
              <w:rPr>
                <w:b/>
              </w:rPr>
              <w:t xml:space="preserve">Survey Type </w:t>
            </w:r>
          </w:p>
        </w:tc>
        <w:tc>
          <w:tcPr>
            <w:tcW w:w="1514" w:type="dxa"/>
            <w:tcBorders>
              <w:top w:val="nil"/>
              <w:left w:val="nil"/>
              <w:bottom w:val="single" w:color="000000" w:sz="4" w:space="0"/>
              <w:right w:val="nil"/>
            </w:tcBorders>
            <w:vAlign w:val="bottom"/>
          </w:tcPr>
          <w:p w:rsidR="005759FD" w:rsidRDefault="00717B3A">
            <w:pPr>
              <w:spacing w:after="0" w:line="259" w:lineRule="auto"/>
              <w:ind w:left="0" w:firstLine="108"/>
            </w:pPr>
            <w:r>
              <w:rPr>
                <w:b/>
              </w:rPr>
              <w:t xml:space="preserve">Number of Respondents </w:t>
            </w:r>
          </w:p>
        </w:tc>
        <w:tc>
          <w:tcPr>
            <w:tcW w:w="1082" w:type="dxa"/>
            <w:tcBorders>
              <w:top w:val="nil"/>
              <w:left w:val="nil"/>
              <w:bottom w:val="single" w:color="000000" w:sz="4" w:space="0"/>
              <w:right w:val="nil"/>
            </w:tcBorders>
          </w:tcPr>
          <w:p w:rsidR="005759FD" w:rsidRDefault="00717B3A">
            <w:pPr>
              <w:spacing w:after="0" w:line="259" w:lineRule="auto"/>
              <w:ind w:left="178" w:firstLine="0"/>
            </w:pPr>
            <w:r>
              <w:rPr>
                <w:b/>
              </w:rPr>
              <w:t xml:space="preserve">Total </w:t>
            </w:r>
          </w:p>
          <w:p w:rsidR="005759FD" w:rsidRDefault="00717B3A">
            <w:pPr>
              <w:spacing w:after="0" w:line="259" w:lineRule="auto"/>
              <w:ind w:left="67" w:firstLine="0"/>
            </w:pPr>
            <w:r>
              <w:rPr>
                <w:b/>
              </w:rPr>
              <w:t xml:space="preserve">Burden </w:t>
            </w:r>
          </w:p>
          <w:p w:rsidR="005759FD" w:rsidRDefault="00717B3A">
            <w:pPr>
              <w:spacing w:after="0" w:line="259" w:lineRule="auto"/>
              <w:ind w:left="137" w:firstLine="0"/>
            </w:pPr>
            <w:r>
              <w:rPr>
                <w:b/>
              </w:rPr>
              <w:t xml:space="preserve">Hours </w:t>
            </w:r>
          </w:p>
        </w:tc>
        <w:tc>
          <w:tcPr>
            <w:tcW w:w="1193" w:type="dxa"/>
            <w:tcBorders>
              <w:top w:val="nil"/>
              <w:left w:val="nil"/>
              <w:bottom w:val="single" w:color="000000" w:sz="4" w:space="0"/>
              <w:right w:val="nil"/>
            </w:tcBorders>
          </w:tcPr>
          <w:p w:rsidR="005759FD" w:rsidRDefault="00717B3A">
            <w:pPr>
              <w:spacing w:after="0" w:line="259" w:lineRule="auto"/>
              <w:ind w:left="77" w:firstLine="0"/>
            </w:pPr>
            <w:r>
              <w:rPr>
                <w:b/>
              </w:rPr>
              <w:t xml:space="preserve">Average </w:t>
            </w:r>
          </w:p>
          <w:p w:rsidR="005759FD" w:rsidRDefault="00717B3A">
            <w:pPr>
              <w:spacing w:after="0" w:line="259" w:lineRule="auto"/>
              <w:ind w:left="151" w:firstLine="0"/>
            </w:pPr>
            <w:r>
              <w:rPr>
                <w:b/>
              </w:rPr>
              <w:t xml:space="preserve">Hourly </w:t>
            </w:r>
          </w:p>
          <w:p w:rsidR="005759FD" w:rsidRDefault="00717B3A">
            <w:pPr>
              <w:spacing w:after="0" w:line="259" w:lineRule="auto"/>
              <w:ind w:left="199" w:firstLine="0"/>
            </w:pPr>
            <w:r>
              <w:rPr>
                <w:b/>
              </w:rPr>
              <w:t xml:space="preserve">Wage </w:t>
            </w:r>
          </w:p>
        </w:tc>
        <w:tc>
          <w:tcPr>
            <w:tcW w:w="1598" w:type="dxa"/>
            <w:tcBorders>
              <w:top w:val="nil"/>
              <w:left w:val="nil"/>
              <w:bottom w:val="single" w:color="000000" w:sz="4" w:space="0"/>
              <w:right w:val="nil"/>
            </w:tcBorders>
          </w:tcPr>
          <w:p w:rsidR="005759FD" w:rsidRDefault="00717B3A">
            <w:pPr>
              <w:spacing w:after="0" w:line="240" w:lineRule="auto"/>
              <w:ind w:left="636" w:hanging="636"/>
            </w:pPr>
            <w:r>
              <w:rPr>
                <w:b/>
              </w:rPr>
              <w:t xml:space="preserve">Collection Cost to </w:t>
            </w:r>
          </w:p>
          <w:p w:rsidR="005759FD" w:rsidRDefault="00717B3A">
            <w:pPr>
              <w:spacing w:after="0" w:line="259" w:lineRule="auto"/>
              <w:ind w:left="94" w:firstLine="0"/>
            </w:pPr>
            <w:r>
              <w:rPr>
                <w:b/>
              </w:rPr>
              <w:t xml:space="preserve">Respondents </w:t>
            </w:r>
          </w:p>
        </w:tc>
      </w:tr>
      <w:tr w:rsidR="005759FD">
        <w:trPr>
          <w:trHeight w:val="579"/>
        </w:trPr>
        <w:tc>
          <w:tcPr>
            <w:tcW w:w="3761" w:type="dxa"/>
            <w:tcBorders>
              <w:top w:val="single" w:color="000000" w:sz="4" w:space="0"/>
              <w:left w:val="nil"/>
              <w:bottom w:val="nil"/>
              <w:right w:val="nil"/>
            </w:tcBorders>
            <w:vAlign w:val="bottom"/>
          </w:tcPr>
          <w:p w:rsidR="005759FD" w:rsidRDefault="00717B3A">
            <w:pPr>
              <w:spacing w:after="0" w:line="259" w:lineRule="auto"/>
              <w:ind w:left="108" w:firstLine="0"/>
            </w:pPr>
            <w:r>
              <w:t xml:space="preserve">MA </w:t>
            </w:r>
          </w:p>
        </w:tc>
        <w:tc>
          <w:tcPr>
            <w:tcW w:w="1514" w:type="dxa"/>
            <w:tcBorders>
              <w:top w:val="single" w:color="000000" w:sz="4" w:space="0"/>
              <w:left w:val="nil"/>
              <w:bottom w:val="nil"/>
              <w:right w:val="nil"/>
            </w:tcBorders>
            <w:vAlign w:val="bottom"/>
          </w:tcPr>
          <w:p w:rsidR="005759FD" w:rsidRDefault="00717B3A">
            <w:pPr>
              <w:spacing w:after="0" w:line="259" w:lineRule="auto"/>
              <w:ind w:left="751" w:firstLine="0"/>
            </w:pPr>
            <w:r>
              <w:t xml:space="preserve">4,000 </w:t>
            </w:r>
          </w:p>
        </w:tc>
        <w:tc>
          <w:tcPr>
            <w:tcW w:w="1082" w:type="dxa"/>
            <w:tcBorders>
              <w:top w:val="single" w:color="000000" w:sz="4" w:space="0"/>
              <w:left w:val="nil"/>
              <w:bottom w:val="nil"/>
              <w:right w:val="nil"/>
            </w:tcBorders>
            <w:vAlign w:val="bottom"/>
          </w:tcPr>
          <w:p w:rsidR="005759FD" w:rsidRDefault="00717B3A">
            <w:pPr>
              <w:spacing w:after="0" w:line="259" w:lineRule="auto"/>
              <w:ind w:left="0" w:firstLine="0"/>
            </w:pPr>
            <w:r>
              <w:t xml:space="preserve">1,120 </w:t>
            </w:r>
          </w:p>
        </w:tc>
        <w:tc>
          <w:tcPr>
            <w:tcW w:w="1193" w:type="dxa"/>
            <w:tcBorders>
              <w:top w:val="single" w:color="000000" w:sz="4" w:space="0"/>
              <w:left w:val="nil"/>
              <w:bottom w:val="nil"/>
              <w:right w:val="nil"/>
            </w:tcBorders>
            <w:vAlign w:val="bottom"/>
          </w:tcPr>
          <w:p w:rsidR="005759FD" w:rsidRDefault="00717B3A">
            <w:pPr>
              <w:spacing w:after="0" w:line="259" w:lineRule="auto"/>
              <w:ind w:left="0" w:firstLine="0"/>
            </w:pPr>
            <w:r>
              <w:t>$27.07/</w:t>
            </w:r>
            <w:proofErr w:type="spellStart"/>
            <w:r>
              <w:t>hr</w:t>
            </w:r>
            <w:proofErr w:type="spellEnd"/>
            <w:r>
              <w:t xml:space="preserve"> </w:t>
            </w:r>
          </w:p>
        </w:tc>
        <w:tc>
          <w:tcPr>
            <w:tcW w:w="1598" w:type="dxa"/>
            <w:tcBorders>
              <w:top w:val="single" w:color="000000" w:sz="4" w:space="0"/>
              <w:left w:val="nil"/>
              <w:bottom w:val="nil"/>
              <w:right w:val="nil"/>
            </w:tcBorders>
            <w:vAlign w:val="bottom"/>
          </w:tcPr>
          <w:p w:rsidR="005759FD" w:rsidRDefault="00717B3A">
            <w:pPr>
              <w:spacing w:after="0" w:line="259" w:lineRule="auto"/>
              <w:ind w:left="0" w:right="53" w:firstLine="0"/>
              <w:jc w:val="right"/>
            </w:pPr>
            <w:r>
              <w:t xml:space="preserve">$30,318.40 </w:t>
            </w:r>
          </w:p>
        </w:tc>
      </w:tr>
      <w:tr w:rsidR="005759FD">
        <w:trPr>
          <w:trHeight w:val="474"/>
        </w:trPr>
        <w:tc>
          <w:tcPr>
            <w:tcW w:w="3761" w:type="dxa"/>
            <w:tcBorders>
              <w:top w:val="nil"/>
              <w:left w:val="nil"/>
              <w:bottom w:val="nil"/>
              <w:right w:val="nil"/>
            </w:tcBorders>
            <w:vAlign w:val="center"/>
          </w:tcPr>
          <w:p w:rsidR="005759FD" w:rsidRDefault="00717B3A">
            <w:pPr>
              <w:spacing w:after="0" w:line="259" w:lineRule="auto"/>
              <w:ind w:left="108" w:firstLine="0"/>
            </w:pPr>
            <w:r>
              <w:t xml:space="preserve">PDP </w:t>
            </w:r>
          </w:p>
        </w:tc>
        <w:tc>
          <w:tcPr>
            <w:tcW w:w="1514" w:type="dxa"/>
            <w:tcBorders>
              <w:top w:val="nil"/>
              <w:left w:val="nil"/>
              <w:bottom w:val="nil"/>
              <w:right w:val="nil"/>
            </w:tcBorders>
            <w:vAlign w:val="center"/>
          </w:tcPr>
          <w:p w:rsidR="005759FD" w:rsidRDefault="00717B3A">
            <w:pPr>
              <w:spacing w:after="0" w:line="259" w:lineRule="auto"/>
              <w:ind w:left="751" w:firstLine="0"/>
            </w:pPr>
            <w:r>
              <w:t xml:space="preserve">1,000 </w:t>
            </w:r>
          </w:p>
        </w:tc>
        <w:tc>
          <w:tcPr>
            <w:tcW w:w="1082" w:type="dxa"/>
            <w:tcBorders>
              <w:top w:val="nil"/>
              <w:left w:val="nil"/>
              <w:bottom w:val="nil"/>
              <w:right w:val="nil"/>
            </w:tcBorders>
            <w:vAlign w:val="center"/>
          </w:tcPr>
          <w:p w:rsidR="005759FD" w:rsidRDefault="00717B3A">
            <w:pPr>
              <w:spacing w:after="0" w:line="259" w:lineRule="auto"/>
              <w:ind w:left="0" w:firstLine="0"/>
            </w:pPr>
            <w:r>
              <w:t xml:space="preserve">170 </w:t>
            </w:r>
          </w:p>
        </w:tc>
        <w:tc>
          <w:tcPr>
            <w:tcW w:w="1193" w:type="dxa"/>
            <w:tcBorders>
              <w:top w:val="nil"/>
              <w:left w:val="nil"/>
              <w:bottom w:val="nil"/>
              <w:right w:val="nil"/>
            </w:tcBorders>
            <w:vAlign w:val="center"/>
          </w:tcPr>
          <w:p w:rsidR="005759FD" w:rsidRDefault="00717B3A">
            <w:pPr>
              <w:spacing w:after="0" w:line="259" w:lineRule="auto"/>
              <w:ind w:left="0" w:firstLine="0"/>
            </w:pPr>
            <w:r>
              <w:t>$27.07/</w:t>
            </w:r>
            <w:proofErr w:type="spellStart"/>
            <w:r>
              <w:t>hr</w:t>
            </w:r>
            <w:proofErr w:type="spellEnd"/>
            <w:r>
              <w:t xml:space="preserve"> </w:t>
            </w:r>
          </w:p>
        </w:tc>
        <w:tc>
          <w:tcPr>
            <w:tcW w:w="1598" w:type="dxa"/>
            <w:tcBorders>
              <w:top w:val="nil"/>
              <w:left w:val="nil"/>
              <w:bottom w:val="nil"/>
              <w:right w:val="nil"/>
            </w:tcBorders>
            <w:vAlign w:val="center"/>
          </w:tcPr>
          <w:p w:rsidR="005759FD" w:rsidRDefault="00717B3A">
            <w:pPr>
              <w:spacing w:after="0" w:line="259" w:lineRule="auto"/>
              <w:ind w:left="0" w:right="53" w:firstLine="0"/>
              <w:jc w:val="right"/>
            </w:pPr>
            <w:r>
              <w:t xml:space="preserve">$4,601.90 </w:t>
            </w:r>
          </w:p>
        </w:tc>
      </w:tr>
      <w:tr w:rsidR="005759FD">
        <w:trPr>
          <w:trHeight w:val="543"/>
        </w:trPr>
        <w:tc>
          <w:tcPr>
            <w:tcW w:w="3761" w:type="dxa"/>
            <w:tcBorders>
              <w:top w:val="nil"/>
              <w:left w:val="nil"/>
              <w:bottom w:val="single" w:color="000000" w:sz="8" w:space="0"/>
              <w:right w:val="nil"/>
            </w:tcBorders>
            <w:vAlign w:val="center"/>
          </w:tcPr>
          <w:p w:rsidR="005759FD" w:rsidRDefault="00717B3A">
            <w:pPr>
              <w:spacing w:after="0" w:line="259" w:lineRule="auto"/>
              <w:ind w:left="108" w:firstLine="0"/>
            </w:pPr>
            <w:r>
              <w:rPr>
                <w:b/>
              </w:rPr>
              <w:t xml:space="preserve">Total </w:t>
            </w:r>
          </w:p>
        </w:tc>
        <w:tc>
          <w:tcPr>
            <w:tcW w:w="1514" w:type="dxa"/>
            <w:tcBorders>
              <w:top w:val="nil"/>
              <w:left w:val="nil"/>
              <w:bottom w:val="single" w:color="000000" w:sz="8" w:space="0"/>
              <w:right w:val="nil"/>
            </w:tcBorders>
            <w:vAlign w:val="center"/>
          </w:tcPr>
          <w:p w:rsidR="005759FD" w:rsidRDefault="00717B3A">
            <w:pPr>
              <w:spacing w:after="0" w:line="259" w:lineRule="auto"/>
              <w:ind w:left="749" w:firstLine="0"/>
            </w:pPr>
            <w:r>
              <w:rPr>
                <w:b/>
              </w:rPr>
              <w:t xml:space="preserve">5,000 </w:t>
            </w:r>
          </w:p>
        </w:tc>
        <w:tc>
          <w:tcPr>
            <w:tcW w:w="1082" w:type="dxa"/>
            <w:tcBorders>
              <w:top w:val="nil"/>
              <w:left w:val="nil"/>
              <w:bottom w:val="single" w:color="000000" w:sz="8" w:space="0"/>
              <w:right w:val="nil"/>
            </w:tcBorders>
            <w:vAlign w:val="center"/>
          </w:tcPr>
          <w:p w:rsidR="005759FD" w:rsidRDefault="00717B3A">
            <w:pPr>
              <w:spacing w:after="0" w:line="259" w:lineRule="auto"/>
              <w:ind w:left="0" w:firstLine="0"/>
            </w:pPr>
            <w:r>
              <w:rPr>
                <w:b/>
              </w:rPr>
              <w:t xml:space="preserve">1,290 </w:t>
            </w:r>
          </w:p>
        </w:tc>
        <w:tc>
          <w:tcPr>
            <w:tcW w:w="1193" w:type="dxa"/>
            <w:tcBorders>
              <w:top w:val="nil"/>
              <w:left w:val="nil"/>
              <w:bottom w:val="single" w:color="000000" w:sz="8" w:space="0"/>
              <w:right w:val="nil"/>
            </w:tcBorders>
            <w:vAlign w:val="center"/>
          </w:tcPr>
          <w:p w:rsidR="005759FD" w:rsidRDefault="00717B3A">
            <w:pPr>
              <w:spacing w:after="0" w:line="259" w:lineRule="auto"/>
              <w:ind w:left="0" w:firstLine="0"/>
            </w:pPr>
            <w:r>
              <w:rPr>
                <w:b/>
              </w:rPr>
              <w:t>$</w:t>
            </w:r>
            <w:r>
              <w:t>27.07/</w:t>
            </w:r>
            <w:proofErr w:type="spellStart"/>
            <w:r>
              <w:t>hr</w:t>
            </w:r>
            <w:proofErr w:type="spellEnd"/>
            <w:r>
              <w:rPr>
                <w:b/>
              </w:rPr>
              <w:t xml:space="preserve"> </w:t>
            </w:r>
          </w:p>
        </w:tc>
        <w:tc>
          <w:tcPr>
            <w:tcW w:w="1598" w:type="dxa"/>
            <w:tcBorders>
              <w:top w:val="nil"/>
              <w:left w:val="nil"/>
              <w:bottom w:val="single" w:color="000000" w:sz="8" w:space="0"/>
              <w:right w:val="nil"/>
            </w:tcBorders>
            <w:vAlign w:val="center"/>
          </w:tcPr>
          <w:p w:rsidR="005759FD" w:rsidRDefault="00717B3A">
            <w:pPr>
              <w:spacing w:after="0" w:line="259" w:lineRule="auto"/>
              <w:ind w:left="0" w:right="53" w:firstLine="0"/>
              <w:jc w:val="right"/>
            </w:pPr>
            <w:r>
              <w:rPr>
                <w:b/>
              </w:rPr>
              <w:t xml:space="preserve">$34,920.30 </w:t>
            </w:r>
          </w:p>
        </w:tc>
      </w:tr>
    </w:tbl>
    <w:p w:rsidR="005759FD" w:rsidRDefault="00717B3A">
      <w:pPr>
        <w:spacing w:after="77" w:line="259" w:lineRule="auto"/>
        <w:ind w:left="0" w:firstLine="0"/>
      </w:pPr>
      <w:r>
        <w:rPr>
          <w:b/>
        </w:rPr>
        <w:t xml:space="preserve"> </w:t>
      </w:r>
    </w:p>
    <w:p w:rsidR="005759FD" w:rsidRDefault="00717B3A">
      <w:pPr>
        <w:pStyle w:val="Heading1"/>
        <w:ind w:left="-5"/>
      </w:pPr>
      <w:r>
        <w:rPr>
          <w:i/>
          <w:u w:val="none"/>
        </w:rPr>
        <w:t xml:space="preserve">Information Collection Instruments and Instruction/Guidance Documents </w:t>
      </w:r>
    </w:p>
    <w:p w:rsidR="005759FD" w:rsidRDefault="00717B3A">
      <w:pPr>
        <w:spacing w:after="95" w:line="259" w:lineRule="auto"/>
        <w:ind w:left="0" w:firstLine="0"/>
      </w:pPr>
      <w:r>
        <w:rPr>
          <w:b/>
        </w:rPr>
        <w:t xml:space="preserve"> </w:t>
      </w:r>
    </w:p>
    <w:p w:rsidR="005759FD" w:rsidRDefault="00717B3A">
      <w:pPr>
        <w:numPr>
          <w:ilvl w:val="0"/>
          <w:numId w:val="2"/>
        </w:numPr>
        <w:spacing w:after="76"/>
        <w:ind w:hanging="216"/>
      </w:pPr>
      <w:r>
        <w:t xml:space="preserve">MA-Only Survey </w:t>
      </w:r>
    </w:p>
    <w:p w:rsidR="005759FD" w:rsidRDefault="00717B3A">
      <w:pPr>
        <w:numPr>
          <w:ilvl w:val="0"/>
          <w:numId w:val="2"/>
        </w:numPr>
        <w:spacing w:after="77"/>
        <w:ind w:hanging="216"/>
      </w:pPr>
      <w:r>
        <w:t xml:space="preserve">MA-PD Survey </w:t>
      </w:r>
    </w:p>
    <w:p w:rsidR="005759FD" w:rsidRDefault="00717B3A">
      <w:pPr>
        <w:numPr>
          <w:ilvl w:val="0"/>
          <w:numId w:val="2"/>
        </w:numPr>
        <w:spacing w:after="61"/>
        <w:ind w:hanging="216"/>
      </w:pPr>
      <w:r>
        <w:t xml:space="preserve">PDP Survey </w:t>
      </w:r>
    </w:p>
    <w:p w:rsidR="005759FD" w:rsidRDefault="00717B3A">
      <w:pPr>
        <w:spacing w:after="93" w:line="259" w:lineRule="auto"/>
        <w:ind w:left="0" w:firstLine="0"/>
      </w:pPr>
      <w:r>
        <w:rPr>
          <w:b/>
        </w:rPr>
        <w:t xml:space="preserve"> </w:t>
      </w:r>
    </w:p>
    <w:p w:rsidR="005759FD" w:rsidRDefault="00717B3A">
      <w:pPr>
        <w:tabs>
          <w:tab w:val="center" w:pos="1347"/>
        </w:tabs>
        <w:spacing w:after="0" w:line="259" w:lineRule="auto"/>
        <w:ind w:left="-15" w:firstLine="0"/>
      </w:pPr>
      <w:r>
        <w:t xml:space="preserve">13. </w:t>
      </w:r>
      <w:r>
        <w:tab/>
      </w:r>
      <w:r>
        <w:rPr>
          <w:u w:val="single" w:color="000000"/>
        </w:rPr>
        <w:t>Capital Costs</w:t>
      </w:r>
      <w:r>
        <w:t xml:space="preserve">  </w:t>
      </w:r>
    </w:p>
    <w:p w:rsidR="005759FD" w:rsidRDefault="00717B3A">
      <w:pPr>
        <w:spacing w:after="0" w:line="259" w:lineRule="auto"/>
        <w:ind w:left="0" w:firstLine="0"/>
      </w:pPr>
      <w:r>
        <w:t xml:space="preserve"> </w:t>
      </w:r>
    </w:p>
    <w:p w:rsidR="005759FD" w:rsidRDefault="00717B3A">
      <w:pPr>
        <w:spacing w:after="90"/>
        <w:ind w:left="-5"/>
      </w:pPr>
      <w:r>
        <w:t xml:space="preserve">There are no capital costs associated with this data collection. </w:t>
      </w:r>
    </w:p>
    <w:p w:rsidR="005759FD" w:rsidRDefault="00717B3A">
      <w:pPr>
        <w:spacing w:after="0" w:line="259" w:lineRule="auto"/>
        <w:ind w:left="0" w:firstLine="0"/>
      </w:pPr>
      <w:r>
        <w:t xml:space="preserve"> </w:t>
      </w:r>
    </w:p>
    <w:p w:rsidR="00F85838" w:rsidRDefault="00F85838">
      <w:pPr>
        <w:spacing w:after="0" w:line="259" w:lineRule="auto"/>
        <w:ind w:left="0" w:firstLine="0"/>
      </w:pPr>
    </w:p>
    <w:p w:rsidR="005759FD" w:rsidRDefault="00717B3A">
      <w:pPr>
        <w:pStyle w:val="Heading2"/>
        <w:tabs>
          <w:tab w:val="center" w:pos="2102"/>
        </w:tabs>
        <w:ind w:left="-15" w:firstLine="0"/>
      </w:pPr>
      <w:r>
        <w:rPr>
          <w:u w:val="none"/>
        </w:rPr>
        <w:lastRenderedPageBreak/>
        <w:t xml:space="preserve">14. </w:t>
      </w:r>
      <w:r>
        <w:rPr>
          <w:u w:val="none"/>
        </w:rPr>
        <w:tab/>
      </w:r>
      <w:r>
        <w:t>Cost to Federal Government</w:t>
      </w:r>
      <w:r>
        <w:rPr>
          <w:u w:val="none"/>
        </w:rPr>
        <w:t xml:space="preserve"> </w:t>
      </w:r>
    </w:p>
    <w:p w:rsidR="005759FD" w:rsidRDefault="00717B3A">
      <w:pPr>
        <w:spacing w:after="0" w:line="259" w:lineRule="auto"/>
        <w:ind w:left="0" w:firstLine="0"/>
      </w:pPr>
      <w:r>
        <w:t xml:space="preserve"> </w:t>
      </w:r>
    </w:p>
    <w:p w:rsidR="005759FD" w:rsidRDefault="00717B3A">
      <w:pPr>
        <w:ind w:left="-5"/>
      </w:pPr>
      <w:r>
        <w:t xml:space="preserve">The total cost to the Federal government for the MA &amp; PDP CAHPS field test survey is estimated to be $507,000. This total includes CMS management and preparation for the field test, all data collection activities, and data analysis. </w:t>
      </w:r>
    </w:p>
    <w:p w:rsidR="00717B3A" w:rsidRDefault="00717B3A">
      <w:pPr>
        <w:ind w:left="-5"/>
      </w:pPr>
    </w:p>
    <w:p w:rsidR="005759FD" w:rsidP="00F85838" w:rsidRDefault="00717B3A">
      <w:pPr>
        <w:spacing w:after="0" w:line="259" w:lineRule="auto"/>
        <w:ind w:left="0" w:firstLine="0"/>
      </w:pPr>
      <w:r>
        <w:t xml:space="preserve"> </w:t>
      </w:r>
      <w:bookmarkStart w:name="_GoBack" w:id="0"/>
      <w:bookmarkEnd w:id="0"/>
      <w:r>
        <w:t xml:space="preserve">15. </w:t>
      </w:r>
      <w:r>
        <w:tab/>
      </w:r>
      <w:r>
        <w:rPr>
          <w:u w:val="single" w:color="000000"/>
        </w:rPr>
        <w:t>Changes to Burden</w:t>
      </w:r>
      <w:r>
        <w:t xml:space="preserve"> </w:t>
      </w:r>
    </w:p>
    <w:p w:rsidR="005759FD" w:rsidRDefault="00717B3A">
      <w:pPr>
        <w:spacing w:after="0" w:line="259" w:lineRule="auto"/>
        <w:ind w:left="0" w:firstLine="0"/>
      </w:pPr>
      <w:r>
        <w:t xml:space="preserve"> </w:t>
      </w:r>
    </w:p>
    <w:p w:rsidR="005759FD" w:rsidRDefault="00717B3A">
      <w:pPr>
        <w:ind w:left="-5"/>
      </w:pPr>
      <w:r>
        <w:t xml:space="preserve">This is a new data collection effort and not a revision to an existing survey. </w:t>
      </w:r>
    </w:p>
    <w:p w:rsidR="005759FD" w:rsidRDefault="00717B3A">
      <w:pPr>
        <w:spacing w:after="0" w:line="259" w:lineRule="auto"/>
        <w:ind w:left="0" w:firstLine="0"/>
      </w:pPr>
      <w:r>
        <w:t xml:space="preserve"> </w:t>
      </w:r>
    </w:p>
    <w:p w:rsidR="005759FD" w:rsidRDefault="00717B3A">
      <w:pPr>
        <w:pStyle w:val="Heading2"/>
        <w:tabs>
          <w:tab w:val="center" w:pos="2140"/>
        </w:tabs>
        <w:ind w:left="-15" w:firstLine="0"/>
      </w:pPr>
      <w:r>
        <w:rPr>
          <w:u w:val="none"/>
        </w:rPr>
        <w:t xml:space="preserve">16. </w:t>
      </w:r>
      <w:r>
        <w:rPr>
          <w:u w:val="none"/>
        </w:rPr>
        <w:tab/>
      </w:r>
      <w:r>
        <w:t>Publication/Tabulation Dates</w:t>
      </w:r>
      <w:r>
        <w:rPr>
          <w:u w:val="none"/>
        </w:rPr>
        <w:t xml:space="preserve"> </w:t>
      </w:r>
    </w:p>
    <w:p w:rsidR="005759FD" w:rsidRDefault="00717B3A">
      <w:pPr>
        <w:spacing w:after="0" w:line="259" w:lineRule="auto"/>
        <w:ind w:left="0" w:firstLine="0"/>
      </w:pPr>
      <w:r>
        <w:t xml:space="preserve"> </w:t>
      </w:r>
    </w:p>
    <w:p w:rsidR="005759FD" w:rsidRDefault="00717B3A">
      <w:pPr>
        <w:ind w:left="-5"/>
      </w:pPr>
      <w:r>
        <w:t xml:space="preserve">We anticipate all data tabulation and analysis will be completed by September 29, 2022. Dissemination of findings via peer review journal articles, presentations, or other public-facing media will be completed within 9 months of completion of analysis. </w:t>
      </w:r>
    </w:p>
    <w:p w:rsidR="005759FD" w:rsidRDefault="00717B3A">
      <w:pPr>
        <w:spacing w:after="0" w:line="259" w:lineRule="auto"/>
        <w:ind w:left="0" w:firstLine="0"/>
      </w:pPr>
      <w:r>
        <w:t xml:space="preserve"> </w:t>
      </w:r>
    </w:p>
    <w:p w:rsidR="005759FD" w:rsidRDefault="00717B3A">
      <w:pPr>
        <w:tabs>
          <w:tab w:val="center" w:pos="1473"/>
        </w:tabs>
        <w:spacing w:after="0" w:line="259" w:lineRule="auto"/>
        <w:ind w:left="-15" w:firstLine="0"/>
      </w:pPr>
      <w:r>
        <w:t xml:space="preserve">17. </w:t>
      </w:r>
      <w:r>
        <w:tab/>
      </w:r>
      <w:r>
        <w:rPr>
          <w:u w:val="single" w:color="000000"/>
        </w:rPr>
        <w:t>Expiration Date</w:t>
      </w:r>
      <w:r>
        <w:t xml:space="preserve"> </w:t>
      </w:r>
    </w:p>
    <w:p w:rsidR="005759FD" w:rsidRDefault="00717B3A">
      <w:pPr>
        <w:spacing w:after="0" w:line="259" w:lineRule="auto"/>
        <w:ind w:left="0" w:firstLine="0"/>
      </w:pPr>
      <w:r>
        <w:t xml:space="preserve"> </w:t>
      </w:r>
    </w:p>
    <w:p w:rsidR="005759FD" w:rsidRDefault="00717B3A">
      <w:pPr>
        <w:ind w:left="-5"/>
      </w:pPr>
      <w:r>
        <w:t xml:space="preserve">A one-year expiration date is being requested. </w:t>
      </w:r>
    </w:p>
    <w:p w:rsidR="005759FD" w:rsidRDefault="00717B3A">
      <w:pPr>
        <w:spacing w:after="0" w:line="259" w:lineRule="auto"/>
        <w:ind w:left="0" w:firstLine="0"/>
      </w:pPr>
      <w:r>
        <w:t xml:space="preserve"> </w:t>
      </w:r>
    </w:p>
    <w:p w:rsidR="005759FD" w:rsidRDefault="00717B3A">
      <w:pPr>
        <w:pStyle w:val="Heading2"/>
        <w:tabs>
          <w:tab w:val="center" w:pos="1859"/>
        </w:tabs>
        <w:ind w:left="-15" w:firstLine="0"/>
      </w:pPr>
      <w:r>
        <w:rPr>
          <w:u w:val="none"/>
        </w:rPr>
        <w:t xml:space="preserve">18. </w:t>
      </w:r>
      <w:r>
        <w:rPr>
          <w:u w:val="none"/>
        </w:rPr>
        <w:tab/>
      </w:r>
      <w:r>
        <w:t>Certification Statement</w:t>
      </w:r>
      <w:r>
        <w:rPr>
          <w:u w:val="none"/>
        </w:rPr>
        <w:t xml:space="preserve"> </w:t>
      </w:r>
    </w:p>
    <w:p w:rsidR="005759FD" w:rsidRDefault="00717B3A">
      <w:pPr>
        <w:spacing w:after="0" w:line="259" w:lineRule="auto"/>
        <w:ind w:left="0" w:firstLine="0"/>
      </w:pPr>
      <w:r>
        <w:t xml:space="preserve"> </w:t>
      </w:r>
    </w:p>
    <w:p w:rsidR="005759FD" w:rsidRDefault="00717B3A">
      <w:pPr>
        <w:ind w:left="-5"/>
      </w:pPr>
      <w:r>
        <w:t xml:space="preserve">There are no exceptions taken to item 19 of OMB Form 83-1. </w:t>
      </w:r>
    </w:p>
    <w:p w:rsidR="005759FD" w:rsidRDefault="00717B3A">
      <w:pPr>
        <w:spacing w:after="0" w:line="259" w:lineRule="auto"/>
        <w:ind w:left="0" w:firstLine="0"/>
      </w:pPr>
      <w:r>
        <w:rPr>
          <w:rFonts w:ascii="Times New Roman" w:hAnsi="Times New Roman" w:eastAsia="Times New Roman" w:cs="Times New Roman"/>
          <w:sz w:val="20"/>
        </w:rPr>
        <w:t xml:space="preserve"> </w:t>
      </w:r>
    </w:p>
    <w:sectPr w:rsidR="005759FD">
      <w:pgSz w:w="12240" w:h="15840"/>
      <w:pgMar w:top="1488" w:right="1444"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2E5" w:rsidRDefault="00717B3A">
      <w:pPr>
        <w:spacing w:after="0" w:line="240" w:lineRule="auto"/>
      </w:pPr>
      <w:r>
        <w:separator/>
      </w:r>
    </w:p>
  </w:endnote>
  <w:endnote w:type="continuationSeparator" w:id="0">
    <w:p w:rsidR="005A62E5" w:rsidRDefault="0071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9FD" w:rsidRDefault="00717B3A">
      <w:pPr>
        <w:spacing w:after="0"/>
        <w:ind w:left="0" w:firstLine="0"/>
      </w:pPr>
      <w:r>
        <w:separator/>
      </w:r>
    </w:p>
  </w:footnote>
  <w:footnote w:type="continuationSeparator" w:id="0">
    <w:p w:rsidR="005759FD" w:rsidRDefault="00717B3A">
      <w:pPr>
        <w:spacing w:after="0"/>
        <w:ind w:left="0" w:firstLine="0"/>
      </w:pPr>
      <w:r>
        <w:continuationSeparator/>
      </w:r>
    </w:p>
  </w:footnote>
  <w:footnote w:id="1">
    <w:p w:rsidR="005759FD" w:rsidRDefault="00717B3A">
      <w:pPr>
        <w:pStyle w:val="footnotedescription"/>
        <w:spacing w:line="249" w:lineRule="auto"/>
      </w:pPr>
      <w:r>
        <w:rPr>
          <w:rStyle w:val="footnotemark"/>
        </w:rPr>
        <w:footnoteRef/>
      </w:r>
      <w:r>
        <w:t xml:space="preserve"> </w:t>
      </w:r>
      <w:proofErr w:type="spellStart"/>
      <w:r>
        <w:t>Parast</w:t>
      </w:r>
      <w:proofErr w:type="spellEnd"/>
      <w:r>
        <w:t xml:space="preserve"> L., M. Mathews, et al. (2019). Effects of Push-to-Web Mixed Mode Approaches on Survey Response Rates: Evidence from a Randomized Experiment in Emergency Departments. </w:t>
      </w:r>
      <w:r>
        <w:rPr>
          <w:i/>
        </w:rPr>
        <w:t>Survey Practice,</w:t>
      </w:r>
      <w:r>
        <w:t xml:space="preserve"> 12(2). </w:t>
      </w:r>
      <w:hyperlink r:id="rId1">
        <w:r>
          <w:rPr>
            <w:color w:val="0000FF"/>
            <w:u w:val="single" w:color="0000FF"/>
          </w:rPr>
          <w:t>https://doi.org/10.29115/SP-2019-0008</w:t>
        </w:r>
      </w:hyperlink>
      <w:hyperlink r:id="rId2">
        <w:r>
          <w:t>.</w:t>
        </w:r>
      </w:hyperlink>
      <w:r>
        <w:t xml:space="preserve">  </w:t>
      </w:r>
    </w:p>
  </w:footnote>
  <w:footnote w:id="2">
    <w:p w:rsidR="005759FD" w:rsidRDefault="00717B3A">
      <w:pPr>
        <w:pStyle w:val="footnotedescription"/>
        <w:spacing w:line="259" w:lineRule="auto"/>
      </w:pPr>
      <w:r>
        <w:rPr>
          <w:rStyle w:val="footnotemark"/>
        </w:rPr>
        <w:footnoteRef/>
      </w:r>
      <w:r>
        <w:t xml:space="preserve"> We have combined estimates for MA-Only and MA-PD survey versions here for simplicity.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B0032"/>
    <w:multiLevelType w:val="hybridMultilevel"/>
    <w:tmpl w:val="7ABCEA62"/>
    <w:lvl w:ilvl="0" w:tplc="5F829204">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74C1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98E1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9A6C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604D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88A9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88B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AFE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4653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B13073"/>
    <w:multiLevelType w:val="hybridMultilevel"/>
    <w:tmpl w:val="EA823C8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 w15:restartNumberingAfterBreak="0">
    <w:nsid w:val="74900FAA"/>
    <w:multiLevelType w:val="hybridMultilevel"/>
    <w:tmpl w:val="384E822A"/>
    <w:lvl w:ilvl="0" w:tplc="E9D2A31C">
      <w:start w:val="1"/>
      <w:numFmt w:val="bullet"/>
      <w:lvlText w:val="•"/>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20F06C">
      <w:start w:val="1"/>
      <w:numFmt w:val="bullet"/>
      <w:lvlText w:val="o"/>
      <w:lvlJc w:val="left"/>
      <w:pPr>
        <w:ind w:left="1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0C4976">
      <w:start w:val="1"/>
      <w:numFmt w:val="bullet"/>
      <w:lvlText w:val="▪"/>
      <w:lvlJc w:val="left"/>
      <w:pPr>
        <w:ind w:left="2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DEB334">
      <w:start w:val="1"/>
      <w:numFmt w:val="bullet"/>
      <w:lvlText w:val="•"/>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7EE5FC">
      <w:start w:val="1"/>
      <w:numFmt w:val="bullet"/>
      <w:lvlText w:val="o"/>
      <w:lvlJc w:val="left"/>
      <w:pPr>
        <w:ind w:left="3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D21D6E">
      <w:start w:val="1"/>
      <w:numFmt w:val="bullet"/>
      <w:lvlText w:val="▪"/>
      <w:lvlJc w:val="left"/>
      <w:pPr>
        <w:ind w:left="4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3850C8">
      <w:start w:val="1"/>
      <w:numFmt w:val="bullet"/>
      <w:lvlText w:val="•"/>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1EF7F4">
      <w:start w:val="1"/>
      <w:numFmt w:val="bullet"/>
      <w:lvlText w:val="o"/>
      <w:lvlJc w:val="left"/>
      <w:pPr>
        <w:ind w:left="5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B8444A">
      <w:start w:val="1"/>
      <w:numFmt w:val="bullet"/>
      <w:lvlText w:val="▪"/>
      <w:lvlJc w:val="left"/>
      <w:pPr>
        <w:ind w:left="6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9FD"/>
    <w:rsid w:val="001D6EDB"/>
    <w:rsid w:val="005759FD"/>
    <w:rsid w:val="005A62E5"/>
    <w:rsid w:val="00717B3A"/>
    <w:rsid w:val="008317A6"/>
    <w:rsid w:val="00AF18EC"/>
    <w:rsid w:val="00C41981"/>
    <w:rsid w:val="00F85838"/>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1A1E"/>
  <w15:docId w15:val="{7A6CF31B-4E16-46B7-A616-70F1ACC8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4"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17B3A"/>
    <w:rPr>
      <w:color w:val="0563C1" w:themeColor="hyperlink"/>
      <w:u w:val="single"/>
    </w:rPr>
  </w:style>
  <w:style w:type="paragraph" w:styleId="ListParagraph">
    <w:name w:val="List Paragraph"/>
    <w:basedOn w:val="Normal"/>
    <w:uiPriority w:val="34"/>
    <w:qFormat/>
    <w:rsid w:val="00717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oes/current/oes_nat.htm" TargetMode="External"/><Relationship Id="rId5" Type="http://schemas.openxmlformats.org/officeDocument/2006/relationships/footnotes" Target="footnotes.xml"/><Relationship Id="rId10" Type="http://schemas.openxmlformats.org/officeDocument/2006/relationships/hyperlink" Target="http://www.bls.gov/oes/current/oes_nat.htm" TargetMode="External"/><Relationship Id="rId4" Type="http://schemas.openxmlformats.org/officeDocument/2006/relationships/webSettings" Target="webSettings.xml"/><Relationship Id="rId9"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i.org/10.29115/SP-2019-0008" TargetMode="External"/><Relationship Id="rId1" Type="http://schemas.openxmlformats.org/officeDocument/2006/relationships/hyperlink" Target="https://doi.org/10.29115/SP-2019-0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6</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OMB Supporting Statement A_MCAHPS 2022 field test_1-26-22 clean</vt:lpstr>
    </vt:vector>
  </TitlesOfParts>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A_MCAHPS 2022 field test_1-26-22 clean</dc:title>
  <dc:subject/>
  <dc:creator>CMS</dc:creator>
  <cp:keywords/>
  <cp:lastModifiedBy>Stephan McKenzie</cp:lastModifiedBy>
  <cp:revision>5</cp:revision>
  <dcterms:created xsi:type="dcterms:W3CDTF">2022-01-28T14:04:00Z</dcterms:created>
  <dcterms:modified xsi:type="dcterms:W3CDTF">2022-02-04T20:53:00Z</dcterms:modified>
</cp:coreProperties>
</file>