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F7" w:rsidRDefault="00764BBB">
      <w:pPr>
        <w:spacing w:after="80" w:line="259" w:lineRule="auto"/>
        <w:ind w:left="3" w:right="0" w:firstLine="0"/>
        <w:jc w:val="center"/>
      </w:pPr>
      <w:r>
        <w:rPr>
          <w:b/>
          <w:u w:val="single" w:color="000000"/>
        </w:rPr>
        <w:t>SUPPORTING STATEMENT – Part B</w:t>
      </w:r>
      <w:r>
        <w:rPr>
          <w:b/>
        </w:rPr>
        <w:t xml:space="preserve"> </w:t>
      </w:r>
    </w:p>
    <w:p w:rsidRPr="00764BBB" w:rsidR="00764BBB" w:rsidP="00764BBB" w:rsidRDefault="00764BBB">
      <w:pPr>
        <w:ind w:left="173" w:firstLine="0"/>
        <w:jc w:val="center"/>
      </w:pPr>
      <w:r>
        <w:t>Medicare Advantage and Prescription Drug Plan Consumer Assessment of Healthcare Providers and Systems (CAHPS) Survey Field Test</w:t>
      </w:r>
    </w:p>
    <w:p w:rsidR="008916F7" w:rsidP="00764BBB" w:rsidRDefault="00764BBB">
      <w:pPr>
        <w:ind w:left="173" w:firstLine="0"/>
        <w:jc w:val="center"/>
      </w:pPr>
      <w:r>
        <w:t xml:space="preserve">(CMS-10793, </w:t>
      </w:r>
      <w:r w:rsidRPr="00764BBB">
        <w:t>OMB 0938-</w:t>
      </w:r>
      <w:r w:rsidRPr="00764BBB">
        <w:t>XXXX</w:t>
      </w:r>
      <w:r>
        <w:t>)</w:t>
      </w:r>
    </w:p>
    <w:p w:rsidRPr="00764BBB" w:rsidR="00764BBB" w:rsidP="00764BBB" w:rsidRDefault="00764BBB">
      <w:pPr>
        <w:ind w:left="173" w:firstLine="0"/>
        <w:jc w:val="center"/>
      </w:pPr>
      <w:bookmarkStart w:name="_GoBack" w:id="0"/>
      <w:bookmarkEnd w:id="0"/>
    </w:p>
    <w:p w:rsidR="008916F7" w:rsidRDefault="00764BBB">
      <w:pPr>
        <w:pStyle w:val="Heading1"/>
        <w:tabs>
          <w:tab w:val="center" w:pos="2376"/>
        </w:tabs>
        <w:ind w:left="-15" w:firstLine="0"/>
      </w:pPr>
      <w:r>
        <w:t xml:space="preserve">B.1 </w:t>
      </w:r>
      <w:r>
        <w:tab/>
        <w:t xml:space="preserve">Respondent universe and sample </w:t>
      </w:r>
    </w:p>
    <w:p w:rsidR="008916F7" w:rsidRDefault="00764BBB">
      <w:pPr>
        <w:spacing w:after="0" w:line="259" w:lineRule="auto"/>
        <w:ind w:left="0" w:right="0" w:firstLine="0"/>
      </w:pPr>
      <w:r>
        <w:t xml:space="preserve"> </w:t>
      </w:r>
    </w:p>
    <w:p w:rsidR="008916F7" w:rsidRDefault="00764BBB">
      <w:pPr>
        <w:ind w:left="-5" w:right="0"/>
      </w:pPr>
      <w:r>
        <w:t>The Medicare Advantage (MA) &amp; Prescription Drug Plan (PDP) CAHPS Survey is administered annually to MA and PDP enrollees with six months of continuous enrollment in their contract. The survey is administered to adult enrollees in the U.S. who do not reside</w:t>
      </w:r>
      <w:r>
        <w:t xml:space="preserve"> in an institution, and the standard sample size is 800 for MA contracts and 1,500 for PDP contracts. The web field test sample will be drawn from the remaining, eligible sample frame used to conduct the 2022 MA &amp; PDP CAHPS Surveys. We propose to draw samp</w:t>
      </w:r>
      <w:r>
        <w:t xml:space="preserve">le from 50 MA and PDP contracts for each of two study arms (100 enrollees per contract, 50 contracts, 5,000 enrollees total). The 50 contracts will be selected at random. </w:t>
      </w:r>
    </w:p>
    <w:p w:rsidR="008916F7" w:rsidRDefault="00764BBB">
      <w:pPr>
        <w:spacing w:after="235" w:line="259" w:lineRule="auto"/>
        <w:ind w:left="0" w:right="0" w:firstLine="0"/>
      </w:pPr>
      <w:r>
        <w:t xml:space="preserve"> </w:t>
      </w:r>
    </w:p>
    <w:p w:rsidR="008916F7" w:rsidRDefault="00764BBB">
      <w:pPr>
        <w:pStyle w:val="Heading1"/>
        <w:tabs>
          <w:tab w:val="center" w:pos="2419"/>
        </w:tabs>
        <w:ind w:left="-15" w:firstLine="0"/>
      </w:pPr>
      <w:r>
        <w:t xml:space="preserve">B.2 </w:t>
      </w:r>
      <w:r>
        <w:tab/>
        <w:t xml:space="preserve">Information collection procedures </w:t>
      </w:r>
    </w:p>
    <w:p w:rsidR="008916F7" w:rsidRDefault="00764BBB">
      <w:pPr>
        <w:spacing w:after="0" w:line="259" w:lineRule="auto"/>
        <w:ind w:left="0" w:right="0" w:firstLine="0"/>
      </w:pPr>
      <w:r>
        <w:rPr>
          <w:b/>
          <w:i/>
        </w:rPr>
        <w:t xml:space="preserve"> </w:t>
      </w:r>
    </w:p>
    <w:p w:rsidR="008916F7" w:rsidRDefault="00764BBB">
      <w:pPr>
        <w:ind w:left="-5" w:right="0"/>
      </w:pPr>
      <w:r>
        <w:t>Sampled enrollees will be randomly assig</w:t>
      </w:r>
      <w:r>
        <w:t xml:space="preserve">ned into one of two study arms, an experimental arm that will include the web mode, and a comparison arm that will consist of the typical MA &amp; PDP CAHPS survey administration procedures. </w:t>
      </w:r>
    </w:p>
    <w:p w:rsidR="008916F7" w:rsidRDefault="00764BBB">
      <w:pPr>
        <w:spacing w:after="0" w:line="259" w:lineRule="auto"/>
        <w:ind w:left="0" w:right="0" w:firstLine="0"/>
      </w:pPr>
      <w:r>
        <w:t xml:space="preserve"> </w:t>
      </w:r>
    </w:p>
    <w:p w:rsidR="008916F7" w:rsidRDefault="00764BBB">
      <w:pPr>
        <w:ind w:left="-5" w:right="0"/>
      </w:pPr>
      <w:r>
        <w:t>In the experimental arm, all sampled enrollees will receive a mail</w:t>
      </w:r>
      <w:r>
        <w:t>ed pre-notification letter in advance of survey administration, the letter will be personalized to the enrollee and will include the URL for the web version of the survey and a PIN code that is unique to the enrollee. The enrollee may enter the URL and PIN</w:t>
      </w:r>
      <w:r>
        <w:t xml:space="preserve"> code to access the web version of the survey, which can be completed on either a computer or a mobile device such as a smartphone or tablet. Four days after the pre-notification letter is mailed, enrollees will be sent an invitation to the web survey. The</w:t>
      </w:r>
      <w:r>
        <w:t xml:space="preserve"> invitation will be sent by email to enrollees with email addresses, and via a letter to those for whom an email address is not available</w:t>
      </w:r>
      <w:r>
        <w:rPr>
          <w:vertAlign w:val="superscript"/>
        </w:rPr>
        <w:footnoteReference w:id="1"/>
      </w:r>
      <w:r>
        <w:t>. A reminder invitation email will be sent five days after the initial invitation to enrollees with email addresses. F</w:t>
      </w:r>
      <w:r>
        <w:t>ive days later, the secondary mode (mail) will be initiated with all enrollees who have not completed the web survey. Enrollees who don’t respond to the first mail survey, will receive a second mail survey approximately 3 weeks later. Approximately three w</w:t>
      </w:r>
      <w:r>
        <w:t xml:space="preserve">eeks after a second mail survey is sent, phone administration of the survey will be attempted with all non-respondent enrollees.  </w:t>
      </w:r>
    </w:p>
    <w:p w:rsidR="008916F7" w:rsidRDefault="00764BBB">
      <w:pPr>
        <w:spacing w:after="0" w:line="259" w:lineRule="auto"/>
        <w:ind w:left="0" w:right="0" w:firstLine="0"/>
      </w:pPr>
      <w:r>
        <w:t xml:space="preserve"> </w:t>
      </w:r>
    </w:p>
    <w:p w:rsidR="008916F7" w:rsidRDefault="00764BBB">
      <w:pPr>
        <w:ind w:left="-5" w:right="0"/>
      </w:pPr>
      <w:r>
        <w:lastRenderedPageBreak/>
        <w:t>In the comparison arm, all sampled enrollees will first receive a mailed pre-notification letter prior to the mailing of th</w:t>
      </w:r>
      <w:r>
        <w:t xml:space="preserve">e first questionnaire four days later. A second questionnaire will be mailed to non-respondents approximately four weeks after the initial survey mailing. Telephone follow-up of non-respondents to the mail portion of the survey will be conducted beginning </w:t>
      </w:r>
      <w:r>
        <w:t xml:space="preserve">about three weeks after the mailing of the second questionnaire.  </w:t>
      </w:r>
    </w:p>
    <w:p w:rsidR="008916F7" w:rsidRDefault="00764BBB">
      <w:pPr>
        <w:spacing w:after="232" w:line="259" w:lineRule="auto"/>
        <w:ind w:left="0" w:right="0" w:firstLine="0"/>
      </w:pPr>
      <w:r>
        <w:t xml:space="preserve"> </w:t>
      </w:r>
    </w:p>
    <w:p w:rsidR="008916F7" w:rsidRDefault="00764BBB">
      <w:pPr>
        <w:pStyle w:val="Heading1"/>
        <w:tabs>
          <w:tab w:val="center" w:pos="2564"/>
        </w:tabs>
        <w:ind w:left="-15" w:firstLine="0"/>
      </w:pPr>
      <w:r>
        <w:t xml:space="preserve">B.3 </w:t>
      </w:r>
      <w:r>
        <w:tab/>
        <w:t xml:space="preserve">Methods to maximize response rates </w:t>
      </w:r>
    </w:p>
    <w:p w:rsidR="008916F7" w:rsidRDefault="00764BBB">
      <w:pPr>
        <w:spacing w:after="0" w:line="259" w:lineRule="auto"/>
        <w:ind w:left="0" w:right="0" w:firstLine="0"/>
      </w:pPr>
      <w:r>
        <w:t xml:space="preserve"> </w:t>
      </w:r>
    </w:p>
    <w:p w:rsidR="008916F7" w:rsidRDefault="00764BBB">
      <w:pPr>
        <w:ind w:left="-5" w:right="0"/>
      </w:pPr>
      <w:r>
        <w:t>This data collection effort will use a mixed-mode data collection protocol (as described above) that uses a pre-notification letter alerting sample members that a survey will be mailed to them shortly, a first mailing of the full questionnaire booklet, fol</w:t>
      </w:r>
      <w:r>
        <w:t xml:space="preserve">lowed by a second mailing to those who do not respond to the earlier mailing of the questionnaire. For those who also do not respond to the second mailing of the questionnaire, CAHPS employs a telephone follow-up through which it offers sample members the </w:t>
      </w:r>
      <w:r>
        <w:t>opportunity to complete the survey by phone. The mailing materials to all sample members also include a toll-free telephone number that allows recipients to call in to ask questions about the survey. Overall this system has resulted in response rates of be</w:t>
      </w:r>
      <w:r>
        <w:t xml:space="preserve">tween 36-65 percent on average over the last nine years of national data collection in MA and PDP CAHPS, varying somewhat by plan type, contract, and region of the country.  </w:t>
      </w:r>
    </w:p>
    <w:p w:rsidR="008916F7" w:rsidRDefault="00764BBB">
      <w:pPr>
        <w:spacing w:after="0" w:line="259" w:lineRule="auto"/>
        <w:ind w:left="0" w:right="0" w:firstLine="0"/>
      </w:pPr>
      <w:r>
        <w:t xml:space="preserve"> </w:t>
      </w:r>
    </w:p>
    <w:p w:rsidR="008916F7" w:rsidRDefault="00764BBB">
      <w:pPr>
        <w:ind w:left="-5" w:right="0"/>
      </w:pPr>
      <w:r>
        <w:t>Additionally, this field test will test the addition of a web mode to the surve</w:t>
      </w:r>
      <w:r>
        <w:t xml:space="preserve">y administration procedures, as described above. Recent research demonstrates the potential to improve response rates with the use of a web-based mode. In particular, in the emergency department setting, a CMS-funded test demonstrated that a higher survey </w:t>
      </w:r>
      <w:r>
        <w:t>response rate could be achieved by using a web survey as the initial mode of administration, followed by mail, phone, or both.</w:t>
      </w:r>
      <w:r>
        <w:rPr>
          <w:vertAlign w:val="superscript"/>
        </w:rPr>
        <w:footnoteReference w:id="2"/>
      </w:r>
      <w:r>
        <w:t xml:space="preserve"> Based on this research, CMS believes adding web to the existing mixed mode protocol for MA &amp; PDP CAHPS has the potential to impr</w:t>
      </w:r>
      <w:r>
        <w:t xml:space="preserve">ove response rates, in particular among younger enrollees. In 2021, the response rate for MA and PDP enrollees under age 65 was 24% compared to 39% for enrollees age 65 and older.  </w:t>
      </w:r>
    </w:p>
    <w:p w:rsidR="008916F7" w:rsidRDefault="00764BBB">
      <w:pPr>
        <w:spacing w:after="0" w:line="259" w:lineRule="auto"/>
        <w:ind w:left="0" w:right="0" w:firstLine="0"/>
      </w:pPr>
      <w:r>
        <w:t xml:space="preserve"> </w:t>
      </w:r>
    </w:p>
    <w:p w:rsidR="008916F7" w:rsidRDefault="00764BBB">
      <w:pPr>
        <w:spacing w:after="0" w:line="270" w:lineRule="auto"/>
        <w:ind w:left="168" w:right="157"/>
        <w:jc w:val="center"/>
      </w:pPr>
      <w:r>
        <w:t xml:space="preserve">Table 1. Historical Response Rates </w:t>
      </w:r>
    </w:p>
    <w:tbl>
      <w:tblPr>
        <w:tblStyle w:val="TableGrid"/>
        <w:tblW w:w="4068" w:type="dxa"/>
        <w:tblInd w:w="2647" w:type="dxa"/>
        <w:tblCellMar>
          <w:top w:w="62" w:type="dxa"/>
          <w:left w:w="115" w:type="dxa"/>
          <w:bottom w:w="0" w:type="dxa"/>
          <w:right w:w="115" w:type="dxa"/>
        </w:tblCellMar>
        <w:tblLook w:val="04A0" w:firstRow="1" w:lastRow="0" w:firstColumn="1" w:lastColumn="0" w:noHBand="0" w:noVBand="1"/>
      </w:tblPr>
      <w:tblGrid>
        <w:gridCol w:w="1216"/>
        <w:gridCol w:w="1426"/>
        <w:gridCol w:w="1426"/>
      </w:tblGrid>
      <w:tr w:rsidR="008916F7">
        <w:trPr>
          <w:trHeight w:val="905"/>
        </w:trPr>
        <w:tc>
          <w:tcPr>
            <w:tcW w:w="1217" w:type="dxa"/>
            <w:tcBorders>
              <w:top w:val="single" w:color="000000" w:sz="12" w:space="0"/>
              <w:left w:val="single" w:color="000000" w:sz="12" w:space="0"/>
              <w:bottom w:val="single" w:color="000000" w:sz="8" w:space="0"/>
              <w:right w:val="single" w:color="000000" w:sz="8" w:space="0"/>
            </w:tcBorders>
            <w:vAlign w:val="center"/>
          </w:tcPr>
          <w:p w:rsidR="008916F7" w:rsidRDefault="00764BBB">
            <w:pPr>
              <w:spacing w:after="0" w:line="259" w:lineRule="auto"/>
              <w:ind w:left="2" w:right="0" w:firstLine="0"/>
              <w:jc w:val="center"/>
            </w:pPr>
            <w:r>
              <w:t xml:space="preserve">Year </w:t>
            </w:r>
          </w:p>
        </w:tc>
        <w:tc>
          <w:tcPr>
            <w:tcW w:w="1426" w:type="dxa"/>
            <w:tcBorders>
              <w:top w:val="single" w:color="000000" w:sz="12" w:space="0"/>
              <w:left w:val="single" w:color="000000" w:sz="8" w:space="0"/>
              <w:bottom w:val="single" w:color="000000" w:sz="8" w:space="0"/>
              <w:right w:val="single" w:color="000000" w:sz="8" w:space="0"/>
            </w:tcBorders>
          </w:tcPr>
          <w:p w:rsidR="008916F7" w:rsidRDefault="00764BBB">
            <w:pPr>
              <w:spacing w:after="0" w:line="259" w:lineRule="auto"/>
              <w:ind w:left="0" w:right="0" w:firstLine="0"/>
              <w:jc w:val="center"/>
            </w:pPr>
            <w:r>
              <w:t xml:space="preserve">MA </w:t>
            </w:r>
          </w:p>
          <w:p w:rsidR="008916F7" w:rsidRDefault="00764BBB">
            <w:pPr>
              <w:spacing w:after="0" w:line="259" w:lineRule="auto"/>
              <w:ind w:left="0" w:right="0" w:firstLine="0"/>
              <w:jc w:val="center"/>
            </w:pPr>
            <w:r>
              <w:t xml:space="preserve">Response Rate </w:t>
            </w:r>
          </w:p>
        </w:tc>
        <w:tc>
          <w:tcPr>
            <w:tcW w:w="1426" w:type="dxa"/>
            <w:tcBorders>
              <w:top w:val="single" w:color="000000" w:sz="12"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PDP </w:t>
            </w:r>
          </w:p>
          <w:p w:rsidR="008916F7" w:rsidRDefault="00764BBB">
            <w:pPr>
              <w:spacing w:after="0" w:line="259" w:lineRule="auto"/>
              <w:ind w:left="0" w:right="0" w:firstLine="0"/>
              <w:jc w:val="center"/>
            </w:pPr>
            <w:r>
              <w:t xml:space="preserve">Response Rate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2021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36.4%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37.9% </w:t>
            </w:r>
          </w:p>
        </w:tc>
      </w:tr>
      <w:tr w:rsidR="008916F7">
        <w:trPr>
          <w:trHeight w:val="348"/>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2020*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5" w:right="0" w:firstLine="0"/>
              <w:jc w:val="center"/>
            </w:pPr>
            <w:r>
              <w:t xml:space="preserve">N/A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0" w:firstLine="0"/>
              <w:jc w:val="center"/>
            </w:pPr>
            <w:r>
              <w:t xml:space="preserve">N/A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lastRenderedPageBreak/>
              <w:t xml:space="preserve">2019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38.4%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38.9%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2018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41.0%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41.3%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2017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42.3%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44.4%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2016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42.2%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40.2%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2015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41.4%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39.5% </w:t>
            </w:r>
          </w:p>
        </w:tc>
      </w:tr>
      <w:tr w:rsidR="008916F7">
        <w:trPr>
          <w:trHeight w:val="355"/>
        </w:trPr>
        <w:tc>
          <w:tcPr>
            <w:tcW w:w="1217" w:type="dxa"/>
            <w:tcBorders>
              <w:top w:val="single" w:color="000000" w:sz="12"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2014 </w:t>
            </w:r>
          </w:p>
        </w:tc>
        <w:tc>
          <w:tcPr>
            <w:tcW w:w="1426" w:type="dxa"/>
            <w:tcBorders>
              <w:top w:val="single" w:color="000000" w:sz="12"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44.9% </w:t>
            </w:r>
          </w:p>
        </w:tc>
        <w:tc>
          <w:tcPr>
            <w:tcW w:w="1426" w:type="dxa"/>
            <w:tcBorders>
              <w:top w:val="single" w:color="000000" w:sz="12"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40.1%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2013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46.1%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42.8%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2012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47.9%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44.2% </w:t>
            </w:r>
          </w:p>
        </w:tc>
      </w:tr>
      <w:tr w:rsidR="008916F7">
        <w:trPr>
          <w:trHeight w:val="41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4" w:right="0" w:firstLine="0"/>
              <w:jc w:val="center"/>
            </w:pPr>
            <w:r>
              <w:t xml:space="preserve">2011**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46.5%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40.0% </w:t>
            </w:r>
          </w:p>
        </w:tc>
      </w:tr>
      <w:tr w:rsidR="008916F7">
        <w:trPr>
          <w:trHeight w:val="348"/>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2010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61.7%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57.1%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2009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64.8%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57.7%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2008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64.9%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54.9% </w:t>
            </w:r>
          </w:p>
        </w:tc>
      </w:tr>
      <w:tr w:rsidR="008916F7">
        <w:trPr>
          <w:trHeight w:val="350"/>
        </w:trPr>
        <w:tc>
          <w:tcPr>
            <w:tcW w:w="1217" w:type="dxa"/>
            <w:tcBorders>
              <w:top w:val="single" w:color="000000" w:sz="8" w:space="0"/>
              <w:left w:val="single" w:color="000000" w:sz="12" w:space="0"/>
              <w:bottom w:val="single" w:color="000000" w:sz="8" w:space="0"/>
              <w:right w:val="single" w:color="000000" w:sz="8" w:space="0"/>
            </w:tcBorders>
          </w:tcPr>
          <w:p w:rsidR="008916F7" w:rsidRDefault="00764BBB">
            <w:pPr>
              <w:spacing w:after="0" w:line="259" w:lineRule="auto"/>
              <w:ind w:left="2" w:right="0" w:firstLine="0"/>
              <w:jc w:val="center"/>
            </w:pPr>
            <w:r>
              <w:t xml:space="preserve">2007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4" w:right="0" w:firstLine="0"/>
              <w:jc w:val="center"/>
            </w:pPr>
            <w:r>
              <w:t xml:space="preserve">50.7% </w:t>
            </w:r>
          </w:p>
        </w:tc>
        <w:tc>
          <w:tcPr>
            <w:tcW w:w="1426" w:type="dxa"/>
            <w:tcBorders>
              <w:top w:val="single" w:color="000000" w:sz="8" w:space="0"/>
              <w:left w:val="single" w:color="000000" w:sz="8" w:space="0"/>
              <w:bottom w:val="single" w:color="000000" w:sz="8" w:space="0"/>
              <w:right w:val="single" w:color="000000" w:sz="8" w:space="0"/>
            </w:tcBorders>
          </w:tcPr>
          <w:p w:rsidR="008916F7" w:rsidRDefault="00764BBB">
            <w:pPr>
              <w:spacing w:after="0" w:line="259" w:lineRule="auto"/>
              <w:ind w:left="0" w:right="1" w:firstLine="0"/>
              <w:jc w:val="center"/>
            </w:pPr>
            <w:r>
              <w:t xml:space="preserve">47.8% </w:t>
            </w:r>
          </w:p>
        </w:tc>
      </w:tr>
    </w:tbl>
    <w:p w:rsidR="008916F7" w:rsidRDefault="00764BBB">
      <w:pPr>
        <w:spacing w:after="0" w:line="270" w:lineRule="auto"/>
        <w:ind w:left="168" w:right="153"/>
        <w:jc w:val="center"/>
      </w:pPr>
      <w:r>
        <w:t xml:space="preserve">*The MA &amp; PDP CAHPS Survey was not administered in 2020 </w:t>
      </w:r>
    </w:p>
    <w:p w:rsidR="008916F7" w:rsidRDefault="00764BBB">
      <w:pPr>
        <w:spacing w:after="0" w:line="270" w:lineRule="auto"/>
        <w:ind w:left="168" w:right="153"/>
        <w:jc w:val="center"/>
      </w:pPr>
      <w:r>
        <w:t xml:space="preserve">**In 2011, MA and PDP contracts were surveyed by multiple vendors for the first time </w:t>
      </w:r>
    </w:p>
    <w:p w:rsidR="008916F7" w:rsidRDefault="00764BBB">
      <w:pPr>
        <w:spacing w:after="232" w:line="259" w:lineRule="auto"/>
        <w:ind w:left="0" w:right="0" w:firstLine="0"/>
      </w:pPr>
      <w:r>
        <w:rPr>
          <w:b/>
        </w:rPr>
        <w:t xml:space="preserve"> </w:t>
      </w:r>
    </w:p>
    <w:p w:rsidR="008916F7" w:rsidRDefault="00764BBB">
      <w:pPr>
        <w:pStyle w:val="Heading1"/>
        <w:tabs>
          <w:tab w:val="center" w:pos="2299"/>
        </w:tabs>
        <w:ind w:left="-15" w:firstLine="0"/>
      </w:pPr>
      <w:r>
        <w:t xml:space="preserve">B.4 </w:t>
      </w:r>
      <w:r>
        <w:tab/>
        <w:t xml:space="preserve">Tests of procedures or methods </w:t>
      </w:r>
    </w:p>
    <w:p w:rsidR="008916F7" w:rsidRDefault="00764BBB">
      <w:pPr>
        <w:spacing w:after="0" w:line="259" w:lineRule="auto"/>
        <w:ind w:left="0" w:right="0" w:firstLine="0"/>
      </w:pPr>
      <w:r>
        <w:t xml:space="preserve"> </w:t>
      </w:r>
    </w:p>
    <w:p w:rsidR="008916F7" w:rsidRDefault="00764BBB">
      <w:pPr>
        <w:ind w:left="-5" w:right="0"/>
      </w:pPr>
      <w:r>
        <w:t>The proposed field test will test a new web-based mode of survey administration, along with proposed new survey content recommended by stakeholders. We propose to administer this field test with unused sample from the</w:t>
      </w:r>
      <w:r>
        <w:t xml:space="preserve"> same Medicare population that is eligible to receive the annual survey. </w:t>
      </w:r>
    </w:p>
    <w:p w:rsidR="008916F7" w:rsidRDefault="00764BBB">
      <w:pPr>
        <w:spacing w:after="0" w:line="259" w:lineRule="auto"/>
        <w:ind w:left="0" w:right="0" w:firstLine="0"/>
      </w:pPr>
      <w:r>
        <w:t xml:space="preserve">  </w:t>
      </w:r>
    </w:p>
    <w:p w:rsidR="008916F7" w:rsidRDefault="00764BBB">
      <w:pPr>
        <w:ind w:left="-5" w:right="0"/>
      </w:pPr>
      <w:r>
        <w:t xml:space="preserve">See below also for additional detail regarding statistical design modifications. </w:t>
      </w:r>
    </w:p>
    <w:p w:rsidR="008916F7" w:rsidRDefault="00764BBB">
      <w:pPr>
        <w:spacing w:after="232" w:line="259" w:lineRule="auto"/>
        <w:ind w:left="0" w:right="0" w:firstLine="0"/>
      </w:pPr>
      <w:r>
        <w:t xml:space="preserve"> </w:t>
      </w:r>
    </w:p>
    <w:p w:rsidR="008916F7" w:rsidRDefault="00764BBB">
      <w:pPr>
        <w:pStyle w:val="Heading1"/>
        <w:tabs>
          <w:tab w:val="center" w:pos="3097"/>
        </w:tabs>
        <w:ind w:left="-15" w:firstLine="0"/>
      </w:pPr>
      <w:r>
        <w:t xml:space="preserve">B.5 </w:t>
      </w:r>
      <w:r>
        <w:tab/>
        <w:t xml:space="preserve">Statistical and questionnaire design consultants </w:t>
      </w:r>
    </w:p>
    <w:p w:rsidR="008916F7" w:rsidRDefault="00764BBB">
      <w:pPr>
        <w:spacing w:after="0" w:line="259" w:lineRule="auto"/>
        <w:ind w:left="0" w:right="0" w:firstLine="0"/>
      </w:pPr>
      <w:r>
        <w:t xml:space="preserve"> </w:t>
      </w:r>
    </w:p>
    <w:p w:rsidR="008916F7" w:rsidRDefault="00764BBB">
      <w:pPr>
        <w:ind w:left="-5" w:right="0"/>
      </w:pPr>
      <w:r>
        <w:t xml:space="preserve">The statistical expertise for this field test effort was provided by the RAND Corporation.  </w:t>
      </w:r>
    </w:p>
    <w:p w:rsidR="008916F7" w:rsidRDefault="00764BBB">
      <w:pPr>
        <w:spacing w:after="0" w:line="259" w:lineRule="auto"/>
        <w:ind w:left="0" w:right="0" w:firstLine="0"/>
      </w:pPr>
      <w:r>
        <w:t xml:space="preserve"> </w:t>
      </w:r>
    </w:p>
    <w:p w:rsidR="008916F7" w:rsidRDefault="00764BBB">
      <w:pPr>
        <w:ind w:left="-5" w:right="0"/>
      </w:pPr>
      <w:r>
        <w:t>The proposed design is of sufficient scale to support comparison of the effect of mode of administration on responses and response rate. We will have 80% power w</w:t>
      </w:r>
      <w:r>
        <w:t>ith a 2-sided test at alpha=0.05 to detect a beneficiary-level effect size of 0.12 standard deviations (0.1 is “very small” and 0.2 is “small” by standard heuristics). We will have 80% power to detect a 3.8% difference in response rates between the experim</w:t>
      </w:r>
      <w:r>
        <w:t xml:space="preserve">ental and comparison arms using a 2-sided </w:t>
      </w:r>
      <w:r>
        <w:lastRenderedPageBreak/>
        <w:t>test and alpha=.05. The analysis will employ fixed effects for contracts to control for contract differences in performance, an approach used previously to assess changes in MA &amp; PDP CAHPS survey content</w:t>
      </w:r>
      <w:r>
        <w:rPr>
          <w:vertAlign w:val="superscript"/>
        </w:rPr>
        <w:footnoteReference w:id="3"/>
      </w:r>
      <w:r>
        <w:t>. Analyses will be restricted to data from the 50 contracts sampled for the field test and 2022 administration of MA &amp; PDP CAHPS. If overall differences are detected using the initial model, additional models using random-effect contract intercepts and slo</w:t>
      </w:r>
      <w:r>
        <w:t xml:space="preserve">pes will test whether changes are uniform or vary by contract.  </w:t>
      </w:r>
    </w:p>
    <w:p w:rsidR="008916F7" w:rsidRDefault="00764BBB">
      <w:pPr>
        <w:spacing w:after="0" w:line="259" w:lineRule="auto"/>
        <w:ind w:left="0" w:right="0" w:firstLine="0"/>
      </w:pPr>
      <w:r>
        <w:t xml:space="preserve"> </w:t>
      </w:r>
    </w:p>
    <w:p w:rsidR="008916F7" w:rsidRDefault="00764BBB">
      <w:pPr>
        <w:ind w:left="-5" w:right="0"/>
      </w:pPr>
      <w:r>
        <w:t xml:space="preserve">Differences in mean responses between the experimental and comparison arms will inform CMS decision-making about the inclusion of new survey items. </w:t>
      </w:r>
    </w:p>
    <w:p w:rsidR="008916F7" w:rsidRDefault="00764BBB">
      <w:pPr>
        <w:spacing w:after="0" w:line="259" w:lineRule="auto"/>
        <w:ind w:left="0" w:right="0" w:firstLine="0"/>
      </w:pPr>
      <w:r>
        <w:t xml:space="preserve"> </w:t>
      </w:r>
    </w:p>
    <w:p w:rsidR="008916F7" w:rsidRDefault="00764BBB">
      <w:pPr>
        <w:ind w:left="-5" w:right="0"/>
      </w:pPr>
      <w:r>
        <w:t>We propose to strongly recommend the u</w:t>
      </w:r>
      <w:r>
        <w:t>se of the web-first mode if the response rate for the experimental arm is significantly higher than the comparison arm, to recommend further study if it is not significantly different from the comparison arm, and to recommend against it if the experimental</w:t>
      </w:r>
      <w:r>
        <w:t xml:space="preserve"> arm has a response rate significantly lower than the comparison arm. </w:t>
      </w:r>
    </w:p>
    <w:p w:rsidR="008916F7" w:rsidRDefault="00764BBB">
      <w:pPr>
        <w:spacing w:after="0" w:line="259" w:lineRule="auto"/>
        <w:ind w:left="0" w:right="0" w:firstLine="0"/>
      </w:pPr>
      <w:r>
        <w:t xml:space="preserve"> </w:t>
      </w:r>
    </w:p>
    <w:p w:rsidR="008916F7" w:rsidRDefault="00764BBB">
      <w:pPr>
        <w:ind w:left="-5" w:right="0"/>
      </w:pPr>
      <w:r>
        <w:t xml:space="preserve">Statistical consultation is provided by: </w:t>
      </w:r>
    </w:p>
    <w:p w:rsidR="008916F7" w:rsidRDefault="00764BBB">
      <w:pPr>
        <w:spacing w:after="0" w:line="259" w:lineRule="auto"/>
        <w:ind w:left="0" w:right="0" w:firstLine="0"/>
      </w:pPr>
      <w:r>
        <w:t xml:space="preserve"> </w:t>
      </w:r>
    </w:p>
    <w:p w:rsidR="008916F7" w:rsidRDefault="00764BBB">
      <w:pPr>
        <w:ind w:left="730" w:right="5978"/>
      </w:pPr>
      <w:r>
        <w:t xml:space="preserve">Marc N. Elliott, Ph.D. RAND Corporation </w:t>
      </w:r>
    </w:p>
    <w:p w:rsidR="008916F7" w:rsidRDefault="00764BBB">
      <w:pPr>
        <w:ind w:left="730" w:right="0"/>
      </w:pPr>
      <w:r>
        <w:t xml:space="preserve">1776 Main Street </w:t>
      </w:r>
    </w:p>
    <w:p w:rsidR="008916F7" w:rsidRDefault="00764BBB">
      <w:pPr>
        <w:ind w:left="730" w:right="0"/>
      </w:pPr>
      <w:r>
        <w:t xml:space="preserve">Santa Monica, CA 90401-3208 </w:t>
      </w:r>
    </w:p>
    <w:p w:rsidR="008916F7" w:rsidRDefault="00764BBB">
      <w:pPr>
        <w:ind w:left="730" w:right="0"/>
      </w:pPr>
      <w:r>
        <w:t xml:space="preserve">Tel: 310-393-0411 </w:t>
      </w:r>
    </w:p>
    <w:p w:rsidR="008916F7" w:rsidRDefault="00764BBB">
      <w:pPr>
        <w:spacing w:after="0" w:line="259" w:lineRule="auto"/>
        <w:ind w:left="0" w:right="0" w:firstLine="0"/>
      </w:pPr>
      <w:r>
        <w:t xml:space="preserve"> </w:t>
      </w:r>
    </w:p>
    <w:sectPr w:rsidR="008916F7">
      <w:pgSz w:w="12240" w:h="15840"/>
      <w:pgMar w:top="1454" w:right="1443"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64BBB">
      <w:pPr>
        <w:spacing w:after="0" w:line="240" w:lineRule="auto"/>
      </w:pPr>
      <w:r>
        <w:separator/>
      </w:r>
    </w:p>
  </w:endnote>
  <w:endnote w:type="continuationSeparator" w:id="0">
    <w:p w:rsidR="00000000" w:rsidRDefault="0076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6F7" w:rsidRDefault="00764BBB">
      <w:pPr>
        <w:spacing w:after="0" w:line="276" w:lineRule="auto"/>
        <w:ind w:left="0" w:right="0" w:firstLine="0"/>
      </w:pPr>
      <w:r>
        <w:separator/>
      </w:r>
    </w:p>
  </w:footnote>
  <w:footnote w:type="continuationSeparator" w:id="0">
    <w:p w:rsidR="008916F7" w:rsidRDefault="00764BBB">
      <w:pPr>
        <w:spacing w:after="0" w:line="276" w:lineRule="auto"/>
        <w:ind w:left="0" w:right="0" w:firstLine="0"/>
      </w:pPr>
      <w:r>
        <w:continuationSeparator/>
      </w:r>
    </w:p>
  </w:footnote>
  <w:footnote w:id="1">
    <w:p w:rsidR="008916F7" w:rsidRDefault="00764BBB">
      <w:pPr>
        <w:pStyle w:val="footnotedescription"/>
        <w:spacing w:line="276" w:lineRule="auto"/>
      </w:pPr>
      <w:r>
        <w:rPr>
          <w:rStyle w:val="footnotemark"/>
        </w:rPr>
        <w:footnoteRef/>
      </w:r>
      <w:r>
        <w:t xml:space="preserve"> Sending an invitation by letter to those without an email address is consistent with other CMS CAHPS efforts (such as OAS CAHPS). </w:t>
      </w:r>
    </w:p>
  </w:footnote>
  <w:footnote w:id="2">
    <w:p w:rsidR="008916F7" w:rsidRDefault="00764BBB">
      <w:pPr>
        <w:pStyle w:val="footnotedescription"/>
        <w:spacing w:line="249" w:lineRule="auto"/>
      </w:pPr>
      <w:r>
        <w:rPr>
          <w:rStyle w:val="footnotemark"/>
        </w:rPr>
        <w:footnoteRef/>
      </w:r>
      <w:r>
        <w:t xml:space="preserve"> </w:t>
      </w:r>
      <w:proofErr w:type="spellStart"/>
      <w:r>
        <w:t>Parast</w:t>
      </w:r>
      <w:proofErr w:type="spellEnd"/>
      <w:r>
        <w:t xml:space="preserve"> L., M. Mathews, et al. (2019). Effects of Push-to-Web Mixed Mode Approaches on Survey Response Rates: Evidence from a Randomized Experiment in Emergency Departments. </w:t>
      </w:r>
      <w:r>
        <w:rPr>
          <w:i/>
        </w:rPr>
        <w:t>Survey Practice,</w:t>
      </w:r>
      <w:r>
        <w:t xml:space="preserve"> 12(2). </w:t>
      </w:r>
      <w:hyperlink r:id="rId1">
        <w:r>
          <w:rPr>
            <w:color w:val="0000FF"/>
            <w:u w:val="single" w:color="0000FF"/>
          </w:rPr>
          <w:t>h</w:t>
        </w:r>
        <w:r>
          <w:rPr>
            <w:color w:val="0000FF"/>
            <w:u w:val="single" w:color="0000FF"/>
          </w:rPr>
          <w:t>ttps://doi.org/10.29115/SP-2019-0008</w:t>
        </w:r>
      </w:hyperlink>
      <w:hyperlink r:id="rId2">
        <w:r>
          <w:t>.</w:t>
        </w:r>
      </w:hyperlink>
      <w:r>
        <w:t xml:space="preserve">  </w:t>
      </w:r>
    </w:p>
  </w:footnote>
  <w:footnote w:id="3">
    <w:p w:rsidR="008916F7" w:rsidRDefault="00764BBB">
      <w:pPr>
        <w:pStyle w:val="footnotedescription"/>
        <w:ind w:right="440"/>
      </w:pPr>
      <w:r>
        <w:rPr>
          <w:rStyle w:val="footnotemark"/>
        </w:rPr>
        <w:footnoteRef/>
      </w:r>
      <w:r>
        <w:t xml:space="preserve"> </w:t>
      </w:r>
      <w:r>
        <w:rPr>
          <w:rFonts w:ascii="Calibri" w:eastAsia="Calibri" w:hAnsi="Calibri" w:cs="Calibri"/>
          <w:color w:val="303030"/>
        </w:rPr>
        <w:t>Beckett, M. K., Elliott, M. N., Burkhart, Q., Cleary, P. D., Orr, N., Brown, J. A., Gaillot, S., Liu, K., &amp; Hays, R. D. (2019). The effects of survey version</w:t>
      </w:r>
      <w:r>
        <w:rPr>
          <w:rFonts w:ascii="Calibri" w:eastAsia="Calibri" w:hAnsi="Calibri" w:cs="Calibri"/>
          <w:color w:val="303030"/>
        </w:rPr>
        <w:t xml:space="preserve"> on patient experience scores and plan rankings. </w:t>
      </w:r>
      <w:r>
        <w:rPr>
          <w:rFonts w:ascii="Calibri" w:eastAsia="Calibri" w:hAnsi="Calibri" w:cs="Calibri"/>
          <w:i/>
          <w:color w:val="303030"/>
        </w:rPr>
        <w:t>Health services research</w:t>
      </w:r>
      <w:r>
        <w:rPr>
          <w:rFonts w:ascii="Calibri" w:eastAsia="Calibri" w:hAnsi="Calibri" w:cs="Calibri"/>
          <w:color w:val="303030"/>
        </w:rPr>
        <w:t xml:space="preserve">, </w:t>
      </w:r>
      <w:r>
        <w:rPr>
          <w:rFonts w:ascii="Calibri" w:eastAsia="Calibri" w:hAnsi="Calibri" w:cs="Calibri"/>
          <w:i/>
          <w:color w:val="303030"/>
        </w:rPr>
        <w:t>54</w:t>
      </w:r>
      <w:r>
        <w:rPr>
          <w:rFonts w:ascii="Calibri" w:eastAsia="Calibri" w:hAnsi="Calibri" w:cs="Calibri"/>
          <w:color w:val="303030"/>
        </w:rPr>
        <w:t xml:space="preserve">(5), 1016–1022. </w:t>
      </w:r>
      <w:hyperlink r:id="rId3">
        <w:r>
          <w:rPr>
            <w:rFonts w:ascii="Calibri" w:eastAsia="Calibri" w:hAnsi="Calibri" w:cs="Calibri"/>
            <w:color w:val="0000FF"/>
            <w:u w:val="single" w:color="0000FF"/>
          </w:rPr>
          <w:t>https://doi.org/10.1111/1475-6773.13172</w:t>
        </w:r>
      </w:hyperlink>
      <w:hyperlink r:id="rId4">
        <w:r>
          <w:rPr>
            <w:rFonts w:ascii="Calibri" w:eastAsia="Calibri" w:hAnsi="Calibri" w:cs="Calibri"/>
            <w:color w:val="303030"/>
          </w:rPr>
          <w: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F7"/>
    <w:rsid w:val="00764BBB"/>
    <w:rsid w:val="0089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2DFE"/>
  <w15:docId w15:val="{7A6CF31B-4E16-46B7-A616-70F1ACC8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83" w:right="167"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6"/>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0" w:line="25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1475-6773.13172" TargetMode="External"/><Relationship Id="rId2" Type="http://schemas.openxmlformats.org/officeDocument/2006/relationships/hyperlink" Target="https://doi.org/10.29115/SP-2019-0008" TargetMode="External"/><Relationship Id="rId1" Type="http://schemas.openxmlformats.org/officeDocument/2006/relationships/hyperlink" Target="https://doi.org/10.29115/SP-2019-0008" TargetMode="External"/><Relationship Id="rId4" Type="http://schemas.openxmlformats.org/officeDocument/2006/relationships/hyperlink" Target="https://doi.org/10.1111/1475-6773.1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6235</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OMB Supporting Statement B_MCAHPS 2022 field test_1-26-22 clean</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B_MCAHPS 2022 field test_1-26-22 clean</dc:title>
  <dc:subject/>
  <dc:creator>Stephan McKenzie</dc:creator>
  <cp:keywords/>
  <cp:lastModifiedBy>Stephan McKenzie</cp:lastModifiedBy>
  <cp:revision>2</cp:revision>
  <dcterms:created xsi:type="dcterms:W3CDTF">2022-01-28T14:22:00Z</dcterms:created>
  <dcterms:modified xsi:type="dcterms:W3CDTF">2022-01-28T14:22:00Z</dcterms:modified>
</cp:coreProperties>
</file>