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5ECC" w:rsidR="009A5ECC" w:rsidP="008547B7" w:rsidRDefault="009A5ECC" w14:paraId="772727E3" w14:textId="6969F27E">
      <w:pPr>
        <w:rPr>
          <w:b/>
          <w:bCs/>
          <w:sz w:val="24"/>
          <w:szCs w:val="24"/>
        </w:rPr>
      </w:pPr>
      <w:r w:rsidRPr="009A5ECC">
        <w:rPr>
          <w:b/>
          <w:bCs/>
          <w:sz w:val="24"/>
          <w:szCs w:val="24"/>
        </w:rPr>
        <w:t xml:space="preserve">Recruitment Materials for NIMH </w:t>
      </w:r>
      <w:r w:rsidRPr="00E52BE6" w:rsidR="00E52BE6">
        <w:rPr>
          <w:b/>
          <w:bCs/>
          <w:sz w:val="24"/>
          <w:szCs w:val="24"/>
        </w:rPr>
        <w:t>Meeting on Macrophage Infection by HIV: Implications for Pathogenesis and Cure</w:t>
      </w:r>
    </w:p>
    <w:p w:rsidR="009A5ECC" w:rsidP="008547B7" w:rsidRDefault="009A5ECC" w14:paraId="012B299A" w14:textId="77777777">
      <w:pPr>
        <w:rPr>
          <w:b/>
          <w:bCs/>
          <w:u w:val="single"/>
        </w:rPr>
      </w:pPr>
    </w:p>
    <w:p w:rsidR="008547B7" w:rsidP="008547B7" w:rsidRDefault="008547B7" w14:paraId="4A6F8BEB" w14:textId="34321A63">
      <w:r w:rsidRPr="008547B7">
        <w:rPr>
          <w:b/>
          <w:bCs/>
          <w:u w:val="single"/>
        </w:rPr>
        <w:t>Twitter post</w:t>
      </w:r>
      <w:r>
        <w:t>:</w:t>
      </w:r>
    </w:p>
    <w:p w:rsidR="008547B7" w:rsidP="008547B7" w:rsidRDefault="008547B7" w14:paraId="216DBBF5" w14:textId="5D7F8920"/>
    <w:p w:rsidR="00293C71" w:rsidP="00293C71" w:rsidRDefault="00293C71" w14:paraId="3124C22C" w14:textId="115C58DD">
      <w:r>
        <w:t xml:space="preserve">NIMH and the </w:t>
      </w:r>
      <w:proofErr w:type="spellStart"/>
      <w:r>
        <w:t>Ragon</w:t>
      </w:r>
      <w:proofErr w:type="spellEnd"/>
      <w:r>
        <w:t xml:space="preserve"> Institute of MGH, MIT and Harvard are conducting a virtual meeting from Oct. 13-14 on the Macrophage Infection by HIV: Implications for Pathogenesis and Cure. Learn more about this meeting and register at (</w:t>
      </w:r>
      <w:r>
        <w:rPr>
          <w:i/>
          <w:iCs/>
        </w:rPr>
        <w:t>Link to website</w:t>
      </w:r>
      <w:r>
        <w:t>). @MassGeneralNews</w:t>
      </w:r>
    </w:p>
    <w:p w:rsidR="008547B7" w:rsidP="008547B7" w:rsidRDefault="008547B7" w14:paraId="7AE6DD56" w14:textId="77777777">
      <w:pPr>
        <w:rPr>
          <w:i/>
          <w:iCs/>
        </w:rPr>
      </w:pPr>
    </w:p>
    <w:p w:rsidR="008547B7" w:rsidP="008547B7" w:rsidRDefault="008547B7" w14:paraId="060767A8" w14:textId="36064D9D">
      <w:r w:rsidRPr="008547B7">
        <w:rPr>
          <w:b/>
          <w:bCs/>
          <w:u w:val="single"/>
        </w:rPr>
        <w:t>LinkedIn post</w:t>
      </w:r>
      <w:r>
        <w:t xml:space="preserve">: </w:t>
      </w:r>
    </w:p>
    <w:p w:rsidR="00293C71" w:rsidP="00293C71" w:rsidRDefault="00293C71" w14:paraId="6E55C97F" w14:textId="77777777"/>
    <w:p w:rsidR="00293C71" w:rsidP="00293C71" w:rsidRDefault="00293C71" w14:paraId="5A8F51F1" w14:textId="18E04222">
      <w:r>
        <w:t xml:space="preserve">NIMH and the </w:t>
      </w:r>
      <w:proofErr w:type="spellStart"/>
      <w:r>
        <w:t>Ragon</w:t>
      </w:r>
      <w:proofErr w:type="spellEnd"/>
      <w:r>
        <w:t xml:space="preserve"> Institute of MGH, MIT and Harvard are conducting a virtual meeting from Oct. 13-14 on the Macrophage Infection by HIV: Implications for Pathogenesis and Cure. This meeting will examine emerging data related to macrophage interactions with the immune system during HIV infection, macrophage reservoirs and approaches to their elimination, and the involvement of</w:t>
      </w:r>
    </w:p>
    <w:p w:rsidR="008547B7" w:rsidP="008547B7" w:rsidRDefault="00293C71" w14:paraId="19E8AB24" w14:textId="1FC1F2A0">
      <w:r>
        <w:t>CNS myeloid reservoirs and associated co-morbidities. Recent work on macrophage inflammation in the context of SARS-CoV-2 infection, and work from new NIMH-funded investigators will also be highlighted. Learn more about this meeting and register at (</w:t>
      </w:r>
      <w:r>
        <w:rPr>
          <w:i/>
          <w:iCs/>
        </w:rPr>
        <w:t>Link to website</w:t>
      </w:r>
      <w:r>
        <w:t>).</w:t>
      </w:r>
    </w:p>
    <w:p w:rsidR="008547B7" w:rsidRDefault="008547B7" w14:paraId="618238A3" w14:textId="24B0389D"/>
    <w:p w:rsidRPr="008547B7" w:rsidR="008547B7" w:rsidP="008547B7" w:rsidRDefault="008547B7" w14:paraId="17917C73" w14:textId="2ADC46D8">
      <w:pPr>
        <w:rPr>
          <w:b/>
          <w:bCs/>
          <w:u w:val="single"/>
        </w:rPr>
      </w:pPr>
      <w:r w:rsidRPr="008547B7">
        <w:rPr>
          <w:b/>
          <w:bCs/>
          <w:u w:val="single"/>
        </w:rPr>
        <w:t>GovDelivery email</w:t>
      </w:r>
      <w:r w:rsidRPr="008547B7">
        <w:t>:</w:t>
      </w:r>
    </w:p>
    <w:tbl>
      <w:tblPr>
        <w:tblW w:w="0" w:type="auto"/>
        <w:tblCellMar>
          <w:left w:w="0" w:type="dxa"/>
          <w:right w:w="0" w:type="dxa"/>
        </w:tblCellMar>
        <w:tblLook w:val="04A0" w:firstRow="1" w:lastRow="0" w:firstColumn="1" w:lastColumn="0" w:noHBand="0" w:noVBand="1"/>
      </w:tblPr>
      <w:tblGrid>
        <w:gridCol w:w="36"/>
      </w:tblGrid>
      <w:tr w:rsidR="008547B7" w:rsidTr="008547B7" w14:paraId="56AF21D5" w14:textId="77777777">
        <w:tc>
          <w:tcPr>
            <w:tcW w:w="0" w:type="auto"/>
            <w:tcMar>
              <w:top w:w="15" w:type="dxa"/>
              <w:left w:w="15" w:type="dxa"/>
              <w:bottom w:w="15" w:type="dxa"/>
              <w:right w:w="15" w:type="dxa"/>
            </w:tcMar>
            <w:vAlign w:val="center"/>
            <w:hideMark/>
          </w:tcPr>
          <w:p w:rsidR="008547B7" w:rsidRDefault="008547B7" w14:paraId="43600BBD" w14:textId="77777777">
            <w:bookmarkStart w:name="gd_top" w:id="0"/>
          </w:p>
        </w:tc>
      </w:tr>
      <w:bookmarkEnd w:id="0"/>
      <w:tr w:rsidR="00C503B8" w:rsidTr="00C503B8" w14:paraId="0E7C6E57" w14:textId="77777777">
        <w:tc>
          <w:tcPr>
            <w:tcW w:w="0" w:type="auto"/>
            <w:tcMar>
              <w:top w:w="15" w:type="dxa"/>
              <w:left w:w="15" w:type="dxa"/>
              <w:bottom w:w="15" w:type="dxa"/>
              <w:right w:w="15" w:type="dxa"/>
            </w:tcMar>
            <w:vAlign w:val="center"/>
            <w:hideMark/>
          </w:tcPr>
          <w:p w:rsidR="00C503B8" w:rsidRDefault="00C503B8" w14:paraId="6F2235F2" w14:textId="77777777"/>
        </w:tc>
      </w:tr>
    </w:tbl>
    <w:p w:rsidR="00C503B8" w:rsidP="00C503B8" w:rsidRDefault="00C503B8" w14:paraId="56A1C8F6" w14:textId="77777777">
      <w:pPr>
        <w:rPr>
          <w:lang w:val="en"/>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C503B8" w:rsidTr="00C503B8" w14:paraId="67280FD9" w14:textId="77777777">
        <w:trPr>
          <w:tblCellSpacing w:w="0" w:type="dxa"/>
          <w:jc w:val="center"/>
        </w:trPr>
        <w:tc>
          <w:tcPr>
            <w:tcW w:w="0" w:type="auto"/>
            <w:shd w:val="clear" w:color="auto" w:fill="EEEEEE"/>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C503B8" w14:paraId="2AF11E6E" w14:textId="77777777">
              <w:trPr>
                <w:jc w:val="center"/>
              </w:trPr>
              <w:tc>
                <w:tcPr>
                  <w:tcW w:w="5000" w:type="pct"/>
                  <w:shd w:val="clear" w:color="auto" w:fill="EEEEEE"/>
                  <w:tcMar>
                    <w:top w:w="300" w:type="dxa"/>
                    <w:left w:w="0" w:type="dxa"/>
                    <w:bottom w:w="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3"/>
                  </w:tblGrid>
                  <w:tr w:rsidR="00C503B8" w14:paraId="32E39C57"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3"/>
                        </w:tblGrid>
                        <w:tr w:rsidR="00C503B8" w14:paraId="09FC7170" w14:textId="77777777">
                          <w:trPr>
                            <w:jc w:val="center"/>
                          </w:trPr>
                          <w:tc>
                            <w:tcPr>
                              <w:tcW w:w="5000" w:type="pct"/>
                              <w:shd w:val="clear" w:color="auto" w:fill="5C9BD5"/>
                              <w:tcMar>
                                <w:top w:w="150" w:type="dxa"/>
                                <w:left w:w="450" w:type="dxa"/>
                                <w:bottom w:w="0" w:type="dxa"/>
                                <w:right w:w="450" w:type="dxa"/>
                              </w:tcMar>
                              <w:vAlign w:val="center"/>
                              <w:hideMark/>
                            </w:tcPr>
                            <w:p w:rsidR="00C503B8" w:rsidRDefault="00C503B8" w14:paraId="17A7588A" w14:textId="77777777">
                              <w:pPr>
                                <w:spacing w:before="150" w:after="225"/>
                                <w:jc w:val="center"/>
                                <w:rPr>
                                  <w:rFonts w:ascii="Arial" w:hAnsi="Arial" w:cs="Arial"/>
                                  <w:color w:val="000000"/>
                                  <w:sz w:val="21"/>
                                  <w:szCs w:val="21"/>
                                </w:rPr>
                              </w:pPr>
                              <w:r>
                                <w:rPr>
                                  <w:rFonts w:ascii="Arial" w:hAnsi="Arial" w:cs="Arial"/>
                                  <w:color w:val="000000"/>
                                  <w:sz w:val="21"/>
                                  <w:szCs w:val="21"/>
                                </w:rPr>
                                <w:t xml:space="preserve">We're now on Instagram! Follow us </w:t>
                              </w:r>
                              <w:hyperlink w:tgtFrame="_blank" w:history="1" r:id="rId4">
                                <w:r>
                                  <w:rPr>
                                    <w:rStyle w:val="Hyperlink"/>
                                    <w:rFonts w:ascii="Arial" w:hAnsi="Arial" w:cs="Arial"/>
                                    <w:color w:val="000000"/>
                                    <w:sz w:val="21"/>
                                    <w:szCs w:val="21"/>
                                  </w:rPr>
                                  <w:t>@NIMHgov</w:t>
                                </w:r>
                              </w:hyperlink>
                            </w:p>
                          </w:tc>
                        </w:tr>
                        <w:tr w:rsidR="00C503B8" w14:paraId="3FEA6C45" w14:textId="77777777">
                          <w:trPr>
                            <w:jc w:val="center"/>
                          </w:trPr>
                          <w:tc>
                            <w:tcPr>
                              <w:tcW w:w="0" w:type="auto"/>
                              <w:shd w:val="clear" w:color="auto" w:fill="5C9BD5"/>
                              <w:tcMar>
                                <w:top w:w="0"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3421"/>
                                <w:gridCol w:w="5132"/>
                              </w:tblGrid>
                              <w:tr w:rsidR="00C503B8" w14:paraId="0109E2A5" w14:textId="77777777">
                                <w:trPr>
                                  <w:jc w:val="center"/>
                                </w:trPr>
                                <w:tc>
                                  <w:tcPr>
                                    <w:tcW w:w="2000" w:type="pct"/>
                                    <w:hideMark/>
                                  </w:tcPr>
                                  <w:tbl>
                                    <w:tblPr>
                                      <w:tblW w:w="5000" w:type="pct"/>
                                      <w:jc w:val="center"/>
                                      <w:tblCellMar>
                                        <w:left w:w="0" w:type="dxa"/>
                                        <w:right w:w="0" w:type="dxa"/>
                                      </w:tblCellMar>
                                      <w:tblLook w:val="04A0" w:firstRow="1" w:lastRow="0" w:firstColumn="1" w:lastColumn="0" w:noHBand="0" w:noVBand="1"/>
                                    </w:tblPr>
                                    <w:tblGrid>
                                      <w:gridCol w:w="3421"/>
                                    </w:tblGrid>
                                    <w:tr w:rsidR="00C503B8" w14:paraId="5DFA9D96" w14:textId="77777777">
                                      <w:trPr>
                                        <w:jc w:val="center"/>
                                      </w:trPr>
                                      <w:tc>
                                        <w:tcPr>
                                          <w:tcW w:w="5000" w:type="pct"/>
                                          <w:shd w:val="clear" w:color="auto" w:fill="5C9BD5"/>
                                          <w:tcMar>
                                            <w:top w:w="0" w:type="dxa"/>
                                            <w:left w:w="225" w:type="dxa"/>
                                            <w:bottom w:w="0" w:type="dxa"/>
                                            <w:right w:w="0" w:type="dxa"/>
                                          </w:tcMar>
                                          <w:vAlign w:val="center"/>
                                          <w:hideMark/>
                                        </w:tcPr>
                                        <w:p w:rsidR="00C503B8" w:rsidRDefault="00C503B8" w14:paraId="34989E38" w14:textId="04B65FC1">
                                          <w:r>
                                            <w:rPr>
                                              <w:noProof/>
                                              <w:color w:val="000000"/>
                                            </w:rPr>
                                            <w:drawing>
                                              <wp:inline distT="0" distB="0" distL="0" distR="0" wp14:anchorId="7120F911" wp14:editId="752AC437">
                                                <wp:extent cx="1989455" cy="488315"/>
                                                <wp:effectExtent l="0" t="0" r="0" b="6985"/>
                                                <wp:docPr id="39" name="Picture 39" descr="NIH National Institute of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NIH National Institute of Mental Heal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9455" cy="488315"/>
                                                        </a:xfrm>
                                                        <a:prstGeom prst="rect">
                                                          <a:avLst/>
                                                        </a:prstGeom>
                                                        <a:noFill/>
                                                        <a:ln>
                                                          <a:noFill/>
                                                        </a:ln>
                                                      </pic:spPr>
                                                    </pic:pic>
                                                  </a:graphicData>
                                                </a:graphic>
                                              </wp:inline>
                                            </w:drawing>
                                          </w:r>
                                        </w:p>
                                      </w:tc>
                                    </w:tr>
                                  </w:tbl>
                                  <w:p w:rsidR="00C503B8" w:rsidRDefault="00C503B8" w14:paraId="727C7C20" w14:textId="77777777">
                                    <w:pPr>
                                      <w:jc w:val="center"/>
                                      <w:rPr>
                                        <w:rFonts w:ascii="Times New Roman" w:hAnsi="Times New Roman" w:eastAsia="Times New Roman" w:cs="Times New Roman"/>
                                        <w:sz w:val="20"/>
                                        <w:szCs w:val="20"/>
                                      </w:rPr>
                                    </w:pPr>
                                  </w:p>
                                </w:tc>
                                <w:tc>
                                  <w:tcPr>
                                    <w:tcW w:w="3000" w:type="pct"/>
                                    <w:hideMark/>
                                  </w:tcPr>
                                  <w:tbl>
                                    <w:tblPr>
                                      <w:tblW w:w="5000" w:type="pct"/>
                                      <w:jc w:val="center"/>
                                      <w:tblCellMar>
                                        <w:left w:w="0" w:type="dxa"/>
                                        <w:right w:w="0" w:type="dxa"/>
                                      </w:tblCellMar>
                                      <w:tblLook w:val="04A0" w:firstRow="1" w:lastRow="0" w:firstColumn="1" w:lastColumn="0" w:noHBand="0" w:noVBand="1"/>
                                    </w:tblPr>
                                    <w:tblGrid>
                                      <w:gridCol w:w="5132"/>
                                    </w:tblGrid>
                                    <w:tr w:rsidR="00C503B8" w14:paraId="60D896BF" w14:textId="77777777">
                                      <w:trPr>
                                        <w:jc w:val="center"/>
                                      </w:trPr>
                                      <w:tc>
                                        <w:tcPr>
                                          <w:tcW w:w="5000" w:type="pct"/>
                                          <w:shd w:val="clear" w:color="auto" w:fill="5C9BD5"/>
                                          <w:tcMar>
                                            <w:top w:w="150" w:type="dxa"/>
                                            <w:left w:w="225" w:type="dxa"/>
                                            <w:bottom w:w="150" w:type="dxa"/>
                                            <w:right w:w="225" w:type="dxa"/>
                                          </w:tcMar>
                                          <w:vAlign w:val="center"/>
                                          <w:hideMark/>
                                        </w:tcPr>
                                        <w:p w:rsidR="00C503B8" w:rsidRDefault="00C503B8" w14:paraId="2CB2C266" w14:textId="77777777">
                                          <w:pPr>
                                            <w:pStyle w:val="Heading1"/>
                                            <w:spacing w:before="0" w:beforeAutospacing="0" w:after="150" w:afterAutospacing="0"/>
                                            <w:rPr>
                                              <w:rFonts w:ascii="Arial" w:hAnsi="Arial" w:eastAsia="Times New Roman" w:cs="Arial"/>
                                              <w:color w:val="FFFFFF"/>
                                              <w:sz w:val="45"/>
                                              <w:szCs w:val="45"/>
                                            </w:rPr>
                                          </w:pPr>
                                          <w:r>
                                            <w:rPr>
                                              <w:rFonts w:ascii="Arial" w:hAnsi="Arial" w:eastAsia="Times New Roman" w:cs="Arial"/>
                                              <w:color w:val="FFFFFF"/>
                                              <w:sz w:val="45"/>
                                              <w:szCs w:val="45"/>
                                            </w:rPr>
                                            <w:t>NEWS AND EVENTS</w:t>
                                          </w:r>
                                        </w:p>
                                      </w:tc>
                                    </w:tr>
                                  </w:tbl>
                                  <w:p w:rsidR="00C503B8" w:rsidRDefault="00C503B8" w14:paraId="701C1977" w14:textId="77777777">
                                    <w:pPr>
                                      <w:jc w:val="center"/>
                                      <w:rPr>
                                        <w:rFonts w:ascii="Times New Roman" w:hAnsi="Times New Roman" w:eastAsia="Times New Roman" w:cs="Times New Roman"/>
                                        <w:sz w:val="20"/>
                                        <w:szCs w:val="20"/>
                                      </w:rPr>
                                    </w:pPr>
                                  </w:p>
                                </w:tc>
                              </w:tr>
                            </w:tbl>
                            <w:p w:rsidR="00C503B8" w:rsidRDefault="00C503B8" w14:paraId="73488385" w14:textId="77777777">
                              <w:pPr>
                                <w:jc w:val="center"/>
                                <w:rPr>
                                  <w:rFonts w:ascii="Times New Roman" w:hAnsi="Times New Roman" w:eastAsia="Times New Roman" w:cs="Times New Roman"/>
                                  <w:sz w:val="20"/>
                                  <w:szCs w:val="20"/>
                                </w:rPr>
                              </w:pPr>
                            </w:p>
                          </w:tc>
                        </w:tr>
                        <w:tr w:rsidR="00C503B8" w14:paraId="37CEDA3B" w14:textId="77777777">
                          <w:trPr>
                            <w:jc w:val="center"/>
                          </w:trPr>
                          <w:tc>
                            <w:tcPr>
                              <w:tcW w:w="5000" w:type="pct"/>
                              <w:shd w:val="clear" w:color="auto" w:fill="FFFFFF"/>
                              <w:vAlign w:val="center"/>
                              <w:hideMark/>
                            </w:tcPr>
                            <w:p w:rsidR="00C503B8" w:rsidRDefault="00C503B8" w14:paraId="1F48681D" w14:textId="232BAE49">
                              <w:pPr>
                                <w:jc w:val="center"/>
                              </w:pPr>
                              <w:r>
                                <w:rPr>
                                  <w:noProof/>
                                  <w:color w:val="000000"/>
                                </w:rPr>
                                <w:drawing>
                                  <wp:inline distT="0" distB="0" distL="0" distR="0" wp14:anchorId="18FFF8EA" wp14:editId="4DC1E99B">
                                    <wp:extent cx="5716905" cy="530225"/>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905" cy="530225"/>
                                            </a:xfrm>
                                            <a:prstGeom prst="rect">
                                              <a:avLst/>
                                            </a:prstGeom>
                                            <a:noFill/>
                                            <a:ln>
                                              <a:noFill/>
                                            </a:ln>
                                          </pic:spPr>
                                        </pic:pic>
                                      </a:graphicData>
                                    </a:graphic>
                                  </wp:inline>
                                </w:drawing>
                              </w:r>
                            </w:p>
                          </w:tc>
                        </w:tr>
                        <w:tr w:rsidR="00C503B8" w14:paraId="41BA212B" w14:textId="77777777">
                          <w:trPr>
                            <w:jc w:val="center"/>
                          </w:trPr>
                          <w:tc>
                            <w:tcPr>
                              <w:tcW w:w="5000" w:type="pct"/>
                              <w:shd w:val="clear" w:color="auto" w:fill="FFFFFF"/>
                              <w:tcMar>
                                <w:top w:w="300" w:type="dxa"/>
                                <w:left w:w="450" w:type="dxa"/>
                                <w:bottom w:w="450" w:type="dxa"/>
                                <w:right w:w="450" w:type="dxa"/>
                              </w:tcMar>
                              <w:vAlign w:val="center"/>
                              <w:hideMark/>
                            </w:tcPr>
                            <w:p w:rsidR="00C503B8" w:rsidRDefault="00C503B8" w14:paraId="1596DE08" w14:textId="77777777">
                              <w:pPr>
                                <w:pStyle w:val="Heading1"/>
                                <w:spacing w:before="0" w:beforeAutospacing="0" w:after="150" w:afterAutospacing="0"/>
                                <w:rPr>
                                  <w:rFonts w:ascii="Arial" w:hAnsi="Arial" w:eastAsia="Times New Roman" w:cs="Arial"/>
                                  <w:color w:val="000000"/>
                                  <w:sz w:val="33"/>
                                  <w:szCs w:val="33"/>
                                </w:rPr>
                              </w:pPr>
                              <w:r>
                                <w:rPr>
                                  <w:rFonts w:ascii="Arial" w:hAnsi="Arial" w:eastAsia="Times New Roman" w:cs="Arial"/>
                                  <w:color w:val="000000"/>
                                  <w:sz w:val="33"/>
                                  <w:szCs w:val="33"/>
                                </w:rPr>
                                <w:t>Macrophage Infection by HIV: Implications for Pathogenesis and Cure</w:t>
                              </w:r>
                            </w:p>
                            <w:p w:rsidR="00C503B8" w:rsidRDefault="00C503B8" w14:paraId="57D08F27" w14:textId="77777777">
                              <w:pPr>
                                <w:spacing w:before="150" w:after="150"/>
                                <w:rPr>
                                  <w:color w:val="000000"/>
                                  <w:sz w:val="24"/>
                                  <w:szCs w:val="24"/>
                                </w:rPr>
                              </w:pPr>
                              <w:r>
                                <w:rPr>
                                  <w:rStyle w:val="Strong"/>
                                  <w:color w:val="000000"/>
                                  <w:sz w:val="24"/>
                                  <w:szCs w:val="24"/>
                                </w:rPr>
                                <w:t xml:space="preserve">Date/Time: </w:t>
                              </w:r>
                              <w:r>
                                <w:rPr>
                                  <w:color w:val="000000"/>
                                  <w:sz w:val="24"/>
                                  <w:szCs w:val="24"/>
                                </w:rPr>
                                <w:t>October 13-14, 2021</w:t>
                              </w:r>
                              <w:r>
                                <w:rPr>
                                  <w:color w:val="000000"/>
                                  <w:sz w:val="24"/>
                                  <w:szCs w:val="24"/>
                                </w:rPr>
                                <w:br/>
                              </w:r>
                              <w:r>
                                <w:rPr>
                                  <w:rStyle w:val="Strong"/>
                                  <w:color w:val="000000"/>
                                  <w:sz w:val="24"/>
                                  <w:szCs w:val="24"/>
                                </w:rPr>
                                <w:t>Location: </w:t>
                              </w:r>
                              <w:r>
                                <w:rPr>
                                  <w:color w:val="000000"/>
                                  <w:sz w:val="24"/>
                                  <w:szCs w:val="24"/>
                                </w:rPr>
                                <w:t>Virtual </w:t>
                              </w:r>
                            </w:p>
                            <w:p w:rsidR="00C503B8" w:rsidRDefault="00C503B8" w14:paraId="7710B87C" w14:textId="77777777">
                              <w:pPr>
                                <w:spacing w:before="150" w:after="150"/>
                                <w:rPr>
                                  <w:color w:val="000000"/>
                                  <w:sz w:val="24"/>
                                  <w:szCs w:val="24"/>
                                </w:rPr>
                              </w:pPr>
                              <w:r>
                                <w:rPr>
                                  <w:color w:val="000000"/>
                                  <w:sz w:val="24"/>
                                  <w:szCs w:val="24"/>
                                </w:rPr>
                                <w:t xml:space="preserve">The National Institute of Mental Health's Division of AIDS Research and the </w:t>
                              </w:r>
                              <w:proofErr w:type="spellStart"/>
                              <w:r>
                                <w:rPr>
                                  <w:color w:val="000000"/>
                                  <w:sz w:val="24"/>
                                  <w:szCs w:val="24"/>
                                </w:rPr>
                                <w:t>Ragon</w:t>
                              </w:r>
                              <w:proofErr w:type="spellEnd"/>
                              <w:r>
                                <w:rPr>
                                  <w:color w:val="000000"/>
                                  <w:sz w:val="24"/>
                                  <w:szCs w:val="24"/>
                                </w:rPr>
                                <w:t xml:space="preserve"> Institute of MGH, MIT and Harvard are organizing a virtual two-day meeting on “Macrophage Infection by HIV: Implications for Pathogenesis and Cure.” </w:t>
                              </w:r>
                              <w:r>
                                <w:rPr>
                                  <w:color w:val="000000"/>
                                  <w:sz w:val="24"/>
                                  <w:szCs w:val="24"/>
                                </w:rPr>
                                <w:br/>
                              </w:r>
                              <w:r>
                                <w:rPr>
                                  <w:color w:val="000000"/>
                                  <w:sz w:val="24"/>
                                  <w:szCs w:val="24"/>
                                </w:rPr>
                                <w:br/>
                                <w:t xml:space="preserve">This meeting will examine emerging data related to macrophage interactions with </w:t>
                              </w:r>
                              <w:r>
                                <w:rPr>
                                  <w:color w:val="000000"/>
                                  <w:sz w:val="24"/>
                                  <w:szCs w:val="24"/>
                                </w:rPr>
                                <w:lastRenderedPageBreak/>
                                <w:t>the immune system during HIV infection, macrophage reservoirs and approaches to their elimination, and the involvement of CNS myeloid reservoirs and associated co-morbidities. A panel will be convened to discuss research gaps and priorities related to human macrophage reservoirs and inflammation/co-morbidities, and treatment strategies for HIV remission and cure.</w:t>
                              </w:r>
                            </w:p>
                            <w:p w:rsidR="00C503B8" w:rsidRDefault="009B7273" w14:paraId="57826DC6" w14:textId="77777777">
                              <w:pPr>
                                <w:pStyle w:val="Heading3"/>
                                <w:spacing w:before="450" w:beforeAutospacing="0" w:after="300" w:afterAutospacing="0"/>
                                <w:jc w:val="center"/>
                                <w:rPr>
                                  <w:rFonts w:ascii="Arial" w:hAnsi="Arial" w:eastAsia="Times New Roman" w:cs="Arial"/>
                                  <w:color w:val="000000"/>
                                  <w:sz w:val="26"/>
                                  <w:szCs w:val="26"/>
                                </w:rPr>
                              </w:pPr>
                              <w:hyperlink w:tgtFrame="_blank" w:history="1" r:id="rId7">
                                <w:r w:rsidR="00C503B8">
                                  <w:rPr>
                                    <w:rStyle w:val="Hyperlink"/>
                                    <w:rFonts w:ascii="Arial" w:hAnsi="Arial" w:eastAsia="Times New Roman" w:cs="Arial"/>
                                    <w:color w:val="000000"/>
                                    <w:sz w:val="26"/>
                                    <w:szCs w:val="26"/>
                                    <w:bdr w:val="single" w:color="FF9967" w:sz="48" w:space="0" w:frame="1"/>
                                    <w:shd w:val="clear" w:color="auto" w:fill="FF9967"/>
                                  </w:rPr>
                                  <w:t>Register for this meeting</w:t>
                                </w:r>
                              </w:hyperlink>
                            </w:p>
                          </w:tc>
                        </w:tr>
                        <w:tr w:rsidR="00C503B8" w14:paraId="7076630C" w14:textId="77777777">
                          <w:trPr>
                            <w:jc w:val="center"/>
                          </w:trPr>
                          <w:tc>
                            <w:tcPr>
                              <w:tcW w:w="5000" w:type="pct"/>
                              <w:shd w:val="clear" w:color="auto" w:fill="FFFFFF"/>
                              <w:vAlign w:val="center"/>
                              <w:hideMark/>
                            </w:tcPr>
                            <w:p w:rsidR="00C503B8" w:rsidRDefault="00C503B8" w14:paraId="1C97391A" w14:textId="6DC41E0B">
                              <w:pPr>
                                <w:jc w:val="center"/>
                              </w:pPr>
                              <w:r>
                                <w:rPr>
                                  <w:noProof/>
                                  <w:color w:val="000000"/>
                                </w:rPr>
                                <w:lastRenderedPageBreak/>
                                <w:drawing>
                                  <wp:inline distT="0" distB="0" distL="0" distR="0" wp14:anchorId="2EFCE6AD" wp14:editId="6FF38F0F">
                                    <wp:extent cx="5716905" cy="6286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62865"/>
                                            </a:xfrm>
                                            <a:prstGeom prst="rect">
                                              <a:avLst/>
                                            </a:prstGeom>
                                            <a:noFill/>
                                            <a:ln>
                                              <a:noFill/>
                                            </a:ln>
                                          </pic:spPr>
                                        </pic:pic>
                                      </a:graphicData>
                                    </a:graphic>
                                  </wp:inline>
                                </w:drawing>
                              </w:r>
                            </w:p>
                          </w:tc>
                        </w:tr>
                      </w:tbl>
                      <w:p w:rsidR="00C503B8" w:rsidRDefault="00C503B8" w14:paraId="08C2C3F1" w14:textId="77777777">
                        <w:pPr>
                          <w:jc w:val="center"/>
                          <w:rPr>
                            <w:rFonts w:ascii="Times New Roman" w:hAnsi="Times New Roman" w:eastAsia="Times New Roman" w:cs="Times New Roman"/>
                            <w:sz w:val="20"/>
                            <w:szCs w:val="20"/>
                          </w:rPr>
                        </w:pPr>
                      </w:p>
                    </w:tc>
                  </w:tr>
                </w:tbl>
                <w:p w:rsidR="00C503B8" w:rsidRDefault="00C503B8" w14:paraId="60F17A63" w14:textId="77777777">
                  <w:pPr>
                    <w:jc w:val="center"/>
                    <w:rPr>
                      <w:rFonts w:ascii="Times New Roman" w:hAnsi="Times New Roman" w:eastAsia="Times New Roman" w:cs="Times New Roman"/>
                      <w:sz w:val="20"/>
                      <w:szCs w:val="20"/>
                    </w:rPr>
                  </w:pPr>
                </w:p>
              </w:tc>
            </w:tr>
          </w:tbl>
          <w:p w:rsidR="00C503B8" w:rsidRDefault="00C503B8" w14:paraId="7F291C1A" w14:textId="77777777">
            <w:pPr>
              <w:jc w:val="center"/>
              <w:rPr>
                <w:rFonts w:ascii="Times New Roman" w:hAnsi="Times New Roman" w:eastAsia="Times New Roman" w:cs="Times New Roman"/>
                <w:sz w:val="20"/>
                <w:szCs w:val="20"/>
              </w:rPr>
            </w:pPr>
          </w:p>
        </w:tc>
      </w:tr>
    </w:tbl>
    <w:p w:rsidR="00C503B8" w:rsidP="00C503B8" w:rsidRDefault="00C503B8" w14:paraId="06F4E229" w14:textId="77777777">
      <w:pPr>
        <w:rPr>
          <w:lang w:val="en"/>
        </w:rPr>
      </w:pPr>
    </w:p>
    <w:tbl>
      <w:tblPr>
        <w:tblW w:w="5000" w:type="pct"/>
        <w:jc w:val="center"/>
        <w:tblCellMar>
          <w:left w:w="0" w:type="dxa"/>
          <w:right w:w="0" w:type="dxa"/>
        </w:tblCellMar>
        <w:tblLook w:val="04A0" w:firstRow="1" w:lastRow="0" w:firstColumn="1" w:lastColumn="0" w:noHBand="0" w:noVBand="1"/>
      </w:tblPr>
      <w:tblGrid>
        <w:gridCol w:w="9360"/>
      </w:tblGrid>
      <w:tr w:rsidR="00C503B8" w:rsidTr="00C503B8" w14:paraId="708764A3" w14:textId="77777777">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503B8" w14:paraId="44031670" w14:textId="77777777">
              <w:trPr>
                <w:jc w:val="center"/>
              </w:trPr>
              <w:tc>
                <w:tcPr>
                  <w:tcW w:w="0" w:type="auto"/>
                  <w:vAlign w:val="center"/>
                  <w:hideMark/>
                </w:tcPr>
                <w:tbl>
                  <w:tblPr>
                    <w:tblW w:w="5000" w:type="pct"/>
                    <w:jc w:val="center"/>
                    <w:shd w:val="clear" w:color="auto" w:fill="BFBFBF"/>
                    <w:tblCellMar>
                      <w:left w:w="0" w:type="dxa"/>
                      <w:right w:w="0" w:type="dxa"/>
                    </w:tblCellMar>
                    <w:tblLook w:val="04A0" w:firstRow="1" w:lastRow="0" w:firstColumn="1" w:lastColumn="0" w:noHBand="0" w:noVBand="1"/>
                  </w:tblPr>
                  <w:tblGrid>
                    <w:gridCol w:w="9000"/>
                  </w:tblGrid>
                  <w:tr w:rsidR="00C503B8" w14:paraId="6E8B41FC" w14:textId="77777777">
                    <w:trPr>
                      <w:jc w:val="center"/>
                    </w:trPr>
                    <w:tc>
                      <w:tcPr>
                        <w:tcW w:w="5000" w:type="pct"/>
                        <w:shd w:val="clear" w:color="auto" w:fill="005294"/>
                        <w:vAlign w:val="center"/>
                        <w:hideMark/>
                      </w:tcPr>
                      <w:tbl>
                        <w:tblPr>
                          <w:tblW w:w="5000" w:type="pct"/>
                          <w:jc w:val="center"/>
                          <w:tblCellMar>
                            <w:left w:w="0" w:type="dxa"/>
                            <w:right w:w="0" w:type="dxa"/>
                          </w:tblCellMar>
                          <w:tblLook w:val="04A0" w:firstRow="1" w:lastRow="0" w:firstColumn="1" w:lastColumn="0" w:noHBand="0" w:noVBand="1"/>
                        </w:tblPr>
                        <w:tblGrid>
                          <w:gridCol w:w="3000"/>
                          <w:gridCol w:w="3000"/>
                          <w:gridCol w:w="3000"/>
                        </w:tblGrid>
                        <w:tr w:rsidR="00C503B8" w14:paraId="7F289CEF" w14:textId="77777777">
                          <w:trPr>
                            <w:jc w:val="center"/>
                          </w:trPr>
                          <w:tc>
                            <w:tcPr>
                              <w:tcW w:w="1650" w:type="pct"/>
                              <w:hideMark/>
                            </w:tcPr>
                            <w:tbl>
                              <w:tblPr>
                                <w:tblW w:w="5000" w:type="pct"/>
                                <w:jc w:val="center"/>
                                <w:tblCellMar>
                                  <w:left w:w="0" w:type="dxa"/>
                                  <w:right w:w="0" w:type="dxa"/>
                                </w:tblCellMar>
                                <w:tblLook w:val="04A0" w:firstRow="1" w:lastRow="0" w:firstColumn="1" w:lastColumn="0" w:noHBand="0" w:noVBand="1"/>
                              </w:tblPr>
                              <w:tblGrid>
                                <w:gridCol w:w="3000"/>
                              </w:tblGrid>
                              <w:tr w:rsidR="00C503B8" w14:paraId="731CA0A4" w14:textId="77777777">
                                <w:trPr>
                                  <w:jc w:val="center"/>
                                </w:trPr>
                                <w:tc>
                                  <w:tcPr>
                                    <w:tcW w:w="0" w:type="auto"/>
                                    <w:shd w:val="clear" w:color="auto" w:fill="005294"/>
                                    <w:tcMar>
                                      <w:top w:w="150" w:type="dxa"/>
                                      <w:left w:w="150" w:type="dxa"/>
                                      <w:bottom w:w="150" w:type="dxa"/>
                                      <w:right w:w="150" w:type="dxa"/>
                                    </w:tcMar>
                                    <w:vAlign w:val="center"/>
                                    <w:hideMark/>
                                  </w:tcPr>
                                  <w:p w:rsidR="00C503B8" w:rsidRDefault="00C503B8" w14:paraId="7B94E8B4" w14:textId="76983897">
                                    <w:pPr>
                                      <w:pStyle w:val="NormalWeb"/>
                                      <w:jc w:val="center"/>
                                    </w:pPr>
                                    <w:r>
                                      <w:rPr>
                                        <w:noProof/>
                                        <w:color w:val="0000FF"/>
                                      </w:rPr>
                                      <w:drawing>
                                        <wp:inline distT="0" distB="0" distL="0" distR="0" wp14:anchorId="372A4122" wp14:editId="7D0CFECF">
                                          <wp:extent cx="711835" cy="711835"/>
                                          <wp:effectExtent l="0" t="0" r="0" b="0"/>
                                          <wp:docPr id="36" name="Picture 36" descr="More Science News icon">
                                            <a:hlinkClick xmlns:a="http://schemas.openxmlformats.org/drawingml/2006/main" r:id="rId9" tooltip="&quot;Link Titl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More Science News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inline>
                                      </w:drawing>
                                    </w:r>
                                  </w:p>
                                  <w:p w:rsidR="00C503B8" w:rsidRDefault="009B7273" w14:paraId="1AB028DF" w14:textId="77777777">
                                    <w:pPr>
                                      <w:pStyle w:val="NormalWeb"/>
                                      <w:jc w:val="center"/>
                                    </w:pPr>
                                    <w:hyperlink w:tgtFrame="_blank" w:tooltip="Science News" w:history="1" r:id="rId11">
                                      <w:r w:rsidR="00C503B8">
                                        <w:rPr>
                                          <w:rStyle w:val="Hyperlink"/>
                                          <w:rFonts w:ascii="Arial" w:hAnsi="Arial" w:cs="Arial"/>
                                          <w:color w:val="FFFFFF"/>
                                        </w:rPr>
                                        <w:t>NIMH Science News</w:t>
                                      </w:r>
                                    </w:hyperlink>
                                  </w:p>
                                </w:tc>
                              </w:tr>
                            </w:tbl>
                            <w:p w:rsidR="00C503B8" w:rsidRDefault="00C503B8" w14:paraId="2C4BA52C" w14:textId="77777777">
                              <w:pPr>
                                <w:jc w:val="center"/>
                                <w:rPr>
                                  <w:rFonts w:ascii="Times New Roman" w:hAnsi="Times New Roman" w:eastAsia="Times New Roman" w:cs="Times New Roman"/>
                                  <w:sz w:val="20"/>
                                  <w:szCs w:val="20"/>
                                </w:rPr>
                              </w:pPr>
                            </w:p>
                          </w:tc>
                          <w:tc>
                            <w:tcPr>
                              <w:tcW w:w="1650" w:type="pct"/>
                              <w:hideMark/>
                            </w:tcPr>
                            <w:tbl>
                              <w:tblPr>
                                <w:tblW w:w="5000" w:type="pct"/>
                                <w:jc w:val="center"/>
                                <w:tblCellMar>
                                  <w:left w:w="0" w:type="dxa"/>
                                  <w:right w:w="0" w:type="dxa"/>
                                </w:tblCellMar>
                                <w:tblLook w:val="04A0" w:firstRow="1" w:lastRow="0" w:firstColumn="1" w:lastColumn="0" w:noHBand="0" w:noVBand="1"/>
                              </w:tblPr>
                              <w:tblGrid>
                                <w:gridCol w:w="3000"/>
                              </w:tblGrid>
                              <w:tr w:rsidR="00C503B8" w14:paraId="62D2E71D" w14:textId="77777777">
                                <w:trPr>
                                  <w:jc w:val="center"/>
                                </w:trPr>
                                <w:tc>
                                  <w:tcPr>
                                    <w:tcW w:w="0" w:type="auto"/>
                                    <w:shd w:val="clear" w:color="auto" w:fill="005294"/>
                                    <w:tcMar>
                                      <w:top w:w="150" w:type="dxa"/>
                                      <w:left w:w="150" w:type="dxa"/>
                                      <w:bottom w:w="150" w:type="dxa"/>
                                      <w:right w:w="150" w:type="dxa"/>
                                    </w:tcMar>
                                    <w:vAlign w:val="center"/>
                                    <w:hideMark/>
                                  </w:tcPr>
                                  <w:p w:rsidR="00C503B8" w:rsidRDefault="00C503B8" w14:paraId="6D0C4A8B" w14:textId="655A5433">
                                    <w:pPr>
                                      <w:pStyle w:val="NormalWeb"/>
                                      <w:jc w:val="center"/>
                                    </w:pPr>
                                    <w:r>
                                      <w:rPr>
                                        <w:noProof/>
                                        <w:color w:val="0000FF"/>
                                      </w:rPr>
                                      <w:drawing>
                                        <wp:inline distT="0" distB="0" distL="0" distR="0" wp14:anchorId="6B11775C" wp14:editId="4864FD68">
                                          <wp:extent cx="1619250" cy="753745"/>
                                          <wp:effectExtent l="0" t="0" r="0" b="0"/>
                                          <wp:docPr id="35" name="Picture 35" descr="National Institute of Mental Health logo">
                                            <a:hlinkClick xmlns:a="http://schemas.openxmlformats.org/drawingml/2006/main" r:id="rId12" tooltip="&quot;Link Titl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National Institute of Mental Health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753745"/>
                                                  </a:xfrm>
                                                  <a:prstGeom prst="rect">
                                                    <a:avLst/>
                                                  </a:prstGeom>
                                                  <a:noFill/>
                                                  <a:ln>
                                                    <a:noFill/>
                                                  </a:ln>
                                                </pic:spPr>
                                              </pic:pic>
                                            </a:graphicData>
                                          </a:graphic>
                                        </wp:inline>
                                      </w:drawing>
                                    </w:r>
                                  </w:p>
                                  <w:p w:rsidR="00C503B8" w:rsidRDefault="00C503B8" w14:paraId="0B94B43B" w14:textId="77777777">
                                    <w:pPr>
                                      <w:pStyle w:val="NormalWeb"/>
                                      <w:jc w:val="center"/>
                                    </w:pPr>
                                    <w:r>
                                      <w:rPr>
                                        <w:rFonts w:ascii="Arial" w:hAnsi="Arial" w:cs="Arial"/>
                                        <w:color w:val="FFFFFF"/>
                                      </w:rPr>
                                      <w:t xml:space="preserve">Questions? </w:t>
                                    </w:r>
                                    <w:hyperlink w:tgtFrame="_blank" w:tooltip="Email NIMH" w:history="1" r:id="rId14">
                                      <w:r>
                                        <w:rPr>
                                          <w:rStyle w:val="Hyperlink"/>
                                          <w:rFonts w:ascii="Arial" w:hAnsi="Arial" w:cs="Arial"/>
                                          <w:color w:val="FFFFFF"/>
                                        </w:rPr>
                                        <w:t>Contact NIMH</w:t>
                                      </w:r>
                                    </w:hyperlink>
                                    <w:r>
                                      <w:rPr>
                                        <w:rFonts w:ascii="Arial" w:hAnsi="Arial" w:cs="Arial"/>
                                        <w:color w:val="FFFFFF"/>
                                      </w:rPr>
                                      <w:t>!</w:t>
                                    </w:r>
                                  </w:p>
                                </w:tc>
                              </w:tr>
                            </w:tbl>
                            <w:p w:rsidR="00C503B8" w:rsidRDefault="00C503B8" w14:paraId="4FF93FC4" w14:textId="77777777">
                              <w:pPr>
                                <w:jc w:val="center"/>
                                <w:rPr>
                                  <w:rFonts w:ascii="Times New Roman" w:hAnsi="Times New Roman" w:eastAsia="Times New Roman" w:cs="Times New Roman"/>
                                  <w:sz w:val="20"/>
                                  <w:szCs w:val="20"/>
                                </w:rPr>
                              </w:pPr>
                            </w:p>
                          </w:tc>
                          <w:tc>
                            <w:tcPr>
                              <w:tcW w:w="1650" w:type="pct"/>
                              <w:hideMark/>
                            </w:tcPr>
                            <w:tbl>
                              <w:tblPr>
                                <w:tblW w:w="5000" w:type="pct"/>
                                <w:jc w:val="center"/>
                                <w:tblCellMar>
                                  <w:left w:w="0" w:type="dxa"/>
                                  <w:right w:w="0" w:type="dxa"/>
                                </w:tblCellMar>
                                <w:tblLook w:val="04A0" w:firstRow="1" w:lastRow="0" w:firstColumn="1" w:lastColumn="0" w:noHBand="0" w:noVBand="1"/>
                              </w:tblPr>
                              <w:tblGrid>
                                <w:gridCol w:w="3000"/>
                              </w:tblGrid>
                              <w:tr w:rsidR="00C503B8" w14:paraId="24F19B8C" w14:textId="77777777">
                                <w:trPr>
                                  <w:jc w:val="center"/>
                                </w:trPr>
                                <w:tc>
                                  <w:tcPr>
                                    <w:tcW w:w="0" w:type="auto"/>
                                    <w:shd w:val="clear" w:color="auto" w:fill="005294"/>
                                    <w:tcMar>
                                      <w:top w:w="150" w:type="dxa"/>
                                      <w:left w:w="150" w:type="dxa"/>
                                      <w:bottom w:w="150" w:type="dxa"/>
                                      <w:right w:w="150" w:type="dxa"/>
                                    </w:tcMar>
                                    <w:vAlign w:val="center"/>
                                    <w:hideMark/>
                                  </w:tcPr>
                                  <w:p w:rsidR="00C503B8" w:rsidRDefault="00C503B8" w14:paraId="28102230" w14:textId="1CE965BE">
                                    <w:pPr>
                                      <w:pStyle w:val="NormalWeb"/>
                                      <w:jc w:val="center"/>
                                    </w:pPr>
                                    <w:r>
                                      <w:rPr>
                                        <w:noProof/>
                                        <w:color w:val="0000FF"/>
                                      </w:rPr>
                                      <w:drawing>
                                        <wp:inline distT="0" distB="0" distL="0" distR="0" wp14:anchorId="181D059A" wp14:editId="7E339BB5">
                                          <wp:extent cx="760730" cy="760730"/>
                                          <wp:effectExtent l="0" t="0" r="1270" b="1270"/>
                                          <wp:docPr id="34" name="Picture 34" descr="Dr. Joshua Gordon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Dr. Joshua Gordon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p w:rsidR="00C503B8" w:rsidRDefault="009B7273" w14:paraId="0DFC5911" w14:textId="77777777">
                                    <w:pPr>
                                      <w:pStyle w:val="NormalWeb"/>
                                      <w:jc w:val="center"/>
                                    </w:pPr>
                                    <w:hyperlink w:tgtFrame="_blank" w:history="1" r:id="rId17">
                                      <w:r w:rsidR="00C503B8">
                                        <w:rPr>
                                          <w:rStyle w:val="Hyperlink"/>
                                          <w:rFonts w:ascii="Arial" w:hAnsi="Arial" w:cs="Arial"/>
                                          <w:color w:val="FFFFFF"/>
                                        </w:rPr>
                                        <w:t>Director's Messages</w:t>
                                      </w:r>
                                    </w:hyperlink>
                                  </w:p>
                                </w:tc>
                              </w:tr>
                            </w:tbl>
                            <w:p w:rsidR="00C503B8" w:rsidRDefault="00C503B8" w14:paraId="63E91071" w14:textId="77777777">
                              <w:pPr>
                                <w:jc w:val="center"/>
                                <w:rPr>
                                  <w:rFonts w:ascii="Times New Roman" w:hAnsi="Times New Roman" w:eastAsia="Times New Roman" w:cs="Times New Roman"/>
                                  <w:sz w:val="20"/>
                                  <w:szCs w:val="20"/>
                                </w:rPr>
                              </w:pPr>
                            </w:p>
                          </w:tc>
                        </w:tr>
                      </w:tbl>
                      <w:p w:rsidR="00C503B8" w:rsidRDefault="00C503B8" w14:paraId="54196D84" w14:textId="77777777">
                        <w:pPr>
                          <w:jc w:val="center"/>
                          <w:rPr>
                            <w:rFonts w:ascii="Times New Roman" w:hAnsi="Times New Roman" w:eastAsia="Times New Roman" w:cs="Times New Roman"/>
                            <w:sz w:val="20"/>
                            <w:szCs w:val="20"/>
                          </w:rPr>
                        </w:pPr>
                      </w:p>
                    </w:tc>
                  </w:tr>
                  <w:tr w:rsidR="00C503B8" w14:paraId="35DE082D" w14:textId="77777777">
                    <w:trPr>
                      <w:jc w:val="center"/>
                    </w:trPr>
                    <w:tc>
                      <w:tcPr>
                        <w:tcW w:w="0" w:type="auto"/>
                        <w:shd w:val="clear" w:color="auto" w:fill="FFFFFF"/>
                        <w:tcMar>
                          <w:top w:w="150" w:type="dxa"/>
                          <w:left w:w="0" w:type="dxa"/>
                          <w:bottom w:w="150" w:type="dxa"/>
                          <w:right w:w="0" w:type="dxa"/>
                        </w:tcMar>
                        <w:vAlign w:val="center"/>
                        <w:hideMark/>
                      </w:tcPr>
                      <w:tbl>
                        <w:tblPr>
                          <w:tblW w:w="4950" w:type="dxa"/>
                          <w:jc w:val="center"/>
                          <w:shd w:val="clear" w:color="auto" w:fill="FFFFFF"/>
                          <w:tblCellMar>
                            <w:left w:w="0" w:type="dxa"/>
                            <w:right w:w="0" w:type="dxa"/>
                          </w:tblCellMar>
                          <w:tblLook w:val="04A0" w:firstRow="1" w:lastRow="0" w:firstColumn="1" w:lastColumn="0" w:noHBand="0" w:noVBand="1"/>
                        </w:tblPr>
                        <w:tblGrid>
                          <w:gridCol w:w="820"/>
                          <w:gridCol w:w="820"/>
                          <w:gridCol w:w="820"/>
                          <w:gridCol w:w="820"/>
                          <w:gridCol w:w="850"/>
                          <w:gridCol w:w="820"/>
                        </w:tblGrid>
                        <w:tr w:rsidR="00C503B8" w14:paraId="64DBAEA3" w14:textId="77777777">
                          <w:trPr>
                            <w:jc w:val="center"/>
                          </w:trPr>
                          <w:tc>
                            <w:tcPr>
                              <w:tcW w:w="825" w:type="dxa"/>
                              <w:shd w:val="clear" w:color="auto" w:fill="FFFFFF"/>
                              <w:tcMar>
                                <w:top w:w="50" w:type="dxa"/>
                                <w:left w:w="50" w:type="dxa"/>
                                <w:bottom w:w="50" w:type="dxa"/>
                                <w:right w:w="50" w:type="dxa"/>
                              </w:tcMar>
                              <w:vAlign w:val="center"/>
                              <w:hideMark/>
                            </w:tcPr>
                            <w:p w:rsidR="00C503B8" w:rsidRDefault="00C503B8" w14:paraId="6F6F4300" w14:textId="50441768">
                              <w:pPr>
                                <w:jc w:val="center"/>
                              </w:pPr>
                              <w:r>
                                <w:rPr>
                                  <w:noProof/>
                                  <w:color w:val="0000FF"/>
                                </w:rPr>
                                <w:drawing>
                                  <wp:inline distT="0" distB="0" distL="0" distR="0" wp14:anchorId="2C6C9E1E" wp14:editId="11E31909">
                                    <wp:extent cx="426085" cy="426085"/>
                                    <wp:effectExtent l="0" t="0" r="0" b="0"/>
                                    <wp:docPr id="33" name="Picture 33" descr="Facebook link">
                                      <a:hlinkClick xmlns:a="http://schemas.openxmlformats.org/drawingml/2006/main" r:id="rId18" tooltip="&quot;NIMH on 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Facebook lin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503B8" w:rsidRDefault="00C503B8" w14:paraId="1A6A4AEB" w14:textId="1D6FEB91">
                              <w:pPr>
                                <w:jc w:val="center"/>
                              </w:pPr>
                              <w:r>
                                <w:rPr>
                                  <w:noProof/>
                                  <w:color w:val="0000FF"/>
                                </w:rPr>
                                <w:drawing>
                                  <wp:inline distT="0" distB="0" distL="0" distR="0" wp14:anchorId="5DFAAF13" wp14:editId="29758B5B">
                                    <wp:extent cx="426085" cy="426085"/>
                                    <wp:effectExtent l="0" t="0" r="0" b="0"/>
                                    <wp:docPr id="32" name="Picture 32" descr="Twitter image">
                                      <a:hlinkClick xmlns:a="http://schemas.openxmlformats.org/drawingml/2006/main" r:id="rId20" tooltip="&quot;NIMH on 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Twitter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503B8" w:rsidRDefault="00C503B8" w14:paraId="7AC8CCD8" w14:textId="24F50D6D">
                              <w:pPr>
                                <w:jc w:val="center"/>
                              </w:pPr>
                              <w:r>
                                <w:rPr>
                                  <w:noProof/>
                                  <w:color w:val="0000FF"/>
                                </w:rPr>
                                <w:drawing>
                                  <wp:inline distT="0" distB="0" distL="0" distR="0" wp14:anchorId="751B655C" wp14:editId="1E61B1F7">
                                    <wp:extent cx="426085" cy="426085"/>
                                    <wp:effectExtent l="0" t="0" r="0" b="0"/>
                                    <wp:docPr id="31" name="Picture 31" descr="YouTube icon">
                                      <a:hlinkClick xmlns:a="http://schemas.openxmlformats.org/drawingml/2006/main" r:id="rId22" tooltip="&quot;NIMH on 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YouTube ic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503B8" w:rsidRDefault="00C503B8" w14:paraId="04677282" w14:textId="545D31AA">
                              <w:pPr>
                                <w:jc w:val="center"/>
                              </w:pPr>
                              <w:r>
                                <w:rPr>
                                  <w:noProof/>
                                  <w:color w:val="0000FF"/>
                                </w:rPr>
                                <w:drawing>
                                  <wp:inline distT="0" distB="0" distL="0" distR="0" wp14:anchorId="370C651F" wp14:editId="5321D7B6">
                                    <wp:extent cx="426085" cy="426085"/>
                                    <wp:effectExtent l="0" t="0" r="0" b="0"/>
                                    <wp:docPr id="30" name="Picture 30" descr="LinkedIn Icon">
                                      <a:hlinkClick xmlns:a="http://schemas.openxmlformats.org/drawingml/2006/main" r:id="rId24" tooltip="&quot;NIMH on LinkedIn&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LinkedIn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503B8" w:rsidRDefault="00C503B8" w14:paraId="0FA09868" w14:textId="3A5911BF">
                              <w:pPr>
                                <w:jc w:val="center"/>
                              </w:pPr>
                              <w:r>
                                <w:rPr>
                                  <w:noProof/>
                                  <w:color w:val="0000FF"/>
                                </w:rPr>
                                <w:drawing>
                                  <wp:inline distT="0" distB="0" distL="0" distR="0" wp14:anchorId="719022E9" wp14:editId="5E749A87">
                                    <wp:extent cx="474345" cy="474345"/>
                                    <wp:effectExtent l="0" t="0" r="1905" b="1905"/>
                                    <wp:docPr id="29" name="Picture 29" descr="Instagram Icon">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nstagram 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inline>
                                </w:drawing>
                              </w:r>
                            </w:p>
                          </w:tc>
                          <w:tc>
                            <w:tcPr>
                              <w:tcW w:w="825" w:type="dxa"/>
                              <w:shd w:val="clear" w:color="auto" w:fill="FFFFFF"/>
                              <w:tcMar>
                                <w:top w:w="50" w:type="dxa"/>
                                <w:left w:w="50" w:type="dxa"/>
                                <w:bottom w:w="50" w:type="dxa"/>
                                <w:right w:w="50" w:type="dxa"/>
                              </w:tcMar>
                              <w:vAlign w:val="center"/>
                              <w:hideMark/>
                            </w:tcPr>
                            <w:p w:rsidR="00C503B8" w:rsidRDefault="00C503B8" w14:paraId="1F038395" w14:textId="6AFBD90A">
                              <w:pPr>
                                <w:jc w:val="center"/>
                              </w:pPr>
                              <w:r>
                                <w:rPr>
                                  <w:noProof/>
                                  <w:color w:val="0000FF"/>
                                </w:rPr>
                                <w:drawing>
                                  <wp:inline distT="0" distB="0" distL="0" distR="0" wp14:anchorId="41983DE1" wp14:editId="1B496D89">
                                    <wp:extent cx="426085" cy="426085"/>
                                    <wp:effectExtent l="0" t="0" r="0" b="0"/>
                                    <wp:docPr id="28" name="Picture 28" descr="Contact Us Icon">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ontact Us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085" cy="426085"/>
                                            </a:xfrm>
                                            <a:prstGeom prst="rect">
                                              <a:avLst/>
                                            </a:prstGeom>
                                            <a:noFill/>
                                            <a:ln>
                                              <a:noFill/>
                                            </a:ln>
                                          </pic:spPr>
                                        </pic:pic>
                                      </a:graphicData>
                                    </a:graphic>
                                  </wp:inline>
                                </w:drawing>
                              </w:r>
                            </w:p>
                          </w:tc>
                        </w:tr>
                      </w:tbl>
                      <w:p w:rsidR="00C503B8" w:rsidRDefault="00C503B8" w14:paraId="5AC7964E" w14:textId="77777777">
                        <w:pPr>
                          <w:jc w:val="center"/>
                          <w:rPr>
                            <w:rFonts w:ascii="Times New Roman" w:hAnsi="Times New Roman" w:eastAsia="Times New Roman" w:cs="Times New Roman"/>
                            <w:sz w:val="20"/>
                            <w:szCs w:val="20"/>
                          </w:rPr>
                        </w:pPr>
                      </w:p>
                    </w:tc>
                  </w:tr>
                  <w:tr w:rsidR="00C503B8" w14:paraId="07C53136" w14:textId="77777777">
                    <w:trPr>
                      <w:jc w:val="center"/>
                    </w:trPr>
                    <w:tc>
                      <w:tcPr>
                        <w:tcW w:w="5000" w:type="pct"/>
                        <w:shd w:val="clear" w:color="auto" w:fill="BFBFBF"/>
                        <w:tcMar>
                          <w:top w:w="225" w:type="dxa"/>
                          <w:left w:w="300" w:type="dxa"/>
                          <w:bottom w:w="300" w:type="dxa"/>
                          <w:right w:w="300" w:type="dxa"/>
                        </w:tcMar>
                        <w:vAlign w:val="center"/>
                        <w:hideMark/>
                      </w:tcPr>
                      <w:p w:rsidR="00C503B8" w:rsidRDefault="00C503B8" w14:paraId="21EC7806" w14:textId="7E53F100">
                        <w:pPr>
                          <w:pStyle w:val="NormalWeb"/>
                          <w:spacing w:before="0" w:beforeAutospacing="0" w:after="0" w:afterAutospacing="0"/>
                          <w:jc w:val="center"/>
                        </w:pPr>
                        <w:r>
                          <w:rPr>
                            <w:rFonts w:ascii="Arial" w:hAnsi="Arial" w:cs="Arial"/>
                            <w:color w:val="000000"/>
                            <w:sz w:val="20"/>
                            <w:szCs w:val="20"/>
                          </w:rPr>
                          <w:t>SUBSCRIBER SERVICES:</w:t>
                        </w:r>
                        <w:r>
                          <w:rPr>
                            <w:color w:val="000000"/>
                          </w:rPr>
                          <w:br/>
                        </w:r>
                        <w:hyperlink w:tgtFrame="_blank" w:history="1" r:id="rId28">
                          <w:r>
                            <w:rPr>
                              <w:rStyle w:val="Hyperlink"/>
                              <w:rFonts w:ascii="Arial" w:hAnsi="Arial" w:cs="Arial"/>
                              <w:sz w:val="20"/>
                              <w:szCs w:val="20"/>
                            </w:rPr>
                            <w:t>Manage Preferences</w:t>
                          </w:r>
                        </w:hyperlink>
                        <w:r>
                          <w:rPr>
                            <w:rFonts w:ascii="Arial" w:hAnsi="Arial" w:cs="Arial"/>
                            <w:color w:val="000000"/>
                            <w:sz w:val="20"/>
                            <w:szCs w:val="20"/>
                          </w:rPr>
                          <w:t>  |  </w:t>
                        </w:r>
                        <w:hyperlink w:tgtFrame="_blank" w:history="1" r:id="rId29">
                          <w:r>
                            <w:rPr>
                              <w:rStyle w:val="Hyperlink"/>
                              <w:rFonts w:ascii="Arial" w:hAnsi="Arial" w:cs="Arial"/>
                              <w:sz w:val="20"/>
                              <w:szCs w:val="20"/>
                            </w:rPr>
                            <w:t>Unsubscribe</w:t>
                          </w:r>
                        </w:hyperlink>
                        <w:r>
                          <w:rPr>
                            <w:rFonts w:ascii="Arial" w:hAnsi="Arial" w:cs="Arial"/>
                            <w:color w:val="000000"/>
                            <w:sz w:val="20"/>
                            <w:szCs w:val="20"/>
                          </w:rPr>
                          <w:t>  |  </w:t>
                        </w:r>
                        <w:hyperlink w:history="1" r:id="rId30">
                          <w:r>
                            <w:rPr>
                              <w:rStyle w:val="Hyperlink"/>
                              <w:rFonts w:ascii="Arial" w:hAnsi="Arial" w:cs="Arial"/>
                              <w:sz w:val="20"/>
                              <w:szCs w:val="20"/>
                            </w:rPr>
                            <w:t>Help</w:t>
                          </w:r>
                        </w:hyperlink>
                        <w:r>
                          <w:rPr>
                            <w:rFonts w:ascii="Arial" w:hAnsi="Arial" w:cs="Arial"/>
                            <w:color w:val="000000"/>
                            <w:sz w:val="20"/>
                            <w:szCs w:val="20"/>
                          </w:rPr>
                          <w:t>  </w:t>
                        </w:r>
                      </w:p>
                    </w:tc>
                  </w:tr>
                </w:tbl>
                <w:p w:rsidR="00C503B8" w:rsidRDefault="00C503B8" w14:paraId="32FD8C7B" w14:textId="77777777">
                  <w:pPr>
                    <w:jc w:val="center"/>
                    <w:rPr>
                      <w:rFonts w:ascii="Times New Roman" w:hAnsi="Times New Roman" w:eastAsia="Times New Roman" w:cs="Times New Roman"/>
                      <w:sz w:val="20"/>
                      <w:szCs w:val="20"/>
                    </w:rPr>
                  </w:pPr>
                </w:p>
              </w:tc>
            </w:tr>
          </w:tbl>
          <w:p w:rsidR="00C503B8" w:rsidRDefault="00C503B8" w14:paraId="458092AA" w14:textId="77777777">
            <w:pPr>
              <w:jc w:val="center"/>
              <w:rPr>
                <w:rFonts w:ascii="Times New Roman" w:hAnsi="Times New Roman" w:eastAsia="Times New Roman" w:cs="Times New Roman"/>
                <w:sz w:val="20"/>
                <w:szCs w:val="20"/>
              </w:rPr>
            </w:pPr>
          </w:p>
        </w:tc>
      </w:tr>
    </w:tbl>
    <w:p w:rsidR="00C503B8" w:rsidP="00C503B8" w:rsidRDefault="009B7273" w14:paraId="152CBC1A" w14:textId="77777777">
      <w:pPr>
        <w:jc w:val="center"/>
        <w:rPr>
          <w:rFonts w:eastAsia="Times New Roman"/>
          <w:color w:val="000000"/>
          <w:lang w:val="en"/>
        </w:rPr>
      </w:pPr>
      <w:r>
        <w:rPr>
          <w:rFonts w:eastAsia="Times New Roman"/>
          <w:color w:val="000000"/>
          <w:lang w:val="en"/>
        </w:rPr>
        <w:pict w14:anchorId="088AB6AF">
          <v:rect id="_x0000_i1025" style="width:468pt;height:1.2pt" o:hr="t" o:hrstd="t" o:hralign="center" fillcolor="#a0a0a0" stroked="f"/>
        </w:pict>
      </w:r>
    </w:p>
    <w:tbl>
      <w:tblPr>
        <w:tblW w:w="5000" w:type="pct"/>
        <w:tblCellMar>
          <w:left w:w="0" w:type="dxa"/>
          <w:right w:w="0" w:type="dxa"/>
        </w:tblCellMar>
        <w:tblLook w:val="04A0" w:firstRow="1" w:lastRow="0" w:firstColumn="1" w:lastColumn="0" w:noHBand="0" w:noVBand="1"/>
      </w:tblPr>
      <w:tblGrid>
        <w:gridCol w:w="7620"/>
        <w:gridCol w:w="1740"/>
      </w:tblGrid>
      <w:tr w:rsidR="00C503B8" w:rsidTr="00C503B8" w14:paraId="3C2F5C72" w14:textId="77777777">
        <w:tc>
          <w:tcPr>
            <w:tcW w:w="4450" w:type="pct"/>
            <w:vAlign w:val="center"/>
            <w:hideMark/>
          </w:tcPr>
          <w:p w:rsidR="00C503B8" w:rsidRDefault="00C503B8" w14:paraId="7038E0B9" w14:textId="77777777">
            <w:pPr>
              <w:rPr>
                <w:rFonts w:ascii="Arial" w:hAnsi="Arial" w:cs="Arial"/>
                <w:color w:val="757575"/>
                <w:sz w:val="15"/>
                <w:szCs w:val="15"/>
              </w:rPr>
            </w:pPr>
            <w:r>
              <w:rPr>
                <w:rFonts w:ascii="Arial" w:hAnsi="Arial" w:cs="Arial"/>
                <w:color w:val="757575"/>
                <w:sz w:val="15"/>
                <w:szCs w:val="15"/>
              </w:rPr>
              <w:t>This email was sent to Email Address using GovDelivery Communications Cloud on behalf of: National Institute of Mental Health · 6001 Executive Boulevard · Bethesda, MD 20892-9663 · 1-866-615-6464</w:t>
            </w:r>
          </w:p>
        </w:tc>
        <w:tc>
          <w:tcPr>
            <w:tcW w:w="550" w:type="pct"/>
            <w:vAlign w:val="center"/>
            <w:hideMark/>
          </w:tcPr>
          <w:p w:rsidR="00C503B8" w:rsidRDefault="00C503B8" w14:paraId="51120AA6" w14:textId="522968C1">
            <w:pPr>
              <w:jc w:val="right"/>
            </w:pPr>
            <w:r>
              <w:rPr>
                <w:noProof/>
                <w:color w:val="0000FF"/>
              </w:rPr>
              <w:drawing>
                <wp:inline distT="0" distB="0" distL="0" distR="0" wp14:anchorId="4C8F1829" wp14:editId="72E4E4C6">
                  <wp:extent cx="1096010" cy="279400"/>
                  <wp:effectExtent l="0" t="0" r="8890" b="6350"/>
                  <wp:docPr id="27" name="Picture 27" descr="GovDelivery logo">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GovDelivery log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6010" cy="279400"/>
                          </a:xfrm>
                          <a:prstGeom prst="rect">
                            <a:avLst/>
                          </a:prstGeom>
                          <a:noFill/>
                          <a:ln>
                            <a:noFill/>
                          </a:ln>
                        </pic:spPr>
                      </pic:pic>
                    </a:graphicData>
                  </a:graphic>
                </wp:inline>
              </w:drawing>
            </w:r>
          </w:p>
        </w:tc>
      </w:tr>
    </w:tbl>
    <w:p w:rsidR="00C503B8" w:rsidP="00C503B8" w:rsidRDefault="00C503B8" w14:paraId="7FFA4898" w14:textId="77777777"/>
    <w:p w:rsidR="00C503B8" w:rsidP="00C503B8" w:rsidRDefault="00C503B8" w14:paraId="6C856D73" w14:textId="77777777"/>
    <w:sectPr w:rsidR="00C50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B7"/>
    <w:rsid w:val="000703CC"/>
    <w:rsid w:val="00293C71"/>
    <w:rsid w:val="008547B7"/>
    <w:rsid w:val="009111EF"/>
    <w:rsid w:val="009A5ECC"/>
    <w:rsid w:val="009B7273"/>
    <w:rsid w:val="00C503B8"/>
    <w:rsid w:val="00E52BE6"/>
    <w:rsid w:val="00F1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129E3C"/>
  <w15:chartTrackingRefBased/>
  <w15:docId w15:val="{4484335D-654B-4F71-9C00-5B41E538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B7"/>
    <w:pPr>
      <w:spacing w:after="0" w:line="240" w:lineRule="auto"/>
    </w:pPr>
    <w:rPr>
      <w:rFonts w:ascii="Calibri" w:hAnsi="Calibri" w:cs="Calibri"/>
    </w:rPr>
  </w:style>
  <w:style w:type="paragraph" w:styleId="Heading1">
    <w:name w:val="heading 1"/>
    <w:basedOn w:val="Normal"/>
    <w:link w:val="Heading1Char"/>
    <w:uiPriority w:val="9"/>
    <w:qFormat/>
    <w:rsid w:val="008547B7"/>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semiHidden/>
    <w:unhideWhenUsed/>
    <w:qFormat/>
    <w:rsid w:val="008547B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7B7"/>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8547B7"/>
    <w:rPr>
      <w:rFonts w:ascii="Calibri" w:hAnsi="Calibri" w:cs="Calibri"/>
      <w:b/>
      <w:bCs/>
      <w:sz w:val="27"/>
      <w:szCs w:val="27"/>
    </w:rPr>
  </w:style>
  <w:style w:type="character" w:styleId="Hyperlink">
    <w:name w:val="Hyperlink"/>
    <w:basedOn w:val="DefaultParagraphFont"/>
    <w:uiPriority w:val="99"/>
    <w:semiHidden/>
    <w:unhideWhenUsed/>
    <w:rsid w:val="008547B7"/>
    <w:rPr>
      <w:color w:val="0000FF"/>
      <w:u w:val="single"/>
    </w:rPr>
  </w:style>
  <w:style w:type="paragraph" w:styleId="NormalWeb">
    <w:name w:val="Normal (Web)"/>
    <w:basedOn w:val="Normal"/>
    <w:uiPriority w:val="99"/>
    <w:semiHidden/>
    <w:unhideWhenUsed/>
    <w:rsid w:val="008547B7"/>
    <w:pPr>
      <w:spacing w:before="100" w:beforeAutospacing="1" w:after="100" w:afterAutospacing="1"/>
    </w:pPr>
  </w:style>
  <w:style w:type="character" w:styleId="Strong">
    <w:name w:val="Strong"/>
    <w:basedOn w:val="DefaultParagraphFont"/>
    <w:uiPriority w:val="22"/>
    <w:qFormat/>
    <w:rsid w:val="008547B7"/>
    <w:rPr>
      <w:b/>
      <w:bCs/>
    </w:rPr>
  </w:style>
  <w:style w:type="character" w:styleId="Emphasis">
    <w:name w:val="Emphasis"/>
    <w:basedOn w:val="DefaultParagraphFont"/>
    <w:uiPriority w:val="20"/>
    <w:qFormat/>
    <w:rsid w:val="00854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0936">
      <w:bodyDiv w:val="1"/>
      <w:marLeft w:val="0"/>
      <w:marRight w:val="0"/>
      <w:marTop w:val="0"/>
      <w:marBottom w:val="0"/>
      <w:divBdr>
        <w:top w:val="none" w:sz="0" w:space="0" w:color="auto"/>
        <w:left w:val="none" w:sz="0" w:space="0" w:color="auto"/>
        <w:bottom w:val="none" w:sz="0" w:space="0" w:color="auto"/>
        <w:right w:val="none" w:sz="0" w:space="0" w:color="auto"/>
      </w:divBdr>
    </w:div>
    <w:div w:id="226576146">
      <w:bodyDiv w:val="1"/>
      <w:marLeft w:val="0"/>
      <w:marRight w:val="0"/>
      <w:marTop w:val="0"/>
      <w:marBottom w:val="0"/>
      <w:divBdr>
        <w:top w:val="none" w:sz="0" w:space="0" w:color="auto"/>
        <w:left w:val="none" w:sz="0" w:space="0" w:color="auto"/>
        <w:bottom w:val="none" w:sz="0" w:space="0" w:color="auto"/>
        <w:right w:val="none" w:sz="0" w:space="0" w:color="auto"/>
      </w:divBdr>
    </w:div>
    <w:div w:id="430126631">
      <w:bodyDiv w:val="1"/>
      <w:marLeft w:val="0"/>
      <w:marRight w:val="0"/>
      <w:marTop w:val="0"/>
      <w:marBottom w:val="0"/>
      <w:divBdr>
        <w:top w:val="none" w:sz="0" w:space="0" w:color="auto"/>
        <w:left w:val="none" w:sz="0" w:space="0" w:color="auto"/>
        <w:bottom w:val="none" w:sz="0" w:space="0" w:color="auto"/>
        <w:right w:val="none" w:sz="0" w:space="0" w:color="auto"/>
      </w:divBdr>
    </w:div>
    <w:div w:id="1257400567">
      <w:bodyDiv w:val="1"/>
      <w:marLeft w:val="0"/>
      <w:marRight w:val="0"/>
      <w:marTop w:val="0"/>
      <w:marBottom w:val="0"/>
      <w:divBdr>
        <w:top w:val="none" w:sz="0" w:space="0" w:color="auto"/>
        <w:left w:val="none" w:sz="0" w:space="0" w:color="auto"/>
        <w:bottom w:val="none" w:sz="0" w:space="0" w:color="auto"/>
        <w:right w:val="none" w:sz="0" w:space="0" w:color="auto"/>
      </w:divBdr>
    </w:div>
    <w:div w:id="1544906069">
      <w:bodyDiv w:val="1"/>
      <w:marLeft w:val="0"/>
      <w:marRight w:val="0"/>
      <w:marTop w:val="0"/>
      <w:marBottom w:val="0"/>
      <w:divBdr>
        <w:top w:val="none" w:sz="0" w:space="0" w:color="auto"/>
        <w:left w:val="none" w:sz="0" w:space="0" w:color="auto"/>
        <w:bottom w:val="none" w:sz="0" w:space="0" w:color="auto"/>
        <w:right w:val="none" w:sz="0" w:space="0" w:color="auto"/>
      </w:divBdr>
    </w:div>
    <w:div w:id="170828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18" Type="http://schemas.openxmlformats.org/officeDocument/2006/relationships/hyperlink" Target="https://www.facebook.com/nimhgov" TargetMode="External"/><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hyperlink" Target="https://admin.govdelivery.com/abe/templates/241354/edit" TargetMode="External"/><Relationship Id="rId12" Type="http://schemas.openxmlformats.org/officeDocument/2006/relationships/hyperlink" Target="http://www.nimh.nih.gov/" TargetMode="External"/><Relationship Id="rId17" Type="http://schemas.openxmlformats.org/officeDocument/2006/relationships/hyperlink" Target="https://www.nimh.nih.gov/about/director/messages/index.shtml"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www.twitter.com/NIMHgov" TargetMode="External"/><Relationship Id="rId29" Type="http://schemas.openxmlformats.org/officeDocument/2006/relationships/hyperlink" Target="file:///C:\Users\abdelmot\Downloads\%5b%5bONECLICK_UNSUB_URL%5d%5d"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nimh.nih.gov/news/science-news/index.shtml" TargetMode="External"/><Relationship Id="rId24" Type="http://schemas.openxmlformats.org/officeDocument/2006/relationships/hyperlink" Target="https://www.linkedin.com/company/3425/admin/" TargetMode="External"/><Relationship Id="rId32"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hyperlink" Target="https://www.nimh.nih.gov/about/director/messages/index.shtml" TargetMode="External"/><Relationship Id="rId23" Type="http://schemas.openxmlformats.org/officeDocument/2006/relationships/image" Target="media/image9.png"/><Relationship Id="rId28" Type="http://schemas.openxmlformats.org/officeDocument/2006/relationships/hyperlink" Target="http://public.govdelivery.com/accounts/USNIMH/subscribers/new?preferences=true" TargetMode="External"/><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yperlink" Target="https://subscriberhelp.granicus.com/" TargetMode="External"/><Relationship Id="rId4" Type="http://schemas.openxmlformats.org/officeDocument/2006/relationships/hyperlink" Target="https://www.instagram.com/nimhgov/" TargetMode="External"/><Relationship Id="rId9" Type="http://schemas.openxmlformats.org/officeDocument/2006/relationships/hyperlink" Target="https://www.nimh.nih.gov/news/science-news/index.shtml" TargetMode="External"/><Relationship Id="rId14" Type="http://schemas.openxmlformats.org/officeDocument/2006/relationships/hyperlink" Target="mailto:nimhinfo@nih.gov" TargetMode="External"/><Relationship Id="rId22" Type="http://schemas.openxmlformats.org/officeDocument/2006/relationships/hyperlink" Target="https://www.youtube.com/nimhgov" TargetMode="External"/><Relationship Id="rId27" Type="http://schemas.openxmlformats.org/officeDocument/2006/relationships/image" Target="media/image12.png"/><Relationship Id="rId30" Type="http://schemas.openxmlformats.org/officeDocument/2006/relationships/hyperlink" Target="https://subscriberhelp.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Katherine (NIH/NIMH) [C]</dc:creator>
  <cp:keywords/>
  <dc:description/>
  <cp:lastModifiedBy>Abdelmouti, Tawanda (NIH/OD) [E]</cp:lastModifiedBy>
  <cp:revision>2</cp:revision>
  <dcterms:created xsi:type="dcterms:W3CDTF">2021-07-27T22:28:00Z</dcterms:created>
  <dcterms:modified xsi:type="dcterms:W3CDTF">2021-07-27T22:28:00Z</dcterms:modified>
</cp:coreProperties>
</file>