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251E4" w:rsidR="009B30A2" w:rsidRDefault="009B30A2" w14:paraId="4F305EF7" w14:textId="77777777">
      <w:pPr>
        <w:pStyle w:val="Title"/>
      </w:pPr>
      <w:r w:rsidRPr="004251E4">
        <w:t>SUPPORTING STATEMENT</w:t>
      </w:r>
    </w:p>
    <w:p w:rsidRPr="004251E4" w:rsidR="009B30A2" w:rsidRDefault="009B30A2" w14:paraId="0DB80D9D" w14:textId="77777777">
      <w:pPr>
        <w:suppressAutoHyphens/>
        <w:jc w:val="both"/>
        <w:rPr>
          <w:rFonts w:ascii="Times New Roman" w:hAnsi="Times New Roman"/>
          <w:spacing w:val="-3"/>
          <w:sz w:val="22"/>
          <w:szCs w:val="22"/>
        </w:rPr>
      </w:pPr>
    </w:p>
    <w:p w:rsidRPr="004251E4" w:rsidR="009B30A2" w:rsidP="00750966" w:rsidRDefault="009B30A2" w14:paraId="68EEF861" w14:textId="77777777">
      <w:pPr>
        <w:pStyle w:val="BodyText"/>
        <w:spacing w:after="240"/>
        <w:rPr>
          <w:color w:val="000000" w:themeColor="text1"/>
        </w:rPr>
      </w:pPr>
      <w:r w:rsidRPr="004251E4">
        <w:rPr>
          <w:color w:val="000000" w:themeColor="text1"/>
        </w:rPr>
        <w:t>A.</w:t>
      </w:r>
      <w:r w:rsidRPr="004251E4">
        <w:rPr>
          <w:color w:val="000000" w:themeColor="text1"/>
        </w:rPr>
        <w:tab/>
        <w:t>Justification:</w:t>
      </w:r>
    </w:p>
    <w:p w:rsidRPr="004251E4" w:rsidR="00BB0262" w:rsidP="00BB0262" w:rsidRDefault="00BB0262" w14:paraId="32BB91DB" w14:textId="106A5FE9">
      <w:pPr>
        <w:suppressAutoHyphens/>
        <w:rPr>
          <w:rFonts w:ascii="Times New Roman" w:hAnsi="Times New Roman"/>
          <w:b/>
          <w:bCs/>
          <w:color w:val="000000" w:themeColor="text1"/>
          <w:sz w:val="22"/>
          <w:szCs w:val="22"/>
        </w:rPr>
      </w:pPr>
      <w:r w:rsidRPr="004251E4">
        <w:rPr>
          <w:rFonts w:ascii="Times New Roman" w:hAnsi="Times New Roman"/>
          <w:b/>
          <w:bCs/>
          <w:color w:val="000000" w:themeColor="text1"/>
          <w:sz w:val="22"/>
          <w:szCs w:val="22"/>
        </w:rPr>
        <w:t>1.</w:t>
      </w:r>
      <w:r w:rsidRPr="004251E4">
        <w:rPr>
          <w:rFonts w:ascii="Times New Roman" w:hAnsi="Times New Roman"/>
          <w:b/>
          <w:bCs/>
          <w:color w:val="000000" w:themeColor="text1"/>
          <w:sz w:val="22"/>
          <w:szCs w:val="22"/>
        </w:rPr>
        <w:tab/>
        <w:t xml:space="preserve">The Commission is </w:t>
      </w:r>
      <w:r w:rsidRPr="004251E4" w:rsidR="00936059">
        <w:rPr>
          <w:rFonts w:ascii="Times New Roman" w:hAnsi="Times New Roman"/>
          <w:b/>
          <w:bCs/>
          <w:color w:val="000000" w:themeColor="text1"/>
          <w:sz w:val="22"/>
          <w:szCs w:val="22"/>
        </w:rPr>
        <w:t>proposing to modify</w:t>
      </w:r>
      <w:r w:rsidRPr="004251E4">
        <w:rPr>
          <w:rFonts w:ascii="Times New Roman" w:hAnsi="Times New Roman"/>
          <w:b/>
          <w:bCs/>
          <w:color w:val="000000" w:themeColor="text1"/>
          <w:sz w:val="22"/>
          <w:szCs w:val="22"/>
        </w:rPr>
        <w:t xml:space="preserve"> this currently approved collection.  </w:t>
      </w:r>
    </w:p>
    <w:p w:rsidRPr="004251E4" w:rsidR="00BB0262" w:rsidP="00BB0262" w:rsidRDefault="00BB0262" w14:paraId="60D7589F" w14:textId="5BEE23BE">
      <w:pPr>
        <w:suppressAutoHyphens/>
        <w:rPr>
          <w:rFonts w:ascii="Times New Roman" w:hAnsi="Times New Roman"/>
          <w:color w:val="000000" w:themeColor="text1"/>
          <w:sz w:val="22"/>
          <w:szCs w:val="22"/>
        </w:rPr>
      </w:pPr>
    </w:p>
    <w:p w:rsidRPr="004251E4" w:rsidR="00936059" w:rsidP="00BB0262" w:rsidRDefault="00936059" w14:paraId="59DE0F68" w14:textId="3806166C">
      <w:pPr>
        <w:suppressAutoHyphens/>
        <w:rPr>
          <w:rFonts w:ascii="Times New Roman" w:hAnsi="Times New Roman"/>
          <w:snapToGrid/>
          <w:color w:val="000000" w:themeColor="text1"/>
          <w:sz w:val="22"/>
          <w:szCs w:val="22"/>
        </w:rPr>
      </w:pPr>
      <w:r w:rsidRPr="004251E4">
        <w:rPr>
          <w:rFonts w:ascii="Times New Roman" w:hAnsi="Times New Roman"/>
          <w:color w:val="000000" w:themeColor="text1"/>
          <w:sz w:val="22"/>
          <w:szCs w:val="22"/>
        </w:rPr>
        <w:t xml:space="preserve">On November 5, 2021, </w:t>
      </w:r>
      <w:r w:rsidRPr="004251E4">
        <w:rPr>
          <w:rFonts w:ascii="Times New Roman" w:hAnsi="Times New Roman"/>
          <w:snapToGrid/>
          <w:color w:val="000000" w:themeColor="text1"/>
          <w:sz w:val="22"/>
          <w:szCs w:val="22"/>
        </w:rPr>
        <w:t xml:space="preserve">the Commission released a </w:t>
      </w:r>
      <w:r w:rsidRPr="004251E4">
        <w:rPr>
          <w:rFonts w:ascii="Times New Roman" w:hAnsi="Times New Roman"/>
          <w:color w:val="000000" w:themeColor="text1"/>
          <w:sz w:val="22"/>
          <w:szCs w:val="22"/>
        </w:rPr>
        <w:t xml:space="preserve">Second Further Notice of Proposed Rulemaking (FNPRM), FCC 21-116, </w:t>
      </w:r>
      <w:r w:rsidRPr="004251E4">
        <w:rPr>
          <w:rFonts w:ascii="Times New Roman" w:hAnsi="Times New Roman"/>
          <w:snapToGrid/>
          <w:color w:val="000000" w:themeColor="text1"/>
          <w:sz w:val="22"/>
          <w:szCs w:val="22"/>
        </w:rPr>
        <w:t>in GN Docket No. 16-142.</w:t>
      </w:r>
      <w:r w:rsidRPr="004251E4" w:rsidR="0007799A">
        <w:rPr>
          <w:rFonts w:ascii="Times New Roman" w:hAnsi="Times New Roman"/>
          <w:snapToGrid/>
          <w:color w:val="000000" w:themeColor="text1"/>
          <w:sz w:val="22"/>
          <w:szCs w:val="22"/>
        </w:rPr>
        <w:t xml:space="preserve">  In this </w:t>
      </w:r>
      <w:r w:rsidRPr="004251E4" w:rsidR="000507C6">
        <w:rPr>
          <w:rFonts w:ascii="Times New Roman" w:hAnsi="Times New Roman"/>
          <w:snapToGrid/>
          <w:color w:val="000000" w:themeColor="text1"/>
          <w:sz w:val="22"/>
          <w:szCs w:val="22"/>
        </w:rPr>
        <w:t>FNPRM</w:t>
      </w:r>
      <w:r w:rsidRPr="004251E4" w:rsidR="0007799A">
        <w:rPr>
          <w:rFonts w:ascii="Times New Roman" w:hAnsi="Times New Roman"/>
          <w:snapToGrid/>
          <w:color w:val="000000" w:themeColor="text1"/>
          <w:sz w:val="22"/>
          <w:szCs w:val="22"/>
        </w:rPr>
        <w:t xml:space="preserve">, the Commission </w:t>
      </w:r>
      <w:r w:rsidRPr="004251E4" w:rsidR="000507C6">
        <w:rPr>
          <w:rFonts w:ascii="Times New Roman" w:hAnsi="Times New Roman"/>
          <w:snapToGrid/>
          <w:color w:val="000000" w:themeColor="text1"/>
          <w:sz w:val="22"/>
          <w:szCs w:val="22"/>
        </w:rPr>
        <w:t xml:space="preserve">proposes changes to its Next Gen TV rules designed to preserve over-the-air (OTA) television viewers’ access to multicast streams during television broadcasters’ transition to ATSC 3.0.  </w:t>
      </w:r>
      <w:r w:rsidRPr="004251E4" w:rsidR="0007799A">
        <w:rPr>
          <w:rFonts w:ascii="Times New Roman" w:hAnsi="Times New Roman"/>
          <w:snapToGrid/>
          <w:color w:val="000000" w:themeColor="text1"/>
          <w:sz w:val="22"/>
          <w:szCs w:val="22"/>
        </w:rPr>
        <w:t>In response to a Petition filed by the National Association of Broadcasters (NAB), the Commission proposes to allow Next Gen TV stations to include within their license certain of their non-primary video programming streams (multicast streams) that are aired in a different service on “host” stations during a transitional period, using the same licensing framework, and to a large extent the same regulatory regime, established for the simulcast of primary video programming streams on “host” station facilities.</w:t>
      </w:r>
    </w:p>
    <w:p w:rsidRPr="004251E4" w:rsidR="00936059" w:rsidP="00BB0262" w:rsidRDefault="00936059" w14:paraId="333B8FBC" w14:textId="5E0CB812">
      <w:pPr>
        <w:suppressAutoHyphens/>
        <w:rPr>
          <w:rFonts w:ascii="Times New Roman" w:hAnsi="Times New Roman"/>
          <w:snapToGrid/>
          <w:color w:val="000000" w:themeColor="text1"/>
          <w:sz w:val="22"/>
          <w:szCs w:val="22"/>
        </w:rPr>
      </w:pPr>
    </w:p>
    <w:p w:rsidRPr="004251E4" w:rsidR="0007799A" w:rsidP="0007799A" w:rsidRDefault="0007799A" w14:paraId="7D0358CB" w14:textId="59840107">
      <w:pPr>
        <w:pStyle w:val="ParaNum"/>
        <w:numPr>
          <w:ilvl w:val="0"/>
          <w:numId w:val="0"/>
        </w:numPr>
        <w:rPr>
          <w:color w:val="000000" w:themeColor="text1"/>
        </w:rPr>
      </w:pPr>
      <w:r w:rsidRPr="004251E4">
        <w:rPr>
          <w:color w:val="000000" w:themeColor="text1"/>
        </w:rPr>
        <w:t xml:space="preserve">The </w:t>
      </w:r>
      <w:r w:rsidRPr="004251E4">
        <w:rPr>
          <w:i/>
          <w:iCs/>
          <w:color w:val="000000" w:themeColor="text1"/>
        </w:rPr>
        <w:t>FNPRM</w:t>
      </w:r>
      <w:r w:rsidRPr="004251E4">
        <w:rPr>
          <w:color w:val="000000" w:themeColor="text1"/>
        </w:rPr>
        <w:t xml:space="preserve"> proposes to allow Next Gen TV broadcasters to license multicast streams which they air as guest signals on host stations during the mandatory local simulcasting period.  </w:t>
      </w:r>
      <w:r w:rsidRPr="004251E4" w:rsidR="00202435">
        <w:rPr>
          <w:color w:val="000000" w:themeColor="text1"/>
        </w:rPr>
        <w:t xml:space="preserve">The FNPRM </w:t>
      </w:r>
      <w:r w:rsidRPr="004251E4" w:rsidR="00497A46">
        <w:rPr>
          <w:color w:val="000000" w:themeColor="text1"/>
        </w:rPr>
        <w:t>proposes to</w:t>
      </w:r>
      <w:r w:rsidRPr="004251E4" w:rsidR="00202435">
        <w:rPr>
          <w:color w:val="000000" w:themeColor="text1"/>
        </w:rPr>
        <w:t xml:space="preserve"> apply the relevant local simulcasting rules to multicast streams </w:t>
      </w:r>
      <w:r w:rsidRPr="004251E4" w:rsidR="00473EF5">
        <w:rPr>
          <w:color w:val="000000" w:themeColor="text1"/>
        </w:rPr>
        <w:t xml:space="preserve">the Next Gen TV station </w:t>
      </w:r>
      <w:r w:rsidRPr="004251E4" w:rsidR="00202435">
        <w:rPr>
          <w:color w:val="000000" w:themeColor="text1"/>
        </w:rPr>
        <w:t>air</w:t>
      </w:r>
      <w:r w:rsidRPr="004251E4" w:rsidR="00473EF5">
        <w:rPr>
          <w:color w:val="000000" w:themeColor="text1"/>
        </w:rPr>
        <w:t>s</w:t>
      </w:r>
      <w:r w:rsidRPr="004251E4" w:rsidR="00202435">
        <w:rPr>
          <w:color w:val="000000" w:themeColor="text1"/>
        </w:rPr>
        <w:t xml:space="preserve"> on a host.  This includes compliance with the licensing rules (see 47 C.F.R. §§ 73.3801(f), 73.6029(f), and 74.782(g))</w:t>
      </w:r>
      <w:r w:rsidRPr="004251E4" w:rsidR="00C6220C">
        <w:rPr>
          <w:color w:val="000000" w:themeColor="text1"/>
        </w:rPr>
        <w:t>;</w:t>
      </w:r>
      <w:r w:rsidRPr="004251E4" w:rsidR="00473EF5">
        <w:rPr>
          <w:color w:val="000000" w:themeColor="text1"/>
        </w:rPr>
        <w:t xml:space="preserve"> </w:t>
      </w:r>
      <w:r w:rsidRPr="004251E4" w:rsidR="00202435">
        <w:rPr>
          <w:color w:val="000000" w:themeColor="text1"/>
        </w:rPr>
        <w:t>local simulcasting agreement rules (see 47 C.F.R. §§ 73.3801(e), 73.6029(e), and 74.782(f))</w:t>
      </w:r>
      <w:r w:rsidRPr="004251E4" w:rsidR="00C6220C">
        <w:rPr>
          <w:color w:val="000000" w:themeColor="text1"/>
        </w:rPr>
        <w:t>; the on-air consumer notices rules (see 47 C.F.R. §§ 73.3801(g), 73.6029(g), and 74.782(h)); and the MVPD notice rules (see 47 C.F.R. §§ 73.3801(h), 73.6029(h), and 74.782(i)).</w:t>
      </w:r>
      <w:r w:rsidRPr="004251E4" w:rsidR="00473EF5">
        <w:rPr>
          <w:color w:val="000000" w:themeColor="text1"/>
        </w:rPr>
        <w:t xml:space="preserve"> </w:t>
      </w:r>
    </w:p>
    <w:p w:rsidRPr="004251E4" w:rsidR="00936059" w:rsidP="00936059" w:rsidRDefault="00936059" w14:paraId="5BDCC64A" w14:textId="03D3990E">
      <w:pPr>
        <w:pStyle w:val="ParaNum"/>
        <w:numPr>
          <w:ilvl w:val="0"/>
          <w:numId w:val="0"/>
        </w:numPr>
        <w:rPr>
          <w:snapToGrid/>
          <w:color w:val="000000" w:themeColor="text1"/>
        </w:rPr>
      </w:pPr>
      <w:r w:rsidRPr="004251E4">
        <w:rPr>
          <w:i/>
          <w:snapToGrid/>
          <w:color w:val="000000" w:themeColor="text1"/>
        </w:rPr>
        <w:t>Form 2100</w:t>
      </w:r>
      <w:r w:rsidRPr="004251E4">
        <w:rPr>
          <w:snapToGrid/>
          <w:color w:val="000000" w:themeColor="text1"/>
        </w:rPr>
        <w:t xml:space="preserve">.  </w:t>
      </w:r>
      <w:r w:rsidRPr="004251E4" w:rsidR="00C6220C">
        <w:rPr>
          <w:color w:val="000000" w:themeColor="text1"/>
        </w:rPr>
        <w:t xml:space="preserve">The </w:t>
      </w:r>
      <w:r w:rsidRPr="004251E4" w:rsidR="00C6220C">
        <w:rPr>
          <w:i/>
          <w:iCs/>
          <w:color w:val="000000" w:themeColor="text1"/>
        </w:rPr>
        <w:t>FNPRM</w:t>
      </w:r>
      <w:r w:rsidRPr="004251E4" w:rsidR="00C6220C">
        <w:rPr>
          <w:color w:val="000000" w:themeColor="text1"/>
        </w:rPr>
        <w:t xml:space="preserve"> proposes </w:t>
      </w:r>
      <w:r w:rsidRPr="004251E4">
        <w:rPr>
          <w:snapToGrid/>
          <w:color w:val="000000" w:themeColor="text1"/>
        </w:rPr>
        <w:t xml:space="preserve">to modify </w:t>
      </w:r>
      <w:r w:rsidRPr="004251E4" w:rsidR="00C6220C">
        <w:rPr>
          <w:snapToGrid/>
          <w:color w:val="000000" w:themeColor="text1"/>
        </w:rPr>
        <w:t>the</w:t>
      </w:r>
      <w:r w:rsidRPr="004251E4">
        <w:rPr>
          <w:snapToGrid/>
          <w:color w:val="000000" w:themeColor="text1"/>
        </w:rPr>
        <w:t xml:space="preserve"> Next Gen TV license application form (FCC Form 2100) to accommodate multicast licensing and any other changes adopted in the final order to this proceeding.  </w:t>
      </w:r>
      <w:r w:rsidRPr="004251E4" w:rsidR="00C6220C">
        <w:rPr>
          <w:snapToGrid/>
          <w:color w:val="000000" w:themeColor="text1"/>
        </w:rPr>
        <w:t>The FNPRM</w:t>
      </w:r>
      <w:r w:rsidRPr="004251E4">
        <w:rPr>
          <w:snapToGrid/>
          <w:color w:val="000000" w:themeColor="text1"/>
        </w:rPr>
        <w:t xml:space="preserve"> </w:t>
      </w:r>
      <w:r w:rsidRPr="004251E4" w:rsidR="00C6220C">
        <w:rPr>
          <w:snapToGrid/>
          <w:color w:val="000000" w:themeColor="text1"/>
        </w:rPr>
        <w:t>sought</w:t>
      </w:r>
      <w:r w:rsidRPr="004251E4">
        <w:rPr>
          <w:snapToGrid/>
          <w:color w:val="000000" w:themeColor="text1"/>
        </w:rPr>
        <w:t xml:space="preserve"> comment on what information </w:t>
      </w:r>
      <w:r w:rsidRPr="004251E4" w:rsidR="00C6220C">
        <w:rPr>
          <w:snapToGrid/>
          <w:color w:val="000000" w:themeColor="text1"/>
        </w:rPr>
        <w:t>the Commission</w:t>
      </w:r>
      <w:r w:rsidRPr="004251E4">
        <w:rPr>
          <w:snapToGrid/>
          <w:color w:val="000000" w:themeColor="text1"/>
        </w:rPr>
        <w:t xml:space="preserve"> should collect in this regard, including what information </w:t>
      </w:r>
      <w:r w:rsidRPr="004251E4" w:rsidR="00C6220C">
        <w:rPr>
          <w:snapToGrid/>
          <w:color w:val="000000" w:themeColor="text1"/>
        </w:rPr>
        <w:t>it</w:t>
      </w:r>
      <w:r w:rsidRPr="004251E4">
        <w:rPr>
          <w:snapToGrid/>
          <w:color w:val="000000" w:themeColor="text1"/>
        </w:rPr>
        <w:t xml:space="preserve"> could collect to provide more transparency about Next Gen TV broadcasters’ hosting arrangements.  For example, based on our proposals above, we might collect the following information f</w:t>
      </w:r>
      <w:r w:rsidRPr="004251E4">
        <w:rPr>
          <w:color w:val="000000" w:themeColor="text1"/>
        </w:rPr>
        <w:t>or each programming stream (primary and multicast) that the applicant would license on a host station: (1) each guest stream’s channel number (RF and virtual) as aired on the host (</w:t>
      </w:r>
      <w:r w:rsidRPr="004251E4">
        <w:rPr>
          <w:i/>
          <w:iCs/>
          <w:color w:val="000000" w:themeColor="text1"/>
        </w:rPr>
        <w:t>i.e.</w:t>
      </w:r>
      <w:r w:rsidRPr="004251E4">
        <w:rPr>
          <w:color w:val="000000" w:themeColor="text1"/>
        </w:rPr>
        <w:t>, channel 10.2, 10.3 etc.); (2) resolution (</w:t>
      </w:r>
      <w:r w:rsidRPr="004251E4">
        <w:rPr>
          <w:i/>
          <w:iCs/>
          <w:color w:val="000000" w:themeColor="text1"/>
        </w:rPr>
        <w:t>i.e.</w:t>
      </w:r>
      <w:r w:rsidRPr="004251E4">
        <w:rPr>
          <w:color w:val="000000" w:themeColor="text1"/>
        </w:rPr>
        <w:t xml:space="preserve">, HD or SD); (3) network programming affiliation (if any); and (4) whether the stream will be simulcast.  If we adopt any limits </w:t>
      </w:r>
      <w:r w:rsidRPr="004251E4">
        <w:rPr>
          <w:snapToGrid/>
          <w:color w:val="000000" w:themeColor="text1"/>
        </w:rPr>
        <w:t>on spectrum or programming aggregation,</w:t>
      </w:r>
      <w:r w:rsidRPr="004251E4">
        <w:rPr>
          <w:color w:val="000000" w:themeColor="text1"/>
        </w:rPr>
        <w:t xml:space="preserve"> we also seek comment on what information we would require in order to implement such limits.  We might also, for example, </w:t>
      </w:r>
      <w:r w:rsidRPr="004251E4">
        <w:rPr>
          <w:snapToGrid/>
          <w:color w:val="000000" w:themeColor="text1"/>
        </w:rPr>
        <w:t xml:space="preserve">collect the following information in order to identify </w:t>
      </w:r>
      <w:r w:rsidRPr="004251E4">
        <w:rPr>
          <w:color w:val="000000" w:themeColor="text1"/>
        </w:rPr>
        <w:t xml:space="preserve">each partner host station used by the applicant:  (1) host’s call sign and facility identification number; (2) host’s DMA; and (3) the predicted percentage of population within the noise limited service contour served by the station’s original ATSC 1.0 signal that will be served by the host, including identifying areas of service loss by providing a contour overlap map.  We seek comment on whether this </w:t>
      </w:r>
      <w:r w:rsidRPr="004251E4" w:rsidR="00497A46">
        <w:rPr>
          <w:color w:val="000000" w:themeColor="text1"/>
        </w:rPr>
        <w:t xml:space="preserve">information </w:t>
      </w:r>
      <w:r w:rsidRPr="004251E4">
        <w:rPr>
          <w:color w:val="000000" w:themeColor="text1"/>
        </w:rPr>
        <w:t xml:space="preserve">would be useful to the Commission and the public as well as the burden on broadcasters if required to provide this information.  We seek comment on whether additional information should be collected.  To avoid administratively expensive and time-consuming changes to the form for a temporary licensing process, and expedite the availability of the revised form, we propose to collect much of this information through one or more required exhibits.  Finally, we seek comment on how to make this information accessible to </w:t>
      </w:r>
      <w:r w:rsidRPr="004251E4">
        <w:rPr>
          <w:color w:val="000000" w:themeColor="text1"/>
        </w:rPr>
        <w:lastRenderedPageBreak/>
        <w:t>the public and interested parties.</w:t>
      </w:r>
      <w:r w:rsidRPr="004251E4">
        <w:rPr>
          <w:rStyle w:val="FootnoteReference"/>
          <w:color w:val="000000" w:themeColor="text1"/>
        </w:rPr>
        <w:footnoteReference w:id="1"/>
      </w:r>
    </w:p>
    <w:p w:rsidRPr="004251E4" w:rsidR="00936059" w:rsidP="00BB0262" w:rsidRDefault="00936059" w14:paraId="5FB0104D" w14:textId="006E43ED">
      <w:pPr>
        <w:suppressAutoHyphens/>
        <w:rPr>
          <w:rFonts w:ascii="Times New Roman" w:hAnsi="Times New Roman"/>
          <w:color w:val="000000" w:themeColor="text1"/>
          <w:sz w:val="22"/>
          <w:szCs w:val="22"/>
        </w:rPr>
      </w:pPr>
    </w:p>
    <w:p w:rsidRPr="004251E4" w:rsidR="00BB0262" w:rsidP="00BB0262" w:rsidRDefault="00BB0262" w14:paraId="406FB257" w14:textId="77777777">
      <w:pPr>
        <w:suppressAutoHyphens/>
        <w:rPr>
          <w:rFonts w:ascii="Times New Roman" w:hAnsi="Times New Roman"/>
          <w:b/>
          <w:bCs/>
          <w:color w:val="000000" w:themeColor="text1"/>
          <w:sz w:val="22"/>
          <w:szCs w:val="22"/>
        </w:rPr>
      </w:pPr>
      <w:r w:rsidRPr="004251E4">
        <w:rPr>
          <w:rFonts w:ascii="Times New Roman" w:hAnsi="Times New Roman"/>
          <w:b/>
          <w:bCs/>
          <w:color w:val="000000" w:themeColor="text1"/>
          <w:sz w:val="22"/>
          <w:szCs w:val="22"/>
        </w:rPr>
        <w:t xml:space="preserve">The following information collection requirements are contained in this collection and have not changed since last approved by OMB.  </w:t>
      </w:r>
    </w:p>
    <w:p w:rsidRPr="004251E4" w:rsidR="00750966" w:rsidP="00750966" w:rsidRDefault="00750966" w14:paraId="181980A2" w14:textId="77777777">
      <w:pPr>
        <w:rPr>
          <w:rFonts w:ascii="Times New Roman" w:hAnsi="Times New Roman"/>
          <w:color w:val="000000" w:themeColor="text1"/>
          <w:spacing w:val="-3"/>
          <w:sz w:val="22"/>
          <w:szCs w:val="22"/>
          <w:u w:val="single"/>
        </w:rPr>
      </w:pPr>
    </w:p>
    <w:p w:rsidRPr="004251E4" w:rsidR="00B21A5F" w:rsidP="00F85888" w:rsidRDefault="00B21A5F" w14:paraId="25689634" w14:textId="77777777">
      <w:pPr>
        <w:spacing w:after="120"/>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Licensing of Simulcasting Stations and Stations Converting to ATSC 3.0 Operation (47 C.F.R. §§ 73.3801(f), 73.6029(f), and 74.782(g))</w:t>
      </w:r>
    </w:p>
    <w:p w:rsidRPr="004251E4" w:rsidR="00F85888" w:rsidP="00036DD8" w:rsidRDefault="00911E6B" w14:paraId="38570A14" w14:textId="77777777">
      <w:pPr>
        <w:numPr>
          <w:ilvl w:val="0"/>
          <w:numId w:val="1"/>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Reporting Requirement (</w:t>
      </w:r>
      <w:r w:rsidRPr="004251E4" w:rsidR="0010292C">
        <w:rPr>
          <w:rFonts w:ascii="Times New Roman" w:hAnsi="Times New Roman"/>
          <w:i/>
          <w:color w:val="000000" w:themeColor="text1"/>
          <w:spacing w:val="-3"/>
          <w:sz w:val="22"/>
          <w:szCs w:val="22"/>
        </w:rPr>
        <w:t xml:space="preserve">License </w:t>
      </w:r>
      <w:r w:rsidRPr="004251E4">
        <w:rPr>
          <w:rFonts w:ascii="Times New Roman" w:hAnsi="Times New Roman"/>
          <w:i/>
          <w:color w:val="000000" w:themeColor="text1"/>
          <w:spacing w:val="-3"/>
          <w:sz w:val="22"/>
          <w:szCs w:val="22"/>
        </w:rPr>
        <w:t>A</w:t>
      </w:r>
      <w:r w:rsidRPr="004251E4" w:rsidR="00750966">
        <w:rPr>
          <w:rFonts w:ascii="Times New Roman" w:hAnsi="Times New Roman"/>
          <w:i/>
          <w:color w:val="000000" w:themeColor="text1"/>
          <w:spacing w:val="-3"/>
          <w:sz w:val="22"/>
          <w:szCs w:val="22"/>
        </w:rPr>
        <w:t xml:space="preserve">pplication </w:t>
      </w:r>
      <w:r w:rsidRPr="004251E4" w:rsidR="00E450DB">
        <w:rPr>
          <w:rFonts w:ascii="Times New Roman" w:hAnsi="Times New Roman"/>
          <w:i/>
          <w:color w:val="000000" w:themeColor="text1"/>
          <w:spacing w:val="-3"/>
          <w:sz w:val="22"/>
          <w:szCs w:val="22"/>
        </w:rPr>
        <w:t xml:space="preserve">to FCC </w:t>
      </w:r>
      <w:r w:rsidRPr="004251E4" w:rsidR="00750966">
        <w:rPr>
          <w:rFonts w:ascii="Times New Roman" w:hAnsi="Times New Roman"/>
          <w:i/>
          <w:color w:val="000000" w:themeColor="text1"/>
          <w:spacing w:val="-3"/>
          <w:sz w:val="22"/>
          <w:szCs w:val="22"/>
        </w:rPr>
        <w:t>Required</w:t>
      </w:r>
      <w:r w:rsidRPr="004251E4">
        <w:rPr>
          <w:rFonts w:ascii="Times New Roman" w:hAnsi="Times New Roman"/>
          <w:i/>
          <w:color w:val="000000" w:themeColor="text1"/>
          <w:spacing w:val="-3"/>
          <w:sz w:val="22"/>
          <w:szCs w:val="22"/>
        </w:rPr>
        <w:t>)</w:t>
      </w:r>
      <w:r w:rsidRPr="004251E4">
        <w:rPr>
          <w:rFonts w:ascii="Times New Roman" w:hAnsi="Times New Roman"/>
          <w:color w:val="000000" w:themeColor="text1"/>
          <w:spacing w:val="-3"/>
          <w:sz w:val="22"/>
          <w:szCs w:val="22"/>
        </w:rPr>
        <w:t>:</w:t>
      </w:r>
      <w:r w:rsidRPr="004251E4" w:rsidR="00750966">
        <w:rPr>
          <w:rFonts w:ascii="Times New Roman" w:hAnsi="Times New Roman"/>
          <w:color w:val="000000" w:themeColor="text1"/>
          <w:spacing w:val="-3"/>
          <w:sz w:val="22"/>
          <w:szCs w:val="22"/>
        </w:rPr>
        <w:t xml:space="preserve"> </w:t>
      </w:r>
    </w:p>
    <w:p w:rsidRPr="004251E4" w:rsidR="00911E6B" w:rsidP="00036DD8" w:rsidRDefault="00750966" w14:paraId="7E2A7C26" w14:textId="77777777">
      <w:pPr>
        <w:numPr>
          <w:ilvl w:val="1"/>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A broadcaster must file an application (FCC Form 2100) with the Commission, and receive Commission approval, before:</w:t>
      </w:r>
      <w:r w:rsidRPr="004251E4" w:rsidR="00140D3A">
        <w:rPr>
          <w:rFonts w:ascii="Times New Roman" w:hAnsi="Times New Roman"/>
          <w:color w:val="000000" w:themeColor="text1"/>
          <w:spacing w:val="-3"/>
          <w:sz w:val="22"/>
          <w:szCs w:val="22"/>
        </w:rPr>
        <w:t xml:space="preserve"> </w:t>
      </w:r>
    </w:p>
    <w:p w:rsidRPr="004251E4" w:rsidR="00911E6B" w:rsidP="00036DD8" w:rsidRDefault="00750966" w14:paraId="3EE9CAAC" w14:textId="77777777">
      <w:pPr>
        <w:numPr>
          <w:ilvl w:val="0"/>
          <w:numId w:val="6"/>
        </w:numPr>
        <w:ind w:left="2232" w:hanging="432"/>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moving its ATSC 1.0 signal to the facilities of a host station, moving that signal from the facilities of an existing host station to the facilities of a different host station, or discontinuing an ATSC 1.0 guest signal; </w:t>
      </w:r>
    </w:p>
    <w:p w:rsidRPr="004251E4" w:rsidR="00911E6B" w:rsidP="00036DD8" w:rsidRDefault="00750966" w14:paraId="2A10EE8B" w14:textId="77777777">
      <w:pPr>
        <w:numPr>
          <w:ilvl w:val="0"/>
          <w:numId w:val="6"/>
        </w:numPr>
        <w:ind w:left="2232" w:hanging="432"/>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commencing the airing of an ATSC 3.0 signal on the facilities of a host station (that has already converted to ATSC 3.0 operation), moving its ATSC 3.0 signal to the facilities of a different host station, or discontinui</w:t>
      </w:r>
      <w:r w:rsidRPr="004251E4" w:rsidR="00417346">
        <w:rPr>
          <w:rFonts w:ascii="Times New Roman" w:hAnsi="Times New Roman"/>
          <w:color w:val="000000" w:themeColor="text1"/>
          <w:spacing w:val="-3"/>
          <w:sz w:val="22"/>
          <w:szCs w:val="22"/>
        </w:rPr>
        <w:t>ng an ATSC 3.0 guest signal; or</w:t>
      </w:r>
    </w:p>
    <w:p w:rsidRPr="004251E4" w:rsidR="00750966" w:rsidP="00036DD8" w:rsidRDefault="00750966" w14:paraId="669C1DF7" w14:textId="77777777">
      <w:pPr>
        <w:numPr>
          <w:ilvl w:val="0"/>
          <w:numId w:val="6"/>
        </w:numPr>
        <w:ind w:left="2232" w:hanging="432"/>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converting its existing station to transmit an ATSC 3.0 signal or converting the station from ATSC 3.0 b</w:t>
      </w:r>
      <w:r w:rsidRPr="004251E4" w:rsidR="00417346">
        <w:rPr>
          <w:rFonts w:ascii="Times New Roman" w:hAnsi="Times New Roman"/>
          <w:color w:val="000000" w:themeColor="text1"/>
          <w:spacing w:val="-3"/>
          <w:sz w:val="22"/>
          <w:szCs w:val="22"/>
        </w:rPr>
        <w:t>ack to ATSC 1.0 transmissions.</w:t>
      </w:r>
    </w:p>
    <w:p w:rsidRPr="004251E4" w:rsidR="00417346" w:rsidP="00036DD8" w:rsidRDefault="00417346" w14:paraId="0E3673E9" w14:textId="16A04400">
      <w:pPr>
        <w:numPr>
          <w:ilvl w:val="1"/>
          <w:numId w:val="1"/>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FCC Form 2100</w:t>
      </w:r>
      <w:r w:rsidRPr="004251E4">
        <w:rPr>
          <w:rFonts w:ascii="Times New Roman" w:hAnsi="Times New Roman"/>
          <w:color w:val="000000" w:themeColor="text1"/>
          <w:spacing w:val="-3"/>
          <w:sz w:val="22"/>
          <w:szCs w:val="22"/>
        </w:rPr>
        <w:t>:  As directed by the Commission, the Media Bureau will be amending FCC Form 2100 and the relevant schedules</w:t>
      </w:r>
      <w:r w:rsidRPr="004251E4" w:rsidR="00A40EA6">
        <w:rPr>
          <w:rFonts w:ascii="Times New Roman" w:hAnsi="Times New Roman"/>
          <w:color w:val="000000" w:themeColor="text1"/>
          <w:spacing w:val="-3"/>
          <w:sz w:val="22"/>
          <w:szCs w:val="22"/>
        </w:rPr>
        <w:t xml:space="preserve"> (Schedules B, D &amp; F)</w:t>
      </w:r>
      <w:r w:rsidRPr="004251E4" w:rsidR="00A40EA6">
        <w:rPr>
          <w:rStyle w:val="FootnoteReference"/>
          <w:rFonts w:ascii="Times New Roman" w:hAnsi="Times New Roman"/>
          <w:color w:val="000000" w:themeColor="text1"/>
          <w:spacing w:val="-3"/>
          <w:sz w:val="22"/>
          <w:szCs w:val="22"/>
        </w:rPr>
        <w:footnoteReference w:id="2"/>
      </w:r>
      <w:r w:rsidRPr="004251E4" w:rsidR="00A40EA6">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as necessary to implement the </w:t>
      </w:r>
      <w:r w:rsidRPr="004251E4" w:rsidR="008A6511">
        <w:rPr>
          <w:rFonts w:ascii="Times New Roman" w:hAnsi="Times New Roman"/>
          <w:color w:val="000000" w:themeColor="text1"/>
          <w:spacing w:val="-3"/>
          <w:sz w:val="22"/>
          <w:szCs w:val="22"/>
        </w:rPr>
        <w:t xml:space="preserve">Next Gen TV </w:t>
      </w:r>
      <w:r w:rsidRPr="004251E4">
        <w:rPr>
          <w:rFonts w:ascii="Times New Roman" w:hAnsi="Times New Roman"/>
          <w:color w:val="000000" w:themeColor="text1"/>
          <w:spacing w:val="-3"/>
          <w:sz w:val="22"/>
          <w:szCs w:val="22"/>
        </w:rPr>
        <w:t>licensing process</w:t>
      </w:r>
      <w:r w:rsidRPr="004251E4" w:rsidR="008A6511">
        <w:rPr>
          <w:rFonts w:ascii="Times New Roman" w:hAnsi="Times New Roman"/>
          <w:color w:val="000000" w:themeColor="text1"/>
          <w:spacing w:val="-3"/>
          <w:sz w:val="22"/>
          <w:szCs w:val="22"/>
        </w:rPr>
        <w:t xml:space="preserve"> and collect the required information (detailed below)</w:t>
      </w:r>
      <w:r w:rsidRPr="004251E4">
        <w:rPr>
          <w:rFonts w:ascii="Times New Roman" w:hAnsi="Times New Roman"/>
          <w:color w:val="000000" w:themeColor="text1"/>
          <w:spacing w:val="-3"/>
          <w:sz w:val="22"/>
          <w:szCs w:val="22"/>
        </w:rPr>
        <w:t xml:space="preserve">.  </w:t>
      </w:r>
      <w:r w:rsidRPr="004251E4" w:rsidR="008A6511">
        <w:rPr>
          <w:rFonts w:ascii="Times New Roman" w:hAnsi="Times New Roman"/>
          <w:color w:val="000000" w:themeColor="text1"/>
          <w:spacing w:val="-3"/>
          <w:sz w:val="22"/>
          <w:szCs w:val="22"/>
        </w:rPr>
        <w:t>T</w:t>
      </w:r>
      <w:r w:rsidRPr="004251E4">
        <w:rPr>
          <w:rFonts w:ascii="Times New Roman" w:hAnsi="Times New Roman"/>
          <w:color w:val="000000" w:themeColor="text1"/>
          <w:spacing w:val="-3"/>
          <w:sz w:val="22"/>
          <w:szCs w:val="22"/>
        </w:rPr>
        <w:t xml:space="preserve">he form </w:t>
      </w:r>
      <w:r w:rsidRPr="004251E4" w:rsidR="000507C6">
        <w:rPr>
          <w:rFonts w:ascii="Times New Roman" w:hAnsi="Times New Roman"/>
          <w:color w:val="000000" w:themeColor="text1"/>
          <w:spacing w:val="-3"/>
          <w:sz w:val="22"/>
          <w:szCs w:val="22"/>
        </w:rPr>
        <w:t>has been</w:t>
      </w:r>
      <w:r w:rsidRPr="004251E4">
        <w:rPr>
          <w:rFonts w:ascii="Times New Roman" w:hAnsi="Times New Roman"/>
          <w:color w:val="000000" w:themeColor="text1"/>
          <w:spacing w:val="-3"/>
          <w:sz w:val="22"/>
          <w:szCs w:val="22"/>
        </w:rPr>
        <w:t xml:space="preserve"> revised to </w:t>
      </w:r>
      <w:r w:rsidRPr="004251E4" w:rsidR="00A40EA6">
        <w:rPr>
          <w:rFonts w:ascii="Times New Roman" w:hAnsi="Times New Roman"/>
          <w:color w:val="000000" w:themeColor="text1"/>
          <w:spacing w:val="-3"/>
          <w:sz w:val="22"/>
          <w:szCs w:val="22"/>
        </w:rPr>
        <w:t xml:space="preserve">establish the streamlined “one-step” licensing process for Next Gen TV applicants, including </w:t>
      </w:r>
      <w:r w:rsidRPr="004251E4">
        <w:rPr>
          <w:rFonts w:ascii="Times New Roman" w:hAnsi="Times New Roman"/>
          <w:color w:val="000000" w:themeColor="text1"/>
          <w:spacing w:val="-3"/>
          <w:sz w:val="22"/>
          <w:szCs w:val="22"/>
        </w:rPr>
        <w:t>add</w:t>
      </w:r>
      <w:r w:rsidRPr="004251E4" w:rsidR="00A40EA6">
        <w:rPr>
          <w:rFonts w:ascii="Times New Roman" w:hAnsi="Times New Roman"/>
          <w:color w:val="000000" w:themeColor="text1"/>
          <w:spacing w:val="-3"/>
          <w:sz w:val="22"/>
          <w:szCs w:val="22"/>
        </w:rPr>
        <w:t>ing</w:t>
      </w:r>
      <w:r w:rsidRPr="004251E4">
        <w:rPr>
          <w:rFonts w:ascii="Times New Roman" w:hAnsi="Times New Roman"/>
          <w:color w:val="000000" w:themeColor="text1"/>
          <w:spacing w:val="-3"/>
          <w:sz w:val="22"/>
          <w:szCs w:val="22"/>
        </w:rPr>
        <w:t xml:space="preserve"> </w:t>
      </w:r>
      <w:r w:rsidRPr="004251E4" w:rsidR="00A40EA6">
        <w:rPr>
          <w:rFonts w:ascii="Times New Roman" w:hAnsi="Times New Roman"/>
          <w:color w:val="000000" w:themeColor="text1"/>
          <w:spacing w:val="-3"/>
          <w:sz w:val="22"/>
          <w:szCs w:val="22"/>
        </w:rPr>
        <w:t>the above listed</w:t>
      </w:r>
      <w:r w:rsidRPr="004251E4" w:rsidR="008A6511">
        <w:rPr>
          <w:rFonts w:ascii="Times New Roman" w:hAnsi="Times New Roman"/>
          <w:color w:val="000000" w:themeColor="text1"/>
          <w:spacing w:val="-3"/>
          <w:sz w:val="22"/>
          <w:szCs w:val="22"/>
        </w:rPr>
        <w:t xml:space="preserve"> purpose</w:t>
      </w:r>
      <w:r w:rsidRPr="004251E4" w:rsidR="00A40EA6">
        <w:rPr>
          <w:rFonts w:ascii="Times New Roman" w:hAnsi="Times New Roman"/>
          <w:color w:val="000000" w:themeColor="text1"/>
          <w:spacing w:val="-3"/>
          <w:sz w:val="22"/>
          <w:szCs w:val="22"/>
        </w:rPr>
        <w:t>s</w:t>
      </w:r>
      <w:r w:rsidRPr="004251E4" w:rsidR="008A6511">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(i-iii)</w:t>
      </w:r>
      <w:r w:rsidRPr="004251E4" w:rsidR="00A40EA6">
        <w:rPr>
          <w:rFonts w:ascii="Times New Roman" w:hAnsi="Times New Roman"/>
          <w:color w:val="000000" w:themeColor="text1"/>
          <w:spacing w:val="-3"/>
          <w:sz w:val="22"/>
          <w:szCs w:val="22"/>
        </w:rPr>
        <w:t xml:space="preserve"> to the form</w:t>
      </w:r>
      <w:r w:rsidRPr="004251E4">
        <w:rPr>
          <w:rFonts w:ascii="Times New Roman" w:hAnsi="Times New Roman"/>
          <w:color w:val="000000" w:themeColor="text1"/>
          <w:spacing w:val="-3"/>
          <w:sz w:val="22"/>
          <w:szCs w:val="22"/>
        </w:rPr>
        <w:t>.</w:t>
      </w:r>
      <w:r w:rsidRPr="004251E4" w:rsidR="00A40EA6">
        <w:rPr>
          <w:rFonts w:ascii="Times New Roman" w:hAnsi="Times New Roman"/>
          <w:color w:val="000000" w:themeColor="text1"/>
          <w:spacing w:val="-3"/>
          <w:sz w:val="22"/>
          <w:szCs w:val="22"/>
        </w:rPr>
        <w:t xml:space="preserve">  </w:t>
      </w:r>
    </w:p>
    <w:p w:rsidRPr="004251E4" w:rsidR="00750966" w:rsidP="00036DD8" w:rsidRDefault="00750966" w14:paraId="5A0969B1" w14:textId="77777777">
      <w:pPr>
        <w:numPr>
          <w:ilvl w:val="1"/>
          <w:numId w:val="1"/>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Streamlined Process</w:t>
      </w:r>
      <w:r w:rsidRPr="004251E4" w:rsidR="00911E6B">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t>
      </w:r>
      <w:r w:rsidRPr="004251E4" w:rsidR="00CE3DD5">
        <w:rPr>
          <w:rFonts w:ascii="Times New Roman" w:hAnsi="Times New Roman"/>
          <w:color w:val="000000" w:themeColor="text1"/>
          <w:spacing w:val="-3"/>
          <w:sz w:val="22"/>
          <w:szCs w:val="22"/>
        </w:rPr>
        <w:t>A</w:t>
      </w:r>
      <w:r w:rsidRPr="004251E4">
        <w:rPr>
          <w:rFonts w:ascii="Times New Roman" w:hAnsi="Times New Roman"/>
          <w:color w:val="000000" w:themeColor="text1"/>
          <w:spacing w:val="-3"/>
          <w:sz w:val="22"/>
          <w:szCs w:val="22"/>
        </w:rPr>
        <w:t xml:space="preserve"> broadcaster may file only an application for modification of license, provided no other changes are being requested in such application that would require the filing of an application for a construction permit as otherwise required by the rules.</w:t>
      </w:r>
    </w:p>
    <w:p w:rsidRPr="004251E4" w:rsidR="00750966" w:rsidP="00036DD8" w:rsidRDefault="00750966" w14:paraId="3628800C" w14:textId="77777777">
      <w:pPr>
        <w:numPr>
          <w:ilvl w:val="1"/>
          <w:numId w:val="1"/>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Expedited Processing</w:t>
      </w:r>
      <w:r w:rsidRPr="004251E4">
        <w:rPr>
          <w:rFonts w:ascii="Times New Roman" w:hAnsi="Times New Roman"/>
          <w:color w:val="000000" w:themeColor="text1"/>
          <w:spacing w:val="-3"/>
          <w:sz w:val="22"/>
          <w:szCs w:val="22"/>
        </w:rPr>
        <w:t xml:space="preserve">.  An application filed in accordance with the streamlined process will receive expedited processing provided, for stations requesting to air an ATSC 1.0 signal on the facilities of a host station, the station will provide ATSC 1.0 service to at least 95 percent of the predicted population within the noise limited service contour of its original ATSC 1.0 facility. </w:t>
      </w:r>
    </w:p>
    <w:p w:rsidRPr="004251E4" w:rsidR="00EC05E5" w:rsidP="00036DD8" w:rsidRDefault="00750966" w14:paraId="4AC5108B" w14:textId="77777777">
      <w:pPr>
        <w:numPr>
          <w:ilvl w:val="1"/>
          <w:numId w:val="1"/>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Required Information</w:t>
      </w:r>
      <w:r w:rsidRPr="004251E4" w:rsidR="00911E6B">
        <w:rPr>
          <w:rFonts w:ascii="Times New Roman" w:hAnsi="Times New Roman"/>
          <w:color w:val="000000" w:themeColor="text1"/>
          <w:spacing w:val="-3"/>
          <w:sz w:val="22"/>
          <w:szCs w:val="22"/>
        </w:rPr>
        <w:t>:</w:t>
      </w:r>
      <w:r w:rsidRPr="004251E4" w:rsidR="00EC05E5">
        <w:rPr>
          <w:rFonts w:ascii="Times New Roman" w:hAnsi="Times New Roman"/>
          <w:color w:val="000000" w:themeColor="text1"/>
          <w:spacing w:val="-3"/>
          <w:sz w:val="22"/>
          <w:szCs w:val="22"/>
        </w:rPr>
        <w:t xml:space="preserve">  </w:t>
      </w:r>
    </w:p>
    <w:p w:rsidRPr="004251E4" w:rsidR="00911E6B" w:rsidP="00036DD8" w:rsidRDefault="00750966" w14:paraId="05188994" w14:textId="77777777">
      <w:pPr>
        <w:numPr>
          <w:ilvl w:val="2"/>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An application must include the following information: </w:t>
      </w:r>
    </w:p>
    <w:p w:rsidRPr="004251E4" w:rsidR="00911E6B" w:rsidP="00036DD8" w:rsidRDefault="00750966" w14:paraId="1962A785"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 the station serving as the host, if applicable, </w:t>
      </w:r>
    </w:p>
    <w:p w:rsidRPr="004251E4" w:rsidR="00911E6B" w:rsidP="00036DD8" w:rsidRDefault="00750966" w14:paraId="78C147FE"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(B) the technical facilities of the host station, if applicable, </w:t>
      </w:r>
    </w:p>
    <w:p w:rsidRPr="004251E4" w:rsidR="00911E6B" w:rsidP="00036DD8" w:rsidRDefault="00750966" w14:paraId="29F3E1B2"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(C) the DMA of the originating broadcaster’s facility and the DMA of the host station, if applicable, and </w:t>
      </w:r>
    </w:p>
    <w:p w:rsidRPr="004251E4" w:rsidR="00750966" w:rsidP="00036DD8" w:rsidRDefault="00750966" w14:paraId="0C263E69"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(D) any other information deemed necessary by the Commission to process </w:t>
      </w:r>
      <w:r w:rsidRPr="004251E4">
        <w:rPr>
          <w:rFonts w:ascii="Times New Roman" w:hAnsi="Times New Roman"/>
          <w:color w:val="000000" w:themeColor="text1"/>
          <w:spacing w:val="-3"/>
          <w:sz w:val="22"/>
          <w:szCs w:val="22"/>
        </w:rPr>
        <w:lastRenderedPageBreak/>
        <w:t>the application.</w:t>
      </w:r>
    </w:p>
    <w:p w:rsidRPr="004251E4" w:rsidR="00911E6B" w:rsidP="00036DD8" w:rsidRDefault="00750966" w14:paraId="32350655" w14:textId="77777777">
      <w:pPr>
        <w:numPr>
          <w:ilvl w:val="2"/>
          <w:numId w:val="1"/>
        </w:numPr>
        <w:rPr>
          <w:rFonts w:ascii="Times New Roman" w:hAnsi="Times New Roman"/>
          <w:color w:val="000000" w:themeColor="text1"/>
          <w:spacing w:val="-3"/>
          <w:sz w:val="22"/>
          <w:szCs w:val="22"/>
        </w:rPr>
      </w:pPr>
      <w:bookmarkStart w:name="_Hlk501549613" w:id="1"/>
      <w:r w:rsidRPr="004251E4">
        <w:rPr>
          <w:rFonts w:ascii="Times New Roman" w:hAnsi="Times New Roman"/>
          <w:color w:val="000000" w:themeColor="text1"/>
          <w:spacing w:val="-3"/>
          <w:sz w:val="22"/>
          <w:szCs w:val="22"/>
        </w:rPr>
        <w:t>If an application includes a request to air an ATSC 1.0 signal on the facilities of a host station, the broadcaster must</w:t>
      </w:r>
      <w:r w:rsidRPr="004251E4" w:rsidR="00911E6B">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also indicate on the application</w:t>
      </w:r>
      <w:r w:rsidRPr="004251E4" w:rsidR="00911E6B">
        <w:rPr>
          <w:rFonts w:ascii="Times New Roman" w:hAnsi="Times New Roman"/>
          <w:color w:val="000000" w:themeColor="text1"/>
          <w:spacing w:val="-3"/>
          <w:sz w:val="22"/>
          <w:szCs w:val="22"/>
        </w:rPr>
        <w:t xml:space="preserve"> (in addition to other required information)</w:t>
      </w:r>
      <w:r w:rsidRPr="004251E4">
        <w:rPr>
          <w:rFonts w:ascii="Times New Roman" w:hAnsi="Times New Roman"/>
          <w:color w:val="000000" w:themeColor="text1"/>
          <w:spacing w:val="-3"/>
          <w:sz w:val="22"/>
          <w:szCs w:val="22"/>
        </w:rPr>
        <w:t xml:space="preserve">: </w:t>
      </w:r>
    </w:p>
    <w:p w:rsidRPr="004251E4" w:rsidR="00911E6B" w:rsidP="00036DD8" w:rsidRDefault="00750966" w14:paraId="3740A998"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 the predicted population within the noise limited service contour served by the station’s original ATSC 1.0 signal, </w:t>
      </w:r>
    </w:p>
    <w:p w:rsidRPr="004251E4" w:rsidR="00911E6B" w:rsidP="00036DD8" w:rsidRDefault="00750966" w14:paraId="46B70755"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(B) the predicted population within the noise limited service contour served by the station’s original ATSC 1.0 signal that will lose the station’s ATSC 1.0 service as a result of the simulcasting arrangement, including identifying areas of service loss by providing a contour overlap map, and </w:t>
      </w:r>
    </w:p>
    <w:p w:rsidRPr="004251E4" w:rsidR="00750966" w:rsidP="00036DD8" w:rsidRDefault="00750966" w14:paraId="76A11CEB"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(C) whether the ATSC 1.0 simulcast signal aired on the host station will serve at least 95 percent of the population</w:t>
      </w:r>
      <w:r w:rsidRPr="004251E4" w:rsidR="00911E6B">
        <w:rPr>
          <w:rFonts w:ascii="Times New Roman" w:hAnsi="Times New Roman"/>
          <w:color w:val="000000" w:themeColor="text1"/>
          <w:spacing w:val="-3"/>
          <w:sz w:val="22"/>
          <w:szCs w:val="22"/>
        </w:rPr>
        <w:t xml:space="preserve">. </w:t>
      </w:r>
    </w:p>
    <w:p w:rsidRPr="004251E4" w:rsidR="00EC05E5" w:rsidP="00036DD8" w:rsidRDefault="00750966" w14:paraId="1DDF69CB" w14:textId="77777777">
      <w:pPr>
        <w:numPr>
          <w:ilvl w:val="2"/>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If an application includes a request to air an ATSC 1.0 signal on the facilities of a host station and does not meet the 95 percent standard</w:t>
      </w:r>
      <w:r w:rsidRPr="004251E4" w:rsidR="00255F9A">
        <w:rPr>
          <w:rFonts w:ascii="Times New Roman" w:hAnsi="Times New Roman"/>
          <w:color w:val="000000" w:themeColor="text1"/>
          <w:spacing w:val="-3"/>
          <w:sz w:val="22"/>
          <w:szCs w:val="22"/>
        </w:rPr>
        <w:t xml:space="preserve"> for expedited processing</w:t>
      </w:r>
      <w:r w:rsidRPr="004251E4">
        <w:rPr>
          <w:rFonts w:ascii="Times New Roman" w:hAnsi="Times New Roman"/>
          <w:color w:val="000000" w:themeColor="text1"/>
          <w:spacing w:val="-3"/>
          <w:sz w:val="22"/>
          <w:szCs w:val="22"/>
        </w:rPr>
        <w:t>, the application must contain</w:t>
      </w:r>
      <w:r w:rsidRPr="004251E4" w:rsidR="00911E6B">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the following information</w:t>
      </w:r>
      <w:r w:rsidRPr="004251E4" w:rsidR="00911E6B">
        <w:rPr>
          <w:rFonts w:ascii="Times New Roman" w:hAnsi="Times New Roman"/>
          <w:color w:val="000000" w:themeColor="text1"/>
          <w:spacing w:val="-3"/>
          <w:sz w:val="22"/>
          <w:szCs w:val="22"/>
        </w:rPr>
        <w:t xml:space="preserve"> (in addition to other required information)</w:t>
      </w:r>
      <w:r w:rsidRPr="004251E4">
        <w:rPr>
          <w:rFonts w:ascii="Times New Roman" w:hAnsi="Times New Roman"/>
          <w:color w:val="000000" w:themeColor="text1"/>
          <w:spacing w:val="-3"/>
          <w:sz w:val="22"/>
          <w:szCs w:val="22"/>
        </w:rPr>
        <w:t xml:space="preserve">: </w:t>
      </w:r>
    </w:p>
    <w:p w:rsidRPr="004251E4" w:rsidR="00EC05E5" w:rsidP="00036DD8" w:rsidRDefault="00750966" w14:paraId="1EEA657E"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 whether there is another possible host station(s) in the market that would result in less service loss to existing viewers and, if so, why the next Gen TV broadcaster chose to partner with a host station creating a larger service loss; </w:t>
      </w:r>
    </w:p>
    <w:p w:rsidRPr="004251E4" w:rsidR="00EC05E5" w:rsidP="00036DD8" w:rsidRDefault="00750966" w14:paraId="214456F6"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(B) what steps, if any, the station plans to take to minimize the impact of the service loss (e.g., providing ATSC 3.0 dongles, set-top boxes, or gateway devices to viewers in the loss area); and </w:t>
      </w:r>
    </w:p>
    <w:p w:rsidRPr="004251E4" w:rsidR="00750966" w:rsidP="00036DD8" w:rsidRDefault="00750966" w14:paraId="55C8DA15" w14:textId="77777777">
      <w:pPr>
        <w:numPr>
          <w:ilvl w:val="3"/>
          <w:numId w:val="1"/>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(C) the public interest benefits of the simulcasting arrangement and a showing of why the benefit(s) of granting the application would outweigh the harm(s).  These applications will be considered on a case-by-case basis.</w:t>
      </w:r>
    </w:p>
    <w:bookmarkEnd w:id="1"/>
    <w:p w:rsidRPr="004251E4" w:rsidR="00B21A5F" w:rsidP="00750966" w:rsidRDefault="00B21A5F" w14:paraId="156332BF" w14:textId="77777777">
      <w:pPr>
        <w:rPr>
          <w:rFonts w:ascii="Times New Roman" w:hAnsi="Times New Roman"/>
          <w:color w:val="000000" w:themeColor="text1"/>
          <w:spacing w:val="-3"/>
          <w:sz w:val="22"/>
          <w:szCs w:val="22"/>
        </w:rPr>
      </w:pPr>
    </w:p>
    <w:p w:rsidRPr="004251E4" w:rsidR="00B21A5F" w:rsidP="00750966" w:rsidRDefault="00B21A5F" w14:paraId="199E7812" w14:textId="77777777">
      <w:pPr>
        <w:rPr>
          <w:rFonts w:ascii="Times New Roman" w:hAnsi="Times New Roman"/>
          <w:color w:val="000000" w:themeColor="text1"/>
          <w:spacing w:val="-3"/>
          <w:sz w:val="22"/>
          <w:szCs w:val="22"/>
        </w:rPr>
      </w:pPr>
    </w:p>
    <w:p w:rsidRPr="004251E4" w:rsidR="00B21A5F" w:rsidP="0080680B" w:rsidRDefault="00B21A5F" w14:paraId="6F71043B" w14:textId="77777777">
      <w:pPr>
        <w:keepNext/>
        <w:widowControl/>
        <w:spacing w:after="120"/>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Consumer education for Next Gen TV stations (47 C.F.R. §§ 73.3801(g), 73.6029(g), and 74.782(h))</w:t>
      </w:r>
    </w:p>
    <w:p w:rsidRPr="004251E4" w:rsidR="00750966" w:rsidP="00036DD8" w:rsidRDefault="00DB00F4" w14:paraId="5DBC4664" w14:textId="77777777">
      <w:pPr>
        <w:numPr>
          <w:ilvl w:val="0"/>
          <w:numId w:val="3"/>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Third-Party Reporting Requirement</w:t>
      </w:r>
      <w:r w:rsidRPr="004251E4" w:rsidR="009F2B6E">
        <w:rPr>
          <w:rFonts w:ascii="Times New Roman" w:hAnsi="Times New Roman"/>
          <w:color w:val="000000" w:themeColor="text1"/>
          <w:spacing w:val="-3"/>
          <w:sz w:val="22"/>
          <w:szCs w:val="22"/>
        </w:rPr>
        <w:t xml:space="preserve"> (Broadcaster </w:t>
      </w:r>
      <w:r w:rsidRPr="004251E4" w:rsidR="00DB169B">
        <w:rPr>
          <w:rFonts w:ascii="Times New Roman" w:hAnsi="Times New Roman"/>
          <w:color w:val="000000" w:themeColor="text1"/>
          <w:spacing w:val="-3"/>
          <w:sz w:val="22"/>
          <w:szCs w:val="22"/>
        </w:rPr>
        <w:t xml:space="preserve">On-Air </w:t>
      </w:r>
      <w:r w:rsidRPr="004251E4" w:rsidR="009F2B6E">
        <w:rPr>
          <w:rFonts w:ascii="Times New Roman" w:hAnsi="Times New Roman"/>
          <w:color w:val="000000" w:themeColor="text1"/>
          <w:spacing w:val="-3"/>
          <w:sz w:val="22"/>
          <w:szCs w:val="22"/>
        </w:rPr>
        <w:t>Notices to Consumers)</w:t>
      </w:r>
      <w:r w:rsidRPr="004251E4">
        <w:rPr>
          <w:rFonts w:ascii="Times New Roman" w:hAnsi="Times New Roman"/>
          <w:color w:val="000000" w:themeColor="text1"/>
          <w:spacing w:val="-3"/>
          <w:sz w:val="22"/>
          <w:szCs w:val="22"/>
        </w:rPr>
        <w:t xml:space="preserve">:  </w:t>
      </w:r>
      <w:r w:rsidRPr="004251E4" w:rsidR="00750966">
        <w:rPr>
          <w:rFonts w:ascii="Times New Roman" w:hAnsi="Times New Roman"/>
          <w:color w:val="000000" w:themeColor="text1"/>
          <w:spacing w:val="-3"/>
          <w:sz w:val="22"/>
          <w:szCs w:val="22"/>
        </w:rPr>
        <w:t xml:space="preserve">Commercial and noncommercial educational </w:t>
      </w:r>
      <w:r w:rsidRPr="004251E4">
        <w:rPr>
          <w:rFonts w:ascii="Times New Roman" w:hAnsi="Times New Roman"/>
          <w:color w:val="000000" w:themeColor="text1"/>
          <w:spacing w:val="-3"/>
          <w:sz w:val="22"/>
          <w:szCs w:val="22"/>
        </w:rPr>
        <w:t xml:space="preserve">broadcast TV </w:t>
      </w:r>
      <w:r w:rsidRPr="004251E4" w:rsidR="00750966">
        <w:rPr>
          <w:rFonts w:ascii="Times New Roman" w:hAnsi="Times New Roman"/>
          <w:color w:val="000000" w:themeColor="text1"/>
          <w:spacing w:val="-3"/>
          <w:sz w:val="22"/>
          <w:szCs w:val="22"/>
        </w:rPr>
        <w:t>stations that relocate their ATSC 1.0 signals (e.g., moving to a host station’s facility, subsequently moving to a different host, or returning to its original facility) are required to air daily Public Service Announcements (PSAs) or crawls every day for 30 days prior to the date that the stations will terminate ATSC 1.0 operations on their existing facilities.  Stations that transition directly to ATSC 3.0 will be required to air daily PSAs or crawls every day for 30 days prior to the date that the stations will terminate ATSC 1.0 operations.</w:t>
      </w:r>
    </w:p>
    <w:p w:rsidRPr="004251E4" w:rsidR="00750966" w:rsidP="00036DD8" w:rsidRDefault="00750966" w14:paraId="1AE54704" w14:textId="77777777">
      <w:pPr>
        <w:numPr>
          <w:ilvl w:val="1"/>
          <w:numId w:val="3"/>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PSAs</w:t>
      </w:r>
      <w:r w:rsidRPr="004251E4">
        <w:rPr>
          <w:rFonts w:ascii="Times New Roman" w:hAnsi="Times New Roman"/>
          <w:color w:val="000000" w:themeColor="text1"/>
          <w:spacing w:val="-3"/>
          <w:sz w:val="22"/>
          <w:szCs w:val="22"/>
        </w:rPr>
        <w:t>. Each PSA must be provided in the same language as a majority of the programming carried by the transitioning station and be closed-captioned.</w:t>
      </w:r>
    </w:p>
    <w:p w:rsidRPr="004251E4" w:rsidR="00750966" w:rsidP="00036DD8" w:rsidRDefault="00750966" w14:paraId="68E23260" w14:textId="77777777">
      <w:pPr>
        <w:numPr>
          <w:ilvl w:val="1"/>
          <w:numId w:val="3"/>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Crawls</w:t>
      </w:r>
      <w:r w:rsidRPr="004251E4">
        <w:rPr>
          <w:rFonts w:ascii="Times New Roman" w:hAnsi="Times New Roman"/>
          <w:color w:val="000000" w:themeColor="text1"/>
          <w:spacing w:val="-3"/>
          <w:sz w:val="22"/>
          <w:szCs w:val="22"/>
        </w:rPr>
        <w:t>. Each crawl must be provided in the same language as a majority of the programming carried by the transitioning station.</w:t>
      </w:r>
    </w:p>
    <w:p w:rsidRPr="004251E4" w:rsidR="00750966" w:rsidP="00036DD8" w:rsidRDefault="00750966" w14:paraId="48B3897B" w14:textId="77777777">
      <w:pPr>
        <w:numPr>
          <w:ilvl w:val="1"/>
          <w:numId w:val="3"/>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Content of PSAs or Crawls</w:t>
      </w:r>
      <w:r w:rsidRPr="004251E4">
        <w:rPr>
          <w:rFonts w:ascii="Times New Roman" w:hAnsi="Times New Roman"/>
          <w:color w:val="000000" w:themeColor="text1"/>
          <w:spacing w:val="-3"/>
          <w:sz w:val="22"/>
          <w:szCs w:val="22"/>
        </w:rPr>
        <w:t>. For stations relocating their ATSC 1.0 signals or transitioning directly to ATSC 3.0, each PSA or crawl must provide all pertinent information to consumers.</w:t>
      </w:r>
    </w:p>
    <w:p w:rsidRPr="004251E4" w:rsidR="00B21A5F" w:rsidP="00750966" w:rsidRDefault="00B21A5F" w14:paraId="2AAE1026" w14:textId="77777777">
      <w:pPr>
        <w:rPr>
          <w:rFonts w:ascii="Times New Roman" w:hAnsi="Times New Roman"/>
          <w:color w:val="000000" w:themeColor="text1"/>
          <w:spacing w:val="-3"/>
          <w:sz w:val="22"/>
          <w:szCs w:val="22"/>
        </w:rPr>
      </w:pPr>
    </w:p>
    <w:p w:rsidRPr="004251E4" w:rsidR="00B21A5F" w:rsidP="00F85888" w:rsidRDefault="00B21A5F" w14:paraId="72AE3AD3" w14:textId="77777777">
      <w:pPr>
        <w:spacing w:after="120"/>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Notice to MVPDs (47 C.F.R. §§ 73.3801(h), 73.6029(h), and 74.782(i))</w:t>
      </w:r>
    </w:p>
    <w:p w:rsidRPr="004251E4" w:rsidR="00750966" w:rsidP="00036DD8" w:rsidRDefault="00DB00F4" w14:paraId="21139343" w14:textId="77777777">
      <w:pPr>
        <w:numPr>
          <w:ilvl w:val="0"/>
          <w:numId w:val="3"/>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Third-Party Reporting Requirement</w:t>
      </w:r>
      <w:r w:rsidRPr="004251E4" w:rsidR="009F2B6E">
        <w:rPr>
          <w:rFonts w:ascii="Times New Roman" w:hAnsi="Times New Roman"/>
          <w:color w:val="000000" w:themeColor="text1"/>
          <w:spacing w:val="-3"/>
          <w:sz w:val="22"/>
          <w:szCs w:val="22"/>
        </w:rPr>
        <w:t xml:space="preserve"> (Broadcaster </w:t>
      </w:r>
      <w:r w:rsidRPr="004251E4" w:rsidR="00DB169B">
        <w:rPr>
          <w:rFonts w:ascii="Times New Roman" w:hAnsi="Times New Roman"/>
          <w:color w:val="000000" w:themeColor="text1"/>
          <w:spacing w:val="-3"/>
          <w:sz w:val="22"/>
          <w:szCs w:val="22"/>
        </w:rPr>
        <w:t xml:space="preserve">Written </w:t>
      </w:r>
      <w:r w:rsidRPr="004251E4" w:rsidR="009F2B6E">
        <w:rPr>
          <w:rFonts w:ascii="Times New Roman" w:hAnsi="Times New Roman"/>
          <w:color w:val="000000" w:themeColor="text1"/>
          <w:spacing w:val="-3"/>
          <w:sz w:val="22"/>
          <w:szCs w:val="22"/>
        </w:rPr>
        <w:t>Notice</w:t>
      </w:r>
      <w:r w:rsidRPr="004251E4" w:rsidR="00DB169B">
        <w:rPr>
          <w:rFonts w:ascii="Times New Roman" w:hAnsi="Times New Roman"/>
          <w:color w:val="000000" w:themeColor="text1"/>
          <w:spacing w:val="-3"/>
          <w:sz w:val="22"/>
          <w:szCs w:val="22"/>
        </w:rPr>
        <w:t>s</w:t>
      </w:r>
      <w:r w:rsidRPr="004251E4" w:rsidR="009F2B6E">
        <w:rPr>
          <w:rFonts w:ascii="Times New Roman" w:hAnsi="Times New Roman"/>
          <w:color w:val="000000" w:themeColor="text1"/>
          <w:spacing w:val="-3"/>
          <w:sz w:val="22"/>
          <w:szCs w:val="22"/>
        </w:rPr>
        <w:t xml:space="preserve"> to MVPDs):  </w:t>
      </w:r>
      <w:r w:rsidRPr="004251E4" w:rsidR="00750966">
        <w:rPr>
          <w:rFonts w:ascii="Times New Roman" w:hAnsi="Times New Roman"/>
          <w:color w:val="000000" w:themeColor="text1"/>
          <w:spacing w:val="-3"/>
          <w:sz w:val="22"/>
          <w:szCs w:val="22"/>
        </w:rPr>
        <w:t>Next Gen TV stations relocating their ATSC 1.0 signals (e.g., moving to a temporary host station’s facilities, subsequently moving to a different host, or returning to its original facility) must provide notice to MVPDs that:</w:t>
      </w:r>
      <w:r w:rsidRPr="004251E4" w:rsidR="009F2B6E">
        <w:rPr>
          <w:rFonts w:ascii="Times New Roman" w:hAnsi="Times New Roman"/>
          <w:color w:val="000000" w:themeColor="text1"/>
          <w:spacing w:val="-3"/>
          <w:sz w:val="22"/>
          <w:szCs w:val="22"/>
        </w:rPr>
        <w:t xml:space="preserve">  </w:t>
      </w:r>
      <w:r w:rsidRPr="004251E4" w:rsidR="00750966">
        <w:rPr>
          <w:rFonts w:ascii="Times New Roman" w:hAnsi="Times New Roman"/>
          <w:color w:val="000000" w:themeColor="text1"/>
          <w:spacing w:val="-3"/>
          <w:sz w:val="22"/>
          <w:szCs w:val="22"/>
        </w:rPr>
        <w:t>(i) No longer will be required to carry the station’s ATSC 1.0 signal due to the relocation; or</w:t>
      </w:r>
      <w:r w:rsidRPr="004251E4" w:rsidR="009F2B6E">
        <w:rPr>
          <w:rFonts w:ascii="Times New Roman" w:hAnsi="Times New Roman"/>
          <w:color w:val="000000" w:themeColor="text1"/>
          <w:spacing w:val="-3"/>
          <w:sz w:val="22"/>
          <w:szCs w:val="22"/>
        </w:rPr>
        <w:t xml:space="preserve"> </w:t>
      </w:r>
      <w:r w:rsidRPr="004251E4" w:rsidR="00750966">
        <w:rPr>
          <w:rFonts w:ascii="Times New Roman" w:hAnsi="Times New Roman"/>
          <w:color w:val="000000" w:themeColor="text1"/>
          <w:spacing w:val="-3"/>
          <w:sz w:val="22"/>
          <w:szCs w:val="22"/>
        </w:rPr>
        <w:t>(ii) carry and will continue to be obligated to carry the station’s ATSC 1.0 signal from the new location.</w:t>
      </w:r>
    </w:p>
    <w:p w:rsidRPr="004251E4" w:rsidR="00750966" w:rsidP="00036DD8" w:rsidRDefault="009F2B6E" w14:paraId="07052651" w14:textId="77777777">
      <w:pPr>
        <w:numPr>
          <w:ilvl w:val="0"/>
          <w:numId w:val="5"/>
        </w:numPr>
        <w:rPr>
          <w:rFonts w:ascii="Times New Roman" w:hAnsi="Times New Roman"/>
          <w:i/>
          <w:color w:val="000000" w:themeColor="text1"/>
          <w:spacing w:val="-3"/>
          <w:sz w:val="22"/>
          <w:szCs w:val="22"/>
        </w:rPr>
      </w:pPr>
      <w:r w:rsidRPr="004251E4">
        <w:rPr>
          <w:rFonts w:ascii="Times New Roman" w:hAnsi="Times New Roman"/>
          <w:i/>
          <w:color w:val="000000" w:themeColor="text1"/>
          <w:spacing w:val="-3"/>
          <w:sz w:val="22"/>
          <w:szCs w:val="22"/>
        </w:rPr>
        <w:t xml:space="preserve">Content.  </w:t>
      </w:r>
      <w:r w:rsidRPr="004251E4" w:rsidR="00750966">
        <w:rPr>
          <w:rFonts w:ascii="Times New Roman" w:hAnsi="Times New Roman"/>
          <w:i/>
          <w:color w:val="000000" w:themeColor="text1"/>
          <w:spacing w:val="-3"/>
          <w:sz w:val="22"/>
          <w:szCs w:val="22"/>
        </w:rPr>
        <w:t>The notice must contain the following information:</w:t>
      </w:r>
    </w:p>
    <w:p w:rsidRPr="004251E4" w:rsidR="00750966" w:rsidP="00036DD8" w:rsidRDefault="00750966" w14:paraId="6B9BB502" w14:textId="77777777">
      <w:pPr>
        <w:numPr>
          <w:ilvl w:val="2"/>
          <w:numId w:val="4"/>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Date and time of any ATSC 1.0 channel changes;</w:t>
      </w:r>
    </w:p>
    <w:p w:rsidRPr="004251E4" w:rsidR="00750966" w:rsidP="00036DD8" w:rsidRDefault="00750966" w14:paraId="4F7C07C9" w14:textId="77777777">
      <w:pPr>
        <w:numPr>
          <w:ilvl w:val="2"/>
          <w:numId w:val="4"/>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The ATSC 1.0 channel occupied by the station before and after commencement of local simulcasting;</w:t>
      </w:r>
    </w:p>
    <w:p w:rsidRPr="004251E4" w:rsidR="00750966" w:rsidP="00036DD8" w:rsidRDefault="00750966" w14:paraId="64437FCF" w14:textId="77777777">
      <w:pPr>
        <w:numPr>
          <w:ilvl w:val="2"/>
          <w:numId w:val="4"/>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Modification, if any, to antenna position, location, or power levels;</w:t>
      </w:r>
    </w:p>
    <w:p w:rsidRPr="004251E4" w:rsidR="00750966" w:rsidP="00036DD8" w:rsidRDefault="00750966" w14:paraId="0C8B2795" w14:textId="77777777">
      <w:pPr>
        <w:numPr>
          <w:ilvl w:val="2"/>
          <w:numId w:val="4"/>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Stream identification information; and</w:t>
      </w:r>
    </w:p>
    <w:p w:rsidRPr="004251E4" w:rsidR="00750966" w:rsidP="00036DD8" w:rsidRDefault="00750966" w14:paraId="517A2A83" w14:textId="77777777">
      <w:pPr>
        <w:numPr>
          <w:ilvl w:val="2"/>
          <w:numId w:val="4"/>
        </w:num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Engineering staff contact information.</w:t>
      </w:r>
    </w:p>
    <w:p w:rsidRPr="004251E4" w:rsidR="00750966" w:rsidP="00036DD8" w:rsidRDefault="000257F6" w14:paraId="56BDC3F2" w14:textId="77777777">
      <w:pPr>
        <w:numPr>
          <w:ilvl w:val="0"/>
          <w:numId w:val="5"/>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Amended Notice</w:t>
      </w:r>
      <w:r w:rsidRPr="004251E4">
        <w:rPr>
          <w:rFonts w:ascii="Times New Roman" w:hAnsi="Times New Roman"/>
          <w:color w:val="000000" w:themeColor="text1"/>
          <w:spacing w:val="-3"/>
          <w:sz w:val="22"/>
          <w:szCs w:val="22"/>
        </w:rPr>
        <w:t xml:space="preserve">.  </w:t>
      </w:r>
      <w:r w:rsidRPr="004251E4" w:rsidR="00750966">
        <w:rPr>
          <w:rFonts w:ascii="Times New Roman" w:hAnsi="Times New Roman"/>
          <w:color w:val="000000" w:themeColor="text1"/>
          <w:spacing w:val="-3"/>
          <w:sz w:val="22"/>
          <w:szCs w:val="22"/>
        </w:rPr>
        <w:t xml:space="preserve">If any of the information </w:t>
      </w:r>
      <w:r w:rsidRPr="004251E4" w:rsidR="009F2B6E">
        <w:rPr>
          <w:rFonts w:ascii="Times New Roman" w:hAnsi="Times New Roman"/>
          <w:color w:val="000000" w:themeColor="text1"/>
          <w:spacing w:val="-3"/>
          <w:sz w:val="22"/>
          <w:szCs w:val="22"/>
        </w:rPr>
        <w:t xml:space="preserve">provided in the Required Notice </w:t>
      </w:r>
      <w:r w:rsidRPr="004251E4" w:rsidR="00750966">
        <w:rPr>
          <w:rFonts w:ascii="Times New Roman" w:hAnsi="Times New Roman"/>
          <w:color w:val="000000" w:themeColor="text1"/>
          <w:spacing w:val="-3"/>
          <w:sz w:val="22"/>
          <w:szCs w:val="22"/>
        </w:rPr>
        <w:t xml:space="preserve">changes, </w:t>
      </w:r>
      <w:r w:rsidRPr="004251E4" w:rsidR="009F2B6E">
        <w:rPr>
          <w:rFonts w:ascii="Times New Roman" w:hAnsi="Times New Roman"/>
          <w:color w:val="000000" w:themeColor="text1"/>
          <w:spacing w:val="-3"/>
          <w:sz w:val="22"/>
          <w:szCs w:val="22"/>
        </w:rPr>
        <w:t xml:space="preserve">then </w:t>
      </w:r>
      <w:r w:rsidRPr="004251E4" w:rsidR="00750966">
        <w:rPr>
          <w:rFonts w:ascii="Times New Roman" w:hAnsi="Times New Roman"/>
          <w:color w:val="000000" w:themeColor="text1"/>
          <w:spacing w:val="-3"/>
          <w:sz w:val="22"/>
          <w:szCs w:val="22"/>
        </w:rPr>
        <w:t>an amended notification must be sent.</w:t>
      </w:r>
    </w:p>
    <w:p w:rsidRPr="004251E4" w:rsidR="00750966" w:rsidP="00036DD8" w:rsidRDefault="000257F6" w14:paraId="49130B62" w14:textId="77777777">
      <w:pPr>
        <w:numPr>
          <w:ilvl w:val="0"/>
          <w:numId w:val="5"/>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Timing</w:t>
      </w:r>
      <w:r w:rsidRPr="004251E4">
        <w:rPr>
          <w:rFonts w:ascii="Times New Roman" w:hAnsi="Times New Roman"/>
          <w:color w:val="000000" w:themeColor="text1"/>
          <w:spacing w:val="-3"/>
          <w:sz w:val="22"/>
          <w:szCs w:val="22"/>
        </w:rPr>
        <w:t xml:space="preserve">.  </w:t>
      </w:r>
      <w:r w:rsidRPr="004251E4" w:rsidR="00750966">
        <w:rPr>
          <w:rFonts w:ascii="Times New Roman" w:hAnsi="Times New Roman"/>
          <w:color w:val="000000" w:themeColor="text1"/>
          <w:spacing w:val="-3"/>
          <w:sz w:val="22"/>
          <w:szCs w:val="22"/>
        </w:rPr>
        <w:t>Next Gen TV stations must provide notice as required by this section: (i) at least 120 days in advance of relocating their ATSC 1.0 signals if the relocation occurs during the post-incentive auction transition period; or (ii) at least 90 days in advance of relocating their ATSC 1.0 signals if the relocation occurs after the post-incentive auction transition period (see 47 CFR 27.4).  If the anticipated date of the ATSC 1.0 signal relocation changes, the station must send a further notice to affected MVPDs informing them of the new anticipated date.</w:t>
      </w:r>
    </w:p>
    <w:p w:rsidRPr="004251E4" w:rsidR="006E1829" w:rsidP="00036DD8" w:rsidRDefault="000257F6" w14:paraId="7AA87ABA" w14:textId="77777777">
      <w:pPr>
        <w:numPr>
          <w:ilvl w:val="0"/>
          <w:numId w:val="5"/>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Method</w:t>
      </w:r>
      <w:r w:rsidRPr="004251E4">
        <w:rPr>
          <w:rFonts w:ascii="Times New Roman" w:hAnsi="Times New Roman"/>
          <w:color w:val="000000" w:themeColor="text1"/>
          <w:spacing w:val="-3"/>
          <w:sz w:val="22"/>
          <w:szCs w:val="22"/>
        </w:rPr>
        <w:t xml:space="preserve">.  </w:t>
      </w:r>
      <w:r w:rsidRPr="004251E4" w:rsidR="00750966">
        <w:rPr>
          <w:rFonts w:ascii="Times New Roman" w:hAnsi="Times New Roman"/>
          <w:color w:val="000000" w:themeColor="text1"/>
          <w:spacing w:val="-3"/>
          <w:sz w:val="22"/>
          <w:szCs w:val="22"/>
        </w:rPr>
        <w:t>Next Gen TV stations may choose whether to provide notice as required by this section either by a letter notification or electronically via email if the relevant MVPD agrees to receive such notices by email.  Letter notifications to MVPDs must be sent by certified mail, return receipt requested to the MVPD’s address in the FCC’s Online Public Inspection File (OPIF), if the MVPD has an online file.  For cable systems that do not have an online file, notices must be sent to the cable system’s official address of record provided in the system’s most recent filing in the FCC’s Cable Operations and Licensing System (COALS).  For MVPDs with no official address in OPIF or COALS, the letter must be sent to the MVPD’s official corporate address registered with their State of incorporation.</w:t>
      </w:r>
    </w:p>
    <w:p w:rsidRPr="004251E4" w:rsidR="006E1829" w:rsidP="00750966" w:rsidRDefault="006E1829" w14:paraId="2C792064" w14:textId="77777777">
      <w:pPr>
        <w:rPr>
          <w:rFonts w:ascii="Times New Roman" w:hAnsi="Times New Roman"/>
          <w:color w:val="000000" w:themeColor="text1"/>
          <w:spacing w:val="-3"/>
          <w:sz w:val="22"/>
          <w:szCs w:val="22"/>
        </w:rPr>
      </w:pPr>
    </w:p>
    <w:p w:rsidRPr="004251E4" w:rsidR="007F0EEC" w:rsidP="007F0EEC" w:rsidRDefault="007F0EEC" w14:paraId="5F95BDF1" w14:textId="77777777">
      <w:pPr>
        <w:spacing w:after="120"/>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Local Simulcasting Agreements (47 C.F.R. §§ 73.3801(e), 73.6029(e), and 74.782(f))</w:t>
      </w:r>
    </w:p>
    <w:p w:rsidRPr="004251E4" w:rsidR="007F0EEC" w:rsidP="00036DD8" w:rsidRDefault="007F0EEC" w14:paraId="0EA4A663" w14:textId="77777777">
      <w:pPr>
        <w:numPr>
          <w:ilvl w:val="0"/>
          <w:numId w:val="1"/>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Recordkeeping Requirement</w:t>
      </w:r>
      <w:r w:rsidRPr="004251E4">
        <w:rPr>
          <w:rFonts w:ascii="Times New Roman" w:hAnsi="Times New Roman"/>
          <w:color w:val="000000" w:themeColor="text1"/>
          <w:spacing w:val="-3"/>
          <w:sz w:val="22"/>
          <w:szCs w:val="22"/>
        </w:rPr>
        <w:t>:  Broadcasters must maintain a written copy of any local simulcasting agreement and provide it to the Commission upon request.</w:t>
      </w:r>
    </w:p>
    <w:p w:rsidRPr="004251E4" w:rsidR="007F0EEC" w:rsidP="00036DD8" w:rsidRDefault="007F0EEC" w14:paraId="5D8FE3A7" w14:textId="77777777">
      <w:pPr>
        <w:numPr>
          <w:ilvl w:val="1"/>
          <w:numId w:val="1"/>
        </w:numPr>
        <w:rPr>
          <w:rFonts w:ascii="Times New Roman" w:hAnsi="Times New Roman"/>
          <w:color w:val="000000" w:themeColor="text1"/>
          <w:spacing w:val="-3"/>
          <w:sz w:val="22"/>
          <w:szCs w:val="22"/>
        </w:rPr>
      </w:pPr>
      <w:r w:rsidRPr="004251E4">
        <w:rPr>
          <w:rFonts w:ascii="Times New Roman" w:hAnsi="Times New Roman"/>
          <w:i/>
          <w:color w:val="000000" w:themeColor="text1"/>
          <w:spacing w:val="-3"/>
          <w:sz w:val="22"/>
          <w:szCs w:val="22"/>
        </w:rPr>
        <w:t>Agreement Content</w:t>
      </w:r>
      <w:r w:rsidRPr="004251E4">
        <w:rPr>
          <w:rFonts w:ascii="Times New Roman" w:hAnsi="Times New Roman"/>
          <w:color w:val="000000" w:themeColor="text1"/>
          <w:spacing w:val="-3"/>
          <w:sz w:val="22"/>
          <w:szCs w:val="22"/>
        </w:rPr>
        <w:t>:  Local simulcasting agreements must contain provisions outlining each licensee’s rights and responsibilities regarding:</w:t>
      </w:r>
    </w:p>
    <w:p w:rsidRPr="004251E4" w:rsidR="007F0EEC" w:rsidP="00036DD8" w:rsidRDefault="007F0EEC" w14:paraId="741D66A4" w14:textId="77777777">
      <w:pPr>
        <w:numPr>
          <w:ilvl w:val="0"/>
          <w:numId w:val="2"/>
        </w:numPr>
        <w:ind w:left="2160"/>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Access to facilities, including whether each licensee will have unrestrained access to the host station’s transmission facilities;</w:t>
      </w:r>
    </w:p>
    <w:p w:rsidRPr="004251E4" w:rsidR="007F0EEC" w:rsidP="00036DD8" w:rsidRDefault="007F0EEC" w14:paraId="26F78DC7" w14:textId="77777777">
      <w:pPr>
        <w:numPr>
          <w:ilvl w:val="0"/>
          <w:numId w:val="2"/>
        </w:numPr>
        <w:ind w:left="2160"/>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Allocation of bandwidth within the host station’s channel;</w:t>
      </w:r>
    </w:p>
    <w:p w:rsidRPr="004251E4" w:rsidR="007F0EEC" w:rsidP="00036DD8" w:rsidRDefault="007F0EEC" w14:paraId="0206C9DD" w14:textId="77777777">
      <w:pPr>
        <w:numPr>
          <w:ilvl w:val="0"/>
          <w:numId w:val="2"/>
        </w:numPr>
        <w:ind w:left="2160"/>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Operation, maintenance, repair, and modification of facilities, including a list of all relevant equipment, a description of each party’s financial obligations, and any </w:t>
      </w:r>
      <w:r w:rsidRPr="004251E4">
        <w:rPr>
          <w:rFonts w:ascii="Times New Roman" w:hAnsi="Times New Roman"/>
          <w:color w:val="000000" w:themeColor="text1"/>
          <w:spacing w:val="-3"/>
          <w:sz w:val="22"/>
          <w:szCs w:val="22"/>
        </w:rPr>
        <w:lastRenderedPageBreak/>
        <w:t xml:space="preserve">relevant notice provisions; </w:t>
      </w:r>
    </w:p>
    <w:p w:rsidRPr="004251E4" w:rsidR="007F0EEC" w:rsidP="00036DD8" w:rsidRDefault="007F0EEC" w14:paraId="597ACA19" w14:textId="77777777">
      <w:pPr>
        <w:numPr>
          <w:ilvl w:val="0"/>
          <w:numId w:val="2"/>
        </w:numPr>
        <w:ind w:left="2160"/>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Conditions under which the simulcast agreement may be terminated, assigned or transferred; and</w:t>
      </w:r>
    </w:p>
    <w:p w:rsidRPr="004251E4" w:rsidR="007F0EEC" w:rsidP="00036DD8" w:rsidRDefault="007F0EEC" w14:paraId="56A7FE5E" w14:textId="77777777">
      <w:pPr>
        <w:numPr>
          <w:ilvl w:val="0"/>
          <w:numId w:val="2"/>
        </w:numPr>
        <w:ind w:left="2160"/>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How a guest station’s (i.e., a station originating programming that is being transmitted using the facilities of another station) signal may be transitioned off the host station.</w:t>
      </w:r>
    </w:p>
    <w:p w:rsidRPr="004251E4" w:rsidR="007F0EEC" w:rsidP="007F0EEC" w:rsidRDefault="007F0EEC" w14:paraId="05D65277" w14:textId="77777777">
      <w:pPr>
        <w:rPr>
          <w:rFonts w:ascii="Times New Roman" w:hAnsi="Times New Roman"/>
          <w:color w:val="000000" w:themeColor="text1"/>
          <w:spacing w:val="-3"/>
          <w:sz w:val="22"/>
          <w:szCs w:val="22"/>
        </w:rPr>
      </w:pPr>
    </w:p>
    <w:p w:rsidRPr="004251E4" w:rsidR="00BB0262" w:rsidP="00BB0262" w:rsidRDefault="00BB0262" w14:paraId="0A264B71" w14:textId="77777777">
      <w:pPr>
        <w:suppressAutoHyphens/>
        <w:rPr>
          <w:rFonts w:ascii="Times New Roman" w:hAnsi="Times New Roman"/>
          <w:color w:val="000000" w:themeColor="text1"/>
          <w:spacing w:val="-3"/>
          <w:sz w:val="22"/>
          <w:szCs w:val="22"/>
        </w:rPr>
      </w:pPr>
      <w:r w:rsidRPr="004251E4">
        <w:rPr>
          <w:rFonts w:ascii="Times New Roman" w:hAnsi="Times New Roman"/>
          <w:b/>
          <w:bCs/>
          <w:color w:val="000000" w:themeColor="text1"/>
          <w:sz w:val="22"/>
          <w:szCs w:val="22"/>
        </w:rPr>
        <w:t xml:space="preserve">History:   </w:t>
      </w:r>
      <w:r w:rsidRPr="004251E4">
        <w:rPr>
          <w:rFonts w:ascii="Times New Roman" w:hAnsi="Times New Roman"/>
          <w:snapToGrid/>
          <w:color w:val="000000" w:themeColor="text1"/>
          <w:sz w:val="22"/>
          <w:szCs w:val="22"/>
        </w:rPr>
        <w:t>On November 20, 2017, the Commission released a Report and Order, FCC 17-158, in GN Docket No. 16-142,</w:t>
      </w:r>
      <w:r w:rsidRPr="004251E4">
        <w:rPr>
          <w:rStyle w:val="FootnoteReference"/>
          <w:rFonts w:ascii="Times New Roman" w:hAnsi="Times New Roman"/>
          <w:snapToGrid/>
          <w:color w:val="000000" w:themeColor="text1"/>
          <w:sz w:val="22"/>
          <w:szCs w:val="22"/>
        </w:rPr>
        <w:footnoteReference w:id="3"/>
      </w:r>
      <w:r w:rsidRPr="004251E4">
        <w:rPr>
          <w:rFonts w:ascii="Times New Roman" w:hAnsi="Times New Roman"/>
          <w:snapToGrid/>
          <w:color w:val="000000" w:themeColor="text1"/>
          <w:sz w:val="22"/>
          <w:szCs w:val="22"/>
        </w:rPr>
        <w:t xml:space="preserve"> authorizing television broadcasters to use the “Next Generation” broadcast television (Next Gen TV) transmission standard, also called “ATSC 3.0” or “3.0,” on a voluntary, market-driven basis.  This authorization is subject to broadcasters continuing to deliver current-generation digital television (DTV) service, using the ATSC 1.0 transmission standard, also called “ATSC 1.0” or “1.0,” to their viewers.  The requirement to continue to provide ATSC 1.0 service is called “local simulcasting.”  The local simulcasting rules are codified at </w:t>
      </w:r>
      <w:r w:rsidRPr="004251E4">
        <w:rPr>
          <w:rFonts w:ascii="Times New Roman" w:hAnsi="Times New Roman"/>
          <w:color w:val="000000" w:themeColor="text1"/>
          <w:spacing w:val="-3"/>
          <w:sz w:val="22"/>
          <w:szCs w:val="22"/>
        </w:rPr>
        <w:t xml:space="preserve">47 CFR §§ 73.3801 (full-power TV), 73.6029 (Class A TV), and 74.782 (low-power TV).  </w:t>
      </w:r>
    </w:p>
    <w:p w:rsidRPr="004251E4" w:rsidR="004456B7" w:rsidP="00BB0262" w:rsidRDefault="004456B7" w14:paraId="7A28E7F8" w14:textId="77777777">
      <w:pPr>
        <w:suppressAutoHyphens/>
        <w:rPr>
          <w:rFonts w:ascii="Times New Roman" w:hAnsi="Times New Roman"/>
          <w:color w:val="000000" w:themeColor="text1"/>
          <w:spacing w:val="-3"/>
          <w:sz w:val="22"/>
          <w:szCs w:val="22"/>
        </w:rPr>
      </w:pPr>
    </w:p>
    <w:p w:rsidRPr="004251E4" w:rsidR="004456B7" w:rsidP="004456B7" w:rsidRDefault="004456B7" w14:paraId="0E57FE99" w14:textId="77777777">
      <w:pPr>
        <w:rPr>
          <w:rFonts w:ascii="Times New Roman" w:hAnsi="Times New Roman"/>
          <w:bCs/>
          <w:color w:val="000000" w:themeColor="text1"/>
          <w:sz w:val="22"/>
          <w:szCs w:val="22"/>
          <w:u w:val="single"/>
        </w:rPr>
      </w:pPr>
      <w:r w:rsidRPr="004251E4">
        <w:rPr>
          <w:rFonts w:ascii="Times New Roman" w:hAnsi="Times New Roman"/>
          <w:color w:val="000000" w:themeColor="text1"/>
          <w:sz w:val="22"/>
          <w:szCs w:val="22"/>
        </w:rPr>
        <w:t>The 2017 Report and Order modified the existing license application form, FCC Form 2100, to establish a new purpose:  a streamlined, one-step license application for Next Gen TV (ATSC 3.0) service.</w:t>
      </w:r>
      <w:r w:rsidRPr="004251E4">
        <w:rPr>
          <w:rStyle w:val="FootnoteReference"/>
          <w:rFonts w:ascii="Times New Roman" w:hAnsi="Times New Roman"/>
          <w:color w:val="000000" w:themeColor="text1"/>
          <w:szCs w:val="24"/>
        </w:rPr>
        <w:footnoteReference w:id="4"/>
      </w:r>
      <w:r w:rsidRPr="004251E4">
        <w:rPr>
          <w:rFonts w:ascii="Times New Roman" w:hAnsi="Times New Roman"/>
          <w:color w:val="000000" w:themeColor="text1"/>
          <w:szCs w:val="24"/>
        </w:rPr>
        <w:t xml:space="preserve">  </w:t>
      </w:r>
      <w:r w:rsidRPr="004251E4">
        <w:rPr>
          <w:rFonts w:ascii="Times New Roman" w:hAnsi="Times New Roman"/>
          <w:color w:val="000000" w:themeColor="text1"/>
          <w:sz w:val="22"/>
          <w:szCs w:val="22"/>
        </w:rPr>
        <w:t xml:space="preserve">The data elements for the new form purpose and schedules were approved by OMB in July 2018.  The form also includes certain data elements from the existing FCC Form 2100 which apply to all applicants (not just Next Gen TV applicants).  </w:t>
      </w:r>
      <w:r w:rsidRPr="004251E4">
        <w:rPr>
          <w:rFonts w:ascii="Times New Roman" w:hAnsi="Times New Roman"/>
          <w:bCs/>
          <w:color w:val="000000" w:themeColor="text1"/>
          <w:sz w:val="22"/>
          <w:szCs w:val="22"/>
        </w:rPr>
        <w:t xml:space="preserve">On March 12, 2019, the Commission submitted “screen shots” of the final version of FCC Form 2100, Schedules B, D and F under their appropriate OMB control numbers to OMB as a non-substantial change request.  </w:t>
      </w:r>
      <w:r w:rsidRPr="004251E4">
        <w:rPr>
          <w:rFonts w:ascii="Times New Roman" w:hAnsi="Times New Roman"/>
          <w:color w:val="000000" w:themeColor="text1"/>
          <w:sz w:val="22"/>
          <w:szCs w:val="22"/>
        </w:rPr>
        <w:t xml:space="preserve">Although there were wording changes to some questions, there are no substantive changes to the information that is being collected.  OMB approved this non-substantive change on March 28, 2019.  No changes have been made or requested since OMB’s last approval. </w:t>
      </w:r>
      <w:r w:rsidRPr="004251E4">
        <w:rPr>
          <w:rFonts w:ascii="Times New Roman" w:hAnsi="Times New Roman"/>
          <w:bCs/>
          <w:color w:val="000000" w:themeColor="text1"/>
          <w:sz w:val="22"/>
          <w:szCs w:val="22"/>
        </w:rPr>
        <w:t xml:space="preserve"> </w:t>
      </w:r>
      <w:r w:rsidRPr="004251E4">
        <w:rPr>
          <w:rFonts w:ascii="Times New Roman" w:hAnsi="Times New Roman"/>
          <w:bCs/>
          <w:i/>
          <w:color w:val="000000" w:themeColor="text1"/>
          <w:sz w:val="22"/>
          <w:szCs w:val="22"/>
        </w:rPr>
        <w:t>See</w:t>
      </w:r>
      <w:r w:rsidRPr="004251E4">
        <w:rPr>
          <w:rFonts w:ascii="Times New Roman" w:hAnsi="Times New Roman"/>
          <w:bCs/>
          <w:color w:val="000000" w:themeColor="text1"/>
          <w:sz w:val="22"/>
          <w:szCs w:val="22"/>
        </w:rPr>
        <w:t xml:space="preserve"> Schedule B – Full Power License to cover application (OMB control number 3060-0837); Schedule D – LPTV/Translator License to cover application (OMB control number 3060-0017); and Schedule F – Class A License to cover application (OMB control number 3060-0928).  </w:t>
      </w:r>
    </w:p>
    <w:p w:rsidRPr="004251E4" w:rsidR="004456B7" w:rsidP="00A81DCB" w:rsidRDefault="004456B7" w14:paraId="60CEDD77" w14:textId="25CCFEB8">
      <w:pPr>
        <w:suppressAutoHyphens/>
        <w:rPr>
          <w:rFonts w:ascii="Times New Roman" w:hAnsi="Times New Roman"/>
          <w:snapToGrid/>
          <w:color w:val="000000" w:themeColor="text1"/>
          <w:sz w:val="22"/>
          <w:szCs w:val="22"/>
        </w:rPr>
      </w:pPr>
    </w:p>
    <w:p w:rsidRPr="004251E4" w:rsidR="00FC59D2" w:rsidP="00A81DCB" w:rsidRDefault="00FC59D2" w14:paraId="44548FB1" w14:textId="745B946A">
      <w:pPr>
        <w:suppressAutoHyphens/>
        <w:rPr>
          <w:rFonts w:ascii="Times New Roman" w:hAnsi="Times New Roman"/>
          <w:snapToGrid/>
          <w:color w:val="000000" w:themeColor="text1"/>
          <w:sz w:val="22"/>
          <w:szCs w:val="22"/>
        </w:rPr>
      </w:pPr>
      <w:r w:rsidRPr="004251E4">
        <w:rPr>
          <w:rFonts w:ascii="Times New Roman" w:hAnsi="Times New Roman"/>
          <w:snapToGrid/>
          <w:color w:val="000000" w:themeColor="text1"/>
          <w:sz w:val="22"/>
          <w:szCs w:val="22"/>
        </w:rPr>
        <w:t>On June 16, 2020, the Commission released a Second Report and Order and Order on Reconsideration, FCC 20-72, resolving the remaining issues raised in the Further Notice, as well as the petitions for reconsideration of the First Report and Order.  This document did not make any changes to this collection.</w:t>
      </w:r>
    </w:p>
    <w:p w:rsidRPr="004251E4" w:rsidR="00FC59D2" w:rsidP="00A81DCB" w:rsidRDefault="00FC59D2" w14:paraId="155DE057" w14:textId="77777777">
      <w:pPr>
        <w:suppressAutoHyphens/>
        <w:rPr>
          <w:rFonts w:ascii="Times New Roman" w:hAnsi="Times New Roman"/>
          <w:snapToGrid/>
          <w:color w:val="000000" w:themeColor="text1"/>
          <w:sz w:val="22"/>
          <w:szCs w:val="22"/>
        </w:rPr>
      </w:pPr>
    </w:p>
    <w:p w:rsidRPr="004251E4" w:rsidR="009B30A2" w:rsidP="00750966" w:rsidRDefault="00F35D0C" w14:paraId="7B130CAC"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T</w:t>
      </w:r>
      <w:r w:rsidRPr="004251E4" w:rsidR="009B30A2">
        <w:rPr>
          <w:rFonts w:ascii="Times New Roman" w:hAnsi="Times New Roman"/>
          <w:color w:val="000000" w:themeColor="text1"/>
          <w:spacing w:val="-3"/>
          <w:sz w:val="22"/>
          <w:szCs w:val="22"/>
        </w:rPr>
        <w:t>his information collection does not affect individuals or households; thus, there are no impacts under the Privacy Act.</w:t>
      </w:r>
    </w:p>
    <w:p w:rsidRPr="004251E4" w:rsidR="009B30A2" w:rsidP="00750966" w:rsidRDefault="009B30A2" w14:paraId="24DA18A6" w14:textId="77777777">
      <w:pPr>
        <w:suppressAutoHyphens/>
        <w:rPr>
          <w:rFonts w:ascii="Times New Roman" w:hAnsi="Times New Roman"/>
          <w:color w:val="000000" w:themeColor="text1"/>
          <w:spacing w:val="-3"/>
          <w:sz w:val="22"/>
          <w:szCs w:val="22"/>
        </w:rPr>
      </w:pPr>
    </w:p>
    <w:p w:rsidRPr="004251E4" w:rsidR="009B30A2" w:rsidP="00750966" w:rsidRDefault="009B30A2" w14:paraId="5DF05D03"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Statutory authority for this collection of information is contained in </w:t>
      </w:r>
      <w:r w:rsidRPr="004251E4" w:rsidR="000257F6">
        <w:rPr>
          <w:rFonts w:ascii="Times New Roman" w:hAnsi="Times New Roman"/>
          <w:color w:val="000000" w:themeColor="text1"/>
          <w:spacing w:val="-3"/>
          <w:sz w:val="22"/>
          <w:szCs w:val="22"/>
        </w:rPr>
        <w:t xml:space="preserve">Sections 1, 4, 7, 301, 303, 307, 308, 309, 316, 319, 325(b), 336, 338, 399b, 403, 614, and 615 of the Communications Act of 1934, as amended, 47 </w:t>
      </w:r>
      <w:r w:rsidRPr="004251E4" w:rsidR="000257F6">
        <w:rPr>
          <w:rFonts w:ascii="Times New Roman" w:hAnsi="Times New Roman"/>
          <w:color w:val="000000" w:themeColor="text1"/>
          <w:spacing w:val="-3"/>
          <w:sz w:val="22"/>
          <w:szCs w:val="22"/>
        </w:rPr>
        <w:lastRenderedPageBreak/>
        <w:t>U.S.C. §§ 151, 154, 157, 301, 303, 307, 308, 309, 316, 319, 325(b), 336, 338, 399b, 403, 534, and 535</w:t>
      </w:r>
      <w:r w:rsidRPr="004251E4">
        <w:rPr>
          <w:rFonts w:ascii="Times New Roman" w:hAnsi="Times New Roman"/>
          <w:color w:val="000000" w:themeColor="text1"/>
          <w:spacing w:val="-3"/>
          <w:sz w:val="22"/>
          <w:szCs w:val="22"/>
        </w:rPr>
        <w:t>.</w:t>
      </w:r>
    </w:p>
    <w:p w:rsidRPr="004251E4" w:rsidR="00733ACB" w:rsidP="00733ACB" w:rsidRDefault="00733ACB" w14:paraId="692D2B95" w14:textId="77777777">
      <w:pPr>
        <w:suppressAutoHyphens/>
        <w:rPr>
          <w:rFonts w:ascii="Times New Roman" w:hAnsi="Times New Roman"/>
          <w:color w:val="000000" w:themeColor="text1"/>
          <w:spacing w:val="-3"/>
          <w:sz w:val="22"/>
          <w:szCs w:val="22"/>
        </w:rPr>
      </w:pPr>
    </w:p>
    <w:p w:rsidRPr="004251E4" w:rsidR="00733ACB" w:rsidP="00733ACB" w:rsidRDefault="00733ACB" w14:paraId="04EDD7C3"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  </w:t>
      </w:r>
      <w:r w:rsidRPr="004251E4">
        <w:rPr>
          <w:rFonts w:ascii="Times New Roman" w:hAnsi="Times New Roman"/>
          <w:b/>
          <w:color w:val="000000" w:themeColor="text1"/>
          <w:spacing w:val="-3"/>
          <w:sz w:val="22"/>
          <w:szCs w:val="22"/>
        </w:rPr>
        <w:t>Use of Information</w:t>
      </w:r>
      <w:r w:rsidRPr="004251E4">
        <w:rPr>
          <w:rFonts w:ascii="Times New Roman" w:hAnsi="Times New Roman"/>
          <w:color w:val="000000" w:themeColor="text1"/>
          <w:spacing w:val="-3"/>
          <w:sz w:val="22"/>
          <w:szCs w:val="22"/>
        </w:rPr>
        <w:t xml:space="preserve">:  FCC staff will use </w:t>
      </w:r>
      <w:r w:rsidRPr="004251E4" w:rsidR="009A4046">
        <w:rPr>
          <w:rFonts w:ascii="Times New Roman" w:hAnsi="Times New Roman"/>
          <w:color w:val="000000" w:themeColor="text1"/>
          <w:spacing w:val="-3"/>
          <w:sz w:val="22"/>
          <w:szCs w:val="22"/>
        </w:rPr>
        <w:t xml:space="preserve">the </w:t>
      </w:r>
      <w:r w:rsidRPr="004251E4">
        <w:rPr>
          <w:rFonts w:ascii="Times New Roman" w:hAnsi="Times New Roman"/>
          <w:color w:val="000000" w:themeColor="text1"/>
          <w:spacing w:val="-3"/>
          <w:sz w:val="22"/>
          <w:szCs w:val="22"/>
        </w:rPr>
        <w:t>licens</w:t>
      </w:r>
      <w:r w:rsidRPr="004251E4" w:rsidR="006659D2">
        <w:rPr>
          <w:rFonts w:ascii="Times New Roman" w:hAnsi="Times New Roman"/>
          <w:color w:val="000000" w:themeColor="text1"/>
          <w:spacing w:val="-3"/>
          <w:sz w:val="22"/>
          <w:szCs w:val="22"/>
        </w:rPr>
        <w:t>e</w:t>
      </w:r>
      <w:r w:rsidRPr="004251E4">
        <w:rPr>
          <w:rFonts w:ascii="Times New Roman" w:hAnsi="Times New Roman"/>
          <w:color w:val="000000" w:themeColor="text1"/>
          <w:spacing w:val="-3"/>
          <w:sz w:val="22"/>
          <w:szCs w:val="22"/>
        </w:rPr>
        <w:t xml:space="preserve"> application</w:t>
      </w:r>
      <w:r w:rsidRPr="004251E4" w:rsidR="006659D2">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t>
      </w:r>
      <w:r w:rsidRPr="004251E4" w:rsidR="006659D2">
        <w:rPr>
          <w:rFonts w:ascii="Times New Roman" w:hAnsi="Times New Roman"/>
          <w:color w:val="000000" w:themeColor="text1"/>
          <w:spacing w:val="-3"/>
          <w:sz w:val="22"/>
          <w:szCs w:val="22"/>
        </w:rPr>
        <w:t xml:space="preserve">and the local simulcasting agreement (when applicable), </w:t>
      </w:r>
      <w:r w:rsidRPr="004251E4">
        <w:rPr>
          <w:rFonts w:ascii="Times New Roman" w:hAnsi="Times New Roman"/>
          <w:color w:val="000000" w:themeColor="text1"/>
          <w:spacing w:val="-3"/>
          <w:sz w:val="22"/>
          <w:szCs w:val="22"/>
        </w:rPr>
        <w:t xml:space="preserve">to determine compliance with FCC rules and to determine whether the public interest would be served by grant of the application for a Next Gen TV station license.  </w:t>
      </w:r>
      <w:r w:rsidRPr="004251E4" w:rsidR="006659D2">
        <w:rPr>
          <w:rFonts w:ascii="Times New Roman" w:hAnsi="Times New Roman"/>
          <w:color w:val="000000" w:themeColor="text1"/>
          <w:spacing w:val="-3"/>
          <w:sz w:val="22"/>
          <w:szCs w:val="22"/>
        </w:rPr>
        <w:t>Broadcaster o</w:t>
      </w:r>
      <w:r w:rsidRPr="004251E4">
        <w:rPr>
          <w:rFonts w:ascii="Times New Roman" w:hAnsi="Times New Roman"/>
          <w:color w:val="000000" w:themeColor="text1"/>
          <w:spacing w:val="-3"/>
          <w:sz w:val="22"/>
          <w:szCs w:val="22"/>
        </w:rPr>
        <w:t xml:space="preserve">n-air notices to consumers will be used to inform consumers if stations they watch will be changing channels and encouraged to rescan their receivers for new channel assignments.  </w:t>
      </w:r>
      <w:r w:rsidRPr="004251E4" w:rsidR="006659D2">
        <w:rPr>
          <w:rFonts w:ascii="Times New Roman" w:hAnsi="Times New Roman"/>
          <w:color w:val="000000" w:themeColor="text1"/>
          <w:spacing w:val="-3"/>
          <w:sz w:val="22"/>
          <w:szCs w:val="22"/>
        </w:rPr>
        <w:t>Broadcaster n</w:t>
      </w:r>
      <w:r w:rsidRPr="004251E4">
        <w:rPr>
          <w:rFonts w:ascii="Times New Roman" w:hAnsi="Times New Roman"/>
          <w:color w:val="000000" w:themeColor="text1"/>
          <w:spacing w:val="-3"/>
          <w:sz w:val="22"/>
          <w:szCs w:val="22"/>
        </w:rPr>
        <w:t>otices to multichannel video programming distributors (MVPDs) will be used to</w:t>
      </w:r>
      <w:r w:rsidRPr="004251E4" w:rsidR="00636D81">
        <w:rPr>
          <w:color w:val="000000" w:themeColor="text1"/>
        </w:rPr>
        <w:t xml:space="preserve"> </w:t>
      </w:r>
      <w:r w:rsidRPr="004251E4" w:rsidR="00636D81">
        <w:rPr>
          <w:rFonts w:ascii="Times New Roman" w:hAnsi="Times New Roman"/>
          <w:color w:val="000000" w:themeColor="text1"/>
          <w:spacing w:val="-3"/>
          <w:sz w:val="22"/>
          <w:szCs w:val="22"/>
        </w:rPr>
        <w:t>notify MVPDs that carry a Next Gen TV broadcast station about channel changes</w:t>
      </w:r>
      <w:r w:rsidRPr="004251E4" w:rsidR="006659D2">
        <w:rPr>
          <w:rFonts w:ascii="Times New Roman" w:hAnsi="Times New Roman"/>
          <w:color w:val="000000" w:themeColor="text1"/>
          <w:spacing w:val="-3"/>
          <w:sz w:val="22"/>
          <w:szCs w:val="22"/>
        </w:rPr>
        <w:t xml:space="preserve"> and facility information</w:t>
      </w:r>
      <w:r w:rsidRPr="004251E4" w:rsidR="00636D81">
        <w:rPr>
          <w:rFonts w:ascii="Times New Roman" w:hAnsi="Times New Roman"/>
          <w:color w:val="000000" w:themeColor="text1"/>
          <w:spacing w:val="-3"/>
          <w:sz w:val="22"/>
          <w:szCs w:val="22"/>
        </w:rPr>
        <w:t>.</w:t>
      </w:r>
    </w:p>
    <w:p w:rsidRPr="004251E4" w:rsidR="00733ACB" w:rsidP="00733ACB" w:rsidRDefault="00733ACB" w14:paraId="337B0525" w14:textId="77777777">
      <w:pPr>
        <w:suppressAutoHyphens/>
        <w:rPr>
          <w:rFonts w:ascii="Times New Roman" w:hAnsi="Times New Roman"/>
          <w:color w:val="000000" w:themeColor="text1"/>
          <w:spacing w:val="-3"/>
          <w:sz w:val="22"/>
          <w:szCs w:val="22"/>
        </w:rPr>
      </w:pPr>
    </w:p>
    <w:p w:rsidRPr="004251E4" w:rsidR="00733ACB" w:rsidP="00733ACB" w:rsidRDefault="00733ACB" w14:paraId="118123DA"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3.  </w:t>
      </w:r>
      <w:r w:rsidRPr="004251E4">
        <w:rPr>
          <w:rFonts w:ascii="Times New Roman" w:hAnsi="Times New Roman"/>
          <w:b/>
          <w:color w:val="000000" w:themeColor="text1"/>
          <w:spacing w:val="-3"/>
          <w:sz w:val="22"/>
          <w:szCs w:val="22"/>
        </w:rPr>
        <w:t>Consideration Given to Information Technology</w:t>
      </w:r>
      <w:r w:rsidRPr="004251E4">
        <w:rPr>
          <w:rFonts w:ascii="Times New Roman" w:hAnsi="Times New Roman"/>
          <w:color w:val="000000" w:themeColor="text1"/>
          <w:spacing w:val="-3"/>
          <w:sz w:val="22"/>
          <w:szCs w:val="22"/>
        </w:rPr>
        <w:t xml:space="preserve">:  </w:t>
      </w:r>
      <w:r w:rsidRPr="004251E4" w:rsidR="00636D81">
        <w:rPr>
          <w:rFonts w:ascii="Times New Roman" w:hAnsi="Times New Roman"/>
          <w:color w:val="000000" w:themeColor="text1"/>
          <w:spacing w:val="-3"/>
          <w:sz w:val="22"/>
          <w:szCs w:val="22"/>
        </w:rPr>
        <w:t xml:space="preserve">Broadcasters must file </w:t>
      </w:r>
      <w:r w:rsidRPr="004251E4" w:rsidR="00C34F04">
        <w:rPr>
          <w:rFonts w:ascii="Times New Roman" w:hAnsi="Times New Roman"/>
          <w:color w:val="000000" w:themeColor="text1"/>
          <w:spacing w:val="-3"/>
          <w:sz w:val="22"/>
          <w:szCs w:val="22"/>
        </w:rPr>
        <w:t xml:space="preserve">Next Gen TV license applications on </w:t>
      </w:r>
      <w:r w:rsidRPr="004251E4">
        <w:rPr>
          <w:rFonts w:ascii="Times New Roman" w:hAnsi="Times New Roman"/>
          <w:color w:val="000000" w:themeColor="text1"/>
          <w:spacing w:val="-3"/>
          <w:sz w:val="22"/>
          <w:szCs w:val="22"/>
        </w:rPr>
        <w:t>FCC Form 2100</w:t>
      </w:r>
      <w:r w:rsidRPr="004251E4" w:rsidR="00636D81">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electronically through the</w:t>
      </w:r>
      <w:r w:rsidRPr="004251E4" w:rsidR="00636D81">
        <w:rPr>
          <w:rFonts w:ascii="Times New Roman" w:hAnsi="Times New Roman"/>
          <w:color w:val="000000" w:themeColor="text1"/>
          <w:spacing w:val="-3"/>
          <w:sz w:val="22"/>
          <w:szCs w:val="22"/>
        </w:rPr>
        <w:t xml:space="preserve"> Licensing and Management System (LMS)</w:t>
      </w:r>
      <w:r w:rsidRPr="004251E4">
        <w:rPr>
          <w:rFonts w:ascii="Times New Roman" w:hAnsi="Times New Roman"/>
          <w:color w:val="000000" w:themeColor="text1"/>
          <w:spacing w:val="-3"/>
          <w:sz w:val="22"/>
          <w:szCs w:val="22"/>
        </w:rPr>
        <w:t>.</w:t>
      </w:r>
      <w:r w:rsidRPr="004251E4" w:rsidR="00636D81">
        <w:rPr>
          <w:rFonts w:ascii="Times New Roman" w:hAnsi="Times New Roman"/>
          <w:color w:val="000000" w:themeColor="text1"/>
          <w:spacing w:val="-3"/>
          <w:sz w:val="22"/>
          <w:szCs w:val="22"/>
        </w:rPr>
        <w:t xml:space="preserve">  Broadcasters must provide notices to consumers on-air.  Broadcasters may provide notices to MVPDs either by a letter notification or electronically via email if the relevant MVPD agrees to receive such notices by email. </w:t>
      </w:r>
    </w:p>
    <w:p w:rsidRPr="004251E4" w:rsidR="00733ACB" w:rsidP="00733ACB" w:rsidRDefault="00733ACB" w14:paraId="224919A5" w14:textId="77777777">
      <w:pPr>
        <w:suppressAutoHyphens/>
        <w:rPr>
          <w:rFonts w:ascii="Times New Roman" w:hAnsi="Times New Roman"/>
          <w:color w:val="000000" w:themeColor="text1"/>
          <w:spacing w:val="-3"/>
          <w:sz w:val="22"/>
          <w:szCs w:val="22"/>
        </w:rPr>
      </w:pPr>
    </w:p>
    <w:p w:rsidRPr="004251E4" w:rsidR="00733ACB" w:rsidP="00733ACB" w:rsidRDefault="00733ACB" w14:paraId="6969924D"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4.  </w:t>
      </w:r>
      <w:r w:rsidRPr="004251E4">
        <w:rPr>
          <w:rFonts w:ascii="Times New Roman" w:hAnsi="Times New Roman"/>
          <w:b/>
          <w:color w:val="000000" w:themeColor="text1"/>
          <w:spacing w:val="-3"/>
          <w:sz w:val="22"/>
          <w:szCs w:val="22"/>
        </w:rPr>
        <w:t>Effort to Identify Duplication and Use Similar Information</w:t>
      </w:r>
      <w:r w:rsidRPr="004251E4">
        <w:rPr>
          <w:rFonts w:ascii="Times New Roman" w:hAnsi="Times New Roman"/>
          <w:color w:val="000000" w:themeColor="text1"/>
          <w:spacing w:val="-3"/>
          <w:sz w:val="22"/>
          <w:szCs w:val="22"/>
        </w:rPr>
        <w:t xml:space="preserve">:  This agency does not impose a similar information collection on the respondents.  There are no similar data available. </w:t>
      </w:r>
    </w:p>
    <w:p w:rsidRPr="004251E4" w:rsidR="00733ACB" w:rsidP="00733ACB" w:rsidRDefault="00733ACB" w14:paraId="121E7921" w14:textId="77777777">
      <w:pPr>
        <w:suppressAutoHyphens/>
        <w:rPr>
          <w:rFonts w:ascii="Times New Roman" w:hAnsi="Times New Roman"/>
          <w:color w:val="000000" w:themeColor="text1"/>
          <w:spacing w:val="-3"/>
          <w:sz w:val="22"/>
          <w:szCs w:val="22"/>
        </w:rPr>
      </w:pPr>
    </w:p>
    <w:p w:rsidRPr="004251E4" w:rsidR="00733ACB" w:rsidP="00733ACB" w:rsidRDefault="00733ACB" w14:paraId="3619A2B5"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5.  </w:t>
      </w:r>
      <w:r w:rsidRPr="004251E4">
        <w:rPr>
          <w:rFonts w:ascii="Times New Roman" w:hAnsi="Times New Roman"/>
          <w:b/>
          <w:color w:val="000000" w:themeColor="text1"/>
          <w:spacing w:val="-3"/>
          <w:sz w:val="22"/>
          <w:szCs w:val="22"/>
        </w:rPr>
        <w:t>Effort to Reduce Small Business Burden</w:t>
      </w:r>
      <w:r w:rsidRPr="004251E4">
        <w:rPr>
          <w:rFonts w:ascii="Times New Roman" w:hAnsi="Times New Roman"/>
          <w:color w:val="000000" w:themeColor="text1"/>
          <w:spacing w:val="-3"/>
          <w:sz w:val="22"/>
          <w:szCs w:val="22"/>
        </w:rPr>
        <w:t xml:space="preserve">:  </w:t>
      </w:r>
      <w:r w:rsidRPr="004251E4" w:rsidR="00847127">
        <w:rPr>
          <w:rFonts w:ascii="Times New Roman" w:hAnsi="Times New Roman"/>
          <w:color w:val="000000" w:themeColor="text1"/>
          <w:spacing w:val="-3"/>
          <w:sz w:val="22"/>
          <w:szCs w:val="22"/>
        </w:rPr>
        <w:t>T</w:t>
      </w:r>
      <w:r w:rsidRPr="004251E4">
        <w:rPr>
          <w:rFonts w:ascii="Times New Roman" w:hAnsi="Times New Roman"/>
          <w:color w:val="000000" w:themeColor="text1"/>
          <w:spacing w:val="-3"/>
          <w:sz w:val="22"/>
          <w:szCs w:val="22"/>
        </w:rPr>
        <w:t>his information collection will not have a significant economic impact on small entities.</w:t>
      </w:r>
    </w:p>
    <w:p w:rsidRPr="004251E4" w:rsidR="00733ACB" w:rsidP="00733ACB" w:rsidRDefault="00733ACB" w14:paraId="1083CAAE" w14:textId="77777777">
      <w:pPr>
        <w:suppressAutoHyphens/>
        <w:rPr>
          <w:rFonts w:ascii="Times New Roman" w:hAnsi="Times New Roman"/>
          <w:color w:val="000000" w:themeColor="text1"/>
          <w:spacing w:val="-3"/>
          <w:sz w:val="22"/>
          <w:szCs w:val="22"/>
        </w:rPr>
      </w:pPr>
    </w:p>
    <w:p w:rsidRPr="004251E4" w:rsidR="00733ACB" w:rsidP="00733ACB" w:rsidRDefault="00733ACB" w14:paraId="2B032F48"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6.  </w:t>
      </w:r>
      <w:r w:rsidRPr="004251E4">
        <w:rPr>
          <w:rFonts w:ascii="Times New Roman" w:hAnsi="Times New Roman"/>
          <w:b/>
          <w:color w:val="000000" w:themeColor="text1"/>
          <w:spacing w:val="-3"/>
          <w:sz w:val="22"/>
          <w:szCs w:val="22"/>
        </w:rPr>
        <w:t>Less Frequent Data Collection</w:t>
      </w:r>
      <w:r w:rsidRPr="004251E4">
        <w:rPr>
          <w:rFonts w:ascii="Times New Roman" w:hAnsi="Times New Roman"/>
          <w:color w:val="000000" w:themeColor="text1"/>
          <w:spacing w:val="-3"/>
          <w:sz w:val="22"/>
          <w:szCs w:val="22"/>
        </w:rPr>
        <w:t xml:space="preserve">:  </w:t>
      </w:r>
      <w:r w:rsidRPr="004251E4" w:rsidR="00847127">
        <w:rPr>
          <w:rFonts w:ascii="Times New Roman" w:hAnsi="Times New Roman"/>
          <w:color w:val="000000" w:themeColor="text1"/>
          <w:spacing w:val="-3"/>
          <w:sz w:val="22"/>
          <w:szCs w:val="22"/>
        </w:rPr>
        <w:t xml:space="preserve">If this collection of information were not sponsored by the Commission, then broadcasters </w:t>
      </w:r>
      <w:r w:rsidRPr="004251E4" w:rsidR="005D3C57">
        <w:rPr>
          <w:rFonts w:ascii="Times New Roman" w:hAnsi="Times New Roman"/>
          <w:color w:val="000000" w:themeColor="text1"/>
          <w:spacing w:val="-3"/>
          <w:sz w:val="22"/>
          <w:szCs w:val="22"/>
        </w:rPr>
        <w:t>would not have a means to apply to</w:t>
      </w:r>
      <w:r w:rsidRPr="004251E4" w:rsidR="00847127">
        <w:rPr>
          <w:rFonts w:ascii="Times New Roman" w:hAnsi="Times New Roman"/>
          <w:color w:val="000000" w:themeColor="text1"/>
          <w:spacing w:val="-3"/>
          <w:sz w:val="22"/>
          <w:szCs w:val="22"/>
        </w:rPr>
        <w:t xml:space="preserve"> use the Next Gen broadcast TV transmission standard.</w:t>
      </w:r>
      <w:r w:rsidRPr="004251E4" w:rsidR="005D3C57">
        <w:rPr>
          <w:rFonts w:ascii="Times New Roman" w:hAnsi="Times New Roman"/>
          <w:color w:val="000000" w:themeColor="text1"/>
          <w:spacing w:val="-3"/>
          <w:sz w:val="22"/>
          <w:szCs w:val="22"/>
        </w:rPr>
        <w:t xml:space="preserve"> Furthermore, if these information collection requirements were not conducted, the Commission would be unable to fulfill its obligation to ensure that a grant of a Next Gen TV license is in the public interest.  (The frequency for this collection of information is determined by respondents, as necessary.)</w:t>
      </w:r>
    </w:p>
    <w:p w:rsidRPr="004251E4" w:rsidR="00733ACB" w:rsidP="00733ACB" w:rsidRDefault="00733ACB" w14:paraId="3439AE3B" w14:textId="77777777">
      <w:pPr>
        <w:suppressAutoHyphens/>
        <w:rPr>
          <w:rFonts w:ascii="Times New Roman" w:hAnsi="Times New Roman"/>
          <w:color w:val="000000" w:themeColor="text1"/>
          <w:spacing w:val="-3"/>
          <w:sz w:val="22"/>
          <w:szCs w:val="22"/>
        </w:rPr>
      </w:pPr>
    </w:p>
    <w:p w:rsidRPr="004251E4" w:rsidR="00733ACB" w:rsidP="00733ACB" w:rsidRDefault="00733ACB" w14:paraId="23DDD571"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7.  </w:t>
      </w:r>
      <w:r w:rsidRPr="004251E4">
        <w:rPr>
          <w:rFonts w:ascii="Times New Roman" w:hAnsi="Times New Roman"/>
          <w:b/>
          <w:color w:val="000000" w:themeColor="text1"/>
          <w:spacing w:val="-3"/>
          <w:sz w:val="22"/>
          <w:szCs w:val="22"/>
        </w:rPr>
        <w:t>Information Collection Circumstances</w:t>
      </w:r>
      <w:r w:rsidRPr="004251E4">
        <w:rPr>
          <w:rFonts w:ascii="Times New Roman" w:hAnsi="Times New Roman"/>
          <w:color w:val="000000" w:themeColor="text1"/>
          <w:spacing w:val="-3"/>
          <w:sz w:val="22"/>
          <w:szCs w:val="22"/>
        </w:rPr>
        <w:t xml:space="preserve">:  </w:t>
      </w:r>
      <w:r w:rsidRPr="004251E4" w:rsidR="00DB1609">
        <w:rPr>
          <w:rFonts w:ascii="Times New Roman" w:hAnsi="Times New Roman"/>
          <w:color w:val="000000" w:themeColor="text1"/>
          <w:spacing w:val="-3"/>
          <w:sz w:val="22"/>
          <w:szCs w:val="22"/>
        </w:rPr>
        <w:t xml:space="preserve">There are no special circumstances associated with this information collection.  </w:t>
      </w:r>
      <w:r w:rsidRPr="004251E4">
        <w:rPr>
          <w:rFonts w:ascii="Times New Roman" w:hAnsi="Times New Roman"/>
          <w:color w:val="000000" w:themeColor="text1"/>
          <w:spacing w:val="-3"/>
          <w:sz w:val="22"/>
          <w:szCs w:val="22"/>
        </w:rPr>
        <w:t>This collection is consistent with the guidelines in 5 CFR 1320.5(d)(2).</w:t>
      </w:r>
    </w:p>
    <w:p w:rsidRPr="004251E4" w:rsidR="00733ACB" w:rsidP="00733ACB" w:rsidRDefault="00733ACB" w14:paraId="105218E2" w14:textId="77777777">
      <w:pPr>
        <w:suppressAutoHyphens/>
        <w:rPr>
          <w:rFonts w:ascii="Times New Roman" w:hAnsi="Times New Roman"/>
          <w:color w:val="000000" w:themeColor="text1"/>
          <w:spacing w:val="-3"/>
          <w:sz w:val="22"/>
          <w:szCs w:val="22"/>
        </w:rPr>
      </w:pPr>
    </w:p>
    <w:p w:rsidRPr="004251E4" w:rsidR="00733ACB" w:rsidP="00733ACB" w:rsidRDefault="00733ACB" w14:paraId="38915EDC" w14:textId="383B32C4">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8.  </w:t>
      </w:r>
      <w:r w:rsidRPr="004251E4">
        <w:rPr>
          <w:rFonts w:ascii="Times New Roman" w:hAnsi="Times New Roman"/>
          <w:b/>
          <w:color w:val="000000" w:themeColor="text1"/>
          <w:spacing w:val="-3"/>
          <w:sz w:val="22"/>
          <w:szCs w:val="22"/>
        </w:rPr>
        <w:t>Public Comment Period</w:t>
      </w:r>
      <w:r w:rsidRPr="004251E4">
        <w:rPr>
          <w:rFonts w:ascii="Times New Roman" w:hAnsi="Times New Roman"/>
          <w:color w:val="000000" w:themeColor="text1"/>
          <w:spacing w:val="-3"/>
          <w:sz w:val="22"/>
          <w:szCs w:val="22"/>
        </w:rPr>
        <w:t xml:space="preserve">:  The Commission published a Notice </w:t>
      </w:r>
      <w:r w:rsidR="00754997">
        <w:rPr>
          <w:rFonts w:ascii="Times New Roman" w:hAnsi="Times New Roman"/>
          <w:color w:val="000000" w:themeColor="text1"/>
          <w:spacing w:val="-3"/>
          <w:sz w:val="22"/>
          <w:szCs w:val="22"/>
        </w:rPr>
        <w:t>(86 FR 70793)</w:t>
      </w:r>
      <w:r w:rsidRPr="004251E4">
        <w:rPr>
          <w:rFonts w:ascii="Times New Roman" w:hAnsi="Times New Roman"/>
          <w:color w:val="000000" w:themeColor="text1"/>
          <w:spacing w:val="-3"/>
          <w:sz w:val="22"/>
          <w:szCs w:val="22"/>
        </w:rPr>
        <w:t xml:space="preserve"> in the Federal Register on </w:t>
      </w:r>
      <w:r w:rsidR="00754997">
        <w:rPr>
          <w:rFonts w:ascii="Times New Roman" w:hAnsi="Times New Roman"/>
          <w:color w:val="000000" w:themeColor="text1"/>
          <w:spacing w:val="-3"/>
          <w:sz w:val="22"/>
          <w:szCs w:val="22"/>
        </w:rPr>
        <w:t>December 13, 2021</w:t>
      </w:r>
      <w:r w:rsidRPr="004251E4">
        <w:rPr>
          <w:rFonts w:ascii="Times New Roman" w:hAnsi="Times New Roman"/>
          <w:color w:val="000000" w:themeColor="text1"/>
          <w:spacing w:val="-3"/>
          <w:sz w:val="22"/>
          <w:szCs w:val="22"/>
        </w:rPr>
        <w:t>, seeking public comment on the information collection requirements contain</w:t>
      </w:r>
      <w:r w:rsidRPr="004251E4" w:rsidR="000916DA">
        <w:rPr>
          <w:rFonts w:ascii="Times New Roman" w:hAnsi="Times New Roman"/>
          <w:color w:val="000000" w:themeColor="text1"/>
          <w:spacing w:val="-3"/>
          <w:sz w:val="22"/>
          <w:szCs w:val="22"/>
        </w:rPr>
        <w:t>ed in this supporting statement</w:t>
      </w:r>
      <w:r w:rsidRPr="004251E4">
        <w:rPr>
          <w:rFonts w:ascii="Times New Roman" w:hAnsi="Times New Roman"/>
          <w:color w:val="000000" w:themeColor="text1"/>
          <w:spacing w:val="-3"/>
          <w:sz w:val="22"/>
          <w:szCs w:val="22"/>
        </w:rPr>
        <w:t xml:space="preserve">.   </w:t>
      </w:r>
      <w:r w:rsidRPr="004251E4" w:rsidR="002B35FC">
        <w:rPr>
          <w:rFonts w:ascii="Times New Roman" w:hAnsi="Times New Roman"/>
          <w:b/>
          <w:bCs/>
          <w:color w:val="000000" w:themeColor="text1"/>
          <w:spacing w:val="-3"/>
          <w:sz w:val="22"/>
          <w:szCs w:val="22"/>
        </w:rPr>
        <w:t>To date,</w:t>
      </w:r>
      <w:r w:rsidRPr="004251E4" w:rsidR="002B35FC">
        <w:rPr>
          <w:rFonts w:ascii="Times New Roman" w:hAnsi="Times New Roman"/>
          <w:color w:val="000000" w:themeColor="text1"/>
          <w:spacing w:val="-3"/>
          <w:sz w:val="22"/>
          <w:szCs w:val="22"/>
        </w:rPr>
        <w:t xml:space="preserve"> n</w:t>
      </w:r>
      <w:r w:rsidRPr="004251E4">
        <w:rPr>
          <w:rFonts w:ascii="Times New Roman" w:hAnsi="Times New Roman"/>
          <w:color w:val="000000" w:themeColor="text1"/>
          <w:spacing w:val="-3"/>
          <w:sz w:val="22"/>
          <w:szCs w:val="22"/>
        </w:rPr>
        <w:t xml:space="preserve">o comments </w:t>
      </w:r>
      <w:r w:rsidRPr="004251E4" w:rsidR="002B35FC">
        <w:rPr>
          <w:rFonts w:ascii="Times New Roman" w:hAnsi="Times New Roman"/>
          <w:color w:val="000000" w:themeColor="text1"/>
          <w:spacing w:val="-3"/>
          <w:sz w:val="22"/>
          <w:szCs w:val="22"/>
        </w:rPr>
        <w:t xml:space="preserve">on </w:t>
      </w:r>
      <w:r w:rsidRPr="004251E4" w:rsidR="002B35FC">
        <w:rPr>
          <w:rFonts w:ascii="Times New Roman" w:hAnsi="Times New Roman"/>
          <w:b/>
          <w:bCs/>
          <w:color w:val="000000" w:themeColor="text1"/>
          <w:spacing w:val="-3"/>
          <w:sz w:val="22"/>
          <w:szCs w:val="22"/>
        </w:rPr>
        <w:t>the Paperwork Reduction Act (PRA)</w:t>
      </w:r>
      <w:r w:rsidRPr="004251E4" w:rsidR="002B35FC">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were received from the public. </w:t>
      </w:r>
    </w:p>
    <w:p w:rsidRPr="004251E4" w:rsidR="00733ACB" w:rsidP="00733ACB" w:rsidRDefault="00733ACB" w14:paraId="3BF0DFB6"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 </w:t>
      </w:r>
    </w:p>
    <w:p w:rsidRPr="004251E4" w:rsidR="00733ACB" w:rsidP="00733ACB" w:rsidRDefault="00733ACB" w14:paraId="22C30F07"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9.  </w:t>
      </w:r>
      <w:r w:rsidRPr="004251E4">
        <w:rPr>
          <w:rFonts w:ascii="Times New Roman" w:hAnsi="Times New Roman"/>
          <w:b/>
          <w:color w:val="000000" w:themeColor="text1"/>
          <w:spacing w:val="-3"/>
          <w:sz w:val="22"/>
          <w:szCs w:val="22"/>
        </w:rPr>
        <w:t>Payment or Gift</w:t>
      </w:r>
      <w:r w:rsidRPr="004251E4">
        <w:rPr>
          <w:rFonts w:ascii="Times New Roman" w:hAnsi="Times New Roman"/>
          <w:color w:val="000000" w:themeColor="text1"/>
          <w:spacing w:val="-3"/>
          <w:sz w:val="22"/>
          <w:szCs w:val="22"/>
        </w:rPr>
        <w:t>:  No payment or gift was provided to respondents.</w:t>
      </w:r>
    </w:p>
    <w:p w:rsidRPr="004251E4" w:rsidR="00733ACB" w:rsidP="00733ACB" w:rsidRDefault="00733ACB" w14:paraId="30244514" w14:textId="77777777">
      <w:pPr>
        <w:suppressAutoHyphens/>
        <w:rPr>
          <w:rFonts w:ascii="Times New Roman" w:hAnsi="Times New Roman"/>
          <w:color w:val="000000" w:themeColor="text1"/>
          <w:spacing w:val="-3"/>
          <w:sz w:val="22"/>
          <w:szCs w:val="22"/>
        </w:rPr>
      </w:pPr>
    </w:p>
    <w:p w:rsidRPr="004251E4" w:rsidR="00733ACB" w:rsidP="00733ACB" w:rsidRDefault="00733ACB" w14:paraId="7A7AD951"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10.  </w:t>
      </w:r>
      <w:r w:rsidRPr="004251E4">
        <w:rPr>
          <w:rFonts w:ascii="Times New Roman" w:hAnsi="Times New Roman"/>
          <w:b/>
          <w:color w:val="000000" w:themeColor="text1"/>
          <w:spacing w:val="-3"/>
          <w:sz w:val="22"/>
          <w:szCs w:val="22"/>
        </w:rPr>
        <w:t>Confidentiality of Information</w:t>
      </w:r>
      <w:r w:rsidRPr="004251E4">
        <w:rPr>
          <w:rFonts w:ascii="Times New Roman" w:hAnsi="Times New Roman"/>
          <w:color w:val="000000" w:themeColor="text1"/>
          <w:spacing w:val="-3"/>
          <w:sz w:val="22"/>
          <w:szCs w:val="22"/>
        </w:rPr>
        <w:t>: There is some need for confidentiality for t</w:t>
      </w:r>
      <w:r w:rsidRPr="004251E4" w:rsidR="00D5365F">
        <w:rPr>
          <w:rFonts w:ascii="Times New Roman" w:hAnsi="Times New Roman"/>
          <w:color w:val="000000" w:themeColor="text1"/>
          <w:spacing w:val="-3"/>
          <w:sz w:val="22"/>
          <w:szCs w:val="22"/>
        </w:rPr>
        <w:t xml:space="preserve">his collection of information. </w:t>
      </w:r>
      <w:r w:rsidRPr="004251E4">
        <w:rPr>
          <w:rFonts w:ascii="Times New Roman" w:hAnsi="Times New Roman"/>
          <w:color w:val="000000" w:themeColor="text1"/>
          <w:spacing w:val="-3"/>
          <w:sz w:val="22"/>
          <w:szCs w:val="22"/>
        </w:rPr>
        <w:t xml:space="preserve">When </w:t>
      </w:r>
      <w:r w:rsidRPr="004251E4" w:rsidR="00D5365F">
        <w:rPr>
          <w:rFonts w:ascii="Times New Roman" w:hAnsi="Times New Roman"/>
          <w:color w:val="000000" w:themeColor="text1"/>
          <w:spacing w:val="-3"/>
          <w:sz w:val="22"/>
          <w:szCs w:val="22"/>
        </w:rPr>
        <w:t>submitting</w:t>
      </w:r>
      <w:r w:rsidRPr="004251E4">
        <w:rPr>
          <w:rFonts w:ascii="Times New Roman" w:hAnsi="Times New Roman"/>
          <w:color w:val="000000" w:themeColor="text1"/>
          <w:spacing w:val="-3"/>
          <w:sz w:val="22"/>
          <w:szCs w:val="22"/>
        </w:rPr>
        <w:t xml:space="preserve"> a </w:t>
      </w:r>
      <w:r w:rsidRPr="004251E4" w:rsidR="00D5365F">
        <w:rPr>
          <w:rFonts w:ascii="Times New Roman" w:hAnsi="Times New Roman"/>
          <w:color w:val="000000" w:themeColor="text1"/>
          <w:spacing w:val="-3"/>
          <w:sz w:val="22"/>
          <w:szCs w:val="22"/>
        </w:rPr>
        <w:t>local simulcasting</w:t>
      </w:r>
      <w:r w:rsidRPr="004251E4">
        <w:rPr>
          <w:rFonts w:ascii="Times New Roman" w:hAnsi="Times New Roman"/>
          <w:color w:val="000000" w:themeColor="text1"/>
          <w:spacing w:val="-3"/>
          <w:sz w:val="22"/>
          <w:szCs w:val="22"/>
        </w:rPr>
        <w:t xml:space="preserve"> agreement with the agency</w:t>
      </w:r>
      <w:r w:rsidRPr="004251E4" w:rsidR="00D5365F">
        <w:rPr>
          <w:rFonts w:ascii="Times New Roman" w:hAnsi="Times New Roman"/>
          <w:color w:val="000000" w:themeColor="text1"/>
          <w:spacing w:val="-3"/>
          <w:sz w:val="22"/>
          <w:szCs w:val="22"/>
        </w:rPr>
        <w:t xml:space="preserve"> upon request</w:t>
      </w:r>
      <w:r w:rsidRPr="004251E4">
        <w:rPr>
          <w:rFonts w:ascii="Times New Roman" w:hAnsi="Times New Roman"/>
          <w:color w:val="000000" w:themeColor="text1"/>
          <w:spacing w:val="-3"/>
          <w:sz w:val="22"/>
          <w:szCs w:val="22"/>
        </w:rPr>
        <w:t xml:space="preserve">, applicants may redact confidential or proprietary terms. </w:t>
      </w:r>
    </w:p>
    <w:p w:rsidRPr="004251E4" w:rsidR="00733ACB" w:rsidP="00733ACB" w:rsidRDefault="00733ACB" w14:paraId="55EFFC73" w14:textId="77777777">
      <w:pPr>
        <w:suppressAutoHyphens/>
        <w:rPr>
          <w:rFonts w:ascii="Times New Roman" w:hAnsi="Times New Roman"/>
          <w:color w:val="000000" w:themeColor="text1"/>
          <w:spacing w:val="-3"/>
          <w:sz w:val="22"/>
          <w:szCs w:val="22"/>
        </w:rPr>
      </w:pPr>
    </w:p>
    <w:p w:rsidRPr="004251E4" w:rsidR="00733ACB" w:rsidP="00733ACB" w:rsidRDefault="00733ACB" w14:paraId="72B4A3B6"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11.  </w:t>
      </w:r>
      <w:r w:rsidRPr="004251E4">
        <w:rPr>
          <w:rFonts w:ascii="Times New Roman" w:hAnsi="Times New Roman"/>
          <w:b/>
          <w:color w:val="000000" w:themeColor="text1"/>
          <w:spacing w:val="-3"/>
          <w:sz w:val="22"/>
          <w:szCs w:val="22"/>
        </w:rPr>
        <w:t>Justification for Sensitive Questions</w:t>
      </w:r>
      <w:r w:rsidRPr="004251E4">
        <w:rPr>
          <w:rFonts w:ascii="Times New Roman" w:hAnsi="Times New Roman"/>
          <w:color w:val="000000" w:themeColor="text1"/>
          <w:spacing w:val="-3"/>
          <w:sz w:val="22"/>
          <w:szCs w:val="22"/>
        </w:rPr>
        <w:t xml:space="preserve">:  This </w:t>
      </w:r>
      <w:r w:rsidRPr="004251E4" w:rsidR="00D5365F">
        <w:rPr>
          <w:rFonts w:ascii="Times New Roman" w:hAnsi="Times New Roman"/>
          <w:color w:val="000000" w:themeColor="text1"/>
          <w:spacing w:val="-3"/>
          <w:sz w:val="22"/>
          <w:szCs w:val="22"/>
        </w:rPr>
        <w:t>collection does not address matters of a sensitive nature</w:t>
      </w:r>
      <w:r w:rsidRPr="004251E4">
        <w:rPr>
          <w:rFonts w:ascii="Times New Roman" w:hAnsi="Times New Roman"/>
          <w:color w:val="000000" w:themeColor="text1"/>
          <w:spacing w:val="-3"/>
          <w:sz w:val="22"/>
          <w:szCs w:val="22"/>
        </w:rPr>
        <w:t>.</w:t>
      </w:r>
    </w:p>
    <w:p w:rsidRPr="004251E4" w:rsidR="00D5365F" w:rsidP="00733ACB" w:rsidRDefault="00D5365F" w14:paraId="16F97874" w14:textId="77777777">
      <w:pPr>
        <w:suppressAutoHyphens/>
        <w:rPr>
          <w:rFonts w:ascii="Times New Roman" w:hAnsi="Times New Roman"/>
          <w:color w:val="000000" w:themeColor="text1"/>
          <w:spacing w:val="-3"/>
          <w:sz w:val="22"/>
          <w:szCs w:val="22"/>
        </w:rPr>
      </w:pPr>
    </w:p>
    <w:p w:rsidRPr="004251E4" w:rsidR="009B30A2" w:rsidP="00750966" w:rsidRDefault="009B30A2" w14:paraId="7B8EAD03" w14:textId="77777777">
      <w:pPr>
        <w:suppressAutoHyphens/>
        <w:rPr>
          <w:rFonts w:ascii="Times New Roman" w:hAnsi="Times New Roman"/>
          <w:bCs/>
          <w:color w:val="000000" w:themeColor="text1"/>
          <w:spacing w:val="-3"/>
          <w:sz w:val="22"/>
          <w:szCs w:val="22"/>
        </w:rPr>
      </w:pPr>
      <w:r w:rsidRPr="004251E4">
        <w:rPr>
          <w:rFonts w:ascii="Times New Roman" w:hAnsi="Times New Roman"/>
          <w:b/>
          <w:bCs/>
          <w:color w:val="000000" w:themeColor="text1"/>
          <w:spacing w:val="-3"/>
          <w:sz w:val="22"/>
          <w:szCs w:val="22"/>
        </w:rPr>
        <w:t xml:space="preserve">12.  </w:t>
      </w:r>
      <w:r w:rsidRPr="004251E4" w:rsidR="00D5365F">
        <w:rPr>
          <w:rFonts w:ascii="Times New Roman" w:hAnsi="Times New Roman"/>
          <w:b/>
          <w:bCs/>
          <w:color w:val="000000" w:themeColor="text1"/>
          <w:spacing w:val="-3"/>
          <w:sz w:val="22"/>
          <w:szCs w:val="22"/>
        </w:rPr>
        <w:t xml:space="preserve">Burden Estimate.  </w:t>
      </w:r>
      <w:r w:rsidRPr="004251E4" w:rsidR="00D5365F">
        <w:rPr>
          <w:rFonts w:ascii="Times New Roman" w:hAnsi="Times New Roman"/>
          <w:bCs/>
          <w:color w:val="000000" w:themeColor="text1"/>
          <w:spacing w:val="-3"/>
          <w:sz w:val="22"/>
          <w:szCs w:val="22"/>
        </w:rPr>
        <w:t>The estimated burden for this collection of information is as follows:</w:t>
      </w:r>
    </w:p>
    <w:p w:rsidRPr="004251E4" w:rsidR="00AF2D24" w:rsidP="00750966" w:rsidRDefault="00AF2D24" w14:paraId="2B90591B" w14:textId="77777777">
      <w:pPr>
        <w:suppressAutoHyphens/>
        <w:rPr>
          <w:rFonts w:ascii="Times New Roman" w:hAnsi="Times New Roman"/>
          <w:color w:val="000000" w:themeColor="text1"/>
          <w:spacing w:val="-3"/>
          <w:sz w:val="22"/>
          <w:szCs w:val="22"/>
        </w:rPr>
      </w:pPr>
    </w:p>
    <w:p w:rsidRPr="004251E4" w:rsidR="00467FA5" w:rsidP="00467FA5" w:rsidRDefault="00467FA5" w14:paraId="5BB734F4" w14:textId="77777777">
      <w:pPr>
        <w:suppressAutoHyphens/>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Next Gen TV License Applications</w:t>
      </w:r>
    </w:p>
    <w:p w:rsidRPr="004251E4" w:rsidR="0093078E" w:rsidP="00750966" w:rsidRDefault="007F0EEC" w14:paraId="1E774DCF"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Next Gen TV </w:t>
      </w:r>
      <w:r w:rsidRPr="004251E4" w:rsidR="00C00AAE">
        <w:rPr>
          <w:rFonts w:ascii="Times New Roman" w:hAnsi="Times New Roman"/>
          <w:color w:val="000000" w:themeColor="text1"/>
          <w:spacing w:val="-3"/>
          <w:sz w:val="22"/>
          <w:szCs w:val="22"/>
        </w:rPr>
        <w:t xml:space="preserve">service </w:t>
      </w:r>
      <w:r w:rsidRPr="004251E4">
        <w:rPr>
          <w:rFonts w:ascii="Times New Roman" w:hAnsi="Times New Roman"/>
          <w:color w:val="000000" w:themeColor="text1"/>
          <w:spacing w:val="-3"/>
          <w:sz w:val="22"/>
          <w:szCs w:val="22"/>
        </w:rPr>
        <w:t xml:space="preserve">will be deployed </w:t>
      </w:r>
      <w:r w:rsidRPr="004251E4" w:rsidR="00C00AAE">
        <w:rPr>
          <w:rFonts w:ascii="Times New Roman" w:hAnsi="Times New Roman"/>
          <w:color w:val="000000" w:themeColor="text1"/>
          <w:spacing w:val="-3"/>
          <w:sz w:val="22"/>
          <w:szCs w:val="22"/>
        </w:rPr>
        <w:t xml:space="preserve">by broadcast television stations </w:t>
      </w:r>
      <w:r w:rsidRPr="004251E4">
        <w:rPr>
          <w:rFonts w:ascii="Times New Roman" w:hAnsi="Times New Roman"/>
          <w:color w:val="000000" w:themeColor="text1"/>
          <w:spacing w:val="-3"/>
          <w:sz w:val="22"/>
          <w:szCs w:val="22"/>
        </w:rPr>
        <w:t>on a voluntary, market-driven basis</w:t>
      </w:r>
      <w:r w:rsidRPr="004251E4" w:rsidR="00067790">
        <w:rPr>
          <w:rFonts w:ascii="Times New Roman" w:hAnsi="Times New Roman"/>
          <w:color w:val="000000" w:themeColor="text1"/>
          <w:spacing w:val="-3"/>
          <w:sz w:val="22"/>
          <w:szCs w:val="22"/>
        </w:rPr>
        <w:t xml:space="preserve">.  For this reason, </w:t>
      </w:r>
      <w:r w:rsidRPr="004251E4">
        <w:rPr>
          <w:rFonts w:ascii="Times New Roman" w:hAnsi="Times New Roman"/>
          <w:color w:val="000000" w:themeColor="text1"/>
          <w:spacing w:val="-3"/>
          <w:sz w:val="22"/>
          <w:szCs w:val="22"/>
        </w:rPr>
        <w:t xml:space="preserve">it is difficult to predict how many stations will deploy Next Gen TV/ATSC 3.0 service </w:t>
      </w:r>
      <w:r w:rsidRPr="004251E4" w:rsidR="00067790">
        <w:rPr>
          <w:rFonts w:ascii="Times New Roman" w:hAnsi="Times New Roman"/>
          <w:color w:val="000000" w:themeColor="text1"/>
          <w:spacing w:val="-3"/>
          <w:sz w:val="22"/>
          <w:szCs w:val="22"/>
        </w:rPr>
        <w:t>each year</w:t>
      </w:r>
      <w:r w:rsidRPr="004251E4">
        <w:rPr>
          <w:rFonts w:ascii="Times New Roman" w:hAnsi="Times New Roman"/>
          <w:color w:val="000000" w:themeColor="text1"/>
          <w:spacing w:val="-3"/>
          <w:sz w:val="22"/>
          <w:szCs w:val="22"/>
        </w:rPr>
        <w:t>.  Nevertheless, f</w:t>
      </w:r>
      <w:r w:rsidRPr="004251E4" w:rsidR="0093078E">
        <w:rPr>
          <w:rFonts w:ascii="Times New Roman" w:hAnsi="Times New Roman"/>
          <w:color w:val="000000" w:themeColor="text1"/>
          <w:spacing w:val="-3"/>
          <w:sz w:val="22"/>
          <w:szCs w:val="22"/>
        </w:rPr>
        <w:t xml:space="preserve">or purposes of this submission, we estimate that </w:t>
      </w:r>
      <w:r w:rsidRPr="004251E4" w:rsidR="00825C30">
        <w:rPr>
          <w:rFonts w:ascii="Times New Roman" w:hAnsi="Times New Roman"/>
          <w:color w:val="000000" w:themeColor="text1"/>
          <w:spacing w:val="-3"/>
          <w:sz w:val="22"/>
          <w:szCs w:val="22"/>
        </w:rPr>
        <w:t>180</w:t>
      </w:r>
      <w:r w:rsidRPr="004251E4" w:rsidR="00D256C0">
        <w:rPr>
          <w:rFonts w:ascii="Times New Roman" w:hAnsi="Times New Roman"/>
          <w:color w:val="000000" w:themeColor="text1"/>
          <w:spacing w:val="-3"/>
          <w:sz w:val="22"/>
          <w:szCs w:val="22"/>
        </w:rPr>
        <w:t xml:space="preserve"> full-power TV stations, </w:t>
      </w:r>
      <w:r w:rsidRPr="004251E4" w:rsidR="00825C30">
        <w:rPr>
          <w:rFonts w:ascii="Times New Roman" w:hAnsi="Times New Roman"/>
          <w:color w:val="000000" w:themeColor="text1"/>
          <w:spacing w:val="-3"/>
          <w:sz w:val="22"/>
          <w:szCs w:val="22"/>
        </w:rPr>
        <w:t>40</w:t>
      </w:r>
      <w:r w:rsidRPr="004251E4" w:rsidR="00D256C0">
        <w:rPr>
          <w:rFonts w:ascii="Times New Roman" w:hAnsi="Times New Roman"/>
          <w:color w:val="000000" w:themeColor="text1"/>
          <w:spacing w:val="-3"/>
          <w:sz w:val="22"/>
          <w:szCs w:val="22"/>
        </w:rPr>
        <w:t xml:space="preserve"> Class A stations, </w:t>
      </w:r>
      <w:r w:rsidRPr="004251E4" w:rsidR="00825C30">
        <w:rPr>
          <w:rFonts w:ascii="Times New Roman" w:hAnsi="Times New Roman"/>
          <w:color w:val="000000" w:themeColor="text1"/>
          <w:spacing w:val="-3"/>
          <w:sz w:val="22"/>
          <w:szCs w:val="22"/>
        </w:rPr>
        <w:t>200</w:t>
      </w:r>
      <w:r w:rsidRPr="004251E4">
        <w:rPr>
          <w:rFonts w:ascii="Times New Roman" w:hAnsi="Times New Roman"/>
          <w:color w:val="000000" w:themeColor="text1"/>
          <w:spacing w:val="-3"/>
          <w:sz w:val="22"/>
          <w:szCs w:val="22"/>
        </w:rPr>
        <w:t xml:space="preserve"> LPTV stations and </w:t>
      </w:r>
      <w:r w:rsidRPr="004251E4" w:rsidR="00825C30">
        <w:rPr>
          <w:rFonts w:ascii="Times New Roman" w:hAnsi="Times New Roman"/>
          <w:color w:val="000000" w:themeColor="text1"/>
          <w:spacing w:val="-3"/>
          <w:sz w:val="22"/>
          <w:szCs w:val="22"/>
        </w:rPr>
        <w:t>380</w:t>
      </w:r>
      <w:r w:rsidRPr="004251E4">
        <w:rPr>
          <w:rFonts w:ascii="Times New Roman" w:hAnsi="Times New Roman"/>
          <w:color w:val="000000" w:themeColor="text1"/>
          <w:spacing w:val="-3"/>
          <w:sz w:val="22"/>
          <w:szCs w:val="22"/>
        </w:rPr>
        <w:t xml:space="preserve"> TV translator stations</w:t>
      </w:r>
      <w:r w:rsidRPr="004251E4" w:rsidR="00CE4D12">
        <w:rPr>
          <w:rFonts w:ascii="Times New Roman" w:hAnsi="Times New Roman"/>
          <w:color w:val="000000" w:themeColor="text1"/>
          <w:spacing w:val="-3"/>
          <w:sz w:val="22"/>
          <w:szCs w:val="22"/>
        </w:rPr>
        <w:t xml:space="preserve"> will file applications </w:t>
      </w:r>
      <w:r w:rsidRPr="004251E4" w:rsidR="003D1C61">
        <w:rPr>
          <w:rFonts w:ascii="Times New Roman" w:hAnsi="Times New Roman"/>
          <w:color w:val="000000" w:themeColor="text1"/>
          <w:spacing w:val="-3"/>
          <w:sz w:val="22"/>
          <w:szCs w:val="22"/>
        </w:rPr>
        <w:t>each year related to</w:t>
      </w:r>
      <w:r w:rsidRPr="004251E4" w:rsidR="00CE4D12">
        <w:rPr>
          <w:rFonts w:ascii="Times New Roman" w:hAnsi="Times New Roman"/>
          <w:color w:val="000000" w:themeColor="text1"/>
          <w:spacing w:val="-3"/>
          <w:sz w:val="22"/>
          <w:szCs w:val="22"/>
        </w:rPr>
        <w:t xml:space="preserve"> deploy</w:t>
      </w:r>
      <w:r w:rsidRPr="004251E4" w:rsidR="003D1C61">
        <w:rPr>
          <w:rFonts w:ascii="Times New Roman" w:hAnsi="Times New Roman"/>
          <w:color w:val="000000" w:themeColor="text1"/>
          <w:spacing w:val="-3"/>
          <w:sz w:val="22"/>
          <w:szCs w:val="22"/>
        </w:rPr>
        <w:t>ment of</w:t>
      </w:r>
      <w:r w:rsidRPr="004251E4" w:rsidR="00CE4D12">
        <w:rPr>
          <w:rFonts w:ascii="Times New Roman" w:hAnsi="Times New Roman"/>
          <w:color w:val="000000" w:themeColor="text1"/>
          <w:spacing w:val="-3"/>
          <w:sz w:val="22"/>
          <w:szCs w:val="22"/>
        </w:rPr>
        <w:t xml:space="preserve"> Next Gen TV/ATSC 3.0 service</w:t>
      </w:r>
      <w:r w:rsidRPr="004251E4">
        <w:rPr>
          <w:rFonts w:ascii="Times New Roman" w:hAnsi="Times New Roman"/>
          <w:color w:val="000000" w:themeColor="text1"/>
          <w:spacing w:val="-3"/>
          <w:sz w:val="22"/>
          <w:szCs w:val="22"/>
        </w:rPr>
        <w:t>.</w:t>
      </w:r>
      <w:r w:rsidRPr="004251E4">
        <w:rPr>
          <w:rStyle w:val="FootnoteReference"/>
          <w:rFonts w:ascii="Times New Roman" w:hAnsi="Times New Roman"/>
          <w:color w:val="000000" w:themeColor="text1"/>
          <w:spacing w:val="-3"/>
          <w:sz w:val="22"/>
          <w:szCs w:val="22"/>
        </w:rPr>
        <w:footnoteReference w:id="5"/>
      </w:r>
    </w:p>
    <w:p w:rsidRPr="004251E4" w:rsidR="007F0EEC" w:rsidP="00750966" w:rsidRDefault="007F0EEC" w14:paraId="61F0B785" w14:textId="77777777">
      <w:pPr>
        <w:suppressAutoHyphens/>
        <w:rPr>
          <w:rFonts w:ascii="Times New Roman" w:hAnsi="Times New Roman"/>
          <w:color w:val="000000" w:themeColor="text1"/>
          <w:spacing w:val="-3"/>
          <w:sz w:val="22"/>
          <w:szCs w:val="22"/>
        </w:rPr>
      </w:pPr>
    </w:p>
    <w:p w:rsidRPr="004251E4" w:rsidR="00363471" w:rsidP="00CE4D12" w:rsidRDefault="003D1C61" w14:paraId="6ABD416E" w14:textId="50E71921">
      <w:pPr>
        <w:suppressAutoHyphens/>
        <w:rPr>
          <w:rFonts w:ascii="Times New Roman" w:hAnsi="Times New Roman"/>
          <w:b/>
          <w:bCs/>
          <w:color w:val="000000" w:themeColor="text1"/>
          <w:spacing w:val="-3"/>
          <w:sz w:val="22"/>
          <w:szCs w:val="22"/>
        </w:rPr>
      </w:pPr>
      <w:bookmarkStart w:name="_Hlk87973481" w:id="2"/>
      <w:r w:rsidRPr="004251E4">
        <w:rPr>
          <w:rFonts w:ascii="Times New Roman" w:hAnsi="Times New Roman"/>
          <w:color w:val="000000" w:themeColor="text1"/>
          <w:spacing w:val="-3"/>
          <w:sz w:val="22"/>
          <w:szCs w:val="22"/>
        </w:rPr>
        <w:t xml:space="preserve">We estimate that about 50% of Next Gen TV license applications </w:t>
      </w:r>
      <w:r w:rsidRPr="004251E4" w:rsidR="007B09AF">
        <w:rPr>
          <w:rFonts w:ascii="Times New Roman" w:hAnsi="Times New Roman"/>
          <w:color w:val="000000" w:themeColor="text1"/>
          <w:spacing w:val="-3"/>
          <w:sz w:val="22"/>
          <w:szCs w:val="22"/>
        </w:rPr>
        <w:t xml:space="preserve">by full-power and Class A stations </w:t>
      </w:r>
      <w:r w:rsidRPr="004251E4">
        <w:rPr>
          <w:rFonts w:ascii="Times New Roman" w:hAnsi="Times New Roman"/>
          <w:color w:val="000000" w:themeColor="text1"/>
          <w:spacing w:val="-3"/>
          <w:sz w:val="22"/>
          <w:szCs w:val="22"/>
        </w:rPr>
        <w:t>(</w:t>
      </w:r>
      <w:r w:rsidRPr="004251E4">
        <w:rPr>
          <w:rFonts w:ascii="Times New Roman" w:hAnsi="Times New Roman"/>
          <w:i/>
          <w:color w:val="000000" w:themeColor="text1"/>
          <w:spacing w:val="-3"/>
          <w:sz w:val="22"/>
          <w:szCs w:val="22"/>
        </w:rPr>
        <w:t>i.e.</w:t>
      </w:r>
      <w:r w:rsidRPr="004251E4">
        <w:rPr>
          <w:rFonts w:ascii="Times New Roman" w:hAnsi="Times New Roman"/>
          <w:color w:val="000000" w:themeColor="text1"/>
          <w:spacing w:val="-3"/>
          <w:sz w:val="22"/>
          <w:szCs w:val="22"/>
        </w:rPr>
        <w:t xml:space="preserve">, </w:t>
      </w:r>
      <w:r w:rsidRPr="004251E4" w:rsidR="00003BEB">
        <w:rPr>
          <w:rFonts w:ascii="Times New Roman" w:hAnsi="Times New Roman"/>
          <w:color w:val="000000" w:themeColor="text1"/>
          <w:spacing w:val="-3"/>
          <w:sz w:val="22"/>
          <w:szCs w:val="22"/>
        </w:rPr>
        <w:t xml:space="preserve">110 total applications – </w:t>
      </w:r>
      <w:r w:rsidRPr="004251E4" w:rsidR="00C00AAE">
        <w:rPr>
          <w:rFonts w:ascii="Times New Roman" w:hAnsi="Times New Roman"/>
          <w:color w:val="000000" w:themeColor="text1"/>
          <w:spacing w:val="-3"/>
          <w:sz w:val="22"/>
          <w:szCs w:val="22"/>
        </w:rPr>
        <w:t>90</w:t>
      </w:r>
      <w:r w:rsidRPr="004251E4">
        <w:rPr>
          <w:rFonts w:ascii="Times New Roman" w:hAnsi="Times New Roman"/>
          <w:color w:val="000000" w:themeColor="text1"/>
          <w:spacing w:val="-3"/>
          <w:sz w:val="22"/>
          <w:szCs w:val="22"/>
        </w:rPr>
        <w:t xml:space="preserve"> full-power TV stations</w:t>
      </w:r>
      <w:r w:rsidRPr="004251E4" w:rsidR="007B09AF">
        <w:rPr>
          <w:rFonts w:ascii="Times New Roman" w:hAnsi="Times New Roman"/>
          <w:color w:val="000000" w:themeColor="text1"/>
          <w:spacing w:val="-3"/>
          <w:sz w:val="22"/>
          <w:szCs w:val="22"/>
        </w:rPr>
        <w:t xml:space="preserve"> and</w:t>
      </w:r>
      <w:r w:rsidRPr="004251E4">
        <w:rPr>
          <w:rFonts w:ascii="Times New Roman" w:hAnsi="Times New Roman"/>
          <w:color w:val="000000" w:themeColor="text1"/>
          <w:spacing w:val="-3"/>
          <w:sz w:val="22"/>
          <w:szCs w:val="22"/>
        </w:rPr>
        <w:t xml:space="preserve"> </w:t>
      </w:r>
      <w:r w:rsidRPr="004251E4" w:rsidR="00C00AAE">
        <w:rPr>
          <w:rFonts w:ascii="Times New Roman" w:hAnsi="Times New Roman"/>
          <w:color w:val="000000" w:themeColor="text1"/>
          <w:spacing w:val="-3"/>
          <w:sz w:val="22"/>
          <w:szCs w:val="22"/>
        </w:rPr>
        <w:t>20</w:t>
      </w:r>
      <w:r w:rsidRPr="004251E4" w:rsidR="007B09AF">
        <w:rPr>
          <w:rFonts w:ascii="Times New Roman" w:hAnsi="Times New Roman"/>
          <w:color w:val="000000" w:themeColor="text1"/>
          <w:spacing w:val="-3"/>
          <w:sz w:val="22"/>
          <w:szCs w:val="22"/>
        </w:rPr>
        <w:t xml:space="preserve"> Class A stations</w:t>
      </w:r>
      <w:r w:rsidRPr="004251E4">
        <w:rPr>
          <w:rFonts w:ascii="Times New Roman" w:hAnsi="Times New Roman"/>
          <w:color w:val="000000" w:themeColor="text1"/>
          <w:spacing w:val="-3"/>
          <w:sz w:val="22"/>
          <w:szCs w:val="22"/>
        </w:rPr>
        <w:t>)</w:t>
      </w:r>
      <w:r w:rsidRPr="004251E4" w:rsidR="00E26101">
        <w:rPr>
          <w:rStyle w:val="FootnoteReference"/>
          <w:rFonts w:ascii="Times New Roman" w:hAnsi="Times New Roman"/>
          <w:color w:val="000000" w:themeColor="text1"/>
          <w:spacing w:val="-3"/>
          <w:sz w:val="22"/>
          <w:szCs w:val="22"/>
        </w:rPr>
        <w:footnoteReference w:id="6"/>
      </w:r>
      <w:r w:rsidRPr="004251E4">
        <w:rPr>
          <w:rFonts w:ascii="Times New Roman" w:hAnsi="Times New Roman"/>
          <w:color w:val="000000" w:themeColor="text1"/>
          <w:spacing w:val="-3"/>
          <w:sz w:val="22"/>
          <w:szCs w:val="22"/>
        </w:rPr>
        <w:t xml:space="preserve"> will be applications for a 1.0 simulcast license</w:t>
      </w:r>
      <w:r w:rsidRPr="004251E4" w:rsidR="00C00AAE">
        <w:rPr>
          <w:rFonts w:ascii="Times New Roman" w:hAnsi="Times New Roman"/>
          <w:color w:val="000000" w:themeColor="text1"/>
          <w:spacing w:val="-3"/>
          <w:sz w:val="22"/>
          <w:szCs w:val="22"/>
        </w:rPr>
        <w:t xml:space="preserve"> on a host facility</w:t>
      </w:r>
      <w:r w:rsidRPr="004251E4">
        <w:rPr>
          <w:rFonts w:ascii="Times New Roman" w:hAnsi="Times New Roman"/>
          <w:color w:val="000000" w:themeColor="text1"/>
          <w:spacing w:val="-3"/>
          <w:sz w:val="22"/>
          <w:szCs w:val="22"/>
        </w:rPr>
        <w:t>.</w:t>
      </w:r>
      <w:bookmarkEnd w:id="2"/>
      <w:r w:rsidRPr="004251E4" w:rsidR="00C00AAE">
        <w:rPr>
          <w:rStyle w:val="FootnoteReference"/>
          <w:rFonts w:ascii="Times New Roman" w:hAnsi="Times New Roman"/>
          <w:color w:val="000000" w:themeColor="text1"/>
          <w:spacing w:val="-3"/>
          <w:sz w:val="22"/>
          <w:szCs w:val="22"/>
        </w:rPr>
        <w:footnoteReference w:id="7"/>
      </w:r>
      <w:r w:rsidRPr="004251E4">
        <w:rPr>
          <w:rFonts w:ascii="Times New Roman" w:hAnsi="Times New Roman"/>
          <w:color w:val="000000" w:themeColor="text1"/>
          <w:spacing w:val="-3"/>
          <w:sz w:val="22"/>
          <w:szCs w:val="22"/>
        </w:rPr>
        <w:t xml:space="preserve">  </w:t>
      </w:r>
      <w:r w:rsidRPr="004251E4" w:rsidR="00363471">
        <w:rPr>
          <w:rFonts w:ascii="Times New Roman" w:hAnsi="Times New Roman"/>
          <w:color w:val="000000" w:themeColor="text1"/>
          <w:spacing w:val="-3"/>
          <w:sz w:val="22"/>
          <w:szCs w:val="22"/>
        </w:rPr>
        <w:t xml:space="preserve">Applications </w:t>
      </w:r>
      <w:r w:rsidRPr="004251E4" w:rsidR="00CE4D12">
        <w:rPr>
          <w:rFonts w:ascii="Times New Roman" w:hAnsi="Times New Roman"/>
          <w:color w:val="000000" w:themeColor="text1"/>
          <w:spacing w:val="-3"/>
          <w:sz w:val="22"/>
          <w:szCs w:val="22"/>
        </w:rPr>
        <w:t xml:space="preserve">for a 1.0 simulcast license </w:t>
      </w:r>
      <w:r w:rsidRPr="004251E4" w:rsidR="00315D00">
        <w:rPr>
          <w:rFonts w:ascii="Times New Roman" w:hAnsi="Times New Roman"/>
          <w:color w:val="000000" w:themeColor="text1"/>
          <w:spacing w:val="-3"/>
          <w:sz w:val="22"/>
          <w:szCs w:val="22"/>
        </w:rPr>
        <w:t>on a host facility</w:t>
      </w:r>
      <w:r w:rsidRPr="004251E4" w:rsidR="00315D00">
        <w:rPr>
          <w:rStyle w:val="FootnoteReference"/>
          <w:rFonts w:ascii="Times New Roman" w:hAnsi="Times New Roman"/>
          <w:color w:val="000000" w:themeColor="text1"/>
          <w:spacing w:val="-3"/>
          <w:sz w:val="22"/>
          <w:szCs w:val="22"/>
        </w:rPr>
        <w:footnoteReference w:id="8"/>
      </w:r>
      <w:r w:rsidRPr="004251E4" w:rsidR="00315D00">
        <w:rPr>
          <w:rFonts w:ascii="Times New Roman" w:hAnsi="Times New Roman"/>
          <w:color w:val="000000" w:themeColor="text1"/>
          <w:spacing w:val="-3"/>
          <w:sz w:val="22"/>
          <w:szCs w:val="22"/>
        </w:rPr>
        <w:t xml:space="preserve"> </w:t>
      </w:r>
      <w:r w:rsidRPr="004251E4" w:rsidR="00363471">
        <w:rPr>
          <w:rFonts w:ascii="Times New Roman" w:hAnsi="Times New Roman"/>
          <w:color w:val="000000" w:themeColor="text1"/>
          <w:spacing w:val="-3"/>
          <w:sz w:val="22"/>
          <w:szCs w:val="22"/>
        </w:rPr>
        <w:t xml:space="preserve">will be required to </w:t>
      </w:r>
      <w:r w:rsidRPr="004251E4" w:rsidR="00CE4D12">
        <w:rPr>
          <w:rFonts w:ascii="Times New Roman" w:hAnsi="Times New Roman"/>
          <w:color w:val="000000" w:themeColor="text1"/>
          <w:spacing w:val="-3"/>
          <w:sz w:val="22"/>
          <w:szCs w:val="22"/>
        </w:rPr>
        <w:t xml:space="preserve">(1) </w:t>
      </w:r>
      <w:r w:rsidRPr="004251E4" w:rsidR="00363471">
        <w:rPr>
          <w:rFonts w:ascii="Times New Roman" w:hAnsi="Times New Roman"/>
          <w:color w:val="000000" w:themeColor="text1"/>
          <w:spacing w:val="-3"/>
          <w:sz w:val="22"/>
          <w:szCs w:val="22"/>
        </w:rPr>
        <w:t>provide additional information with its license application</w:t>
      </w:r>
      <w:r w:rsidRPr="004251E4">
        <w:rPr>
          <w:rFonts w:ascii="Times New Roman" w:hAnsi="Times New Roman"/>
          <w:color w:val="000000" w:themeColor="text1"/>
          <w:spacing w:val="-3"/>
          <w:sz w:val="22"/>
          <w:szCs w:val="22"/>
        </w:rPr>
        <w:t xml:space="preserve"> showing the extent to which it will maintain existing 1.0 service to its viewers</w:t>
      </w:r>
      <w:r w:rsidRPr="004251E4" w:rsidR="00CE4D12">
        <w:rPr>
          <w:rFonts w:ascii="Times New Roman" w:hAnsi="Times New Roman"/>
          <w:color w:val="000000" w:themeColor="text1"/>
          <w:spacing w:val="-3"/>
          <w:sz w:val="22"/>
          <w:szCs w:val="22"/>
        </w:rPr>
        <w:t>,</w:t>
      </w:r>
      <w:r w:rsidRPr="004251E4" w:rsidR="005C6F18">
        <w:rPr>
          <w:rStyle w:val="FootnoteReference"/>
          <w:rFonts w:ascii="Times New Roman" w:hAnsi="Times New Roman"/>
          <w:color w:val="000000" w:themeColor="text1"/>
          <w:spacing w:val="-3"/>
          <w:sz w:val="22"/>
          <w:szCs w:val="22"/>
        </w:rPr>
        <w:footnoteReference w:id="9"/>
      </w:r>
      <w:r w:rsidRPr="004251E4" w:rsidR="00CE4D12">
        <w:rPr>
          <w:rFonts w:ascii="Times New Roman" w:hAnsi="Times New Roman"/>
          <w:color w:val="000000" w:themeColor="text1"/>
          <w:spacing w:val="-3"/>
          <w:sz w:val="22"/>
          <w:szCs w:val="22"/>
        </w:rPr>
        <w:t xml:space="preserve"> (2) air </w:t>
      </w:r>
      <w:r w:rsidRPr="004251E4" w:rsidR="00931D92">
        <w:rPr>
          <w:rFonts w:ascii="Times New Roman" w:hAnsi="Times New Roman"/>
          <w:color w:val="000000" w:themeColor="text1"/>
          <w:spacing w:val="-3"/>
          <w:sz w:val="22"/>
          <w:szCs w:val="22"/>
        </w:rPr>
        <w:t xml:space="preserve">daily </w:t>
      </w:r>
      <w:r w:rsidRPr="004251E4" w:rsidR="00CE4D12">
        <w:rPr>
          <w:rFonts w:ascii="Times New Roman" w:hAnsi="Times New Roman"/>
          <w:color w:val="000000" w:themeColor="text1"/>
          <w:spacing w:val="-3"/>
          <w:sz w:val="22"/>
          <w:szCs w:val="22"/>
        </w:rPr>
        <w:t xml:space="preserve">consumer education notices </w:t>
      </w:r>
      <w:r w:rsidRPr="004251E4" w:rsidR="00931D92">
        <w:rPr>
          <w:rFonts w:ascii="Times New Roman" w:hAnsi="Times New Roman"/>
          <w:color w:val="000000" w:themeColor="text1"/>
          <w:spacing w:val="-3"/>
          <w:sz w:val="22"/>
          <w:szCs w:val="22"/>
        </w:rPr>
        <w:t>(PSAs or crawls every day for 30 days prior to moving its 1.0 channel)</w:t>
      </w:r>
      <w:r w:rsidRPr="004251E4" w:rsidR="00CE4D12">
        <w:rPr>
          <w:rFonts w:ascii="Times New Roman" w:hAnsi="Times New Roman"/>
          <w:color w:val="000000" w:themeColor="text1"/>
          <w:spacing w:val="-3"/>
          <w:sz w:val="22"/>
          <w:szCs w:val="22"/>
        </w:rPr>
        <w:t xml:space="preserve">, (3) provide notices to MVPDs (that no longer will be required to carry the station’s 1.0 signal due to the move or which currently carry the station’s 1.0 signal from the existing location and will continue to be obligated to carry the station’s 1.0 signal from the new location), and (4) must maintain a copy of </w:t>
      </w:r>
      <w:r w:rsidRPr="004251E4">
        <w:rPr>
          <w:rFonts w:ascii="Times New Roman" w:hAnsi="Times New Roman"/>
          <w:color w:val="000000" w:themeColor="text1"/>
          <w:spacing w:val="-3"/>
          <w:sz w:val="22"/>
          <w:szCs w:val="22"/>
        </w:rPr>
        <w:t>its</w:t>
      </w:r>
      <w:r w:rsidRPr="004251E4" w:rsidR="00CE4D12">
        <w:rPr>
          <w:rFonts w:ascii="Times New Roman" w:hAnsi="Times New Roman"/>
          <w:color w:val="000000" w:themeColor="text1"/>
          <w:spacing w:val="-3"/>
          <w:sz w:val="22"/>
          <w:szCs w:val="22"/>
        </w:rPr>
        <w:t xml:space="preserve"> local simulcasting agreement</w:t>
      </w:r>
      <w:r w:rsidRPr="004251E4">
        <w:rPr>
          <w:rFonts w:ascii="Times New Roman" w:hAnsi="Times New Roman"/>
          <w:color w:val="000000" w:themeColor="text1"/>
          <w:spacing w:val="-3"/>
          <w:sz w:val="22"/>
          <w:szCs w:val="22"/>
        </w:rPr>
        <w:t xml:space="preserve"> with the host</w:t>
      </w:r>
      <w:r w:rsidRPr="004251E4" w:rsidR="00CE4D12">
        <w:rPr>
          <w:rFonts w:ascii="Times New Roman" w:hAnsi="Times New Roman"/>
          <w:color w:val="000000" w:themeColor="text1"/>
          <w:spacing w:val="-3"/>
          <w:sz w:val="22"/>
          <w:szCs w:val="22"/>
        </w:rPr>
        <w:t>.</w:t>
      </w:r>
      <w:r w:rsidRPr="004251E4" w:rsidR="00B46AE9">
        <w:rPr>
          <w:rFonts w:ascii="Times New Roman" w:hAnsi="Times New Roman"/>
          <w:color w:val="000000" w:themeColor="text1"/>
          <w:spacing w:val="-3"/>
          <w:sz w:val="22"/>
          <w:szCs w:val="22"/>
        </w:rPr>
        <w:t xml:space="preserve">  </w:t>
      </w:r>
      <w:r w:rsidRPr="004251E4" w:rsidR="00B46AE9">
        <w:rPr>
          <w:rFonts w:ascii="Times New Roman" w:hAnsi="Times New Roman"/>
          <w:b/>
          <w:bCs/>
          <w:color w:val="000000" w:themeColor="text1"/>
          <w:spacing w:val="-3"/>
          <w:sz w:val="22"/>
          <w:szCs w:val="22"/>
        </w:rPr>
        <w:t>In addition, some of these applications may involve multicast licensing and require additional information in this regard.</w:t>
      </w:r>
    </w:p>
    <w:p w:rsidRPr="004251E4" w:rsidR="007F0EEC" w:rsidP="00750966" w:rsidRDefault="007F0EEC" w14:paraId="79840A2D" w14:textId="77777777">
      <w:pPr>
        <w:suppressAutoHyphens/>
        <w:rPr>
          <w:rFonts w:ascii="Times New Roman" w:hAnsi="Times New Roman"/>
          <w:color w:val="000000" w:themeColor="text1"/>
          <w:spacing w:val="-3"/>
          <w:sz w:val="22"/>
          <w:szCs w:val="22"/>
        </w:rPr>
      </w:pPr>
    </w:p>
    <w:p w:rsidRPr="004251E4" w:rsidR="00003BEB" w:rsidP="007F0EEC" w:rsidRDefault="009A56A2" w14:paraId="59874BCB"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We estimate that </w:t>
      </w:r>
      <w:bookmarkStart w:name="_Hlk87973597" w:id="3"/>
      <w:r w:rsidRPr="004251E4">
        <w:rPr>
          <w:rFonts w:ascii="Times New Roman" w:hAnsi="Times New Roman"/>
          <w:color w:val="000000" w:themeColor="text1"/>
          <w:spacing w:val="-3"/>
          <w:sz w:val="22"/>
          <w:szCs w:val="22"/>
        </w:rPr>
        <w:t xml:space="preserve">90% </w:t>
      </w:r>
      <w:r w:rsidRPr="004251E4" w:rsidR="00D26329">
        <w:rPr>
          <w:rFonts w:ascii="Times New Roman" w:hAnsi="Times New Roman"/>
          <w:color w:val="000000" w:themeColor="text1"/>
          <w:spacing w:val="-3"/>
          <w:sz w:val="22"/>
          <w:szCs w:val="22"/>
        </w:rPr>
        <w:t xml:space="preserve">of Next Gen TV license applications </w:t>
      </w:r>
      <w:r w:rsidRPr="004251E4" w:rsidR="00003BEB">
        <w:rPr>
          <w:rFonts w:ascii="Times New Roman" w:hAnsi="Times New Roman"/>
          <w:color w:val="000000" w:themeColor="text1"/>
          <w:spacing w:val="-3"/>
          <w:sz w:val="22"/>
          <w:szCs w:val="22"/>
        </w:rPr>
        <w:t xml:space="preserve">filed </w:t>
      </w:r>
      <w:r w:rsidRPr="004251E4" w:rsidR="00D26329">
        <w:rPr>
          <w:rFonts w:ascii="Times New Roman" w:hAnsi="Times New Roman"/>
          <w:color w:val="000000" w:themeColor="text1"/>
          <w:spacing w:val="-3"/>
          <w:sz w:val="22"/>
          <w:szCs w:val="22"/>
        </w:rPr>
        <w:t xml:space="preserve">by full-power and Class A stations </w:t>
      </w:r>
      <w:r w:rsidRPr="004251E4" w:rsidR="00315D00">
        <w:rPr>
          <w:rFonts w:ascii="Times New Roman" w:hAnsi="Times New Roman"/>
          <w:color w:val="000000" w:themeColor="text1"/>
          <w:spacing w:val="-3"/>
          <w:sz w:val="22"/>
          <w:szCs w:val="22"/>
        </w:rPr>
        <w:t>(</w:t>
      </w:r>
      <w:r w:rsidRPr="004251E4" w:rsidR="00D26329">
        <w:rPr>
          <w:rFonts w:ascii="Times New Roman" w:hAnsi="Times New Roman"/>
          <w:color w:val="000000" w:themeColor="text1"/>
          <w:spacing w:val="-3"/>
          <w:sz w:val="22"/>
          <w:szCs w:val="22"/>
        </w:rPr>
        <w:t>99 of 110 applications</w:t>
      </w:r>
      <w:r w:rsidRPr="004251E4" w:rsidR="00315D00">
        <w:rPr>
          <w:rFonts w:ascii="Times New Roman" w:hAnsi="Times New Roman"/>
          <w:color w:val="000000" w:themeColor="text1"/>
          <w:spacing w:val="-3"/>
          <w:sz w:val="22"/>
          <w:szCs w:val="22"/>
        </w:rPr>
        <w:t xml:space="preserve">) will be filed with the assistance of outside attorneys and engineering consultants.  </w:t>
      </w:r>
      <w:bookmarkEnd w:id="3"/>
      <w:r w:rsidRPr="004251E4" w:rsidR="00467FA5">
        <w:rPr>
          <w:rFonts w:ascii="Times New Roman" w:hAnsi="Times New Roman"/>
          <w:color w:val="000000" w:themeColor="text1"/>
          <w:spacing w:val="-3"/>
          <w:sz w:val="22"/>
          <w:szCs w:val="22"/>
        </w:rPr>
        <w:t xml:space="preserve">The station </w:t>
      </w:r>
      <w:r w:rsidRPr="004251E4">
        <w:rPr>
          <w:rFonts w:ascii="Times New Roman" w:hAnsi="Times New Roman"/>
          <w:color w:val="000000" w:themeColor="text1"/>
          <w:spacing w:val="-3"/>
          <w:sz w:val="22"/>
          <w:szCs w:val="22"/>
        </w:rPr>
        <w:t xml:space="preserve">will </w:t>
      </w:r>
      <w:r w:rsidRPr="004251E4" w:rsidR="00467FA5">
        <w:rPr>
          <w:rFonts w:ascii="Times New Roman" w:hAnsi="Times New Roman"/>
          <w:color w:val="000000" w:themeColor="text1"/>
          <w:spacing w:val="-3"/>
          <w:sz w:val="22"/>
          <w:szCs w:val="22"/>
        </w:rPr>
        <w:t xml:space="preserve">require one (1) hour of consultation with </w:t>
      </w:r>
      <w:r w:rsidRPr="004251E4" w:rsidR="00EF45FD">
        <w:rPr>
          <w:rFonts w:ascii="Times New Roman" w:hAnsi="Times New Roman"/>
          <w:color w:val="000000" w:themeColor="text1"/>
          <w:spacing w:val="-3"/>
          <w:sz w:val="22"/>
          <w:szCs w:val="22"/>
        </w:rPr>
        <w:t xml:space="preserve">each of </w:t>
      </w:r>
      <w:r w:rsidRPr="004251E4" w:rsidR="00467FA5">
        <w:rPr>
          <w:rFonts w:ascii="Times New Roman" w:hAnsi="Times New Roman"/>
          <w:color w:val="000000" w:themeColor="text1"/>
          <w:spacing w:val="-3"/>
          <w:sz w:val="22"/>
          <w:szCs w:val="22"/>
        </w:rPr>
        <w:t>these outside parties</w:t>
      </w:r>
      <w:r w:rsidRPr="004251E4" w:rsidR="00EF45FD">
        <w:rPr>
          <w:rFonts w:ascii="Times New Roman" w:hAnsi="Times New Roman"/>
          <w:color w:val="000000" w:themeColor="text1"/>
          <w:spacing w:val="-3"/>
          <w:sz w:val="22"/>
          <w:szCs w:val="22"/>
        </w:rPr>
        <w:t xml:space="preserve">.  The other 10% of these applications </w:t>
      </w:r>
      <w:r w:rsidRPr="004251E4" w:rsidR="00D26329">
        <w:rPr>
          <w:rFonts w:ascii="Times New Roman" w:hAnsi="Times New Roman"/>
          <w:color w:val="000000" w:themeColor="text1"/>
          <w:spacing w:val="-3"/>
          <w:sz w:val="22"/>
          <w:szCs w:val="22"/>
        </w:rPr>
        <w:t xml:space="preserve">(11 applications) </w:t>
      </w:r>
      <w:r w:rsidRPr="004251E4" w:rsidR="00EF45FD">
        <w:rPr>
          <w:rFonts w:ascii="Times New Roman" w:hAnsi="Times New Roman"/>
          <w:color w:val="000000" w:themeColor="text1"/>
          <w:spacing w:val="-3"/>
          <w:sz w:val="22"/>
          <w:szCs w:val="22"/>
        </w:rPr>
        <w:t xml:space="preserve">will </w:t>
      </w:r>
      <w:r w:rsidRPr="004251E4">
        <w:rPr>
          <w:rFonts w:ascii="Times New Roman" w:hAnsi="Times New Roman"/>
          <w:color w:val="000000" w:themeColor="text1"/>
          <w:spacing w:val="-3"/>
          <w:sz w:val="22"/>
          <w:szCs w:val="22"/>
        </w:rPr>
        <w:t xml:space="preserve">be made by the station without outside consultation and will require </w:t>
      </w:r>
      <w:r w:rsidRPr="004251E4" w:rsidR="000D57F3">
        <w:rPr>
          <w:rFonts w:ascii="Times New Roman" w:hAnsi="Times New Roman"/>
          <w:color w:val="000000" w:themeColor="text1"/>
          <w:spacing w:val="-3"/>
          <w:sz w:val="22"/>
          <w:szCs w:val="22"/>
        </w:rPr>
        <w:t>8</w:t>
      </w:r>
      <w:r w:rsidRPr="004251E4">
        <w:rPr>
          <w:rFonts w:ascii="Times New Roman" w:hAnsi="Times New Roman"/>
          <w:color w:val="000000" w:themeColor="text1"/>
          <w:spacing w:val="-3"/>
          <w:sz w:val="22"/>
          <w:szCs w:val="22"/>
        </w:rPr>
        <w:t xml:space="preserve"> hours </w:t>
      </w:r>
      <w:r w:rsidRPr="004251E4" w:rsidR="00D26329">
        <w:rPr>
          <w:rFonts w:ascii="Times New Roman" w:hAnsi="Times New Roman"/>
          <w:color w:val="000000" w:themeColor="text1"/>
          <w:spacing w:val="-3"/>
          <w:sz w:val="22"/>
          <w:szCs w:val="22"/>
        </w:rPr>
        <w:t xml:space="preserve">of </w:t>
      </w:r>
      <w:r w:rsidRPr="004251E4">
        <w:rPr>
          <w:rFonts w:ascii="Times New Roman" w:hAnsi="Times New Roman"/>
          <w:color w:val="000000" w:themeColor="text1"/>
          <w:spacing w:val="-3"/>
          <w:sz w:val="22"/>
          <w:szCs w:val="22"/>
        </w:rPr>
        <w:t>preparation.</w:t>
      </w:r>
      <w:r w:rsidRPr="004251E4" w:rsidR="00003BEB">
        <w:rPr>
          <w:rFonts w:ascii="Times New Roman" w:hAnsi="Times New Roman"/>
          <w:color w:val="000000" w:themeColor="text1"/>
          <w:spacing w:val="-3"/>
          <w:sz w:val="22"/>
          <w:szCs w:val="22"/>
        </w:rPr>
        <w:t xml:space="preserve">  [99 applications x 2 hours legal/engineering consult = 198 hours] &amp; [11 applications x </w:t>
      </w:r>
      <w:r w:rsidRPr="004251E4" w:rsidR="000D57F3">
        <w:rPr>
          <w:rFonts w:ascii="Times New Roman" w:hAnsi="Times New Roman"/>
          <w:color w:val="000000" w:themeColor="text1"/>
          <w:spacing w:val="-3"/>
          <w:sz w:val="22"/>
          <w:szCs w:val="22"/>
        </w:rPr>
        <w:t>8</w:t>
      </w:r>
      <w:r w:rsidRPr="004251E4" w:rsidR="00003BEB">
        <w:rPr>
          <w:rFonts w:ascii="Times New Roman" w:hAnsi="Times New Roman"/>
          <w:color w:val="000000" w:themeColor="text1"/>
          <w:spacing w:val="-3"/>
          <w:sz w:val="22"/>
          <w:szCs w:val="22"/>
        </w:rPr>
        <w:t xml:space="preserve"> hours = </w:t>
      </w:r>
      <w:r w:rsidRPr="004251E4" w:rsidR="000D57F3">
        <w:rPr>
          <w:rFonts w:ascii="Times New Roman" w:hAnsi="Times New Roman"/>
          <w:color w:val="000000" w:themeColor="text1"/>
          <w:spacing w:val="-3"/>
          <w:sz w:val="22"/>
          <w:szCs w:val="22"/>
        </w:rPr>
        <w:t>88</w:t>
      </w:r>
      <w:r w:rsidRPr="004251E4" w:rsidR="00003BEB">
        <w:rPr>
          <w:rFonts w:ascii="Times New Roman" w:hAnsi="Times New Roman"/>
          <w:color w:val="000000" w:themeColor="text1"/>
          <w:spacing w:val="-3"/>
          <w:sz w:val="22"/>
          <w:szCs w:val="22"/>
        </w:rPr>
        <w:t xml:space="preserve"> hours]</w:t>
      </w:r>
      <w:r w:rsidRPr="004251E4" w:rsidR="005B3173">
        <w:rPr>
          <w:rFonts w:ascii="Times New Roman" w:hAnsi="Times New Roman"/>
          <w:color w:val="000000" w:themeColor="text1"/>
          <w:spacing w:val="-3"/>
          <w:sz w:val="22"/>
          <w:szCs w:val="22"/>
        </w:rPr>
        <w:t xml:space="preserve"> </w:t>
      </w:r>
    </w:p>
    <w:p w:rsidRPr="004251E4" w:rsidR="00003BEB" w:rsidP="007F0EEC" w:rsidRDefault="00003BEB" w14:paraId="367396DE" w14:textId="48712486">
      <w:pPr>
        <w:suppressAutoHyphens/>
        <w:rPr>
          <w:rFonts w:ascii="Times New Roman" w:hAnsi="Times New Roman"/>
          <w:color w:val="000000" w:themeColor="text1"/>
          <w:spacing w:val="-3"/>
          <w:sz w:val="22"/>
          <w:szCs w:val="22"/>
        </w:rPr>
      </w:pPr>
    </w:p>
    <w:p w:rsidRPr="004251E4" w:rsidR="00B46AE9" w:rsidP="00B46AE9" w:rsidRDefault="00B46AE9" w14:paraId="466C1CB8" w14:textId="1484C9F3">
      <w:pPr>
        <w:suppressAutoHyphens/>
        <w:rPr>
          <w:rFonts w:ascii="Times New Roman" w:hAnsi="Times New Roman"/>
          <w:color w:val="000000" w:themeColor="text1"/>
          <w:spacing w:val="-3"/>
          <w:sz w:val="22"/>
          <w:szCs w:val="22"/>
        </w:rPr>
      </w:pPr>
      <w:r w:rsidRPr="004251E4">
        <w:rPr>
          <w:rFonts w:ascii="Times New Roman" w:hAnsi="Times New Roman"/>
          <w:b/>
          <w:bCs/>
          <w:color w:val="000000" w:themeColor="text1"/>
          <w:spacing w:val="-3"/>
          <w:sz w:val="22"/>
          <w:szCs w:val="22"/>
          <w:u w:val="single"/>
        </w:rPr>
        <w:t>Added Burden Estimate</w:t>
      </w:r>
      <w:r w:rsidRPr="004251E4">
        <w:rPr>
          <w:rFonts w:ascii="Times New Roman" w:hAnsi="Times New Roman"/>
          <w:color w:val="000000" w:themeColor="text1"/>
          <w:spacing w:val="-3"/>
          <w:sz w:val="22"/>
          <w:szCs w:val="22"/>
        </w:rPr>
        <w:t xml:space="preserve">:  We estimate that of the 99 applications (filed with the assistance of outside attorneys and engineering consultants), about 66% of these applications </w:t>
      </w:r>
      <w:r w:rsidRPr="004251E4" w:rsidR="00975630">
        <w:rPr>
          <w:rFonts w:ascii="Times New Roman" w:hAnsi="Times New Roman"/>
          <w:color w:val="000000" w:themeColor="text1"/>
          <w:spacing w:val="-3"/>
          <w:sz w:val="22"/>
          <w:szCs w:val="22"/>
        </w:rPr>
        <w:t>(i.e.,</w:t>
      </w:r>
      <w:r w:rsidRPr="004251E4">
        <w:rPr>
          <w:rFonts w:ascii="Times New Roman" w:hAnsi="Times New Roman"/>
          <w:color w:val="000000" w:themeColor="text1"/>
          <w:spacing w:val="-3"/>
          <w:sz w:val="22"/>
          <w:szCs w:val="22"/>
        </w:rPr>
        <w:t xml:space="preserve"> 66 applications</w:t>
      </w:r>
      <w:r w:rsidRPr="004251E4" w:rsidR="00975630">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will involve multicast licensing and that such applications will require an additional 1 hour of consult time</w:t>
      </w:r>
      <w:r w:rsidRPr="004251E4" w:rsidR="0097289C">
        <w:rPr>
          <w:rFonts w:ascii="Times New Roman" w:hAnsi="Times New Roman"/>
          <w:color w:val="000000" w:themeColor="text1"/>
          <w:spacing w:val="-3"/>
          <w:sz w:val="22"/>
          <w:szCs w:val="22"/>
        </w:rPr>
        <w:t xml:space="preserve"> (for both legal </w:t>
      </w:r>
      <w:r w:rsidRPr="004251E4" w:rsidR="0097289C">
        <w:rPr>
          <w:rFonts w:ascii="Times New Roman" w:hAnsi="Times New Roman"/>
          <w:color w:val="000000" w:themeColor="text1"/>
          <w:spacing w:val="-3"/>
          <w:sz w:val="22"/>
          <w:szCs w:val="22"/>
        </w:rPr>
        <w:lastRenderedPageBreak/>
        <w:t>and engineering)</w:t>
      </w:r>
      <w:r w:rsidRPr="004251E4">
        <w:rPr>
          <w:rFonts w:ascii="Times New Roman" w:hAnsi="Times New Roman"/>
          <w:color w:val="000000" w:themeColor="text1"/>
          <w:spacing w:val="-3"/>
          <w:sz w:val="22"/>
          <w:szCs w:val="22"/>
        </w:rPr>
        <w:t xml:space="preserve">.  </w:t>
      </w:r>
      <w:r w:rsidRPr="004251E4" w:rsidR="00975630">
        <w:rPr>
          <w:rFonts w:ascii="Times New Roman" w:hAnsi="Times New Roman"/>
          <w:color w:val="000000" w:themeColor="text1"/>
          <w:spacing w:val="-3"/>
          <w:sz w:val="22"/>
          <w:szCs w:val="22"/>
        </w:rPr>
        <w:t xml:space="preserve">We estimate that of </w:t>
      </w:r>
      <w:r w:rsidRPr="004251E4">
        <w:rPr>
          <w:rFonts w:ascii="Times New Roman" w:hAnsi="Times New Roman"/>
          <w:color w:val="000000" w:themeColor="text1"/>
          <w:spacing w:val="-3"/>
          <w:sz w:val="22"/>
          <w:szCs w:val="22"/>
        </w:rPr>
        <w:t>the other 11 applications (filed without lawyer/engineering consult), about half or 6 applications will involve multicast licensing and that such applications will require an additional 2 hours of time. [66 applications x 1 hour legal/engineering consult = 66 hours] &amp; [6 applications x 2 hours = 12 hours]</w:t>
      </w:r>
      <w:r w:rsidRPr="004251E4" w:rsidR="00975630">
        <w:rPr>
          <w:rFonts w:ascii="Times New Roman" w:hAnsi="Times New Roman"/>
          <w:color w:val="000000" w:themeColor="text1"/>
          <w:spacing w:val="-3"/>
          <w:sz w:val="22"/>
          <w:szCs w:val="22"/>
        </w:rPr>
        <w:t xml:space="preserve"> [78 hours x $48.08/hour = $3,750.24 added burden</w:t>
      </w:r>
      <w:r w:rsidRPr="004251E4" w:rsidR="00975630">
        <w:rPr>
          <w:rFonts w:ascii="Times New Roman" w:hAnsi="Times New Roman"/>
          <w:b/>
          <w:bCs/>
          <w:color w:val="000000" w:themeColor="text1"/>
          <w:spacing w:val="-3"/>
          <w:sz w:val="22"/>
          <w:szCs w:val="22"/>
        </w:rPr>
        <w:t>]</w:t>
      </w:r>
      <w:r w:rsidRPr="004251E4" w:rsidR="00661B77">
        <w:rPr>
          <w:rFonts w:ascii="Times New Roman" w:hAnsi="Times New Roman"/>
          <w:b/>
          <w:bCs/>
          <w:color w:val="000000" w:themeColor="text1"/>
          <w:spacing w:val="-3"/>
          <w:sz w:val="22"/>
          <w:szCs w:val="22"/>
        </w:rPr>
        <w:t xml:space="preserve">  This represents added burden to the existing filers and does not add new filers/respondents.</w:t>
      </w:r>
    </w:p>
    <w:p w:rsidRPr="004251E4" w:rsidR="00B46AE9" w:rsidP="00B46AE9" w:rsidRDefault="00B46AE9" w14:paraId="3C968979" w14:textId="1237B15C">
      <w:pPr>
        <w:suppressAutoHyphens/>
        <w:rPr>
          <w:rFonts w:ascii="Times New Roman" w:hAnsi="Times New Roman"/>
          <w:color w:val="000000" w:themeColor="text1"/>
          <w:spacing w:val="-3"/>
          <w:sz w:val="22"/>
          <w:szCs w:val="22"/>
        </w:rPr>
      </w:pPr>
    </w:p>
    <w:p w:rsidRPr="004251E4" w:rsidR="00661B77" w:rsidP="00B46AE9" w:rsidRDefault="0097289C" w14:paraId="7D9BC9F8" w14:textId="040A9A01">
      <w:pPr>
        <w:suppressAutoHyphens/>
        <w:rPr>
          <w:rFonts w:ascii="Times New Roman" w:hAnsi="Times New Roman"/>
          <w:color w:val="000000" w:themeColor="text1"/>
          <w:spacing w:val="-3"/>
          <w:sz w:val="22"/>
          <w:szCs w:val="22"/>
        </w:rPr>
      </w:pPr>
      <w:r w:rsidRPr="004251E4">
        <w:rPr>
          <w:rFonts w:ascii="Times New Roman" w:hAnsi="Times New Roman"/>
          <w:b/>
          <w:bCs/>
          <w:color w:val="000000" w:themeColor="text1"/>
          <w:spacing w:val="-3"/>
          <w:sz w:val="22"/>
          <w:szCs w:val="22"/>
        </w:rPr>
        <w:t>New Filers</w:t>
      </w:r>
      <w:r w:rsidRPr="004251E4">
        <w:rPr>
          <w:rFonts w:ascii="Times New Roman" w:hAnsi="Times New Roman"/>
          <w:color w:val="000000" w:themeColor="text1"/>
          <w:spacing w:val="-3"/>
          <w:sz w:val="22"/>
          <w:szCs w:val="22"/>
        </w:rPr>
        <w:t xml:space="preserve"> (</w:t>
      </w:r>
      <w:r w:rsidRPr="004251E4">
        <w:rPr>
          <w:rFonts w:ascii="Times New Roman" w:hAnsi="Times New Roman"/>
          <w:i/>
          <w:iCs/>
          <w:color w:val="000000" w:themeColor="text1"/>
          <w:spacing w:val="-3"/>
          <w:sz w:val="22"/>
          <w:szCs w:val="22"/>
        </w:rPr>
        <w:t>multicast licensing only</w:t>
      </w:r>
      <w:r w:rsidRPr="004251E4">
        <w:rPr>
          <w:rFonts w:ascii="Times New Roman" w:hAnsi="Times New Roman"/>
          <w:color w:val="000000" w:themeColor="text1"/>
          <w:spacing w:val="-3"/>
          <w:sz w:val="22"/>
          <w:szCs w:val="22"/>
        </w:rPr>
        <w:t xml:space="preserve">): </w:t>
      </w:r>
      <w:r w:rsidRPr="004251E4" w:rsidR="00661B77">
        <w:rPr>
          <w:rFonts w:ascii="Times New Roman" w:hAnsi="Times New Roman"/>
          <w:color w:val="000000" w:themeColor="text1"/>
          <w:spacing w:val="-3"/>
          <w:sz w:val="22"/>
          <w:szCs w:val="22"/>
        </w:rPr>
        <w:t xml:space="preserve">We estimate that </w:t>
      </w:r>
      <w:r w:rsidRPr="004251E4">
        <w:rPr>
          <w:rFonts w:ascii="Times New Roman" w:hAnsi="Times New Roman"/>
          <w:color w:val="000000" w:themeColor="text1"/>
          <w:spacing w:val="-3"/>
          <w:sz w:val="22"/>
          <w:szCs w:val="22"/>
        </w:rPr>
        <w:t>20 new applications (filers/respondents) will be filed that relate only to multicast licensing.</w:t>
      </w:r>
      <w:r w:rsidRPr="004251E4">
        <w:rPr>
          <w:rStyle w:val="FootnoteReference"/>
          <w:rFonts w:ascii="Times New Roman" w:hAnsi="Times New Roman"/>
          <w:color w:val="000000" w:themeColor="text1"/>
          <w:spacing w:val="-3"/>
          <w:sz w:val="22"/>
          <w:szCs w:val="22"/>
        </w:rPr>
        <w:footnoteReference w:id="10"/>
      </w:r>
      <w:r w:rsidRPr="004251E4">
        <w:rPr>
          <w:rFonts w:ascii="Times New Roman" w:hAnsi="Times New Roman"/>
          <w:color w:val="000000" w:themeColor="text1"/>
          <w:spacing w:val="-3"/>
          <w:sz w:val="22"/>
          <w:szCs w:val="22"/>
        </w:rPr>
        <w:t xml:space="preserve">  We estimate that 15 will be filed with the assistance of outside attorneys and engineering consultants.  The station will require one (1) hour of consultation with each of these outside parties.  The other 5 applications will be made by the station without outside consultation and will require 4 hours of preparation.  [15 applications x 2 hours legal/engineering consult = 30 hours] &amp; [5 applications x 4 hours = 20 hours]</w:t>
      </w:r>
    </w:p>
    <w:p w:rsidRPr="004251E4" w:rsidR="0097289C" w:rsidP="00B46AE9" w:rsidRDefault="0097289C" w14:paraId="72C3F0B6" w14:textId="77777777">
      <w:pPr>
        <w:suppressAutoHyphens/>
        <w:rPr>
          <w:rFonts w:ascii="Times New Roman" w:hAnsi="Times New Roman"/>
          <w:color w:val="000000" w:themeColor="text1"/>
          <w:spacing w:val="-3"/>
          <w:sz w:val="22"/>
          <w:szCs w:val="22"/>
        </w:rPr>
      </w:pPr>
    </w:p>
    <w:p w:rsidRPr="004251E4" w:rsidR="00003BEB" w:rsidP="007F0EEC" w:rsidRDefault="00003BEB" w14:paraId="0B6FA09D" w14:textId="0BC5F36E">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We estimate that the other 50% of Next Gen TV license applications by full-power and Class A stations (110 applications) and all of the 580 Next Gen TV license applications estimated to be filed by LPTV stations and TV translator stations (690 total applications) will be made by the station without outside consultation and will require 4 hours of preparation.  [690 applications x 4 hours = 2,760 hours]</w:t>
      </w:r>
      <w:r w:rsidRPr="004251E4" w:rsidR="005C6521">
        <w:rPr>
          <w:rFonts w:ascii="Times New Roman" w:hAnsi="Times New Roman"/>
          <w:color w:val="000000" w:themeColor="text1"/>
          <w:spacing w:val="-3"/>
          <w:sz w:val="22"/>
          <w:szCs w:val="22"/>
        </w:rPr>
        <w:t xml:space="preserve">  </w:t>
      </w:r>
      <w:r w:rsidRPr="004251E4" w:rsidR="005C6521">
        <w:rPr>
          <w:rFonts w:ascii="Times New Roman" w:hAnsi="Times New Roman"/>
          <w:b/>
          <w:bCs/>
          <w:color w:val="000000" w:themeColor="text1"/>
          <w:spacing w:val="-3"/>
          <w:sz w:val="22"/>
          <w:szCs w:val="22"/>
        </w:rPr>
        <w:t>None of these applications will involve multicast licensing on a host.</w:t>
      </w:r>
    </w:p>
    <w:p w:rsidRPr="004251E4" w:rsidR="00003BEB" w:rsidP="007F0EEC" w:rsidRDefault="00003BEB" w14:paraId="547151F8" w14:textId="77777777">
      <w:pPr>
        <w:suppressAutoHyphens/>
        <w:rPr>
          <w:rFonts w:ascii="Times New Roman" w:hAnsi="Times New Roman"/>
          <w:color w:val="000000" w:themeColor="text1"/>
          <w:spacing w:val="-3"/>
          <w:sz w:val="22"/>
          <w:szCs w:val="22"/>
        </w:rPr>
      </w:pPr>
    </w:p>
    <w:p w:rsidRPr="004251E4" w:rsidR="006B7D30" w:rsidP="00B05265" w:rsidRDefault="00003BEB" w14:paraId="1A627402" w14:textId="77777777">
      <w:pPr>
        <w:keepNext/>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The respondent (station manager) is estimated to have an average salary of $100,000/year ($48.08/hour).</w:t>
      </w:r>
    </w:p>
    <w:p w:rsidRPr="004251E4" w:rsidR="00003BEB" w:rsidP="00B05265" w:rsidRDefault="00003BEB" w14:paraId="4E092D31" w14:textId="77777777">
      <w:pPr>
        <w:keepNext/>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198 hours x $48.08/hour = </w:t>
      </w:r>
      <w:r w:rsidRPr="004251E4" w:rsidR="00B05265">
        <w:rPr>
          <w:rFonts w:ascii="Times New Roman" w:hAnsi="Times New Roman"/>
          <w:color w:val="000000" w:themeColor="text1"/>
          <w:spacing w:val="-3"/>
          <w:sz w:val="22"/>
          <w:szCs w:val="22"/>
        </w:rPr>
        <w:tab/>
        <w:t>$  9,519.84</w:t>
      </w:r>
    </w:p>
    <w:p w:rsidRPr="004251E4" w:rsidR="00424C25" w:rsidP="007F0EEC" w:rsidRDefault="00BC2C5B" w14:paraId="5117A10B" w14:textId="67A36442">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88</w:t>
      </w:r>
      <w:r w:rsidRPr="004251E4" w:rsidR="00424C25">
        <w:rPr>
          <w:rFonts w:ascii="Times New Roman" w:hAnsi="Times New Roman"/>
          <w:color w:val="000000" w:themeColor="text1"/>
          <w:spacing w:val="-3"/>
          <w:sz w:val="22"/>
          <w:szCs w:val="22"/>
        </w:rPr>
        <w:t xml:space="preserve"> hours x $48.08/hour = </w:t>
      </w:r>
      <w:r w:rsidRPr="004251E4" w:rsidR="00B05265">
        <w:rPr>
          <w:rFonts w:ascii="Times New Roman" w:hAnsi="Times New Roman"/>
          <w:color w:val="000000" w:themeColor="text1"/>
          <w:spacing w:val="-3"/>
          <w:sz w:val="22"/>
          <w:szCs w:val="22"/>
        </w:rPr>
        <w:tab/>
        <w:t xml:space="preserve">$  </w:t>
      </w:r>
      <w:r w:rsidRPr="004251E4">
        <w:rPr>
          <w:rFonts w:ascii="Times New Roman" w:hAnsi="Times New Roman"/>
          <w:color w:val="000000" w:themeColor="text1"/>
          <w:spacing w:val="-3"/>
          <w:sz w:val="22"/>
          <w:szCs w:val="22"/>
        </w:rPr>
        <w:t>4</w:t>
      </w:r>
      <w:r w:rsidRPr="004251E4" w:rsidR="00B05265">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231</w:t>
      </w:r>
      <w:r w:rsidRPr="004251E4" w:rsidR="00B05265">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04</w:t>
      </w:r>
    </w:p>
    <w:p w:rsidRPr="004251E4" w:rsidR="00497A46" w:rsidP="007F0EEC" w:rsidRDefault="00497A46" w14:paraId="024A1E55" w14:textId="314973EF">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66 hours x $48.08/hour = </w:t>
      </w:r>
      <w:r w:rsidRPr="004251E4">
        <w:rPr>
          <w:rFonts w:ascii="Times New Roman" w:hAnsi="Times New Roman"/>
          <w:color w:val="000000" w:themeColor="text1"/>
          <w:spacing w:val="-3"/>
          <w:sz w:val="22"/>
          <w:szCs w:val="22"/>
        </w:rPr>
        <w:tab/>
        <w:t>$  3,173.28</w:t>
      </w:r>
      <w:r w:rsidRPr="004251E4" w:rsidR="00ED0F76">
        <w:rPr>
          <w:rFonts w:ascii="Times New Roman" w:hAnsi="Times New Roman"/>
          <w:color w:val="000000" w:themeColor="text1"/>
          <w:spacing w:val="-3"/>
          <w:sz w:val="22"/>
          <w:szCs w:val="22"/>
        </w:rPr>
        <w:t xml:space="preserve"> </w:t>
      </w:r>
      <w:r w:rsidRPr="004251E4" w:rsidR="00ED0F76">
        <w:rPr>
          <w:rFonts w:ascii="Times New Roman" w:hAnsi="Times New Roman"/>
          <w:color w:val="000000" w:themeColor="text1"/>
          <w:spacing w:val="-3"/>
          <w:sz w:val="22"/>
          <w:szCs w:val="22"/>
        </w:rPr>
        <w:tab/>
        <w:t xml:space="preserve">(added </w:t>
      </w:r>
      <w:r w:rsidRPr="004251E4" w:rsidR="00C17BBD">
        <w:rPr>
          <w:rFonts w:ascii="Times New Roman" w:hAnsi="Times New Roman"/>
          <w:color w:val="000000" w:themeColor="text1"/>
          <w:spacing w:val="-3"/>
          <w:sz w:val="22"/>
          <w:szCs w:val="22"/>
        </w:rPr>
        <w:t>to existing app</w:t>
      </w:r>
      <w:r w:rsidRPr="004251E4" w:rsidR="00D67910">
        <w:rPr>
          <w:rFonts w:ascii="Times New Roman" w:hAnsi="Times New Roman"/>
          <w:color w:val="000000" w:themeColor="text1"/>
          <w:spacing w:val="-3"/>
          <w:sz w:val="22"/>
          <w:szCs w:val="22"/>
        </w:rPr>
        <w:t>/</w:t>
      </w:r>
      <w:r w:rsidRPr="004251E4" w:rsidR="00ED0F76">
        <w:rPr>
          <w:rFonts w:ascii="Times New Roman" w:hAnsi="Times New Roman"/>
          <w:color w:val="000000" w:themeColor="text1"/>
          <w:spacing w:val="-3"/>
          <w:sz w:val="22"/>
          <w:szCs w:val="22"/>
        </w:rPr>
        <w:t xml:space="preserve"> multicast streams)</w:t>
      </w:r>
    </w:p>
    <w:p w:rsidRPr="004251E4" w:rsidR="00497A46" w:rsidP="007F0EEC" w:rsidRDefault="00497A46" w14:paraId="786118E6" w14:textId="3BEB4DA8">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12 hours x $48.08/hour = </w:t>
      </w:r>
      <w:r w:rsidRPr="004251E4">
        <w:rPr>
          <w:rFonts w:ascii="Times New Roman" w:hAnsi="Times New Roman"/>
          <w:color w:val="000000" w:themeColor="text1"/>
          <w:spacing w:val="-3"/>
          <w:sz w:val="22"/>
          <w:szCs w:val="22"/>
        </w:rPr>
        <w:tab/>
        <w:t>$  576.96</w:t>
      </w:r>
      <w:r w:rsidRPr="004251E4" w:rsidR="00ED0F76">
        <w:rPr>
          <w:rFonts w:ascii="Times New Roman" w:hAnsi="Times New Roman"/>
          <w:color w:val="000000" w:themeColor="text1"/>
          <w:spacing w:val="-3"/>
          <w:sz w:val="22"/>
          <w:szCs w:val="22"/>
        </w:rPr>
        <w:tab/>
        <w:t>(</w:t>
      </w:r>
      <w:r w:rsidRPr="004251E4" w:rsidR="00D67910">
        <w:rPr>
          <w:rFonts w:ascii="Times New Roman" w:hAnsi="Times New Roman"/>
          <w:color w:val="000000" w:themeColor="text1"/>
          <w:spacing w:val="-3"/>
          <w:sz w:val="22"/>
          <w:szCs w:val="22"/>
        </w:rPr>
        <w:t xml:space="preserve">added to existing app/ </w:t>
      </w:r>
      <w:r w:rsidRPr="004251E4" w:rsidR="00ED0F76">
        <w:rPr>
          <w:rFonts w:ascii="Times New Roman" w:hAnsi="Times New Roman"/>
          <w:color w:val="000000" w:themeColor="text1"/>
          <w:spacing w:val="-3"/>
          <w:sz w:val="22"/>
          <w:szCs w:val="22"/>
        </w:rPr>
        <w:t>multicast streams)</w:t>
      </w:r>
    </w:p>
    <w:p w:rsidRPr="004251E4" w:rsidR="005D41AF" w:rsidP="007F0EEC" w:rsidRDefault="005D41AF" w14:paraId="77A03F6A" w14:textId="10BD1EB3">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30 hours x $48.08/hour = </w:t>
      </w:r>
      <w:r w:rsidRPr="004251E4">
        <w:rPr>
          <w:rFonts w:ascii="Times New Roman" w:hAnsi="Times New Roman"/>
          <w:color w:val="000000" w:themeColor="text1"/>
          <w:spacing w:val="-3"/>
          <w:sz w:val="22"/>
          <w:szCs w:val="22"/>
        </w:rPr>
        <w:tab/>
        <w:t>$  1,442.40</w:t>
      </w:r>
      <w:r w:rsidRPr="004251E4" w:rsidR="00C17BBD">
        <w:rPr>
          <w:rFonts w:ascii="Times New Roman" w:hAnsi="Times New Roman"/>
          <w:color w:val="000000" w:themeColor="text1"/>
          <w:spacing w:val="-3"/>
          <w:sz w:val="22"/>
          <w:szCs w:val="22"/>
        </w:rPr>
        <w:tab/>
      </w:r>
      <w:r w:rsidRPr="004251E4" w:rsidR="00D67910">
        <w:rPr>
          <w:rFonts w:ascii="Times New Roman" w:hAnsi="Times New Roman"/>
          <w:color w:val="000000" w:themeColor="text1"/>
          <w:spacing w:val="-3"/>
          <w:sz w:val="22"/>
          <w:szCs w:val="22"/>
        </w:rPr>
        <w:t>(new multicast stream only app)</w:t>
      </w:r>
      <w:r w:rsidRPr="004251E4" w:rsidR="00767B6C">
        <w:rPr>
          <w:rFonts w:ascii="Times New Roman" w:hAnsi="Times New Roman"/>
          <w:color w:val="000000" w:themeColor="text1"/>
          <w:spacing w:val="-3"/>
          <w:sz w:val="22"/>
          <w:szCs w:val="22"/>
        </w:rPr>
        <w:t xml:space="preserve"> (Evan, I see that you already accounted for the 30 with the 50 below.  Is this a duplicate?)</w:t>
      </w:r>
    </w:p>
    <w:p w:rsidRPr="004251E4" w:rsidR="005D41AF" w:rsidP="007F0EEC" w:rsidRDefault="005D41AF" w14:paraId="24EC7150" w14:textId="60922F7D">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50 hours x $48.08/hour = </w:t>
      </w:r>
      <w:r w:rsidRPr="004251E4">
        <w:rPr>
          <w:rFonts w:ascii="Times New Roman" w:hAnsi="Times New Roman"/>
          <w:color w:val="000000" w:themeColor="text1"/>
          <w:spacing w:val="-3"/>
          <w:sz w:val="22"/>
          <w:szCs w:val="22"/>
        </w:rPr>
        <w:tab/>
        <w:t>$  2,404.00</w:t>
      </w:r>
      <w:r w:rsidRPr="004251E4" w:rsidR="00D67910">
        <w:rPr>
          <w:rFonts w:ascii="Times New Roman" w:hAnsi="Times New Roman"/>
          <w:color w:val="000000" w:themeColor="text1"/>
          <w:spacing w:val="-3"/>
          <w:sz w:val="22"/>
          <w:szCs w:val="22"/>
        </w:rPr>
        <w:tab/>
        <w:t>(new multicast stream only app)</w:t>
      </w:r>
    </w:p>
    <w:p w:rsidRPr="004251E4" w:rsidR="00424C25" w:rsidP="007F0EEC" w:rsidRDefault="00424C25" w14:paraId="128A0096" w14:textId="77777777">
      <w:pPr>
        <w:suppressAutoHyphens/>
        <w:rPr>
          <w:rFonts w:ascii="Times New Roman" w:hAnsi="Times New Roman"/>
          <w:color w:val="000000" w:themeColor="text1"/>
          <w:spacing w:val="-3"/>
          <w:sz w:val="22"/>
          <w:szCs w:val="22"/>
          <w:u w:val="thick"/>
        </w:rPr>
      </w:pPr>
      <w:r w:rsidRPr="004251E4">
        <w:rPr>
          <w:rFonts w:ascii="Times New Roman" w:hAnsi="Times New Roman"/>
          <w:color w:val="000000" w:themeColor="text1"/>
          <w:spacing w:val="-3"/>
          <w:sz w:val="22"/>
          <w:szCs w:val="22"/>
          <w:u w:val="thick"/>
        </w:rPr>
        <w:t xml:space="preserve">2,760 hours x $48.08/hour = </w:t>
      </w:r>
      <w:r w:rsidRPr="004251E4" w:rsidR="00B05265">
        <w:rPr>
          <w:rFonts w:ascii="Times New Roman" w:hAnsi="Times New Roman"/>
          <w:color w:val="000000" w:themeColor="text1"/>
          <w:spacing w:val="-3"/>
          <w:sz w:val="22"/>
          <w:szCs w:val="22"/>
          <w:u w:val="thick"/>
        </w:rPr>
        <w:tab/>
        <w:t>$132,700.80</w:t>
      </w:r>
    </w:p>
    <w:p w:rsidRPr="004251E4" w:rsidR="00003BEB" w:rsidP="007F0EEC" w:rsidRDefault="00B05265" w14:paraId="534528F2" w14:textId="14E378E1">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3,</w:t>
      </w:r>
      <w:r w:rsidRPr="004251E4" w:rsidR="0056347A">
        <w:rPr>
          <w:rFonts w:ascii="Times New Roman" w:hAnsi="Times New Roman"/>
          <w:color w:val="000000" w:themeColor="text1"/>
          <w:spacing w:val="-3"/>
          <w:sz w:val="22"/>
          <w:szCs w:val="22"/>
        </w:rPr>
        <w:t>204</w:t>
      </w:r>
      <w:r w:rsidRPr="004251E4">
        <w:rPr>
          <w:rFonts w:ascii="Times New Roman" w:hAnsi="Times New Roman"/>
          <w:color w:val="000000" w:themeColor="text1"/>
          <w:spacing w:val="-3"/>
          <w:sz w:val="22"/>
          <w:szCs w:val="22"/>
        </w:rPr>
        <w:t xml:space="preserve"> hours x $48.08/hour =</w:t>
      </w:r>
      <w:r w:rsidRPr="004251E4">
        <w:rPr>
          <w:rFonts w:ascii="Times New Roman" w:hAnsi="Times New Roman"/>
          <w:color w:val="000000" w:themeColor="text1"/>
          <w:spacing w:val="-3"/>
          <w:sz w:val="22"/>
          <w:szCs w:val="22"/>
        </w:rPr>
        <w:tab/>
      </w:r>
      <w:r w:rsidRPr="004251E4">
        <w:rPr>
          <w:rFonts w:ascii="Times New Roman" w:hAnsi="Times New Roman"/>
          <w:b/>
          <w:color w:val="000000" w:themeColor="text1"/>
          <w:spacing w:val="-3"/>
          <w:sz w:val="22"/>
          <w:szCs w:val="22"/>
        </w:rPr>
        <w:t>$1</w:t>
      </w:r>
      <w:r w:rsidRPr="004251E4" w:rsidR="00497A46">
        <w:rPr>
          <w:rFonts w:ascii="Times New Roman" w:hAnsi="Times New Roman"/>
          <w:b/>
          <w:color w:val="000000" w:themeColor="text1"/>
          <w:spacing w:val="-3"/>
          <w:sz w:val="22"/>
          <w:szCs w:val="22"/>
        </w:rPr>
        <w:t>5</w:t>
      </w:r>
      <w:r w:rsidRPr="004251E4" w:rsidR="005D41AF">
        <w:rPr>
          <w:rFonts w:ascii="Times New Roman" w:hAnsi="Times New Roman"/>
          <w:b/>
          <w:color w:val="000000" w:themeColor="text1"/>
          <w:spacing w:val="-3"/>
          <w:sz w:val="22"/>
          <w:szCs w:val="22"/>
        </w:rPr>
        <w:t>4</w:t>
      </w:r>
      <w:r w:rsidRPr="004251E4">
        <w:rPr>
          <w:rFonts w:ascii="Times New Roman" w:hAnsi="Times New Roman"/>
          <w:b/>
          <w:color w:val="000000" w:themeColor="text1"/>
          <w:spacing w:val="-3"/>
          <w:sz w:val="22"/>
          <w:szCs w:val="22"/>
        </w:rPr>
        <w:t>,</w:t>
      </w:r>
      <w:r w:rsidRPr="004251E4" w:rsidR="005D41AF">
        <w:rPr>
          <w:rFonts w:ascii="Times New Roman" w:hAnsi="Times New Roman"/>
          <w:b/>
          <w:color w:val="000000" w:themeColor="text1"/>
          <w:spacing w:val="-3"/>
          <w:sz w:val="22"/>
          <w:szCs w:val="22"/>
        </w:rPr>
        <w:t>048</w:t>
      </w:r>
      <w:r w:rsidRPr="004251E4">
        <w:rPr>
          <w:rFonts w:ascii="Times New Roman" w:hAnsi="Times New Roman"/>
          <w:b/>
          <w:color w:val="000000" w:themeColor="text1"/>
          <w:spacing w:val="-3"/>
          <w:sz w:val="22"/>
          <w:szCs w:val="22"/>
        </w:rPr>
        <w:t>.</w:t>
      </w:r>
      <w:r w:rsidRPr="004251E4" w:rsidR="005D41AF">
        <w:rPr>
          <w:rFonts w:ascii="Times New Roman" w:hAnsi="Times New Roman"/>
          <w:b/>
          <w:color w:val="000000" w:themeColor="text1"/>
          <w:spacing w:val="-3"/>
          <w:sz w:val="22"/>
          <w:szCs w:val="22"/>
        </w:rPr>
        <w:t>32</w:t>
      </w:r>
      <w:r w:rsidRPr="004251E4" w:rsidR="00497A46">
        <w:rPr>
          <w:rFonts w:ascii="Times New Roman" w:hAnsi="Times New Roman"/>
          <w:b/>
          <w:color w:val="000000" w:themeColor="text1"/>
          <w:spacing w:val="-3"/>
          <w:sz w:val="22"/>
          <w:szCs w:val="22"/>
        </w:rPr>
        <w:t xml:space="preserve"> </w:t>
      </w:r>
      <w:r w:rsidRPr="004251E4">
        <w:rPr>
          <w:rFonts w:ascii="Times New Roman" w:hAnsi="Times New Roman"/>
          <w:b/>
          <w:color w:val="000000" w:themeColor="text1"/>
          <w:spacing w:val="-3"/>
          <w:sz w:val="22"/>
          <w:szCs w:val="22"/>
        </w:rPr>
        <w:t xml:space="preserve"> in-house cost</w:t>
      </w:r>
      <w:r w:rsidRPr="004251E4" w:rsidR="00ED0F76">
        <w:rPr>
          <w:rFonts w:ascii="Times New Roman" w:hAnsi="Times New Roman"/>
          <w:b/>
          <w:color w:val="000000" w:themeColor="text1"/>
          <w:spacing w:val="-3"/>
          <w:sz w:val="22"/>
          <w:szCs w:val="22"/>
        </w:rPr>
        <w:t xml:space="preserve"> total</w:t>
      </w:r>
      <w:r w:rsidRPr="004251E4" w:rsidR="00720FB0">
        <w:rPr>
          <w:rFonts w:ascii="Times New Roman" w:hAnsi="Times New Roman"/>
          <w:b/>
          <w:color w:val="000000" w:themeColor="text1"/>
          <w:spacing w:val="-3"/>
          <w:sz w:val="22"/>
          <w:szCs w:val="22"/>
        </w:rPr>
        <w:t xml:space="preserve">  (This does not match the chart).</w:t>
      </w:r>
    </w:p>
    <w:p w:rsidRPr="004251E4" w:rsidR="006B7D30" w:rsidP="007F0EEC" w:rsidRDefault="006B7D30" w14:paraId="1F40BD6F" w14:textId="77777777">
      <w:pPr>
        <w:suppressAutoHyphens/>
        <w:rPr>
          <w:rFonts w:ascii="Times New Roman" w:hAnsi="Times New Roman"/>
          <w:color w:val="000000" w:themeColor="text1"/>
          <w:spacing w:val="-3"/>
          <w:sz w:val="22"/>
          <w:szCs w:val="22"/>
        </w:rPr>
      </w:pPr>
    </w:p>
    <w:p w:rsidRPr="004251E4" w:rsidR="00EF45FD" w:rsidP="007F0EEC" w:rsidRDefault="00EF45FD" w14:paraId="11B005EC" w14:textId="77777777">
      <w:pPr>
        <w:suppressAutoHyphens/>
        <w:rPr>
          <w:rFonts w:ascii="Times New Roman" w:hAnsi="Times New Roman"/>
          <w:color w:val="000000" w:themeColor="text1"/>
          <w:spacing w:val="-3"/>
          <w:sz w:val="22"/>
          <w:szCs w:val="22"/>
        </w:rPr>
      </w:pPr>
    </w:p>
    <w:p w:rsidRPr="004251E4" w:rsidR="0093078E" w:rsidP="00750966" w:rsidRDefault="0093078E" w14:paraId="28DFE3DC" w14:textId="77777777">
      <w:pPr>
        <w:suppressAutoHyphens/>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Broadcaster On-Air Notices to Viewers/Consumers</w:t>
      </w:r>
    </w:p>
    <w:p w:rsidRPr="004251E4" w:rsidR="00EB6884" w:rsidP="00750966" w:rsidRDefault="00EB6884" w14:paraId="30354072"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110 </w:t>
      </w:r>
      <w:r w:rsidRPr="004251E4" w:rsidR="009E193D">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will be required to air daily consumer education notices (</w:t>
      </w:r>
      <w:r w:rsidRPr="004251E4" w:rsidR="000159B1">
        <w:rPr>
          <w:rFonts w:ascii="Times New Roman" w:hAnsi="Times New Roman"/>
          <w:color w:val="000000" w:themeColor="text1"/>
          <w:spacing w:val="-3"/>
          <w:sz w:val="22"/>
          <w:szCs w:val="22"/>
        </w:rPr>
        <w:t xml:space="preserve">i.e., </w:t>
      </w:r>
      <w:r w:rsidRPr="004251E4">
        <w:rPr>
          <w:rFonts w:ascii="Times New Roman" w:hAnsi="Times New Roman"/>
          <w:color w:val="000000" w:themeColor="text1"/>
          <w:spacing w:val="-3"/>
          <w:sz w:val="22"/>
          <w:szCs w:val="22"/>
        </w:rPr>
        <w:t>PSAs or crawls</w:t>
      </w:r>
      <w:r w:rsidRPr="004251E4" w:rsidR="000159B1">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every day for 30 days prior to moving its 1.0 channel.</w:t>
      </w:r>
      <w:r w:rsidRPr="004251E4" w:rsidR="000159B1">
        <w:rPr>
          <w:rFonts w:ascii="Times New Roman" w:hAnsi="Times New Roman"/>
          <w:color w:val="000000" w:themeColor="text1"/>
          <w:spacing w:val="-3"/>
          <w:sz w:val="22"/>
          <w:szCs w:val="22"/>
        </w:rPr>
        <w:t xml:space="preserve">  [110 respondents x 30</w:t>
      </w:r>
      <w:r w:rsidRPr="004251E4" w:rsidR="008E51DE">
        <w:rPr>
          <w:rStyle w:val="FootnoteReference"/>
          <w:rFonts w:ascii="Times New Roman" w:hAnsi="Times New Roman"/>
          <w:color w:val="000000" w:themeColor="text1"/>
          <w:spacing w:val="-3"/>
          <w:sz w:val="22"/>
          <w:szCs w:val="22"/>
        </w:rPr>
        <w:footnoteReference w:id="11"/>
      </w:r>
      <w:r w:rsidRPr="004251E4" w:rsidR="002E694A">
        <w:rPr>
          <w:rFonts w:ascii="Times New Roman" w:hAnsi="Times New Roman"/>
          <w:color w:val="000000" w:themeColor="text1"/>
          <w:spacing w:val="-3"/>
          <w:sz w:val="22"/>
          <w:szCs w:val="22"/>
        </w:rPr>
        <w:t xml:space="preserve"> </w:t>
      </w:r>
      <w:r w:rsidRPr="004251E4" w:rsidR="000159B1">
        <w:rPr>
          <w:rFonts w:ascii="Times New Roman" w:hAnsi="Times New Roman"/>
          <w:color w:val="000000" w:themeColor="text1"/>
          <w:spacing w:val="-3"/>
          <w:sz w:val="22"/>
          <w:szCs w:val="22"/>
        </w:rPr>
        <w:t>= 3,300 responses</w:t>
      </w:r>
      <w:r w:rsidRPr="004251E4" w:rsidR="00864334">
        <w:rPr>
          <w:rFonts w:ascii="Times New Roman" w:hAnsi="Times New Roman"/>
          <w:color w:val="000000" w:themeColor="text1"/>
          <w:spacing w:val="-3"/>
          <w:sz w:val="22"/>
          <w:szCs w:val="22"/>
        </w:rPr>
        <w:t>/airings</w:t>
      </w:r>
      <w:r w:rsidRPr="004251E4" w:rsidR="000159B1">
        <w:rPr>
          <w:rFonts w:ascii="Times New Roman" w:hAnsi="Times New Roman"/>
          <w:color w:val="000000" w:themeColor="text1"/>
          <w:spacing w:val="-3"/>
          <w:sz w:val="22"/>
          <w:szCs w:val="22"/>
        </w:rPr>
        <w:t>]</w:t>
      </w:r>
    </w:p>
    <w:p w:rsidRPr="004251E4" w:rsidR="00EB6884" w:rsidP="00750966" w:rsidRDefault="00EB6884" w14:paraId="05F620DF" w14:textId="77777777">
      <w:pPr>
        <w:suppressAutoHyphens/>
        <w:rPr>
          <w:rFonts w:ascii="Times New Roman" w:hAnsi="Times New Roman"/>
          <w:color w:val="000000" w:themeColor="text1"/>
          <w:spacing w:val="-3"/>
          <w:sz w:val="22"/>
          <w:szCs w:val="22"/>
        </w:rPr>
      </w:pPr>
    </w:p>
    <w:p w:rsidRPr="004251E4" w:rsidR="00EB6884" w:rsidP="00750966" w:rsidRDefault="00864334" w14:paraId="4E57BB1D"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We estimate that it will take respondent station 0.25 hours (15 minutes) to prepare a PSA or crawl and that such PSAs or crawls will air for 0.017 hours (approximately 1 minute) daily for 30 days.</w:t>
      </w:r>
    </w:p>
    <w:p w:rsidRPr="004251E4" w:rsidR="00EB6884" w:rsidP="00750966" w:rsidRDefault="00864334" w14:paraId="16B238E8"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[110 PSAs/crawls x 0.25 hours = 27.5 hours x $48.08/hours = $1,322.20 cost]</w:t>
      </w:r>
    </w:p>
    <w:p w:rsidRPr="004251E4" w:rsidR="00EB6884" w:rsidP="00750966" w:rsidRDefault="00864334" w14:paraId="4E3DC8F0"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[3,300 PSAs/crawls x 0.017 hours = 56.1 hours x $48.08/hours = $2,697.29 cost]</w:t>
      </w:r>
    </w:p>
    <w:p w:rsidRPr="004251E4" w:rsidR="00D85A7E" w:rsidP="00D85A7E" w:rsidRDefault="00D85A7E" w14:paraId="335282EB" w14:textId="68B343CF">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[$1,322.20 + $2,697.29 = </w:t>
      </w:r>
      <w:r w:rsidRPr="004251E4">
        <w:rPr>
          <w:rFonts w:ascii="Times New Roman" w:hAnsi="Times New Roman"/>
          <w:b/>
          <w:color w:val="000000" w:themeColor="text1"/>
          <w:spacing w:val="-3"/>
          <w:sz w:val="22"/>
          <w:szCs w:val="22"/>
        </w:rPr>
        <w:t>$4,019.49 in-house cost</w:t>
      </w:r>
      <w:r w:rsidRPr="004251E4" w:rsidR="00D47F3C">
        <w:rPr>
          <w:rFonts w:ascii="Times New Roman" w:hAnsi="Times New Roman"/>
          <w:b/>
          <w:color w:val="000000" w:themeColor="text1"/>
          <w:spacing w:val="-3"/>
          <w:sz w:val="22"/>
          <w:szCs w:val="22"/>
        </w:rPr>
        <w:t xml:space="preserve"> (</w:t>
      </w:r>
      <w:r w:rsidRPr="004251E4" w:rsidR="00D47F3C">
        <w:rPr>
          <w:rFonts w:ascii="Times New Roman" w:hAnsi="Times New Roman"/>
          <w:b/>
          <w:i/>
          <w:iCs/>
          <w:color w:val="000000" w:themeColor="text1"/>
          <w:spacing w:val="-3"/>
          <w:sz w:val="22"/>
          <w:szCs w:val="22"/>
        </w:rPr>
        <w:t>for primary streams</w:t>
      </w:r>
      <w:r w:rsidRPr="004251E4" w:rsidR="00D47F3C">
        <w:rPr>
          <w:rFonts w:ascii="Times New Roman" w:hAnsi="Times New Roman"/>
          <w:b/>
          <w:color w:val="000000" w:themeColor="text1"/>
          <w:spacing w:val="-3"/>
          <w:sz w:val="22"/>
          <w:szCs w:val="22"/>
        </w:rPr>
        <w:t>)</w:t>
      </w:r>
      <w:r w:rsidRPr="004251E4">
        <w:rPr>
          <w:rFonts w:ascii="Times New Roman" w:hAnsi="Times New Roman"/>
          <w:color w:val="000000" w:themeColor="text1"/>
          <w:spacing w:val="-3"/>
          <w:sz w:val="22"/>
          <w:szCs w:val="22"/>
        </w:rPr>
        <w:t>]</w:t>
      </w:r>
    </w:p>
    <w:p w:rsidRPr="004251E4" w:rsidR="00D85A7E" w:rsidP="00D85A7E" w:rsidRDefault="00D85A7E" w14:paraId="7F754224" w14:textId="41214249">
      <w:pPr>
        <w:suppressAutoHyphens/>
        <w:rPr>
          <w:rFonts w:ascii="Times New Roman" w:hAnsi="Times New Roman"/>
          <w:color w:val="000000" w:themeColor="text1"/>
          <w:spacing w:val="-3"/>
          <w:sz w:val="22"/>
          <w:szCs w:val="22"/>
        </w:rPr>
      </w:pPr>
    </w:p>
    <w:p w:rsidRPr="004251E4" w:rsidR="00F15ADA" w:rsidP="00D85A7E" w:rsidRDefault="0052387D" w14:paraId="4C81326E" w14:textId="017C6F29">
      <w:pPr>
        <w:suppressAutoHyphens/>
        <w:rPr>
          <w:rFonts w:ascii="Times New Roman" w:hAnsi="Times New Roman"/>
          <w:color w:val="000000" w:themeColor="text1"/>
          <w:spacing w:val="-3"/>
          <w:sz w:val="22"/>
          <w:szCs w:val="22"/>
        </w:rPr>
      </w:pPr>
      <w:r w:rsidRPr="004251E4">
        <w:rPr>
          <w:rFonts w:ascii="Times New Roman" w:hAnsi="Times New Roman"/>
          <w:b/>
          <w:bCs/>
          <w:color w:val="000000" w:themeColor="text1"/>
          <w:spacing w:val="-3"/>
          <w:sz w:val="22"/>
          <w:szCs w:val="22"/>
          <w:u w:val="single"/>
        </w:rPr>
        <w:lastRenderedPageBreak/>
        <w:t>Added Burden</w:t>
      </w:r>
      <w:r w:rsidRPr="004251E4">
        <w:rPr>
          <w:rFonts w:ascii="Times New Roman" w:hAnsi="Times New Roman"/>
          <w:color w:val="000000" w:themeColor="text1"/>
          <w:spacing w:val="-3"/>
          <w:sz w:val="22"/>
          <w:szCs w:val="22"/>
        </w:rPr>
        <w:t xml:space="preserve">:  </w:t>
      </w:r>
      <w:r w:rsidRPr="004251E4" w:rsidR="00F15ADA">
        <w:rPr>
          <w:rFonts w:ascii="Times New Roman" w:hAnsi="Times New Roman"/>
          <w:color w:val="000000" w:themeColor="text1"/>
          <w:spacing w:val="-3"/>
          <w:sz w:val="22"/>
          <w:szCs w:val="22"/>
        </w:rPr>
        <w:t xml:space="preserve">As discussed above, we estimate that 72 </w:t>
      </w:r>
      <w:r w:rsidRPr="004251E4" w:rsidR="00661B77">
        <w:rPr>
          <w:rFonts w:ascii="Times New Roman" w:hAnsi="Times New Roman"/>
          <w:color w:val="000000" w:themeColor="text1"/>
          <w:spacing w:val="-3"/>
          <w:sz w:val="22"/>
          <w:szCs w:val="22"/>
        </w:rPr>
        <w:t xml:space="preserve">of the above-referenced 110 </w:t>
      </w:r>
      <w:r w:rsidRPr="004251E4" w:rsidR="00F15ADA">
        <w:rPr>
          <w:rFonts w:ascii="Times New Roman" w:hAnsi="Times New Roman"/>
          <w:color w:val="000000" w:themeColor="text1"/>
          <w:spacing w:val="-3"/>
          <w:sz w:val="22"/>
          <w:szCs w:val="22"/>
        </w:rPr>
        <w:t>applications (66+6) will involve multicast streams.  We further estimate that these applications will involve on average 3 multicast streams.  [72 respondents x 30 days</w:t>
      </w:r>
      <w:r w:rsidRPr="004251E4" w:rsidR="00F15ADA">
        <w:rPr>
          <w:rStyle w:val="FootnoteReference"/>
          <w:rFonts w:ascii="Times New Roman" w:hAnsi="Times New Roman"/>
          <w:color w:val="000000" w:themeColor="text1"/>
          <w:spacing w:val="-3"/>
          <w:sz w:val="22"/>
          <w:szCs w:val="22"/>
        </w:rPr>
        <w:footnoteReference w:id="12"/>
      </w:r>
      <w:r w:rsidRPr="004251E4" w:rsidR="00F15ADA">
        <w:rPr>
          <w:rFonts w:ascii="Times New Roman" w:hAnsi="Times New Roman"/>
          <w:color w:val="000000" w:themeColor="text1"/>
          <w:spacing w:val="-3"/>
          <w:sz w:val="22"/>
          <w:szCs w:val="22"/>
        </w:rPr>
        <w:t xml:space="preserve"> x 3 multicast streams = 6,480 responses/airings]</w:t>
      </w:r>
    </w:p>
    <w:p w:rsidRPr="004251E4" w:rsidR="00F15ADA" w:rsidP="00D85A7E" w:rsidRDefault="00F15ADA" w14:paraId="12AE976C" w14:textId="77777777">
      <w:pPr>
        <w:suppressAutoHyphens/>
        <w:rPr>
          <w:rFonts w:ascii="Times New Roman" w:hAnsi="Times New Roman"/>
          <w:color w:val="000000" w:themeColor="text1"/>
          <w:spacing w:val="-3"/>
          <w:sz w:val="22"/>
          <w:szCs w:val="22"/>
        </w:rPr>
      </w:pPr>
    </w:p>
    <w:p w:rsidRPr="004251E4" w:rsidR="00F15ADA" w:rsidP="00F15ADA" w:rsidRDefault="00F15ADA" w14:paraId="58EEC683" w14:textId="2D276A0E">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As with notices for primary streams, we estimate that for each multicast stream it will take respondent station 0.25 hours (15 minutes) to prepare a PSA or crawl (for a given programming stream) and that such PSAs or crawls will air for 0.017 hours (approximately 1 minute) daily for 30 days.</w:t>
      </w:r>
    </w:p>
    <w:p w:rsidRPr="004251E4" w:rsidR="00FF59B5" w:rsidP="00F15ADA" w:rsidRDefault="00FF59B5" w14:paraId="0CFFB304" w14:textId="77777777">
      <w:pPr>
        <w:suppressAutoHyphens/>
        <w:rPr>
          <w:rFonts w:ascii="Times New Roman" w:hAnsi="Times New Roman"/>
          <w:color w:val="000000" w:themeColor="text1"/>
          <w:spacing w:val="-3"/>
          <w:sz w:val="22"/>
          <w:szCs w:val="22"/>
        </w:rPr>
      </w:pPr>
    </w:p>
    <w:p w:rsidRPr="004251E4" w:rsidR="00F15ADA" w:rsidP="00F15ADA" w:rsidRDefault="00F15ADA" w14:paraId="5D4B94FE" w14:textId="1D3FA112">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FF59B5">
        <w:rPr>
          <w:rFonts w:ascii="Times New Roman" w:hAnsi="Times New Roman"/>
          <w:color w:val="000000" w:themeColor="text1"/>
          <w:spacing w:val="-3"/>
          <w:sz w:val="22"/>
          <w:szCs w:val="22"/>
        </w:rPr>
        <w:t>216</w:t>
      </w:r>
      <w:r w:rsidRPr="004251E4">
        <w:rPr>
          <w:rFonts w:ascii="Times New Roman" w:hAnsi="Times New Roman"/>
          <w:color w:val="000000" w:themeColor="text1"/>
          <w:spacing w:val="-3"/>
          <w:sz w:val="22"/>
          <w:szCs w:val="22"/>
        </w:rPr>
        <w:t xml:space="preserve"> PSAs/crawls</w:t>
      </w:r>
      <w:r w:rsidRPr="004251E4" w:rsidR="00FF59B5">
        <w:rPr>
          <w:rStyle w:val="FootnoteReference"/>
          <w:rFonts w:ascii="Times New Roman" w:hAnsi="Times New Roman"/>
          <w:color w:val="000000" w:themeColor="text1"/>
          <w:spacing w:val="-3"/>
          <w:sz w:val="22"/>
          <w:szCs w:val="22"/>
        </w:rPr>
        <w:footnoteReference w:id="13"/>
      </w:r>
      <w:r w:rsidRPr="004251E4">
        <w:rPr>
          <w:rFonts w:ascii="Times New Roman" w:hAnsi="Times New Roman"/>
          <w:color w:val="000000" w:themeColor="text1"/>
          <w:spacing w:val="-3"/>
          <w:sz w:val="22"/>
          <w:szCs w:val="22"/>
        </w:rPr>
        <w:t xml:space="preserve"> </w:t>
      </w:r>
      <w:r w:rsidRPr="004251E4" w:rsidR="00FF59B5">
        <w:rPr>
          <w:rFonts w:ascii="Times New Roman" w:hAnsi="Times New Roman"/>
          <w:color w:val="000000" w:themeColor="text1"/>
          <w:spacing w:val="-3"/>
          <w:sz w:val="22"/>
          <w:szCs w:val="22"/>
        </w:rPr>
        <w:t xml:space="preserve">x </w:t>
      </w:r>
      <w:r w:rsidRPr="004251E4">
        <w:rPr>
          <w:rFonts w:ascii="Times New Roman" w:hAnsi="Times New Roman"/>
          <w:color w:val="000000" w:themeColor="text1"/>
          <w:spacing w:val="-3"/>
          <w:sz w:val="22"/>
          <w:szCs w:val="22"/>
        </w:rPr>
        <w:t xml:space="preserve">0.25 hours = </w:t>
      </w:r>
      <w:r w:rsidRPr="004251E4" w:rsidR="000A4F2B">
        <w:rPr>
          <w:rFonts w:ascii="Times New Roman" w:hAnsi="Times New Roman"/>
          <w:color w:val="000000" w:themeColor="text1"/>
          <w:spacing w:val="-3"/>
          <w:sz w:val="22"/>
          <w:szCs w:val="22"/>
        </w:rPr>
        <w:t>54</w:t>
      </w:r>
      <w:r w:rsidRPr="004251E4">
        <w:rPr>
          <w:rFonts w:ascii="Times New Roman" w:hAnsi="Times New Roman"/>
          <w:color w:val="000000" w:themeColor="text1"/>
          <w:spacing w:val="-3"/>
          <w:sz w:val="22"/>
          <w:szCs w:val="22"/>
        </w:rPr>
        <w:t xml:space="preserve"> hours x $48.08/hours = $</w:t>
      </w:r>
      <w:r w:rsidRPr="004251E4" w:rsidR="000A4F2B">
        <w:rPr>
          <w:rFonts w:ascii="Times New Roman" w:hAnsi="Times New Roman"/>
          <w:color w:val="000000" w:themeColor="text1"/>
          <w:spacing w:val="-3"/>
          <w:sz w:val="22"/>
          <w:szCs w:val="22"/>
        </w:rPr>
        <w:t>2</w:t>
      </w: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596</w:t>
      </w: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3</w:t>
      </w:r>
      <w:r w:rsidRPr="004251E4">
        <w:rPr>
          <w:rFonts w:ascii="Times New Roman" w:hAnsi="Times New Roman"/>
          <w:color w:val="000000" w:themeColor="text1"/>
          <w:spacing w:val="-3"/>
          <w:sz w:val="22"/>
          <w:szCs w:val="22"/>
        </w:rPr>
        <w:t>2 cost]</w:t>
      </w:r>
    </w:p>
    <w:p w:rsidRPr="004251E4" w:rsidR="00F15ADA" w:rsidP="00F15ADA" w:rsidRDefault="00F15ADA" w14:paraId="379FCE42" w14:textId="39BA903E">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 xml:space="preserve">6,480 </w:t>
      </w:r>
      <w:r w:rsidRPr="004251E4">
        <w:rPr>
          <w:rFonts w:ascii="Times New Roman" w:hAnsi="Times New Roman"/>
          <w:color w:val="000000" w:themeColor="text1"/>
          <w:spacing w:val="-3"/>
          <w:sz w:val="22"/>
          <w:szCs w:val="22"/>
        </w:rPr>
        <w:t xml:space="preserve">PSAs/crawls x 0.017 hours = </w:t>
      </w:r>
      <w:r w:rsidRPr="004251E4" w:rsidR="000A4F2B">
        <w:rPr>
          <w:rFonts w:ascii="Times New Roman" w:hAnsi="Times New Roman"/>
          <w:color w:val="000000" w:themeColor="text1"/>
          <w:spacing w:val="-3"/>
          <w:sz w:val="22"/>
          <w:szCs w:val="22"/>
        </w:rPr>
        <w:t>110</w:t>
      </w:r>
      <w:r w:rsidRPr="004251E4">
        <w:rPr>
          <w:rFonts w:ascii="Times New Roman" w:hAnsi="Times New Roman"/>
          <w:color w:val="000000" w:themeColor="text1"/>
          <w:spacing w:val="-3"/>
          <w:sz w:val="22"/>
          <w:szCs w:val="22"/>
        </w:rPr>
        <w:t>.1</w:t>
      </w:r>
      <w:r w:rsidRPr="004251E4" w:rsidR="000A4F2B">
        <w:rPr>
          <w:rFonts w:ascii="Times New Roman" w:hAnsi="Times New Roman"/>
          <w:color w:val="000000" w:themeColor="text1"/>
          <w:spacing w:val="-3"/>
          <w:sz w:val="22"/>
          <w:szCs w:val="22"/>
        </w:rPr>
        <w:t>6</w:t>
      </w:r>
      <w:r w:rsidRPr="004251E4">
        <w:rPr>
          <w:rFonts w:ascii="Times New Roman" w:hAnsi="Times New Roman"/>
          <w:color w:val="000000" w:themeColor="text1"/>
          <w:spacing w:val="-3"/>
          <w:sz w:val="22"/>
          <w:szCs w:val="22"/>
        </w:rPr>
        <w:t xml:space="preserve"> hours x $48.08/hours = $</w:t>
      </w:r>
      <w:r w:rsidRPr="004251E4" w:rsidR="000A4F2B">
        <w:rPr>
          <w:rFonts w:ascii="Times New Roman" w:hAnsi="Times New Roman"/>
          <w:color w:val="000000" w:themeColor="text1"/>
          <w:spacing w:val="-3"/>
          <w:sz w:val="22"/>
          <w:szCs w:val="22"/>
        </w:rPr>
        <w:t>5</w:t>
      </w: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2</w:t>
      </w:r>
      <w:r w:rsidRPr="004251E4">
        <w:rPr>
          <w:rFonts w:ascii="Times New Roman" w:hAnsi="Times New Roman"/>
          <w:color w:val="000000" w:themeColor="text1"/>
          <w:spacing w:val="-3"/>
          <w:sz w:val="22"/>
          <w:szCs w:val="22"/>
        </w:rPr>
        <w:t>9</w:t>
      </w:r>
      <w:r w:rsidRPr="004251E4" w:rsidR="000A4F2B">
        <w:rPr>
          <w:rFonts w:ascii="Times New Roman" w:hAnsi="Times New Roman"/>
          <w:color w:val="000000" w:themeColor="text1"/>
          <w:spacing w:val="-3"/>
          <w:sz w:val="22"/>
          <w:szCs w:val="22"/>
        </w:rPr>
        <w:t>6</w:t>
      </w:r>
      <w:r w:rsidRPr="004251E4">
        <w:rPr>
          <w:rFonts w:ascii="Times New Roman" w:hAnsi="Times New Roman"/>
          <w:color w:val="000000" w:themeColor="text1"/>
          <w:spacing w:val="-3"/>
          <w:sz w:val="22"/>
          <w:szCs w:val="22"/>
        </w:rPr>
        <w:t>.</w:t>
      </w:r>
      <w:r w:rsidRPr="004251E4" w:rsidR="000A4F2B">
        <w:rPr>
          <w:rFonts w:ascii="Times New Roman" w:hAnsi="Times New Roman"/>
          <w:color w:val="000000" w:themeColor="text1"/>
          <w:spacing w:val="-3"/>
          <w:sz w:val="22"/>
          <w:szCs w:val="22"/>
        </w:rPr>
        <w:t>4</w:t>
      </w:r>
      <w:r w:rsidRPr="004251E4">
        <w:rPr>
          <w:rFonts w:ascii="Times New Roman" w:hAnsi="Times New Roman"/>
          <w:color w:val="000000" w:themeColor="text1"/>
          <w:spacing w:val="-3"/>
          <w:sz w:val="22"/>
          <w:szCs w:val="22"/>
        </w:rPr>
        <w:t>9 cost]</w:t>
      </w:r>
    </w:p>
    <w:p w:rsidRPr="004251E4" w:rsidR="00F15ADA" w:rsidP="00F15ADA" w:rsidRDefault="00D47F3C" w14:paraId="08B888BB" w14:textId="0EF19706">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[$2,596.32 </w:t>
      </w:r>
      <w:r w:rsidRPr="004251E4" w:rsidR="00F15ADA">
        <w:rPr>
          <w:rFonts w:ascii="Times New Roman" w:hAnsi="Times New Roman"/>
          <w:color w:val="000000" w:themeColor="text1"/>
          <w:spacing w:val="-3"/>
          <w:sz w:val="22"/>
          <w:szCs w:val="22"/>
        </w:rPr>
        <w:t>+ $</w:t>
      </w:r>
      <w:r w:rsidRPr="004251E4">
        <w:rPr>
          <w:rFonts w:ascii="Times New Roman" w:hAnsi="Times New Roman"/>
          <w:color w:val="000000" w:themeColor="text1"/>
          <w:spacing w:val="-3"/>
          <w:sz w:val="22"/>
          <w:szCs w:val="22"/>
        </w:rPr>
        <w:t xml:space="preserve">5,296.49 </w:t>
      </w:r>
      <w:r w:rsidRPr="004251E4" w:rsidR="00F15ADA">
        <w:rPr>
          <w:rFonts w:ascii="Times New Roman" w:hAnsi="Times New Roman"/>
          <w:color w:val="000000" w:themeColor="text1"/>
          <w:spacing w:val="-3"/>
          <w:sz w:val="22"/>
          <w:szCs w:val="22"/>
        </w:rPr>
        <w:t xml:space="preserve">= </w:t>
      </w:r>
      <w:r w:rsidRPr="004251E4" w:rsidR="00F15ADA">
        <w:rPr>
          <w:rFonts w:ascii="Times New Roman" w:hAnsi="Times New Roman"/>
          <w:b/>
          <w:color w:val="000000" w:themeColor="text1"/>
          <w:spacing w:val="-3"/>
          <w:sz w:val="22"/>
          <w:szCs w:val="22"/>
        </w:rPr>
        <w:t>$</w:t>
      </w:r>
      <w:r w:rsidRPr="004251E4">
        <w:rPr>
          <w:rFonts w:ascii="Times New Roman" w:hAnsi="Times New Roman"/>
          <w:b/>
          <w:color w:val="000000" w:themeColor="text1"/>
          <w:spacing w:val="-3"/>
          <w:sz w:val="22"/>
          <w:szCs w:val="22"/>
        </w:rPr>
        <w:t>7</w:t>
      </w:r>
      <w:r w:rsidRPr="004251E4" w:rsidR="00F15ADA">
        <w:rPr>
          <w:rFonts w:ascii="Times New Roman" w:hAnsi="Times New Roman"/>
          <w:b/>
          <w:color w:val="000000" w:themeColor="text1"/>
          <w:spacing w:val="-3"/>
          <w:sz w:val="22"/>
          <w:szCs w:val="22"/>
        </w:rPr>
        <w:t>,</w:t>
      </w:r>
      <w:r w:rsidRPr="004251E4">
        <w:rPr>
          <w:rFonts w:ascii="Times New Roman" w:hAnsi="Times New Roman"/>
          <w:b/>
          <w:color w:val="000000" w:themeColor="text1"/>
          <w:spacing w:val="-3"/>
          <w:sz w:val="22"/>
          <w:szCs w:val="22"/>
        </w:rPr>
        <w:t>892.81</w:t>
      </w:r>
      <w:r w:rsidRPr="004251E4" w:rsidR="00F15ADA">
        <w:rPr>
          <w:rFonts w:ascii="Times New Roman" w:hAnsi="Times New Roman"/>
          <w:b/>
          <w:color w:val="000000" w:themeColor="text1"/>
          <w:spacing w:val="-3"/>
          <w:sz w:val="22"/>
          <w:szCs w:val="22"/>
        </w:rPr>
        <w:t xml:space="preserve"> </w:t>
      </w:r>
      <w:r w:rsidRPr="004251E4">
        <w:rPr>
          <w:rFonts w:ascii="Times New Roman" w:hAnsi="Times New Roman"/>
          <w:b/>
          <w:color w:val="000000" w:themeColor="text1"/>
          <w:spacing w:val="-3"/>
          <w:sz w:val="22"/>
          <w:szCs w:val="22"/>
        </w:rPr>
        <w:t xml:space="preserve">added </w:t>
      </w:r>
      <w:r w:rsidRPr="004251E4" w:rsidR="00F15ADA">
        <w:rPr>
          <w:rFonts w:ascii="Times New Roman" w:hAnsi="Times New Roman"/>
          <w:b/>
          <w:color w:val="000000" w:themeColor="text1"/>
          <w:spacing w:val="-3"/>
          <w:sz w:val="22"/>
          <w:szCs w:val="22"/>
        </w:rPr>
        <w:t>in-house cost</w:t>
      </w:r>
      <w:r w:rsidRPr="004251E4">
        <w:rPr>
          <w:rFonts w:ascii="Times New Roman" w:hAnsi="Times New Roman"/>
          <w:b/>
          <w:color w:val="000000" w:themeColor="text1"/>
          <w:spacing w:val="-3"/>
          <w:sz w:val="22"/>
          <w:szCs w:val="22"/>
        </w:rPr>
        <w:t xml:space="preserve"> (</w:t>
      </w:r>
      <w:r w:rsidRPr="004251E4">
        <w:rPr>
          <w:rFonts w:ascii="Times New Roman" w:hAnsi="Times New Roman"/>
          <w:b/>
          <w:i/>
          <w:iCs/>
          <w:color w:val="000000" w:themeColor="text1"/>
          <w:spacing w:val="-3"/>
          <w:sz w:val="22"/>
          <w:szCs w:val="22"/>
        </w:rPr>
        <w:t>for multicast (non-primary) streams</w:t>
      </w:r>
      <w:r w:rsidRPr="004251E4">
        <w:rPr>
          <w:rFonts w:ascii="Times New Roman" w:hAnsi="Times New Roman"/>
          <w:b/>
          <w:color w:val="000000" w:themeColor="text1"/>
          <w:spacing w:val="-3"/>
          <w:sz w:val="22"/>
          <w:szCs w:val="22"/>
        </w:rPr>
        <w:t>)</w:t>
      </w:r>
      <w:r w:rsidRPr="004251E4" w:rsidR="00F15ADA">
        <w:rPr>
          <w:rFonts w:ascii="Times New Roman" w:hAnsi="Times New Roman"/>
          <w:color w:val="000000" w:themeColor="text1"/>
          <w:spacing w:val="-3"/>
          <w:sz w:val="22"/>
          <w:szCs w:val="22"/>
        </w:rPr>
        <w:t>]</w:t>
      </w:r>
    </w:p>
    <w:p w:rsidRPr="004251E4" w:rsidR="00F15ADA" w:rsidP="00D85A7E" w:rsidRDefault="00F15ADA" w14:paraId="776B84AA" w14:textId="7C740EAD">
      <w:pPr>
        <w:suppressAutoHyphens/>
        <w:rPr>
          <w:rFonts w:ascii="Times New Roman" w:hAnsi="Times New Roman"/>
          <w:color w:val="000000" w:themeColor="text1"/>
          <w:spacing w:val="-3"/>
          <w:sz w:val="22"/>
          <w:szCs w:val="22"/>
        </w:rPr>
      </w:pPr>
    </w:p>
    <w:p w:rsidRPr="004251E4" w:rsidR="00D47F3C" w:rsidP="00D85A7E" w:rsidRDefault="00D47F3C" w14:paraId="0B63FA36" w14:textId="13AD71B8">
      <w:pPr>
        <w:suppressAutoHyphens/>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$4,019.49 + $7,892.81 = 11,912.30 in-house cost total</w:t>
      </w:r>
    </w:p>
    <w:p w:rsidRPr="004251E4" w:rsidR="0052387D" w:rsidP="00D85A7E" w:rsidRDefault="0052387D" w14:paraId="5297C236" w14:textId="77777777">
      <w:pPr>
        <w:suppressAutoHyphens/>
        <w:rPr>
          <w:rFonts w:ascii="Times New Roman" w:hAnsi="Times New Roman"/>
          <w:color w:val="000000" w:themeColor="text1"/>
          <w:spacing w:val="-3"/>
          <w:sz w:val="22"/>
          <w:szCs w:val="22"/>
        </w:rPr>
      </w:pPr>
    </w:p>
    <w:p w:rsidRPr="004251E4" w:rsidR="0089485D" w:rsidP="0089485D" w:rsidRDefault="0089485D" w14:paraId="507757F0" w14:textId="77777777">
      <w:pPr>
        <w:suppressAutoHyphens/>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Broadcaster Notices to MVPDs</w:t>
      </w:r>
    </w:p>
    <w:p w:rsidRPr="004251E4" w:rsidR="00EB6884" w:rsidP="00750966" w:rsidRDefault="00EB6884" w14:paraId="0D756B95"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110 </w:t>
      </w:r>
      <w:r w:rsidRPr="004251E4" w:rsidR="009E193D">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will be required to provide notices to MVPDs (that no longer will be required to carry the station’s 1.0 signal due to the move or which currently carry the station’s 1.0 signal from the existing location and will continue to be obligated to carry the station’s 1.0 signal from the new location).</w:t>
      </w:r>
      <w:r w:rsidRPr="004251E4" w:rsidR="0045419F">
        <w:rPr>
          <w:rFonts w:ascii="Times New Roman" w:hAnsi="Times New Roman"/>
          <w:color w:val="000000" w:themeColor="text1"/>
          <w:spacing w:val="-3"/>
          <w:sz w:val="22"/>
          <w:szCs w:val="22"/>
        </w:rPr>
        <w:t xml:space="preserve">  </w:t>
      </w:r>
      <w:r w:rsidRPr="004251E4" w:rsidR="00B30459">
        <w:rPr>
          <w:rFonts w:ascii="Times New Roman" w:hAnsi="Times New Roman"/>
          <w:color w:val="000000" w:themeColor="text1"/>
          <w:spacing w:val="-3"/>
          <w:sz w:val="22"/>
          <w:szCs w:val="22"/>
        </w:rPr>
        <w:t>We estimate that each broadcaster must provide such notice to approximately five (5) MVPDs</w:t>
      </w:r>
      <w:r w:rsidRPr="004251E4" w:rsidR="00C36A26">
        <w:rPr>
          <w:rFonts w:ascii="Times New Roman" w:hAnsi="Times New Roman"/>
          <w:color w:val="000000" w:themeColor="text1"/>
          <w:spacing w:val="-3"/>
          <w:sz w:val="22"/>
          <w:szCs w:val="22"/>
        </w:rPr>
        <w:t>.  [110 broadcasters x 5 MVPDs = 550 notices]</w:t>
      </w:r>
    </w:p>
    <w:p w:rsidRPr="004251E4" w:rsidR="00EB6884" w:rsidP="00750966" w:rsidRDefault="00EB6884" w14:paraId="6CACDAFD" w14:textId="77777777">
      <w:pPr>
        <w:suppressAutoHyphens/>
        <w:rPr>
          <w:rFonts w:ascii="Times New Roman" w:hAnsi="Times New Roman"/>
          <w:color w:val="000000" w:themeColor="text1"/>
          <w:spacing w:val="-3"/>
          <w:sz w:val="22"/>
          <w:szCs w:val="22"/>
        </w:rPr>
      </w:pPr>
    </w:p>
    <w:p w:rsidRPr="004251E4" w:rsidR="00EF2E67" w:rsidP="00976E50" w:rsidRDefault="009E193D" w14:paraId="3E5A0E07"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We estimate that 90% of these broadcasters (99) will </w:t>
      </w:r>
      <w:r w:rsidRPr="004251E4" w:rsidR="00764F65">
        <w:rPr>
          <w:rFonts w:ascii="Times New Roman" w:hAnsi="Times New Roman"/>
          <w:color w:val="000000" w:themeColor="text1"/>
          <w:spacing w:val="-3"/>
          <w:sz w:val="22"/>
          <w:szCs w:val="22"/>
        </w:rPr>
        <w:t xml:space="preserve">prepare </w:t>
      </w:r>
      <w:r w:rsidRPr="004251E4">
        <w:rPr>
          <w:rFonts w:ascii="Times New Roman" w:hAnsi="Times New Roman"/>
          <w:color w:val="000000" w:themeColor="text1"/>
          <w:spacing w:val="-3"/>
          <w:sz w:val="22"/>
          <w:szCs w:val="22"/>
        </w:rPr>
        <w:t xml:space="preserve">notices to MVPDs </w:t>
      </w:r>
      <w:r w:rsidRPr="004251E4">
        <w:rPr>
          <w:rFonts w:ascii="Times New Roman" w:hAnsi="Times New Roman"/>
          <w:color w:val="000000" w:themeColor="text1"/>
          <w:spacing w:val="-3"/>
          <w:sz w:val="22"/>
          <w:szCs w:val="22"/>
          <w:u w:val="single"/>
        </w:rPr>
        <w:t>without</w:t>
      </w:r>
      <w:r w:rsidRPr="004251E4">
        <w:rPr>
          <w:rFonts w:ascii="Times New Roman" w:hAnsi="Times New Roman"/>
          <w:color w:val="000000" w:themeColor="text1"/>
          <w:spacing w:val="-3"/>
          <w:sz w:val="22"/>
          <w:szCs w:val="22"/>
        </w:rPr>
        <w:t xml:space="preserve"> the assistance of outside attorneys and will require two (2) hours preparation, </w:t>
      </w:r>
      <w:r w:rsidRPr="004251E4" w:rsidR="00A536D8">
        <w:rPr>
          <w:rFonts w:ascii="Times New Roman" w:hAnsi="Times New Roman"/>
          <w:color w:val="000000" w:themeColor="text1"/>
          <w:spacing w:val="-3"/>
          <w:sz w:val="22"/>
          <w:szCs w:val="22"/>
        </w:rPr>
        <w:t xml:space="preserve">plus an additional 0.25 hours (15 minutes) to </w:t>
      </w:r>
      <w:r w:rsidRPr="004251E4" w:rsidR="00FB6CA5">
        <w:rPr>
          <w:rFonts w:ascii="Times New Roman" w:hAnsi="Times New Roman"/>
          <w:color w:val="000000" w:themeColor="text1"/>
          <w:spacing w:val="-3"/>
          <w:sz w:val="22"/>
          <w:szCs w:val="22"/>
        </w:rPr>
        <w:t>tailor</w:t>
      </w:r>
      <w:r w:rsidRPr="004251E4" w:rsidR="00A536D8">
        <w:rPr>
          <w:rFonts w:ascii="Times New Roman" w:hAnsi="Times New Roman"/>
          <w:color w:val="000000" w:themeColor="text1"/>
          <w:spacing w:val="-3"/>
          <w:sz w:val="22"/>
          <w:szCs w:val="22"/>
        </w:rPr>
        <w:t xml:space="preserve"> each notice</w:t>
      </w:r>
      <w:r w:rsidRPr="004251E4" w:rsidR="00FB6CA5">
        <w:rPr>
          <w:rFonts w:ascii="Times New Roman" w:hAnsi="Times New Roman"/>
          <w:color w:val="000000" w:themeColor="text1"/>
          <w:spacing w:val="-3"/>
          <w:sz w:val="22"/>
          <w:szCs w:val="22"/>
        </w:rPr>
        <w:t xml:space="preserve"> to the specific MVPD recipient</w:t>
      </w:r>
      <w:r w:rsidRPr="004251E4" w:rsidR="00A536D8">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while 10% (11) will </w:t>
      </w:r>
      <w:r w:rsidRPr="004251E4" w:rsidR="00764F65">
        <w:rPr>
          <w:rFonts w:ascii="Times New Roman" w:hAnsi="Times New Roman"/>
          <w:color w:val="000000" w:themeColor="text1"/>
          <w:spacing w:val="-3"/>
          <w:sz w:val="22"/>
          <w:szCs w:val="22"/>
        </w:rPr>
        <w:t>prepare</w:t>
      </w:r>
      <w:r w:rsidRPr="004251E4">
        <w:rPr>
          <w:rFonts w:ascii="Times New Roman" w:hAnsi="Times New Roman"/>
          <w:color w:val="000000" w:themeColor="text1"/>
          <w:spacing w:val="-3"/>
          <w:sz w:val="22"/>
          <w:szCs w:val="22"/>
        </w:rPr>
        <w:t xml:space="preserve"> notices to MVPDs </w:t>
      </w:r>
      <w:r w:rsidRPr="004251E4">
        <w:rPr>
          <w:rFonts w:ascii="Times New Roman" w:hAnsi="Times New Roman"/>
          <w:color w:val="000000" w:themeColor="text1"/>
          <w:spacing w:val="-3"/>
          <w:sz w:val="22"/>
          <w:szCs w:val="22"/>
          <w:u w:val="single"/>
        </w:rPr>
        <w:t>with</w:t>
      </w:r>
      <w:r w:rsidRPr="004251E4">
        <w:rPr>
          <w:rFonts w:ascii="Times New Roman" w:hAnsi="Times New Roman"/>
          <w:color w:val="000000" w:themeColor="text1"/>
          <w:spacing w:val="-3"/>
          <w:sz w:val="22"/>
          <w:szCs w:val="22"/>
        </w:rPr>
        <w:t xml:space="preserve"> the assistance of outside attorneys</w:t>
      </w:r>
      <w:r w:rsidRPr="004251E4" w:rsidR="004679B8">
        <w:rPr>
          <w:rFonts w:ascii="Times New Roman" w:hAnsi="Times New Roman"/>
          <w:color w:val="000000" w:themeColor="text1"/>
          <w:spacing w:val="-3"/>
          <w:sz w:val="22"/>
          <w:szCs w:val="22"/>
        </w:rPr>
        <w:t xml:space="preserve"> and will require one (1) hour consultation</w:t>
      </w:r>
      <w:r w:rsidRPr="004251E4" w:rsidR="00A536D8">
        <w:rPr>
          <w:rFonts w:ascii="Times New Roman" w:hAnsi="Times New Roman"/>
          <w:color w:val="000000" w:themeColor="text1"/>
          <w:spacing w:val="-3"/>
          <w:sz w:val="22"/>
          <w:szCs w:val="22"/>
        </w:rPr>
        <w:t xml:space="preserve">, plus an additional 0.25 hours (15 minutes) </w:t>
      </w:r>
      <w:r w:rsidRPr="004251E4" w:rsidR="00FB6CA5">
        <w:rPr>
          <w:rFonts w:ascii="Times New Roman" w:hAnsi="Times New Roman"/>
          <w:color w:val="000000" w:themeColor="text1"/>
          <w:spacing w:val="-3"/>
          <w:sz w:val="22"/>
          <w:szCs w:val="22"/>
        </w:rPr>
        <w:t>to tailor each notice to the specific MVPD recipient</w:t>
      </w:r>
      <w:r w:rsidRPr="004251E4">
        <w:rPr>
          <w:rFonts w:ascii="Times New Roman" w:hAnsi="Times New Roman"/>
          <w:color w:val="000000" w:themeColor="text1"/>
          <w:spacing w:val="-3"/>
          <w:sz w:val="22"/>
          <w:szCs w:val="22"/>
        </w:rPr>
        <w:t xml:space="preserve">. </w:t>
      </w:r>
      <w:r w:rsidRPr="004251E4" w:rsidR="00764F65">
        <w:rPr>
          <w:rFonts w:ascii="Times New Roman" w:hAnsi="Times New Roman"/>
          <w:color w:val="000000" w:themeColor="text1"/>
          <w:spacing w:val="-3"/>
          <w:sz w:val="22"/>
          <w:szCs w:val="22"/>
        </w:rPr>
        <w:t xml:space="preserve"> </w:t>
      </w:r>
    </w:p>
    <w:p w:rsidRPr="004251E4" w:rsidR="00EF2E67" w:rsidP="00976E50" w:rsidRDefault="00EF2E67" w14:paraId="1FD8EE99" w14:textId="77777777">
      <w:pPr>
        <w:suppressAutoHyphens/>
        <w:rPr>
          <w:rFonts w:ascii="Times New Roman" w:hAnsi="Times New Roman"/>
          <w:color w:val="000000" w:themeColor="text1"/>
          <w:spacing w:val="-3"/>
          <w:sz w:val="22"/>
          <w:szCs w:val="22"/>
        </w:rPr>
      </w:pPr>
    </w:p>
    <w:p w:rsidRPr="004251E4" w:rsidR="008E6563" w:rsidP="00976E50" w:rsidRDefault="009E193D" w14:paraId="60462511"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[99 </w:t>
      </w:r>
      <w:r w:rsidRPr="004251E4" w:rsidR="00A536D8">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x 2 hours = 198 hours</w:t>
      </w:r>
      <w:r w:rsidRPr="004251E4" w:rsidR="008E6563">
        <w:rPr>
          <w:rFonts w:ascii="Times New Roman" w:hAnsi="Times New Roman"/>
          <w:color w:val="000000" w:themeColor="text1"/>
          <w:spacing w:val="-3"/>
          <w:sz w:val="22"/>
          <w:szCs w:val="22"/>
        </w:rPr>
        <w:t xml:space="preserve"> x $48.08/hours = $9,519.84]</w:t>
      </w:r>
      <w:r w:rsidRPr="004251E4" w:rsidR="008E6563">
        <w:rPr>
          <w:rStyle w:val="FootnoteReference"/>
          <w:rFonts w:ascii="Times New Roman" w:hAnsi="Times New Roman"/>
          <w:color w:val="000000" w:themeColor="text1"/>
          <w:spacing w:val="-3"/>
          <w:sz w:val="22"/>
          <w:szCs w:val="22"/>
        </w:rPr>
        <w:footnoteReference w:id="14"/>
      </w:r>
    </w:p>
    <w:p w:rsidRPr="004251E4" w:rsidR="008E6563" w:rsidP="00976E50" w:rsidRDefault="00F61702" w14:paraId="7E08F3EF"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 </w:t>
      </w:r>
      <w:r w:rsidRPr="004251E4" w:rsidR="00A536D8">
        <w:rPr>
          <w:rFonts w:ascii="Times New Roman" w:hAnsi="Times New Roman"/>
          <w:color w:val="000000" w:themeColor="text1"/>
          <w:spacing w:val="-3"/>
          <w:sz w:val="22"/>
          <w:szCs w:val="22"/>
        </w:rPr>
        <w:t>+</w:t>
      </w:r>
    </w:p>
    <w:p w:rsidRPr="004251E4" w:rsidR="00F61702" w:rsidP="00976E50" w:rsidRDefault="00A536D8" w14:paraId="38831435"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[495 notices x 0.25 hours = 123.75 hours</w:t>
      </w:r>
      <w:r w:rsidRPr="004251E4" w:rsidR="008E6563">
        <w:rPr>
          <w:rFonts w:ascii="Times New Roman" w:hAnsi="Times New Roman"/>
          <w:color w:val="000000" w:themeColor="text1"/>
          <w:spacing w:val="-3"/>
          <w:sz w:val="22"/>
          <w:szCs w:val="22"/>
        </w:rPr>
        <w:t xml:space="preserve"> x $48.08/hours = $5,949.90</w:t>
      </w:r>
      <w:r w:rsidRPr="004251E4">
        <w:rPr>
          <w:rFonts w:ascii="Times New Roman" w:hAnsi="Times New Roman"/>
          <w:color w:val="000000" w:themeColor="text1"/>
          <w:spacing w:val="-3"/>
          <w:sz w:val="22"/>
          <w:szCs w:val="22"/>
        </w:rPr>
        <w:t>]</w:t>
      </w:r>
      <w:r w:rsidRPr="004251E4" w:rsidR="008E6563">
        <w:rPr>
          <w:rStyle w:val="FootnoteReference"/>
          <w:rFonts w:ascii="Times New Roman" w:hAnsi="Times New Roman"/>
          <w:color w:val="000000" w:themeColor="text1"/>
          <w:spacing w:val="-3"/>
          <w:sz w:val="22"/>
          <w:szCs w:val="22"/>
        </w:rPr>
        <w:footnoteReference w:id="15"/>
      </w:r>
      <w:r w:rsidRPr="004251E4" w:rsidR="00F61702">
        <w:rPr>
          <w:rFonts w:ascii="Times New Roman" w:hAnsi="Times New Roman"/>
          <w:color w:val="000000" w:themeColor="text1"/>
          <w:spacing w:val="-3"/>
          <w:sz w:val="22"/>
          <w:szCs w:val="22"/>
        </w:rPr>
        <w:t xml:space="preserve"> </w:t>
      </w:r>
    </w:p>
    <w:p w:rsidRPr="004251E4" w:rsidR="00F61702" w:rsidP="00976E50" w:rsidRDefault="00F61702" w14:paraId="17AAFCD0"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($9,519.84 + $5,949.90 = $15,469.74)</w:t>
      </w:r>
      <w:r w:rsidRPr="004251E4" w:rsidR="00422775">
        <w:rPr>
          <w:rFonts w:ascii="Times New Roman" w:hAnsi="Times New Roman"/>
          <w:color w:val="000000" w:themeColor="text1"/>
          <w:spacing w:val="-3"/>
          <w:sz w:val="22"/>
          <w:szCs w:val="22"/>
        </w:rPr>
        <w:t xml:space="preserve"> OR (</w:t>
      </w:r>
      <w:r w:rsidRPr="004251E4">
        <w:rPr>
          <w:rFonts w:ascii="Times New Roman" w:hAnsi="Times New Roman"/>
          <w:color w:val="000000" w:themeColor="text1"/>
          <w:spacing w:val="-3"/>
          <w:sz w:val="22"/>
          <w:szCs w:val="22"/>
        </w:rPr>
        <w:t xml:space="preserve">321.75 </w:t>
      </w:r>
      <w:proofErr w:type="spellStart"/>
      <w:r w:rsidRPr="004251E4">
        <w:rPr>
          <w:rFonts w:ascii="Times New Roman" w:hAnsi="Times New Roman"/>
          <w:color w:val="000000" w:themeColor="text1"/>
          <w:spacing w:val="-3"/>
          <w:sz w:val="22"/>
          <w:szCs w:val="22"/>
        </w:rPr>
        <w:t>hrs</w:t>
      </w:r>
      <w:proofErr w:type="spellEnd"/>
      <w:r w:rsidRPr="004251E4">
        <w:rPr>
          <w:rFonts w:ascii="Times New Roman" w:hAnsi="Times New Roman"/>
          <w:color w:val="000000" w:themeColor="text1"/>
          <w:spacing w:val="-3"/>
          <w:sz w:val="22"/>
          <w:szCs w:val="22"/>
        </w:rPr>
        <w:t xml:space="preserve"> x $48.08/hours = $15,469.74</w:t>
      </w:r>
      <w:r w:rsidRPr="004251E4" w:rsidR="00422775">
        <w:rPr>
          <w:rFonts w:ascii="Times New Roman" w:hAnsi="Times New Roman"/>
          <w:color w:val="000000" w:themeColor="text1"/>
          <w:spacing w:val="-3"/>
          <w:sz w:val="22"/>
          <w:szCs w:val="22"/>
        </w:rPr>
        <w:t>)</w:t>
      </w:r>
    </w:p>
    <w:p w:rsidRPr="004251E4" w:rsidR="00F61702" w:rsidP="00976E50" w:rsidRDefault="00F61702" w14:paraId="15B17CF3" w14:textId="77777777">
      <w:pPr>
        <w:suppressAutoHyphens/>
        <w:rPr>
          <w:rFonts w:ascii="Times New Roman" w:hAnsi="Times New Roman"/>
          <w:color w:val="000000" w:themeColor="text1"/>
          <w:spacing w:val="-3"/>
          <w:sz w:val="22"/>
          <w:szCs w:val="22"/>
        </w:rPr>
      </w:pPr>
    </w:p>
    <w:p w:rsidRPr="004251E4" w:rsidR="00F61702" w:rsidP="00976E50" w:rsidRDefault="009E193D" w14:paraId="55133165"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[11 </w:t>
      </w:r>
      <w:r w:rsidRPr="004251E4" w:rsidR="00A536D8">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x </w:t>
      </w:r>
      <w:r w:rsidRPr="004251E4" w:rsidR="004679B8">
        <w:rPr>
          <w:rFonts w:ascii="Times New Roman" w:hAnsi="Times New Roman"/>
          <w:color w:val="000000" w:themeColor="text1"/>
          <w:spacing w:val="-3"/>
          <w:sz w:val="22"/>
          <w:szCs w:val="22"/>
        </w:rPr>
        <w:t>1</w:t>
      </w:r>
      <w:r w:rsidRPr="004251E4">
        <w:rPr>
          <w:rFonts w:ascii="Times New Roman" w:hAnsi="Times New Roman"/>
          <w:color w:val="000000" w:themeColor="text1"/>
          <w:spacing w:val="-3"/>
          <w:sz w:val="22"/>
          <w:szCs w:val="22"/>
        </w:rPr>
        <w:t xml:space="preserve"> hour = </w:t>
      </w:r>
      <w:r w:rsidRPr="004251E4" w:rsidR="004679B8">
        <w:rPr>
          <w:rFonts w:ascii="Times New Roman" w:hAnsi="Times New Roman"/>
          <w:color w:val="000000" w:themeColor="text1"/>
          <w:spacing w:val="-3"/>
          <w:sz w:val="22"/>
          <w:szCs w:val="22"/>
        </w:rPr>
        <w:t>11</w:t>
      </w:r>
      <w:r w:rsidRPr="004251E4">
        <w:rPr>
          <w:rFonts w:ascii="Times New Roman" w:hAnsi="Times New Roman"/>
          <w:color w:val="000000" w:themeColor="text1"/>
          <w:spacing w:val="-3"/>
          <w:sz w:val="22"/>
          <w:szCs w:val="22"/>
        </w:rPr>
        <w:t xml:space="preserve"> hours</w:t>
      </w:r>
      <w:r w:rsidRPr="004251E4" w:rsidR="00F61702">
        <w:rPr>
          <w:rFonts w:ascii="Times New Roman" w:hAnsi="Times New Roman"/>
          <w:color w:val="000000" w:themeColor="text1"/>
          <w:spacing w:val="-3"/>
          <w:sz w:val="22"/>
          <w:szCs w:val="22"/>
        </w:rPr>
        <w:t xml:space="preserve"> x $48.08/hours = $528.88</w:t>
      </w:r>
      <w:r w:rsidRPr="004251E4">
        <w:rPr>
          <w:rFonts w:ascii="Times New Roman" w:hAnsi="Times New Roman"/>
          <w:color w:val="000000" w:themeColor="text1"/>
          <w:spacing w:val="-3"/>
          <w:sz w:val="22"/>
          <w:szCs w:val="22"/>
        </w:rPr>
        <w:t>]</w:t>
      </w:r>
      <w:r w:rsidRPr="004251E4" w:rsidR="00F61702">
        <w:rPr>
          <w:rStyle w:val="FootnoteReference"/>
          <w:rFonts w:ascii="Times New Roman" w:hAnsi="Times New Roman"/>
          <w:color w:val="000000" w:themeColor="text1"/>
          <w:spacing w:val="-3"/>
          <w:sz w:val="22"/>
          <w:szCs w:val="22"/>
        </w:rPr>
        <w:footnoteReference w:id="16"/>
      </w:r>
    </w:p>
    <w:p w:rsidRPr="004251E4" w:rsidR="00F61702" w:rsidP="00976E50" w:rsidRDefault="00A536D8" w14:paraId="5C5AD598"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 +</w:t>
      </w:r>
    </w:p>
    <w:p w:rsidRPr="004251E4" w:rsidR="009E193D" w:rsidP="00976E50" w:rsidRDefault="00A536D8" w14:paraId="23C10342"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[55 not</w:t>
      </w:r>
      <w:r w:rsidRPr="004251E4" w:rsidR="00F61702">
        <w:rPr>
          <w:rFonts w:ascii="Times New Roman" w:hAnsi="Times New Roman"/>
          <w:color w:val="000000" w:themeColor="text1"/>
          <w:spacing w:val="-3"/>
          <w:sz w:val="22"/>
          <w:szCs w:val="22"/>
        </w:rPr>
        <w:t>ices x 0.25 hours = 13.75 hours x $48.08/hours = $661.10]</w:t>
      </w:r>
      <w:r w:rsidRPr="004251E4" w:rsidR="00F61702">
        <w:rPr>
          <w:rStyle w:val="FootnoteReference"/>
          <w:rFonts w:ascii="Times New Roman" w:hAnsi="Times New Roman"/>
          <w:color w:val="000000" w:themeColor="text1"/>
          <w:spacing w:val="-3"/>
          <w:sz w:val="22"/>
          <w:szCs w:val="22"/>
        </w:rPr>
        <w:footnoteReference w:id="17"/>
      </w:r>
    </w:p>
    <w:p w:rsidRPr="004251E4" w:rsidR="00F61702" w:rsidP="008A32DD" w:rsidRDefault="00F61702" w14:paraId="3EA6C90D"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($528.88 + $661.10 = $1,189.98)</w:t>
      </w:r>
      <w:r w:rsidRPr="004251E4" w:rsidR="00422775">
        <w:rPr>
          <w:rFonts w:ascii="Times New Roman" w:hAnsi="Times New Roman"/>
          <w:color w:val="000000" w:themeColor="text1"/>
          <w:spacing w:val="-3"/>
          <w:sz w:val="22"/>
          <w:szCs w:val="22"/>
        </w:rPr>
        <w:t xml:space="preserve"> OR (24.75 </w:t>
      </w:r>
      <w:proofErr w:type="spellStart"/>
      <w:r w:rsidRPr="004251E4" w:rsidR="00422775">
        <w:rPr>
          <w:rFonts w:ascii="Times New Roman" w:hAnsi="Times New Roman"/>
          <w:color w:val="000000" w:themeColor="text1"/>
          <w:spacing w:val="-3"/>
          <w:sz w:val="22"/>
          <w:szCs w:val="22"/>
        </w:rPr>
        <w:t>hrs</w:t>
      </w:r>
      <w:proofErr w:type="spellEnd"/>
      <w:r w:rsidRPr="004251E4" w:rsidR="00422775">
        <w:rPr>
          <w:rFonts w:ascii="Times New Roman" w:hAnsi="Times New Roman"/>
          <w:color w:val="000000" w:themeColor="text1"/>
          <w:spacing w:val="-3"/>
          <w:sz w:val="22"/>
          <w:szCs w:val="22"/>
        </w:rPr>
        <w:t xml:space="preserve"> x $48.08/hours = $1,189.98)</w:t>
      </w:r>
    </w:p>
    <w:p w:rsidRPr="004251E4" w:rsidR="00F61702" w:rsidP="008A32DD" w:rsidRDefault="00F61702" w14:paraId="1F7BDBE7" w14:textId="77777777">
      <w:pPr>
        <w:suppressAutoHyphens/>
        <w:rPr>
          <w:rFonts w:ascii="Times New Roman" w:hAnsi="Times New Roman"/>
          <w:color w:val="000000" w:themeColor="text1"/>
          <w:spacing w:val="-3"/>
          <w:sz w:val="22"/>
          <w:szCs w:val="22"/>
        </w:rPr>
      </w:pPr>
    </w:p>
    <w:p w:rsidRPr="004251E4" w:rsidR="00F61702" w:rsidP="008A32DD" w:rsidRDefault="00F61702" w14:paraId="6DB00123" w14:textId="77777777">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$15,469.74 + $1,189.98 = </w:t>
      </w:r>
      <w:r w:rsidRPr="004251E4">
        <w:rPr>
          <w:rFonts w:ascii="Times New Roman" w:hAnsi="Times New Roman"/>
          <w:b/>
          <w:color w:val="000000" w:themeColor="text1"/>
          <w:spacing w:val="-3"/>
          <w:sz w:val="22"/>
          <w:szCs w:val="22"/>
        </w:rPr>
        <w:t>$16,659.72 in-house cost</w:t>
      </w:r>
    </w:p>
    <w:p w:rsidRPr="004251E4" w:rsidR="00F61702" w:rsidP="008A32DD" w:rsidRDefault="00F61702" w14:paraId="14287BDA" w14:textId="5482E84F">
      <w:pPr>
        <w:suppressAutoHyphens/>
        <w:rPr>
          <w:rFonts w:ascii="Times New Roman" w:hAnsi="Times New Roman"/>
          <w:color w:val="000000" w:themeColor="text1"/>
          <w:spacing w:val="-3"/>
          <w:sz w:val="22"/>
          <w:szCs w:val="22"/>
        </w:rPr>
      </w:pPr>
    </w:p>
    <w:p w:rsidRPr="004251E4" w:rsidR="006324B9" w:rsidP="008A32DD" w:rsidRDefault="00BF2F2C" w14:paraId="33AD5984" w14:textId="77777777">
      <w:pPr>
        <w:suppressAutoHyphens/>
        <w:rPr>
          <w:rFonts w:ascii="Times New Roman" w:hAnsi="Times New Roman"/>
          <w:color w:val="000000" w:themeColor="text1"/>
          <w:spacing w:val="-3"/>
          <w:sz w:val="22"/>
          <w:szCs w:val="22"/>
        </w:rPr>
      </w:pPr>
      <w:r w:rsidRPr="004251E4">
        <w:rPr>
          <w:rFonts w:ascii="Times New Roman" w:hAnsi="Times New Roman"/>
          <w:b/>
          <w:bCs/>
          <w:color w:val="000000" w:themeColor="text1"/>
          <w:spacing w:val="-3"/>
          <w:sz w:val="22"/>
          <w:szCs w:val="22"/>
          <w:u w:val="single"/>
        </w:rPr>
        <w:lastRenderedPageBreak/>
        <w:t>Added Burden</w:t>
      </w:r>
      <w:r w:rsidRPr="004251E4">
        <w:rPr>
          <w:rFonts w:ascii="Times New Roman" w:hAnsi="Times New Roman"/>
          <w:color w:val="000000" w:themeColor="text1"/>
          <w:spacing w:val="-3"/>
          <w:sz w:val="22"/>
          <w:szCs w:val="22"/>
        </w:rPr>
        <w:t xml:space="preserve">:  </w:t>
      </w:r>
      <w:r w:rsidRPr="004251E4" w:rsidR="000669AF">
        <w:rPr>
          <w:rFonts w:ascii="Times New Roman" w:hAnsi="Times New Roman"/>
          <w:color w:val="000000" w:themeColor="text1"/>
          <w:spacing w:val="-3"/>
          <w:sz w:val="22"/>
          <w:szCs w:val="22"/>
        </w:rPr>
        <w:t xml:space="preserve">As discussed above, we estimate that 72 applications (66+6) will involve multicast streams.  However, </w:t>
      </w:r>
      <w:r w:rsidRPr="004251E4">
        <w:rPr>
          <w:rFonts w:ascii="Times New Roman" w:hAnsi="Times New Roman"/>
          <w:color w:val="000000" w:themeColor="text1"/>
          <w:spacing w:val="-3"/>
          <w:sz w:val="22"/>
          <w:szCs w:val="22"/>
        </w:rPr>
        <w:t xml:space="preserve">multicast streams are not </w:t>
      </w:r>
      <w:r w:rsidRPr="004251E4" w:rsidR="006324B9">
        <w:rPr>
          <w:rFonts w:ascii="Times New Roman" w:hAnsi="Times New Roman"/>
          <w:color w:val="000000" w:themeColor="text1"/>
          <w:spacing w:val="-3"/>
          <w:sz w:val="22"/>
          <w:szCs w:val="22"/>
        </w:rPr>
        <w:t>often</w:t>
      </w:r>
      <w:r w:rsidRPr="004251E4">
        <w:rPr>
          <w:rFonts w:ascii="Times New Roman" w:hAnsi="Times New Roman"/>
          <w:color w:val="000000" w:themeColor="text1"/>
          <w:spacing w:val="-3"/>
          <w:sz w:val="22"/>
          <w:szCs w:val="22"/>
        </w:rPr>
        <w:t xml:space="preserve"> carried by MVPDs</w:t>
      </w:r>
      <w:r w:rsidRPr="004251E4" w:rsidR="006324B9">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To the extent that multicast streams may be carried by MVPDs, they will not be carried by new MVPDs that are not already carrying the station’s primary stream.  Thus, </w:t>
      </w:r>
      <w:r w:rsidRPr="004251E4" w:rsidR="00B96F88">
        <w:rPr>
          <w:rFonts w:ascii="Times New Roman" w:hAnsi="Times New Roman"/>
          <w:color w:val="000000" w:themeColor="text1"/>
          <w:spacing w:val="-3"/>
          <w:sz w:val="22"/>
          <w:szCs w:val="22"/>
        </w:rPr>
        <w:t>the number of notices will not increase because these broadcasters are already providing notices for their primary streams.</w:t>
      </w:r>
      <w:r w:rsidRPr="004251E4" w:rsidR="00A74427">
        <w:rPr>
          <w:rFonts w:ascii="Times New Roman" w:hAnsi="Times New Roman"/>
          <w:color w:val="000000" w:themeColor="text1"/>
          <w:spacing w:val="-3"/>
          <w:sz w:val="22"/>
          <w:szCs w:val="22"/>
        </w:rPr>
        <w:t xml:space="preserve">  </w:t>
      </w:r>
      <w:r w:rsidRPr="004251E4" w:rsidR="006324B9">
        <w:rPr>
          <w:rFonts w:ascii="Times New Roman" w:hAnsi="Times New Roman"/>
          <w:color w:val="000000" w:themeColor="text1"/>
          <w:spacing w:val="-3"/>
          <w:sz w:val="22"/>
          <w:szCs w:val="22"/>
        </w:rPr>
        <w:t xml:space="preserve">Instead, broadcasters that have a multicast stream that is carried by an MVPD will need to add additional information to the required notice that must be sent to such MVPD.  </w:t>
      </w:r>
    </w:p>
    <w:p w:rsidRPr="004251E4" w:rsidR="006324B9" w:rsidP="008A32DD" w:rsidRDefault="006324B9" w14:paraId="438A921B" w14:textId="77777777">
      <w:pPr>
        <w:suppressAutoHyphens/>
        <w:rPr>
          <w:rFonts w:ascii="Times New Roman" w:hAnsi="Times New Roman"/>
          <w:color w:val="000000" w:themeColor="text1"/>
          <w:spacing w:val="-3"/>
          <w:sz w:val="22"/>
          <w:szCs w:val="22"/>
        </w:rPr>
      </w:pPr>
    </w:p>
    <w:p w:rsidRPr="004251E4" w:rsidR="006324B9" w:rsidP="008A32DD" w:rsidRDefault="006324B9" w14:paraId="3753342A" w14:textId="582F6926">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We estimate that of the 72 broadcasters airing multicast streams via a host, 20% </w:t>
      </w:r>
      <w:r w:rsidRPr="004251E4" w:rsidR="007148D9">
        <w:rPr>
          <w:rFonts w:ascii="Times New Roman" w:hAnsi="Times New Roman"/>
          <w:color w:val="000000" w:themeColor="text1"/>
          <w:spacing w:val="-3"/>
          <w:sz w:val="22"/>
          <w:szCs w:val="22"/>
        </w:rPr>
        <w:t xml:space="preserve">(i.e., </w:t>
      </w:r>
      <w:r w:rsidRPr="004251E4">
        <w:rPr>
          <w:rFonts w:ascii="Times New Roman" w:hAnsi="Times New Roman"/>
          <w:color w:val="000000" w:themeColor="text1"/>
          <w:spacing w:val="-3"/>
          <w:sz w:val="22"/>
          <w:szCs w:val="22"/>
        </w:rPr>
        <w:t>14 broadcasters</w:t>
      </w:r>
      <w:r w:rsidRPr="004251E4" w:rsidR="007148D9">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will have a multicast stream that is carried by MVPDs.  Thus, we estimate that 14 broadcasters will need to add information about a multicast stream to an MVPD notice.</w:t>
      </w:r>
      <w:r w:rsidRPr="004251E4" w:rsidR="007148D9">
        <w:rPr>
          <w:rFonts w:ascii="Times New Roman" w:hAnsi="Times New Roman"/>
          <w:color w:val="000000" w:themeColor="text1"/>
          <w:spacing w:val="-3"/>
          <w:sz w:val="22"/>
          <w:szCs w:val="22"/>
        </w:rPr>
        <w:t xml:space="preserve">  We further estimate that 90% of these 14 broadcasters (i.e., 12 broadcasters) will prepare notices to MVPDs </w:t>
      </w:r>
      <w:r w:rsidRPr="004251E4" w:rsidR="007148D9">
        <w:rPr>
          <w:rFonts w:ascii="Times New Roman" w:hAnsi="Times New Roman"/>
          <w:color w:val="000000" w:themeColor="text1"/>
          <w:spacing w:val="-3"/>
          <w:sz w:val="22"/>
          <w:szCs w:val="22"/>
          <w:u w:val="single"/>
        </w:rPr>
        <w:t>without</w:t>
      </w:r>
      <w:r w:rsidRPr="004251E4" w:rsidR="007148D9">
        <w:rPr>
          <w:rFonts w:ascii="Times New Roman" w:hAnsi="Times New Roman"/>
          <w:color w:val="000000" w:themeColor="text1"/>
          <w:spacing w:val="-3"/>
          <w:sz w:val="22"/>
          <w:szCs w:val="22"/>
        </w:rPr>
        <w:t xml:space="preserve"> the assistance of outside attorneys and that adding multicast stream information to these notices will add an additional 0.5 hours (30 minutes) of prep time.  [12 broadcasters x 0.5 hours = 6 hours x $48.08/hours = $288.48 </w:t>
      </w:r>
      <w:r w:rsidRPr="004251E4" w:rsidR="007148D9">
        <w:rPr>
          <w:rFonts w:ascii="Times New Roman" w:hAnsi="Times New Roman"/>
          <w:b/>
          <w:color w:val="000000" w:themeColor="text1"/>
          <w:spacing w:val="-3"/>
          <w:sz w:val="22"/>
          <w:szCs w:val="22"/>
        </w:rPr>
        <w:t>added in-house cost (</w:t>
      </w:r>
      <w:r w:rsidRPr="004251E4" w:rsidR="007148D9">
        <w:rPr>
          <w:rFonts w:ascii="Times New Roman" w:hAnsi="Times New Roman"/>
          <w:b/>
          <w:i/>
          <w:iCs/>
          <w:color w:val="000000" w:themeColor="text1"/>
          <w:spacing w:val="-3"/>
          <w:sz w:val="22"/>
          <w:szCs w:val="22"/>
        </w:rPr>
        <w:t>for multicast streams</w:t>
      </w:r>
      <w:r w:rsidRPr="004251E4" w:rsidR="007148D9">
        <w:rPr>
          <w:rFonts w:ascii="Times New Roman" w:hAnsi="Times New Roman"/>
          <w:b/>
          <w:color w:val="000000" w:themeColor="text1"/>
          <w:spacing w:val="-3"/>
          <w:sz w:val="22"/>
          <w:szCs w:val="22"/>
        </w:rPr>
        <w:t>)</w:t>
      </w:r>
      <w:r w:rsidRPr="004251E4" w:rsidR="007148D9">
        <w:rPr>
          <w:rFonts w:ascii="Times New Roman" w:hAnsi="Times New Roman"/>
          <w:color w:val="000000" w:themeColor="text1"/>
          <w:spacing w:val="-3"/>
          <w:sz w:val="22"/>
          <w:szCs w:val="22"/>
        </w:rPr>
        <w:t>]</w:t>
      </w:r>
    </w:p>
    <w:p w:rsidRPr="004251E4" w:rsidR="006324B9" w:rsidP="008A32DD" w:rsidRDefault="006324B9" w14:paraId="42CB5B8E" w14:textId="77777777">
      <w:pPr>
        <w:suppressAutoHyphens/>
        <w:rPr>
          <w:rFonts w:ascii="Times New Roman" w:hAnsi="Times New Roman"/>
          <w:color w:val="000000" w:themeColor="text1"/>
          <w:spacing w:val="-3"/>
          <w:sz w:val="22"/>
          <w:szCs w:val="22"/>
        </w:rPr>
      </w:pPr>
    </w:p>
    <w:p w:rsidRPr="004251E4" w:rsidR="00BF2F2C" w:rsidP="008A32DD" w:rsidRDefault="005E6E6F" w14:paraId="3D16FBE9" w14:textId="3A25B759">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We estimate that the remaining</w:t>
      </w:r>
      <w:r w:rsidRPr="004251E4" w:rsidR="00B96F88">
        <w:rPr>
          <w:rFonts w:ascii="Times New Roman" w:hAnsi="Times New Roman"/>
          <w:color w:val="000000" w:themeColor="text1"/>
          <w:spacing w:val="-3"/>
          <w:sz w:val="22"/>
          <w:szCs w:val="22"/>
        </w:rPr>
        <w:t xml:space="preserve"> 10% </w:t>
      </w:r>
      <w:r w:rsidRPr="004251E4" w:rsidR="00913855">
        <w:rPr>
          <w:rFonts w:ascii="Times New Roman" w:hAnsi="Times New Roman"/>
          <w:color w:val="000000" w:themeColor="text1"/>
          <w:spacing w:val="-3"/>
          <w:sz w:val="22"/>
          <w:szCs w:val="22"/>
        </w:rPr>
        <w:t xml:space="preserve">of these broadcasters </w:t>
      </w:r>
      <w:r w:rsidRPr="004251E4" w:rsidR="00B96F88">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i.e., </w:t>
      </w:r>
      <w:r w:rsidRPr="004251E4" w:rsidR="00913855">
        <w:rPr>
          <w:rFonts w:ascii="Times New Roman" w:hAnsi="Times New Roman"/>
          <w:color w:val="000000" w:themeColor="text1"/>
          <w:spacing w:val="-3"/>
          <w:sz w:val="22"/>
          <w:szCs w:val="22"/>
        </w:rPr>
        <w:t>2</w:t>
      </w:r>
      <w:r w:rsidRPr="004251E4">
        <w:rPr>
          <w:rFonts w:ascii="Times New Roman" w:hAnsi="Times New Roman"/>
          <w:color w:val="000000" w:themeColor="text1"/>
          <w:spacing w:val="-3"/>
          <w:sz w:val="22"/>
          <w:szCs w:val="22"/>
        </w:rPr>
        <w:t xml:space="preserve"> broadcasters</w:t>
      </w:r>
      <w:r w:rsidRPr="004251E4" w:rsidR="00B96F88">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will prepare notices to </w:t>
      </w:r>
      <w:r w:rsidRPr="004251E4" w:rsidR="00B96F88">
        <w:rPr>
          <w:rFonts w:ascii="Times New Roman" w:hAnsi="Times New Roman"/>
          <w:color w:val="000000" w:themeColor="text1"/>
          <w:spacing w:val="-3"/>
          <w:sz w:val="22"/>
          <w:szCs w:val="22"/>
        </w:rPr>
        <w:t xml:space="preserve">MVPDs </w:t>
      </w:r>
      <w:r w:rsidRPr="004251E4" w:rsidR="00B96F88">
        <w:rPr>
          <w:rFonts w:ascii="Times New Roman" w:hAnsi="Times New Roman"/>
          <w:color w:val="000000" w:themeColor="text1"/>
          <w:spacing w:val="-3"/>
          <w:sz w:val="22"/>
          <w:szCs w:val="22"/>
          <w:u w:val="single"/>
        </w:rPr>
        <w:t>with</w:t>
      </w:r>
      <w:r w:rsidRPr="004251E4" w:rsidR="00B96F88">
        <w:rPr>
          <w:rFonts w:ascii="Times New Roman" w:hAnsi="Times New Roman"/>
          <w:color w:val="000000" w:themeColor="text1"/>
          <w:spacing w:val="-3"/>
          <w:sz w:val="22"/>
          <w:szCs w:val="22"/>
        </w:rPr>
        <w:t xml:space="preserve"> the assistance of outside attorneys and will require </w:t>
      </w:r>
      <w:r w:rsidRPr="004251E4" w:rsidR="00913855">
        <w:rPr>
          <w:rFonts w:ascii="Times New Roman" w:hAnsi="Times New Roman"/>
          <w:color w:val="000000" w:themeColor="text1"/>
          <w:spacing w:val="-3"/>
          <w:sz w:val="22"/>
          <w:szCs w:val="22"/>
        </w:rPr>
        <w:t xml:space="preserve">an additional 0.25 hours (15 minutes) of </w:t>
      </w:r>
      <w:r w:rsidRPr="004251E4" w:rsidR="00B96F88">
        <w:rPr>
          <w:rFonts w:ascii="Times New Roman" w:hAnsi="Times New Roman"/>
          <w:color w:val="000000" w:themeColor="text1"/>
          <w:spacing w:val="-3"/>
          <w:sz w:val="22"/>
          <w:szCs w:val="22"/>
        </w:rPr>
        <w:t xml:space="preserve">consultation. </w:t>
      </w:r>
      <w:r w:rsidRPr="004251E4">
        <w:rPr>
          <w:rFonts w:ascii="Times New Roman" w:hAnsi="Times New Roman"/>
          <w:color w:val="000000" w:themeColor="text1"/>
          <w:spacing w:val="-3"/>
          <w:sz w:val="22"/>
          <w:szCs w:val="22"/>
        </w:rPr>
        <w:t xml:space="preserve">[2 broadcasters x 0.25 hours = 0.5 hours x $48.08/hours = $24.04 </w:t>
      </w:r>
      <w:r w:rsidRPr="004251E4">
        <w:rPr>
          <w:rFonts w:ascii="Times New Roman" w:hAnsi="Times New Roman"/>
          <w:b/>
          <w:color w:val="000000" w:themeColor="text1"/>
          <w:spacing w:val="-3"/>
          <w:sz w:val="22"/>
          <w:szCs w:val="22"/>
        </w:rPr>
        <w:t>added in-house cost (</w:t>
      </w:r>
      <w:r w:rsidRPr="004251E4">
        <w:rPr>
          <w:rFonts w:ascii="Times New Roman" w:hAnsi="Times New Roman"/>
          <w:b/>
          <w:i/>
          <w:iCs/>
          <w:color w:val="000000" w:themeColor="text1"/>
          <w:spacing w:val="-3"/>
          <w:sz w:val="22"/>
          <w:szCs w:val="22"/>
        </w:rPr>
        <w:t>for multicast streams</w:t>
      </w:r>
      <w:r w:rsidRPr="004251E4">
        <w:rPr>
          <w:rFonts w:ascii="Times New Roman" w:hAnsi="Times New Roman"/>
          <w:b/>
          <w:color w:val="000000" w:themeColor="text1"/>
          <w:spacing w:val="-3"/>
          <w:sz w:val="22"/>
          <w:szCs w:val="22"/>
        </w:rPr>
        <w:t>)</w:t>
      </w:r>
      <w:r w:rsidRPr="004251E4">
        <w:rPr>
          <w:rFonts w:ascii="Times New Roman" w:hAnsi="Times New Roman"/>
          <w:color w:val="000000" w:themeColor="text1"/>
          <w:spacing w:val="-3"/>
          <w:sz w:val="22"/>
          <w:szCs w:val="22"/>
        </w:rPr>
        <w:t>]</w:t>
      </w:r>
    </w:p>
    <w:p w:rsidRPr="004251E4" w:rsidR="00B96F88" w:rsidP="008A32DD" w:rsidRDefault="00B96F88" w14:paraId="1B1484A3" w14:textId="58555C8E">
      <w:pPr>
        <w:suppressAutoHyphens/>
        <w:rPr>
          <w:rFonts w:ascii="Times New Roman" w:hAnsi="Times New Roman"/>
          <w:color w:val="000000" w:themeColor="text1"/>
          <w:spacing w:val="-3"/>
          <w:sz w:val="22"/>
          <w:szCs w:val="22"/>
        </w:rPr>
      </w:pPr>
    </w:p>
    <w:p w:rsidRPr="004251E4" w:rsidR="00D00880" w:rsidP="008A32DD" w:rsidRDefault="00D00880" w14:paraId="5DCC9F08" w14:textId="6AA57AB1">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$288.48 </w:t>
      </w:r>
      <w:r w:rsidRPr="004251E4">
        <w:rPr>
          <w:rFonts w:ascii="Times New Roman" w:hAnsi="Times New Roman"/>
          <w:b/>
          <w:color w:val="000000" w:themeColor="text1"/>
          <w:spacing w:val="-3"/>
          <w:sz w:val="22"/>
          <w:szCs w:val="22"/>
        </w:rPr>
        <w:t xml:space="preserve">+ </w:t>
      </w:r>
      <w:r w:rsidRPr="004251E4">
        <w:rPr>
          <w:rFonts w:ascii="Times New Roman" w:hAnsi="Times New Roman"/>
          <w:color w:val="000000" w:themeColor="text1"/>
          <w:spacing w:val="-3"/>
          <w:sz w:val="22"/>
          <w:szCs w:val="22"/>
        </w:rPr>
        <w:t>$24.04 = $312.52 (</w:t>
      </w:r>
      <w:r w:rsidRPr="004251E4">
        <w:rPr>
          <w:rFonts w:ascii="Times New Roman" w:hAnsi="Times New Roman"/>
          <w:b/>
          <w:color w:val="000000" w:themeColor="text1"/>
          <w:spacing w:val="-3"/>
          <w:sz w:val="22"/>
          <w:szCs w:val="22"/>
        </w:rPr>
        <w:t>added in-house cost)</w:t>
      </w:r>
    </w:p>
    <w:p w:rsidRPr="004251E4" w:rsidR="00B96F88" w:rsidP="008A32DD" w:rsidRDefault="005E6E6F" w14:paraId="7EBF8AF1" w14:textId="5EC66680">
      <w:pPr>
        <w:suppressAutoHyphens/>
        <w:rPr>
          <w:rFonts w:ascii="Times New Roman" w:hAnsi="Times New Roman"/>
          <w:b/>
          <w:color w:val="000000" w:themeColor="text1"/>
          <w:spacing w:val="-3"/>
          <w:sz w:val="22"/>
          <w:szCs w:val="22"/>
        </w:rPr>
      </w:pPr>
      <w:r w:rsidRPr="004251E4">
        <w:rPr>
          <w:rFonts w:ascii="Times New Roman" w:hAnsi="Times New Roman"/>
          <w:b/>
          <w:color w:val="000000" w:themeColor="text1"/>
          <w:spacing w:val="-3"/>
          <w:sz w:val="22"/>
          <w:szCs w:val="22"/>
        </w:rPr>
        <w:t xml:space="preserve">$16,659.72 </w:t>
      </w:r>
      <w:r w:rsidRPr="004251E4" w:rsidR="00D00880">
        <w:rPr>
          <w:rFonts w:ascii="Times New Roman" w:hAnsi="Times New Roman"/>
          <w:b/>
          <w:color w:val="000000" w:themeColor="text1"/>
          <w:spacing w:val="-3"/>
          <w:sz w:val="22"/>
          <w:szCs w:val="22"/>
        </w:rPr>
        <w:t>+ $312.52 = $16,972.24 in-house cost total</w:t>
      </w:r>
    </w:p>
    <w:p w:rsidRPr="004251E4" w:rsidR="009E193D" w:rsidP="009E193D" w:rsidRDefault="009E193D" w14:paraId="70240F77" w14:textId="77777777">
      <w:pPr>
        <w:suppressAutoHyphens/>
        <w:rPr>
          <w:rFonts w:ascii="Times New Roman" w:hAnsi="Times New Roman"/>
          <w:color w:val="000000" w:themeColor="text1"/>
          <w:spacing w:val="-3"/>
          <w:sz w:val="22"/>
          <w:szCs w:val="22"/>
        </w:rPr>
      </w:pPr>
    </w:p>
    <w:p w:rsidRPr="004251E4" w:rsidR="009E193D" w:rsidP="009E193D" w:rsidRDefault="009E193D" w14:paraId="32724E0E" w14:textId="77777777">
      <w:pPr>
        <w:suppressAutoHyphens/>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Maintenance of Local Simulcasting Agreements (Recordkeeping)</w:t>
      </w:r>
    </w:p>
    <w:p w:rsidRPr="004251E4" w:rsidR="009E193D" w:rsidP="009E193D" w:rsidRDefault="009E193D" w14:paraId="66293272" w14:textId="2A442EA4">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110 </w:t>
      </w:r>
      <w:r w:rsidRPr="004251E4" w:rsidR="00DD4B4E">
        <w:rPr>
          <w:rFonts w:ascii="Times New Roman" w:hAnsi="Times New Roman"/>
          <w:color w:val="000000" w:themeColor="text1"/>
          <w:spacing w:val="-3"/>
          <w:sz w:val="22"/>
          <w:szCs w:val="22"/>
        </w:rPr>
        <w:t>broadcasters</w:t>
      </w:r>
      <w:r w:rsidRPr="004251E4">
        <w:rPr>
          <w:rFonts w:ascii="Times New Roman" w:hAnsi="Times New Roman"/>
          <w:color w:val="000000" w:themeColor="text1"/>
          <w:spacing w:val="-3"/>
          <w:sz w:val="22"/>
          <w:szCs w:val="22"/>
        </w:rPr>
        <w:t xml:space="preserve"> will be required to maintain a copy of </w:t>
      </w:r>
      <w:r w:rsidRPr="004251E4" w:rsidR="00EB36DC">
        <w:rPr>
          <w:rFonts w:ascii="Times New Roman" w:hAnsi="Times New Roman"/>
          <w:color w:val="000000" w:themeColor="text1"/>
          <w:spacing w:val="-3"/>
          <w:sz w:val="22"/>
          <w:szCs w:val="22"/>
        </w:rPr>
        <w:t>their respective</w:t>
      </w:r>
      <w:r w:rsidRPr="004251E4">
        <w:rPr>
          <w:rFonts w:ascii="Times New Roman" w:hAnsi="Times New Roman"/>
          <w:color w:val="000000" w:themeColor="text1"/>
          <w:spacing w:val="-3"/>
          <w:sz w:val="22"/>
          <w:szCs w:val="22"/>
        </w:rPr>
        <w:t xml:space="preserve"> local simulcasting agreement</w:t>
      </w:r>
      <w:r w:rsidRPr="004251E4" w:rsidR="00DD4B4E">
        <w:rPr>
          <w:rFonts w:ascii="Times New Roman" w:hAnsi="Times New Roman"/>
          <w:color w:val="000000" w:themeColor="text1"/>
          <w:spacing w:val="-3"/>
          <w:sz w:val="22"/>
          <w:szCs w:val="22"/>
        </w:rPr>
        <w:t xml:space="preserve"> </w:t>
      </w:r>
      <w:r w:rsidRPr="004251E4" w:rsidR="00EB36DC">
        <w:rPr>
          <w:rFonts w:ascii="Times New Roman" w:hAnsi="Times New Roman"/>
          <w:color w:val="000000" w:themeColor="text1"/>
          <w:spacing w:val="-3"/>
          <w:sz w:val="22"/>
          <w:szCs w:val="22"/>
        </w:rPr>
        <w:t xml:space="preserve">in their records </w:t>
      </w:r>
      <w:r w:rsidRPr="004251E4" w:rsidR="00DD4B4E">
        <w:rPr>
          <w:rFonts w:ascii="Times New Roman" w:hAnsi="Times New Roman"/>
          <w:color w:val="000000" w:themeColor="text1"/>
          <w:spacing w:val="-3"/>
          <w:sz w:val="22"/>
          <w:szCs w:val="22"/>
        </w:rPr>
        <w:t>to provide to the FCC upon request</w:t>
      </w:r>
      <w:r w:rsidRPr="004251E4">
        <w:rPr>
          <w:rFonts w:ascii="Times New Roman" w:hAnsi="Times New Roman"/>
          <w:color w:val="000000" w:themeColor="text1"/>
          <w:spacing w:val="-3"/>
          <w:sz w:val="22"/>
          <w:szCs w:val="22"/>
        </w:rPr>
        <w:t>.</w:t>
      </w:r>
      <w:r w:rsidRPr="004251E4" w:rsidR="00160903">
        <w:rPr>
          <w:rFonts w:ascii="Times New Roman" w:hAnsi="Times New Roman"/>
          <w:color w:val="000000" w:themeColor="text1"/>
          <w:spacing w:val="-3"/>
          <w:sz w:val="22"/>
          <w:szCs w:val="22"/>
        </w:rPr>
        <w:t xml:space="preserve">  We estimate that it will take broadcasters 0.25 hours (15 minutes) to fulfill this requirement.</w:t>
      </w:r>
      <w:r w:rsidRPr="004251E4" w:rsidR="00FB579C">
        <w:rPr>
          <w:rFonts w:ascii="Times New Roman" w:hAnsi="Times New Roman"/>
          <w:color w:val="000000" w:themeColor="text1"/>
          <w:spacing w:val="-3"/>
          <w:sz w:val="22"/>
          <w:szCs w:val="22"/>
        </w:rPr>
        <w:t xml:space="preserve">  </w:t>
      </w:r>
      <w:r w:rsidRPr="004251E4" w:rsidR="00FB579C">
        <w:rPr>
          <w:rFonts w:ascii="Times New Roman" w:hAnsi="Times New Roman"/>
          <w:b/>
          <w:bCs/>
          <w:color w:val="000000" w:themeColor="text1"/>
          <w:spacing w:val="-3"/>
          <w:sz w:val="22"/>
          <w:szCs w:val="22"/>
        </w:rPr>
        <w:t>This estimate includes the maintenance of agreements that involve multicast streams, thus no additional burden will be imposed as a result of multicast licensing.</w:t>
      </w:r>
    </w:p>
    <w:p w:rsidRPr="004251E4" w:rsidR="009E193D" w:rsidP="009E193D" w:rsidRDefault="00160903" w14:paraId="55812491" w14:textId="521384B3">
      <w:pPr>
        <w:suppressAutoHyphens/>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[110 broadcasters x 0.25 hours = 27.5 hours </w:t>
      </w:r>
      <w:r w:rsidRPr="004251E4" w:rsidR="006900AE">
        <w:rPr>
          <w:rFonts w:ascii="Times New Roman" w:hAnsi="Times New Roman"/>
          <w:color w:val="000000" w:themeColor="text1"/>
          <w:spacing w:val="-3"/>
          <w:sz w:val="22"/>
          <w:szCs w:val="22"/>
        </w:rPr>
        <w:t xml:space="preserve">x $48.08/hours = </w:t>
      </w:r>
      <w:r w:rsidRPr="004251E4" w:rsidR="006900AE">
        <w:rPr>
          <w:rFonts w:ascii="Times New Roman" w:hAnsi="Times New Roman"/>
          <w:b/>
          <w:color w:val="000000" w:themeColor="text1"/>
          <w:spacing w:val="-3"/>
          <w:sz w:val="22"/>
          <w:szCs w:val="22"/>
        </w:rPr>
        <w:t>$1,322.20 in-house cost</w:t>
      </w:r>
      <w:r w:rsidRPr="004251E4">
        <w:rPr>
          <w:rFonts w:ascii="Times New Roman" w:hAnsi="Times New Roman"/>
          <w:color w:val="000000" w:themeColor="text1"/>
          <w:spacing w:val="-3"/>
          <w:sz w:val="22"/>
          <w:szCs w:val="22"/>
        </w:rPr>
        <w:t>]</w:t>
      </w:r>
    </w:p>
    <w:p w:rsidRPr="004251E4" w:rsidR="00FB579C" w:rsidP="009E193D" w:rsidRDefault="00FB579C" w14:paraId="51D6B206" w14:textId="77777777">
      <w:pPr>
        <w:suppressAutoHyphens/>
        <w:rPr>
          <w:rFonts w:ascii="Times New Roman" w:hAnsi="Times New Roman"/>
          <w:color w:val="000000" w:themeColor="text1"/>
          <w:spacing w:val="-3"/>
          <w:sz w:val="22"/>
          <w:szCs w:val="22"/>
        </w:rPr>
      </w:pPr>
    </w:p>
    <w:p w:rsidRPr="004251E4" w:rsidR="006900AE" w:rsidP="008A32DD" w:rsidRDefault="006900AE" w14:paraId="5664B0C2" w14:textId="77777777">
      <w:pPr>
        <w:suppressAutoHyphens/>
        <w:rPr>
          <w:rFonts w:ascii="Times New Roman" w:hAnsi="Times New Roman"/>
          <w:color w:val="000000" w:themeColor="text1"/>
          <w:spacing w:val="-3"/>
          <w:sz w:val="22"/>
          <w:szCs w:val="22"/>
        </w:rPr>
      </w:pPr>
      <w:bookmarkStart w:name="_Hlk89772596" w:id="4"/>
    </w:p>
    <w:tbl>
      <w:tblPr>
        <w:tblpPr w:leftFromText="187" w:rightFromText="187" w:vertAnchor="text" w:horzAnchor="margin" w:tblpX="-13" w:tblpY="1"/>
        <w:tblW w:w="997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115" w:type="dxa"/>
          <w:right w:w="115" w:type="dxa"/>
        </w:tblCellMar>
        <w:tblLook w:val="0000" w:firstRow="0" w:lastRow="0" w:firstColumn="0" w:lastColumn="0" w:noHBand="0" w:noVBand="0"/>
      </w:tblPr>
      <w:tblGrid>
        <w:gridCol w:w="1515"/>
        <w:gridCol w:w="1260"/>
        <w:gridCol w:w="1890"/>
        <w:gridCol w:w="1890"/>
        <w:gridCol w:w="990"/>
        <w:gridCol w:w="1080"/>
        <w:gridCol w:w="1350"/>
      </w:tblGrid>
      <w:tr w:rsidRPr="004251E4" w:rsidR="00074472" w:rsidTr="00FA717F" w14:paraId="03BD201D" w14:textId="77777777">
        <w:trPr>
          <w:trHeight w:val="600"/>
        </w:trPr>
        <w:tc>
          <w:tcPr>
            <w:tcW w:w="2775" w:type="dxa"/>
            <w:gridSpan w:val="2"/>
            <w:shd w:val="clear" w:color="FFFF00" w:fill="auto"/>
          </w:tcPr>
          <w:p w:rsidRPr="004251E4" w:rsidR="00074472" w:rsidP="00BD4FC5" w:rsidRDefault="00074472" w14:paraId="6FDDD366"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Information Collection Requirement</w:t>
            </w:r>
          </w:p>
        </w:tc>
        <w:tc>
          <w:tcPr>
            <w:tcW w:w="1890" w:type="dxa"/>
            <w:shd w:val="clear" w:color="FFFF00" w:fill="auto"/>
          </w:tcPr>
          <w:p w:rsidRPr="004251E4" w:rsidR="00074472" w:rsidP="00BD4FC5" w:rsidRDefault="00074472" w14:paraId="2C03D07D"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Total Number of Respondents</w:t>
            </w:r>
          </w:p>
        </w:tc>
        <w:tc>
          <w:tcPr>
            <w:tcW w:w="1890" w:type="dxa"/>
            <w:shd w:val="clear" w:color="FFFF00" w:fill="auto"/>
          </w:tcPr>
          <w:p w:rsidRPr="004251E4" w:rsidR="00074472" w:rsidP="00BD4FC5" w:rsidRDefault="00074472" w14:paraId="29621C8F"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 xml:space="preserve">Total Number of Responses </w:t>
            </w:r>
          </w:p>
        </w:tc>
        <w:tc>
          <w:tcPr>
            <w:tcW w:w="990" w:type="dxa"/>
            <w:shd w:val="clear" w:color="FFFF00" w:fill="auto"/>
          </w:tcPr>
          <w:p w:rsidRPr="004251E4" w:rsidR="00074472" w:rsidP="00BD4FC5" w:rsidRDefault="00074472" w14:paraId="33EE68ED"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Burden Hours</w:t>
            </w:r>
          </w:p>
        </w:tc>
        <w:tc>
          <w:tcPr>
            <w:tcW w:w="1080" w:type="dxa"/>
            <w:shd w:val="clear" w:color="FFFF00" w:fill="auto"/>
          </w:tcPr>
          <w:p w:rsidRPr="004251E4" w:rsidR="00074472" w:rsidP="00BD4FC5" w:rsidRDefault="00074472" w14:paraId="5C3C10CE"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Total Burden Hours</w:t>
            </w:r>
          </w:p>
        </w:tc>
        <w:tc>
          <w:tcPr>
            <w:tcW w:w="1350" w:type="dxa"/>
            <w:shd w:val="clear" w:color="FFFF00" w:fill="auto"/>
          </w:tcPr>
          <w:p w:rsidRPr="004251E4" w:rsidR="00074472" w:rsidP="00BD4FC5" w:rsidRDefault="00074472" w14:paraId="075D9E55"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 xml:space="preserve">Annual </w:t>
            </w:r>
          </w:p>
          <w:p w:rsidRPr="004251E4" w:rsidR="00074472" w:rsidP="00BD4FC5" w:rsidRDefault="00074472" w14:paraId="2D8FE125" w14:textId="77777777">
            <w:pPr>
              <w:autoSpaceDE w:val="0"/>
              <w:autoSpaceDN w:val="0"/>
              <w:adjustRightInd w:val="0"/>
              <w:rPr>
                <w:rFonts w:ascii="Arial Narrow" w:hAnsi="Arial Narrow" w:cs="Arial Narrow"/>
                <w:b/>
                <w:color w:val="000000"/>
                <w:sz w:val="20"/>
              </w:rPr>
            </w:pPr>
            <w:r w:rsidRPr="004251E4">
              <w:rPr>
                <w:rFonts w:ascii="Arial Narrow" w:hAnsi="Arial Narrow" w:cs="Arial Narrow"/>
                <w:b/>
                <w:color w:val="000000"/>
                <w:sz w:val="20"/>
              </w:rPr>
              <w:t>“In-House” Cost</w:t>
            </w:r>
          </w:p>
        </w:tc>
      </w:tr>
      <w:tr w:rsidRPr="004251E4" w:rsidR="00DC54B6" w:rsidTr="00CB232A" w14:paraId="4404AC0D" w14:textId="77777777">
        <w:trPr>
          <w:trHeight w:val="1920"/>
        </w:trPr>
        <w:tc>
          <w:tcPr>
            <w:tcW w:w="1515" w:type="dxa"/>
            <w:vMerge w:val="restart"/>
          </w:tcPr>
          <w:p w:rsidRPr="004251E4" w:rsidR="00DC54B6" w:rsidP="00BD4FC5" w:rsidRDefault="00DC54B6" w14:paraId="09859995" w14:textId="77777777">
            <w:pPr>
              <w:autoSpaceDE w:val="0"/>
              <w:autoSpaceDN w:val="0"/>
              <w:adjustRightInd w:val="0"/>
              <w:rPr>
                <w:rFonts w:ascii="Arial Narrow" w:hAnsi="Arial Narrow" w:cs="Arial Narrow"/>
                <w:b/>
                <w:bCs/>
                <w:color w:val="000000"/>
                <w:sz w:val="20"/>
              </w:rPr>
            </w:pPr>
            <w:r w:rsidRPr="004251E4">
              <w:rPr>
                <w:rFonts w:ascii="Arial Narrow" w:hAnsi="Arial Narrow" w:cs="Arial Narrow"/>
                <w:b/>
                <w:bCs/>
                <w:color w:val="000000"/>
                <w:sz w:val="20"/>
              </w:rPr>
              <w:t>Next Gen TV License Applications</w:t>
            </w:r>
          </w:p>
        </w:tc>
        <w:tc>
          <w:tcPr>
            <w:tcW w:w="1260" w:type="dxa"/>
          </w:tcPr>
          <w:p w:rsidRPr="004251E4" w:rsidR="00DC54B6" w:rsidP="00BD4FC5" w:rsidRDefault="00DC54B6" w14:paraId="6561A093" w14:textId="77777777">
            <w:pPr>
              <w:autoSpaceDE w:val="0"/>
              <w:autoSpaceDN w:val="0"/>
              <w:adjustRightInd w:val="0"/>
              <w:rPr>
                <w:rFonts w:ascii="Arial Narrow" w:hAnsi="Arial Narrow" w:cs="Arial Narrow"/>
                <w:b/>
                <w:bCs/>
                <w:color w:val="000000"/>
                <w:sz w:val="20"/>
              </w:rPr>
            </w:pPr>
            <w:r w:rsidRPr="004251E4">
              <w:rPr>
                <w:rFonts w:ascii="Arial Narrow" w:hAnsi="Arial Narrow" w:cs="Arial Narrow"/>
                <w:b/>
                <w:bCs/>
                <w:color w:val="000000"/>
                <w:sz w:val="20"/>
              </w:rPr>
              <w:t>1.0 Simulcast Applications on a Host Facility by Full-Power and Class A Stations</w:t>
            </w:r>
          </w:p>
        </w:tc>
        <w:tc>
          <w:tcPr>
            <w:tcW w:w="1890" w:type="dxa"/>
            <w:shd w:val="clear" w:color="FFFF00" w:fill="auto"/>
          </w:tcPr>
          <w:p w:rsidRPr="004251E4" w:rsidR="00DC54B6" w:rsidP="00BD4FC5" w:rsidRDefault="00DC54B6" w14:paraId="6D5A1120" w14:textId="777777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 xml:space="preserve">110 filers </w:t>
            </w:r>
          </w:p>
        </w:tc>
        <w:tc>
          <w:tcPr>
            <w:tcW w:w="1890" w:type="dxa"/>
            <w:shd w:val="clear" w:color="FFFF00" w:fill="auto"/>
          </w:tcPr>
          <w:p w:rsidRPr="004251E4" w:rsidR="00DC54B6" w:rsidP="00BD4FC5" w:rsidRDefault="00DC54B6" w14:paraId="334FDDC8" w14:textId="777777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110 applications</w:t>
            </w:r>
          </w:p>
        </w:tc>
        <w:tc>
          <w:tcPr>
            <w:tcW w:w="990" w:type="dxa"/>
            <w:shd w:val="clear" w:color="FFFF00" w:fill="auto"/>
          </w:tcPr>
          <w:p w:rsidRPr="004251E4" w:rsidR="00DC54B6" w:rsidP="00BD4FC5" w:rsidRDefault="00DC54B6" w14:paraId="19FBFD87" w14:textId="777777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2-8 hrs.</w:t>
            </w:r>
          </w:p>
        </w:tc>
        <w:tc>
          <w:tcPr>
            <w:tcW w:w="1080" w:type="dxa"/>
            <w:shd w:val="clear" w:color="FFFF00" w:fill="auto"/>
          </w:tcPr>
          <w:p w:rsidRPr="004251E4" w:rsidR="00DC54B6" w:rsidP="00BD4FC5" w:rsidRDefault="00DC54B6" w14:paraId="7339DC89" w14:textId="777777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286 hrs.</w:t>
            </w:r>
          </w:p>
        </w:tc>
        <w:tc>
          <w:tcPr>
            <w:tcW w:w="1350" w:type="dxa"/>
            <w:shd w:val="clear" w:color="FFFF00" w:fill="auto"/>
          </w:tcPr>
          <w:p w:rsidRPr="004251E4" w:rsidR="00DC54B6" w:rsidP="00BD4FC5" w:rsidRDefault="00DC54B6" w14:paraId="0DCE7254" w14:textId="77777777">
            <w:pPr>
              <w:autoSpaceDE w:val="0"/>
              <w:autoSpaceDN w:val="0"/>
              <w:adjustRightInd w:val="0"/>
              <w:rPr>
                <w:rFonts w:ascii="Arial Narrow" w:hAnsi="Arial Narrow" w:cs="Arial Narrow"/>
                <w:color w:val="000000"/>
                <w:sz w:val="20"/>
              </w:rPr>
            </w:pPr>
            <w:r w:rsidRPr="004251E4">
              <w:rPr>
                <w:rFonts w:ascii="Arial Narrow" w:hAnsi="Arial Narrow" w:cs="Arial Narrow"/>
                <w:color w:val="000000"/>
                <w:sz w:val="20"/>
              </w:rPr>
              <w:t>$ 13,750.88</w:t>
            </w:r>
          </w:p>
        </w:tc>
      </w:tr>
      <w:tr w:rsidRPr="004251E4" w:rsidR="004251E4" w:rsidTr="00CB232A" w14:paraId="438435DF" w14:textId="77777777">
        <w:trPr>
          <w:trHeight w:val="1920"/>
        </w:trPr>
        <w:tc>
          <w:tcPr>
            <w:tcW w:w="1515" w:type="dxa"/>
            <w:vMerge/>
          </w:tcPr>
          <w:p w:rsidRPr="004251E4" w:rsidR="00DC54B6" w:rsidP="00BD4FC5" w:rsidRDefault="00DC54B6" w14:paraId="667806ED" w14:textId="77777777">
            <w:pPr>
              <w:autoSpaceDE w:val="0"/>
              <w:autoSpaceDN w:val="0"/>
              <w:adjustRightInd w:val="0"/>
              <w:rPr>
                <w:rFonts w:ascii="Arial Narrow" w:hAnsi="Arial Narrow" w:cs="Arial Narrow"/>
                <w:b/>
                <w:bCs/>
                <w:color w:val="000000" w:themeColor="text1"/>
                <w:sz w:val="20"/>
              </w:rPr>
            </w:pPr>
          </w:p>
        </w:tc>
        <w:tc>
          <w:tcPr>
            <w:tcW w:w="1260" w:type="dxa"/>
          </w:tcPr>
          <w:p w:rsidRPr="004251E4" w:rsidR="00DC54B6" w:rsidP="00BD4FC5" w:rsidRDefault="00DC54B6" w14:paraId="25AEAC88" w14:textId="39B9F586">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1.0 Simulcast Applications on a Host Facility involving multicast streams</w:t>
            </w:r>
          </w:p>
        </w:tc>
        <w:tc>
          <w:tcPr>
            <w:tcW w:w="1890" w:type="dxa"/>
            <w:shd w:val="clear" w:color="FFFF00" w:fill="auto"/>
          </w:tcPr>
          <w:p w:rsidRPr="004251E4" w:rsidR="00DC54B6" w:rsidP="00BD4FC5" w:rsidRDefault="00DC54B6" w14:paraId="4F49B07A"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No New Filers / Respondents </w:t>
            </w:r>
          </w:p>
          <w:p w:rsidRPr="004251E4" w:rsidR="00DC54B6" w:rsidP="00BD4FC5" w:rsidRDefault="00DC54B6" w14:paraId="391DAF9A" w14:textId="59418F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[Added </w:t>
            </w:r>
            <w:proofErr w:type="spellStart"/>
            <w:r w:rsidRPr="004251E4">
              <w:rPr>
                <w:rFonts w:ascii="Arial Narrow" w:hAnsi="Arial Narrow" w:cs="Arial Narrow"/>
                <w:color w:val="000000" w:themeColor="text1"/>
                <w:sz w:val="20"/>
              </w:rPr>
              <w:t>Buredn</w:t>
            </w:r>
            <w:proofErr w:type="spellEnd"/>
            <w:r w:rsidRPr="004251E4">
              <w:rPr>
                <w:rFonts w:ascii="Arial Narrow" w:hAnsi="Arial Narrow" w:cs="Arial Narrow"/>
                <w:color w:val="000000" w:themeColor="text1"/>
                <w:sz w:val="20"/>
              </w:rPr>
              <w:t xml:space="preserve"> for 72 filers]</w:t>
            </w:r>
          </w:p>
        </w:tc>
        <w:tc>
          <w:tcPr>
            <w:tcW w:w="1890" w:type="dxa"/>
            <w:shd w:val="clear" w:color="FFFF00" w:fill="auto"/>
          </w:tcPr>
          <w:p w:rsidRPr="004251E4" w:rsidR="00DC54B6" w:rsidP="00BD4FC5" w:rsidRDefault="00DC54B6" w14:paraId="42E68AC0" w14:textId="131DA295">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No New 72 applications</w:t>
            </w:r>
          </w:p>
        </w:tc>
        <w:tc>
          <w:tcPr>
            <w:tcW w:w="990" w:type="dxa"/>
            <w:shd w:val="clear" w:color="FFFF00" w:fill="auto"/>
          </w:tcPr>
          <w:p w:rsidRPr="004251E4" w:rsidR="00DC54B6" w:rsidP="00BD4FC5" w:rsidRDefault="00DC54B6" w14:paraId="2165BF7E" w14:textId="5F216EE1">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1-2 </w:t>
            </w:r>
            <w:proofErr w:type="spellStart"/>
            <w:r w:rsidRPr="004251E4">
              <w:rPr>
                <w:rFonts w:ascii="Arial Narrow" w:hAnsi="Arial Narrow" w:cs="Arial Narrow"/>
                <w:color w:val="000000" w:themeColor="text1"/>
                <w:sz w:val="20"/>
              </w:rPr>
              <w:t>hrs</w:t>
            </w:r>
            <w:proofErr w:type="spellEnd"/>
          </w:p>
        </w:tc>
        <w:tc>
          <w:tcPr>
            <w:tcW w:w="1080" w:type="dxa"/>
            <w:shd w:val="clear" w:color="FFFF00" w:fill="auto"/>
          </w:tcPr>
          <w:p w:rsidRPr="004251E4" w:rsidR="00DC54B6" w:rsidP="00BD4FC5" w:rsidRDefault="00DC54B6" w14:paraId="57701326" w14:textId="54B2A953">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78 </w:t>
            </w:r>
            <w:proofErr w:type="spellStart"/>
            <w:r w:rsidRPr="004251E4">
              <w:rPr>
                <w:rFonts w:ascii="Arial Narrow" w:hAnsi="Arial Narrow" w:cs="Arial Narrow"/>
                <w:color w:val="000000" w:themeColor="text1"/>
                <w:sz w:val="20"/>
              </w:rPr>
              <w:t>hrs</w:t>
            </w:r>
            <w:proofErr w:type="spellEnd"/>
          </w:p>
        </w:tc>
        <w:tc>
          <w:tcPr>
            <w:tcW w:w="1350" w:type="dxa"/>
            <w:shd w:val="clear" w:color="FFFF00" w:fill="auto"/>
          </w:tcPr>
          <w:p w:rsidRPr="004251E4" w:rsidR="00DC54B6" w:rsidP="00BD4FC5" w:rsidRDefault="00DC54B6" w14:paraId="019B727F" w14:textId="00D6FA6A">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$3,750.24 added burden</w:t>
            </w:r>
          </w:p>
        </w:tc>
      </w:tr>
      <w:tr w:rsidRPr="004251E4" w:rsidR="004251E4" w:rsidTr="00DC54B6" w14:paraId="738C7786" w14:textId="77777777">
        <w:trPr>
          <w:trHeight w:val="960"/>
        </w:trPr>
        <w:tc>
          <w:tcPr>
            <w:tcW w:w="1515" w:type="dxa"/>
            <w:vMerge/>
          </w:tcPr>
          <w:p w:rsidRPr="004251E4" w:rsidR="00DC54B6" w:rsidP="00BD4FC5" w:rsidRDefault="00DC54B6" w14:paraId="60C77E8A" w14:textId="77777777">
            <w:pPr>
              <w:autoSpaceDE w:val="0"/>
              <w:autoSpaceDN w:val="0"/>
              <w:adjustRightInd w:val="0"/>
              <w:rPr>
                <w:rFonts w:ascii="Arial Narrow" w:hAnsi="Arial Narrow" w:cs="Arial Narrow"/>
                <w:b/>
                <w:bCs/>
                <w:color w:val="000000" w:themeColor="text1"/>
                <w:sz w:val="20"/>
              </w:rPr>
            </w:pPr>
          </w:p>
        </w:tc>
        <w:tc>
          <w:tcPr>
            <w:tcW w:w="1260" w:type="dxa"/>
            <w:vMerge w:val="restart"/>
          </w:tcPr>
          <w:p w:rsidRPr="004251E4" w:rsidR="00DC54B6" w:rsidP="00BD4FC5" w:rsidRDefault="00DC54B6" w14:paraId="604E6FD6" w14:textId="6AAD636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 xml:space="preserve">1.0 Simulcast Applications involving </w:t>
            </w:r>
            <w:r w:rsidRPr="004251E4">
              <w:rPr>
                <w:rFonts w:ascii="Arial Narrow" w:hAnsi="Arial Narrow" w:cs="Arial Narrow"/>
                <w:b/>
                <w:bCs/>
                <w:i/>
                <w:iCs/>
                <w:color w:val="000000" w:themeColor="text1"/>
                <w:sz w:val="20"/>
              </w:rPr>
              <w:t>only</w:t>
            </w:r>
            <w:r w:rsidRPr="004251E4">
              <w:rPr>
                <w:rFonts w:ascii="Arial Narrow" w:hAnsi="Arial Narrow" w:cs="Arial Narrow"/>
                <w:b/>
                <w:bCs/>
                <w:color w:val="000000" w:themeColor="text1"/>
                <w:sz w:val="20"/>
              </w:rPr>
              <w:t xml:space="preserve"> multicast streams</w:t>
            </w:r>
          </w:p>
        </w:tc>
        <w:tc>
          <w:tcPr>
            <w:tcW w:w="1890" w:type="dxa"/>
            <w:shd w:val="clear" w:color="FFFF00" w:fill="auto"/>
          </w:tcPr>
          <w:p w:rsidRPr="004251E4" w:rsidR="00DC54B6" w:rsidP="00BD4FC5" w:rsidRDefault="00DC54B6" w14:paraId="3C2560AD" w14:textId="74814DDF">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15 filers</w:t>
            </w:r>
          </w:p>
        </w:tc>
        <w:tc>
          <w:tcPr>
            <w:tcW w:w="1890" w:type="dxa"/>
            <w:shd w:val="clear" w:color="FFFF00" w:fill="auto"/>
          </w:tcPr>
          <w:p w:rsidRPr="004251E4" w:rsidR="00DC54B6" w:rsidP="00BD4FC5" w:rsidRDefault="00DC54B6" w14:paraId="00FA90F6" w14:textId="056559EF">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15 applications</w:t>
            </w:r>
          </w:p>
        </w:tc>
        <w:tc>
          <w:tcPr>
            <w:tcW w:w="990" w:type="dxa"/>
            <w:shd w:val="clear" w:color="FFFF00" w:fill="auto"/>
          </w:tcPr>
          <w:p w:rsidRPr="004251E4" w:rsidR="00DC54B6" w:rsidP="00BD4FC5" w:rsidRDefault="00DC54B6" w14:paraId="2797E51E" w14:textId="18B88CCD">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2 </w:t>
            </w:r>
            <w:proofErr w:type="spellStart"/>
            <w:r w:rsidRPr="004251E4">
              <w:rPr>
                <w:rFonts w:ascii="Arial Narrow" w:hAnsi="Arial Narrow" w:cs="Arial Narrow"/>
                <w:color w:val="000000" w:themeColor="text1"/>
                <w:sz w:val="20"/>
              </w:rPr>
              <w:t>hrs</w:t>
            </w:r>
            <w:proofErr w:type="spellEnd"/>
          </w:p>
        </w:tc>
        <w:tc>
          <w:tcPr>
            <w:tcW w:w="1080" w:type="dxa"/>
            <w:shd w:val="clear" w:color="FFFF00" w:fill="auto"/>
          </w:tcPr>
          <w:p w:rsidRPr="004251E4" w:rsidR="00DC54B6" w:rsidP="00BD4FC5" w:rsidRDefault="00DC54B6" w14:paraId="093D68C6" w14:textId="5082DD22">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30 </w:t>
            </w:r>
            <w:proofErr w:type="spellStart"/>
            <w:r w:rsidRPr="004251E4">
              <w:rPr>
                <w:rFonts w:ascii="Arial Narrow" w:hAnsi="Arial Narrow" w:cs="Arial Narrow"/>
                <w:color w:val="000000" w:themeColor="text1"/>
                <w:sz w:val="20"/>
              </w:rPr>
              <w:t>hrs</w:t>
            </w:r>
            <w:proofErr w:type="spellEnd"/>
          </w:p>
        </w:tc>
        <w:tc>
          <w:tcPr>
            <w:tcW w:w="1350" w:type="dxa"/>
            <w:shd w:val="clear" w:color="FFFF00" w:fill="auto"/>
          </w:tcPr>
          <w:p w:rsidRPr="004251E4" w:rsidR="00DC54B6" w:rsidP="00BD4FC5" w:rsidRDefault="00DC54B6" w14:paraId="13E92DBD" w14:textId="77777777">
            <w:pPr>
              <w:autoSpaceDE w:val="0"/>
              <w:autoSpaceDN w:val="0"/>
              <w:adjustRightInd w:val="0"/>
              <w:rPr>
                <w:rFonts w:ascii="Arial Narrow" w:hAnsi="Arial Narrow" w:cs="Arial Narrow"/>
                <w:color w:val="000000" w:themeColor="text1"/>
                <w:sz w:val="20"/>
              </w:rPr>
            </w:pPr>
          </w:p>
        </w:tc>
      </w:tr>
      <w:tr w:rsidRPr="004251E4" w:rsidR="004251E4" w:rsidTr="00CB232A" w14:paraId="7DE096A5" w14:textId="77777777">
        <w:trPr>
          <w:trHeight w:val="960"/>
        </w:trPr>
        <w:tc>
          <w:tcPr>
            <w:tcW w:w="1515" w:type="dxa"/>
            <w:vMerge/>
          </w:tcPr>
          <w:p w:rsidRPr="004251E4" w:rsidR="00DC54B6" w:rsidP="00BD4FC5" w:rsidRDefault="00DC54B6" w14:paraId="664A896F" w14:textId="77777777">
            <w:pPr>
              <w:autoSpaceDE w:val="0"/>
              <w:autoSpaceDN w:val="0"/>
              <w:adjustRightInd w:val="0"/>
              <w:rPr>
                <w:rFonts w:ascii="Arial Narrow" w:hAnsi="Arial Narrow" w:cs="Arial Narrow"/>
                <w:b/>
                <w:bCs/>
                <w:color w:val="000000" w:themeColor="text1"/>
                <w:sz w:val="20"/>
              </w:rPr>
            </w:pPr>
          </w:p>
        </w:tc>
        <w:tc>
          <w:tcPr>
            <w:tcW w:w="1260" w:type="dxa"/>
            <w:vMerge/>
          </w:tcPr>
          <w:p w:rsidRPr="004251E4" w:rsidR="00DC54B6" w:rsidP="00BD4FC5" w:rsidRDefault="00DC54B6" w14:paraId="5487498E" w14:textId="77777777">
            <w:pPr>
              <w:autoSpaceDE w:val="0"/>
              <w:autoSpaceDN w:val="0"/>
              <w:adjustRightInd w:val="0"/>
              <w:rPr>
                <w:rFonts w:ascii="Arial Narrow" w:hAnsi="Arial Narrow" w:cs="Arial Narrow"/>
                <w:b/>
                <w:bCs/>
                <w:color w:val="000000" w:themeColor="text1"/>
                <w:sz w:val="20"/>
              </w:rPr>
            </w:pPr>
          </w:p>
        </w:tc>
        <w:tc>
          <w:tcPr>
            <w:tcW w:w="1890" w:type="dxa"/>
            <w:shd w:val="clear" w:color="FFFF00" w:fill="auto"/>
          </w:tcPr>
          <w:p w:rsidRPr="004251E4" w:rsidR="00DC54B6" w:rsidP="00BD4FC5" w:rsidRDefault="00DC54B6" w14:paraId="651DAB71" w14:textId="201D44DD">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5 filers</w:t>
            </w:r>
          </w:p>
        </w:tc>
        <w:tc>
          <w:tcPr>
            <w:tcW w:w="1890" w:type="dxa"/>
            <w:shd w:val="clear" w:color="FFFF00" w:fill="auto"/>
          </w:tcPr>
          <w:p w:rsidRPr="004251E4" w:rsidR="00DC54B6" w:rsidP="00BD4FC5" w:rsidRDefault="00DC54B6" w14:paraId="3E470C9B" w14:textId="4FA8BA5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5 applications</w:t>
            </w:r>
          </w:p>
        </w:tc>
        <w:tc>
          <w:tcPr>
            <w:tcW w:w="990" w:type="dxa"/>
            <w:shd w:val="clear" w:color="FFFF00" w:fill="auto"/>
          </w:tcPr>
          <w:p w:rsidRPr="004251E4" w:rsidR="00DC54B6" w:rsidP="00BD4FC5" w:rsidRDefault="00DC54B6" w14:paraId="46BB6821" w14:textId="0D79286F">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4 </w:t>
            </w:r>
            <w:proofErr w:type="spellStart"/>
            <w:r w:rsidRPr="004251E4">
              <w:rPr>
                <w:rFonts w:ascii="Arial Narrow" w:hAnsi="Arial Narrow" w:cs="Arial Narrow"/>
                <w:color w:val="000000" w:themeColor="text1"/>
                <w:sz w:val="20"/>
              </w:rPr>
              <w:t>hrs</w:t>
            </w:r>
            <w:proofErr w:type="spellEnd"/>
          </w:p>
        </w:tc>
        <w:tc>
          <w:tcPr>
            <w:tcW w:w="1080" w:type="dxa"/>
            <w:shd w:val="clear" w:color="FFFF00" w:fill="auto"/>
          </w:tcPr>
          <w:p w:rsidRPr="004251E4" w:rsidR="00DC54B6" w:rsidP="00BD4FC5" w:rsidRDefault="00DC54B6" w14:paraId="1E96A151" w14:textId="06E831EC">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20 </w:t>
            </w:r>
            <w:proofErr w:type="spellStart"/>
            <w:r w:rsidRPr="004251E4">
              <w:rPr>
                <w:rFonts w:ascii="Arial Narrow" w:hAnsi="Arial Narrow" w:cs="Arial Narrow"/>
                <w:color w:val="000000" w:themeColor="text1"/>
                <w:sz w:val="20"/>
              </w:rPr>
              <w:t>hrs</w:t>
            </w:r>
            <w:proofErr w:type="spellEnd"/>
          </w:p>
        </w:tc>
        <w:tc>
          <w:tcPr>
            <w:tcW w:w="1350" w:type="dxa"/>
            <w:shd w:val="clear" w:color="FFFF00" w:fill="auto"/>
          </w:tcPr>
          <w:p w:rsidRPr="004251E4" w:rsidR="00DC54B6" w:rsidP="00BD4FC5" w:rsidRDefault="00DC54B6" w14:paraId="13B76669" w14:textId="77777777">
            <w:pPr>
              <w:autoSpaceDE w:val="0"/>
              <w:autoSpaceDN w:val="0"/>
              <w:adjustRightInd w:val="0"/>
              <w:rPr>
                <w:rFonts w:ascii="Arial Narrow" w:hAnsi="Arial Narrow" w:cs="Arial Narrow"/>
                <w:color w:val="000000" w:themeColor="text1"/>
                <w:sz w:val="20"/>
              </w:rPr>
            </w:pPr>
          </w:p>
        </w:tc>
      </w:tr>
      <w:tr w:rsidRPr="004251E4" w:rsidR="004251E4" w:rsidTr="00FA717F" w14:paraId="5E9766E0" w14:textId="77777777">
        <w:trPr>
          <w:trHeight w:val="841"/>
        </w:trPr>
        <w:tc>
          <w:tcPr>
            <w:tcW w:w="1515" w:type="dxa"/>
            <w:vMerge/>
          </w:tcPr>
          <w:p w:rsidRPr="004251E4" w:rsidR="00DC54B6" w:rsidP="00BD4FC5" w:rsidRDefault="00DC54B6" w14:paraId="024936A8" w14:textId="77777777">
            <w:pPr>
              <w:autoSpaceDE w:val="0"/>
              <w:autoSpaceDN w:val="0"/>
              <w:adjustRightInd w:val="0"/>
              <w:rPr>
                <w:rFonts w:ascii="Arial Narrow" w:hAnsi="Arial Narrow" w:cs="Arial Narrow"/>
                <w:b/>
                <w:bCs/>
                <w:color w:val="000000" w:themeColor="text1"/>
                <w:sz w:val="20"/>
              </w:rPr>
            </w:pPr>
          </w:p>
        </w:tc>
        <w:tc>
          <w:tcPr>
            <w:tcW w:w="1260" w:type="dxa"/>
          </w:tcPr>
          <w:p w:rsidRPr="004251E4" w:rsidR="00DC54B6" w:rsidP="00BD4FC5" w:rsidRDefault="00DC54B6" w14:paraId="4DC28CE5"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All Other Applications</w:t>
            </w:r>
          </w:p>
        </w:tc>
        <w:tc>
          <w:tcPr>
            <w:tcW w:w="1890" w:type="dxa"/>
            <w:shd w:val="clear" w:color="FFFF00" w:fill="auto"/>
          </w:tcPr>
          <w:p w:rsidRPr="004251E4" w:rsidR="00DC54B6" w:rsidP="00BD4FC5" w:rsidRDefault="00DC54B6" w14:paraId="3BA3FA12"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690 filers</w:t>
            </w:r>
          </w:p>
        </w:tc>
        <w:tc>
          <w:tcPr>
            <w:tcW w:w="1890" w:type="dxa"/>
            <w:shd w:val="clear" w:color="FFFF00" w:fill="auto"/>
          </w:tcPr>
          <w:p w:rsidRPr="004251E4" w:rsidR="00DC54B6" w:rsidP="00BD4FC5" w:rsidRDefault="00DC54B6" w14:paraId="1CBD5CF5"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690 applications</w:t>
            </w:r>
          </w:p>
        </w:tc>
        <w:tc>
          <w:tcPr>
            <w:tcW w:w="990" w:type="dxa"/>
            <w:shd w:val="clear" w:color="FFFF00" w:fill="auto"/>
          </w:tcPr>
          <w:p w:rsidRPr="004251E4" w:rsidR="00DC54B6" w:rsidP="00BD4FC5" w:rsidRDefault="00DC54B6" w14:paraId="27A3E35E"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4 hrs.</w:t>
            </w:r>
          </w:p>
        </w:tc>
        <w:tc>
          <w:tcPr>
            <w:tcW w:w="1080" w:type="dxa"/>
            <w:shd w:val="clear" w:color="FFFF00" w:fill="auto"/>
          </w:tcPr>
          <w:p w:rsidRPr="004251E4" w:rsidR="00DC54B6" w:rsidP="00BD4FC5" w:rsidRDefault="00DC54B6" w14:paraId="5556681C"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2,760 hrs.</w:t>
            </w:r>
          </w:p>
        </w:tc>
        <w:tc>
          <w:tcPr>
            <w:tcW w:w="1350" w:type="dxa"/>
            <w:shd w:val="clear" w:color="FFFF00" w:fill="auto"/>
          </w:tcPr>
          <w:p w:rsidRPr="004251E4" w:rsidR="00DC54B6" w:rsidP="00BD4FC5" w:rsidRDefault="00DC54B6" w14:paraId="6EE4E7A4"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$132,700.80</w:t>
            </w:r>
          </w:p>
        </w:tc>
      </w:tr>
      <w:tr w:rsidRPr="004251E4" w:rsidR="004251E4" w:rsidTr="00FA717F" w14:paraId="4D368014" w14:textId="77777777">
        <w:trPr>
          <w:trHeight w:val="354"/>
        </w:trPr>
        <w:tc>
          <w:tcPr>
            <w:tcW w:w="2775" w:type="dxa"/>
            <w:gridSpan w:val="2"/>
            <w:shd w:val="clear" w:color="auto" w:fill="F2F2F2"/>
          </w:tcPr>
          <w:p w:rsidRPr="004251E4" w:rsidR="00074472" w:rsidP="00BD4FC5" w:rsidRDefault="00074472" w14:paraId="71529995"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F2F2F2"/>
          </w:tcPr>
          <w:p w:rsidRPr="004251E4" w:rsidR="00074472" w:rsidP="00BD4FC5" w:rsidRDefault="00D341ED" w14:paraId="08DACCCA" w14:textId="6584B8D0">
            <w:pPr>
              <w:autoSpaceDE w:val="0"/>
              <w:autoSpaceDN w:val="0"/>
              <w:adjustRightInd w:val="0"/>
              <w:rPr>
                <w:rFonts w:ascii="Arial Narrow" w:hAnsi="Arial Narrow" w:cs="Arial Narrow"/>
                <w:b/>
                <w:color w:val="000000" w:themeColor="text1"/>
                <w:sz w:val="20"/>
              </w:rPr>
            </w:pPr>
            <w:r w:rsidRPr="004251E4">
              <w:rPr>
                <w:rFonts w:ascii="Arial Narrow" w:hAnsi="Arial Narrow" w:cs="Arial Narrow"/>
                <w:b/>
                <w:bCs/>
                <w:color w:val="000000" w:themeColor="text1"/>
                <w:sz w:val="20"/>
              </w:rPr>
              <w:t>8</w:t>
            </w:r>
            <w:r w:rsidRPr="004251E4" w:rsidR="00DA065D">
              <w:rPr>
                <w:rFonts w:ascii="Arial Narrow" w:hAnsi="Arial Narrow" w:cs="Arial Narrow"/>
                <w:b/>
                <w:bCs/>
                <w:color w:val="000000" w:themeColor="text1"/>
                <w:sz w:val="20"/>
              </w:rPr>
              <w:t>2</w:t>
            </w:r>
            <w:r w:rsidRPr="004251E4" w:rsidR="00DC54B6">
              <w:rPr>
                <w:rFonts w:ascii="Arial Narrow" w:hAnsi="Arial Narrow" w:cs="Arial Narrow"/>
                <w:b/>
                <w:bCs/>
                <w:color w:val="000000" w:themeColor="text1"/>
                <w:sz w:val="20"/>
              </w:rPr>
              <w:t>0</w:t>
            </w:r>
            <w:r w:rsidRPr="004251E4" w:rsidR="00074472">
              <w:rPr>
                <w:rFonts w:ascii="Arial Narrow" w:hAnsi="Arial Narrow" w:cs="Arial Narrow"/>
                <w:b/>
                <w:bCs/>
                <w:color w:val="000000" w:themeColor="text1"/>
                <w:sz w:val="20"/>
              </w:rPr>
              <w:t xml:space="preserve"> respondents</w:t>
            </w:r>
          </w:p>
        </w:tc>
        <w:tc>
          <w:tcPr>
            <w:tcW w:w="1890" w:type="dxa"/>
            <w:shd w:val="clear" w:color="auto" w:fill="F2F2F2"/>
          </w:tcPr>
          <w:p w:rsidRPr="004251E4" w:rsidR="00074472" w:rsidP="00BD4FC5" w:rsidRDefault="00D341ED" w14:paraId="4CEF04F9" w14:textId="7DC4947D">
            <w:pPr>
              <w:autoSpaceDE w:val="0"/>
              <w:autoSpaceDN w:val="0"/>
              <w:adjustRightInd w:val="0"/>
              <w:rPr>
                <w:rFonts w:ascii="Arial Narrow" w:hAnsi="Arial Narrow" w:cs="Arial Narrow"/>
                <w:b/>
                <w:color w:val="000000" w:themeColor="text1"/>
                <w:sz w:val="20"/>
              </w:rPr>
            </w:pPr>
            <w:r w:rsidRPr="004251E4">
              <w:rPr>
                <w:rFonts w:ascii="Arial Narrow" w:hAnsi="Arial Narrow" w:cs="Arial Narrow"/>
                <w:b/>
                <w:color w:val="000000" w:themeColor="text1"/>
                <w:sz w:val="20"/>
              </w:rPr>
              <w:t>8</w:t>
            </w:r>
            <w:r w:rsidRPr="004251E4" w:rsidR="00DA065D">
              <w:rPr>
                <w:rFonts w:ascii="Arial Narrow" w:hAnsi="Arial Narrow" w:cs="Arial Narrow"/>
                <w:b/>
                <w:color w:val="000000" w:themeColor="text1"/>
                <w:sz w:val="20"/>
              </w:rPr>
              <w:t>2</w:t>
            </w:r>
            <w:r w:rsidRPr="004251E4" w:rsidR="00DC54B6">
              <w:rPr>
                <w:rFonts w:ascii="Arial Narrow" w:hAnsi="Arial Narrow" w:cs="Arial Narrow"/>
                <w:b/>
                <w:color w:val="000000" w:themeColor="text1"/>
                <w:sz w:val="20"/>
              </w:rPr>
              <w:t>0</w:t>
            </w:r>
            <w:r w:rsidRPr="004251E4" w:rsidR="00074472">
              <w:rPr>
                <w:rFonts w:ascii="Arial Narrow" w:hAnsi="Arial Narrow" w:cs="Arial Narrow"/>
                <w:b/>
                <w:color w:val="000000" w:themeColor="text1"/>
                <w:sz w:val="20"/>
              </w:rPr>
              <w:t xml:space="preserve"> responses</w:t>
            </w:r>
          </w:p>
        </w:tc>
        <w:tc>
          <w:tcPr>
            <w:tcW w:w="990" w:type="dxa"/>
            <w:shd w:val="clear" w:color="auto" w:fill="F2F2F2"/>
          </w:tcPr>
          <w:p w:rsidRPr="004251E4" w:rsidR="00074472" w:rsidP="00BD4FC5" w:rsidRDefault="00074472" w14:paraId="089EA904" w14:textId="77777777">
            <w:pPr>
              <w:autoSpaceDE w:val="0"/>
              <w:autoSpaceDN w:val="0"/>
              <w:adjustRightInd w:val="0"/>
              <w:rPr>
                <w:rFonts w:ascii="Arial Narrow" w:hAnsi="Arial Narrow" w:cs="Arial Narrow"/>
                <w:b/>
                <w:color w:val="000000" w:themeColor="text1"/>
                <w:sz w:val="20"/>
              </w:rPr>
            </w:pPr>
          </w:p>
        </w:tc>
        <w:tc>
          <w:tcPr>
            <w:tcW w:w="1080" w:type="dxa"/>
            <w:shd w:val="clear" w:color="auto" w:fill="F2F2F2"/>
          </w:tcPr>
          <w:p w:rsidRPr="004251E4" w:rsidR="00074472" w:rsidP="00BD4FC5" w:rsidRDefault="00C52BF5" w14:paraId="49C6A8CA" w14:textId="35581E90">
            <w:pPr>
              <w:autoSpaceDE w:val="0"/>
              <w:autoSpaceDN w:val="0"/>
              <w:adjustRightInd w:val="0"/>
              <w:rPr>
                <w:rFonts w:ascii="Arial Narrow" w:hAnsi="Arial Narrow" w:cs="Arial Narrow"/>
                <w:b/>
                <w:color w:val="000000" w:themeColor="text1"/>
                <w:sz w:val="20"/>
              </w:rPr>
            </w:pPr>
            <w:r w:rsidRPr="004251E4">
              <w:rPr>
                <w:rFonts w:ascii="Arial Narrow" w:hAnsi="Arial Narrow" w:cs="Arial Narrow"/>
                <w:b/>
                <w:color w:val="000000" w:themeColor="text1"/>
                <w:sz w:val="20"/>
              </w:rPr>
              <w:t>3,</w:t>
            </w:r>
            <w:r w:rsidRPr="004251E4" w:rsidR="007020B4">
              <w:rPr>
                <w:rFonts w:ascii="Arial Narrow" w:hAnsi="Arial Narrow" w:cs="Arial Narrow"/>
                <w:b/>
                <w:color w:val="000000" w:themeColor="text1"/>
                <w:sz w:val="20"/>
              </w:rPr>
              <w:t>12</w:t>
            </w:r>
            <w:r w:rsidRPr="004251E4">
              <w:rPr>
                <w:rFonts w:ascii="Arial Narrow" w:hAnsi="Arial Narrow" w:cs="Arial Narrow"/>
                <w:b/>
                <w:color w:val="000000" w:themeColor="text1"/>
                <w:sz w:val="20"/>
              </w:rPr>
              <w:t>4</w:t>
            </w:r>
            <w:r w:rsidRPr="004251E4" w:rsidR="00074472">
              <w:rPr>
                <w:rFonts w:ascii="Arial Narrow" w:hAnsi="Arial Narrow" w:cs="Arial Narrow"/>
                <w:b/>
                <w:color w:val="000000" w:themeColor="text1"/>
                <w:sz w:val="20"/>
              </w:rPr>
              <w:t xml:space="preserve"> hours</w:t>
            </w:r>
          </w:p>
        </w:tc>
        <w:tc>
          <w:tcPr>
            <w:tcW w:w="1350" w:type="dxa"/>
            <w:shd w:val="clear" w:color="auto" w:fill="F2F2F2"/>
          </w:tcPr>
          <w:p w:rsidRPr="004251E4" w:rsidR="00074472" w:rsidP="00BD4FC5" w:rsidRDefault="00074472" w14:paraId="654618E9" w14:textId="20D893AF">
            <w:pPr>
              <w:autoSpaceDE w:val="0"/>
              <w:autoSpaceDN w:val="0"/>
              <w:adjustRightInd w:val="0"/>
              <w:rPr>
                <w:rFonts w:ascii="Arial Narrow" w:hAnsi="Arial Narrow" w:cs="Arial Narrow"/>
                <w:b/>
                <w:color w:val="000000" w:themeColor="text1"/>
                <w:sz w:val="20"/>
              </w:rPr>
            </w:pPr>
            <w:r w:rsidRPr="004251E4">
              <w:rPr>
                <w:rFonts w:ascii="Arial Narrow" w:hAnsi="Arial Narrow" w:cs="Arial Narrow"/>
                <w:b/>
                <w:color w:val="000000" w:themeColor="text1"/>
                <w:sz w:val="20"/>
              </w:rPr>
              <w:t>$</w:t>
            </w:r>
            <w:r w:rsidRPr="004251E4" w:rsidR="00056CE5">
              <w:rPr>
                <w:rFonts w:ascii="Arial Narrow" w:hAnsi="Arial Narrow" w:cs="Arial Narrow"/>
                <w:b/>
                <w:color w:val="000000" w:themeColor="text1"/>
                <w:sz w:val="20"/>
              </w:rPr>
              <w:t>150</w:t>
            </w:r>
            <w:r w:rsidRPr="004251E4">
              <w:rPr>
                <w:rFonts w:ascii="Arial Narrow" w:hAnsi="Arial Narrow" w:cs="Arial Narrow"/>
                <w:b/>
                <w:color w:val="000000" w:themeColor="text1"/>
                <w:sz w:val="20"/>
              </w:rPr>
              <w:t>,</w:t>
            </w:r>
            <w:r w:rsidRPr="004251E4" w:rsidR="00056CE5">
              <w:rPr>
                <w:rFonts w:ascii="Arial Narrow" w:hAnsi="Arial Narrow" w:cs="Arial Narrow"/>
                <w:b/>
                <w:color w:val="000000" w:themeColor="text1"/>
                <w:sz w:val="20"/>
              </w:rPr>
              <w:t>201</w:t>
            </w:r>
            <w:r w:rsidRPr="004251E4">
              <w:rPr>
                <w:rFonts w:ascii="Arial Narrow" w:hAnsi="Arial Narrow" w:cs="Arial Narrow"/>
                <w:b/>
                <w:color w:val="000000" w:themeColor="text1"/>
                <w:sz w:val="20"/>
              </w:rPr>
              <w:t>.</w:t>
            </w:r>
            <w:r w:rsidRPr="004251E4" w:rsidR="00056CE5">
              <w:rPr>
                <w:rFonts w:ascii="Arial Narrow" w:hAnsi="Arial Narrow" w:cs="Arial Narrow"/>
                <w:b/>
                <w:color w:val="000000" w:themeColor="text1"/>
                <w:sz w:val="20"/>
              </w:rPr>
              <w:t>92</w:t>
            </w:r>
            <w:r w:rsidRPr="004251E4" w:rsidR="00C52BF5">
              <w:rPr>
                <w:rFonts w:ascii="Arial Narrow" w:hAnsi="Arial Narrow" w:cs="Arial Narrow"/>
                <w:b/>
                <w:color w:val="000000" w:themeColor="text1"/>
                <w:sz w:val="20"/>
              </w:rPr>
              <w:t xml:space="preserve"> cost</w:t>
            </w:r>
          </w:p>
        </w:tc>
      </w:tr>
      <w:tr w:rsidRPr="004251E4" w:rsidR="004251E4" w:rsidTr="00CB232A" w14:paraId="1B097DC8" w14:textId="77777777">
        <w:trPr>
          <w:trHeight w:val="1248"/>
        </w:trPr>
        <w:tc>
          <w:tcPr>
            <w:tcW w:w="2775" w:type="dxa"/>
            <w:gridSpan w:val="2"/>
          </w:tcPr>
          <w:p w:rsidRPr="004251E4" w:rsidR="00FE541B" w:rsidP="00BD4FC5" w:rsidRDefault="00FE541B" w14:paraId="3EDC6C83"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Broadcaster On-Air Notices (PSAs or crawls) to Viewers/Consumers</w:t>
            </w:r>
          </w:p>
        </w:tc>
        <w:tc>
          <w:tcPr>
            <w:tcW w:w="1890" w:type="dxa"/>
            <w:shd w:val="clear" w:color="FFFF00" w:fill="auto"/>
          </w:tcPr>
          <w:p w:rsidRPr="004251E4" w:rsidR="00FE541B" w:rsidP="00BD4FC5" w:rsidRDefault="00FE541B" w14:paraId="293BB0FD"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110 respondents</w:t>
            </w:r>
          </w:p>
        </w:tc>
        <w:tc>
          <w:tcPr>
            <w:tcW w:w="1890" w:type="dxa"/>
            <w:shd w:val="clear" w:color="FFFF00" w:fill="auto"/>
          </w:tcPr>
          <w:p w:rsidRPr="004251E4" w:rsidR="00FE541B" w:rsidP="00BD4FC5" w:rsidRDefault="00FE541B" w14:paraId="720193C1"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3,300 responses</w:t>
            </w:r>
          </w:p>
        </w:tc>
        <w:tc>
          <w:tcPr>
            <w:tcW w:w="990" w:type="dxa"/>
            <w:shd w:val="clear" w:color="FFFF00" w:fill="auto"/>
          </w:tcPr>
          <w:p w:rsidRPr="004251E4" w:rsidR="00FE541B" w:rsidP="00BD4FC5" w:rsidRDefault="00FE541B" w14:paraId="418E35A5"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0.017 -0.267 hrs.</w:t>
            </w:r>
          </w:p>
        </w:tc>
        <w:tc>
          <w:tcPr>
            <w:tcW w:w="1080" w:type="dxa"/>
            <w:shd w:val="clear" w:color="FFFF00" w:fill="auto"/>
          </w:tcPr>
          <w:p w:rsidRPr="004251E4" w:rsidR="00FE541B" w:rsidP="00BD4FC5" w:rsidRDefault="00FE541B" w14:paraId="07ACCF64"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83.6 hrs.</w:t>
            </w:r>
          </w:p>
        </w:tc>
        <w:tc>
          <w:tcPr>
            <w:tcW w:w="1350" w:type="dxa"/>
            <w:shd w:val="clear" w:color="FFFF00" w:fill="auto"/>
          </w:tcPr>
          <w:p w:rsidRPr="004251E4" w:rsidR="00FE541B" w:rsidP="00BD4FC5" w:rsidRDefault="00FE541B" w14:paraId="0B9CD7A5"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$4,019.49</w:t>
            </w:r>
          </w:p>
        </w:tc>
      </w:tr>
      <w:tr w:rsidRPr="004251E4" w:rsidR="004251E4" w:rsidTr="00CB232A" w14:paraId="0CB0B755" w14:textId="77777777">
        <w:trPr>
          <w:trHeight w:val="1248"/>
        </w:trPr>
        <w:tc>
          <w:tcPr>
            <w:tcW w:w="2775" w:type="dxa"/>
            <w:gridSpan w:val="2"/>
          </w:tcPr>
          <w:p w:rsidRPr="004251E4" w:rsidR="00BF46A3" w:rsidP="00BD4FC5" w:rsidRDefault="00BF46A3" w14:paraId="0AFDDFA4" w14:textId="5DF16A94">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 xml:space="preserve">Broadcaster On-Air Notices for </w:t>
            </w:r>
            <w:r w:rsidRPr="004251E4" w:rsidR="00720FB0">
              <w:rPr>
                <w:rFonts w:ascii="Arial Narrow" w:hAnsi="Arial Narrow" w:cs="Arial Narrow"/>
                <w:b/>
                <w:bCs/>
                <w:color w:val="000000" w:themeColor="text1"/>
                <w:sz w:val="20"/>
              </w:rPr>
              <w:t xml:space="preserve">       </w:t>
            </w:r>
            <w:r w:rsidRPr="004251E4">
              <w:rPr>
                <w:rFonts w:ascii="Arial Narrow" w:hAnsi="Arial Narrow" w:cs="Arial Narrow"/>
                <w:b/>
                <w:bCs/>
                <w:color w:val="000000" w:themeColor="text1"/>
                <w:sz w:val="20"/>
              </w:rPr>
              <w:t>Multicast Streams</w:t>
            </w:r>
          </w:p>
        </w:tc>
        <w:tc>
          <w:tcPr>
            <w:tcW w:w="1890" w:type="dxa"/>
            <w:shd w:val="clear" w:color="FFFF00" w:fill="auto"/>
          </w:tcPr>
          <w:p w:rsidRPr="004251E4" w:rsidR="00BF46A3" w:rsidP="00BD4FC5" w:rsidRDefault="00BF46A3" w14:paraId="487951C5" w14:textId="4E4906E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72 respondents</w:t>
            </w:r>
          </w:p>
        </w:tc>
        <w:tc>
          <w:tcPr>
            <w:tcW w:w="1890" w:type="dxa"/>
            <w:shd w:val="clear" w:color="FFFF00" w:fill="auto"/>
          </w:tcPr>
          <w:p w:rsidRPr="004251E4" w:rsidR="00BF46A3" w:rsidP="00BD4FC5" w:rsidRDefault="00BF46A3" w14:paraId="7142DF6F" w14:textId="77833D8E">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6,480 responses</w:t>
            </w:r>
          </w:p>
        </w:tc>
        <w:tc>
          <w:tcPr>
            <w:tcW w:w="990" w:type="dxa"/>
            <w:shd w:val="clear" w:color="FFFF00" w:fill="auto"/>
          </w:tcPr>
          <w:p w:rsidRPr="004251E4" w:rsidR="00BF46A3" w:rsidP="00BD4FC5" w:rsidRDefault="00BF46A3" w14:paraId="2D82A29B" w14:textId="0D24C7FD">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0.017 -0.267 </w:t>
            </w:r>
            <w:proofErr w:type="spellStart"/>
            <w:r w:rsidRPr="004251E4">
              <w:rPr>
                <w:rFonts w:ascii="Arial Narrow" w:hAnsi="Arial Narrow" w:cs="Arial Narrow"/>
                <w:color w:val="000000" w:themeColor="text1"/>
                <w:sz w:val="20"/>
              </w:rPr>
              <w:t>hrs</w:t>
            </w:r>
            <w:proofErr w:type="spellEnd"/>
          </w:p>
        </w:tc>
        <w:tc>
          <w:tcPr>
            <w:tcW w:w="1080" w:type="dxa"/>
            <w:shd w:val="clear" w:color="FFFF00" w:fill="auto"/>
          </w:tcPr>
          <w:p w:rsidRPr="004251E4" w:rsidR="00BF46A3" w:rsidP="00BD4FC5" w:rsidRDefault="00BF46A3" w14:paraId="07A4E2C3" w14:textId="7F681ADA">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164.16 </w:t>
            </w:r>
            <w:proofErr w:type="spellStart"/>
            <w:r w:rsidRPr="004251E4">
              <w:rPr>
                <w:rFonts w:ascii="Arial Narrow" w:hAnsi="Arial Narrow" w:cs="Arial Narrow"/>
                <w:color w:val="000000" w:themeColor="text1"/>
                <w:sz w:val="20"/>
              </w:rPr>
              <w:t>hrs</w:t>
            </w:r>
            <w:proofErr w:type="spellEnd"/>
          </w:p>
        </w:tc>
        <w:tc>
          <w:tcPr>
            <w:tcW w:w="1350" w:type="dxa"/>
            <w:shd w:val="clear" w:color="FFFF00" w:fill="auto"/>
          </w:tcPr>
          <w:p w:rsidRPr="004251E4" w:rsidR="00BF46A3" w:rsidP="00BD4FC5" w:rsidRDefault="00BF46A3" w14:paraId="5B9C0D22" w14:textId="7D9AF3FD">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$7,892.81</w:t>
            </w:r>
          </w:p>
        </w:tc>
      </w:tr>
      <w:tr w:rsidRPr="004251E4" w:rsidR="004251E4" w:rsidTr="00FA717F" w14:paraId="26E5E1FF" w14:textId="77777777">
        <w:trPr>
          <w:trHeight w:val="345"/>
        </w:trPr>
        <w:tc>
          <w:tcPr>
            <w:tcW w:w="2775" w:type="dxa"/>
            <w:gridSpan w:val="2"/>
            <w:shd w:val="clear" w:color="auto" w:fill="F2F2F2"/>
          </w:tcPr>
          <w:p w:rsidRPr="004251E4" w:rsidR="00074472" w:rsidP="00BD4FC5" w:rsidRDefault="00074472" w14:paraId="562B14E8"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F2F2F2"/>
          </w:tcPr>
          <w:p w:rsidRPr="004251E4" w:rsidR="00074472" w:rsidP="00BD4FC5" w:rsidRDefault="00D85A7E" w14:paraId="4DCDEB69" w14:textId="55537BF9">
            <w:pPr>
              <w:rPr>
                <w:rFonts w:ascii="Arial Narrow" w:hAnsi="Arial Narrow" w:cs="Arial Narrow"/>
                <w:b/>
                <w:color w:val="000000" w:themeColor="text1"/>
                <w:sz w:val="20"/>
              </w:rPr>
            </w:pPr>
            <w:r w:rsidRPr="004251E4">
              <w:rPr>
                <w:rFonts w:ascii="Arial Narrow" w:hAnsi="Arial Narrow" w:cs="Arial Narrow"/>
                <w:b/>
                <w:bCs/>
                <w:color w:val="000000" w:themeColor="text1"/>
                <w:sz w:val="20"/>
              </w:rPr>
              <w:t>1</w:t>
            </w:r>
            <w:r w:rsidRPr="004251E4" w:rsidR="007020B4">
              <w:rPr>
                <w:rFonts w:ascii="Arial Narrow" w:hAnsi="Arial Narrow" w:cs="Arial Narrow"/>
                <w:b/>
                <w:bCs/>
                <w:color w:val="000000" w:themeColor="text1"/>
                <w:sz w:val="20"/>
              </w:rPr>
              <w:t>82</w:t>
            </w:r>
            <w:r w:rsidRPr="004251E4" w:rsidR="00074472">
              <w:rPr>
                <w:rFonts w:ascii="Arial Narrow" w:hAnsi="Arial Narrow" w:cs="Arial Narrow"/>
                <w:b/>
                <w:bCs/>
                <w:color w:val="000000" w:themeColor="text1"/>
                <w:sz w:val="20"/>
              </w:rPr>
              <w:t xml:space="preserve"> respondents</w:t>
            </w:r>
          </w:p>
        </w:tc>
        <w:tc>
          <w:tcPr>
            <w:tcW w:w="1890" w:type="dxa"/>
            <w:shd w:val="clear" w:color="auto" w:fill="F2F2F2"/>
          </w:tcPr>
          <w:p w:rsidRPr="004251E4" w:rsidR="00074472" w:rsidP="00BD4FC5" w:rsidRDefault="007020B4" w14:paraId="6FCD00E5" w14:textId="065F7F63">
            <w:pPr>
              <w:rPr>
                <w:rFonts w:ascii="Arial Narrow" w:hAnsi="Arial Narrow" w:cs="Arial Narrow"/>
                <w:b/>
                <w:color w:val="000000" w:themeColor="text1"/>
                <w:sz w:val="20"/>
              </w:rPr>
            </w:pPr>
            <w:r w:rsidRPr="004251E4">
              <w:rPr>
                <w:rFonts w:ascii="Arial Narrow" w:hAnsi="Arial Narrow" w:cs="Arial Narrow"/>
                <w:b/>
                <w:color w:val="000000" w:themeColor="text1"/>
                <w:sz w:val="20"/>
              </w:rPr>
              <w:t>9</w:t>
            </w:r>
            <w:r w:rsidRPr="004251E4" w:rsidR="00D85A7E">
              <w:rPr>
                <w:rFonts w:ascii="Arial Narrow" w:hAnsi="Arial Narrow" w:cs="Arial Narrow"/>
                <w:b/>
                <w:color w:val="000000" w:themeColor="text1"/>
                <w:sz w:val="20"/>
              </w:rPr>
              <w:t>,</w:t>
            </w:r>
            <w:r w:rsidRPr="004251E4">
              <w:rPr>
                <w:rFonts w:ascii="Arial Narrow" w:hAnsi="Arial Narrow" w:cs="Arial Narrow"/>
                <w:b/>
                <w:color w:val="000000" w:themeColor="text1"/>
                <w:sz w:val="20"/>
              </w:rPr>
              <w:t>780</w:t>
            </w:r>
            <w:r w:rsidRPr="004251E4" w:rsidR="00074472">
              <w:rPr>
                <w:rFonts w:ascii="Arial Narrow" w:hAnsi="Arial Narrow" w:cs="Arial Narrow"/>
                <w:b/>
                <w:color w:val="000000" w:themeColor="text1"/>
                <w:sz w:val="20"/>
              </w:rPr>
              <w:t xml:space="preserve"> responses</w:t>
            </w:r>
          </w:p>
        </w:tc>
        <w:tc>
          <w:tcPr>
            <w:tcW w:w="990" w:type="dxa"/>
            <w:shd w:val="clear" w:color="auto" w:fill="F2F2F2"/>
          </w:tcPr>
          <w:p w:rsidRPr="004251E4" w:rsidR="00074472" w:rsidP="00BD4FC5" w:rsidRDefault="00074472" w14:paraId="26A844A8" w14:textId="77777777">
            <w:pPr>
              <w:rPr>
                <w:rFonts w:ascii="Arial Narrow" w:hAnsi="Arial Narrow" w:cs="Arial Narrow"/>
                <w:b/>
                <w:color w:val="000000" w:themeColor="text1"/>
                <w:sz w:val="20"/>
              </w:rPr>
            </w:pPr>
          </w:p>
        </w:tc>
        <w:tc>
          <w:tcPr>
            <w:tcW w:w="1080" w:type="dxa"/>
            <w:shd w:val="clear" w:color="auto" w:fill="F2F2F2"/>
          </w:tcPr>
          <w:p w:rsidRPr="004251E4" w:rsidR="00074472" w:rsidP="00BD4FC5" w:rsidRDefault="007020B4" w14:paraId="205EB76D" w14:textId="0682ECEE">
            <w:pPr>
              <w:rPr>
                <w:rFonts w:ascii="Arial Narrow" w:hAnsi="Arial Narrow" w:cs="Arial Narrow"/>
                <w:b/>
                <w:color w:val="000000" w:themeColor="text1"/>
                <w:sz w:val="20"/>
              </w:rPr>
            </w:pPr>
            <w:r w:rsidRPr="004251E4">
              <w:rPr>
                <w:rFonts w:ascii="Arial Narrow" w:hAnsi="Arial Narrow" w:cs="Arial Narrow"/>
                <w:b/>
                <w:color w:val="000000" w:themeColor="text1"/>
                <w:sz w:val="20"/>
              </w:rPr>
              <w:t>247</w:t>
            </w:r>
            <w:r w:rsidRPr="004251E4" w:rsidR="00FE541B">
              <w:rPr>
                <w:rFonts w:ascii="Arial Narrow" w:hAnsi="Arial Narrow" w:cs="Arial Narrow"/>
                <w:b/>
                <w:color w:val="000000" w:themeColor="text1"/>
                <w:sz w:val="20"/>
              </w:rPr>
              <w:t>.</w:t>
            </w:r>
            <w:r w:rsidRPr="004251E4">
              <w:rPr>
                <w:rFonts w:ascii="Arial Narrow" w:hAnsi="Arial Narrow" w:cs="Arial Narrow"/>
                <w:b/>
                <w:color w:val="000000" w:themeColor="text1"/>
                <w:sz w:val="20"/>
              </w:rPr>
              <w:t>7</w:t>
            </w:r>
            <w:r w:rsidRPr="004251E4" w:rsidR="00FE541B">
              <w:rPr>
                <w:rFonts w:ascii="Arial Narrow" w:hAnsi="Arial Narrow" w:cs="Arial Narrow"/>
                <w:b/>
                <w:color w:val="000000" w:themeColor="text1"/>
                <w:sz w:val="20"/>
              </w:rPr>
              <w:t>6</w:t>
            </w:r>
            <w:r w:rsidRPr="004251E4" w:rsidR="00074472">
              <w:rPr>
                <w:rFonts w:ascii="Arial Narrow" w:hAnsi="Arial Narrow" w:cs="Arial Narrow"/>
                <w:b/>
                <w:color w:val="000000" w:themeColor="text1"/>
                <w:sz w:val="20"/>
              </w:rPr>
              <w:t xml:space="preserve"> hours</w:t>
            </w:r>
          </w:p>
        </w:tc>
        <w:tc>
          <w:tcPr>
            <w:tcW w:w="1350" w:type="dxa"/>
            <w:shd w:val="clear" w:color="auto" w:fill="F2F2F2"/>
          </w:tcPr>
          <w:p w:rsidRPr="004251E4" w:rsidR="00074472" w:rsidP="00BD4FC5" w:rsidRDefault="00074472" w14:paraId="6CAF94A1" w14:textId="730882AF">
            <w:pPr>
              <w:rPr>
                <w:rFonts w:ascii="Arial Narrow" w:hAnsi="Arial Narrow" w:cs="Arial Narrow"/>
                <w:b/>
                <w:color w:val="000000" w:themeColor="text1"/>
                <w:sz w:val="20"/>
              </w:rPr>
            </w:pPr>
            <w:r w:rsidRPr="004251E4">
              <w:rPr>
                <w:rFonts w:ascii="Arial Narrow" w:hAnsi="Arial Narrow" w:cs="Arial Narrow"/>
                <w:b/>
                <w:color w:val="000000" w:themeColor="text1"/>
                <w:sz w:val="20"/>
              </w:rPr>
              <w:t>$</w:t>
            </w:r>
            <w:r w:rsidRPr="004251E4" w:rsidR="00BF46A3">
              <w:rPr>
                <w:rFonts w:ascii="Arial Narrow" w:hAnsi="Arial Narrow" w:cs="Arial Narrow"/>
                <w:b/>
                <w:color w:val="000000" w:themeColor="text1"/>
                <w:sz w:val="20"/>
              </w:rPr>
              <w:t xml:space="preserve">11,912.30 </w:t>
            </w:r>
            <w:r w:rsidRPr="004251E4" w:rsidR="00FE541B">
              <w:rPr>
                <w:rFonts w:ascii="Arial Narrow" w:hAnsi="Arial Narrow" w:cs="Arial Narrow"/>
                <w:b/>
                <w:color w:val="000000" w:themeColor="text1"/>
                <w:sz w:val="20"/>
              </w:rPr>
              <w:t>cost</w:t>
            </w:r>
          </w:p>
        </w:tc>
      </w:tr>
      <w:tr w:rsidRPr="004251E4" w:rsidR="004251E4" w:rsidTr="008E6563" w14:paraId="1A6695B5" w14:textId="77777777">
        <w:trPr>
          <w:trHeight w:val="540"/>
        </w:trPr>
        <w:tc>
          <w:tcPr>
            <w:tcW w:w="2775" w:type="dxa"/>
            <w:gridSpan w:val="2"/>
            <w:vMerge w:val="restart"/>
          </w:tcPr>
          <w:p w:rsidRPr="004251E4" w:rsidR="00A5505F" w:rsidP="006900AE" w:rsidRDefault="00A5505F" w14:paraId="5C1BB0B4"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Broadcaster Notices to MVPDs</w:t>
            </w:r>
          </w:p>
        </w:tc>
        <w:tc>
          <w:tcPr>
            <w:tcW w:w="1890" w:type="dxa"/>
            <w:vMerge w:val="restart"/>
            <w:shd w:val="clear" w:color="FFFF00" w:fill="auto"/>
          </w:tcPr>
          <w:p w:rsidRPr="004251E4" w:rsidR="00A5505F" w:rsidP="006900AE" w:rsidRDefault="00A5505F" w14:paraId="2D56C4A8"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99 respondents</w:t>
            </w:r>
          </w:p>
          <w:p w:rsidRPr="004251E4" w:rsidR="00ED3100" w:rsidP="006900AE" w:rsidRDefault="00ED3100" w14:paraId="74C31DA5" w14:textId="18FA4B7B">
            <w:pPr>
              <w:autoSpaceDE w:val="0"/>
              <w:autoSpaceDN w:val="0"/>
              <w:adjustRightInd w:val="0"/>
              <w:rPr>
                <w:rFonts w:ascii="Arial Narrow" w:hAnsi="Arial Narrow" w:cs="Arial Narrow"/>
                <w:color w:val="000000" w:themeColor="text1"/>
                <w:sz w:val="20"/>
              </w:rPr>
            </w:pPr>
          </w:p>
        </w:tc>
        <w:tc>
          <w:tcPr>
            <w:tcW w:w="1890" w:type="dxa"/>
            <w:shd w:val="clear" w:color="FFFF00" w:fill="auto"/>
          </w:tcPr>
          <w:p w:rsidRPr="004251E4" w:rsidR="00A5505F" w:rsidP="006900AE" w:rsidRDefault="00A5505F" w14:paraId="7C55411E"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495 notices</w:t>
            </w:r>
          </w:p>
        </w:tc>
        <w:tc>
          <w:tcPr>
            <w:tcW w:w="990" w:type="dxa"/>
            <w:shd w:val="clear" w:color="FFFF00" w:fill="auto"/>
          </w:tcPr>
          <w:p w:rsidRPr="004251E4" w:rsidR="00A5505F" w:rsidP="006900AE" w:rsidRDefault="00A5505F" w14:paraId="6DB0179A"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0.25-2.25 hrs.</w:t>
            </w:r>
          </w:p>
        </w:tc>
        <w:tc>
          <w:tcPr>
            <w:tcW w:w="1080" w:type="dxa"/>
            <w:shd w:val="clear" w:color="FFFF00" w:fill="auto"/>
          </w:tcPr>
          <w:p w:rsidRPr="004251E4" w:rsidR="00A5505F" w:rsidP="006900AE" w:rsidRDefault="00A5505F" w14:paraId="17866AF4"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321.75 hrs.</w:t>
            </w:r>
          </w:p>
        </w:tc>
        <w:tc>
          <w:tcPr>
            <w:tcW w:w="1350" w:type="dxa"/>
            <w:shd w:val="clear" w:color="FFFF00" w:fill="auto"/>
          </w:tcPr>
          <w:p w:rsidRPr="004251E4" w:rsidR="00A5505F" w:rsidP="006900AE" w:rsidRDefault="00A5505F" w14:paraId="1AC1DDCC"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$15,469.74</w:t>
            </w:r>
          </w:p>
        </w:tc>
      </w:tr>
      <w:tr w:rsidRPr="004251E4" w:rsidR="004251E4" w:rsidTr="008E6563" w14:paraId="7BD7471D" w14:textId="77777777">
        <w:trPr>
          <w:trHeight w:val="540"/>
        </w:trPr>
        <w:tc>
          <w:tcPr>
            <w:tcW w:w="2775" w:type="dxa"/>
            <w:gridSpan w:val="2"/>
            <w:vMerge/>
          </w:tcPr>
          <w:p w:rsidRPr="004251E4" w:rsidR="00A5505F" w:rsidP="006900AE" w:rsidRDefault="00A5505F" w14:paraId="078D8319" w14:textId="77777777">
            <w:pPr>
              <w:autoSpaceDE w:val="0"/>
              <w:autoSpaceDN w:val="0"/>
              <w:adjustRightInd w:val="0"/>
              <w:rPr>
                <w:rFonts w:ascii="Arial Narrow" w:hAnsi="Arial Narrow" w:cs="Arial Narrow"/>
                <w:b/>
                <w:bCs/>
                <w:color w:val="000000" w:themeColor="text1"/>
                <w:sz w:val="20"/>
              </w:rPr>
            </w:pPr>
          </w:p>
        </w:tc>
        <w:tc>
          <w:tcPr>
            <w:tcW w:w="1890" w:type="dxa"/>
            <w:vMerge/>
            <w:shd w:val="clear" w:color="FFFF00" w:fill="auto"/>
          </w:tcPr>
          <w:p w:rsidRPr="004251E4" w:rsidR="00A5505F" w:rsidP="006900AE" w:rsidRDefault="00A5505F" w14:paraId="5AEAFF5E" w14:textId="77777777">
            <w:pPr>
              <w:autoSpaceDE w:val="0"/>
              <w:autoSpaceDN w:val="0"/>
              <w:adjustRightInd w:val="0"/>
              <w:rPr>
                <w:rFonts w:ascii="Arial Narrow" w:hAnsi="Arial Narrow" w:cs="Arial Narrow"/>
                <w:color w:val="000000" w:themeColor="text1"/>
                <w:sz w:val="20"/>
              </w:rPr>
            </w:pPr>
          </w:p>
        </w:tc>
        <w:tc>
          <w:tcPr>
            <w:tcW w:w="1890" w:type="dxa"/>
            <w:shd w:val="clear" w:color="FFFF00" w:fill="auto"/>
          </w:tcPr>
          <w:p w:rsidRPr="004251E4" w:rsidR="00A5505F" w:rsidP="006900AE" w:rsidRDefault="00ED3100" w14:paraId="04539637" w14:textId="32096FBC">
            <w:pPr>
              <w:rPr>
                <w:rFonts w:ascii="Arial Narrow" w:hAnsi="Arial Narrow" w:cs="Arial Narrow"/>
                <w:color w:val="000000" w:themeColor="text1"/>
                <w:sz w:val="20"/>
              </w:rPr>
            </w:pPr>
            <w:r w:rsidRPr="004251E4">
              <w:rPr>
                <w:rFonts w:ascii="Arial Narrow" w:hAnsi="Arial Narrow" w:cs="Arial Narrow"/>
                <w:color w:val="000000" w:themeColor="text1"/>
                <w:sz w:val="20"/>
              </w:rPr>
              <w:t>Notices for which multicast stream information is needed</w:t>
            </w:r>
          </w:p>
        </w:tc>
        <w:tc>
          <w:tcPr>
            <w:tcW w:w="990" w:type="dxa"/>
            <w:shd w:val="clear" w:color="FFFF00" w:fill="auto"/>
          </w:tcPr>
          <w:p w:rsidRPr="004251E4" w:rsidR="00A5505F" w:rsidP="006900AE" w:rsidRDefault="00A5505F" w14:paraId="15B66006" w14:textId="77777777">
            <w:pPr>
              <w:rPr>
                <w:rFonts w:ascii="Arial Narrow" w:hAnsi="Arial Narrow" w:cs="Arial Narrow"/>
                <w:color w:val="000000" w:themeColor="text1"/>
                <w:sz w:val="20"/>
              </w:rPr>
            </w:pPr>
          </w:p>
        </w:tc>
        <w:tc>
          <w:tcPr>
            <w:tcW w:w="1080" w:type="dxa"/>
            <w:shd w:val="clear" w:color="FFFF00" w:fill="auto"/>
          </w:tcPr>
          <w:p w:rsidRPr="004251E4" w:rsidR="00A5505F" w:rsidP="006900AE" w:rsidRDefault="00ED3100" w14:paraId="108E87D2" w14:textId="4DD17AAC">
            <w:pPr>
              <w:rPr>
                <w:rFonts w:ascii="Arial Narrow" w:hAnsi="Arial Narrow" w:cs="Arial Narrow"/>
                <w:color w:val="000000" w:themeColor="text1"/>
                <w:sz w:val="20"/>
              </w:rPr>
            </w:pPr>
            <w:r w:rsidRPr="004251E4">
              <w:rPr>
                <w:rFonts w:ascii="Arial Narrow" w:hAnsi="Arial Narrow" w:cs="Arial Narrow"/>
                <w:color w:val="000000" w:themeColor="text1"/>
                <w:sz w:val="20"/>
              </w:rPr>
              <w:t>6 hours</w:t>
            </w:r>
          </w:p>
        </w:tc>
        <w:tc>
          <w:tcPr>
            <w:tcW w:w="1350" w:type="dxa"/>
            <w:shd w:val="clear" w:color="FFFF00" w:fill="auto"/>
          </w:tcPr>
          <w:p w:rsidRPr="004251E4" w:rsidR="00A5505F" w:rsidP="006900AE" w:rsidRDefault="00ED3100" w14:paraId="46FD3B43" w14:textId="34EEC170">
            <w:pPr>
              <w:rPr>
                <w:rFonts w:ascii="Arial Narrow" w:hAnsi="Arial Narrow" w:cs="Arial Narrow"/>
                <w:color w:val="000000" w:themeColor="text1"/>
                <w:sz w:val="20"/>
              </w:rPr>
            </w:pPr>
            <w:r w:rsidRPr="004251E4">
              <w:rPr>
                <w:rFonts w:ascii="Times New Roman" w:hAnsi="Times New Roman"/>
                <w:color w:val="000000" w:themeColor="text1"/>
                <w:spacing w:val="-3"/>
                <w:sz w:val="22"/>
                <w:szCs w:val="22"/>
              </w:rPr>
              <w:t>$288.48</w:t>
            </w:r>
          </w:p>
        </w:tc>
      </w:tr>
      <w:tr w:rsidRPr="004251E4" w:rsidR="004251E4" w:rsidTr="00FA717F" w14:paraId="562B5568" w14:textId="77777777">
        <w:trPr>
          <w:trHeight w:val="540"/>
        </w:trPr>
        <w:tc>
          <w:tcPr>
            <w:tcW w:w="2775" w:type="dxa"/>
            <w:gridSpan w:val="2"/>
            <w:vMerge/>
          </w:tcPr>
          <w:p w:rsidRPr="004251E4" w:rsidR="00A5505F" w:rsidP="006900AE" w:rsidRDefault="00A5505F" w14:paraId="6C89F5E0" w14:textId="77777777">
            <w:pPr>
              <w:autoSpaceDE w:val="0"/>
              <w:autoSpaceDN w:val="0"/>
              <w:adjustRightInd w:val="0"/>
              <w:rPr>
                <w:rFonts w:ascii="Arial Narrow" w:hAnsi="Arial Narrow" w:cs="Arial Narrow"/>
                <w:b/>
                <w:bCs/>
                <w:color w:val="000000" w:themeColor="text1"/>
                <w:sz w:val="20"/>
              </w:rPr>
            </w:pPr>
          </w:p>
        </w:tc>
        <w:tc>
          <w:tcPr>
            <w:tcW w:w="1890" w:type="dxa"/>
            <w:vMerge w:val="restart"/>
            <w:shd w:val="clear" w:color="FFFF00" w:fill="auto"/>
          </w:tcPr>
          <w:p w:rsidRPr="004251E4" w:rsidR="00A5505F" w:rsidP="006900AE" w:rsidRDefault="00A5505F" w14:paraId="03AA8A44" w14:textId="77777777">
            <w:pPr>
              <w:autoSpaceDE w:val="0"/>
              <w:autoSpaceDN w:val="0"/>
              <w:adjustRightInd w:val="0"/>
              <w:rPr>
                <w:rFonts w:ascii="Arial Narrow" w:hAnsi="Arial Narrow" w:cs="Arial Narrow"/>
                <w:color w:val="000000" w:themeColor="text1"/>
                <w:sz w:val="20"/>
              </w:rPr>
            </w:pPr>
            <w:r w:rsidRPr="004251E4">
              <w:rPr>
                <w:rFonts w:ascii="Arial Narrow" w:hAnsi="Arial Narrow" w:cs="Arial Narrow"/>
                <w:color w:val="000000" w:themeColor="text1"/>
                <w:sz w:val="20"/>
              </w:rPr>
              <w:t>11 respondents</w:t>
            </w:r>
          </w:p>
        </w:tc>
        <w:tc>
          <w:tcPr>
            <w:tcW w:w="1890" w:type="dxa"/>
            <w:shd w:val="clear" w:color="FFFF00" w:fill="auto"/>
          </w:tcPr>
          <w:p w:rsidRPr="004251E4" w:rsidR="00A5505F" w:rsidP="008E6563" w:rsidRDefault="00A5505F" w14:paraId="4086F7CB"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55 notices</w:t>
            </w:r>
          </w:p>
        </w:tc>
        <w:tc>
          <w:tcPr>
            <w:tcW w:w="990" w:type="dxa"/>
            <w:shd w:val="clear" w:color="FFFF00" w:fill="auto"/>
          </w:tcPr>
          <w:p w:rsidRPr="004251E4" w:rsidR="00A5505F" w:rsidP="006900AE" w:rsidRDefault="00A5505F" w14:paraId="14DCFD37"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0.25-1.25 </w:t>
            </w:r>
            <w:proofErr w:type="spellStart"/>
            <w:r w:rsidRPr="004251E4">
              <w:rPr>
                <w:rFonts w:ascii="Arial Narrow" w:hAnsi="Arial Narrow" w:cs="Arial Narrow"/>
                <w:color w:val="000000" w:themeColor="text1"/>
                <w:sz w:val="20"/>
              </w:rPr>
              <w:t>hrs</w:t>
            </w:r>
            <w:proofErr w:type="spellEnd"/>
          </w:p>
        </w:tc>
        <w:tc>
          <w:tcPr>
            <w:tcW w:w="1080" w:type="dxa"/>
            <w:shd w:val="clear" w:color="FFFF00" w:fill="auto"/>
          </w:tcPr>
          <w:p w:rsidRPr="004251E4" w:rsidR="00A5505F" w:rsidP="006900AE" w:rsidRDefault="00A5505F" w14:paraId="7CEAF1FB"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24.75 </w:t>
            </w:r>
            <w:proofErr w:type="spellStart"/>
            <w:r w:rsidRPr="004251E4">
              <w:rPr>
                <w:rFonts w:ascii="Arial Narrow" w:hAnsi="Arial Narrow" w:cs="Arial Narrow"/>
                <w:color w:val="000000" w:themeColor="text1"/>
                <w:sz w:val="20"/>
              </w:rPr>
              <w:t>hrs</w:t>
            </w:r>
            <w:proofErr w:type="spellEnd"/>
          </w:p>
        </w:tc>
        <w:tc>
          <w:tcPr>
            <w:tcW w:w="1350" w:type="dxa"/>
            <w:shd w:val="clear" w:color="FFFF00" w:fill="auto"/>
          </w:tcPr>
          <w:p w:rsidRPr="004251E4" w:rsidR="00A5505F" w:rsidP="006900AE" w:rsidRDefault="00A5505F" w14:paraId="5C522391"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$1,189.98</w:t>
            </w:r>
          </w:p>
        </w:tc>
      </w:tr>
      <w:tr w:rsidRPr="004251E4" w:rsidR="004251E4" w:rsidTr="00FA717F" w14:paraId="541F8A13" w14:textId="77777777">
        <w:trPr>
          <w:trHeight w:val="540"/>
        </w:trPr>
        <w:tc>
          <w:tcPr>
            <w:tcW w:w="2775" w:type="dxa"/>
            <w:gridSpan w:val="2"/>
            <w:vMerge/>
          </w:tcPr>
          <w:p w:rsidRPr="004251E4" w:rsidR="00ED3100" w:rsidP="00ED3100" w:rsidRDefault="00ED3100" w14:paraId="7DD57434" w14:textId="77777777">
            <w:pPr>
              <w:autoSpaceDE w:val="0"/>
              <w:autoSpaceDN w:val="0"/>
              <w:adjustRightInd w:val="0"/>
              <w:rPr>
                <w:rFonts w:ascii="Arial Narrow" w:hAnsi="Arial Narrow" w:cs="Arial Narrow"/>
                <w:b/>
                <w:bCs/>
                <w:color w:val="000000" w:themeColor="text1"/>
                <w:sz w:val="20"/>
              </w:rPr>
            </w:pPr>
          </w:p>
        </w:tc>
        <w:tc>
          <w:tcPr>
            <w:tcW w:w="1890" w:type="dxa"/>
            <w:vMerge/>
            <w:shd w:val="clear" w:color="FFFF00" w:fill="auto"/>
          </w:tcPr>
          <w:p w:rsidRPr="004251E4" w:rsidR="00ED3100" w:rsidP="00ED3100" w:rsidRDefault="00ED3100" w14:paraId="00D7F2D8" w14:textId="77777777">
            <w:pPr>
              <w:autoSpaceDE w:val="0"/>
              <w:autoSpaceDN w:val="0"/>
              <w:adjustRightInd w:val="0"/>
              <w:rPr>
                <w:rFonts w:ascii="Arial Narrow" w:hAnsi="Arial Narrow" w:cs="Arial Narrow"/>
                <w:color w:val="000000" w:themeColor="text1"/>
                <w:sz w:val="20"/>
              </w:rPr>
            </w:pPr>
          </w:p>
        </w:tc>
        <w:tc>
          <w:tcPr>
            <w:tcW w:w="1890" w:type="dxa"/>
            <w:shd w:val="clear" w:color="FFFF00" w:fill="auto"/>
          </w:tcPr>
          <w:p w:rsidRPr="004251E4" w:rsidR="00ED3100" w:rsidP="00ED3100" w:rsidRDefault="00ED3100" w14:paraId="778BF6FF" w14:textId="7024782C">
            <w:pPr>
              <w:rPr>
                <w:rFonts w:ascii="Arial Narrow" w:hAnsi="Arial Narrow" w:cs="Arial Narrow"/>
                <w:color w:val="000000" w:themeColor="text1"/>
                <w:sz w:val="20"/>
              </w:rPr>
            </w:pPr>
            <w:r w:rsidRPr="004251E4">
              <w:rPr>
                <w:rFonts w:ascii="Arial Narrow" w:hAnsi="Arial Narrow" w:cs="Arial Narrow"/>
                <w:color w:val="000000" w:themeColor="text1"/>
                <w:sz w:val="20"/>
              </w:rPr>
              <w:t>Notices for which multicast stream information is needed</w:t>
            </w:r>
          </w:p>
        </w:tc>
        <w:tc>
          <w:tcPr>
            <w:tcW w:w="990" w:type="dxa"/>
            <w:shd w:val="clear" w:color="FFFF00" w:fill="auto"/>
          </w:tcPr>
          <w:p w:rsidRPr="004251E4" w:rsidR="00ED3100" w:rsidP="00ED3100" w:rsidRDefault="00ED3100" w14:paraId="4F8F8D1F" w14:textId="77777777">
            <w:pPr>
              <w:rPr>
                <w:rFonts w:ascii="Arial Narrow" w:hAnsi="Arial Narrow" w:cs="Arial Narrow"/>
                <w:color w:val="000000" w:themeColor="text1"/>
                <w:sz w:val="20"/>
              </w:rPr>
            </w:pPr>
          </w:p>
        </w:tc>
        <w:tc>
          <w:tcPr>
            <w:tcW w:w="1080" w:type="dxa"/>
            <w:shd w:val="clear" w:color="FFFF00" w:fill="auto"/>
          </w:tcPr>
          <w:p w:rsidRPr="004251E4" w:rsidR="00ED3100" w:rsidP="00ED3100" w:rsidRDefault="00ED3100" w14:paraId="5125C6A3" w14:textId="769C0BDC">
            <w:pPr>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0.5 </w:t>
            </w:r>
            <w:proofErr w:type="spellStart"/>
            <w:r w:rsidRPr="004251E4">
              <w:rPr>
                <w:rFonts w:ascii="Arial Narrow" w:hAnsi="Arial Narrow" w:cs="Arial Narrow"/>
                <w:color w:val="000000" w:themeColor="text1"/>
                <w:sz w:val="20"/>
              </w:rPr>
              <w:t>hrs</w:t>
            </w:r>
            <w:proofErr w:type="spellEnd"/>
          </w:p>
        </w:tc>
        <w:tc>
          <w:tcPr>
            <w:tcW w:w="1350" w:type="dxa"/>
            <w:shd w:val="clear" w:color="FFFF00" w:fill="auto"/>
          </w:tcPr>
          <w:p w:rsidRPr="004251E4" w:rsidR="00ED3100" w:rsidP="00ED3100" w:rsidRDefault="00ED3100" w14:paraId="31423607" w14:textId="5C252C53">
            <w:pPr>
              <w:rPr>
                <w:rFonts w:ascii="Arial Narrow" w:hAnsi="Arial Narrow" w:cs="Arial Narrow"/>
                <w:color w:val="000000" w:themeColor="text1"/>
                <w:sz w:val="20"/>
              </w:rPr>
            </w:pPr>
            <w:r w:rsidRPr="004251E4">
              <w:rPr>
                <w:rFonts w:ascii="Arial Narrow" w:hAnsi="Arial Narrow" w:cs="Arial Narrow"/>
                <w:color w:val="000000" w:themeColor="text1"/>
                <w:sz w:val="20"/>
              </w:rPr>
              <w:t>$24.04</w:t>
            </w:r>
          </w:p>
        </w:tc>
      </w:tr>
      <w:tr w:rsidRPr="004251E4" w:rsidR="004251E4" w:rsidTr="00FA717F" w14:paraId="5026AEF9" w14:textId="77777777">
        <w:trPr>
          <w:trHeight w:val="416"/>
        </w:trPr>
        <w:tc>
          <w:tcPr>
            <w:tcW w:w="2775" w:type="dxa"/>
            <w:gridSpan w:val="2"/>
            <w:shd w:val="clear" w:color="auto" w:fill="F2F2F2"/>
          </w:tcPr>
          <w:p w:rsidRPr="004251E4" w:rsidR="00F72908" w:rsidP="00F72908" w:rsidRDefault="00F72908" w14:paraId="5778478E"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F2F2F2"/>
          </w:tcPr>
          <w:p w:rsidRPr="004251E4" w:rsidR="00F72908" w:rsidP="00F72908" w:rsidRDefault="006900AE" w14:paraId="3C5DE515" w14:textId="77777777">
            <w:pPr>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110</w:t>
            </w:r>
            <w:r w:rsidRPr="004251E4" w:rsidR="00F72908">
              <w:rPr>
                <w:rFonts w:ascii="Arial Narrow" w:hAnsi="Arial Narrow" w:cs="Arial Narrow"/>
                <w:b/>
                <w:bCs/>
                <w:color w:val="000000" w:themeColor="text1"/>
                <w:sz w:val="20"/>
              </w:rPr>
              <w:t xml:space="preserve"> respondents</w:t>
            </w:r>
          </w:p>
        </w:tc>
        <w:tc>
          <w:tcPr>
            <w:tcW w:w="1890" w:type="dxa"/>
            <w:shd w:val="clear" w:color="auto" w:fill="F2F2F2"/>
          </w:tcPr>
          <w:p w:rsidRPr="004251E4" w:rsidR="00F72908" w:rsidP="00F72908" w:rsidRDefault="006900AE" w14:paraId="792A2FF1" w14:textId="77777777">
            <w:pPr>
              <w:rPr>
                <w:rFonts w:ascii="Arial Narrow" w:hAnsi="Arial Narrow" w:cs="Arial Narrow"/>
                <w:b/>
                <w:color w:val="000000" w:themeColor="text1"/>
                <w:sz w:val="20"/>
              </w:rPr>
            </w:pPr>
            <w:r w:rsidRPr="004251E4">
              <w:rPr>
                <w:rFonts w:ascii="Arial Narrow" w:hAnsi="Arial Narrow" w:cs="Arial Narrow"/>
                <w:b/>
                <w:color w:val="000000" w:themeColor="text1"/>
                <w:sz w:val="20"/>
              </w:rPr>
              <w:t>550</w:t>
            </w:r>
            <w:r w:rsidRPr="004251E4" w:rsidR="00F72908">
              <w:rPr>
                <w:rFonts w:ascii="Arial Narrow" w:hAnsi="Arial Narrow" w:cs="Arial Narrow"/>
                <w:b/>
                <w:color w:val="000000" w:themeColor="text1"/>
                <w:sz w:val="20"/>
              </w:rPr>
              <w:t xml:space="preserve"> responses</w:t>
            </w:r>
          </w:p>
        </w:tc>
        <w:tc>
          <w:tcPr>
            <w:tcW w:w="990" w:type="dxa"/>
            <w:shd w:val="clear" w:color="auto" w:fill="F2F2F2"/>
          </w:tcPr>
          <w:p w:rsidRPr="004251E4" w:rsidR="00F72908" w:rsidP="00F72908" w:rsidRDefault="00F72908" w14:paraId="627E1E2B" w14:textId="77777777">
            <w:pPr>
              <w:rPr>
                <w:rFonts w:ascii="Arial Narrow" w:hAnsi="Arial Narrow" w:cs="Arial Narrow"/>
                <w:b/>
                <w:color w:val="000000" w:themeColor="text1"/>
                <w:sz w:val="20"/>
              </w:rPr>
            </w:pPr>
          </w:p>
        </w:tc>
        <w:tc>
          <w:tcPr>
            <w:tcW w:w="1080" w:type="dxa"/>
            <w:shd w:val="clear" w:color="auto" w:fill="F2F2F2"/>
          </w:tcPr>
          <w:p w:rsidRPr="004251E4" w:rsidR="00F72908" w:rsidP="00F72908" w:rsidRDefault="007020B4" w14:paraId="1B584DEF" w14:textId="7A1B609A">
            <w:pPr>
              <w:rPr>
                <w:rFonts w:ascii="Arial Narrow" w:hAnsi="Arial Narrow" w:cs="Arial Narrow"/>
                <w:b/>
                <w:color w:val="000000" w:themeColor="text1"/>
                <w:sz w:val="20"/>
              </w:rPr>
            </w:pPr>
            <w:r w:rsidRPr="004251E4">
              <w:rPr>
                <w:rFonts w:ascii="Arial Narrow" w:hAnsi="Arial Narrow" w:cs="Arial Narrow"/>
                <w:b/>
                <w:color w:val="000000" w:themeColor="text1"/>
                <w:sz w:val="20"/>
              </w:rPr>
              <w:t>353 hours</w:t>
            </w:r>
          </w:p>
        </w:tc>
        <w:tc>
          <w:tcPr>
            <w:tcW w:w="1350" w:type="dxa"/>
            <w:shd w:val="clear" w:color="auto" w:fill="F2F2F2"/>
          </w:tcPr>
          <w:p w:rsidRPr="004251E4" w:rsidR="00F72908" w:rsidP="00F72908" w:rsidRDefault="007020B4" w14:paraId="25B29C66" w14:textId="509106E0">
            <w:pPr>
              <w:rPr>
                <w:rFonts w:ascii="Arial Narrow" w:hAnsi="Arial Narrow" w:cs="Arial Narrow"/>
                <w:b/>
                <w:color w:val="000000" w:themeColor="text1"/>
                <w:sz w:val="20"/>
              </w:rPr>
            </w:pPr>
            <w:r w:rsidRPr="004251E4">
              <w:rPr>
                <w:rFonts w:ascii="Arial Narrow" w:hAnsi="Arial Narrow" w:cs="Arial Narrow"/>
                <w:b/>
                <w:color w:val="000000" w:themeColor="text1"/>
                <w:sz w:val="20"/>
              </w:rPr>
              <w:t>$16,972.24</w:t>
            </w:r>
          </w:p>
        </w:tc>
      </w:tr>
      <w:tr w:rsidRPr="004251E4" w:rsidR="004251E4" w:rsidTr="00FA717F" w14:paraId="01929AF9" w14:textId="77777777">
        <w:trPr>
          <w:trHeight w:val="1077"/>
        </w:trPr>
        <w:tc>
          <w:tcPr>
            <w:tcW w:w="2775" w:type="dxa"/>
            <w:gridSpan w:val="2"/>
          </w:tcPr>
          <w:p w:rsidRPr="004251E4" w:rsidR="000C1F2B" w:rsidP="000C1F2B" w:rsidRDefault="000C1F2B" w14:paraId="77136FF4"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lastRenderedPageBreak/>
              <w:t>Maintenance of Local Simulcasting Agreements (</w:t>
            </w:r>
            <w:r w:rsidRPr="004251E4">
              <w:rPr>
                <w:rFonts w:ascii="Arial Narrow" w:hAnsi="Arial Narrow" w:cs="Arial Narrow"/>
                <w:b/>
                <w:bCs/>
                <w:i/>
                <w:color w:val="000000" w:themeColor="text1"/>
                <w:sz w:val="20"/>
              </w:rPr>
              <w:t>Recordkeeping</w:t>
            </w:r>
            <w:r w:rsidRPr="004251E4">
              <w:rPr>
                <w:rFonts w:ascii="Arial Narrow" w:hAnsi="Arial Narrow" w:cs="Arial Narrow"/>
                <w:b/>
                <w:bCs/>
                <w:color w:val="000000" w:themeColor="text1"/>
                <w:sz w:val="20"/>
              </w:rPr>
              <w:t>)</w:t>
            </w:r>
          </w:p>
        </w:tc>
        <w:tc>
          <w:tcPr>
            <w:tcW w:w="1890" w:type="dxa"/>
            <w:shd w:val="clear" w:color="FFFF00" w:fill="auto"/>
          </w:tcPr>
          <w:p w:rsidRPr="004251E4" w:rsidR="000C1F2B" w:rsidP="000C1F2B" w:rsidRDefault="00160903" w14:paraId="3FBADA41" w14:textId="77777777">
            <w:pPr>
              <w:rPr>
                <w:rFonts w:ascii="Arial Narrow" w:hAnsi="Arial Narrow" w:cs="Arial Narrow"/>
                <w:bCs/>
                <w:color w:val="000000" w:themeColor="text1"/>
                <w:sz w:val="20"/>
              </w:rPr>
            </w:pPr>
            <w:r w:rsidRPr="004251E4">
              <w:rPr>
                <w:rFonts w:ascii="Arial Narrow" w:hAnsi="Arial Narrow" w:cs="Arial Narrow"/>
                <w:color w:val="000000" w:themeColor="text1"/>
                <w:sz w:val="20"/>
              </w:rPr>
              <w:t>110 respondents</w:t>
            </w:r>
          </w:p>
        </w:tc>
        <w:tc>
          <w:tcPr>
            <w:tcW w:w="1890" w:type="dxa"/>
            <w:shd w:val="clear" w:color="FFFF00" w:fill="auto"/>
          </w:tcPr>
          <w:p w:rsidRPr="004251E4" w:rsidR="000C1F2B" w:rsidP="000C1F2B" w:rsidRDefault="00160903" w14:paraId="7E53B7C4"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110 responses</w:t>
            </w:r>
          </w:p>
        </w:tc>
        <w:tc>
          <w:tcPr>
            <w:tcW w:w="990" w:type="dxa"/>
            <w:shd w:val="clear" w:color="FFFF00" w:fill="auto"/>
          </w:tcPr>
          <w:p w:rsidRPr="004251E4" w:rsidR="000C1F2B" w:rsidP="000C1F2B" w:rsidRDefault="00F20EBB" w14:paraId="6CBDD755"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0.25 </w:t>
            </w:r>
            <w:proofErr w:type="spellStart"/>
            <w:r w:rsidRPr="004251E4">
              <w:rPr>
                <w:rFonts w:ascii="Arial Narrow" w:hAnsi="Arial Narrow" w:cs="Arial Narrow"/>
                <w:color w:val="000000" w:themeColor="text1"/>
                <w:sz w:val="20"/>
              </w:rPr>
              <w:t>hrs</w:t>
            </w:r>
            <w:proofErr w:type="spellEnd"/>
          </w:p>
        </w:tc>
        <w:tc>
          <w:tcPr>
            <w:tcW w:w="1080" w:type="dxa"/>
            <w:shd w:val="clear" w:color="FFFF00" w:fill="auto"/>
          </w:tcPr>
          <w:p w:rsidRPr="004251E4" w:rsidR="000C1F2B" w:rsidP="000C1F2B" w:rsidRDefault="006900AE" w14:paraId="49FABEE8"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 xml:space="preserve">27.5 </w:t>
            </w:r>
            <w:proofErr w:type="spellStart"/>
            <w:r w:rsidRPr="004251E4">
              <w:rPr>
                <w:rFonts w:ascii="Arial Narrow" w:hAnsi="Arial Narrow" w:cs="Arial Narrow"/>
                <w:color w:val="000000" w:themeColor="text1"/>
                <w:sz w:val="20"/>
              </w:rPr>
              <w:t>hrs</w:t>
            </w:r>
            <w:proofErr w:type="spellEnd"/>
          </w:p>
        </w:tc>
        <w:tc>
          <w:tcPr>
            <w:tcW w:w="1350" w:type="dxa"/>
            <w:shd w:val="clear" w:color="FFFF00" w:fill="auto"/>
          </w:tcPr>
          <w:p w:rsidRPr="004251E4" w:rsidR="000C1F2B" w:rsidP="000C1F2B" w:rsidRDefault="006900AE" w14:paraId="337A9AD5" w14:textId="77777777">
            <w:pPr>
              <w:rPr>
                <w:rFonts w:ascii="Arial Narrow" w:hAnsi="Arial Narrow" w:cs="Arial Narrow"/>
                <w:color w:val="000000" w:themeColor="text1"/>
                <w:sz w:val="20"/>
              </w:rPr>
            </w:pPr>
            <w:r w:rsidRPr="004251E4">
              <w:rPr>
                <w:rFonts w:ascii="Arial Narrow" w:hAnsi="Arial Narrow" w:cs="Arial Narrow"/>
                <w:color w:val="000000" w:themeColor="text1"/>
                <w:sz w:val="20"/>
              </w:rPr>
              <w:t>$1,322.20</w:t>
            </w:r>
          </w:p>
        </w:tc>
      </w:tr>
      <w:tr w:rsidRPr="004251E4" w:rsidR="004251E4" w:rsidTr="00FA717F" w14:paraId="483243AF" w14:textId="77777777">
        <w:trPr>
          <w:trHeight w:val="416"/>
        </w:trPr>
        <w:tc>
          <w:tcPr>
            <w:tcW w:w="2775" w:type="dxa"/>
            <w:gridSpan w:val="2"/>
            <w:shd w:val="clear" w:color="auto" w:fill="F2F2F2"/>
          </w:tcPr>
          <w:p w:rsidRPr="004251E4" w:rsidR="006900AE" w:rsidP="006900AE" w:rsidRDefault="006900AE" w14:paraId="705001C5"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Subtotal</w:t>
            </w:r>
          </w:p>
        </w:tc>
        <w:tc>
          <w:tcPr>
            <w:tcW w:w="1890" w:type="dxa"/>
            <w:shd w:val="clear" w:color="auto" w:fill="F2F2F2"/>
          </w:tcPr>
          <w:p w:rsidRPr="004251E4" w:rsidR="006900AE" w:rsidP="006900AE" w:rsidRDefault="00795C68" w14:paraId="4860CF10" w14:textId="77777777">
            <w:pPr>
              <w:rPr>
                <w:rFonts w:ascii="Arial Narrow" w:hAnsi="Arial Narrow" w:cs="Arial Narrow"/>
                <w:b/>
                <w:bCs/>
                <w:color w:val="000000" w:themeColor="text1"/>
                <w:sz w:val="20"/>
              </w:rPr>
            </w:pPr>
            <w:r w:rsidRPr="004251E4">
              <w:rPr>
                <w:rFonts w:ascii="Arial Narrow" w:hAnsi="Arial Narrow" w:cs="Arial Narrow"/>
                <w:b/>
                <w:color w:val="000000" w:themeColor="text1"/>
                <w:sz w:val="20"/>
              </w:rPr>
              <w:t>110</w:t>
            </w:r>
            <w:r w:rsidRPr="004251E4" w:rsidR="006900AE">
              <w:rPr>
                <w:rFonts w:ascii="Arial Narrow" w:hAnsi="Arial Narrow" w:cs="Arial Narrow"/>
                <w:b/>
                <w:color w:val="000000" w:themeColor="text1"/>
                <w:sz w:val="20"/>
              </w:rPr>
              <w:t xml:space="preserve"> respondents</w:t>
            </w:r>
          </w:p>
        </w:tc>
        <w:tc>
          <w:tcPr>
            <w:tcW w:w="1890" w:type="dxa"/>
            <w:shd w:val="clear" w:color="auto" w:fill="F2F2F2"/>
          </w:tcPr>
          <w:p w:rsidRPr="004251E4" w:rsidR="006900AE" w:rsidP="006900AE" w:rsidRDefault="00795C68" w14:paraId="44F47ECA" w14:textId="77777777">
            <w:pPr>
              <w:rPr>
                <w:rFonts w:ascii="Arial Narrow" w:hAnsi="Arial Narrow" w:cs="Arial Narrow"/>
                <w:b/>
                <w:color w:val="000000" w:themeColor="text1"/>
                <w:sz w:val="20"/>
              </w:rPr>
            </w:pPr>
            <w:r w:rsidRPr="004251E4">
              <w:rPr>
                <w:rFonts w:ascii="Arial Narrow" w:hAnsi="Arial Narrow" w:cs="Arial Narrow"/>
                <w:b/>
                <w:color w:val="000000" w:themeColor="text1"/>
                <w:sz w:val="20"/>
              </w:rPr>
              <w:t>110</w:t>
            </w:r>
            <w:r w:rsidRPr="004251E4" w:rsidR="006900AE">
              <w:rPr>
                <w:rFonts w:ascii="Arial Narrow" w:hAnsi="Arial Narrow" w:cs="Arial Narrow"/>
                <w:b/>
                <w:color w:val="000000" w:themeColor="text1"/>
                <w:sz w:val="20"/>
              </w:rPr>
              <w:t xml:space="preserve"> responses</w:t>
            </w:r>
          </w:p>
        </w:tc>
        <w:tc>
          <w:tcPr>
            <w:tcW w:w="990" w:type="dxa"/>
            <w:shd w:val="clear" w:color="auto" w:fill="F2F2F2"/>
          </w:tcPr>
          <w:p w:rsidRPr="004251E4" w:rsidR="006900AE" w:rsidP="006900AE" w:rsidRDefault="006900AE" w14:paraId="72B0ED63" w14:textId="77777777">
            <w:pPr>
              <w:rPr>
                <w:rFonts w:ascii="Arial Narrow" w:hAnsi="Arial Narrow" w:cs="Arial Narrow"/>
                <w:b/>
                <w:color w:val="000000" w:themeColor="text1"/>
                <w:sz w:val="20"/>
              </w:rPr>
            </w:pPr>
          </w:p>
        </w:tc>
        <w:tc>
          <w:tcPr>
            <w:tcW w:w="1080" w:type="dxa"/>
            <w:shd w:val="clear" w:color="auto" w:fill="F2F2F2"/>
          </w:tcPr>
          <w:p w:rsidRPr="004251E4" w:rsidR="006900AE" w:rsidP="006900AE" w:rsidRDefault="00F20EBB" w14:paraId="088FDF49" w14:textId="77777777">
            <w:pPr>
              <w:rPr>
                <w:rFonts w:ascii="Arial Narrow" w:hAnsi="Arial Narrow" w:cs="Arial Narrow"/>
                <w:b/>
                <w:color w:val="000000" w:themeColor="text1"/>
                <w:sz w:val="20"/>
              </w:rPr>
            </w:pPr>
            <w:r w:rsidRPr="004251E4">
              <w:rPr>
                <w:rFonts w:ascii="Arial Narrow" w:hAnsi="Arial Narrow" w:cs="Arial Narrow"/>
                <w:b/>
                <w:color w:val="000000" w:themeColor="text1"/>
                <w:sz w:val="20"/>
              </w:rPr>
              <w:t>27</w:t>
            </w:r>
            <w:r w:rsidRPr="004251E4" w:rsidR="006900AE">
              <w:rPr>
                <w:rFonts w:ascii="Arial Narrow" w:hAnsi="Arial Narrow" w:cs="Arial Narrow"/>
                <w:b/>
                <w:color w:val="000000" w:themeColor="text1"/>
                <w:sz w:val="20"/>
              </w:rPr>
              <w:t>.</w:t>
            </w:r>
            <w:r w:rsidRPr="004251E4">
              <w:rPr>
                <w:rFonts w:ascii="Arial Narrow" w:hAnsi="Arial Narrow" w:cs="Arial Narrow"/>
                <w:b/>
                <w:color w:val="000000" w:themeColor="text1"/>
                <w:sz w:val="20"/>
              </w:rPr>
              <w:t>5</w:t>
            </w:r>
            <w:r w:rsidRPr="004251E4" w:rsidR="006900AE">
              <w:rPr>
                <w:rFonts w:ascii="Arial Narrow" w:hAnsi="Arial Narrow" w:cs="Arial Narrow"/>
                <w:b/>
                <w:color w:val="000000" w:themeColor="text1"/>
                <w:sz w:val="20"/>
              </w:rPr>
              <w:t xml:space="preserve"> </w:t>
            </w:r>
            <w:proofErr w:type="spellStart"/>
            <w:r w:rsidRPr="004251E4" w:rsidR="006900AE">
              <w:rPr>
                <w:rFonts w:ascii="Arial Narrow" w:hAnsi="Arial Narrow" w:cs="Arial Narrow"/>
                <w:b/>
                <w:color w:val="000000" w:themeColor="text1"/>
                <w:sz w:val="20"/>
              </w:rPr>
              <w:t>hrs</w:t>
            </w:r>
            <w:proofErr w:type="spellEnd"/>
          </w:p>
        </w:tc>
        <w:tc>
          <w:tcPr>
            <w:tcW w:w="1350" w:type="dxa"/>
            <w:shd w:val="clear" w:color="auto" w:fill="F2F2F2"/>
          </w:tcPr>
          <w:p w:rsidRPr="004251E4" w:rsidR="006900AE" w:rsidP="006900AE" w:rsidRDefault="006900AE" w14:paraId="1275B1CA" w14:textId="77777777">
            <w:pPr>
              <w:rPr>
                <w:rFonts w:ascii="Arial Narrow" w:hAnsi="Arial Narrow" w:cs="Arial Narrow"/>
                <w:b/>
                <w:color w:val="000000" w:themeColor="text1"/>
                <w:sz w:val="20"/>
              </w:rPr>
            </w:pPr>
            <w:r w:rsidRPr="004251E4">
              <w:rPr>
                <w:rFonts w:ascii="Arial Narrow" w:hAnsi="Arial Narrow" w:cs="Arial Narrow"/>
                <w:b/>
                <w:color w:val="000000" w:themeColor="text1"/>
                <w:sz w:val="20"/>
              </w:rPr>
              <w:t>$1,322.20</w:t>
            </w:r>
          </w:p>
        </w:tc>
      </w:tr>
      <w:tr w:rsidRPr="004251E4" w:rsidR="004251E4" w:rsidTr="00347558" w14:paraId="100AD3C8" w14:textId="77777777">
        <w:trPr>
          <w:trHeight w:val="416"/>
        </w:trPr>
        <w:tc>
          <w:tcPr>
            <w:tcW w:w="9975" w:type="dxa"/>
            <w:gridSpan w:val="7"/>
            <w:shd w:val="clear" w:color="auto" w:fill="FFFFFF"/>
          </w:tcPr>
          <w:p w:rsidRPr="004251E4" w:rsidR="006900AE" w:rsidP="006900AE" w:rsidRDefault="006900AE" w14:paraId="4B5B7E58" w14:textId="77777777">
            <w:pPr>
              <w:rPr>
                <w:rFonts w:ascii="Arial Narrow" w:hAnsi="Arial Narrow" w:cs="Arial Narrow"/>
                <w:b/>
                <w:color w:val="000000" w:themeColor="text1"/>
                <w:sz w:val="20"/>
              </w:rPr>
            </w:pPr>
          </w:p>
        </w:tc>
      </w:tr>
      <w:tr w:rsidRPr="004251E4" w:rsidR="004251E4" w:rsidTr="006900AE" w14:paraId="7F6670B5" w14:textId="77777777">
        <w:tc>
          <w:tcPr>
            <w:tcW w:w="2775" w:type="dxa"/>
            <w:gridSpan w:val="2"/>
            <w:shd w:val="clear" w:color="auto" w:fill="FFFF00"/>
          </w:tcPr>
          <w:p w:rsidRPr="004251E4" w:rsidR="00795C68" w:rsidP="00795C68" w:rsidRDefault="00795C68" w14:paraId="0A6B6305" w14:textId="77777777">
            <w:pPr>
              <w:autoSpaceDE w:val="0"/>
              <w:autoSpaceDN w:val="0"/>
              <w:adjustRightInd w:val="0"/>
              <w:rPr>
                <w:rFonts w:ascii="Arial Narrow" w:hAnsi="Arial Narrow" w:cs="Arial Narrow"/>
                <w:b/>
                <w:bCs/>
                <w:color w:val="000000" w:themeColor="text1"/>
                <w:sz w:val="20"/>
              </w:rPr>
            </w:pPr>
            <w:r w:rsidRPr="004251E4">
              <w:rPr>
                <w:rFonts w:ascii="Arial Narrow" w:hAnsi="Arial Narrow" w:cs="Arial Narrow"/>
                <w:b/>
                <w:bCs/>
                <w:color w:val="000000" w:themeColor="text1"/>
                <w:sz w:val="20"/>
              </w:rPr>
              <w:t xml:space="preserve">TOTALS:                   </w:t>
            </w:r>
          </w:p>
          <w:p w:rsidRPr="004251E4" w:rsidR="00795C68" w:rsidP="00795C68" w:rsidRDefault="00795C68" w14:paraId="54C2759B" w14:textId="77777777">
            <w:pPr>
              <w:autoSpaceDE w:val="0"/>
              <w:autoSpaceDN w:val="0"/>
              <w:adjustRightInd w:val="0"/>
              <w:rPr>
                <w:rFonts w:ascii="Arial Narrow" w:hAnsi="Arial Narrow" w:cs="Arial Narrow"/>
                <w:b/>
                <w:bCs/>
                <w:color w:val="000000" w:themeColor="text1"/>
                <w:sz w:val="20"/>
              </w:rPr>
            </w:pPr>
          </w:p>
        </w:tc>
        <w:tc>
          <w:tcPr>
            <w:tcW w:w="1890" w:type="dxa"/>
            <w:shd w:val="clear" w:color="auto" w:fill="FFFF00"/>
          </w:tcPr>
          <w:p w:rsidRPr="004251E4" w:rsidR="00795C68" w:rsidP="00795C68" w:rsidRDefault="00795C68" w14:paraId="43269D64" w14:textId="3E4516AF">
            <w:pPr>
              <w:rPr>
                <w:rFonts w:ascii="Arial Narrow" w:hAnsi="Arial Narrow" w:cs="Arial Narrow"/>
                <w:b/>
                <w:bCs/>
                <w:color w:val="000000" w:themeColor="text1"/>
                <w:sz w:val="20"/>
              </w:rPr>
            </w:pPr>
            <w:r w:rsidRPr="004251E4">
              <w:rPr>
                <w:rFonts w:ascii="Arial Narrow" w:hAnsi="Arial Narrow" w:cs="Arial Narrow"/>
                <w:b/>
                <w:color w:val="000000" w:themeColor="text1"/>
                <w:sz w:val="20"/>
              </w:rPr>
              <w:t>1,</w:t>
            </w:r>
            <w:r w:rsidRPr="004251E4" w:rsidR="00C61D96">
              <w:rPr>
                <w:rFonts w:ascii="Arial Narrow" w:hAnsi="Arial Narrow" w:cs="Arial Narrow"/>
                <w:b/>
                <w:color w:val="000000" w:themeColor="text1"/>
                <w:sz w:val="20"/>
              </w:rPr>
              <w:t>2</w:t>
            </w:r>
            <w:r w:rsidRPr="004251E4" w:rsidR="00DA065D">
              <w:rPr>
                <w:rFonts w:ascii="Arial Narrow" w:hAnsi="Arial Narrow" w:cs="Arial Narrow"/>
                <w:b/>
                <w:color w:val="000000" w:themeColor="text1"/>
                <w:sz w:val="20"/>
              </w:rPr>
              <w:t>22</w:t>
            </w:r>
            <w:r w:rsidRPr="004251E4">
              <w:rPr>
                <w:rFonts w:ascii="Arial Narrow" w:hAnsi="Arial Narrow" w:cs="Arial Narrow"/>
                <w:b/>
                <w:color w:val="000000" w:themeColor="text1"/>
                <w:sz w:val="20"/>
              </w:rPr>
              <w:t xml:space="preserve"> respondents</w:t>
            </w:r>
          </w:p>
        </w:tc>
        <w:tc>
          <w:tcPr>
            <w:tcW w:w="1890" w:type="dxa"/>
            <w:shd w:val="clear" w:color="auto" w:fill="FFFF00"/>
          </w:tcPr>
          <w:p w:rsidRPr="004251E4" w:rsidR="00795C68" w:rsidP="00795C68" w:rsidRDefault="00C61D96" w14:paraId="3B70D640" w14:textId="5F02F582">
            <w:pPr>
              <w:rPr>
                <w:rFonts w:ascii="Arial Narrow" w:hAnsi="Arial Narrow" w:cs="Arial Narrow"/>
                <w:b/>
                <w:color w:val="000000" w:themeColor="text1"/>
                <w:sz w:val="20"/>
              </w:rPr>
            </w:pPr>
            <w:r w:rsidRPr="004251E4">
              <w:rPr>
                <w:rFonts w:ascii="Arial Narrow" w:hAnsi="Arial Narrow" w:cs="Arial Narrow"/>
                <w:b/>
                <w:color w:val="000000" w:themeColor="text1"/>
                <w:sz w:val="20"/>
              </w:rPr>
              <w:t>11</w:t>
            </w:r>
            <w:r w:rsidRPr="004251E4" w:rsidR="00795C68">
              <w:rPr>
                <w:rFonts w:ascii="Arial Narrow" w:hAnsi="Arial Narrow" w:cs="Arial Narrow"/>
                <w:b/>
                <w:color w:val="000000" w:themeColor="text1"/>
                <w:sz w:val="20"/>
              </w:rPr>
              <w:t>,</w:t>
            </w:r>
            <w:r w:rsidRPr="004251E4" w:rsidR="00DA065D">
              <w:rPr>
                <w:rFonts w:ascii="Arial Narrow" w:hAnsi="Arial Narrow" w:cs="Arial Narrow"/>
                <w:b/>
                <w:color w:val="000000" w:themeColor="text1"/>
                <w:sz w:val="20"/>
              </w:rPr>
              <w:t>260</w:t>
            </w:r>
            <w:r w:rsidRPr="004251E4" w:rsidR="00795C68">
              <w:rPr>
                <w:rFonts w:ascii="Arial Narrow" w:hAnsi="Arial Narrow" w:cs="Arial Narrow"/>
                <w:b/>
                <w:color w:val="000000" w:themeColor="text1"/>
                <w:sz w:val="20"/>
              </w:rPr>
              <w:t xml:space="preserve"> responses</w:t>
            </w:r>
          </w:p>
        </w:tc>
        <w:tc>
          <w:tcPr>
            <w:tcW w:w="990" w:type="dxa"/>
            <w:shd w:val="clear" w:color="auto" w:fill="FFFF00"/>
          </w:tcPr>
          <w:p w:rsidRPr="004251E4" w:rsidR="00795C68" w:rsidP="00795C68" w:rsidRDefault="00795C68" w14:paraId="72D835AE" w14:textId="77777777">
            <w:pPr>
              <w:rPr>
                <w:rFonts w:ascii="Arial Narrow" w:hAnsi="Arial Narrow" w:cs="Arial Narrow"/>
                <w:b/>
                <w:color w:val="000000" w:themeColor="text1"/>
                <w:sz w:val="20"/>
              </w:rPr>
            </w:pPr>
          </w:p>
        </w:tc>
        <w:tc>
          <w:tcPr>
            <w:tcW w:w="1080" w:type="dxa"/>
            <w:shd w:val="clear" w:color="auto" w:fill="FFFF00"/>
          </w:tcPr>
          <w:p w:rsidRPr="004251E4" w:rsidR="00795C68" w:rsidP="00795C68" w:rsidRDefault="00DA7A2B" w14:paraId="6B904BA5" w14:textId="4530A978">
            <w:pPr>
              <w:rPr>
                <w:rFonts w:ascii="Arial Narrow" w:hAnsi="Arial Narrow" w:cs="Arial Narrow"/>
                <w:b/>
                <w:color w:val="000000" w:themeColor="text1"/>
                <w:sz w:val="20"/>
              </w:rPr>
            </w:pPr>
            <w:r w:rsidRPr="004251E4">
              <w:rPr>
                <w:rFonts w:ascii="Arial Narrow" w:hAnsi="Arial Narrow" w:cs="Arial Narrow"/>
                <w:b/>
                <w:color w:val="000000" w:themeColor="text1"/>
                <w:sz w:val="20"/>
              </w:rPr>
              <w:t>3,</w:t>
            </w:r>
            <w:r w:rsidRPr="004251E4" w:rsidR="00C61D96">
              <w:rPr>
                <w:rFonts w:ascii="Arial Narrow" w:hAnsi="Arial Narrow" w:cs="Arial Narrow"/>
                <w:b/>
                <w:color w:val="000000" w:themeColor="text1"/>
                <w:sz w:val="20"/>
              </w:rPr>
              <w:t>7</w:t>
            </w:r>
            <w:r w:rsidRPr="004251E4">
              <w:rPr>
                <w:rFonts w:ascii="Arial Narrow" w:hAnsi="Arial Narrow" w:cs="Arial Narrow"/>
                <w:b/>
                <w:color w:val="000000" w:themeColor="text1"/>
                <w:sz w:val="20"/>
              </w:rPr>
              <w:t>5</w:t>
            </w:r>
            <w:r w:rsidRPr="004251E4" w:rsidR="00C61D96">
              <w:rPr>
                <w:rFonts w:ascii="Arial Narrow" w:hAnsi="Arial Narrow" w:cs="Arial Narrow"/>
                <w:b/>
                <w:color w:val="000000" w:themeColor="text1"/>
                <w:sz w:val="20"/>
              </w:rPr>
              <w:t>2</w:t>
            </w:r>
            <w:r w:rsidRPr="004251E4" w:rsidR="00795C68">
              <w:rPr>
                <w:rFonts w:ascii="Arial Narrow" w:hAnsi="Arial Narrow" w:cs="Arial Narrow"/>
                <w:b/>
                <w:color w:val="000000" w:themeColor="text1"/>
                <w:sz w:val="20"/>
              </w:rPr>
              <w:t xml:space="preserve"> </w:t>
            </w:r>
            <w:r w:rsidRPr="004251E4" w:rsidR="00F20EBB">
              <w:rPr>
                <w:rFonts w:ascii="Arial Narrow" w:hAnsi="Arial Narrow" w:cs="Arial Narrow"/>
                <w:b/>
                <w:color w:val="000000" w:themeColor="text1"/>
                <w:sz w:val="20"/>
              </w:rPr>
              <w:t>hours</w:t>
            </w:r>
            <w:r w:rsidRPr="004251E4">
              <w:rPr>
                <w:rFonts w:ascii="Arial Narrow" w:hAnsi="Arial Narrow" w:cs="Arial Narrow"/>
                <w:b/>
                <w:color w:val="000000" w:themeColor="text1"/>
                <w:sz w:val="20"/>
              </w:rPr>
              <w:t xml:space="preserve"> (rounded)</w:t>
            </w:r>
          </w:p>
        </w:tc>
        <w:tc>
          <w:tcPr>
            <w:tcW w:w="1350" w:type="dxa"/>
            <w:shd w:val="clear" w:color="auto" w:fill="FFFF00"/>
          </w:tcPr>
          <w:p w:rsidRPr="004251E4" w:rsidR="00795C68" w:rsidP="00795C68" w:rsidRDefault="00795C68" w14:paraId="19B2E777" w14:textId="5912E579">
            <w:pPr>
              <w:autoSpaceDE w:val="0"/>
              <w:autoSpaceDN w:val="0"/>
              <w:adjustRightInd w:val="0"/>
              <w:rPr>
                <w:rFonts w:ascii="Arial Narrow" w:hAnsi="Arial Narrow" w:cs="Arial Narrow"/>
                <w:b/>
                <w:color w:val="000000" w:themeColor="text1"/>
                <w:sz w:val="20"/>
              </w:rPr>
            </w:pPr>
            <w:r w:rsidRPr="004251E4">
              <w:rPr>
                <w:rFonts w:ascii="Arial Narrow" w:hAnsi="Arial Narrow" w:cs="Arial Narrow"/>
                <w:b/>
                <w:color w:val="000000" w:themeColor="text1"/>
                <w:sz w:val="20"/>
              </w:rPr>
              <w:t>$</w:t>
            </w:r>
            <w:r w:rsidRPr="004251E4" w:rsidR="00F20EBB">
              <w:rPr>
                <w:rFonts w:ascii="Arial Narrow" w:hAnsi="Arial Narrow" w:cs="Arial Narrow"/>
                <w:b/>
                <w:color w:val="000000" w:themeColor="text1"/>
                <w:sz w:val="20"/>
              </w:rPr>
              <w:t>18</w:t>
            </w:r>
            <w:r w:rsidRPr="004251E4" w:rsidR="00F62C3B">
              <w:rPr>
                <w:rFonts w:ascii="Arial Narrow" w:hAnsi="Arial Narrow" w:cs="Arial Narrow"/>
                <w:b/>
                <w:color w:val="000000" w:themeColor="text1"/>
                <w:sz w:val="20"/>
              </w:rPr>
              <w:t>0</w:t>
            </w:r>
            <w:r w:rsidRPr="004251E4" w:rsidR="00F20EBB">
              <w:rPr>
                <w:rFonts w:ascii="Arial Narrow" w:hAnsi="Arial Narrow" w:cs="Arial Narrow"/>
                <w:b/>
                <w:color w:val="000000" w:themeColor="text1"/>
                <w:sz w:val="20"/>
              </w:rPr>
              <w:t>,4</w:t>
            </w:r>
            <w:r w:rsidRPr="004251E4" w:rsidR="00F62C3B">
              <w:rPr>
                <w:rFonts w:ascii="Arial Narrow" w:hAnsi="Arial Narrow" w:cs="Arial Narrow"/>
                <w:b/>
                <w:color w:val="000000" w:themeColor="text1"/>
                <w:sz w:val="20"/>
              </w:rPr>
              <w:t>08</w:t>
            </w:r>
            <w:r w:rsidRPr="004251E4" w:rsidR="00F20EBB">
              <w:rPr>
                <w:rFonts w:ascii="Arial Narrow" w:hAnsi="Arial Narrow" w:cs="Arial Narrow"/>
                <w:b/>
                <w:color w:val="000000" w:themeColor="text1"/>
                <w:sz w:val="20"/>
              </w:rPr>
              <w:t>.</w:t>
            </w:r>
            <w:r w:rsidRPr="004251E4" w:rsidR="00F62C3B">
              <w:rPr>
                <w:rFonts w:ascii="Arial Narrow" w:hAnsi="Arial Narrow" w:cs="Arial Narrow"/>
                <w:b/>
                <w:color w:val="000000" w:themeColor="text1"/>
                <w:sz w:val="20"/>
              </w:rPr>
              <w:t>66</w:t>
            </w:r>
          </w:p>
        </w:tc>
      </w:tr>
    </w:tbl>
    <w:p w:rsidRPr="004251E4" w:rsidR="000E2AF0" w:rsidP="008A32DD" w:rsidRDefault="000E2AF0" w14:paraId="17FEBD9A" w14:textId="77777777">
      <w:pPr>
        <w:rPr>
          <w:rFonts w:ascii="Times New Roman" w:hAnsi="Times New Roman"/>
          <w:b/>
          <w:color w:val="000000" w:themeColor="text1"/>
          <w:spacing w:val="-3"/>
          <w:sz w:val="22"/>
          <w:szCs w:val="22"/>
        </w:rPr>
      </w:pPr>
    </w:p>
    <w:p w:rsidRPr="004251E4" w:rsidR="00A81DCB" w:rsidP="008A32DD" w:rsidRDefault="00A81DCB" w14:paraId="22BC7B83" w14:textId="77777777">
      <w:pPr>
        <w:rPr>
          <w:rFonts w:ascii="Times New Roman" w:hAnsi="Times New Roman"/>
          <w:b/>
          <w:color w:val="000000" w:themeColor="text1"/>
          <w:spacing w:val="-3"/>
          <w:sz w:val="22"/>
          <w:szCs w:val="22"/>
        </w:rPr>
      </w:pPr>
    </w:p>
    <w:bookmarkEnd w:id="4"/>
    <w:p w:rsidRPr="004251E4" w:rsidR="008A32DD" w:rsidP="008A32DD" w:rsidRDefault="008A32DD" w14:paraId="05E40D7C" w14:textId="0AEF0FF2">
      <w:pPr>
        <w:rPr>
          <w:rFonts w:ascii="Times New Roman" w:hAnsi="Times New Roman"/>
          <w:b/>
          <w:color w:val="000000" w:themeColor="text1"/>
          <w:spacing w:val="-3"/>
          <w:sz w:val="22"/>
          <w:szCs w:val="22"/>
        </w:rPr>
      </w:pPr>
      <w:r w:rsidRPr="004251E4">
        <w:rPr>
          <w:rFonts w:ascii="Times New Roman" w:hAnsi="Times New Roman"/>
          <w:b/>
          <w:color w:val="000000" w:themeColor="text1"/>
          <w:spacing w:val="-3"/>
          <w:sz w:val="22"/>
          <w:szCs w:val="22"/>
        </w:rPr>
        <w:t>13. ANNUAL COST BURDEN:</w:t>
      </w:r>
    </w:p>
    <w:p w:rsidRPr="004251E4" w:rsidR="008A32DD" w:rsidP="008A32DD" w:rsidRDefault="008A32DD" w14:paraId="18E60725" w14:textId="77777777">
      <w:pPr>
        <w:rPr>
          <w:rFonts w:ascii="Times New Roman" w:hAnsi="Times New Roman"/>
          <w:color w:val="000000" w:themeColor="text1"/>
          <w:spacing w:val="-3"/>
          <w:sz w:val="22"/>
          <w:szCs w:val="22"/>
        </w:rPr>
      </w:pPr>
    </w:p>
    <w:p w:rsidRPr="004251E4" w:rsidR="001447FC" w:rsidP="008A32DD" w:rsidRDefault="001447FC" w14:paraId="4BACD9A7" w14:textId="49CC953E">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w:t>
      </w:r>
      <w:r w:rsidRPr="004251E4" w:rsidR="00E85394">
        <w:rPr>
          <w:rFonts w:ascii="Times New Roman" w:hAnsi="Times New Roman"/>
          <w:color w:val="000000" w:themeColor="text1"/>
          <w:spacing w:val="-3"/>
          <w:sz w:val="22"/>
          <w:szCs w:val="22"/>
        </w:rPr>
        <w:t xml:space="preserve">we estimate that </w:t>
      </w:r>
      <w:r w:rsidRPr="004251E4" w:rsidR="00435F95">
        <w:rPr>
          <w:rFonts w:ascii="Times New Roman" w:hAnsi="Times New Roman"/>
          <w:color w:val="000000" w:themeColor="text1"/>
          <w:spacing w:val="-3"/>
          <w:sz w:val="22"/>
          <w:szCs w:val="22"/>
        </w:rPr>
        <w:t xml:space="preserve">99 </w:t>
      </w:r>
      <w:r w:rsidRPr="004251E4">
        <w:rPr>
          <w:rFonts w:ascii="Times New Roman" w:hAnsi="Times New Roman"/>
          <w:color w:val="000000" w:themeColor="text1"/>
          <w:spacing w:val="-3"/>
          <w:sz w:val="22"/>
          <w:szCs w:val="22"/>
        </w:rPr>
        <w:t xml:space="preserve">Next Gen TV license applications will require consultation with a legal and engineering expert.  </w:t>
      </w:r>
      <w:r w:rsidRPr="004251E4" w:rsidR="00E070B8">
        <w:rPr>
          <w:rFonts w:ascii="Times New Roman" w:hAnsi="Times New Roman"/>
          <w:color w:val="000000" w:themeColor="text1"/>
          <w:spacing w:val="-3"/>
          <w:sz w:val="22"/>
          <w:szCs w:val="22"/>
        </w:rPr>
        <w:t xml:space="preserve">In addition, 15 additional (multicast only) applications will require consultation with a legal and engineering expert.  </w:t>
      </w:r>
      <w:r w:rsidRPr="004251E4" w:rsidR="00E85394">
        <w:rPr>
          <w:rFonts w:ascii="Times New Roman" w:hAnsi="Times New Roman"/>
          <w:color w:val="000000" w:themeColor="text1"/>
          <w:spacing w:val="-3"/>
          <w:sz w:val="22"/>
          <w:szCs w:val="22"/>
        </w:rPr>
        <w:t xml:space="preserve">We estimate that the average salary for the attorney is $300/hour and the average salary for the engineer is $250/hour. </w:t>
      </w:r>
      <w:r w:rsidRPr="004251E4">
        <w:rPr>
          <w:rFonts w:ascii="Times New Roman" w:hAnsi="Times New Roman"/>
          <w:color w:val="000000" w:themeColor="text1"/>
          <w:spacing w:val="-3"/>
          <w:sz w:val="22"/>
          <w:szCs w:val="22"/>
        </w:rPr>
        <w:t>We estimate that about 75% of these applications</w:t>
      </w:r>
      <w:r w:rsidRPr="004251E4" w:rsidR="00E070B8">
        <w:rPr>
          <w:rFonts w:ascii="Times New Roman" w:hAnsi="Times New Roman"/>
          <w:color w:val="000000" w:themeColor="text1"/>
          <w:spacing w:val="-3"/>
          <w:sz w:val="22"/>
          <w:szCs w:val="22"/>
        </w:rPr>
        <w:t>, plus all of the multicast only applications (15),</w:t>
      </w:r>
      <w:r w:rsidRPr="004251E4">
        <w:rPr>
          <w:rFonts w:ascii="Times New Roman" w:hAnsi="Times New Roman"/>
          <w:color w:val="000000" w:themeColor="text1"/>
          <w:spacing w:val="-3"/>
          <w:sz w:val="22"/>
          <w:szCs w:val="22"/>
        </w:rPr>
        <w:t xml:space="preserve"> will be eligible for expedited processing and thus will require a reduced legal showing.  </w:t>
      </w:r>
    </w:p>
    <w:p w:rsidRPr="004251E4" w:rsidR="001447FC" w:rsidP="008A32DD" w:rsidRDefault="001447FC" w14:paraId="4126B2E2" w14:textId="77777777">
      <w:pPr>
        <w:rPr>
          <w:rFonts w:ascii="Times New Roman" w:hAnsi="Times New Roman"/>
          <w:color w:val="000000" w:themeColor="text1"/>
          <w:spacing w:val="-3"/>
          <w:sz w:val="22"/>
          <w:szCs w:val="22"/>
        </w:rPr>
      </w:pPr>
    </w:p>
    <w:p w:rsidRPr="004251E4" w:rsidR="001447FC" w:rsidP="008A32DD" w:rsidRDefault="001447FC" w14:paraId="04A9726E" w14:textId="32D4365A">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For these </w:t>
      </w:r>
      <w:r w:rsidRPr="004251E4" w:rsidR="00E070B8">
        <w:rPr>
          <w:rFonts w:ascii="Times New Roman" w:hAnsi="Times New Roman"/>
          <w:b/>
          <w:bCs/>
          <w:color w:val="000000" w:themeColor="text1"/>
          <w:spacing w:val="-3"/>
          <w:sz w:val="22"/>
          <w:szCs w:val="22"/>
        </w:rPr>
        <w:t>89</w:t>
      </w:r>
      <w:r w:rsidRPr="004251E4">
        <w:rPr>
          <w:rFonts w:ascii="Times New Roman" w:hAnsi="Times New Roman"/>
          <w:color w:val="000000" w:themeColor="text1"/>
          <w:spacing w:val="-3"/>
          <w:sz w:val="22"/>
          <w:szCs w:val="22"/>
        </w:rPr>
        <w:t xml:space="preserve"> applications, we estimate that outside attorneys will spend </w:t>
      </w:r>
      <w:r w:rsidRPr="004251E4" w:rsidR="00435F95">
        <w:rPr>
          <w:rFonts w:ascii="Times New Roman" w:hAnsi="Times New Roman"/>
          <w:color w:val="000000" w:themeColor="text1"/>
          <w:spacing w:val="-3"/>
          <w:sz w:val="22"/>
          <w:szCs w:val="22"/>
        </w:rPr>
        <w:t xml:space="preserve">2 hours </w:t>
      </w:r>
      <w:r w:rsidRPr="004251E4">
        <w:rPr>
          <w:rFonts w:ascii="Times New Roman" w:hAnsi="Times New Roman"/>
          <w:color w:val="000000" w:themeColor="text1"/>
          <w:spacing w:val="-3"/>
          <w:sz w:val="22"/>
          <w:szCs w:val="22"/>
        </w:rPr>
        <w:t xml:space="preserve">per application (including consult time) and outside engineering consultants will spend 2 hours per application (including consult time).  </w:t>
      </w:r>
    </w:p>
    <w:p w:rsidRPr="004251E4" w:rsidR="001447FC" w:rsidP="008A32DD" w:rsidRDefault="001447FC" w14:paraId="73978FC5" w14:textId="5DA4AE0D">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E070B8">
        <w:rPr>
          <w:rFonts w:ascii="Times New Roman" w:hAnsi="Times New Roman"/>
          <w:b/>
          <w:bCs/>
          <w:color w:val="000000" w:themeColor="text1"/>
          <w:spacing w:val="-3"/>
          <w:sz w:val="22"/>
          <w:szCs w:val="22"/>
        </w:rPr>
        <w:t>89</w:t>
      </w:r>
      <w:r w:rsidRPr="004251E4" w:rsidR="00E070B8">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applications Outside Attorney prep/consult x 2 hours/application x $300/hour = </w:t>
      </w:r>
      <w:r w:rsidRPr="004251E4" w:rsidR="008650EC">
        <w:rPr>
          <w:rFonts w:ascii="Times New Roman" w:hAnsi="Times New Roman"/>
          <w:color w:val="000000" w:themeColor="text1"/>
          <w:spacing w:val="-3"/>
          <w:sz w:val="22"/>
          <w:szCs w:val="22"/>
        </w:rPr>
        <w:t>$</w:t>
      </w:r>
      <w:r w:rsidRPr="004251E4" w:rsidR="00E070B8">
        <w:rPr>
          <w:rFonts w:ascii="Times New Roman" w:hAnsi="Times New Roman"/>
          <w:color w:val="000000" w:themeColor="text1"/>
          <w:spacing w:val="-3"/>
          <w:sz w:val="22"/>
          <w:szCs w:val="22"/>
        </w:rPr>
        <w:t>53</w:t>
      </w:r>
      <w:r w:rsidRPr="004251E4" w:rsidR="008650EC">
        <w:rPr>
          <w:rFonts w:ascii="Times New Roman" w:hAnsi="Times New Roman"/>
          <w:color w:val="000000" w:themeColor="text1"/>
          <w:spacing w:val="-3"/>
          <w:sz w:val="22"/>
          <w:szCs w:val="22"/>
        </w:rPr>
        <w:t>,400</w:t>
      </w:r>
      <w:r w:rsidRPr="004251E4">
        <w:rPr>
          <w:rFonts w:ascii="Times New Roman" w:hAnsi="Times New Roman"/>
          <w:color w:val="000000" w:themeColor="text1"/>
          <w:spacing w:val="-3"/>
          <w:sz w:val="22"/>
          <w:szCs w:val="22"/>
        </w:rPr>
        <w:t>]</w:t>
      </w:r>
    </w:p>
    <w:p w:rsidRPr="004251E4" w:rsidR="001447FC" w:rsidP="008A32DD" w:rsidRDefault="001447FC" w14:paraId="1873600C" w14:textId="5D41DC1E">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E070B8">
        <w:rPr>
          <w:rFonts w:ascii="Times New Roman" w:hAnsi="Times New Roman"/>
          <w:b/>
          <w:bCs/>
          <w:color w:val="000000" w:themeColor="text1"/>
          <w:spacing w:val="-3"/>
          <w:sz w:val="22"/>
          <w:szCs w:val="22"/>
        </w:rPr>
        <w:t>89</w:t>
      </w:r>
      <w:r w:rsidRPr="004251E4" w:rsidR="00E070B8">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 xml:space="preserve">applications Outside Engineer prep/consult x 2 hours/application x $250/hour = </w:t>
      </w:r>
      <w:r w:rsidRPr="004251E4" w:rsidR="008650EC">
        <w:rPr>
          <w:rFonts w:ascii="Times New Roman" w:hAnsi="Times New Roman"/>
          <w:color w:val="000000" w:themeColor="text1"/>
          <w:spacing w:val="-3"/>
          <w:sz w:val="22"/>
          <w:szCs w:val="22"/>
        </w:rPr>
        <w:t>$</w:t>
      </w:r>
      <w:r w:rsidRPr="004251E4" w:rsidR="00E070B8">
        <w:rPr>
          <w:rFonts w:ascii="Times New Roman" w:hAnsi="Times New Roman"/>
          <w:color w:val="000000" w:themeColor="text1"/>
          <w:spacing w:val="-3"/>
          <w:sz w:val="22"/>
          <w:szCs w:val="22"/>
        </w:rPr>
        <w:t>44</w:t>
      </w:r>
      <w:r w:rsidRPr="004251E4" w:rsidR="008650EC">
        <w:rPr>
          <w:rFonts w:ascii="Times New Roman" w:hAnsi="Times New Roman"/>
          <w:color w:val="000000" w:themeColor="text1"/>
          <w:spacing w:val="-3"/>
          <w:sz w:val="22"/>
          <w:szCs w:val="22"/>
        </w:rPr>
        <w:t>,</w:t>
      </w:r>
      <w:r w:rsidRPr="004251E4" w:rsidR="00E070B8">
        <w:rPr>
          <w:rFonts w:ascii="Times New Roman" w:hAnsi="Times New Roman"/>
          <w:color w:val="000000" w:themeColor="text1"/>
          <w:spacing w:val="-3"/>
          <w:sz w:val="22"/>
          <w:szCs w:val="22"/>
        </w:rPr>
        <w:t>5</w:t>
      </w:r>
      <w:r w:rsidRPr="004251E4" w:rsidR="008650EC">
        <w:rPr>
          <w:rFonts w:ascii="Times New Roman" w:hAnsi="Times New Roman"/>
          <w:color w:val="000000" w:themeColor="text1"/>
          <w:spacing w:val="-3"/>
          <w:sz w:val="22"/>
          <w:szCs w:val="22"/>
        </w:rPr>
        <w:t>00</w:t>
      </w:r>
      <w:r w:rsidRPr="004251E4">
        <w:rPr>
          <w:rFonts w:ascii="Times New Roman" w:hAnsi="Times New Roman"/>
          <w:color w:val="000000" w:themeColor="text1"/>
          <w:spacing w:val="-3"/>
          <w:sz w:val="22"/>
          <w:szCs w:val="22"/>
        </w:rPr>
        <w:t>]</w:t>
      </w:r>
    </w:p>
    <w:p w:rsidRPr="004251E4" w:rsidR="001447FC" w:rsidP="008A32DD" w:rsidRDefault="00B27C8E" w14:paraId="1D3859FE" w14:textId="0510D07F">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$53,400</w:t>
      </w:r>
      <w:r w:rsidRPr="004251E4" w:rsidR="008650EC">
        <w:rPr>
          <w:rFonts w:ascii="Times New Roman" w:hAnsi="Times New Roman"/>
          <w:color w:val="000000" w:themeColor="text1"/>
          <w:spacing w:val="-3"/>
          <w:sz w:val="22"/>
          <w:szCs w:val="22"/>
        </w:rPr>
        <w:t xml:space="preserve">+ </w:t>
      </w:r>
      <w:r w:rsidRPr="004251E4">
        <w:rPr>
          <w:rFonts w:ascii="Times New Roman" w:hAnsi="Times New Roman"/>
          <w:color w:val="000000" w:themeColor="text1"/>
          <w:spacing w:val="-3"/>
          <w:sz w:val="22"/>
          <w:szCs w:val="22"/>
        </w:rPr>
        <w:t>$44,500</w:t>
      </w:r>
      <w:r w:rsidRPr="004251E4" w:rsidR="008650EC">
        <w:rPr>
          <w:rFonts w:ascii="Times New Roman" w:hAnsi="Times New Roman"/>
          <w:color w:val="000000" w:themeColor="text1"/>
          <w:spacing w:val="-3"/>
          <w:sz w:val="22"/>
          <w:szCs w:val="22"/>
        </w:rPr>
        <w:t>= $</w:t>
      </w:r>
      <w:r w:rsidRPr="004251E4">
        <w:rPr>
          <w:rFonts w:ascii="Times New Roman" w:hAnsi="Times New Roman"/>
          <w:color w:val="000000" w:themeColor="text1"/>
          <w:spacing w:val="-3"/>
          <w:sz w:val="22"/>
          <w:szCs w:val="22"/>
        </w:rPr>
        <w:t>97</w:t>
      </w:r>
      <w:r w:rsidRPr="004251E4" w:rsidR="008650EC">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9</w:t>
      </w:r>
      <w:r w:rsidRPr="004251E4" w:rsidR="008650EC">
        <w:rPr>
          <w:rFonts w:ascii="Times New Roman" w:hAnsi="Times New Roman"/>
          <w:color w:val="000000" w:themeColor="text1"/>
          <w:spacing w:val="-3"/>
          <w:sz w:val="22"/>
          <w:szCs w:val="22"/>
        </w:rPr>
        <w:t>00</w:t>
      </w:r>
    </w:p>
    <w:p w:rsidRPr="004251E4" w:rsidR="008650EC" w:rsidP="008A32DD" w:rsidRDefault="008650EC" w14:paraId="15E13081" w14:textId="77777777">
      <w:pPr>
        <w:rPr>
          <w:rFonts w:ascii="Times New Roman" w:hAnsi="Times New Roman"/>
          <w:color w:val="000000" w:themeColor="text1"/>
          <w:spacing w:val="-3"/>
          <w:sz w:val="22"/>
          <w:szCs w:val="22"/>
        </w:rPr>
      </w:pPr>
    </w:p>
    <w:p w:rsidRPr="004251E4" w:rsidR="00435F95" w:rsidP="008A32DD" w:rsidRDefault="001447FC" w14:paraId="7B0E866C"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For the other 25 applications that will require enhanced legal showings, we estimate that outside attorneys will spend 4 hours per application (including consult time) and outside engineering consultants will spend 2 hours per application (including consult time).  </w:t>
      </w:r>
    </w:p>
    <w:p w:rsidRPr="004251E4" w:rsidR="001447FC" w:rsidP="001447FC" w:rsidRDefault="001447FC" w14:paraId="7747DAF6"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[25 applications Outside Attorney prep/consult x 4 hours/application x $300/hour = </w:t>
      </w:r>
      <w:r w:rsidRPr="004251E4" w:rsidR="008650EC">
        <w:rPr>
          <w:rFonts w:ascii="Times New Roman" w:hAnsi="Times New Roman"/>
          <w:color w:val="000000" w:themeColor="text1"/>
          <w:spacing w:val="-3"/>
          <w:sz w:val="22"/>
          <w:szCs w:val="22"/>
        </w:rPr>
        <w:t>$30,000</w:t>
      </w:r>
      <w:r w:rsidRPr="004251E4">
        <w:rPr>
          <w:rFonts w:ascii="Times New Roman" w:hAnsi="Times New Roman"/>
          <w:color w:val="000000" w:themeColor="text1"/>
          <w:spacing w:val="-3"/>
          <w:sz w:val="22"/>
          <w:szCs w:val="22"/>
        </w:rPr>
        <w:t>]</w:t>
      </w:r>
    </w:p>
    <w:p w:rsidRPr="004251E4" w:rsidR="001447FC" w:rsidP="001447FC" w:rsidRDefault="001447FC" w14:paraId="1AA807C8"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[25 applications Outside Engineer prep/consult x 2 hours/application x $250/hour = </w:t>
      </w:r>
      <w:r w:rsidRPr="004251E4" w:rsidR="008650EC">
        <w:rPr>
          <w:rFonts w:ascii="Times New Roman" w:hAnsi="Times New Roman"/>
          <w:color w:val="000000" w:themeColor="text1"/>
          <w:spacing w:val="-3"/>
          <w:sz w:val="22"/>
          <w:szCs w:val="22"/>
        </w:rPr>
        <w:t>$12,500</w:t>
      </w:r>
      <w:r w:rsidRPr="004251E4">
        <w:rPr>
          <w:rFonts w:ascii="Times New Roman" w:hAnsi="Times New Roman"/>
          <w:color w:val="000000" w:themeColor="text1"/>
          <w:spacing w:val="-3"/>
          <w:sz w:val="22"/>
          <w:szCs w:val="22"/>
        </w:rPr>
        <w:t>]</w:t>
      </w:r>
    </w:p>
    <w:p w:rsidRPr="004251E4" w:rsidR="008650EC" w:rsidP="008650EC" w:rsidRDefault="008650EC" w14:paraId="3B3F333D"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$30,000 + $12,500 = $42,500</w:t>
      </w:r>
    </w:p>
    <w:p w:rsidRPr="004251E4" w:rsidR="00435F95" w:rsidP="008A32DD" w:rsidRDefault="00435F95" w14:paraId="029D6BC1" w14:textId="77777777">
      <w:pPr>
        <w:rPr>
          <w:rFonts w:ascii="Times New Roman" w:hAnsi="Times New Roman"/>
          <w:color w:val="000000" w:themeColor="text1"/>
          <w:spacing w:val="-3"/>
          <w:sz w:val="22"/>
          <w:szCs w:val="22"/>
        </w:rPr>
      </w:pPr>
    </w:p>
    <w:p w:rsidRPr="004251E4" w:rsidR="008650EC" w:rsidP="008A32DD" w:rsidRDefault="00F77619" w14:paraId="6C3B6E41" w14:textId="1FD176F6">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w:t>
      </w:r>
      <w:r w:rsidRPr="004251E4" w:rsidR="00B27C8E">
        <w:rPr>
          <w:rFonts w:ascii="Times New Roman" w:hAnsi="Times New Roman"/>
          <w:color w:val="000000" w:themeColor="text1"/>
          <w:spacing w:val="-3"/>
          <w:sz w:val="22"/>
          <w:szCs w:val="22"/>
        </w:rPr>
        <w:t>97,900</w:t>
      </w:r>
      <w:r w:rsidRPr="004251E4">
        <w:rPr>
          <w:rFonts w:ascii="Times New Roman" w:hAnsi="Times New Roman"/>
          <w:color w:val="000000" w:themeColor="text1"/>
          <w:spacing w:val="-3"/>
          <w:sz w:val="22"/>
          <w:szCs w:val="22"/>
        </w:rPr>
        <w:t xml:space="preserve">+ $42,500 = </w:t>
      </w:r>
      <w:r w:rsidRPr="004251E4">
        <w:rPr>
          <w:rFonts w:ascii="Times New Roman" w:hAnsi="Times New Roman"/>
          <w:b/>
          <w:bCs/>
          <w:color w:val="000000" w:themeColor="text1"/>
          <w:spacing w:val="-3"/>
          <w:sz w:val="22"/>
          <w:szCs w:val="22"/>
        </w:rPr>
        <w:t>$</w:t>
      </w:r>
      <w:r w:rsidRPr="004251E4" w:rsidR="00B27C8E">
        <w:rPr>
          <w:rFonts w:ascii="Times New Roman" w:hAnsi="Times New Roman"/>
          <w:b/>
          <w:bCs/>
          <w:color w:val="000000" w:themeColor="text1"/>
          <w:spacing w:val="-3"/>
          <w:sz w:val="22"/>
          <w:szCs w:val="22"/>
        </w:rPr>
        <w:t>140</w:t>
      </w:r>
      <w:r w:rsidRPr="004251E4">
        <w:rPr>
          <w:rFonts w:ascii="Times New Roman" w:hAnsi="Times New Roman"/>
          <w:b/>
          <w:bCs/>
          <w:color w:val="000000" w:themeColor="text1"/>
          <w:spacing w:val="-3"/>
          <w:sz w:val="22"/>
          <w:szCs w:val="22"/>
        </w:rPr>
        <w:t>,</w:t>
      </w:r>
      <w:r w:rsidRPr="004251E4" w:rsidR="00B27C8E">
        <w:rPr>
          <w:rFonts w:ascii="Times New Roman" w:hAnsi="Times New Roman"/>
          <w:b/>
          <w:bCs/>
          <w:color w:val="000000" w:themeColor="text1"/>
          <w:spacing w:val="-3"/>
          <w:sz w:val="22"/>
          <w:szCs w:val="22"/>
        </w:rPr>
        <w:t>4</w:t>
      </w:r>
      <w:r w:rsidRPr="004251E4">
        <w:rPr>
          <w:rFonts w:ascii="Times New Roman" w:hAnsi="Times New Roman"/>
          <w:b/>
          <w:bCs/>
          <w:color w:val="000000" w:themeColor="text1"/>
          <w:spacing w:val="-3"/>
          <w:sz w:val="22"/>
          <w:szCs w:val="22"/>
        </w:rPr>
        <w:t>00</w:t>
      </w:r>
    </w:p>
    <w:p w:rsidRPr="004251E4" w:rsidR="008650EC" w:rsidP="008A32DD" w:rsidRDefault="008650EC" w14:paraId="3F0194B9" w14:textId="77777777">
      <w:pPr>
        <w:rPr>
          <w:rFonts w:ascii="Times New Roman" w:hAnsi="Times New Roman"/>
          <w:color w:val="000000" w:themeColor="text1"/>
          <w:spacing w:val="-3"/>
          <w:sz w:val="22"/>
          <w:szCs w:val="22"/>
        </w:rPr>
      </w:pPr>
    </w:p>
    <w:p w:rsidRPr="004251E4" w:rsidR="008A32DD" w:rsidP="008A32DD" w:rsidRDefault="00E85394" w14:paraId="3AB35759" w14:textId="77777777">
      <w:pPr>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 xml:space="preserve">As discussed above, we estimate that 11 notices to MVPDs will be prepared </w:t>
      </w:r>
      <w:r w:rsidRPr="004251E4" w:rsidR="001447FC">
        <w:rPr>
          <w:rFonts w:ascii="Times New Roman" w:hAnsi="Times New Roman"/>
          <w:color w:val="000000" w:themeColor="text1"/>
          <w:spacing w:val="-3"/>
          <w:sz w:val="22"/>
          <w:szCs w:val="22"/>
          <w:u w:val="single"/>
        </w:rPr>
        <w:t>with</w:t>
      </w:r>
      <w:r w:rsidRPr="004251E4" w:rsidR="001447FC">
        <w:rPr>
          <w:rFonts w:ascii="Times New Roman" w:hAnsi="Times New Roman"/>
          <w:color w:val="000000" w:themeColor="text1"/>
          <w:spacing w:val="-3"/>
          <w:sz w:val="22"/>
          <w:szCs w:val="22"/>
        </w:rPr>
        <w:t xml:space="preserve"> the assistance of outside attorneys</w:t>
      </w:r>
      <w:r w:rsidRPr="004251E4">
        <w:rPr>
          <w:rFonts w:ascii="Times New Roman" w:hAnsi="Times New Roman"/>
          <w:color w:val="000000" w:themeColor="text1"/>
          <w:spacing w:val="-3"/>
          <w:sz w:val="22"/>
          <w:szCs w:val="22"/>
        </w:rPr>
        <w:t xml:space="preserve">.  </w:t>
      </w:r>
      <w:r w:rsidRPr="004251E4" w:rsidR="008A32DD">
        <w:rPr>
          <w:rFonts w:ascii="Times New Roman" w:hAnsi="Times New Roman"/>
          <w:color w:val="000000" w:themeColor="text1"/>
          <w:spacing w:val="-3"/>
          <w:sz w:val="22"/>
          <w:szCs w:val="22"/>
        </w:rPr>
        <w:t>We estimate that the average salary for the attorney is $</w:t>
      </w:r>
      <w:r w:rsidRPr="004251E4" w:rsidR="003A1655">
        <w:rPr>
          <w:rFonts w:ascii="Times New Roman" w:hAnsi="Times New Roman"/>
          <w:color w:val="000000" w:themeColor="text1"/>
          <w:spacing w:val="-3"/>
          <w:sz w:val="22"/>
          <w:szCs w:val="22"/>
        </w:rPr>
        <w:t>3</w:t>
      </w:r>
      <w:r w:rsidRPr="004251E4" w:rsidR="008A32DD">
        <w:rPr>
          <w:rFonts w:ascii="Times New Roman" w:hAnsi="Times New Roman"/>
          <w:color w:val="000000" w:themeColor="text1"/>
          <w:spacing w:val="-3"/>
          <w:sz w:val="22"/>
          <w:szCs w:val="22"/>
        </w:rPr>
        <w:t>00/hour</w:t>
      </w:r>
      <w:r w:rsidRPr="004251E4" w:rsidR="003379F7">
        <w:rPr>
          <w:rFonts w:ascii="Times New Roman" w:hAnsi="Times New Roman"/>
          <w:color w:val="000000" w:themeColor="text1"/>
          <w:spacing w:val="-3"/>
          <w:sz w:val="22"/>
          <w:szCs w:val="22"/>
        </w:rPr>
        <w:t xml:space="preserve"> and </w:t>
      </w:r>
      <w:r w:rsidRPr="004251E4">
        <w:rPr>
          <w:rFonts w:ascii="Times New Roman" w:hAnsi="Times New Roman"/>
          <w:color w:val="000000" w:themeColor="text1"/>
          <w:spacing w:val="-3"/>
          <w:sz w:val="22"/>
          <w:szCs w:val="22"/>
        </w:rPr>
        <w:t xml:space="preserve">it will </w:t>
      </w:r>
      <w:r w:rsidRPr="004251E4" w:rsidR="009856C7">
        <w:rPr>
          <w:rFonts w:ascii="Times New Roman" w:hAnsi="Times New Roman"/>
          <w:color w:val="000000" w:themeColor="text1"/>
          <w:spacing w:val="-3"/>
          <w:sz w:val="22"/>
          <w:szCs w:val="22"/>
        </w:rPr>
        <w:t>take two hours to prep</w:t>
      </w:r>
      <w:r w:rsidRPr="004251E4">
        <w:rPr>
          <w:rFonts w:ascii="Times New Roman" w:hAnsi="Times New Roman"/>
          <w:color w:val="000000" w:themeColor="text1"/>
          <w:spacing w:val="-3"/>
          <w:sz w:val="22"/>
          <w:szCs w:val="22"/>
        </w:rPr>
        <w:t>are each notification</w:t>
      </w:r>
      <w:r w:rsidRPr="004251E4" w:rsidR="009856C7">
        <w:rPr>
          <w:rFonts w:ascii="Times New Roman" w:hAnsi="Times New Roman"/>
          <w:color w:val="000000" w:themeColor="text1"/>
          <w:spacing w:val="-3"/>
          <w:sz w:val="22"/>
          <w:szCs w:val="22"/>
        </w:rPr>
        <w:t>.</w:t>
      </w:r>
    </w:p>
    <w:p w:rsidRPr="004251E4" w:rsidR="003379F7" w:rsidP="00E85394" w:rsidRDefault="00E85394" w14:paraId="0D2AB884" w14:textId="77777777">
      <w:pPr>
        <w:suppressAutoHyphens/>
        <w:jc w:val="both"/>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[11</w:t>
      </w:r>
      <w:r w:rsidRPr="004251E4" w:rsidR="00784CD2">
        <w:rPr>
          <w:rFonts w:ascii="Times New Roman" w:hAnsi="Times New Roman"/>
          <w:color w:val="000000" w:themeColor="text1"/>
          <w:spacing w:val="-3"/>
          <w:sz w:val="22"/>
          <w:szCs w:val="22"/>
        </w:rPr>
        <w:t xml:space="preserve"> MVPD Notice</w:t>
      </w:r>
      <w:r w:rsidRPr="004251E4" w:rsidR="00DE6881">
        <w:rPr>
          <w:rFonts w:ascii="Times New Roman" w:hAnsi="Times New Roman"/>
          <w:color w:val="000000" w:themeColor="text1"/>
          <w:spacing w:val="-3"/>
          <w:sz w:val="22"/>
          <w:szCs w:val="22"/>
        </w:rPr>
        <w:t>s</w:t>
      </w:r>
      <w:r w:rsidRPr="004251E4" w:rsidR="00784CD2">
        <w:rPr>
          <w:rFonts w:ascii="Times New Roman" w:hAnsi="Times New Roman"/>
          <w:color w:val="000000" w:themeColor="text1"/>
          <w:spacing w:val="-3"/>
          <w:sz w:val="22"/>
          <w:szCs w:val="22"/>
        </w:rPr>
        <w:t xml:space="preserve"> prepared</w:t>
      </w:r>
      <w:r w:rsidRPr="004251E4" w:rsidR="00311364">
        <w:rPr>
          <w:rFonts w:ascii="Times New Roman" w:hAnsi="Times New Roman"/>
          <w:color w:val="000000" w:themeColor="text1"/>
          <w:spacing w:val="-3"/>
          <w:sz w:val="22"/>
          <w:szCs w:val="22"/>
        </w:rPr>
        <w:t xml:space="preserve"> by </w:t>
      </w:r>
      <w:r w:rsidRPr="004251E4">
        <w:rPr>
          <w:rFonts w:ascii="Times New Roman" w:hAnsi="Times New Roman"/>
          <w:color w:val="000000" w:themeColor="text1"/>
          <w:spacing w:val="-3"/>
          <w:sz w:val="22"/>
          <w:szCs w:val="22"/>
        </w:rPr>
        <w:t xml:space="preserve">Outside </w:t>
      </w:r>
      <w:r w:rsidRPr="004251E4" w:rsidR="00311364">
        <w:rPr>
          <w:rFonts w:ascii="Times New Roman" w:hAnsi="Times New Roman"/>
          <w:color w:val="000000" w:themeColor="text1"/>
          <w:spacing w:val="-3"/>
          <w:sz w:val="22"/>
          <w:szCs w:val="22"/>
        </w:rPr>
        <w:t xml:space="preserve">Attorney </w:t>
      </w:r>
      <w:r w:rsidRPr="004251E4" w:rsidR="003379F7">
        <w:rPr>
          <w:rFonts w:ascii="Times New Roman" w:hAnsi="Times New Roman"/>
          <w:color w:val="000000" w:themeColor="text1"/>
          <w:spacing w:val="-3"/>
          <w:sz w:val="22"/>
          <w:szCs w:val="22"/>
        </w:rPr>
        <w:t xml:space="preserve">x </w:t>
      </w:r>
      <w:r w:rsidRPr="004251E4" w:rsidR="000E2AF0">
        <w:rPr>
          <w:rFonts w:ascii="Times New Roman" w:hAnsi="Times New Roman"/>
          <w:color w:val="000000" w:themeColor="text1"/>
          <w:spacing w:val="-3"/>
          <w:sz w:val="22"/>
          <w:szCs w:val="22"/>
        </w:rPr>
        <w:t>2</w:t>
      </w:r>
      <w:r w:rsidRPr="004251E4" w:rsidR="00D36451">
        <w:rPr>
          <w:rFonts w:ascii="Times New Roman" w:hAnsi="Times New Roman"/>
          <w:color w:val="000000" w:themeColor="text1"/>
          <w:spacing w:val="-3"/>
          <w:sz w:val="22"/>
          <w:szCs w:val="22"/>
        </w:rPr>
        <w:t xml:space="preserve"> </w:t>
      </w:r>
      <w:r w:rsidRPr="004251E4" w:rsidR="003379F7">
        <w:rPr>
          <w:rFonts w:ascii="Times New Roman" w:hAnsi="Times New Roman"/>
          <w:color w:val="000000" w:themeColor="text1"/>
          <w:spacing w:val="-3"/>
          <w:sz w:val="22"/>
          <w:szCs w:val="22"/>
        </w:rPr>
        <w:t>hour</w:t>
      </w:r>
      <w:r w:rsidRPr="004251E4" w:rsidR="00D36451">
        <w:rPr>
          <w:rFonts w:ascii="Times New Roman" w:hAnsi="Times New Roman"/>
          <w:color w:val="000000" w:themeColor="text1"/>
          <w:spacing w:val="-3"/>
          <w:sz w:val="22"/>
          <w:szCs w:val="22"/>
        </w:rPr>
        <w:t>s</w:t>
      </w:r>
      <w:r w:rsidRPr="004251E4" w:rsidR="009856C7">
        <w:rPr>
          <w:rFonts w:ascii="Times New Roman" w:hAnsi="Times New Roman"/>
          <w:color w:val="000000" w:themeColor="text1"/>
          <w:spacing w:val="-3"/>
          <w:sz w:val="22"/>
          <w:szCs w:val="22"/>
        </w:rPr>
        <w:t>/noti</w:t>
      </w:r>
      <w:r w:rsidRPr="004251E4">
        <w:rPr>
          <w:rFonts w:ascii="Times New Roman" w:hAnsi="Times New Roman"/>
          <w:color w:val="000000" w:themeColor="text1"/>
          <w:spacing w:val="-3"/>
          <w:sz w:val="22"/>
          <w:szCs w:val="22"/>
        </w:rPr>
        <w:t>ce</w:t>
      </w:r>
      <w:r w:rsidRPr="004251E4" w:rsidR="003379F7">
        <w:rPr>
          <w:rFonts w:ascii="Times New Roman" w:hAnsi="Times New Roman"/>
          <w:color w:val="000000" w:themeColor="text1"/>
          <w:spacing w:val="-3"/>
          <w:sz w:val="22"/>
          <w:szCs w:val="22"/>
        </w:rPr>
        <w:t xml:space="preserve"> </w:t>
      </w:r>
      <w:r w:rsidRPr="004251E4" w:rsidR="008A32DD">
        <w:rPr>
          <w:rFonts w:ascii="Times New Roman" w:hAnsi="Times New Roman"/>
          <w:color w:val="000000" w:themeColor="text1"/>
          <w:spacing w:val="-3"/>
          <w:sz w:val="22"/>
          <w:szCs w:val="22"/>
        </w:rPr>
        <w:t>x $</w:t>
      </w:r>
      <w:r w:rsidRPr="004251E4" w:rsidR="003A1655">
        <w:rPr>
          <w:rFonts w:ascii="Times New Roman" w:hAnsi="Times New Roman"/>
          <w:color w:val="000000" w:themeColor="text1"/>
          <w:spacing w:val="-3"/>
          <w:sz w:val="22"/>
          <w:szCs w:val="22"/>
        </w:rPr>
        <w:t>3</w:t>
      </w:r>
      <w:r w:rsidRPr="004251E4" w:rsidR="003379F7">
        <w:rPr>
          <w:rFonts w:ascii="Times New Roman" w:hAnsi="Times New Roman"/>
          <w:color w:val="000000" w:themeColor="text1"/>
          <w:spacing w:val="-3"/>
          <w:sz w:val="22"/>
          <w:szCs w:val="22"/>
        </w:rPr>
        <w:t>00</w:t>
      </w:r>
      <w:r w:rsidRPr="004251E4" w:rsidR="008A32DD">
        <w:rPr>
          <w:rFonts w:ascii="Times New Roman" w:hAnsi="Times New Roman"/>
          <w:color w:val="000000" w:themeColor="text1"/>
          <w:spacing w:val="-3"/>
          <w:sz w:val="22"/>
          <w:szCs w:val="22"/>
        </w:rPr>
        <w:t xml:space="preserve">/hour </w:t>
      </w:r>
      <w:bookmarkStart w:name="_Hlk503345638" w:id="5"/>
      <w:r w:rsidRPr="004251E4" w:rsidR="008A32DD">
        <w:rPr>
          <w:rFonts w:ascii="Times New Roman" w:hAnsi="Times New Roman"/>
          <w:color w:val="000000" w:themeColor="text1"/>
          <w:spacing w:val="-3"/>
          <w:sz w:val="22"/>
          <w:szCs w:val="22"/>
        </w:rPr>
        <w:t>=</w:t>
      </w:r>
      <w:r w:rsidRPr="004251E4">
        <w:rPr>
          <w:rFonts w:ascii="Times New Roman" w:hAnsi="Times New Roman"/>
          <w:color w:val="000000" w:themeColor="text1"/>
          <w:spacing w:val="-3"/>
          <w:sz w:val="22"/>
          <w:szCs w:val="22"/>
        </w:rPr>
        <w:t xml:space="preserve"> </w:t>
      </w:r>
      <w:r w:rsidRPr="004251E4" w:rsidR="00F77619">
        <w:rPr>
          <w:rFonts w:ascii="Times New Roman" w:hAnsi="Times New Roman"/>
          <w:color w:val="000000" w:themeColor="text1"/>
          <w:spacing w:val="-3"/>
          <w:sz w:val="22"/>
          <w:szCs w:val="22"/>
        </w:rPr>
        <w:t>$6,600</w:t>
      </w:r>
      <w:bookmarkEnd w:id="5"/>
      <w:r w:rsidRPr="004251E4">
        <w:rPr>
          <w:rFonts w:ascii="Times New Roman" w:hAnsi="Times New Roman"/>
          <w:color w:val="000000" w:themeColor="text1"/>
          <w:spacing w:val="-3"/>
          <w:sz w:val="22"/>
          <w:szCs w:val="22"/>
        </w:rPr>
        <w:t>]</w:t>
      </w:r>
    </w:p>
    <w:p w:rsidRPr="004251E4" w:rsidR="00F77619" w:rsidP="00E85394" w:rsidRDefault="00F77619" w14:paraId="3AF568DC" w14:textId="77777777">
      <w:pPr>
        <w:suppressAutoHyphens/>
        <w:jc w:val="both"/>
        <w:rPr>
          <w:rFonts w:ascii="Times New Roman" w:hAnsi="Times New Roman"/>
          <w:color w:val="000000" w:themeColor="text1"/>
          <w:spacing w:val="-3"/>
          <w:sz w:val="22"/>
          <w:szCs w:val="22"/>
        </w:rPr>
      </w:pPr>
    </w:p>
    <w:p w:rsidRPr="004251E4" w:rsidR="00F77619" w:rsidP="00E85394" w:rsidRDefault="00A27B2A" w14:paraId="73C48FA5" w14:textId="7A6656F7">
      <w:pPr>
        <w:suppressAutoHyphens/>
        <w:jc w:val="both"/>
        <w:rPr>
          <w:rFonts w:ascii="Times New Roman" w:hAnsi="Times New Roman"/>
          <w:color w:val="000000" w:themeColor="text1"/>
          <w:spacing w:val="-3"/>
          <w:sz w:val="22"/>
          <w:szCs w:val="22"/>
        </w:rPr>
      </w:pPr>
      <w:r w:rsidRPr="004251E4">
        <w:rPr>
          <w:rFonts w:ascii="Times New Roman" w:hAnsi="Times New Roman"/>
          <w:b/>
          <w:bCs/>
          <w:color w:val="000000" w:themeColor="text1"/>
          <w:spacing w:val="-3"/>
          <w:sz w:val="22"/>
          <w:szCs w:val="22"/>
        </w:rPr>
        <w:t>$140,400</w:t>
      </w:r>
      <w:r w:rsidRPr="004251E4" w:rsidR="00F77619">
        <w:rPr>
          <w:rFonts w:ascii="Times New Roman" w:hAnsi="Times New Roman"/>
          <w:color w:val="000000" w:themeColor="text1"/>
          <w:spacing w:val="-3"/>
          <w:sz w:val="22"/>
          <w:szCs w:val="22"/>
        </w:rPr>
        <w:t xml:space="preserve">+ $6,600 = </w:t>
      </w:r>
      <w:r w:rsidRPr="004251E4" w:rsidR="00F77619">
        <w:rPr>
          <w:rFonts w:ascii="Times New Roman" w:hAnsi="Times New Roman"/>
          <w:b/>
          <w:bCs/>
          <w:color w:val="000000" w:themeColor="text1"/>
          <w:spacing w:val="-3"/>
          <w:sz w:val="22"/>
          <w:szCs w:val="22"/>
        </w:rPr>
        <w:t>$</w:t>
      </w:r>
      <w:r w:rsidRPr="004251E4">
        <w:rPr>
          <w:rFonts w:ascii="Times New Roman" w:hAnsi="Times New Roman"/>
          <w:b/>
          <w:bCs/>
          <w:color w:val="000000" w:themeColor="text1"/>
          <w:spacing w:val="-3"/>
          <w:sz w:val="22"/>
          <w:szCs w:val="22"/>
        </w:rPr>
        <w:t>147</w:t>
      </w:r>
      <w:r w:rsidRPr="004251E4" w:rsidR="00F77619">
        <w:rPr>
          <w:rFonts w:ascii="Times New Roman" w:hAnsi="Times New Roman"/>
          <w:b/>
          <w:bCs/>
          <w:color w:val="000000" w:themeColor="text1"/>
          <w:spacing w:val="-3"/>
          <w:sz w:val="22"/>
          <w:szCs w:val="22"/>
        </w:rPr>
        <w:t>,</w:t>
      </w:r>
      <w:r w:rsidRPr="004251E4">
        <w:rPr>
          <w:rFonts w:ascii="Times New Roman" w:hAnsi="Times New Roman"/>
          <w:b/>
          <w:bCs/>
          <w:color w:val="000000" w:themeColor="text1"/>
          <w:spacing w:val="-3"/>
          <w:sz w:val="22"/>
          <w:szCs w:val="22"/>
        </w:rPr>
        <w:t>0</w:t>
      </w:r>
      <w:r w:rsidRPr="004251E4" w:rsidR="00F77619">
        <w:rPr>
          <w:rFonts w:ascii="Times New Roman" w:hAnsi="Times New Roman"/>
          <w:b/>
          <w:bCs/>
          <w:color w:val="000000" w:themeColor="text1"/>
          <w:spacing w:val="-3"/>
          <w:sz w:val="22"/>
          <w:szCs w:val="22"/>
        </w:rPr>
        <w:t>00</w:t>
      </w:r>
    </w:p>
    <w:p w:rsidRPr="004251E4" w:rsidR="00E85394" w:rsidP="0056567F" w:rsidRDefault="00E85394" w14:paraId="56C790F8" w14:textId="77777777">
      <w:pPr>
        <w:suppressAutoHyphens/>
        <w:jc w:val="both"/>
        <w:rPr>
          <w:rFonts w:ascii="Times New Roman" w:hAnsi="Times New Roman"/>
          <w:color w:val="000000" w:themeColor="text1"/>
          <w:spacing w:val="-3"/>
          <w:sz w:val="22"/>
          <w:szCs w:val="22"/>
        </w:rPr>
      </w:pPr>
    </w:p>
    <w:p w:rsidRPr="004251E4" w:rsidR="008A32DD" w:rsidP="0056567F" w:rsidRDefault="008A32DD" w14:paraId="411166D1" w14:textId="540B4A7D">
      <w:pPr>
        <w:suppressAutoHyphens/>
        <w:jc w:val="both"/>
        <w:rPr>
          <w:rFonts w:ascii="Times New Roman" w:hAnsi="Times New Roman"/>
          <w:b/>
          <w:color w:val="000000" w:themeColor="text1"/>
          <w:spacing w:val="-3"/>
          <w:sz w:val="22"/>
          <w:szCs w:val="22"/>
        </w:rPr>
      </w:pPr>
      <w:r w:rsidRPr="004251E4">
        <w:rPr>
          <w:rFonts w:ascii="Times New Roman" w:hAnsi="Times New Roman"/>
          <w:b/>
          <w:color w:val="000000" w:themeColor="text1"/>
          <w:spacing w:val="-3"/>
          <w:sz w:val="22"/>
          <w:szCs w:val="22"/>
        </w:rPr>
        <w:t xml:space="preserve">Annual Cost Burden </w:t>
      </w:r>
      <w:r w:rsidRPr="004251E4" w:rsidR="00F77619">
        <w:rPr>
          <w:rFonts w:ascii="Times New Roman" w:hAnsi="Times New Roman"/>
          <w:b/>
          <w:color w:val="000000" w:themeColor="text1"/>
          <w:spacing w:val="-3"/>
          <w:sz w:val="22"/>
          <w:szCs w:val="22"/>
        </w:rPr>
        <w:t xml:space="preserve">= </w:t>
      </w:r>
      <w:r w:rsidRPr="004251E4" w:rsidR="00A27B2A">
        <w:rPr>
          <w:rFonts w:ascii="Times New Roman" w:hAnsi="Times New Roman"/>
          <w:b/>
          <w:bCs/>
          <w:color w:val="000000" w:themeColor="text1"/>
          <w:spacing w:val="-3"/>
          <w:sz w:val="22"/>
          <w:szCs w:val="22"/>
        </w:rPr>
        <w:t>$147,000</w:t>
      </w:r>
    </w:p>
    <w:p w:rsidRPr="004251E4" w:rsidR="00F77619" w:rsidP="008A32DD" w:rsidRDefault="00F77619" w14:paraId="53A228E8" w14:textId="77777777">
      <w:pPr>
        <w:suppressAutoHyphens/>
        <w:rPr>
          <w:rFonts w:ascii="Times New Roman" w:hAnsi="Times New Roman"/>
          <w:color w:val="000000" w:themeColor="text1"/>
          <w:spacing w:val="-3"/>
          <w:sz w:val="22"/>
          <w:szCs w:val="22"/>
        </w:rPr>
      </w:pPr>
    </w:p>
    <w:p w:rsidRPr="004251E4" w:rsidR="008A32DD" w:rsidP="008A32DD" w:rsidRDefault="008A32DD" w14:paraId="0F0822FA" w14:textId="77777777">
      <w:pPr>
        <w:suppressAutoHyphens/>
        <w:jc w:val="both"/>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14. Cost to the Federal Government:</w:t>
      </w:r>
      <w:r w:rsidRPr="004251E4" w:rsidR="005A535C">
        <w:rPr>
          <w:rFonts w:ascii="Times New Roman" w:hAnsi="Times New Roman"/>
          <w:b/>
          <w:color w:val="000000" w:themeColor="text1"/>
          <w:spacing w:val="-3"/>
          <w:sz w:val="22"/>
          <w:szCs w:val="22"/>
        </w:rPr>
        <w:t xml:space="preserve"> </w:t>
      </w:r>
    </w:p>
    <w:p w:rsidRPr="004251E4" w:rsidR="001A5D30" w:rsidP="00131B69" w:rsidRDefault="001A5D30" w14:paraId="46328A5D" w14:textId="77777777">
      <w:pPr>
        <w:rPr>
          <w:rFonts w:ascii="Times New Roman" w:hAnsi="Times New Roman"/>
          <w:color w:val="000000" w:themeColor="text1"/>
          <w:spacing w:val="-3"/>
          <w:sz w:val="22"/>
          <w:szCs w:val="22"/>
        </w:rPr>
      </w:pPr>
    </w:p>
    <w:p w:rsidRPr="004251E4" w:rsidR="00765C88" w:rsidP="00131B69" w:rsidRDefault="00765C88" w14:paraId="1BF2FECF"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The Commission will use legal and engineering staff a</w:t>
      </w:r>
      <w:r w:rsidRPr="004251E4" w:rsidR="00636E00">
        <w:rPr>
          <w:rFonts w:ascii="Times New Roman" w:hAnsi="Times New Roman"/>
          <w:color w:val="000000" w:themeColor="text1"/>
          <w:spacing w:val="-3"/>
          <w:sz w:val="22"/>
          <w:szCs w:val="22"/>
          <w:shd w:val="clear" w:color="auto" w:fill="FFFFFF"/>
        </w:rPr>
        <w:t>t the GS-14/Step 5 level ($</w:t>
      </w:r>
      <w:bookmarkStart w:name="_Hlk62464714" w:id="6"/>
      <w:r w:rsidRPr="004251E4" w:rsidR="00636E00">
        <w:rPr>
          <w:rFonts w:ascii="Times New Roman" w:hAnsi="Times New Roman"/>
          <w:color w:val="000000" w:themeColor="text1"/>
          <w:spacing w:val="-3"/>
          <w:sz w:val="22"/>
          <w:szCs w:val="22"/>
          <w:shd w:val="clear" w:color="auto" w:fill="FFFFFF"/>
        </w:rPr>
        <w:t>6</w:t>
      </w:r>
      <w:r w:rsidRPr="004251E4" w:rsidR="00D13311">
        <w:rPr>
          <w:rFonts w:ascii="Times New Roman" w:hAnsi="Times New Roman"/>
          <w:color w:val="000000" w:themeColor="text1"/>
          <w:spacing w:val="-3"/>
          <w:sz w:val="22"/>
          <w:szCs w:val="22"/>
          <w:shd w:val="clear" w:color="auto" w:fill="FFFFFF"/>
        </w:rPr>
        <w:t>6.54</w:t>
      </w:r>
      <w:bookmarkEnd w:id="6"/>
      <w:r w:rsidRPr="004251E4">
        <w:rPr>
          <w:rFonts w:ascii="Times New Roman" w:hAnsi="Times New Roman"/>
          <w:color w:val="000000" w:themeColor="text1"/>
          <w:spacing w:val="-3"/>
          <w:sz w:val="22"/>
          <w:szCs w:val="22"/>
          <w:shd w:val="clear" w:color="auto" w:fill="FFFFFF"/>
        </w:rPr>
        <w:t xml:space="preserve">/hour), paraprofessional staff at the GS-11/Step 5 level </w:t>
      </w:r>
      <w:r w:rsidRPr="004251E4" w:rsidR="00B545F3">
        <w:rPr>
          <w:rFonts w:ascii="Times New Roman" w:hAnsi="Times New Roman"/>
          <w:color w:val="000000" w:themeColor="text1"/>
          <w:spacing w:val="-3"/>
          <w:sz w:val="22"/>
          <w:szCs w:val="22"/>
          <w:shd w:val="clear" w:color="auto" w:fill="FFFFFF"/>
        </w:rPr>
        <w:t>($</w:t>
      </w:r>
      <w:r w:rsidRPr="004251E4" w:rsidR="00D13311">
        <w:rPr>
          <w:rFonts w:ascii="Times New Roman" w:hAnsi="Times New Roman"/>
          <w:color w:val="000000" w:themeColor="text1"/>
          <w:spacing w:val="-3"/>
          <w:sz w:val="22"/>
          <w:szCs w:val="22"/>
          <w:shd w:val="clear" w:color="auto" w:fill="FFFFFF"/>
        </w:rPr>
        <w:t>39.51</w:t>
      </w:r>
      <w:r w:rsidRPr="004251E4">
        <w:rPr>
          <w:rFonts w:ascii="Times New Roman" w:hAnsi="Times New Roman"/>
          <w:color w:val="000000" w:themeColor="text1"/>
          <w:spacing w:val="-3"/>
          <w:sz w:val="22"/>
          <w:szCs w:val="22"/>
          <w:shd w:val="clear" w:color="auto" w:fill="FFFFFF"/>
        </w:rPr>
        <w:t>/hour), and clerical staff at the</w:t>
      </w:r>
      <w:r w:rsidRPr="004251E4" w:rsidR="00B545F3">
        <w:rPr>
          <w:rFonts w:ascii="Times New Roman" w:hAnsi="Times New Roman"/>
          <w:color w:val="000000" w:themeColor="text1"/>
          <w:spacing w:val="-3"/>
          <w:sz w:val="22"/>
          <w:szCs w:val="22"/>
          <w:shd w:val="clear" w:color="auto" w:fill="FFFFFF"/>
        </w:rPr>
        <w:t xml:space="preserve"> GS-5 level/Step 5 level ($</w:t>
      </w:r>
      <w:r w:rsidRPr="004251E4" w:rsidR="00D13311">
        <w:rPr>
          <w:rFonts w:ascii="Times New Roman" w:hAnsi="Times New Roman"/>
          <w:color w:val="000000" w:themeColor="text1"/>
          <w:spacing w:val="-3"/>
          <w:sz w:val="22"/>
          <w:szCs w:val="22"/>
          <w:shd w:val="clear" w:color="auto" w:fill="FFFFFF"/>
        </w:rPr>
        <w:t>21.55</w:t>
      </w:r>
      <w:r w:rsidRPr="004251E4">
        <w:rPr>
          <w:rFonts w:ascii="Times New Roman" w:hAnsi="Times New Roman"/>
          <w:color w:val="000000" w:themeColor="text1"/>
          <w:spacing w:val="-3"/>
          <w:sz w:val="22"/>
          <w:szCs w:val="22"/>
          <w:shd w:val="clear" w:color="auto" w:fill="FFFFFF"/>
        </w:rPr>
        <w:t xml:space="preserve">/hour) to process </w:t>
      </w:r>
      <w:r w:rsidRPr="004251E4" w:rsidR="00131B69">
        <w:rPr>
          <w:rFonts w:ascii="Times New Roman" w:hAnsi="Times New Roman"/>
          <w:color w:val="000000" w:themeColor="text1"/>
          <w:spacing w:val="-3"/>
          <w:sz w:val="22"/>
          <w:szCs w:val="22"/>
          <w:shd w:val="clear" w:color="auto" w:fill="FFFFFF"/>
        </w:rPr>
        <w:t xml:space="preserve">Next Gen TV license </w:t>
      </w:r>
      <w:r w:rsidRPr="004251E4">
        <w:rPr>
          <w:rFonts w:ascii="Times New Roman" w:hAnsi="Times New Roman"/>
          <w:color w:val="000000" w:themeColor="text1"/>
          <w:spacing w:val="-3"/>
          <w:sz w:val="22"/>
          <w:szCs w:val="22"/>
          <w:shd w:val="clear" w:color="auto" w:fill="FFFFFF"/>
        </w:rPr>
        <w:t>applications.</w:t>
      </w:r>
    </w:p>
    <w:p w:rsidRPr="004251E4" w:rsidR="00131B69" w:rsidP="00131B69" w:rsidRDefault="00131B69" w14:paraId="542609B0"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p>
    <w:p w:rsidRPr="004251E4" w:rsidR="00131B69" w:rsidP="00131B69" w:rsidRDefault="00131B69" w14:paraId="524E9182" w14:textId="30D50A7D">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110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8 </w:t>
      </w:r>
      <w:proofErr w:type="spellStart"/>
      <w:r w:rsidRPr="004251E4">
        <w:rPr>
          <w:rFonts w:ascii="Times New Roman" w:hAnsi="Times New Roman"/>
          <w:color w:val="000000" w:themeColor="text1"/>
          <w:spacing w:val="-3"/>
          <w:sz w:val="22"/>
          <w:szCs w:val="22"/>
          <w:shd w:val="clear" w:color="auto" w:fill="FFFFFF"/>
        </w:rPr>
        <w:t>hrs</w:t>
      </w:r>
      <w:proofErr w:type="spellEnd"/>
      <w:r w:rsidRPr="004251E4">
        <w:rPr>
          <w:rFonts w:ascii="Times New Roman" w:hAnsi="Times New Roman"/>
          <w:color w:val="000000" w:themeColor="text1"/>
          <w:spacing w:val="-3"/>
          <w:sz w:val="22"/>
          <w:szCs w:val="22"/>
          <w:shd w:val="clear" w:color="auto" w:fill="FFFFFF"/>
        </w:rPr>
        <w:t xml:space="preserve"> legal review </w:t>
      </w:r>
      <w:r w:rsidRPr="004251E4" w:rsidR="00DC674E">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w:t>
      </w:r>
      <w:r w:rsidRPr="004251E4" w:rsidR="00D13311">
        <w:rPr>
          <w:rFonts w:ascii="Times New Roman" w:hAnsi="Times New Roman"/>
          <w:color w:val="000000" w:themeColor="text1"/>
          <w:spacing w:val="-3"/>
          <w:sz w:val="22"/>
          <w:szCs w:val="22"/>
          <w:shd w:val="clear" w:color="auto" w:fill="FFFFFF"/>
        </w:rPr>
        <w:t>66.54</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B545F3">
        <w:rPr>
          <w:rFonts w:ascii="Times New Roman" w:hAnsi="Times New Roman"/>
          <w:color w:val="000000" w:themeColor="text1"/>
          <w:spacing w:val="-3"/>
          <w:sz w:val="22"/>
          <w:szCs w:val="22"/>
          <w:shd w:val="clear" w:color="auto" w:fill="FFFFFF"/>
        </w:rPr>
        <w:tab/>
        <w:t xml:space="preserve">$ </w:t>
      </w:r>
      <w:r w:rsidRPr="004251E4" w:rsidR="00CC1579">
        <w:rPr>
          <w:rFonts w:ascii="Times New Roman" w:hAnsi="Times New Roman"/>
          <w:color w:val="000000" w:themeColor="text1"/>
          <w:spacing w:val="-3"/>
          <w:sz w:val="22"/>
          <w:szCs w:val="22"/>
          <w:shd w:val="clear" w:color="auto" w:fill="FFFFFF"/>
        </w:rPr>
        <w:t xml:space="preserve"> </w:t>
      </w:r>
      <w:r w:rsidRPr="004251E4" w:rsidR="00D13311">
        <w:rPr>
          <w:rFonts w:ascii="Times New Roman" w:hAnsi="Times New Roman"/>
          <w:color w:val="000000" w:themeColor="text1"/>
          <w:spacing w:val="-3"/>
          <w:sz w:val="22"/>
          <w:szCs w:val="22"/>
          <w:shd w:val="clear" w:color="auto" w:fill="FFFFFF"/>
        </w:rPr>
        <w:t>58,555.20</w:t>
      </w:r>
    </w:p>
    <w:p w:rsidRPr="004251E4" w:rsidR="00131B69" w:rsidP="00131B69" w:rsidRDefault="00131B69" w14:paraId="2B3109A3" w14:textId="50356D35">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690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4 </w:t>
      </w:r>
      <w:proofErr w:type="spellStart"/>
      <w:r w:rsidRPr="004251E4">
        <w:rPr>
          <w:rFonts w:ascii="Times New Roman" w:hAnsi="Times New Roman"/>
          <w:color w:val="000000" w:themeColor="text1"/>
          <w:spacing w:val="-3"/>
          <w:sz w:val="22"/>
          <w:szCs w:val="22"/>
          <w:shd w:val="clear" w:color="auto" w:fill="FFFFFF"/>
        </w:rPr>
        <w:t>hrs</w:t>
      </w:r>
      <w:proofErr w:type="spellEnd"/>
      <w:r w:rsidRPr="004251E4">
        <w:rPr>
          <w:rFonts w:ascii="Times New Roman" w:hAnsi="Times New Roman"/>
          <w:color w:val="000000" w:themeColor="text1"/>
          <w:spacing w:val="-3"/>
          <w:sz w:val="22"/>
          <w:szCs w:val="22"/>
          <w:shd w:val="clear" w:color="auto" w:fill="FFFFFF"/>
        </w:rPr>
        <w:t xml:space="preserve"> legal review </w:t>
      </w:r>
      <w:r w:rsidRPr="004251E4" w:rsidR="00DC674E">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w:t>
      </w:r>
      <w:r w:rsidRPr="004251E4" w:rsidR="00D13311">
        <w:rPr>
          <w:rFonts w:ascii="Times New Roman" w:hAnsi="Times New Roman"/>
          <w:color w:val="000000" w:themeColor="text1"/>
          <w:spacing w:val="-3"/>
          <w:sz w:val="22"/>
          <w:szCs w:val="22"/>
          <w:shd w:val="clear" w:color="auto" w:fill="FFFFFF"/>
        </w:rPr>
        <w:t>66.54</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B545F3">
        <w:rPr>
          <w:rFonts w:ascii="Times New Roman" w:hAnsi="Times New Roman"/>
          <w:color w:val="000000" w:themeColor="text1"/>
          <w:spacing w:val="-3"/>
          <w:sz w:val="22"/>
          <w:szCs w:val="22"/>
          <w:shd w:val="clear" w:color="auto" w:fill="FFFFFF"/>
        </w:rPr>
        <w:tab/>
        <w:t>$</w:t>
      </w:r>
      <w:r w:rsidRPr="004251E4" w:rsidR="00183834">
        <w:rPr>
          <w:rFonts w:ascii="Times New Roman" w:hAnsi="Times New Roman"/>
          <w:color w:val="000000" w:themeColor="text1"/>
          <w:spacing w:val="-3"/>
          <w:sz w:val="22"/>
          <w:szCs w:val="22"/>
          <w:shd w:val="clear" w:color="auto" w:fill="FFFFFF"/>
        </w:rPr>
        <w:t>183,650.40</w:t>
      </w:r>
    </w:p>
    <w:p w:rsidRPr="004251E4" w:rsidR="00A27B2A" w:rsidP="00131B69" w:rsidRDefault="00A27B2A" w14:paraId="2CAB7541" w14:textId="0A531839">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20 applications</w:t>
      </w:r>
      <w:r w:rsidRPr="004251E4">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ab/>
        <w:t xml:space="preserve">x 8 </w:t>
      </w:r>
      <w:proofErr w:type="spellStart"/>
      <w:r w:rsidRPr="004251E4">
        <w:rPr>
          <w:rFonts w:ascii="Times New Roman" w:hAnsi="Times New Roman"/>
          <w:color w:val="000000" w:themeColor="text1"/>
          <w:spacing w:val="-3"/>
          <w:sz w:val="22"/>
          <w:szCs w:val="22"/>
          <w:shd w:val="clear" w:color="auto" w:fill="FFFFFF"/>
        </w:rPr>
        <w:t>hrs</w:t>
      </w:r>
      <w:proofErr w:type="spellEnd"/>
      <w:r w:rsidRPr="004251E4">
        <w:rPr>
          <w:rFonts w:ascii="Times New Roman" w:hAnsi="Times New Roman"/>
          <w:color w:val="000000" w:themeColor="text1"/>
          <w:spacing w:val="-3"/>
          <w:sz w:val="22"/>
          <w:szCs w:val="22"/>
          <w:shd w:val="clear" w:color="auto" w:fill="FFFFFF"/>
        </w:rPr>
        <w:t xml:space="preserve"> legal review </w:t>
      </w:r>
      <w:r w:rsidRPr="004251E4">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ab/>
        <w:t xml:space="preserve">x $66.54/hour = </w:t>
      </w:r>
      <w:r w:rsidRPr="004251E4">
        <w:rPr>
          <w:rFonts w:ascii="Times New Roman" w:hAnsi="Times New Roman"/>
          <w:color w:val="000000" w:themeColor="text1"/>
          <w:spacing w:val="-3"/>
          <w:sz w:val="22"/>
          <w:szCs w:val="22"/>
          <w:shd w:val="clear" w:color="auto" w:fill="FFFFFF"/>
        </w:rPr>
        <w:tab/>
        <w:t>$</w:t>
      </w:r>
      <w:r w:rsidRPr="004251E4" w:rsidR="00CC1579">
        <w:rPr>
          <w:rFonts w:ascii="Times New Roman" w:hAnsi="Times New Roman"/>
          <w:color w:val="000000" w:themeColor="text1"/>
          <w:spacing w:val="-3"/>
          <w:sz w:val="22"/>
          <w:szCs w:val="22"/>
          <w:shd w:val="clear" w:color="auto" w:fill="FFFFFF"/>
        </w:rPr>
        <w:t xml:space="preserve"> </w:t>
      </w:r>
      <w:r w:rsidRPr="004251E4">
        <w:rPr>
          <w:rFonts w:ascii="Times New Roman" w:hAnsi="Times New Roman"/>
          <w:color w:val="000000" w:themeColor="text1"/>
          <w:spacing w:val="-3"/>
          <w:sz w:val="22"/>
          <w:szCs w:val="22"/>
          <w:shd w:val="clear" w:color="auto" w:fill="FFFFFF"/>
        </w:rPr>
        <w:t xml:space="preserve"> 10,646.40</w:t>
      </w:r>
    </w:p>
    <w:p w:rsidRPr="004251E4" w:rsidR="00131B69" w:rsidP="00131B69" w:rsidRDefault="00131B69" w14:paraId="134B6ACA"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800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6 </w:t>
      </w:r>
      <w:proofErr w:type="spellStart"/>
      <w:r w:rsidRPr="004251E4">
        <w:rPr>
          <w:rFonts w:ascii="Times New Roman" w:hAnsi="Times New Roman"/>
          <w:color w:val="000000" w:themeColor="text1"/>
          <w:spacing w:val="-3"/>
          <w:sz w:val="22"/>
          <w:szCs w:val="22"/>
          <w:shd w:val="clear" w:color="auto" w:fill="FFFFFF"/>
        </w:rPr>
        <w:t>hrs</w:t>
      </w:r>
      <w:proofErr w:type="spellEnd"/>
      <w:r w:rsidRPr="004251E4">
        <w:rPr>
          <w:rFonts w:ascii="Times New Roman" w:hAnsi="Times New Roman"/>
          <w:color w:val="000000" w:themeColor="text1"/>
          <w:spacing w:val="-3"/>
          <w:sz w:val="22"/>
          <w:szCs w:val="22"/>
          <w:shd w:val="clear" w:color="auto" w:fill="FFFFFF"/>
        </w:rPr>
        <w:t xml:space="preserve"> engineering review </w:t>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w:t>
      </w:r>
      <w:r w:rsidRPr="004251E4" w:rsidR="00D13311">
        <w:rPr>
          <w:rFonts w:ascii="Times New Roman" w:hAnsi="Times New Roman"/>
          <w:color w:val="000000" w:themeColor="text1"/>
          <w:spacing w:val="-3"/>
          <w:sz w:val="22"/>
          <w:szCs w:val="22"/>
          <w:shd w:val="clear" w:color="auto" w:fill="FFFFFF"/>
        </w:rPr>
        <w:t>66.54</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B545F3">
        <w:rPr>
          <w:rFonts w:ascii="Times New Roman" w:hAnsi="Times New Roman"/>
          <w:color w:val="000000" w:themeColor="text1"/>
          <w:spacing w:val="-3"/>
          <w:sz w:val="22"/>
          <w:szCs w:val="22"/>
          <w:shd w:val="clear" w:color="auto" w:fill="FFFFFF"/>
        </w:rPr>
        <w:tab/>
        <w:t>$</w:t>
      </w:r>
      <w:r w:rsidRPr="004251E4" w:rsidR="00183834">
        <w:rPr>
          <w:rFonts w:ascii="Times New Roman" w:hAnsi="Times New Roman"/>
          <w:color w:val="000000" w:themeColor="text1"/>
          <w:spacing w:val="-3"/>
          <w:sz w:val="22"/>
          <w:szCs w:val="22"/>
          <w:shd w:val="clear" w:color="auto" w:fill="FFFFFF"/>
        </w:rPr>
        <w:t>319,392.00</w:t>
      </w:r>
    </w:p>
    <w:p w:rsidRPr="004251E4" w:rsidR="00131B69" w:rsidP="00131B69" w:rsidRDefault="00131B69" w14:paraId="4F4C802E"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800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6 </w:t>
      </w:r>
      <w:proofErr w:type="spellStart"/>
      <w:r w:rsidRPr="004251E4">
        <w:rPr>
          <w:rFonts w:ascii="Times New Roman" w:hAnsi="Times New Roman"/>
          <w:color w:val="000000" w:themeColor="text1"/>
          <w:spacing w:val="-3"/>
          <w:sz w:val="22"/>
          <w:szCs w:val="22"/>
          <w:shd w:val="clear" w:color="auto" w:fill="FFFFFF"/>
        </w:rPr>
        <w:t>hrs</w:t>
      </w:r>
      <w:proofErr w:type="spellEnd"/>
      <w:r w:rsidRPr="004251E4">
        <w:rPr>
          <w:rFonts w:ascii="Times New Roman" w:hAnsi="Times New Roman"/>
          <w:color w:val="000000" w:themeColor="text1"/>
          <w:spacing w:val="-3"/>
          <w:sz w:val="22"/>
          <w:szCs w:val="22"/>
          <w:shd w:val="clear" w:color="auto" w:fill="FFFFFF"/>
        </w:rPr>
        <w:t xml:space="preserve"> </w:t>
      </w:r>
      <w:r w:rsidRPr="004251E4" w:rsidR="00DC674E">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ED3CF8">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$3</w:t>
      </w:r>
      <w:r w:rsidRPr="004251E4" w:rsidR="00D13311">
        <w:rPr>
          <w:rFonts w:ascii="Times New Roman" w:hAnsi="Times New Roman"/>
          <w:color w:val="000000" w:themeColor="text1"/>
          <w:spacing w:val="-3"/>
          <w:sz w:val="22"/>
          <w:szCs w:val="22"/>
          <w:shd w:val="clear" w:color="auto" w:fill="FFFFFF"/>
        </w:rPr>
        <w:t>9.51</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B545F3">
        <w:rPr>
          <w:rFonts w:ascii="Times New Roman" w:hAnsi="Times New Roman"/>
          <w:color w:val="000000" w:themeColor="text1"/>
          <w:spacing w:val="-3"/>
          <w:sz w:val="22"/>
          <w:szCs w:val="22"/>
          <w:shd w:val="clear" w:color="auto" w:fill="FFFFFF"/>
        </w:rPr>
        <w:tab/>
        <w:t>$</w:t>
      </w:r>
      <w:r w:rsidRPr="004251E4" w:rsidR="00A81DCB">
        <w:rPr>
          <w:rFonts w:ascii="Times New Roman" w:hAnsi="Times New Roman"/>
          <w:color w:val="000000" w:themeColor="text1"/>
          <w:spacing w:val="-3"/>
          <w:sz w:val="22"/>
          <w:szCs w:val="22"/>
          <w:shd w:val="clear" w:color="auto" w:fill="FFFFFF"/>
        </w:rPr>
        <w:t>189,648.00</w:t>
      </w:r>
    </w:p>
    <w:p w:rsidRPr="004251E4" w:rsidR="00131B69" w:rsidP="00131B69" w:rsidRDefault="00131B69" w14:paraId="44DE3269" w14:textId="77777777">
      <w:pPr>
        <w:shd w:val="clear" w:color="auto" w:fill="FFFFFF"/>
        <w:tabs>
          <w:tab w:val="left" w:pos="-1440"/>
          <w:tab w:val="left" w:pos="-720"/>
          <w:tab w:val="left" w:pos="0"/>
          <w:tab w:val="left" w:pos="720"/>
          <w:tab w:val="left" w:pos="1440"/>
          <w:tab w:val="left" w:pos="2160"/>
          <w:tab w:val="left" w:pos="2880"/>
          <w:tab w:val="left" w:pos="3600"/>
          <w:tab w:val="left" w:pos="4320"/>
          <w:tab w:val="left" w:pos="4770"/>
          <w:tab w:val="left" w:pos="5760"/>
        </w:tabs>
        <w:suppressAutoHyphens/>
        <w:rPr>
          <w:rFonts w:ascii="Times New Roman" w:hAnsi="Times New Roman"/>
          <w:color w:val="000000" w:themeColor="text1"/>
          <w:spacing w:val="-3"/>
          <w:sz w:val="22"/>
          <w:szCs w:val="22"/>
          <w:shd w:val="clear" w:color="auto" w:fill="FFFFFF"/>
        </w:rPr>
      </w:pPr>
      <w:r w:rsidRPr="004251E4">
        <w:rPr>
          <w:rFonts w:ascii="Times New Roman" w:hAnsi="Times New Roman"/>
          <w:color w:val="000000" w:themeColor="text1"/>
          <w:spacing w:val="-3"/>
          <w:sz w:val="22"/>
          <w:szCs w:val="22"/>
          <w:shd w:val="clear" w:color="auto" w:fill="FFFFFF"/>
        </w:rPr>
        <w:t xml:space="preserve">800 applications </w:t>
      </w:r>
      <w:r w:rsidRPr="004251E4" w:rsidR="00ED3CF8">
        <w:rPr>
          <w:rFonts w:ascii="Times New Roman" w:hAnsi="Times New Roman"/>
          <w:color w:val="000000" w:themeColor="text1"/>
          <w:spacing w:val="-3"/>
          <w:sz w:val="22"/>
          <w:szCs w:val="22"/>
          <w:shd w:val="clear" w:color="auto" w:fill="FFFFFF"/>
        </w:rPr>
        <w:tab/>
      </w:r>
      <w:r w:rsidRPr="004251E4">
        <w:rPr>
          <w:rFonts w:ascii="Times New Roman" w:hAnsi="Times New Roman"/>
          <w:color w:val="000000" w:themeColor="text1"/>
          <w:spacing w:val="-3"/>
          <w:sz w:val="22"/>
          <w:szCs w:val="22"/>
          <w:shd w:val="clear" w:color="auto" w:fill="FFFFFF"/>
        </w:rPr>
        <w:t xml:space="preserve">x 2 </w:t>
      </w:r>
      <w:proofErr w:type="spellStart"/>
      <w:r w:rsidRPr="004251E4">
        <w:rPr>
          <w:rFonts w:ascii="Times New Roman" w:hAnsi="Times New Roman"/>
          <w:color w:val="000000" w:themeColor="text1"/>
          <w:spacing w:val="-3"/>
          <w:sz w:val="22"/>
          <w:szCs w:val="22"/>
          <w:shd w:val="clear" w:color="auto" w:fill="FFFFFF"/>
        </w:rPr>
        <w:t>hrs</w:t>
      </w:r>
      <w:proofErr w:type="spellEnd"/>
      <w:r w:rsidRPr="004251E4" w:rsidR="00DC674E">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ED3CF8">
        <w:rPr>
          <w:rFonts w:ascii="Times New Roman" w:hAnsi="Times New Roman"/>
          <w:color w:val="000000" w:themeColor="text1"/>
          <w:spacing w:val="-3"/>
          <w:sz w:val="22"/>
          <w:szCs w:val="22"/>
          <w:shd w:val="clear" w:color="auto" w:fill="FFFFFF"/>
        </w:rPr>
        <w:tab/>
      </w:r>
      <w:r w:rsidRPr="004251E4" w:rsidR="00DC674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shd w:val="clear" w:color="auto" w:fill="FFFFFF"/>
        </w:rPr>
        <w:t>x $2</w:t>
      </w:r>
      <w:r w:rsidRPr="004251E4" w:rsidR="00D13311">
        <w:rPr>
          <w:rFonts w:ascii="Times New Roman" w:hAnsi="Times New Roman"/>
          <w:color w:val="000000" w:themeColor="text1"/>
          <w:spacing w:val="-3"/>
          <w:sz w:val="22"/>
          <w:szCs w:val="22"/>
          <w:shd w:val="clear" w:color="auto" w:fill="FFFFFF"/>
        </w:rPr>
        <w:t>1.55</w:t>
      </w:r>
      <w:r w:rsidRPr="004251E4">
        <w:rPr>
          <w:rFonts w:ascii="Times New Roman" w:hAnsi="Times New Roman"/>
          <w:color w:val="000000" w:themeColor="text1"/>
          <w:spacing w:val="-3"/>
          <w:sz w:val="22"/>
          <w:szCs w:val="22"/>
          <w:shd w:val="clear" w:color="auto" w:fill="FFFFFF"/>
        </w:rPr>
        <w:t>/hour</w:t>
      </w:r>
      <w:r w:rsidRPr="004251E4" w:rsidR="00ED3CF8">
        <w:rPr>
          <w:rFonts w:ascii="Times New Roman" w:hAnsi="Times New Roman"/>
          <w:color w:val="000000" w:themeColor="text1"/>
          <w:spacing w:val="-3"/>
          <w:sz w:val="22"/>
          <w:szCs w:val="22"/>
          <w:shd w:val="clear" w:color="auto" w:fill="FFFFFF"/>
        </w:rPr>
        <w:t xml:space="preserve"> = </w:t>
      </w:r>
      <w:r w:rsidRPr="004251E4" w:rsidR="007E677E">
        <w:rPr>
          <w:rFonts w:ascii="Times New Roman" w:hAnsi="Times New Roman"/>
          <w:color w:val="000000" w:themeColor="text1"/>
          <w:spacing w:val="-3"/>
          <w:sz w:val="22"/>
          <w:szCs w:val="22"/>
          <w:shd w:val="clear" w:color="auto" w:fill="FFFFFF"/>
        </w:rPr>
        <w:tab/>
      </w:r>
      <w:r w:rsidRPr="004251E4" w:rsidR="00B545F3">
        <w:rPr>
          <w:rFonts w:ascii="Times New Roman" w:hAnsi="Times New Roman"/>
          <w:color w:val="000000" w:themeColor="text1"/>
          <w:spacing w:val="-3"/>
          <w:sz w:val="22"/>
          <w:szCs w:val="22"/>
          <w:u w:val="single"/>
          <w:shd w:val="clear" w:color="auto" w:fill="FFFFFF"/>
        </w:rPr>
        <w:t xml:space="preserve">$  </w:t>
      </w:r>
      <w:r w:rsidRPr="004251E4" w:rsidR="00183834">
        <w:rPr>
          <w:rFonts w:ascii="Times New Roman" w:hAnsi="Times New Roman"/>
          <w:color w:val="000000" w:themeColor="text1"/>
          <w:spacing w:val="-3"/>
          <w:sz w:val="22"/>
          <w:szCs w:val="22"/>
          <w:u w:val="single"/>
          <w:shd w:val="clear" w:color="auto" w:fill="FFFFFF"/>
        </w:rPr>
        <w:t>34,480.00</w:t>
      </w:r>
    </w:p>
    <w:p w:rsidRPr="004251E4" w:rsidR="00E85394" w:rsidP="008A32DD" w:rsidRDefault="007E677E" w14:paraId="1B40CDD9" w14:textId="1A961292">
      <w:pPr>
        <w:rPr>
          <w:rFonts w:ascii="Times New Roman" w:hAnsi="Times New Roman"/>
          <w:b/>
          <w:color w:val="000000" w:themeColor="text1"/>
          <w:spacing w:val="-3"/>
          <w:sz w:val="22"/>
          <w:szCs w:val="22"/>
        </w:rPr>
      </w:pPr>
      <w:r w:rsidRPr="004251E4">
        <w:rPr>
          <w:rFonts w:ascii="Times New Roman" w:hAnsi="Times New Roman"/>
          <w:b/>
          <w:color w:val="000000" w:themeColor="text1"/>
          <w:spacing w:val="-3"/>
          <w:sz w:val="22"/>
          <w:szCs w:val="22"/>
        </w:rPr>
        <w:t>Cost to the Federal Government:</w:t>
      </w:r>
      <w:r w:rsidRPr="004251E4">
        <w:rPr>
          <w:rFonts w:ascii="Times New Roman" w:hAnsi="Times New Roman"/>
          <w:color w:val="000000" w:themeColor="text1"/>
          <w:spacing w:val="-3"/>
          <w:sz w:val="22"/>
          <w:szCs w:val="22"/>
        </w:rPr>
        <w:tab/>
      </w:r>
      <w:r w:rsidRPr="004251E4">
        <w:rPr>
          <w:rFonts w:ascii="Times New Roman" w:hAnsi="Times New Roman"/>
          <w:color w:val="000000" w:themeColor="text1"/>
          <w:spacing w:val="-3"/>
          <w:sz w:val="22"/>
          <w:szCs w:val="22"/>
        </w:rPr>
        <w:tab/>
      </w:r>
      <w:r w:rsidRPr="004251E4">
        <w:rPr>
          <w:rFonts w:ascii="Times New Roman" w:hAnsi="Times New Roman"/>
          <w:color w:val="000000" w:themeColor="text1"/>
          <w:spacing w:val="-3"/>
          <w:sz w:val="22"/>
          <w:szCs w:val="22"/>
        </w:rPr>
        <w:tab/>
      </w:r>
      <w:r w:rsidRPr="004251E4">
        <w:rPr>
          <w:rFonts w:ascii="Times New Roman" w:hAnsi="Times New Roman"/>
          <w:color w:val="000000" w:themeColor="text1"/>
          <w:spacing w:val="-3"/>
          <w:sz w:val="22"/>
          <w:szCs w:val="22"/>
        </w:rPr>
        <w:tab/>
      </w:r>
      <w:r w:rsidRPr="004251E4">
        <w:rPr>
          <w:rFonts w:ascii="Times New Roman" w:hAnsi="Times New Roman"/>
          <w:color w:val="000000" w:themeColor="text1"/>
          <w:spacing w:val="-3"/>
          <w:sz w:val="22"/>
          <w:szCs w:val="22"/>
        </w:rPr>
        <w:tab/>
      </w:r>
      <w:r w:rsidRPr="004251E4" w:rsidR="00B545F3">
        <w:rPr>
          <w:rFonts w:ascii="Times New Roman" w:hAnsi="Times New Roman"/>
          <w:b/>
          <w:color w:val="000000" w:themeColor="text1"/>
          <w:spacing w:val="-3"/>
          <w:sz w:val="22"/>
          <w:szCs w:val="22"/>
        </w:rPr>
        <w:t>$</w:t>
      </w:r>
      <w:r w:rsidRPr="004251E4" w:rsidR="00A27B2A">
        <w:rPr>
          <w:rFonts w:ascii="Times New Roman" w:hAnsi="Times New Roman"/>
          <w:b/>
          <w:color w:val="000000" w:themeColor="text1"/>
          <w:spacing w:val="-3"/>
          <w:sz w:val="22"/>
          <w:szCs w:val="22"/>
        </w:rPr>
        <w:t>796</w:t>
      </w:r>
      <w:r w:rsidRPr="004251E4" w:rsidR="00A81DCB">
        <w:rPr>
          <w:rFonts w:ascii="Times New Roman" w:hAnsi="Times New Roman"/>
          <w:b/>
          <w:color w:val="000000" w:themeColor="text1"/>
          <w:spacing w:val="-3"/>
          <w:sz w:val="22"/>
          <w:szCs w:val="22"/>
        </w:rPr>
        <w:t>,</w:t>
      </w:r>
      <w:r w:rsidRPr="004251E4" w:rsidR="00A27B2A">
        <w:rPr>
          <w:rFonts w:ascii="Times New Roman" w:hAnsi="Times New Roman"/>
          <w:b/>
          <w:color w:val="000000" w:themeColor="text1"/>
          <w:spacing w:val="-3"/>
          <w:sz w:val="22"/>
          <w:szCs w:val="22"/>
        </w:rPr>
        <w:t>371</w:t>
      </w:r>
      <w:r w:rsidRPr="004251E4" w:rsidR="00A81DCB">
        <w:rPr>
          <w:rFonts w:ascii="Times New Roman" w:hAnsi="Times New Roman"/>
          <w:b/>
          <w:color w:val="000000" w:themeColor="text1"/>
          <w:spacing w:val="-3"/>
          <w:sz w:val="22"/>
          <w:szCs w:val="22"/>
        </w:rPr>
        <w:t>.</w:t>
      </w:r>
      <w:r w:rsidRPr="004251E4" w:rsidR="00CC1579">
        <w:rPr>
          <w:rFonts w:ascii="Times New Roman" w:hAnsi="Times New Roman"/>
          <w:b/>
          <w:color w:val="000000" w:themeColor="text1"/>
          <w:spacing w:val="-3"/>
          <w:sz w:val="22"/>
          <w:szCs w:val="22"/>
        </w:rPr>
        <w:t>0</w:t>
      </w:r>
      <w:r w:rsidRPr="004251E4" w:rsidR="00A81DCB">
        <w:rPr>
          <w:rFonts w:ascii="Times New Roman" w:hAnsi="Times New Roman"/>
          <w:b/>
          <w:color w:val="000000" w:themeColor="text1"/>
          <w:spacing w:val="-3"/>
          <w:sz w:val="22"/>
          <w:szCs w:val="22"/>
        </w:rPr>
        <w:t>0</w:t>
      </w:r>
    </w:p>
    <w:p w:rsidRPr="004251E4" w:rsidR="00ED3CF8" w:rsidP="008A32DD" w:rsidRDefault="00ED3CF8" w14:paraId="2025C04C" w14:textId="77777777">
      <w:pPr>
        <w:rPr>
          <w:rFonts w:ascii="Times New Roman" w:hAnsi="Times New Roman"/>
          <w:color w:val="000000" w:themeColor="text1"/>
          <w:spacing w:val="-3"/>
          <w:sz w:val="22"/>
          <w:szCs w:val="22"/>
        </w:rPr>
      </w:pPr>
    </w:p>
    <w:p w:rsidRPr="004251E4" w:rsidR="00747D1B" w:rsidP="003A2CE0" w:rsidRDefault="008A32DD" w14:paraId="64A960E6" w14:textId="77777777">
      <w:pPr>
        <w:rPr>
          <w:rFonts w:ascii="Times New Roman" w:hAnsi="Times New Roman"/>
          <w:bCs/>
          <w:color w:val="000000" w:themeColor="text1"/>
          <w:spacing w:val="-3"/>
          <w:sz w:val="22"/>
          <w:szCs w:val="22"/>
        </w:rPr>
      </w:pPr>
      <w:r w:rsidRPr="004251E4">
        <w:rPr>
          <w:rFonts w:ascii="Times New Roman" w:hAnsi="Times New Roman"/>
          <w:b/>
          <w:bCs/>
          <w:color w:val="000000" w:themeColor="text1"/>
          <w:spacing w:val="-3"/>
          <w:sz w:val="22"/>
          <w:szCs w:val="22"/>
        </w:rPr>
        <w:t>15.</w:t>
      </w:r>
      <w:r w:rsidRPr="004251E4">
        <w:rPr>
          <w:rFonts w:ascii="Times New Roman" w:hAnsi="Times New Roman"/>
          <w:b/>
          <w:color w:val="000000" w:themeColor="text1"/>
          <w:spacing w:val="-3"/>
          <w:sz w:val="22"/>
          <w:szCs w:val="22"/>
        </w:rPr>
        <w:t xml:space="preserve">  </w:t>
      </w:r>
      <w:r w:rsidRPr="004251E4" w:rsidR="00A81DCB">
        <w:rPr>
          <w:rFonts w:ascii="Times New Roman" w:hAnsi="Times New Roman"/>
          <w:bCs/>
          <w:color w:val="000000" w:themeColor="text1"/>
          <w:spacing w:val="-3"/>
          <w:sz w:val="22"/>
          <w:szCs w:val="22"/>
        </w:rPr>
        <w:t xml:space="preserve">There are program changes </w:t>
      </w:r>
      <w:r w:rsidRPr="004251E4" w:rsidR="00720FB0">
        <w:rPr>
          <w:rFonts w:ascii="Times New Roman" w:hAnsi="Times New Roman"/>
          <w:bCs/>
          <w:color w:val="000000" w:themeColor="text1"/>
          <w:spacing w:val="-3"/>
          <w:sz w:val="22"/>
          <w:szCs w:val="22"/>
        </w:rPr>
        <w:t xml:space="preserve">to this collection </w:t>
      </w:r>
      <w:r w:rsidRPr="004251E4" w:rsidR="00747D1B">
        <w:rPr>
          <w:rFonts w:ascii="Times New Roman" w:hAnsi="Times New Roman"/>
          <w:bCs/>
          <w:color w:val="000000" w:themeColor="text1"/>
          <w:spacing w:val="-3"/>
          <w:sz w:val="22"/>
          <w:szCs w:val="22"/>
        </w:rPr>
        <w:t>and the following figures will be added to OMB’s inventory if the information collection requirements are adopted as proposed in FCC 21-116:  92 to the number of respondents, 6,500 to the annual number of responses, 248 to the annual burden hours and $16,500 to the annual cost</w:t>
      </w:r>
      <w:r w:rsidRPr="004251E4" w:rsidR="00A81DCB">
        <w:rPr>
          <w:rFonts w:ascii="Times New Roman" w:hAnsi="Times New Roman"/>
          <w:bCs/>
          <w:color w:val="000000" w:themeColor="text1"/>
          <w:spacing w:val="-3"/>
          <w:sz w:val="22"/>
          <w:szCs w:val="22"/>
        </w:rPr>
        <w:t>.</w:t>
      </w:r>
    </w:p>
    <w:p w:rsidRPr="004251E4" w:rsidR="00747D1B" w:rsidP="003A2CE0" w:rsidRDefault="00747D1B" w14:paraId="362EC15D" w14:textId="77777777">
      <w:pPr>
        <w:rPr>
          <w:rFonts w:ascii="Times New Roman" w:hAnsi="Times New Roman"/>
          <w:bCs/>
          <w:color w:val="000000" w:themeColor="text1"/>
          <w:spacing w:val="-3"/>
          <w:sz w:val="22"/>
          <w:szCs w:val="22"/>
        </w:rPr>
      </w:pPr>
    </w:p>
    <w:p w:rsidRPr="004251E4" w:rsidR="003A2CE0" w:rsidP="003A2CE0" w:rsidRDefault="00747D1B" w14:paraId="634EDB81" w14:textId="74F816E1">
      <w:pPr>
        <w:rPr>
          <w:rFonts w:ascii="Times New Roman" w:hAnsi="Times New Roman"/>
          <w:b/>
          <w:color w:val="000000" w:themeColor="text1"/>
          <w:spacing w:val="-3"/>
          <w:sz w:val="22"/>
          <w:szCs w:val="22"/>
        </w:rPr>
      </w:pPr>
      <w:r w:rsidRPr="004251E4">
        <w:rPr>
          <w:rFonts w:ascii="Times New Roman" w:hAnsi="Times New Roman"/>
          <w:bCs/>
          <w:color w:val="000000" w:themeColor="text1"/>
          <w:spacing w:val="-3"/>
          <w:sz w:val="22"/>
          <w:szCs w:val="22"/>
        </w:rPr>
        <w:t>There are no adjustments to this collection.</w:t>
      </w:r>
      <w:r w:rsidRPr="004251E4" w:rsidR="00A81DCB">
        <w:rPr>
          <w:rFonts w:ascii="Times New Roman" w:hAnsi="Times New Roman"/>
          <w:b/>
          <w:color w:val="000000" w:themeColor="text1"/>
          <w:spacing w:val="-3"/>
          <w:sz w:val="22"/>
          <w:szCs w:val="22"/>
        </w:rPr>
        <w:t xml:space="preserve">  </w:t>
      </w:r>
    </w:p>
    <w:p w:rsidRPr="004251E4" w:rsidR="00A81DCB" w:rsidP="003A2CE0" w:rsidRDefault="00A81DCB" w14:paraId="6347D108" w14:textId="77777777">
      <w:pPr>
        <w:rPr>
          <w:rFonts w:ascii="Times New Roman" w:hAnsi="Times New Roman"/>
          <w:color w:val="000000" w:themeColor="text1"/>
          <w:spacing w:val="-3"/>
          <w:sz w:val="22"/>
          <w:szCs w:val="22"/>
        </w:rPr>
      </w:pPr>
    </w:p>
    <w:p w:rsidRPr="004251E4" w:rsidR="008A32DD" w:rsidP="003A2CE0" w:rsidRDefault="008A32DD" w14:paraId="552B12B2" w14:textId="77777777">
      <w:pPr>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 xml:space="preserve">16. </w:t>
      </w:r>
      <w:r w:rsidRPr="004251E4">
        <w:rPr>
          <w:rFonts w:ascii="Times New Roman" w:hAnsi="Times New Roman"/>
          <w:color w:val="000000" w:themeColor="text1"/>
          <w:spacing w:val="-3"/>
          <w:sz w:val="22"/>
          <w:szCs w:val="22"/>
        </w:rPr>
        <w:t xml:space="preserve"> </w:t>
      </w:r>
      <w:r w:rsidRPr="004251E4" w:rsidR="00784CD2">
        <w:rPr>
          <w:rFonts w:ascii="Times New Roman" w:hAnsi="Times New Roman"/>
          <w:color w:val="000000" w:themeColor="text1"/>
          <w:spacing w:val="-3"/>
          <w:sz w:val="22"/>
          <w:szCs w:val="22"/>
        </w:rPr>
        <w:t xml:space="preserve">No </w:t>
      </w:r>
      <w:r w:rsidRPr="004251E4">
        <w:rPr>
          <w:rFonts w:ascii="Times New Roman" w:hAnsi="Times New Roman"/>
          <w:color w:val="000000" w:themeColor="text1"/>
          <w:spacing w:val="-3"/>
          <w:sz w:val="22"/>
          <w:szCs w:val="22"/>
        </w:rPr>
        <w:t xml:space="preserve">data will be </w:t>
      </w:r>
      <w:r w:rsidRPr="004251E4" w:rsidR="0056567F">
        <w:rPr>
          <w:rFonts w:ascii="Times New Roman" w:hAnsi="Times New Roman"/>
          <w:color w:val="000000" w:themeColor="text1"/>
          <w:spacing w:val="-3"/>
          <w:sz w:val="22"/>
          <w:szCs w:val="22"/>
        </w:rPr>
        <w:t xml:space="preserve">publically available on </w:t>
      </w:r>
      <w:r w:rsidRPr="004251E4" w:rsidR="00784CD2">
        <w:rPr>
          <w:rFonts w:ascii="Times New Roman" w:hAnsi="Times New Roman"/>
          <w:color w:val="000000" w:themeColor="text1"/>
          <w:spacing w:val="-3"/>
          <w:sz w:val="22"/>
          <w:szCs w:val="22"/>
        </w:rPr>
        <w:t xml:space="preserve">an </w:t>
      </w:r>
      <w:r w:rsidRPr="004251E4" w:rsidR="0056567F">
        <w:rPr>
          <w:rFonts w:ascii="Times New Roman" w:hAnsi="Times New Roman"/>
          <w:color w:val="000000" w:themeColor="text1"/>
          <w:spacing w:val="-3"/>
          <w:sz w:val="22"/>
          <w:szCs w:val="22"/>
        </w:rPr>
        <w:t>FCC database</w:t>
      </w:r>
      <w:r w:rsidRPr="004251E4">
        <w:rPr>
          <w:rFonts w:ascii="Times New Roman" w:hAnsi="Times New Roman"/>
          <w:color w:val="000000" w:themeColor="text1"/>
          <w:spacing w:val="-3"/>
          <w:sz w:val="22"/>
          <w:szCs w:val="22"/>
        </w:rPr>
        <w:t xml:space="preserve">. </w:t>
      </w:r>
    </w:p>
    <w:p w:rsidRPr="004251E4" w:rsidR="000349B6" w:rsidP="008A32DD" w:rsidRDefault="000349B6" w14:paraId="70791AFE" w14:textId="77777777">
      <w:pPr>
        <w:suppressAutoHyphens/>
        <w:jc w:val="both"/>
        <w:rPr>
          <w:rFonts w:ascii="Times New Roman" w:hAnsi="Times New Roman"/>
          <w:b/>
          <w:color w:val="000000" w:themeColor="text1"/>
          <w:spacing w:val="-3"/>
          <w:sz w:val="22"/>
          <w:szCs w:val="22"/>
        </w:rPr>
      </w:pPr>
    </w:p>
    <w:p w:rsidRPr="004251E4" w:rsidR="008A32DD" w:rsidP="008A32DD" w:rsidRDefault="008A32DD" w14:paraId="710D646D" w14:textId="77777777">
      <w:pPr>
        <w:suppressAutoHyphens/>
        <w:jc w:val="both"/>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 xml:space="preserve">17. </w:t>
      </w:r>
      <w:r w:rsidRPr="004251E4" w:rsidR="003F33F1">
        <w:rPr>
          <w:rFonts w:ascii="Times New Roman" w:hAnsi="Times New Roman"/>
          <w:b/>
          <w:color w:val="000000" w:themeColor="text1"/>
          <w:spacing w:val="-3"/>
          <w:sz w:val="22"/>
          <w:szCs w:val="22"/>
        </w:rPr>
        <w:t xml:space="preserve"> </w:t>
      </w:r>
      <w:r w:rsidRPr="004251E4">
        <w:rPr>
          <w:rFonts w:ascii="Times New Roman" w:hAnsi="Times New Roman"/>
          <w:color w:val="000000" w:themeColor="text1"/>
          <w:spacing w:val="-3"/>
          <w:sz w:val="22"/>
          <w:szCs w:val="22"/>
        </w:rPr>
        <w:t>OMB approval of the expiration of the information collection will be displayed at 47 C.F.R. Section 0.408.</w:t>
      </w:r>
    </w:p>
    <w:p w:rsidRPr="004251E4" w:rsidR="008A32DD" w:rsidP="008A32DD" w:rsidRDefault="008A32DD" w14:paraId="29D2A801" w14:textId="77777777">
      <w:pPr>
        <w:suppressAutoHyphens/>
        <w:jc w:val="both"/>
        <w:rPr>
          <w:rFonts w:ascii="Times New Roman" w:hAnsi="Times New Roman"/>
          <w:color w:val="000000" w:themeColor="text1"/>
          <w:spacing w:val="-3"/>
          <w:sz w:val="22"/>
          <w:szCs w:val="22"/>
        </w:rPr>
      </w:pPr>
    </w:p>
    <w:p w:rsidRPr="004251E4" w:rsidR="008A32DD" w:rsidP="00456735" w:rsidRDefault="008A32DD" w14:paraId="1183F254" w14:textId="77777777">
      <w:pPr>
        <w:suppressAutoHyphens/>
        <w:rPr>
          <w:rFonts w:ascii="Times New Roman" w:hAnsi="Times New Roman"/>
          <w:color w:val="000000" w:themeColor="text1"/>
          <w:spacing w:val="-3"/>
          <w:sz w:val="22"/>
          <w:szCs w:val="22"/>
        </w:rPr>
      </w:pPr>
      <w:r w:rsidRPr="004251E4">
        <w:rPr>
          <w:rFonts w:ascii="Times New Roman" w:hAnsi="Times New Roman"/>
          <w:b/>
          <w:color w:val="000000" w:themeColor="text1"/>
          <w:spacing w:val="-3"/>
          <w:sz w:val="22"/>
          <w:szCs w:val="22"/>
        </w:rPr>
        <w:t>18.</w:t>
      </w:r>
      <w:r w:rsidRPr="004251E4">
        <w:rPr>
          <w:rFonts w:ascii="Times New Roman" w:hAnsi="Times New Roman"/>
          <w:color w:val="000000" w:themeColor="text1"/>
          <w:spacing w:val="-3"/>
          <w:sz w:val="22"/>
          <w:szCs w:val="22"/>
        </w:rPr>
        <w:t xml:space="preserve">  </w:t>
      </w:r>
      <w:r w:rsidRPr="004251E4" w:rsidR="00456735">
        <w:rPr>
          <w:rFonts w:ascii="Times New Roman" w:hAnsi="Times New Roman"/>
          <w:color w:val="000000" w:themeColor="text1"/>
          <w:spacing w:val="-3"/>
          <w:sz w:val="22"/>
          <w:szCs w:val="22"/>
        </w:rPr>
        <w:t xml:space="preserve">There </w:t>
      </w:r>
      <w:r w:rsidRPr="004251E4">
        <w:rPr>
          <w:rFonts w:ascii="Times New Roman" w:hAnsi="Times New Roman"/>
          <w:color w:val="000000" w:themeColor="text1"/>
          <w:spacing w:val="-3"/>
          <w:sz w:val="22"/>
          <w:szCs w:val="22"/>
        </w:rPr>
        <w:t>are no exceptions to the Certification Statement</w:t>
      </w:r>
      <w:r w:rsidRPr="004251E4" w:rsidR="00EE5F65">
        <w:rPr>
          <w:rFonts w:ascii="Times New Roman" w:hAnsi="Times New Roman"/>
          <w:color w:val="000000" w:themeColor="text1"/>
          <w:spacing w:val="-3"/>
          <w:sz w:val="22"/>
          <w:szCs w:val="22"/>
        </w:rPr>
        <w:t>.</w:t>
      </w:r>
      <w:r w:rsidRPr="004251E4" w:rsidR="00FC7F96">
        <w:rPr>
          <w:rFonts w:ascii="Times New Roman" w:hAnsi="Times New Roman"/>
          <w:color w:val="000000" w:themeColor="text1"/>
          <w:spacing w:val="-3"/>
          <w:sz w:val="22"/>
          <w:szCs w:val="22"/>
        </w:rPr>
        <w:t xml:space="preserve">  </w:t>
      </w:r>
    </w:p>
    <w:p w:rsidRPr="004251E4" w:rsidR="008A32DD" w:rsidP="008A32DD" w:rsidRDefault="008A32DD" w14:paraId="0DF42A54" w14:textId="77777777">
      <w:pPr>
        <w:suppressAutoHyphens/>
        <w:jc w:val="both"/>
        <w:rPr>
          <w:rFonts w:ascii="Times New Roman" w:hAnsi="Times New Roman"/>
          <w:color w:val="000000" w:themeColor="text1"/>
          <w:spacing w:val="-3"/>
          <w:sz w:val="22"/>
          <w:szCs w:val="22"/>
        </w:rPr>
      </w:pPr>
    </w:p>
    <w:p w:rsidRPr="004251E4" w:rsidR="008A32DD" w:rsidP="008A32DD" w:rsidRDefault="008A32DD" w14:paraId="6B0899A0" w14:textId="77777777">
      <w:pPr>
        <w:suppressAutoHyphens/>
        <w:jc w:val="both"/>
        <w:rPr>
          <w:rFonts w:ascii="Times New Roman" w:hAnsi="Times New Roman"/>
          <w:b/>
          <w:color w:val="000000" w:themeColor="text1"/>
          <w:spacing w:val="-3"/>
          <w:sz w:val="22"/>
          <w:szCs w:val="22"/>
          <w:u w:val="single"/>
        </w:rPr>
      </w:pPr>
      <w:r w:rsidRPr="004251E4">
        <w:rPr>
          <w:rFonts w:ascii="Times New Roman" w:hAnsi="Times New Roman"/>
          <w:b/>
          <w:color w:val="000000" w:themeColor="text1"/>
          <w:spacing w:val="-3"/>
          <w:sz w:val="22"/>
          <w:szCs w:val="22"/>
          <w:u w:val="single"/>
        </w:rPr>
        <w:t>B.</w:t>
      </w:r>
      <w:r w:rsidRPr="004251E4">
        <w:rPr>
          <w:rFonts w:ascii="Times New Roman" w:hAnsi="Times New Roman"/>
          <w:b/>
          <w:color w:val="000000" w:themeColor="text1"/>
          <w:spacing w:val="-3"/>
          <w:sz w:val="22"/>
          <w:szCs w:val="22"/>
          <w:u w:val="single"/>
        </w:rPr>
        <w:tab/>
        <w:t>Collections of Information Employing Statistical Methods</w:t>
      </w:r>
    </w:p>
    <w:p w:rsidRPr="004251E4" w:rsidR="008A32DD" w:rsidP="008A32DD" w:rsidRDefault="008A32DD" w14:paraId="43FA8968" w14:textId="77777777">
      <w:pPr>
        <w:suppressAutoHyphens/>
        <w:jc w:val="both"/>
        <w:rPr>
          <w:rFonts w:ascii="Times New Roman" w:hAnsi="Times New Roman"/>
          <w:b/>
          <w:color w:val="000000" w:themeColor="text1"/>
          <w:spacing w:val="-3"/>
          <w:sz w:val="22"/>
          <w:szCs w:val="22"/>
        </w:rPr>
      </w:pPr>
    </w:p>
    <w:p w:rsidRPr="004251E4" w:rsidR="008A32DD" w:rsidP="008A32DD" w:rsidRDefault="008A32DD" w14:paraId="7D764567" w14:textId="77777777">
      <w:pPr>
        <w:suppressAutoHyphens/>
        <w:jc w:val="both"/>
        <w:rPr>
          <w:rFonts w:ascii="Times New Roman" w:hAnsi="Times New Roman"/>
          <w:color w:val="000000" w:themeColor="text1"/>
          <w:spacing w:val="-3"/>
          <w:sz w:val="22"/>
          <w:szCs w:val="22"/>
        </w:rPr>
      </w:pPr>
      <w:r w:rsidRPr="004251E4">
        <w:rPr>
          <w:rFonts w:ascii="Times New Roman" w:hAnsi="Times New Roman"/>
          <w:color w:val="000000" w:themeColor="text1"/>
          <w:spacing w:val="-3"/>
          <w:sz w:val="22"/>
          <w:szCs w:val="22"/>
        </w:rPr>
        <w:t>No statistical methods are employed.</w:t>
      </w:r>
    </w:p>
    <w:p w:rsidRPr="004251E4" w:rsidR="00AE384B" w:rsidRDefault="00AE384B" w14:paraId="3D516C77" w14:textId="77777777">
      <w:pPr>
        <w:suppressAutoHyphens/>
        <w:rPr>
          <w:rFonts w:ascii="Times New Roman" w:hAnsi="Times New Roman"/>
          <w:color w:val="000000" w:themeColor="text1"/>
          <w:spacing w:val="-3"/>
          <w:sz w:val="22"/>
          <w:szCs w:val="22"/>
        </w:rPr>
      </w:pPr>
    </w:p>
    <w:sectPr w:rsidRPr="004251E4" w:rsidR="00AE384B" w:rsidSect="0073299F">
      <w:headerReference w:type="default" r:id="rId8"/>
      <w:footerReference w:type="even" r:id="rId9"/>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100E5" w14:textId="77777777" w:rsidR="005E1DC1" w:rsidRDefault="005E1DC1">
      <w:pPr>
        <w:spacing w:line="20" w:lineRule="exact"/>
      </w:pPr>
    </w:p>
  </w:endnote>
  <w:endnote w:type="continuationSeparator" w:id="0">
    <w:p w14:paraId="72C3462E" w14:textId="77777777" w:rsidR="005E1DC1" w:rsidRDefault="005E1DC1">
      <w:r>
        <w:t xml:space="preserve"> </w:t>
      </w:r>
    </w:p>
  </w:endnote>
  <w:endnote w:type="continuationNotice" w:id="1">
    <w:p w14:paraId="614AFA7B" w14:textId="77777777" w:rsidR="005E1DC1" w:rsidRDefault="005E1D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13F0E" w14:textId="77777777" w:rsidR="005E1DC1" w:rsidRDefault="005E1D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CE330" w14:textId="77777777" w:rsidR="005E1DC1" w:rsidRDefault="005E1DC1">
    <w:pPr>
      <w:pStyle w:val="Footer"/>
    </w:pPr>
  </w:p>
  <w:p w14:paraId="14A47FE2" w14:textId="77777777" w:rsidR="005E1DC1" w:rsidRDefault="005E1D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AE85E" w14:textId="77777777" w:rsidR="005E1DC1" w:rsidRDefault="005E1DC1">
      <w:r>
        <w:separator/>
      </w:r>
    </w:p>
  </w:footnote>
  <w:footnote w:type="continuationSeparator" w:id="0">
    <w:p w14:paraId="11AA8419" w14:textId="77777777" w:rsidR="005E1DC1" w:rsidRDefault="005E1DC1">
      <w:r>
        <w:continuationSeparator/>
      </w:r>
    </w:p>
  </w:footnote>
  <w:footnote w:id="1">
    <w:p w14:paraId="6ADEA2C8" w14:textId="77777777" w:rsidR="005E1DC1" w:rsidRPr="0097289C" w:rsidRDefault="005E1DC1" w:rsidP="00936059">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We note that a Next Gen TV station’s ATSC 3.0 license application (Form 2100) is available through the Commission’s Licensing and Management System (LMS).</w:t>
      </w:r>
    </w:p>
  </w:footnote>
  <w:footnote w:id="2">
    <w:p w14:paraId="0E263880" w14:textId="77777777" w:rsidR="005E1DC1" w:rsidRPr="0097289C" w:rsidRDefault="005E1DC1">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Schedule B – Full Power License to cover application (OMB control number 3060-0837); Schedule D – LPTV/Translator License to cover application (OMB control number 3060-0017); and Schedule F – Class A License to cover application (OMB control number 3060-0928).  </w:t>
      </w:r>
      <w:bookmarkStart w:id="0" w:name="_Hlk507612167"/>
      <w:r w:rsidRPr="0097289C">
        <w:rPr>
          <w:rFonts w:ascii="Times New Roman" w:hAnsi="Times New Roman"/>
          <w:sz w:val="18"/>
          <w:szCs w:val="18"/>
        </w:rPr>
        <w:t>The Commission will submit the final versions of FCC Form 2100, Schedules B, D and F under their appropriate OMB control numbers to OMB for its files once issues have been worked out with the IT contractor.</w:t>
      </w:r>
    </w:p>
    <w:bookmarkEnd w:id="0"/>
  </w:footnote>
  <w:footnote w:id="3">
    <w:p w14:paraId="6B524FDA" w14:textId="77777777" w:rsidR="005E1DC1" w:rsidRPr="0097289C" w:rsidRDefault="005E1DC1" w:rsidP="00BB0262">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w:t>
      </w:r>
      <w:r w:rsidRPr="0097289C">
        <w:rPr>
          <w:rFonts w:ascii="Times New Roman" w:hAnsi="Times New Roman"/>
          <w:i/>
          <w:sz w:val="18"/>
          <w:szCs w:val="18"/>
        </w:rPr>
        <w:t>Authorizing Permissive Use of the “Next Generation” Broadcast Television Standard</w:t>
      </w:r>
      <w:r w:rsidRPr="0097289C">
        <w:rPr>
          <w:rFonts w:ascii="Times New Roman" w:hAnsi="Times New Roman"/>
          <w:sz w:val="18"/>
          <w:szCs w:val="18"/>
        </w:rPr>
        <w:t>, GN Docket No. 16-142, Report and Order and Further Notice of Proposed Rulemaking, FCC 17-158 (rel. Nov. 20, 2017) (</w:t>
      </w:r>
      <w:r w:rsidRPr="0097289C">
        <w:rPr>
          <w:rFonts w:ascii="Times New Roman" w:hAnsi="Times New Roman"/>
          <w:i/>
          <w:sz w:val="18"/>
          <w:szCs w:val="18"/>
        </w:rPr>
        <w:t>Next Gen TV R&amp;O</w:t>
      </w:r>
      <w:r w:rsidRPr="0097289C">
        <w:rPr>
          <w:rFonts w:ascii="Times New Roman" w:hAnsi="Times New Roman"/>
          <w:sz w:val="18"/>
          <w:szCs w:val="18"/>
        </w:rPr>
        <w:t>).</w:t>
      </w:r>
    </w:p>
  </w:footnote>
  <w:footnote w:id="4">
    <w:p w14:paraId="4FCE57BA" w14:textId="77777777" w:rsidR="005E1DC1" w:rsidRPr="0097289C" w:rsidRDefault="005E1DC1" w:rsidP="004456B7">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w:t>
      </w:r>
      <w:r w:rsidRPr="0097289C">
        <w:rPr>
          <w:rFonts w:ascii="Times New Roman" w:hAnsi="Times New Roman"/>
          <w:i/>
          <w:sz w:val="18"/>
          <w:szCs w:val="18"/>
        </w:rPr>
        <w:t>See</w:t>
      </w:r>
      <w:r w:rsidRPr="0097289C">
        <w:rPr>
          <w:rFonts w:ascii="Times New Roman" w:hAnsi="Times New Roman"/>
          <w:sz w:val="18"/>
          <w:szCs w:val="18"/>
        </w:rPr>
        <w:t xml:space="preserve"> </w:t>
      </w:r>
      <w:r w:rsidRPr="0097289C">
        <w:rPr>
          <w:rFonts w:ascii="Times New Roman" w:hAnsi="Times New Roman"/>
          <w:i/>
          <w:sz w:val="18"/>
          <w:szCs w:val="18"/>
        </w:rPr>
        <w:t>Authorizing Permissive Use of the “Next Generation” Broadcast Television Standard</w:t>
      </w:r>
      <w:r w:rsidRPr="0097289C">
        <w:rPr>
          <w:rFonts w:ascii="Times New Roman" w:hAnsi="Times New Roman"/>
          <w:sz w:val="18"/>
          <w:szCs w:val="18"/>
        </w:rPr>
        <w:t>, Report and Order and Further Notice of Proposed Rulemaking, 32 FCC Rcd 9930 (2017) (</w:t>
      </w:r>
      <w:r w:rsidRPr="0097289C">
        <w:rPr>
          <w:rFonts w:ascii="Times New Roman" w:hAnsi="Times New Roman"/>
          <w:i/>
          <w:sz w:val="18"/>
          <w:szCs w:val="18"/>
        </w:rPr>
        <w:t>Next Gen TV Report and Order and Further Notice)</w:t>
      </w:r>
      <w:r w:rsidRPr="0097289C">
        <w:rPr>
          <w:rFonts w:ascii="Times New Roman" w:hAnsi="Times New Roman"/>
          <w:sz w:val="18"/>
          <w:szCs w:val="18"/>
        </w:rPr>
        <w:t>.  Ordinarily, an applicant seeking a broadcast license needs to first file an application for a construction permit (step 1) and then, when the facility becomes operational, the applicant must file a license to cover application (step 2).</w:t>
      </w:r>
    </w:p>
  </w:footnote>
  <w:footnote w:id="5">
    <w:p w14:paraId="3A086C63" w14:textId="77777777" w:rsidR="005E1DC1" w:rsidRPr="0097289C" w:rsidRDefault="005E1DC1" w:rsidP="007F0EEC">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These estimates are based on approximately 10% of the totals for full-power TV stations (1,773), Class A stations (403), LPTV stations (1,964) and TV Translator stations (3,750). </w:t>
      </w:r>
    </w:p>
  </w:footnote>
  <w:footnote w:id="6">
    <w:p w14:paraId="7032E86E" w14:textId="77777777" w:rsidR="005E1DC1" w:rsidRPr="0097289C" w:rsidRDefault="005E1DC1">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LPTV stations and TV Translators may transition directly to ATSC 3.0 and are not required to simulcast in 1.0.</w:t>
      </w:r>
    </w:p>
  </w:footnote>
  <w:footnote w:id="7">
    <w:p w14:paraId="6C0BB553" w14:textId="77777777" w:rsidR="005E1DC1" w:rsidRPr="0097289C" w:rsidRDefault="005E1DC1">
      <w:pPr>
        <w:pStyle w:val="FootnoteText"/>
        <w:rPr>
          <w:rFonts w:ascii="Times New Roman" w:hAnsi="Times New Roman"/>
          <w:sz w:val="18"/>
          <w:szCs w:val="18"/>
        </w:rPr>
      </w:pPr>
      <w:r w:rsidRPr="0097289C">
        <w:rPr>
          <w:rFonts w:ascii="Times New Roman" w:hAnsi="Times New Roman"/>
          <w:sz w:val="18"/>
          <w:szCs w:val="18"/>
        </w:rPr>
        <w:footnoteRef/>
      </w:r>
      <w:r w:rsidRPr="0097289C">
        <w:rPr>
          <w:rFonts w:ascii="Times New Roman" w:hAnsi="Times New Roman"/>
          <w:sz w:val="18"/>
          <w:szCs w:val="18"/>
        </w:rPr>
        <w:t xml:space="preserve"> The other 50% will simulcast in 1.0 on their existing channel.</w:t>
      </w:r>
    </w:p>
  </w:footnote>
  <w:footnote w:id="8">
    <w:p w14:paraId="18382A9D" w14:textId="77777777" w:rsidR="005E1DC1" w:rsidRPr="0097289C" w:rsidRDefault="005E1DC1">
      <w:pPr>
        <w:pStyle w:val="FootnoteText"/>
        <w:rPr>
          <w:rFonts w:ascii="Times New Roman" w:hAnsi="Times New Roman"/>
          <w:sz w:val="18"/>
          <w:szCs w:val="18"/>
        </w:rPr>
      </w:pPr>
      <w:r w:rsidRPr="0097289C">
        <w:rPr>
          <w:rFonts w:ascii="Times New Roman" w:hAnsi="Times New Roman"/>
          <w:sz w:val="18"/>
          <w:szCs w:val="18"/>
        </w:rPr>
        <w:footnoteRef/>
      </w:r>
      <w:r w:rsidRPr="0097289C">
        <w:rPr>
          <w:rFonts w:ascii="Times New Roman" w:hAnsi="Times New Roman"/>
          <w:sz w:val="18"/>
          <w:szCs w:val="18"/>
        </w:rPr>
        <w:t xml:space="preserve"> </w:t>
      </w:r>
      <w:r w:rsidRPr="0097289C">
        <w:rPr>
          <w:rFonts w:ascii="Times New Roman" w:hAnsi="Times New Roman"/>
          <w:i/>
          <w:sz w:val="18"/>
          <w:szCs w:val="18"/>
        </w:rPr>
        <w:t>I.e</w:t>
      </w:r>
      <w:r w:rsidRPr="0097289C">
        <w:rPr>
          <w:rFonts w:ascii="Times New Roman" w:hAnsi="Times New Roman"/>
          <w:sz w:val="18"/>
          <w:szCs w:val="18"/>
        </w:rPr>
        <w:t>., Next Gen TV stations seeking to be licensed to simulcast in ATSC 1.0 on a host facility as part of its ATSC 3.0 deployment.</w:t>
      </w:r>
    </w:p>
  </w:footnote>
  <w:footnote w:id="9">
    <w:p w14:paraId="3DC78D72" w14:textId="77777777" w:rsidR="005E1DC1" w:rsidRPr="0097289C" w:rsidRDefault="005E1DC1">
      <w:pPr>
        <w:pStyle w:val="FootnoteText"/>
        <w:rPr>
          <w:rFonts w:ascii="Times New Roman" w:hAnsi="Times New Roman"/>
          <w:sz w:val="18"/>
          <w:szCs w:val="18"/>
        </w:rPr>
      </w:pPr>
      <w:r w:rsidRPr="0097289C">
        <w:rPr>
          <w:rFonts w:ascii="Times New Roman" w:hAnsi="Times New Roman"/>
          <w:sz w:val="18"/>
          <w:szCs w:val="18"/>
        </w:rPr>
        <w:footnoteRef/>
      </w:r>
      <w:r w:rsidRPr="0097289C">
        <w:rPr>
          <w:rFonts w:ascii="Times New Roman" w:hAnsi="Times New Roman"/>
          <w:sz w:val="18"/>
          <w:szCs w:val="18"/>
        </w:rPr>
        <w:t xml:space="preserve"> If an application includes a request to air an ATSC 1.0 signal on the facilities of a host station, the broadcaster must also indicate on the application (in addition to other required information):  (A) the predicted population within the noise limited service contour served by the station’s original ATSC 1.0 signal, (B) the predicted population within the noise limited service contour served by the station’s original ATSC 1.0 signal that will lose the station’s ATSC 1.0 service as a result of the simulcasting arrangement, including identifying areas of service loss by providing a contour overlap map, and (C) whether the ATSC 1.0 simulcast signal aired on the host station will serve at least 95 percent of the population.  If an application includes a request to air an ATSC 1.0 signal on the facilities of a host station and does not meet the 95 percent standard for expedited processing, the application must contain the following information (in addition to other required information):  (A) whether there is another possible host station(s) in the market that would result in less service loss to existing viewers and, if so, why the next Gen TV broadcaster chose to partner with a host station creating a larger service loss; (B) what steps, if any, the station plans to take to minimize the impact of the service loss (e.g., providing ATSC 3.0 dongles, set-top boxes, or gateway devices to viewers in the loss area); and (C) the public interest benefits of the simulcasting arrangement and a showing of why the benefit(s) of granting the application would outweigh the harm(s).</w:t>
      </w:r>
    </w:p>
  </w:footnote>
  <w:footnote w:id="10">
    <w:p w14:paraId="25C2BB35" w14:textId="0E9760EC" w:rsidR="005E1DC1" w:rsidRPr="0097289C" w:rsidRDefault="005E1DC1">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w:t>
      </w:r>
      <w:r>
        <w:rPr>
          <w:rFonts w:ascii="Times New Roman" w:hAnsi="Times New Roman"/>
          <w:sz w:val="18"/>
          <w:szCs w:val="18"/>
        </w:rPr>
        <w:t xml:space="preserve">For example, a station may need to change multicast stream locations or (if allowed under our rules) add new multicast streams in 1.0. </w:t>
      </w:r>
    </w:p>
  </w:footnote>
  <w:footnote w:id="11">
    <w:p w14:paraId="2B8A2209" w14:textId="77777777" w:rsidR="005E1DC1" w:rsidRPr="0097289C" w:rsidRDefault="005E1DC1">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(1 time per day x 30 days)</w:t>
      </w:r>
    </w:p>
  </w:footnote>
  <w:footnote w:id="12">
    <w:p w14:paraId="07C44531" w14:textId="77777777" w:rsidR="005E1DC1" w:rsidRPr="0097289C" w:rsidRDefault="005E1DC1" w:rsidP="00F15ADA">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(1 time per day x 30 days)</w:t>
      </w:r>
    </w:p>
  </w:footnote>
  <w:footnote w:id="13">
    <w:p w14:paraId="55643F00" w14:textId="19241DD3" w:rsidR="005E1DC1" w:rsidRPr="0097289C" w:rsidRDefault="005E1DC1">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72 respondents </w:t>
      </w:r>
      <w:r w:rsidRPr="0097289C">
        <w:rPr>
          <w:rFonts w:ascii="Times New Roman" w:hAnsi="Times New Roman"/>
          <w:spacing w:val="-3"/>
          <w:sz w:val="18"/>
          <w:szCs w:val="18"/>
        </w:rPr>
        <w:t>x 3 streams = 216</w:t>
      </w:r>
    </w:p>
  </w:footnote>
  <w:footnote w:id="14">
    <w:p w14:paraId="6D488204" w14:textId="77777777" w:rsidR="005E1DC1" w:rsidRPr="0097289C" w:rsidRDefault="005E1DC1">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Each broadcaster will prepare a generic template that will be used for each notice.</w:t>
      </w:r>
    </w:p>
  </w:footnote>
  <w:footnote w:id="15">
    <w:p w14:paraId="11B0CFFD" w14:textId="77777777" w:rsidR="005E1DC1" w:rsidRPr="0097289C" w:rsidRDefault="005E1DC1" w:rsidP="008E6563">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The broadcaster will tailor its generic template for each notice.</w:t>
      </w:r>
    </w:p>
  </w:footnote>
  <w:footnote w:id="16">
    <w:p w14:paraId="4727CC31" w14:textId="77777777" w:rsidR="005E1DC1" w:rsidRPr="0097289C" w:rsidRDefault="005E1DC1" w:rsidP="00F61702">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Each broadcaster will prepare a generic template that will be used for each notice.</w:t>
      </w:r>
    </w:p>
  </w:footnote>
  <w:footnote w:id="17">
    <w:p w14:paraId="5CD13EE1" w14:textId="77777777" w:rsidR="005E1DC1" w:rsidRPr="0097289C" w:rsidRDefault="005E1DC1" w:rsidP="00F61702">
      <w:pPr>
        <w:pStyle w:val="FootnoteText"/>
        <w:rPr>
          <w:rFonts w:ascii="Times New Roman" w:hAnsi="Times New Roman"/>
          <w:sz w:val="18"/>
          <w:szCs w:val="18"/>
        </w:rPr>
      </w:pPr>
      <w:r w:rsidRPr="0097289C">
        <w:rPr>
          <w:rStyle w:val="FootnoteReference"/>
          <w:rFonts w:ascii="Times New Roman" w:hAnsi="Times New Roman"/>
          <w:sz w:val="18"/>
          <w:szCs w:val="18"/>
        </w:rPr>
        <w:footnoteRef/>
      </w:r>
      <w:r w:rsidRPr="0097289C">
        <w:rPr>
          <w:rFonts w:ascii="Times New Roman" w:hAnsi="Times New Roman"/>
          <w:sz w:val="18"/>
          <w:szCs w:val="18"/>
        </w:rPr>
        <w:t xml:space="preserve"> The broadcaster will tailor its generic template for each notice.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DE660" w14:textId="551609B3" w:rsidR="005E1DC1" w:rsidRDefault="005E1DC1" w:rsidP="00A81DCB">
    <w:pPr>
      <w:pStyle w:val="Header"/>
      <w:rPr>
        <w:rFonts w:ascii="Times New Roman" w:hAnsi="Times New Roman"/>
        <w:b/>
        <w:szCs w:val="24"/>
      </w:rPr>
    </w:pPr>
    <w:r>
      <w:rPr>
        <w:rFonts w:ascii="Times New Roman" w:hAnsi="Times New Roman"/>
        <w:b/>
        <w:szCs w:val="24"/>
      </w:rPr>
      <w:t xml:space="preserve">OMB Control Number:  3060-1254                                                                  </w:t>
    </w:r>
    <w:r>
      <w:rPr>
        <w:rFonts w:ascii="Times New Roman" w:hAnsi="Times New Roman"/>
        <w:b/>
        <w:szCs w:val="24"/>
      </w:rPr>
      <w:tab/>
    </w:r>
    <w:r w:rsidR="002B35FC">
      <w:rPr>
        <w:rFonts w:ascii="Times New Roman" w:hAnsi="Times New Roman"/>
        <w:b/>
        <w:szCs w:val="24"/>
      </w:rPr>
      <w:t>December</w:t>
    </w:r>
    <w:r>
      <w:rPr>
        <w:rFonts w:ascii="Times New Roman" w:hAnsi="Times New Roman"/>
        <w:b/>
        <w:szCs w:val="24"/>
      </w:rPr>
      <w:t xml:space="preserve">  2021</w:t>
    </w:r>
  </w:p>
  <w:p w14:paraId="5BEBCCE3" w14:textId="77777777" w:rsidR="005E1DC1" w:rsidRPr="003625EA" w:rsidRDefault="005E1DC1" w:rsidP="00A81DCB">
    <w:pPr>
      <w:pStyle w:val="Header"/>
      <w:rPr>
        <w:rFonts w:ascii="Times New Roman" w:hAnsi="Times New Roman"/>
        <w:b/>
        <w:szCs w:val="24"/>
      </w:rPr>
    </w:pPr>
    <w:r>
      <w:rPr>
        <w:rFonts w:ascii="Times New Roman" w:hAnsi="Times New Roman"/>
        <w:b/>
        <w:szCs w:val="24"/>
      </w:rPr>
      <w:t xml:space="preserve">Title:  Next Gen TV/ATSC 3.0 Local Simulcasting Rules; </w:t>
    </w:r>
    <w:r w:rsidRPr="00636D81">
      <w:rPr>
        <w:rFonts w:ascii="Times New Roman" w:hAnsi="Times New Roman"/>
        <w:b/>
        <w:szCs w:val="24"/>
      </w:rPr>
      <w:t>47 CFR §§ 73.3801 (full-power TV), 73.6029 (Class A TV), and 74.782 (low-power TV)</w:t>
    </w:r>
    <w:r>
      <w:rPr>
        <w:rFonts w:ascii="Times New Roman" w:hAnsi="Times New Roman"/>
        <w:b/>
        <w:szCs w:val="24"/>
      </w:rPr>
      <w:t xml:space="preserve"> and FCC Form 2100 (Next Gen TV License Application)</w:t>
    </w:r>
  </w:p>
  <w:p w14:paraId="001FFC68" w14:textId="77777777" w:rsidR="005E1DC1" w:rsidRDefault="005E1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90B8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2" w15:restartNumberingAfterBreak="0">
    <w:nsid w:val="1A9F0B97"/>
    <w:multiLevelType w:val="hybridMultilevel"/>
    <w:tmpl w:val="0F021AAC"/>
    <w:lvl w:ilvl="0" w:tplc="0409000F">
      <w:start w:val="1"/>
      <w:numFmt w:val="decimal"/>
      <w:lvlText w:val="%1."/>
      <w:lvlJc w:val="left"/>
      <w:pPr>
        <w:ind w:left="720" w:hanging="360"/>
      </w:pPr>
      <w:rPr>
        <w:rFonts w:hint="default"/>
      </w:rPr>
    </w:lvl>
    <w:lvl w:ilvl="1" w:tplc="5B36864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AEE49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B019A"/>
    <w:multiLevelType w:val="hybridMultilevel"/>
    <w:tmpl w:val="4030F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5E8025E">
      <w:start w:val="1"/>
      <w:numFmt w:val="lowerRoman"/>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03676"/>
    <w:multiLevelType w:val="hybridMultilevel"/>
    <w:tmpl w:val="3242889E"/>
    <w:lvl w:ilvl="0" w:tplc="8D764AA4">
      <w:start w:val="1"/>
      <w:numFmt w:val="bullet"/>
      <w:lvlText w:val=""/>
      <w:lvlJc w:val="left"/>
      <w:pPr>
        <w:ind w:left="1080" w:hanging="360"/>
      </w:pPr>
      <w:rPr>
        <w:rFonts w:ascii="Symbol" w:hAnsi="Symbol" w:hint="default"/>
      </w:rPr>
    </w:lvl>
    <w:lvl w:ilvl="1" w:tplc="CBCE227C">
      <w:start w:val="1"/>
      <w:numFmt w:val="bullet"/>
      <w:lvlText w:val="o"/>
      <w:lvlJc w:val="left"/>
      <w:pPr>
        <w:ind w:left="1800" w:hanging="360"/>
      </w:pPr>
      <w:rPr>
        <w:rFonts w:ascii="Courier New" w:hAnsi="Courier New" w:cs="Courier New" w:hint="default"/>
      </w:rPr>
    </w:lvl>
    <w:lvl w:ilvl="2" w:tplc="75F0E8DC" w:tentative="1">
      <w:start w:val="1"/>
      <w:numFmt w:val="bullet"/>
      <w:lvlText w:val=""/>
      <w:lvlJc w:val="left"/>
      <w:pPr>
        <w:ind w:left="2520" w:hanging="360"/>
      </w:pPr>
      <w:rPr>
        <w:rFonts w:ascii="Wingdings" w:hAnsi="Wingdings" w:hint="default"/>
      </w:rPr>
    </w:lvl>
    <w:lvl w:ilvl="3" w:tplc="C4DCA92C" w:tentative="1">
      <w:start w:val="1"/>
      <w:numFmt w:val="bullet"/>
      <w:lvlText w:val=""/>
      <w:lvlJc w:val="left"/>
      <w:pPr>
        <w:ind w:left="3240" w:hanging="360"/>
      </w:pPr>
      <w:rPr>
        <w:rFonts w:ascii="Symbol" w:hAnsi="Symbol" w:hint="default"/>
      </w:rPr>
    </w:lvl>
    <w:lvl w:ilvl="4" w:tplc="7F5429CC" w:tentative="1">
      <w:start w:val="1"/>
      <w:numFmt w:val="bullet"/>
      <w:lvlText w:val="o"/>
      <w:lvlJc w:val="left"/>
      <w:pPr>
        <w:ind w:left="3960" w:hanging="360"/>
      </w:pPr>
      <w:rPr>
        <w:rFonts w:ascii="Courier New" w:hAnsi="Courier New" w:cs="Courier New" w:hint="default"/>
      </w:rPr>
    </w:lvl>
    <w:lvl w:ilvl="5" w:tplc="CF047E76" w:tentative="1">
      <w:start w:val="1"/>
      <w:numFmt w:val="bullet"/>
      <w:lvlText w:val=""/>
      <w:lvlJc w:val="left"/>
      <w:pPr>
        <w:ind w:left="4680" w:hanging="360"/>
      </w:pPr>
      <w:rPr>
        <w:rFonts w:ascii="Wingdings" w:hAnsi="Wingdings" w:hint="default"/>
      </w:rPr>
    </w:lvl>
    <w:lvl w:ilvl="6" w:tplc="10226F1C" w:tentative="1">
      <w:start w:val="1"/>
      <w:numFmt w:val="bullet"/>
      <w:lvlText w:val=""/>
      <w:lvlJc w:val="left"/>
      <w:pPr>
        <w:ind w:left="5400" w:hanging="360"/>
      </w:pPr>
      <w:rPr>
        <w:rFonts w:ascii="Symbol" w:hAnsi="Symbol" w:hint="default"/>
      </w:rPr>
    </w:lvl>
    <w:lvl w:ilvl="7" w:tplc="E266FD6A" w:tentative="1">
      <w:start w:val="1"/>
      <w:numFmt w:val="bullet"/>
      <w:lvlText w:val="o"/>
      <w:lvlJc w:val="left"/>
      <w:pPr>
        <w:ind w:left="6120" w:hanging="360"/>
      </w:pPr>
      <w:rPr>
        <w:rFonts w:ascii="Courier New" w:hAnsi="Courier New" w:cs="Courier New" w:hint="default"/>
      </w:rPr>
    </w:lvl>
    <w:lvl w:ilvl="8" w:tplc="970AE190" w:tentative="1">
      <w:start w:val="1"/>
      <w:numFmt w:val="bullet"/>
      <w:lvlText w:val=""/>
      <w:lvlJc w:val="left"/>
      <w:pPr>
        <w:ind w:left="6840" w:hanging="360"/>
      </w:pPr>
      <w:rPr>
        <w:rFonts w:ascii="Wingdings" w:hAnsi="Wingdings" w:hint="default"/>
      </w:rPr>
    </w:lvl>
  </w:abstractNum>
  <w:abstractNum w:abstractNumId="5"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7"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2FBC7E0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532235"/>
    <w:multiLevelType w:val="hybridMultilevel"/>
    <w:tmpl w:val="12FEE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392A6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A71FF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186A15"/>
    <w:multiLevelType w:val="hybridMultilevel"/>
    <w:tmpl w:val="FB384E78"/>
    <w:lvl w:ilvl="0" w:tplc="B6B02E88">
      <w:start w:val="1"/>
      <w:numFmt w:val="lowerRoman"/>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42B15262"/>
    <w:multiLevelType w:val="hybridMultilevel"/>
    <w:tmpl w:val="A7FAA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623F0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92D0D3D"/>
    <w:multiLevelType w:val="hybridMultilevel"/>
    <w:tmpl w:val="E1923014"/>
    <w:lvl w:ilvl="0" w:tplc="0409000F">
      <w:start w:val="1"/>
      <w:numFmt w:val="decimal"/>
      <w:lvlText w:val="%1."/>
      <w:lvlJc w:val="left"/>
      <w:pPr>
        <w:ind w:left="720" w:hanging="360"/>
      </w:pPr>
      <w:rPr>
        <w:rFonts w:hint="default"/>
      </w:rPr>
    </w:lvl>
    <w:lvl w:ilvl="1" w:tplc="5B36864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8AEE49E">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F762EF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D723F0"/>
    <w:multiLevelType w:val="hybridMultilevel"/>
    <w:tmpl w:val="9B56D55C"/>
    <w:lvl w:ilvl="0" w:tplc="A4027840">
      <w:start w:val="1"/>
      <w:numFmt w:val="decimal"/>
      <w:lvlText w:val="%1."/>
      <w:lvlJc w:val="left"/>
      <w:pPr>
        <w:tabs>
          <w:tab w:val="num" w:pos="1080"/>
        </w:tabs>
        <w:ind w:left="0" w:firstLine="720"/>
      </w:pPr>
      <w:rPr>
        <w:rFonts w:hint="default"/>
        <w:b w:val="0"/>
      </w:rPr>
    </w:lvl>
    <w:lvl w:ilvl="1" w:tplc="A4FE3BC6" w:tentative="1">
      <w:start w:val="1"/>
      <w:numFmt w:val="lowerLetter"/>
      <w:lvlText w:val="%2."/>
      <w:lvlJc w:val="left"/>
      <w:pPr>
        <w:ind w:left="1440" w:hanging="360"/>
      </w:pPr>
    </w:lvl>
    <w:lvl w:ilvl="2" w:tplc="6B08981E" w:tentative="1">
      <w:start w:val="1"/>
      <w:numFmt w:val="lowerRoman"/>
      <w:lvlText w:val="%3."/>
      <w:lvlJc w:val="right"/>
      <w:pPr>
        <w:ind w:left="2160" w:hanging="180"/>
      </w:pPr>
    </w:lvl>
    <w:lvl w:ilvl="3" w:tplc="5284FF88" w:tentative="1">
      <w:start w:val="1"/>
      <w:numFmt w:val="decimal"/>
      <w:lvlText w:val="%4."/>
      <w:lvlJc w:val="left"/>
      <w:pPr>
        <w:ind w:left="2880" w:hanging="360"/>
      </w:pPr>
    </w:lvl>
    <w:lvl w:ilvl="4" w:tplc="933E26D6" w:tentative="1">
      <w:start w:val="1"/>
      <w:numFmt w:val="lowerLetter"/>
      <w:lvlText w:val="%5."/>
      <w:lvlJc w:val="left"/>
      <w:pPr>
        <w:ind w:left="3600" w:hanging="360"/>
      </w:pPr>
    </w:lvl>
    <w:lvl w:ilvl="5" w:tplc="39420B88" w:tentative="1">
      <w:start w:val="1"/>
      <w:numFmt w:val="lowerRoman"/>
      <w:lvlText w:val="%6."/>
      <w:lvlJc w:val="right"/>
      <w:pPr>
        <w:ind w:left="4320" w:hanging="180"/>
      </w:pPr>
    </w:lvl>
    <w:lvl w:ilvl="6" w:tplc="DEB42136" w:tentative="1">
      <w:start w:val="1"/>
      <w:numFmt w:val="decimal"/>
      <w:lvlText w:val="%7."/>
      <w:lvlJc w:val="left"/>
      <w:pPr>
        <w:ind w:left="5040" w:hanging="360"/>
      </w:pPr>
    </w:lvl>
    <w:lvl w:ilvl="7" w:tplc="66789752" w:tentative="1">
      <w:start w:val="1"/>
      <w:numFmt w:val="lowerLetter"/>
      <w:lvlText w:val="%8."/>
      <w:lvlJc w:val="left"/>
      <w:pPr>
        <w:ind w:left="5760" w:hanging="360"/>
      </w:pPr>
    </w:lvl>
    <w:lvl w:ilvl="8" w:tplc="A06A7E72" w:tentative="1">
      <w:start w:val="1"/>
      <w:numFmt w:val="lowerRoman"/>
      <w:lvlText w:val="%9."/>
      <w:lvlJc w:val="right"/>
      <w:pPr>
        <w:ind w:left="6480" w:hanging="180"/>
      </w:pPr>
    </w:lvl>
  </w:abstractNum>
  <w:abstractNum w:abstractNumId="19" w15:restartNumberingAfterBreak="0">
    <w:nsid w:val="58A048B4"/>
    <w:multiLevelType w:val="hybridMultilevel"/>
    <w:tmpl w:val="A51ED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3C16D2"/>
    <w:multiLevelType w:val="hybridMultilevel"/>
    <w:tmpl w:val="72268462"/>
    <w:lvl w:ilvl="0" w:tplc="B6B02E8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2" w15:restartNumberingAfterBreak="0">
    <w:nsid w:val="69604EEE"/>
    <w:multiLevelType w:val="hybridMultilevel"/>
    <w:tmpl w:val="95C881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E02184C"/>
    <w:multiLevelType w:val="hybridMultilevel"/>
    <w:tmpl w:val="CC58CA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847A3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F61AE9"/>
    <w:multiLevelType w:val="hybridMultilevel"/>
    <w:tmpl w:val="3586B6A6"/>
    <w:lvl w:ilvl="0" w:tplc="D8BEA8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B2DB3"/>
    <w:multiLevelType w:val="hybridMultilevel"/>
    <w:tmpl w:val="EFFAEF28"/>
    <w:lvl w:ilvl="0" w:tplc="D8BEA8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7175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20"/>
  </w:num>
  <w:num w:numId="3">
    <w:abstractNumId w:val="23"/>
  </w:num>
  <w:num w:numId="4">
    <w:abstractNumId w:val="3"/>
  </w:num>
  <w:num w:numId="5">
    <w:abstractNumId w:val="22"/>
  </w:num>
  <w:num w:numId="6">
    <w:abstractNumId w:val="12"/>
  </w:num>
  <w:num w:numId="7">
    <w:abstractNumId w:val="17"/>
  </w:num>
  <w:num w:numId="8">
    <w:abstractNumId w:val="21"/>
  </w:num>
  <w:num w:numId="9">
    <w:abstractNumId w:val="7"/>
  </w:num>
  <w:num w:numId="10">
    <w:abstractNumId w:val="8"/>
  </w:num>
  <w:num w:numId="11">
    <w:abstractNumId w:val="14"/>
  </w:num>
  <w:num w:numId="12">
    <w:abstractNumId w:val="24"/>
  </w:num>
  <w:num w:numId="13">
    <w:abstractNumId w:val="0"/>
  </w:num>
  <w:num w:numId="14">
    <w:abstractNumId w:val="9"/>
  </w:num>
  <w:num w:numId="15">
    <w:abstractNumId w:val="26"/>
  </w:num>
  <w:num w:numId="16">
    <w:abstractNumId w:val="25"/>
  </w:num>
  <w:num w:numId="17">
    <w:abstractNumId w:val="19"/>
  </w:num>
  <w:num w:numId="18">
    <w:abstractNumId w:val="5"/>
  </w:num>
  <w:num w:numId="19">
    <w:abstractNumId w:val="16"/>
  </w:num>
  <w:num w:numId="20">
    <w:abstractNumId w:val="6"/>
  </w:num>
  <w:num w:numId="21">
    <w:abstractNumId w:val="1"/>
  </w:num>
  <w:num w:numId="22">
    <w:abstractNumId w:val="2"/>
  </w:num>
  <w:num w:numId="23">
    <w:abstractNumId w:val="15"/>
  </w:num>
  <w:num w:numId="24">
    <w:abstractNumId w:val="10"/>
  </w:num>
  <w:num w:numId="25">
    <w:abstractNumId w:val="11"/>
  </w:num>
  <w:num w:numId="26">
    <w:abstractNumId w:val="27"/>
  </w:num>
  <w:num w:numId="27">
    <w:abstractNumId w:val="4"/>
  </w:num>
  <w:num w:numId="28">
    <w:abstractNumId w:val="18"/>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5C"/>
    <w:rsid w:val="000019EB"/>
    <w:rsid w:val="0000259F"/>
    <w:rsid w:val="00003BEB"/>
    <w:rsid w:val="00003D22"/>
    <w:rsid w:val="00006F63"/>
    <w:rsid w:val="00007658"/>
    <w:rsid w:val="00007EF6"/>
    <w:rsid w:val="000159B1"/>
    <w:rsid w:val="00021D55"/>
    <w:rsid w:val="00024F6A"/>
    <w:rsid w:val="000251E4"/>
    <w:rsid w:val="000257F6"/>
    <w:rsid w:val="00025859"/>
    <w:rsid w:val="000349B6"/>
    <w:rsid w:val="00036DD8"/>
    <w:rsid w:val="00047BFB"/>
    <w:rsid w:val="000507C6"/>
    <w:rsid w:val="000507EA"/>
    <w:rsid w:val="00050E58"/>
    <w:rsid w:val="00051C6D"/>
    <w:rsid w:val="00056CE5"/>
    <w:rsid w:val="00060258"/>
    <w:rsid w:val="00065829"/>
    <w:rsid w:val="000669AF"/>
    <w:rsid w:val="00067790"/>
    <w:rsid w:val="00074123"/>
    <w:rsid w:val="00074472"/>
    <w:rsid w:val="00076AC5"/>
    <w:rsid w:val="0007799A"/>
    <w:rsid w:val="00080AAB"/>
    <w:rsid w:val="000811C9"/>
    <w:rsid w:val="0008545F"/>
    <w:rsid w:val="00085D00"/>
    <w:rsid w:val="0008746A"/>
    <w:rsid w:val="000916DA"/>
    <w:rsid w:val="000926E7"/>
    <w:rsid w:val="00094A92"/>
    <w:rsid w:val="00094E03"/>
    <w:rsid w:val="00095DA8"/>
    <w:rsid w:val="000A29F4"/>
    <w:rsid w:val="000A4F2B"/>
    <w:rsid w:val="000B0533"/>
    <w:rsid w:val="000B3E19"/>
    <w:rsid w:val="000C0E0E"/>
    <w:rsid w:val="000C1F2B"/>
    <w:rsid w:val="000C26B6"/>
    <w:rsid w:val="000C50A8"/>
    <w:rsid w:val="000C709C"/>
    <w:rsid w:val="000C7592"/>
    <w:rsid w:val="000D4CE4"/>
    <w:rsid w:val="000D57F3"/>
    <w:rsid w:val="000E08E5"/>
    <w:rsid w:val="000E2AF0"/>
    <w:rsid w:val="000E459D"/>
    <w:rsid w:val="000F001A"/>
    <w:rsid w:val="000F17C6"/>
    <w:rsid w:val="0010292C"/>
    <w:rsid w:val="001031DD"/>
    <w:rsid w:val="001078DB"/>
    <w:rsid w:val="00112B4C"/>
    <w:rsid w:val="0011661F"/>
    <w:rsid w:val="0012364E"/>
    <w:rsid w:val="00123DBA"/>
    <w:rsid w:val="00131184"/>
    <w:rsid w:val="00131B69"/>
    <w:rsid w:val="00136373"/>
    <w:rsid w:val="00140D3A"/>
    <w:rsid w:val="00142E68"/>
    <w:rsid w:val="001447FC"/>
    <w:rsid w:val="001519C4"/>
    <w:rsid w:val="00153C19"/>
    <w:rsid w:val="00160903"/>
    <w:rsid w:val="0017090C"/>
    <w:rsid w:val="00172721"/>
    <w:rsid w:val="001727E6"/>
    <w:rsid w:val="00174EC4"/>
    <w:rsid w:val="00176668"/>
    <w:rsid w:val="00181548"/>
    <w:rsid w:val="00182E37"/>
    <w:rsid w:val="00183834"/>
    <w:rsid w:val="00183DA5"/>
    <w:rsid w:val="00183FCA"/>
    <w:rsid w:val="001868A3"/>
    <w:rsid w:val="00190FC1"/>
    <w:rsid w:val="0019523B"/>
    <w:rsid w:val="00195534"/>
    <w:rsid w:val="001A0F0C"/>
    <w:rsid w:val="001A12A0"/>
    <w:rsid w:val="001A235C"/>
    <w:rsid w:val="001A5D30"/>
    <w:rsid w:val="001A6CC2"/>
    <w:rsid w:val="001B20A1"/>
    <w:rsid w:val="001B558C"/>
    <w:rsid w:val="001B60D9"/>
    <w:rsid w:val="001C1A59"/>
    <w:rsid w:val="001C2A42"/>
    <w:rsid w:val="001C4062"/>
    <w:rsid w:val="001C77EE"/>
    <w:rsid w:val="001D3378"/>
    <w:rsid w:val="001D5900"/>
    <w:rsid w:val="001E0EBE"/>
    <w:rsid w:val="001E222A"/>
    <w:rsid w:val="001E331B"/>
    <w:rsid w:val="001E64CD"/>
    <w:rsid w:val="001E798D"/>
    <w:rsid w:val="001F5DF8"/>
    <w:rsid w:val="00200D4E"/>
    <w:rsid w:val="00202435"/>
    <w:rsid w:val="0020431C"/>
    <w:rsid w:val="002121E1"/>
    <w:rsid w:val="00220856"/>
    <w:rsid w:val="00221E15"/>
    <w:rsid w:val="00221ECC"/>
    <w:rsid w:val="00224FF1"/>
    <w:rsid w:val="00225C11"/>
    <w:rsid w:val="0023029B"/>
    <w:rsid w:val="0023134A"/>
    <w:rsid w:val="00233696"/>
    <w:rsid w:val="002340F0"/>
    <w:rsid w:val="002361AC"/>
    <w:rsid w:val="002379D7"/>
    <w:rsid w:val="00240F40"/>
    <w:rsid w:val="00242E09"/>
    <w:rsid w:val="002438BC"/>
    <w:rsid w:val="0024708B"/>
    <w:rsid w:val="00255F9A"/>
    <w:rsid w:val="0025702D"/>
    <w:rsid w:val="0025782D"/>
    <w:rsid w:val="00263D24"/>
    <w:rsid w:val="002708CD"/>
    <w:rsid w:val="00271F30"/>
    <w:rsid w:val="00272D83"/>
    <w:rsid w:val="00276D44"/>
    <w:rsid w:val="0027705B"/>
    <w:rsid w:val="00277196"/>
    <w:rsid w:val="00280730"/>
    <w:rsid w:val="002838A5"/>
    <w:rsid w:val="00283BAE"/>
    <w:rsid w:val="00286D83"/>
    <w:rsid w:val="00293BB9"/>
    <w:rsid w:val="00294CAF"/>
    <w:rsid w:val="002A52CE"/>
    <w:rsid w:val="002A6140"/>
    <w:rsid w:val="002B35FC"/>
    <w:rsid w:val="002B40F6"/>
    <w:rsid w:val="002B5B48"/>
    <w:rsid w:val="002B731C"/>
    <w:rsid w:val="002C1E93"/>
    <w:rsid w:val="002C41B1"/>
    <w:rsid w:val="002C4801"/>
    <w:rsid w:val="002C51E0"/>
    <w:rsid w:val="002C595B"/>
    <w:rsid w:val="002C69F8"/>
    <w:rsid w:val="002D4493"/>
    <w:rsid w:val="002E4546"/>
    <w:rsid w:val="002E4AFD"/>
    <w:rsid w:val="002E694A"/>
    <w:rsid w:val="002F1703"/>
    <w:rsid w:val="002F2C1F"/>
    <w:rsid w:val="002F2E22"/>
    <w:rsid w:val="002F44A3"/>
    <w:rsid w:val="002F5626"/>
    <w:rsid w:val="002F6EA7"/>
    <w:rsid w:val="00302430"/>
    <w:rsid w:val="00302C46"/>
    <w:rsid w:val="00311364"/>
    <w:rsid w:val="003125E0"/>
    <w:rsid w:val="00312E41"/>
    <w:rsid w:val="00313FD2"/>
    <w:rsid w:val="00315D00"/>
    <w:rsid w:val="00316D78"/>
    <w:rsid w:val="00317402"/>
    <w:rsid w:val="0032294C"/>
    <w:rsid w:val="0032465E"/>
    <w:rsid w:val="00326B3E"/>
    <w:rsid w:val="0033669A"/>
    <w:rsid w:val="003379F7"/>
    <w:rsid w:val="0034269E"/>
    <w:rsid w:val="0034753F"/>
    <w:rsid w:val="00347558"/>
    <w:rsid w:val="00352218"/>
    <w:rsid w:val="003566D9"/>
    <w:rsid w:val="0036036A"/>
    <w:rsid w:val="003625EA"/>
    <w:rsid w:val="00363197"/>
    <w:rsid w:val="00363471"/>
    <w:rsid w:val="00363D4E"/>
    <w:rsid w:val="00364973"/>
    <w:rsid w:val="0036508D"/>
    <w:rsid w:val="0037111E"/>
    <w:rsid w:val="0037189A"/>
    <w:rsid w:val="00381831"/>
    <w:rsid w:val="0038183C"/>
    <w:rsid w:val="00384CF1"/>
    <w:rsid w:val="00385ABA"/>
    <w:rsid w:val="003874D3"/>
    <w:rsid w:val="00395122"/>
    <w:rsid w:val="00395908"/>
    <w:rsid w:val="00395CA5"/>
    <w:rsid w:val="003A09DB"/>
    <w:rsid w:val="003A11DD"/>
    <w:rsid w:val="003A1655"/>
    <w:rsid w:val="003A2CE0"/>
    <w:rsid w:val="003C0B1F"/>
    <w:rsid w:val="003C3AD2"/>
    <w:rsid w:val="003C3B1A"/>
    <w:rsid w:val="003D1C61"/>
    <w:rsid w:val="003E025A"/>
    <w:rsid w:val="003E3D43"/>
    <w:rsid w:val="003F1137"/>
    <w:rsid w:val="003F33F1"/>
    <w:rsid w:val="003F3C31"/>
    <w:rsid w:val="003F5FE2"/>
    <w:rsid w:val="0040200B"/>
    <w:rsid w:val="0040560B"/>
    <w:rsid w:val="004057C6"/>
    <w:rsid w:val="00411A45"/>
    <w:rsid w:val="00412A76"/>
    <w:rsid w:val="00412B7E"/>
    <w:rsid w:val="00416492"/>
    <w:rsid w:val="00416C22"/>
    <w:rsid w:val="00417346"/>
    <w:rsid w:val="0041743B"/>
    <w:rsid w:val="00422775"/>
    <w:rsid w:val="00424C25"/>
    <w:rsid w:val="004251E4"/>
    <w:rsid w:val="00435F95"/>
    <w:rsid w:val="0043628C"/>
    <w:rsid w:val="00437764"/>
    <w:rsid w:val="00443395"/>
    <w:rsid w:val="004456B7"/>
    <w:rsid w:val="00446972"/>
    <w:rsid w:val="0045419F"/>
    <w:rsid w:val="00456735"/>
    <w:rsid w:val="00460D24"/>
    <w:rsid w:val="0046742C"/>
    <w:rsid w:val="004679B8"/>
    <w:rsid w:val="00467FA5"/>
    <w:rsid w:val="00471F2E"/>
    <w:rsid w:val="004720CC"/>
    <w:rsid w:val="00473502"/>
    <w:rsid w:val="00473EF5"/>
    <w:rsid w:val="00476E99"/>
    <w:rsid w:val="00481406"/>
    <w:rsid w:val="00485FBA"/>
    <w:rsid w:val="00487296"/>
    <w:rsid w:val="004918AF"/>
    <w:rsid w:val="0049550D"/>
    <w:rsid w:val="00496BE4"/>
    <w:rsid w:val="00497215"/>
    <w:rsid w:val="00497A46"/>
    <w:rsid w:val="004A6843"/>
    <w:rsid w:val="004B473A"/>
    <w:rsid w:val="004B5D29"/>
    <w:rsid w:val="004C000E"/>
    <w:rsid w:val="004C0B6B"/>
    <w:rsid w:val="004C2FF7"/>
    <w:rsid w:val="004C59C3"/>
    <w:rsid w:val="004C691D"/>
    <w:rsid w:val="004E307C"/>
    <w:rsid w:val="004F06F5"/>
    <w:rsid w:val="004F3E6D"/>
    <w:rsid w:val="004F4B70"/>
    <w:rsid w:val="004F6949"/>
    <w:rsid w:val="004F69D8"/>
    <w:rsid w:val="00507A28"/>
    <w:rsid w:val="005159DB"/>
    <w:rsid w:val="0051647D"/>
    <w:rsid w:val="00522A5F"/>
    <w:rsid w:val="0052387D"/>
    <w:rsid w:val="005260CD"/>
    <w:rsid w:val="005261B3"/>
    <w:rsid w:val="00526C0F"/>
    <w:rsid w:val="005307A1"/>
    <w:rsid w:val="005335BC"/>
    <w:rsid w:val="00534ABD"/>
    <w:rsid w:val="00534C88"/>
    <w:rsid w:val="00536813"/>
    <w:rsid w:val="00540804"/>
    <w:rsid w:val="005411F9"/>
    <w:rsid w:val="00542347"/>
    <w:rsid w:val="00546E07"/>
    <w:rsid w:val="00551008"/>
    <w:rsid w:val="00552D71"/>
    <w:rsid w:val="0055354D"/>
    <w:rsid w:val="00554191"/>
    <w:rsid w:val="0056347A"/>
    <w:rsid w:val="00563A1F"/>
    <w:rsid w:val="0056567F"/>
    <w:rsid w:val="00580699"/>
    <w:rsid w:val="00595CC8"/>
    <w:rsid w:val="005964B6"/>
    <w:rsid w:val="005A16F1"/>
    <w:rsid w:val="005A2947"/>
    <w:rsid w:val="005A329C"/>
    <w:rsid w:val="005A417F"/>
    <w:rsid w:val="005A4550"/>
    <w:rsid w:val="005A535C"/>
    <w:rsid w:val="005A570E"/>
    <w:rsid w:val="005B3173"/>
    <w:rsid w:val="005B55C0"/>
    <w:rsid w:val="005B5811"/>
    <w:rsid w:val="005C2C8C"/>
    <w:rsid w:val="005C526E"/>
    <w:rsid w:val="005C6521"/>
    <w:rsid w:val="005C6F18"/>
    <w:rsid w:val="005C78FF"/>
    <w:rsid w:val="005D3C57"/>
    <w:rsid w:val="005D41AF"/>
    <w:rsid w:val="005E0009"/>
    <w:rsid w:val="005E1DC1"/>
    <w:rsid w:val="005E665C"/>
    <w:rsid w:val="005E6E6F"/>
    <w:rsid w:val="005F1303"/>
    <w:rsid w:val="005F6354"/>
    <w:rsid w:val="00607647"/>
    <w:rsid w:val="006102C5"/>
    <w:rsid w:val="00610874"/>
    <w:rsid w:val="00613A08"/>
    <w:rsid w:val="00613FF3"/>
    <w:rsid w:val="006207B1"/>
    <w:rsid w:val="0062498B"/>
    <w:rsid w:val="0063147D"/>
    <w:rsid w:val="00632339"/>
    <w:rsid w:val="006324B9"/>
    <w:rsid w:val="00636D81"/>
    <w:rsid w:val="00636E00"/>
    <w:rsid w:val="006409F4"/>
    <w:rsid w:val="00643EF0"/>
    <w:rsid w:val="006572B3"/>
    <w:rsid w:val="00661B77"/>
    <w:rsid w:val="006628FC"/>
    <w:rsid w:val="00664124"/>
    <w:rsid w:val="006659D2"/>
    <w:rsid w:val="00670C2A"/>
    <w:rsid w:val="00674E53"/>
    <w:rsid w:val="006775F0"/>
    <w:rsid w:val="006777A7"/>
    <w:rsid w:val="00677859"/>
    <w:rsid w:val="0068472F"/>
    <w:rsid w:val="00685422"/>
    <w:rsid w:val="00686049"/>
    <w:rsid w:val="006900AE"/>
    <w:rsid w:val="006B7D30"/>
    <w:rsid w:val="006C2D77"/>
    <w:rsid w:val="006C37DF"/>
    <w:rsid w:val="006C4C29"/>
    <w:rsid w:val="006D0C54"/>
    <w:rsid w:val="006D0C59"/>
    <w:rsid w:val="006D0E1D"/>
    <w:rsid w:val="006D2E5A"/>
    <w:rsid w:val="006D2EA2"/>
    <w:rsid w:val="006D3C58"/>
    <w:rsid w:val="006D46DA"/>
    <w:rsid w:val="006D51AB"/>
    <w:rsid w:val="006D5833"/>
    <w:rsid w:val="006E0406"/>
    <w:rsid w:val="006E1829"/>
    <w:rsid w:val="006E7802"/>
    <w:rsid w:val="006F11F9"/>
    <w:rsid w:val="006F2B45"/>
    <w:rsid w:val="007020B4"/>
    <w:rsid w:val="00704E6F"/>
    <w:rsid w:val="00707FF0"/>
    <w:rsid w:val="007148D9"/>
    <w:rsid w:val="00716711"/>
    <w:rsid w:val="007173B4"/>
    <w:rsid w:val="00720FB0"/>
    <w:rsid w:val="0072618F"/>
    <w:rsid w:val="00730E97"/>
    <w:rsid w:val="007313F3"/>
    <w:rsid w:val="0073299F"/>
    <w:rsid w:val="00733ACB"/>
    <w:rsid w:val="007459B4"/>
    <w:rsid w:val="0074755D"/>
    <w:rsid w:val="00747D1B"/>
    <w:rsid w:val="00750966"/>
    <w:rsid w:val="00752801"/>
    <w:rsid w:val="007534C2"/>
    <w:rsid w:val="00754997"/>
    <w:rsid w:val="00756FB8"/>
    <w:rsid w:val="007627CA"/>
    <w:rsid w:val="00764F65"/>
    <w:rsid w:val="007651DA"/>
    <w:rsid w:val="00765C88"/>
    <w:rsid w:val="00767B6C"/>
    <w:rsid w:val="00767ED4"/>
    <w:rsid w:val="00770162"/>
    <w:rsid w:val="00774851"/>
    <w:rsid w:val="00777D87"/>
    <w:rsid w:val="00784CD2"/>
    <w:rsid w:val="0079467D"/>
    <w:rsid w:val="00795C68"/>
    <w:rsid w:val="00796CA1"/>
    <w:rsid w:val="00796DD3"/>
    <w:rsid w:val="007971E5"/>
    <w:rsid w:val="007979BE"/>
    <w:rsid w:val="007A6D47"/>
    <w:rsid w:val="007B09AF"/>
    <w:rsid w:val="007B4849"/>
    <w:rsid w:val="007C2127"/>
    <w:rsid w:val="007C2C78"/>
    <w:rsid w:val="007C3F51"/>
    <w:rsid w:val="007D4DDB"/>
    <w:rsid w:val="007D6184"/>
    <w:rsid w:val="007E2F0F"/>
    <w:rsid w:val="007E677E"/>
    <w:rsid w:val="007F09E7"/>
    <w:rsid w:val="007F0EEC"/>
    <w:rsid w:val="007F1396"/>
    <w:rsid w:val="007F4AF8"/>
    <w:rsid w:val="007F7E5A"/>
    <w:rsid w:val="0080680B"/>
    <w:rsid w:val="00807DCB"/>
    <w:rsid w:val="00821124"/>
    <w:rsid w:val="00823FF6"/>
    <w:rsid w:val="008249D6"/>
    <w:rsid w:val="008251B2"/>
    <w:rsid w:val="00825C30"/>
    <w:rsid w:val="00830A4A"/>
    <w:rsid w:val="00831136"/>
    <w:rsid w:val="008355E6"/>
    <w:rsid w:val="008361CC"/>
    <w:rsid w:val="0084388C"/>
    <w:rsid w:val="00845ABB"/>
    <w:rsid w:val="008468D9"/>
    <w:rsid w:val="008469E5"/>
    <w:rsid w:val="00847127"/>
    <w:rsid w:val="0084739B"/>
    <w:rsid w:val="00855C46"/>
    <w:rsid w:val="00862F0B"/>
    <w:rsid w:val="008639CB"/>
    <w:rsid w:val="00864334"/>
    <w:rsid w:val="008650EC"/>
    <w:rsid w:val="008731A3"/>
    <w:rsid w:val="0088272F"/>
    <w:rsid w:val="008907DA"/>
    <w:rsid w:val="00894514"/>
    <w:rsid w:val="0089485D"/>
    <w:rsid w:val="00895A87"/>
    <w:rsid w:val="008970D1"/>
    <w:rsid w:val="008A2017"/>
    <w:rsid w:val="008A32DD"/>
    <w:rsid w:val="008A6511"/>
    <w:rsid w:val="008A6E5D"/>
    <w:rsid w:val="008B318D"/>
    <w:rsid w:val="008B6D2D"/>
    <w:rsid w:val="008B7408"/>
    <w:rsid w:val="008C0A81"/>
    <w:rsid w:val="008C378A"/>
    <w:rsid w:val="008C7022"/>
    <w:rsid w:val="008D098E"/>
    <w:rsid w:val="008D2C7E"/>
    <w:rsid w:val="008E3142"/>
    <w:rsid w:val="008E4691"/>
    <w:rsid w:val="008E51DE"/>
    <w:rsid w:val="008E6563"/>
    <w:rsid w:val="008E6AB5"/>
    <w:rsid w:val="008F28E9"/>
    <w:rsid w:val="008F38D8"/>
    <w:rsid w:val="008F7028"/>
    <w:rsid w:val="00902B1C"/>
    <w:rsid w:val="00902DC1"/>
    <w:rsid w:val="00911E6B"/>
    <w:rsid w:val="00913855"/>
    <w:rsid w:val="00913E5E"/>
    <w:rsid w:val="00922E30"/>
    <w:rsid w:val="009279FE"/>
    <w:rsid w:val="0093078E"/>
    <w:rsid w:val="00931D92"/>
    <w:rsid w:val="00931DAA"/>
    <w:rsid w:val="00934454"/>
    <w:rsid w:val="00936059"/>
    <w:rsid w:val="009410E7"/>
    <w:rsid w:val="00941ABD"/>
    <w:rsid w:val="00952A63"/>
    <w:rsid w:val="009567AC"/>
    <w:rsid w:val="00961DFA"/>
    <w:rsid w:val="009642EE"/>
    <w:rsid w:val="00965B13"/>
    <w:rsid w:val="009664A0"/>
    <w:rsid w:val="0096684A"/>
    <w:rsid w:val="00967ADA"/>
    <w:rsid w:val="00967F17"/>
    <w:rsid w:val="0097289C"/>
    <w:rsid w:val="00972B1A"/>
    <w:rsid w:val="00973F83"/>
    <w:rsid w:val="0097408F"/>
    <w:rsid w:val="00975630"/>
    <w:rsid w:val="00976E50"/>
    <w:rsid w:val="00982E0F"/>
    <w:rsid w:val="00983DD1"/>
    <w:rsid w:val="00983E1D"/>
    <w:rsid w:val="009856C7"/>
    <w:rsid w:val="00987E99"/>
    <w:rsid w:val="00991E74"/>
    <w:rsid w:val="009964E5"/>
    <w:rsid w:val="00996739"/>
    <w:rsid w:val="009A13A8"/>
    <w:rsid w:val="009A362F"/>
    <w:rsid w:val="009A4046"/>
    <w:rsid w:val="009A56A2"/>
    <w:rsid w:val="009A6BCA"/>
    <w:rsid w:val="009A7FB7"/>
    <w:rsid w:val="009B136C"/>
    <w:rsid w:val="009B2304"/>
    <w:rsid w:val="009B30A2"/>
    <w:rsid w:val="009B4DCA"/>
    <w:rsid w:val="009B5011"/>
    <w:rsid w:val="009C04FF"/>
    <w:rsid w:val="009C1F01"/>
    <w:rsid w:val="009C3DAC"/>
    <w:rsid w:val="009C43DB"/>
    <w:rsid w:val="009C5A88"/>
    <w:rsid w:val="009D022E"/>
    <w:rsid w:val="009D0F85"/>
    <w:rsid w:val="009D460E"/>
    <w:rsid w:val="009D700A"/>
    <w:rsid w:val="009E0A74"/>
    <w:rsid w:val="009E193D"/>
    <w:rsid w:val="009E4FD7"/>
    <w:rsid w:val="009E5B51"/>
    <w:rsid w:val="009E6220"/>
    <w:rsid w:val="009E6AE1"/>
    <w:rsid w:val="009F0707"/>
    <w:rsid w:val="009F081E"/>
    <w:rsid w:val="009F2B6E"/>
    <w:rsid w:val="009F77CE"/>
    <w:rsid w:val="00A04263"/>
    <w:rsid w:val="00A048C2"/>
    <w:rsid w:val="00A04EA0"/>
    <w:rsid w:val="00A06A63"/>
    <w:rsid w:val="00A1028C"/>
    <w:rsid w:val="00A10714"/>
    <w:rsid w:val="00A10E10"/>
    <w:rsid w:val="00A21FEC"/>
    <w:rsid w:val="00A242F8"/>
    <w:rsid w:val="00A27B2A"/>
    <w:rsid w:val="00A346C2"/>
    <w:rsid w:val="00A3481C"/>
    <w:rsid w:val="00A37A84"/>
    <w:rsid w:val="00A40EA6"/>
    <w:rsid w:val="00A466EA"/>
    <w:rsid w:val="00A536D8"/>
    <w:rsid w:val="00A5505F"/>
    <w:rsid w:val="00A5698B"/>
    <w:rsid w:val="00A6284F"/>
    <w:rsid w:val="00A71F79"/>
    <w:rsid w:val="00A74427"/>
    <w:rsid w:val="00A8095C"/>
    <w:rsid w:val="00A81DCB"/>
    <w:rsid w:val="00A81E6D"/>
    <w:rsid w:val="00A824DC"/>
    <w:rsid w:val="00A8485E"/>
    <w:rsid w:val="00A84B44"/>
    <w:rsid w:val="00A90DF2"/>
    <w:rsid w:val="00A91999"/>
    <w:rsid w:val="00A9383E"/>
    <w:rsid w:val="00A96199"/>
    <w:rsid w:val="00AA078B"/>
    <w:rsid w:val="00AA5A32"/>
    <w:rsid w:val="00AA5D8D"/>
    <w:rsid w:val="00AA60BB"/>
    <w:rsid w:val="00AB0D89"/>
    <w:rsid w:val="00AB2919"/>
    <w:rsid w:val="00AB65EF"/>
    <w:rsid w:val="00AB7CDA"/>
    <w:rsid w:val="00AC19ED"/>
    <w:rsid w:val="00AC774A"/>
    <w:rsid w:val="00AD1B48"/>
    <w:rsid w:val="00AD2764"/>
    <w:rsid w:val="00AD66A6"/>
    <w:rsid w:val="00AE0959"/>
    <w:rsid w:val="00AE28F5"/>
    <w:rsid w:val="00AE335A"/>
    <w:rsid w:val="00AE384B"/>
    <w:rsid w:val="00AE5D6C"/>
    <w:rsid w:val="00AF2D24"/>
    <w:rsid w:val="00B01EB9"/>
    <w:rsid w:val="00B05265"/>
    <w:rsid w:val="00B10B8D"/>
    <w:rsid w:val="00B110DD"/>
    <w:rsid w:val="00B21A5F"/>
    <w:rsid w:val="00B2450E"/>
    <w:rsid w:val="00B2618F"/>
    <w:rsid w:val="00B27460"/>
    <w:rsid w:val="00B27C8E"/>
    <w:rsid w:val="00B30459"/>
    <w:rsid w:val="00B33BEB"/>
    <w:rsid w:val="00B40AA4"/>
    <w:rsid w:val="00B4675F"/>
    <w:rsid w:val="00B46AE9"/>
    <w:rsid w:val="00B501B2"/>
    <w:rsid w:val="00B50C4E"/>
    <w:rsid w:val="00B5306F"/>
    <w:rsid w:val="00B53465"/>
    <w:rsid w:val="00B545F3"/>
    <w:rsid w:val="00B55FD2"/>
    <w:rsid w:val="00B5681A"/>
    <w:rsid w:val="00B60CCD"/>
    <w:rsid w:val="00B611B9"/>
    <w:rsid w:val="00B6711D"/>
    <w:rsid w:val="00B6728E"/>
    <w:rsid w:val="00B81C4E"/>
    <w:rsid w:val="00B83983"/>
    <w:rsid w:val="00B85E7B"/>
    <w:rsid w:val="00B90AE1"/>
    <w:rsid w:val="00B933EA"/>
    <w:rsid w:val="00B95CB5"/>
    <w:rsid w:val="00B96A05"/>
    <w:rsid w:val="00B96F88"/>
    <w:rsid w:val="00B97AF7"/>
    <w:rsid w:val="00BA2B58"/>
    <w:rsid w:val="00BA4758"/>
    <w:rsid w:val="00BB0262"/>
    <w:rsid w:val="00BB5BEF"/>
    <w:rsid w:val="00BC2C5B"/>
    <w:rsid w:val="00BC372E"/>
    <w:rsid w:val="00BC3FA8"/>
    <w:rsid w:val="00BC461F"/>
    <w:rsid w:val="00BC71CD"/>
    <w:rsid w:val="00BD0D6D"/>
    <w:rsid w:val="00BD183C"/>
    <w:rsid w:val="00BD28C3"/>
    <w:rsid w:val="00BD4FC5"/>
    <w:rsid w:val="00BD5799"/>
    <w:rsid w:val="00BD7D56"/>
    <w:rsid w:val="00BE2636"/>
    <w:rsid w:val="00BE297A"/>
    <w:rsid w:val="00BE7F9B"/>
    <w:rsid w:val="00BF2F2C"/>
    <w:rsid w:val="00BF46A3"/>
    <w:rsid w:val="00C00AAE"/>
    <w:rsid w:val="00C0125D"/>
    <w:rsid w:val="00C030A4"/>
    <w:rsid w:val="00C111A2"/>
    <w:rsid w:val="00C16E64"/>
    <w:rsid w:val="00C17142"/>
    <w:rsid w:val="00C17BBD"/>
    <w:rsid w:val="00C253D5"/>
    <w:rsid w:val="00C30791"/>
    <w:rsid w:val="00C30E8D"/>
    <w:rsid w:val="00C32B2A"/>
    <w:rsid w:val="00C333DB"/>
    <w:rsid w:val="00C3373E"/>
    <w:rsid w:val="00C34F04"/>
    <w:rsid w:val="00C36A26"/>
    <w:rsid w:val="00C41221"/>
    <w:rsid w:val="00C43CA7"/>
    <w:rsid w:val="00C4652D"/>
    <w:rsid w:val="00C52BF5"/>
    <w:rsid w:val="00C55151"/>
    <w:rsid w:val="00C6020A"/>
    <w:rsid w:val="00C610AB"/>
    <w:rsid w:val="00C61D96"/>
    <w:rsid w:val="00C6220C"/>
    <w:rsid w:val="00C64657"/>
    <w:rsid w:val="00C64B97"/>
    <w:rsid w:val="00C65E8D"/>
    <w:rsid w:val="00C74359"/>
    <w:rsid w:val="00C83E0E"/>
    <w:rsid w:val="00C84402"/>
    <w:rsid w:val="00C8698E"/>
    <w:rsid w:val="00C90C0A"/>
    <w:rsid w:val="00C91868"/>
    <w:rsid w:val="00C97C05"/>
    <w:rsid w:val="00CA05AF"/>
    <w:rsid w:val="00CA6156"/>
    <w:rsid w:val="00CB232A"/>
    <w:rsid w:val="00CB4EF4"/>
    <w:rsid w:val="00CB5721"/>
    <w:rsid w:val="00CB5D0F"/>
    <w:rsid w:val="00CC057D"/>
    <w:rsid w:val="00CC1579"/>
    <w:rsid w:val="00CC5106"/>
    <w:rsid w:val="00CD65CD"/>
    <w:rsid w:val="00CE3DD5"/>
    <w:rsid w:val="00CE4D12"/>
    <w:rsid w:val="00CE6088"/>
    <w:rsid w:val="00CF1CFB"/>
    <w:rsid w:val="00CF356B"/>
    <w:rsid w:val="00CF3C37"/>
    <w:rsid w:val="00CF4385"/>
    <w:rsid w:val="00D00880"/>
    <w:rsid w:val="00D042AB"/>
    <w:rsid w:val="00D06048"/>
    <w:rsid w:val="00D13311"/>
    <w:rsid w:val="00D15DC3"/>
    <w:rsid w:val="00D16841"/>
    <w:rsid w:val="00D2035A"/>
    <w:rsid w:val="00D2196B"/>
    <w:rsid w:val="00D22D9B"/>
    <w:rsid w:val="00D23A6D"/>
    <w:rsid w:val="00D242E4"/>
    <w:rsid w:val="00D256C0"/>
    <w:rsid w:val="00D26329"/>
    <w:rsid w:val="00D316C8"/>
    <w:rsid w:val="00D341ED"/>
    <w:rsid w:val="00D345D1"/>
    <w:rsid w:val="00D349B0"/>
    <w:rsid w:val="00D3534E"/>
    <w:rsid w:val="00D36451"/>
    <w:rsid w:val="00D4216F"/>
    <w:rsid w:val="00D44DD9"/>
    <w:rsid w:val="00D47F3C"/>
    <w:rsid w:val="00D5365F"/>
    <w:rsid w:val="00D57563"/>
    <w:rsid w:val="00D60234"/>
    <w:rsid w:val="00D652D8"/>
    <w:rsid w:val="00D6537A"/>
    <w:rsid w:val="00D67910"/>
    <w:rsid w:val="00D855FC"/>
    <w:rsid w:val="00D85A7E"/>
    <w:rsid w:val="00D9169C"/>
    <w:rsid w:val="00D96804"/>
    <w:rsid w:val="00DA065D"/>
    <w:rsid w:val="00DA4F2C"/>
    <w:rsid w:val="00DA7A2B"/>
    <w:rsid w:val="00DB00F4"/>
    <w:rsid w:val="00DB0AA2"/>
    <w:rsid w:val="00DB1609"/>
    <w:rsid w:val="00DB169B"/>
    <w:rsid w:val="00DC2853"/>
    <w:rsid w:val="00DC47CF"/>
    <w:rsid w:val="00DC54B6"/>
    <w:rsid w:val="00DC674E"/>
    <w:rsid w:val="00DD177C"/>
    <w:rsid w:val="00DD212F"/>
    <w:rsid w:val="00DD2DE7"/>
    <w:rsid w:val="00DD3711"/>
    <w:rsid w:val="00DD4B4E"/>
    <w:rsid w:val="00DD5A99"/>
    <w:rsid w:val="00DE3FB6"/>
    <w:rsid w:val="00DE6881"/>
    <w:rsid w:val="00DF265A"/>
    <w:rsid w:val="00DF3082"/>
    <w:rsid w:val="00DF65BE"/>
    <w:rsid w:val="00E04A07"/>
    <w:rsid w:val="00E058B1"/>
    <w:rsid w:val="00E070B8"/>
    <w:rsid w:val="00E1243A"/>
    <w:rsid w:val="00E12575"/>
    <w:rsid w:val="00E13AF5"/>
    <w:rsid w:val="00E163C3"/>
    <w:rsid w:val="00E17A6E"/>
    <w:rsid w:val="00E26101"/>
    <w:rsid w:val="00E27A94"/>
    <w:rsid w:val="00E35E96"/>
    <w:rsid w:val="00E43713"/>
    <w:rsid w:val="00E44BE5"/>
    <w:rsid w:val="00E44BF0"/>
    <w:rsid w:val="00E450DB"/>
    <w:rsid w:val="00E46671"/>
    <w:rsid w:val="00E54093"/>
    <w:rsid w:val="00E54930"/>
    <w:rsid w:val="00E559E3"/>
    <w:rsid w:val="00E64E43"/>
    <w:rsid w:val="00E70D17"/>
    <w:rsid w:val="00E7146F"/>
    <w:rsid w:val="00E8130E"/>
    <w:rsid w:val="00E84A97"/>
    <w:rsid w:val="00E85394"/>
    <w:rsid w:val="00E85F32"/>
    <w:rsid w:val="00E87D6A"/>
    <w:rsid w:val="00E90EFF"/>
    <w:rsid w:val="00E96E4A"/>
    <w:rsid w:val="00EB1884"/>
    <w:rsid w:val="00EB3201"/>
    <w:rsid w:val="00EB36DC"/>
    <w:rsid w:val="00EB4DE5"/>
    <w:rsid w:val="00EB65A3"/>
    <w:rsid w:val="00EB6884"/>
    <w:rsid w:val="00EB7B52"/>
    <w:rsid w:val="00EC05E5"/>
    <w:rsid w:val="00EC14C9"/>
    <w:rsid w:val="00EC1D89"/>
    <w:rsid w:val="00EC6F88"/>
    <w:rsid w:val="00ED0091"/>
    <w:rsid w:val="00ED0595"/>
    <w:rsid w:val="00ED0E52"/>
    <w:rsid w:val="00ED0F76"/>
    <w:rsid w:val="00ED3100"/>
    <w:rsid w:val="00ED3CEE"/>
    <w:rsid w:val="00ED3CF8"/>
    <w:rsid w:val="00ED47E2"/>
    <w:rsid w:val="00ED65F6"/>
    <w:rsid w:val="00EE4F73"/>
    <w:rsid w:val="00EE5E27"/>
    <w:rsid w:val="00EE5F65"/>
    <w:rsid w:val="00EE7508"/>
    <w:rsid w:val="00EF2E67"/>
    <w:rsid w:val="00EF45FD"/>
    <w:rsid w:val="00F07DFE"/>
    <w:rsid w:val="00F1008F"/>
    <w:rsid w:val="00F13B27"/>
    <w:rsid w:val="00F15ADA"/>
    <w:rsid w:val="00F2095E"/>
    <w:rsid w:val="00F20EBB"/>
    <w:rsid w:val="00F224C8"/>
    <w:rsid w:val="00F2496F"/>
    <w:rsid w:val="00F25EFB"/>
    <w:rsid w:val="00F32CE8"/>
    <w:rsid w:val="00F35D0C"/>
    <w:rsid w:val="00F367C6"/>
    <w:rsid w:val="00F372C2"/>
    <w:rsid w:val="00F4601F"/>
    <w:rsid w:val="00F50334"/>
    <w:rsid w:val="00F60C35"/>
    <w:rsid w:val="00F60E64"/>
    <w:rsid w:val="00F61702"/>
    <w:rsid w:val="00F62730"/>
    <w:rsid w:val="00F62C3B"/>
    <w:rsid w:val="00F66063"/>
    <w:rsid w:val="00F669EA"/>
    <w:rsid w:val="00F67D46"/>
    <w:rsid w:val="00F707B0"/>
    <w:rsid w:val="00F70AF0"/>
    <w:rsid w:val="00F72908"/>
    <w:rsid w:val="00F77619"/>
    <w:rsid w:val="00F8199C"/>
    <w:rsid w:val="00F82029"/>
    <w:rsid w:val="00F83C7F"/>
    <w:rsid w:val="00F85888"/>
    <w:rsid w:val="00F87767"/>
    <w:rsid w:val="00F94469"/>
    <w:rsid w:val="00FA60C5"/>
    <w:rsid w:val="00FA717F"/>
    <w:rsid w:val="00FB2AC9"/>
    <w:rsid w:val="00FB579C"/>
    <w:rsid w:val="00FB6CA5"/>
    <w:rsid w:val="00FB7C51"/>
    <w:rsid w:val="00FC3626"/>
    <w:rsid w:val="00FC59D2"/>
    <w:rsid w:val="00FC7F96"/>
    <w:rsid w:val="00FD576D"/>
    <w:rsid w:val="00FD5ED8"/>
    <w:rsid w:val="00FD65C8"/>
    <w:rsid w:val="00FE0A83"/>
    <w:rsid w:val="00FE0E72"/>
    <w:rsid w:val="00FE541B"/>
    <w:rsid w:val="00FF59B5"/>
    <w:rsid w:val="00FF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E27DC"/>
  <w15:chartTrackingRefBased/>
  <w15:docId w15:val="{D1C72172-9C02-4C12-8F07-2DB147FD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FF1"/>
    <w:pPr>
      <w:widowControl w:val="0"/>
    </w:pPr>
    <w:rPr>
      <w:rFonts w:ascii="CG Omega" w:hAnsi="CG Omega"/>
      <w:snapToGrid w:val="0"/>
      <w:sz w:val="24"/>
    </w:rPr>
  </w:style>
  <w:style w:type="paragraph" w:styleId="Heading1">
    <w:name w:val="heading 1"/>
    <w:basedOn w:val="Normal"/>
    <w:next w:val="ParaNum"/>
    <w:link w:val="Heading1Char"/>
    <w:qFormat/>
    <w:rsid w:val="002C595B"/>
    <w:pPr>
      <w:keepNext/>
      <w:numPr>
        <w:numId w:val="9"/>
      </w:numPr>
      <w:tabs>
        <w:tab w:val="left" w:pos="720"/>
      </w:tabs>
      <w:suppressAutoHyphens/>
      <w:spacing w:after="120"/>
      <w:outlineLvl w:val="0"/>
    </w:pPr>
    <w:rPr>
      <w:rFonts w:ascii="Times New Roman Bold" w:hAnsi="Times New Roman Bold"/>
      <w:b/>
      <w:caps/>
      <w:kern w:val="28"/>
      <w:sz w:val="22"/>
    </w:rPr>
  </w:style>
  <w:style w:type="paragraph" w:styleId="Heading2">
    <w:name w:val="heading 2"/>
    <w:basedOn w:val="Normal"/>
    <w:next w:val="ParaNum"/>
    <w:link w:val="Heading2Char"/>
    <w:autoRedefine/>
    <w:qFormat/>
    <w:rsid w:val="002C595B"/>
    <w:pPr>
      <w:keepNext/>
      <w:numPr>
        <w:ilvl w:val="1"/>
        <w:numId w:val="9"/>
      </w:numPr>
      <w:spacing w:after="120"/>
      <w:outlineLvl w:val="1"/>
    </w:pPr>
    <w:rPr>
      <w:rFonts w:ascii="Times New Roman" w:hAnsi="Times New Roman"/>
      <w:b/>
      <w:kern w:val="28"/>
      <w:sz w:val="22"/>
    </w:rPr>
  </w:style>
  <w:style w:type="paragraph" w:styleId="Heading3">
    <w:name w:val="heading 3"/>
    <w:basedOn w:val="Normal"/>
    <w:next w:val="ParaNum"/>
    <w:link w:val="Heading3Char"/>
    <w:qFormat/>
    <w:rsid w:val="002C595B"/>
    <w:pPr>
      <w:keepNext/>
      <w:numPr>
        <w:ilvl w:val="2"/>
        <w:numId w:val="9"/>
      </w:numPr>
      <w:tabs>
        <w:tab w:val="left" w:pos="2160"/>
      </w:tabs>
      <w:spacing w:after="120"/>
      <w:outlineLvl w:val="2"/>
    </w:pPr>
    <w:rPr>
      <w:rFonts w:ascii="Times New Roman" w:hAnsi="Times New Roman"/>
      <w:b/>
      <w:kern w:val="28"/>
      <w:sz w:val="22"/>
    </w:rPr>
  </w:style>
  <w:style w:type="paragraph" w:styleId="Heading4">
    <w:name w:val="heading 4"/>
    <w:basedOn w:val="Normal"/>
    <w:next w:val="ParaNum"/>
    <w:link w:val="Heading4Char"/>
    <w:qFormat/>
    <w:rsid w:val="002C595B"/>
    <w:pPr>
      <w:keepNext/>
      <w:numPr>
        <w:ilvl w:val="3"/>
        <w:numId w:val="9"/>
      </w:numPr>
      <w:tabs>
        <w:tab w:val="left" w:pos="2880"/>
      </w:tabs>
      <w:spacing w:after="120"/>
      <w:outlineLvl w:val="3"/>
    </w:pPr>
    <w:rPr>
      <w:rFonts w:ascii="Times New Roman" w:hAnsi="Times New Roman"/>
      <w:b/>
      <w:kern w:val="28"/>
      <w:sz w:val="22"/>
    </w:rPr>
  </w:style>
  <w:style w:type="paragraph" w:styleId="Heading5">
    <w:name w:val="heading 5"/>
    <w:basedOn w:val="Normal"/>
    <w:next w:val="ParaNum"/>
    <w:link w:val="Heading5Char"/>
    <w:qFormat/>
    <w:rsid w:val="002C595B"/>
    <w:pPr>
      <w:keepNext/>
      <w:numPr>
        <w:ilvl w:val="4"/>
        <w:numId w:val="9"/>
      </w:numPr>
      <w:tabs>
        <w:tab w:val="left" w:pos="3600"/>
      </w:tabs>
      <w:suppressAutoHyphens/>
      <w:spacing w:after="120"/>
      <w:outlineLvl w:val="4"/>
    </w:pPr>
    <w:rPr>
      <w:rFonts w:ascii="Times New Roman" w:hAnsi="Times New Roman"/>
      <w:b/>
      <w:kern w:val="28"/>
      <w:sz w:val="22"/>
    </w:rPr>
  </w:style>
  <w:style w:type="paragraph" w:styleId="Heading6">
    <w:name w:val="heading 6"/>
    <w:basedOn w:val="Normal"/>
    <w:next w:val="ParaNum"/>
    <w:link w:val="Heading6Char"/>
    <w:qFormat/>
    <w:rsid w:val="002C595B"/>
    <w:pPr>
      <w:numPr>
        <w:ilvl w:val="5"/>
        <w:numId w:val="9"/>
      </w:numPr>
      <w:tabs>
        <w:tab w:val="left" w:pos="4320"/>
      </w:tabs>
      <w:spacing w:after="120"/>
      <w:outlineLvl w:val="5"/>
    </w:pPr>
    <w:rPr>
      <w:rFonts w:ascii="Times New Roman" w:hAnsi="Times New Roman"/>
      <w:b/>
      <w:kern w:val="28"/>
      <w:sz w:val="22"/>
    </w:rPr>
  </w:style>
  <w:style w:type="paragraph" w:styleId="Heading7">
    <w:name w:val="heading 7"/>
    <w:basedOn w:val="Normal"/>
    <w:next w:val="ParaNum"/>
    <w:link w:val="Heading7Char"/>
    <w:qFormat/>
    <w:rsid w:val="002C595B"/>
    <w:pPr>
      <w:numPr>
        <w:ilvl w:val="6"/>
        <w:numId w:val="9"/>
      </w:numPr>
      <w:tabs>
        <w:tab w:val="left" w:pos="5040"/>
      </w:tabs>
      <w:spacing w:after="120"/>
      <w:ind w:left="5040" w:hanging="720"/>
      <w:outlineLvl w:val="6"/>
    </w:pPr>
    <w:rPr>
      <w:rFonts w:ascii="Times New Roman" w:hAnsi="Times New Roman"/>
      <w:b/>
      <w:kern w:val="28"/>
      <w:sz w:val="22"/>
    </w:rPr>
  </w:style>
  <w:style w:type="paragraph" w:styleId="Heading8">
    <w:name w:val="heading 8"/>
    <w:basedOn w:val="Normal"/>
    <w:next w:val="ParaNum"/>
    <w:link w:val="Heading8Char"/>
    <w:qFormat/>
    <w:rsid w:val="002C595B"/>
    <w:pPr>
      <w:numPr>
        <w:ilvl w:val="7"/>
        <w:numId w:val="9"/>
      </w:numPr>
      <w:tabs>
        <w:tab w:val="clear" w:pos="5400"/>
        <w:tab w:val="left" w:pos="5760"/>
      </w:tabs>
      <w:spacing w:after="120"/>
      <w:ind w:left="5760" w:hanging="720"/>
      <w:outlineLvl w:val="7"/>
    </w:pPr>
    <w:rPr>
      <w:rFonts w:ascii="Times New Roman" w:hAnsi="Times New Roman"/>
      <w:b/>
      <w:kern w:val="28"/>
      <w:sz w:val="22"/>
    </w:rPr>
  </w:style>
  <w:style w:type="paragraph" w:styleId="Heading9">
    <w:name w:val="heading 9"/>
    <w:basedOn w:val="Normal"/>
    <w:next w:val="ParaNum"/>
    <w:link w:val="Heading9Char"/>
    <w:qFormat/>
    <w:rsid w:val="002C595B"/>
    <w:pPr>
      <w:numPr>
        <w:ilvl w:val="8"/>
        <w:numId w:val="9"/>
      </w:numPr>
      <w:tabs>
        <w:tab w:val="clear" w:pos="6120"/>
        <w:tab w:val="left" w:pos="6480"/>
      </w:tabs>
      <w:spacing w:after="120"/>
      <w:ind w:left="6480" w:hanging="720"/>
      <w:outlineLvl w:val="8"/>
    </w:pPr>
    <w:rPr>
      <w:rFonts w:ascii="Times New Roman" w:hAnsi="Times New Roman"/>
      <w:b/>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1"/>
    <w:rsid w:val="002C595B"/>
    <w:pPr>
      <w:numPr>
        <w:numId w:val="8"/>
      </w:numPr>
      <w:tabs>
        <w:tab w:val="clear" w:pos="1080"/>
        <w:tab w:val="num" w:pos="1440"/>
      </w:tabs>
      <w:spacing w:after="120"/>
    </w:pPr>
    <w:rPr>
      <w:rFonts w:ascii="Times New Roman" w:hAnsi="Times New Roman"/>
      <w:kern w:val="28"/>
      <w:sz w:val="22"/>
    </w:rPr>
  </w:style>
  <w:style w:type="character" w:customStyle="1" w:styleId="Heading1Char">
    <w:name w:val="Heading 1 Char"/>
    <w:link w:val="Heading1"/>
    <w:rsid w:val="002C595B"/>
    <w:rPr>
      <w:rFonts w:ascii="Times New Roman Bold" w:hAnsi="Times New Roman Bold"/>
      <w:b/>
      <w:caps/>
      <w:snapToGrid w:val="0"/>
      <w:kern w:val="28"/>
      <w:sz w:val="22"/>
    </w:rPr>
  </w:style>
  <w:style w:type="character" w:customStyle="1" w:styleId="Heading2Char">
    <w:name w:val="Heading 2 Char"/>
    <w:link w:val="Heading2"/>
    <w:rsid w:val="002C595B"/>
    <w:rPr>
      <w:b/>
      <w:snapToGrid w:val="0"/>
      <w:kern w:val="28"/>
      <w:sz w:val="22"/>
    </w:rPr>
  </w:style>
  <w:style w:type="character" w:customStyle="1" w:styleId="Heading3Char">
    <w:name w:val="Heading 3 Char"/>
    <w:link w:val="Heading3"/>
    <w:rsid w:val="002C595B"/>
    <w:rPr>
      <w:b/>
      <w:snapToGrid w:val="0"/>
      <w:kern w:val="28"/>
      <w:sz w:val="22"/>
    </w:rPr>
  </w:style>
  <w:style w:type="character" w:customStyle="1" w:styleId="Heading4Char">
    <w:name w:val="Heading 4 Char"/>
    <w:link w:val="Heading4"/>
    <w:rsid w:val="002C595B"/>
    <w:rPr>
      <w:b/>
      <w:snapToGrid w:val="0"/>
      <w:kern w:val="28"/>
      <w:sz w:val="22"/>
    </w:rPr>
  </w:style>
  <w:style w:type="character" w:customStyle="1" w:styleId="Heading5Char">
    <w:name w:val="Heading 5 Char"/>
    <w:link w:val="Heading5"/>
    <w:rsid w:val="002C595B"/>
    <w:rPr>
      <w:b/>
      <w:snapToGrid w:val="0"/>
      <w:kern w:val="28"/>
      <w:sz w:val="22"/>
    </w:rPr>
  </w:style>
  <w:style w:type="character" w:customStyle="1" w:styleId="Heading6Char">
    <w:name w:val="Heading 6 Char"/>
    <w:link w:val="Heading6"/>
    <w:rsid w:val="002C595B"/>
    <w:rPr>
      <w:b/>
      <w:snapToGrid w:val="0"/>
      <w:kern w:val="28"/>
      <w:sz w:val="22"/>
    </w:rPr>
  </w:style>
  <w:style w:type="character" w:customStyle="1" w:styleId="Heading7Char">
    <w:name w:val="Heading 7 Char"/>
    <w:link w:val="Heading7"/>
    <w:rsid w:val="002C595B"/>
    <w:rPr>
      <w:b/>
      <w:snapToGrid w:val="0"/>
      <w:kern w:val="28"/>
      <w:sz w:val="22"/>
    </w:rPr>
  </w:style>
  <w:style w:type="character" w:customStyle="1" w:styleId="Heading8Char">
    <w:name w:val="Heading 8 Char"/>
    <w:link w:val="Heading8"/>
    <w:rsid w:val="002C595B"/>
    <w:rPr>
      <w:b/>
      <w:snapToGrid w:val="0"/>
      <w:kern w:val="28"/>
      <w:sz w:val="22"/>
    </w:rPr>
  </w:style>
  <w:style w:type="character" w:customStyle="1" w:styleId="Heading9Char">
    <w:name w:val="Heading 9 Char"/>
    <w:link w:val="Heading9"/>
    <w:rsid w:val="002C595B"/>
    <w:rPr>
      <w:b/>
      <w:snapToGrid w:val="0"/>
      <w:kern w:val="28"/>
      <w:sz w:val="22"/>
    </w:rPr>
  </w:style>
  <w:style w:type="paragraph" w:styleId="EndnoteText">
    <w:name w:val="endnote text"/>
    <w:basedOn w:val="Normal"/>
    <w:link w:val="EndnoteTextChar"/>
    <w:semiHidden/>
  </w:style>
  <w:style w:type="character" w:customStyle="1" w:styleId="EndnoteTextChar">
    <w:name w:val="Endnote Text Char"/>
    <w:link w:val="EndnoteText"/>
    <w:semiHidden/>
    <w:rsid w:val="002C595B"/>
    <w:rPr>
      <w:rFonts w:ascii="CG Omega" w:hAnsi="CG Omega"/>
      <w:snapToGrid w:val="0"/>
      <w:sz w:val="24"/>
    </w:rPr>
  </w:style>
  <w:style w:type="character" w:styleId="EndnoteReference">
    <w:name w:val="endnote reference"/>
    <w:semiHidden/>
    <w:rPr>
      <w:vertAlign w:val="superscript"/>
    </w:rPr>
  </w:style>
  <w:style w:type="paragraph" w:styleId="FootnoteText">
    <w:name w:val="footnote text"/>
    <w:aliases w:val="Footnote Text Char,Footnote Text Char1 Char,Footnote Text Char3 Char1 Char,Footnote Text Char Char Char Char1,Footnote Text Char1 Char Char1 Char1 Char,Footnote Text Char Char Char Char1 Char1 Char,Footnote Text Char Char1 Char,fn Char Cha"/>
    <w:basedOn w:val="Normal"/>
    <w:link w:val="FootnoteTextChar1"/>
  </w:style>
  <w:style w:type="character" w:customStyle="1" w:styleId="FootnoteTextChar1">
    <w:name w:val="Footnote Text Char1"/>
    <w:aliases w:val="Footnote Text Char Char,Footnote Text Char1 Char Char,Footnote Text Char3 Char1 Char Char,Footnote Text Char Char Char Char1 Char,Footnote Text Char1 Char Char1 Char1 Char Char,Footnote Text Char Char Char Char1 Char1 Char Char"/>
    <w:link w:val="FootnoteText"/>
    <w:rsid w:val="00796CA1"/>
    <w:rPr>
      <w:rFonts w:ascii="CG Omega" w:hAnsi="CG Omega"/>
      <w:snapToGrid w:val="0"/>
      <w:sz w:val="24"/>
    </w:rPr>
  </w:style>
  <w:style w:type="character" w:styleId="FootnoteReference">
    <w:name w:val="footnote reference"/>
    <w:aliases w:val="(NECG) Footnote Reference,Appel note de bas de p,Style 124,Style 12,o,fr,Style 13,FR,Style 17,Footnote Reference/,-E Funotenzeichen,A,Footnote Reference1,Ref,Style 1,Style 20,Style 3,Style 34,Style 4,Style 6,Style 7,Style 9,callout"/>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Omega" w:hAnsi="CG Omeg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G Omega" w:hAnsi="CG Omeg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G Omega" w:hAnsi="CG Omega"/>
      <w:noProof w:val="0"/>
      <w:sz w:val="24"/>
      <w:lang w:val="en-US"/>
    </w:rPr>
  </w:style>
  <w:style w:type="paragraph" w:customStyle="1" w:styleId="Document1">
    <w:name w:val="Document 1"/>
    <w:pPr>
      <w:keepNext/>
      <w:keepLines/>
      <w:widowControl w:val="0"/>
      <w:tabs>
        <w:tab w:val="left" w:pos="-720"/>
      </w:tabs>
      <w:suppressAutoHyphens/>
    </w:pPr>
    <w:rPr>
      <w:rFonts w:ascii="CG Omega" w:hAnsi="CG Omeg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Omega" w:hAnsi="CG Omega"/>
      <w:noProof w:val="0"/>
      <w:sz w:val="24"/>
      <w:lang w:val="en-US"/>
    </w:rPr>
  </w:style>
  <w:style w:type="character" w:customStyle="1" w:styleId="Technical3">
    <w:name w:val="Technical 3"/>
    <w:rPr>
      <w:rFonts w:ascii="CG Omega" w:hAnsi="CG Omega"/>
      <w:noProof w:val="0"/>
      <w:sz w:val="24"/>
      <w:lang w:val="en-US"/>
    </w:rPr>
  </w:style>
  <w:style w:type="character" w:customStyle="1" w:styleId="Technical4">
    <w:name w:val="Technical 4"/>
    <w:basedOn w:val="DefaultParagraphFont"/>
  </w:style>
  <w:style w:type="character" w:customStyle="1" w:styleId="Technical1">
    <w:name w:val="Technical 1"/>
    <w:rPr>
      <w:rFonts w:ascii="CG Omega" w:hAnsi="CG Omeg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2C595B"/>
    <w:rPr>
      <w:rFonts w:ascii="CG Omega" w:hAnsi="CG Omega"/>
      <w:snapToGrid w:val="0"/>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2C595B"/>
    <w:rPr>
      <w:rFonts w:ascii="CG Omega" w:hAnsi="CG Omega"/>
      <w:snapToGrid w:val="0"/>
      <w:sz w:val="24"/>
    </w:rPr>
  </w:style>
  <w:style w:type="character" w:styleId="PageNumber">
    <w:name w:val="page number"/>
    <w:basedOn w:val="DefaultParagraphFont"/>
  </w:style>
  <w:style w:type="paragraph" w:styleId="BodyText">
    <w:name w:val="Body Text"/>
    <w:basedOn w:val="Normal"/>
    <w:link w:val="BodyTextChar"/>
    <w:pPr>
      <w:suppressAutoHyphens/>
      <w:jc w:val="both"/>
    </w:pPr>
    <w:rPr>
      <w:rFonts w:ascii="Times New Roman" w:hAnsi="Times New Roman"/>
      <w:b/>
      <w:spacing w:val="-3"/>
      <w:sz w:val="22"/>
      <w:szCs w:val="22"/>
      <w:u w:val="single"/>
    </w:rPr>
  </w:style>
  <w:style w:type="character" w:customStyle="1" w:styleId="BodyTextChar">
    <w:name w:val="Body Text Char"/>
    <w:link w:val="BodyText"/>
    <w:rsid w:val="00534C88"/>
    <w:rPr>
      <w:b/>
      <w:snapToGrid w:val="0"/>
      <w:spacing w:val="-3"/>
      <w:sz w:val="22"/>
      <w:szCs w:val="22"/>
      <w:u w:val="single"/>
      <w:lang w:val="en-US" w:eastAsia="en-US" w:bidi="ar-S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2C595B"/>
    <w:rPr>
      <w:rFonts w:ascii="Tahoma" w:hAnsi="Tahoma" w:cs="Tahoma"/>
      <w:snapToGrid w:val="0"/>
      <w:sz w:val="16"/>
      <w:szCs w:val="16"/>
    </w:rPr>
  </w:style>
  <w:style w:type="character" w:customStyle="1" w:styleId="footnoteref">
    <w:name w:val="footnote ref"/>
    <w:rPr>
      <w:rFonts w:ascii="CG Omega" w:hAnsi="CG Omega"/>
      <w:noProof w:val="0"/>
      <w:sz w:val="24"/>
      <w:vertAlign w:val="superscript"/>
      <w:lang w:val="en-US"/>
    </w:rPr>
  </w:style>
  <w:style w:type="paragraph" w:styleId="NormalWeb">
    <w:name w:val="Normal (Web)"/>
    <w:basedOn w:val="Normal"/>
    <w:pPr>
      <w:widowControl/>
      <w:spacing w:before="100" w:beforeAutospacing="1" w:after="100" w:afterAutospacing="1"/>
    </w:pPr>
    <w:rPr>
      <w:rFonts w:ascii="Times New Roman" w:hAnsi="Times New Roman"/>
      <w:snapToGrid/>
      <w:szCs w:val="24"/>
    </w:rPr>
  </w:style>
  <w:style w:type="character" w:styleId="Hyperlink">
    <w:name w:val="Hyperlink"/>
    <w:rPr>
      <w:color w:val="0000FF"/>
      <w:u w:val="single"/>
    </w:rPr>
  </w:style>
  <w:style w:type="paragraph" w:styleId="Title">
    <w:name w:val="Title"/>
    <w:basedOn w:val="Normal"/>
    <w:qFormat/>
    <w:pPr>
      <w:suppressAutoHyphens/>
      <w:jc w:val="center"/>
    </w:pPr>
    <w:rPr>
      <w:rFonts w:ascii="Times New Roman" w:hAnsi="Times New Roman"/>
      <w:b/>
      <w:sz w:val="22"/>
      <w:szCs w:val="22"/>
    </w:rPr>
  </w:style>
  <w:style w:type="character" w:styleId="Strong">
    <w:name w:val="Strong"/>
    <w:qFormat/>
    <w:rsid w:val="009D022E"/>
    <w:rPr>
      <w:b/>
      <w:bCs/>
    </w:rPr>
  </w:style>
  <w:style w:type="character" w:styleId="Emphasis">
    <w:name w:val="Emphasis"/>
    <w:qFormat/>
    <w:rsid w:val="009D022E"/>
    <w:rPr>
      <w:i/>
      <w:iCs/>
    </w:rPr>
  </w:style>
  <w:style w:type="paragraph" w:styleId="BodyText2">
    <w:name w:val="Body Text 2"/>
    <w:basedOn w:val="Normal"/>
    <w:link w:val="BodyText2Char"/>
    <w:rsid w:val="00733ACB"/>
    <w:pPr>
      <w:spacing w:after="120" w:line="480" w:lineRule="auto"/>
    </w:pPr>
  </w:style>
  <w:style w:type="character" w:customStyle="1" w:styleId="BodyText2Char">
    <w:name w:val="Body Text 2 Char"/>
    <w:link w:val="BodyText2"/>
    <w:rsid w:val="00733ACB"/>
    <w:rPr>
      <w:rFonts w:ascii="CG Omega" w:hAnsi="CG Omega"/>
      <w:snapToGrid w:val="0"/>
      <w:sz w:val="24"/>
    </w:rPr>
  </w:style>
  <w:style w:type="character" w:styleId="CommentReference">
    <w:name w:val="annotation reference"/>
    <w:uiPriority w:val="99"/>
    <w:rsid w:val="00B30459"/>
    <w:rPr>
      <w:sz w:val="16"/>
      <w:szCs w:val="16"/>
    </w:rPr>
  </w:style>
  <w:style w:type="paragraph" w:styleId="CommentText">
    <w:name w:val="annotation text"/>
    <w:basedOn w:val="Normal"/>
    <w:link w:val="CommentTextChar"/>
    <w:uiPriority w:val="99"/>
    <w:rsid w:val="00B30459"/>
    <w:rPr>
      <w:sz w:val="20"/>
    </w:rPr>
  </w:style>
  <w:style w:type="character" w:customStyle="1" w:styleId="CommentTextChar">
    <w:name w:val="Comment Text Char"/>
    <w:link w:val="CommentText"/>
    <w:uiPriority w:val="99"/>
    <w:rsid w:val="00B30459"/>
    <w:rPr>
      <w:rFonts w:ascii="CG Omega" w:hAnsi="CG Omega"/>
      <w:snapToGrid w:val="0"/>
    </w:rPr>
  </w:style>
  <w:style w:type="paragraph" w:styleId="CommentSubject">
    <w:name w:val="annotation subject"/>
    <w:basedOn w:val="CommentText"/>
    <w:next w:val="CommentText"/>
    <w:link w:val="CommentSubjectChar"/>
    <w:uiPriority w:val="99"/>
    <w:rsid w:val="00B30459"/>
    <w:rPr>
      <w:b/>
      <w:bCs/>
    </w:rPr>
  </w:style>
  <w:style w:type="character" w:customStyle="1" w:styleId="CommentSubjectChar">
    <w:name w:val="Comment Subject Char"/>
    <w:link w:val="CommentSubject"/>
    <w:uiPriority w:val="99"/>
    <w:rsid w:val="00B30459"/>
    <w:rPr>
      <w:rFonts w:ascii="CG Omega" w:hAnsi="CG Omega"/>
      <w:b/>
      <w:bCs/>
      <w:snapToGrid w:val="0"/>
    </w:rPr>
  </w:style>
  <w:style w:type="paragraph" w:styleId="ListParagraph">
    <w:name w:val="List Paragraph"/>
    <w:basedOn w:val="Normal"/>
    <w:uiPriority w:val="34"/>
    <w:qFormat/>
    <w:rsid w:val="002C595B"/>
    <w:pPr>
      <w:ind w:left="720"/>
      <w:contextualSpacing/>
    </w:pPr>
    <w:rPr>
      <w:rFonts w:ascii="Times New Roman" w:hAnsi="Times New Roman"/>
      <w:kern w:val="28"/>
      <w:sz w:val="22"/>
    </w:rPr>
  </w:style>
  <w:style w:type="paragraph" w:styleId="BlockText">
    <w:name w:val="Block Text"/>
    <w:basedOn w:val="Normal"/>
    <w:rsid w:val="002C595B"/>
    <w:pPr>
      <w:spacing w:after="240"/>
      <w:ind w:left="1440" w:right="1440"/>
    </w:pPr>
    <w:rPr>
      <w:rFonts w:ascii="Times New Roman" w:hAnsi="Times New Roman"/>
      <w:kern w:val="28"/>
      <w:sz w:val="22"/>
    </w:rPr>
  </w:style>
  <w:style w:type="paragraph" w:customStyle="1" w:styleId="Paratitle">
    <w:name w:val="Para title"/>
    <w:basedOn w:val="Normal"/>
    <w:rsid w:val="002C595B"/>
    <w:pPr>
      <w:tabs>
        <w:tab w:val="center" w:pos="9270"/>
      </w:tabs>
      <w:spacing w:after="240"/>
    </w:pPr>
    <w:rPr>
      <w:rFonts w:ascii="Times New Roman" w:hAnsi="Times New Roman"/>
      <w:spacing w:val="-2"/>
      <w:kern w:val="28"/>
      <w:sz w:val="22"/>
    </w:rPr>
  </w:style>
  <w:style w:type="paragraph" w:customStyle="1" w:styleId="Bullet">
    <w:name w:val="Bullet"/>
    <w:basedOn w:val="Normal"/>
    <w:rsid w:val="002C595B"/>
    <w:pPr>
      <w:tabs>
        <w:tab w:val="left" w:pos="2160"/>
      </w:tabs>
      <w:spacing w:after="220"/>
      <w:ind w:left="2160" w:hanging="720"/>
    </w:pPr>
    <w:rPr>
      <w:rFonts w:ascii="Times New Roman" w:hAnsi="Times New Roman"/>
      <w:kern w:val="28"/>
      <w:sz w:val="22"/>
    </w:rPr>
  </w:style>
  <w:style w:type="paragraph" w:customStyle="1" w:styleId="TableFormat">
    <w:name w:val="TableFormat"/>
    <w:basedOn w:val="Bullet"/>
    <w:rsid w:val="002C595B"/>
    <w:pPr>
      <w:tabs>
        <w:tab w:val="clear" w:pos="2160"/>
        <w:tab w:val="left" w:pos="5040"/>
      </w:tabs>
      <w:ind w:left="5040" w:hanging="3600"/>
    </w:pPr>
  </w:style>
  <w:style w:type="paragraph" w:customStyle="1" w:styleId="TOCTitle">
    <w:name w:val="TOC Title"/>
    <w:basedOn w:val="Normal"/>
    <w:rsid w:val="002C595B"/>
    <w:pPr>
      <w:spacing w:before="240" w:after="240"/>
      <w:jc w:val="center"/>
    </w:pPr>
    <w:rPr>
      <w:rFonts w:ascii="Times New Roman Bold" w:hAnsi="Times New Roman Bold"/>
      <w:b/>
      <w:caps/>
      <w:spacing w:val="-2"/>
      <w:kern w:val="28"/>
      <w:sz w:val="22"/>
    </w:rPr>
  </w:style>
  <w:style w:type="paragraph" w:customStyle="1" w:styleId="StyleBoldCentered">
    <w:name w:val="Style Bold Centered"/>
    <w:basedOn w:val="Normal"/>
    <w:rsid w:val="002C595B"/>
    <w:pPr>
      <w:jc w:val="center"/>
    </w:pPr>
    <w:rPr>
      <w:rFonts w:ascii="Times New Roman Bold" w:hAnsi="Times New Roman Bold"/>
      <w:b/>
      <w:bCs/>
      <w:caps/>
      <w:kern w:val="28"/>
      <w:sz w:val="22"/>
      <w:szCs w:val="22"/>
    </w:rPr>
  </w:style>
  <w:style w:type="character" w:styleId="PlaceholderText">
    <w:name w:val="Placeholder Text"/>
    <w:uiPriority w:val="99"/>
    <w:semiHidden/>
    <w:rsid w:val="006D3C58"/>
    <w:rPr>
      <w:color w:val="808080"/>
    </w:rPr>
  </w:style>
  <w:style w:type="character" w:customStyle="1" w:styleId="FOOTNOTEChar">
    <w:name w:val="FOOTNOTE Char"/>
    <w:aliases w:val="Footnote Text Char Char Char,Footnote Text Char Char1 Char Char Char,Footnote Text Char1 Char Char Char,Footnote Text Char1 Char Char Char Char Char Char,Footnote Text Char2 Char Char Char,f Char"/>
    <w:rsid w:val="00936059"/>
  </w:style>
  <w:style w:type="character" w:customStyle="1" w:styleId="ParaNumChar1">
    <w:name w:val="ParaNum Char1"/>
    <w:link w:val="ParaNum"/>
    <w:rsid w:val="00936059"/>
    <w:rPr>
      <w:snapToGrid w:val="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823727">
      <w:bodyDiv w:val="1"/>
      <w:marLeft w:val="0"/>
      <w:marRight w:val="0"/>
      <w:marTop w:val="0"/>
      <w:marBottom w:val="0"/>
      <w:divBdr>
        <w:top w:val="none" w:sz="0" w:space="0" w:color="auto"/>
        <w:left w:val="none" w:sz="0" w:space="0" w:color="auto"/>
        <w:bottom w:val="none" w:sz="0" w:space="0" w:color="auto"/>
        <w:right w:val="none" w:sz="0" w:space="0" w:color="auto"/>
      </w:divBdr>
      <w:divsChild>
        <w:div w:id="2062636456">
          <w:marLeft w:val="0"/>
          <w:marRight w:val="0"/>
          <w:marTop w:val="0"/>
          <w:marBottom w:val="0"/>
          <w:divBdr>
            <w:top w:val="none" w:sz="0" w:space="0" w:color="auto"/>
            <w:left w:val="none" w:sz="0" w:space="0" w:color="auto"/>
            <w:bottom w:val="none" w:sz="0" w:space="0" w:color="auto"/>
            <w:right w:val="none" w:sz="0" w:space="0" w:color="auto"/>
          </w:divBdr>
        </w:div>
      </w:divsChild>
    </w:div>
    <w:div w:id="1722749646">
      <w:bodyDiv w:val="1"/>
      <w:marLeft w:val="0"/>
      <w:marRight w:val="0"/>
      <w:marTop w:val="0"/>
      <w:marBottom w:val="0"/>
      <w:divBdr>
        <w:top w:val="none" w:sz="0" w:space="0" w:color="auto"/>
        <w:left w:val="none" w:sz="0" w:space="0" w:color="auto"/>
        <w:bottom w:val="none" w:sz="0" w:space="0" w:color="auto"/>
        <w:right w:val="none" w:sz="0" w:space="0" w:color="auto"/>
      </w:divBdr>
    </w:div>
    <w:div w:id="1781492431">
      <w:bodyDiv w:val="1"/>
      <w:marLeft w:val="0"/>
      <w:marRight w:val="0"/>
      <w:marTop w:val="0"/>
      <w:marBottom w:val="0"/>
      <w:divBdr>
        <w:top w:val="none" w:sz="0" w:space="0" w:color="auto"/>
        <w:left w:val="none" w:sz="0" w:space="0" w:color="auto"/>
        <w:bottom w:val="none" w:sz="0" w:space="0" w:color="auto"/>
        <w:right w:val="none" w:sz="0" w:space="0" w:color="auto"/>
      </w:divBdr>
    </w:div>
    <w:div w:id="1902399907">
      <w:bodyDiv w:val="1"/>
      <w:marLeft w:val="0"/>
      <w:marRight w:val="0"/>
      <w:marTop w:val="0"/>
      <w:marBottom w:val="0"/>
      <w:divBdr>
        <w:top w:val="none" w:sz="0" w:space="0" w:color="auto"/>
        <w:left w:val="none" w:sz="0" w:space="0" w:color="auto"/>
        <w:bottom w:val="none" w:sz="0" w:space="0" w:color="auto"/>
        <w:right w:val="none" w:sz="0" w:space="0" w:color="auto"/>
      </w:divBdr>
      <w:divsChild>
        <w:div w:id="293098633">
          <w:marLeft w:val="0"/>
          <w:marRight w:val="0"/>
          <w:marTop w:val="0"/>
          <w:marBottom w:val="0"/>
          <w:divBdr>
            <w:top w:val="none" w:sz="0" w:space="0" w:color="auto"/>
            <w:left w:val="none" w:sz="0" w:space="0" w:color="auto"/>
            <w:bottom w:val="none" w:sz="0" w:space="0" w:color="auto"/>
            <w:right w:val="none" w:sz="0" w:space="0" w:color="auto"/>
          </w:divBdr>
        </w:div>
        <w:div w:id="300812506">
          <w:marLeft w:val="0"/>
          <w:marRight w:val="0"/>
          <w:marTop w:val="0"/>
          <w:marBottom w:val="0"/>
          <w:divBdr>
            <w:top w:val="none" w:sz="0" w:space="0" w:color="auto"/>
            <w:left w:val="none" w:sz="0" w:space="0" w:color="auto"/>
            <w:bottom w:val="none" w:sz="0" w:space="0" w:color="auto"/>
            <w:right w:val="none" w:sz="0" w:space="0" w:color="auto"/>
          </w:divBdr>
          <w:divsChild>
            <w:div w:id="65078973">
              <w:marLeft w:val="0"/>
              <w:marRight w:val="0"/>
              <w:marTop w:val="0"/>
              <w:marBottom w:val="0"/>
              <w:divBdr>
                <w:top w:val="none" w:sz="0" w:space="0" w:color="auto"/>
                <w:left w:val="none" w:sz="0" w:space="0" w:color="auto"/>
                <w:bottom w:val="none" w:sz="0" w:space="0" w:color="auto"/>
                <w:right w:val="none" w:sz="0" w:space="0" w:color="auto"/>
              </w:divBdr>
            </w:div>
            <w:div w:id="380402650">
              <w:marLeft w:val="0"/>
              <w:marRight w:val="0"/>
              <w:marTop w:val="0"/>
              <w:marBottom w:val="0"/>
              <w:divBdr>
                <w:top w:val="none" w:sz="0" w:space="0" w:color="auto"/>
                <w:left w:val="none" w:sz="0" w:space="0" w:color="auto"/>
                <w:bottom w:val="none" w:sz="0" w:space="0" w:color="auto"/>
                <w:right w:val="none" w:sz="0" w:space="0" w:color="auto"/>
              </w:divBdr>
            </w:div>
            <w:div w:id="1164859652">
              <w:marLeft w:val="0"/>
              <w:marRight w:val="0"/>
              <w:marTop w:val="0"/>
              <w:marBottom w:val="0"/>
              <w:divBdr>
                <w:top w:val="none" w:sz="0" w:space="0" w:color="auto"/>
                <w:left w:val="none" w:sz="0" w:space="0" w:color="auto"/>
                <w:bottom w:val="none" w:sz="0" w:space="0" w:color="auto"/>
                <w:right w:val="none" w:sz="0" w:space="0" w:color="auto"/>
              </w:divBdr>
            </w:div>
          </w:divsChild>
        </w:div>
        <w:div w:id="632100514">
          <w:marLeft w:val="0"/>
          <w:marRight w:val="0"/>
          <w:marTop w:val="0"/>
          <w:marBottom w:val="0"/>
          <w:divBdr>
            <w:top w:val="none" w:sz="0" w:space="0" w:color="auto"/>
            <w:left w:val="none" w:sz="0" w:space="0" w:color="auto"/>
            <w:bottom w:val="none" w:sz="0" w:space="0" w:color="auto"/>
            <w:right w:val="none" w:sz="0" w:space="0" w:color="auto"/>
          </w:divBdr>
        </w:div>
        <w:div w:id="954754663">
          <w:marLeft w:val="0"/>
          <w:marRight w:val="0"/>
          <w:marTop w:val="0"/>
          <w:marBottom w:val="0"/>
          <w:divBdr>
            <w:top w:val="none" w:sz="0" w:space="0" w:color="auto"/>
            <w:left w:val="none" w:sz="0" w:space="0" w:color="auto"/>
            <w:bottom w:val="none" w:sz="0" w:space="0" w:color="auto"/>
            <w:right w:val="none" w:sz="0" w:space="0" w:color="auto"/>
          </w:divBdr>
          <w:divsChild>
            <w:div w:id="114912234">
              <w:marLeft w:val="0"/>
              <w:marRight w:val="0"/>
              <w:marTop w:val="0"/>
              <w:marBottom w:val="0"/>
              <w:divBdr>
                <w:top w:val="none" w:sz="0" w:space="0" w:color="auto"/>
                <w:left w:val="none" w:sz="0" w:space="0" w:color="auto"/>
                <w:bottom w:val="none" w:sz="0" w:space="0" w:color="auto"/>
                <w:right w:val="none" w:sz="0" w:space="0" w:color="auto"/>
              </w:divBdr>
            </w:div>
            <w:div w:id="217129422">
              <w:marLeft w:val="0"/>
              <w:marRight w:val="0"/>
              <w:marTop w:val="0"/>
              <w:marBottom w:val="0"/>
              <w:divBdr>
                <w:top w:val="none" w:sz="0" w:space="0" w:color="auto"/>
                <w:left w:val="none" w:sz="0" w:space="0" w:color="auto"/>
                <w:bottom w:val="none" w:sz="0" w:space="0" w:color="auto"/>
                <w:right w:val="none" w:sz="0" w:space="0" w:color="auto"/>
              </w:divBdr>
            </w:div>
            <w:div w:id="1385979558">
              <w:marLeft w:val="0"/>
              <w:marRight w:val="0"/>
              <w:marTop w:val="0"/>
              <w:marBottom w:val="0"/>
              <w:divBdr>
                <w:top w:val="none" w:sz="0" w:space="0" w:color="auto"/>
                <w:left w:val="none" w:sz="0" w:space="0" w:color="auto"/>
                <w:bottom w:val="none" w:sz="0" w:space="0" w:color="auto"/>
                <w:right w:val="none" w:sz="0" w:space="0" w:color="auto"/>
              </w:divBdr>
              <w:divsChild>
                <w:div w:id="1285425949">
                  <w:marLeft w:val="0"/>
                  <w:marRight w:val="0"/>
                  <w:marTop w:val="0"/>
                  <w:marBottom w:val="0"/>
                  <w:divBdr>
                    <w:top w:val="none" w:sz="0" w:space="0" w:color="auto"/>
                    <w:left w:val="none" w:sz="0" w:space="0" w:color="auto"/>
                    <w:bottom w:val="none" w:sz="0" w:space="0" w:color="auto"/>
                    <w:right w:val="none" w:sz="0" w:space="0" w:color="auto"/>
                  </w:divBdr>
                  <w:divsChild>
                    <w:div w:id="288707435">
                      <w:marLeft w:val="0"/>
                      <w:marRight w:val="0"/>
                      <w:marTop w:val="0"/>
                      <w:marBottom w:val="0"/>
                      <w:divBdr>
                        <w:top w:val="none" w:sz="0" w:space="0" w:color="auto"/>
                        <w:left w:val="none" w:sz="0" w:space="0" w:color="auto"/>
                        <w:bottom w:val="none" w:sz="0" w:space="0" w:color="auto"/>
                        <w:right w:val="none" w:sz="0" w:space="0" w:color="auto"/>
                      </w:divBdr>
                    </w:div>
                    <w:div w:id="378088233">
                      <w:marLeft w:val="0"/>
                      <w:marRight w:val="0"/>
                      <w:marTop w:val="0"/>
                      <w:marBottom w:val="0"/>
                      <w:divBdr>
                        <w:top w:val="none" w:sz="0" w:space="0" w:color="auto"/>
                        <w:left w:val="none" w:sz="0" w:space="0" w:color="auto"/>
                        <w:bottom w:val="none" w:sz="0" w:space="0" w:color="auto"/>
                        <w:right w:val="none" w:sz="0" w:space="0" w:color="auto"/>
                      </w:divBdr>
                    </w:div>
                    <w:div w:id="15437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4756">
              <w:marLeft w:val="0"/>
              <w:marRight w:val="0"/>
              <w:marTop w:val="0"/>
              <w:marBottom w:val="0"/>
              <w:divBdr>
                <w:top w:val="none" w:sz="0" w:space="0" w:color="auto"/>
                <w:left w:val="none" w:sz="0" w:space="0" w:color="auto"/>
                <w:bottom w:val="none" w:sz="0" w:space="0" w:color="auto"/>
                <w:right w:val="none" w:sz="0" w:space="0" w:color="auto"/>
              </w:divBdr>
            </w:div>
          </w:divsChild>
        </w:div>
        <w:div w:id="1237590999">
          <w:marLeft w:val="0"/>
          <w:marRight w:val="0"/>
          <w:marTop w:val="0"/>
          <w:marBottom w:val="0"/>
          <w:divBdr>
            <w:top w:val="none" w:sz="0" w:space="0" w:color="auto"/>
            <w:left w:val="none" w:sz="0" w:space="0" w:color="auto"/>
            <w:bottom w:val="none" w:sz="0" w:space="0" w:color="auto"/>
            <w:right w:val="none" w:sz="0" w:space="0" w:color="auto"/>
          </w:divBdr>
          <w:divsChild>
            <w:div w:id="899290657">
              <w:marLeft w:val="0"/>
              <w:marRight w:val="0"/>
              <w:marTop w:val="0"/>
              <w:marBottom w:val="0"/>
              <w:divBdr>
                <w:top w:val="none" w:sz="0" w:space="0" w:color="auto"/>
                <w:left w:val="none" w:sz="0" w:space="0" w:color="auto"/>
                <w:bottom w:val="none" w:sz="0" w:space="0" w:color="auto"/>
                <w:right w:val="none" w:sz="0" w:space="0" w:color="auto"/>
              </w:divBdr>
            </w:div>
            <w:div w:id="1090541707">
              <w:marLeft w:val="0"/>
              <w:marRight w:val="0"/>
              <w:marTop w:val="0"/>
              <w:marBottom w:val="0"/>
              <w:divBdr>
                <w:top w:val="none" w:sz="0" w:space="0" w:color="auto"/>
                <w:left w:val="none" w:sz="0" w:space="0" w:color="auto"/>
                <w:bottom w:val="none" w:sz="0" w:space="0" w:color="auto"/>
                <w:right w:val="none" w:sz="0" w:space="0" w:color="auto"/>
              </w:divBdr>
            </w:div>
            <w:div w:id="1684356392">
              <w:marLeft w:val="0"/>
              <w:marRight w:val="0"/>
              <w:marTop w:val="0"/>
              <w:marBottom w:val="0"/>
              <w:divBdr>
                <w:top w:val="none" w:sz="0" w:space="0" w:color="auto"/>
                <w:left w:val="none" w:sz="0" w:space="0" w:color="auto"/>
                <w:bottom w:val="none" w:sz="0" w:space="0" w:color="auto"/>
                <w:right w:val="none" w:sz="0" w:space="0" w:color="auto"/>
              </w:divBdr>
            </w:div>
            <w:div w:id="1852448191">
              <w:marLeft w:val="0"/>
              <w:marRight w:val="0"/>
              <w:marTop w:val="0"/>
              <w:marBottom w:val="0"/>
              <w:divBdr>
                <w:top w:val="none" w:sz="0" w:space="0" w:color="auto"/>
                <w:left w:val="none" w:sz="0" w:space="0" w:color="auto"/>
                <w:bottom w:val="none" w:sz="0" w:space="0" w:color="auto"/>
                <w:right w:val="none" w:sz="0" w:space="0" w:color="auto"/>
              </w:divBdr>
            </w:div>
            <w:div w:id="20790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17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D0C25-7FCB-4A45-B603-95884503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5216</Words>
  <Characters>28415</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JSWANK</dc:creator>
  <cp:keywords/>
  <dc:description/>
  <cp:lastModifiedBy>Cathy Williams</cp:lastModifiedBy>
  <cp:revision>5</cp:revision>
  <cp:lastPrinted>2018-02-27T14:30:00Z</cp:lastPrinted>
  <dcterms:created xsi:type="dcterms:W3CDTF">2021-12-07T19:08:00Z</dcterms:created>
  <dcterms:modified xsi:type="dcterms:W3CDTF">2021-12-14T02:15:00Z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RESPONSE_SENDER_NAME">
    <vt:lpwstr>sAAAE34RQVAK31n5fPqFTDZKdlPFqNz8kn5BVf8qOITHzGs=</vt:lpwstr>
  </property>
  <property fmtid="{D5CDD505-2E9C-101B-9397-08002B2CF9AE}" pid="4" name="MAIL_MSG_ID1">
    <vt:lpwstr>oFAAohepTGvwTLjq4PzgPGg5ofaWkHINF6paX14p0MUzpNXXQpObbrcHey1IqM5up+uDCm44x92QunN8_x000d_
hPsijCEzsj394E06cKK84EZGmvWM0lz3leUDCU4j49BCpKxSNpSNFto2gv03Jwkt5JqSszmttpp2_x000d_
gcY8QfoYApMHAHAkv9o6vGjKJ3khaUno29oorWOaNo8N7zKjyjcrUommq3FSaYTFvmvqLIW97b2u_x000d_
JuM59hONcfUbnjCJ0</vt:lpwstr>
  </property>
  <property fmtid="{D5CDD505-2E9C-101B-9397-08002B2CF9AE}" pid="5" name="MAIL_MSG_ID2">
    <vt:lpwstr>psX+0QMl2CAyssBwEyZt8aE/hJnNJAaG/AxzUpgKxlsaW3Pu5hlI+ypFRKS_x000d_
LGY/j3dcSl8K+WN9YMjBBHIu4dDt3WK+3TMrlu+VAArVDeOg</vt:lpwstr>
  </property>
</Properties>
</file>