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F11C2" w:rsidR="00CF11C2" w:rsidP="00CF11C2" w:rsidRDefault="00CF11C2" w14:paraId="6380A9F9" w14:textId="0626C595">
      <w:pPr>
        <w:jc w:val="center"/>
        <w:rPr>
          <w:b/>
          <w:sz w:val="40"/>
          <w:szCs w:val="40"/>
        </w:rPr>
      </w:pPr>
      <w:r w:rsidRPr="00CF11C2">
        <w:rPr>
          <w:b/>
          <w:sz w:val="40"/>
          <w:szCs w:val="40"/>
        </w:rPr>
        <w:t>Jasper and Newton Counties Missouri Lead Exposure Investigation</w:t>
      </w:r>
    </w:p>
    <w:p w:rsidRPr="00CF11C2" w:rsidR="00CF11C2" w:rsidP="00CF11C2" w:rsidRDefault="00CF11C2" w14:paraId="5A05AF10" w14:textId="77777777">
      <w:pPr>
        <w:jc w:val="center"/>
        <w:rPr>
          <w:b/>
          <w:sz w:val="40"/>
          <w:szCs w:val="40"/>
        </w:rPr>
      </w:pPr>
    </w:p>
    <w:p w:rsidRPr="00CF11C2" w:rsidR="00CF11C2" w:rsidP="00CF11C2" w:rsidRDefault="00CF11C2" w14:paraId="2719F173" w14:textId="77777777">
      <w:pPr>
        <w:jc w:val="center"/>
        <w:rPr>
          <w:b/>
          <w:sz w:val="40"/>
          <w:szCs w:val="40"/>
        </w:rPr>
      </w:pPr>
      <w:proofErr w:type="spellStart"/>
      <w:r w:rsidRPr="00CF11C2">
        <w:rPr>
          <w:b/>
          <w:sz w:val="40"/>
          <w:szCs w:val="40"/>
        </w:rPr>
        <w:t>Oronogo-Duenweg</w:t>
      </w:r>
      <w:proofErr w:type="spellEnd"/>
      <w:r w:rsidRPr="00CF11C2">
        <w:rPr>
          <w:b/>
          <w:sz w:val="40"/>
          <w:szCs w:val="40"/>
        </w:rPr>
        <w:t xml:space="preserve"> Mining Belt Superfund Site</w:t>
      </w:r>
    </w:p>
    <w:p w:rsidRPr="00CF11C2" w:rsidR="00CF11C2" w:rsidP="00CF11C2" w:rsidRDefault="00CF11C2" w14:paraId="29508D30" w14:textId="77777777">
      <w:pPr>
        <w:jc w:val="center"/>
        <w:rPr>
          <w:b/>
          <w:sz w:val="40"/>
          <w:szCs w:val="40"/>
        </w:rPr>
      </w:pPr>
      <w:r w:rsidRPr="00CF11C2">
        <w:rPr>
          <w:b/>
          <w:sz w:val="40"/>
          <w:szCs w:val="40"/>
        </w:rPr>
        <w:t>Newton County Mine Tailings Superfund Site</w:t>
      </w:r>
    </w:p>
    <w:p w:rsidRPr="00CF11C2" w:rsidR="00CF11C2" w:rsidP="00CF11C2" w:rsidRDefault="00CF11C2" w14:paraId="12453E10" w14:textId="77777777">
      <w:pPr>
        <w:jc w:val="center"/>
        <w:rPr>
          <w:b/>
          <w:sz w:val="40"/>
          <w:szCs w:val="40"/>
        </w:rPr>
      </w:pPr>
      <w:r w:rsidRPr="00CF11C2">
        <w:rPr>
          <w:b/>
          <w:sz w:val="40"/>
          <w:szCs w:val="40"/>
        </w:rPr>
        <w:t>Jasper and Newton Counties, Missouri</w:t>
      </w:r>
    </w:p>
    <w:p w:rsidRPr="00CF11C2" w:rsidR="00CF11C2" w:rsidP="00CF11C2" w:rsidRDefault="00CF11C2" w14:paraId="056A9434" w14:textId="77777777">
      <w:pPr>
        <w:jc w:val="center"/>
        <w:rPr>
          <w:b/>
          <w:sz w:val="40"/>
          <w:szCs w:val="40"/>
        </w:rPr>
      </w:pPr>
    </w:p>
    <w:p w:rsidRPr="00CF11C2" w:rsidR="00CF11C2" w:rsidP="00CF11C2" w:rsidRDefault="00CF11C2" w14:paraId="64C43EB1" w14:textId="77777777">
      <w:pPr>
        <w:jc w:val="center"/>
        <w:rPr>
          <w:b/>
          <w:sz w:val="40"/>
          <w:szCs w:val="40"/>
        </w:rPr>
      </w:pPr>
      <w:r w:rsidRPr="00CF11C2">
        <w:rPr>
          <w:b/>
          <w:sz w:val="40"/>
          <w:szCs w:val="40"/>
        </w:rPr>
        <w:t>Facility IDs MOD980686281/MOD981507585</w:t>
      </w:r>
    </w:p>
    <w:p w:rsidRPr="00BC290E" w:rsidR="00BC290E" w:rsidP="008544D1" w:rsidRDefault="00BC290E" w14:paraId="344DA06E" w14:textId="57A60828">
      <w:pPr>
        <w:jc w:val="center"/>
        <w:rPr>
          <w:b/>
          <w:sz w:val="40"/>
          <w:szCs w:val="40"/>
        </w:rPr>
      </w:pPr>
    </w:p>
    <w:p w:rsidR="00BC290E" w:rsidP="008544D1" w:rsidRDefault="00BC290E" w14:paraId="21107B32" w14:textId="77777777">
      <w:pPr>
        <w:jc w:val="center"/>
      </w:pPr>
    </w:p>
    <w:p w:rsidR="00BC290E" w:rsidP="008544D1" w:rsidRDefault="00BC290E" w14:paraId="105301D6" w14:textId="30DEF9DC">
      <w:pPr>
        <w:jc w:val="center"/>
      </w:pPr>
      <w:r w:rsidRPr="00BC290E">
        <w:t>ATSDR</w:t>
      </w:r>
      <w:r>
        <w:t xml:space="preserve"> Exposure Investigations (EI) Generic Information Collection </w:t>
      </w:r>
      <w:r w:rsidR="00AE1FF1">
        <w:t>(</w:t>
      </w:r>
      <w:proofErr w:type="spellStart"/>
      <w:r w:rsidR="00AE1FF1">
        <w:t>GenIC</w:t>
      </w:r>
      <w:proofErr w:type="spellEnd"/>
      <w:r w:rsidR="00AE1FF1">
        <w:t>)</w:t>
      </w:r>
    </w:p>
    <w:p w:rsidR="00AE1FF1" w:rsidP="008544D1" w:rsidRDefault="00AE1FF1" w14:paraId="42E3BC57" w14:textId="7B4EF4BB">
      <w:pPr>
        <w:jc w:val="center"/>
      </w:pPr>
      <w:r>
        <w:t>under</w:t>
      </w:r>
    </w:p>
    <w:p w:rsidRPr="00BC290E" w:rsidR="00BC290E" w:rsidP="008544D1" w:rsidRDefault="00BC290E" w14:paraId="5B7A2BF5" w14:textId="77777777">
      <w:pPr>
        <w:jc w:val="center"/>
      </w:pPr>
      <w:r>
        <w:t xml:space="preserve">OMB No. </w:t>
      </w:r>
      <w:r w:rsidR="008E4769">
        <w:rPr>
          <w:color w:val="000000"/>
        </w:rPr>
        <w:t>0923-0048</w:t>
      </w:r>
    </w:p>
    <w:p w:rsidRPr="00EC4AE2" w:rsidR="00BC290E" w:rsidP="008544D1" w:rsidRDefault="00BD6895" w14:paraId="78F53F33" w14:textId="1475CFEC">
      <w:pPr>
        <w:jc w:val="center"/>
      </w:pPr>
      <w:r>
        <w:rPr>
          <w:color w:val="000000"/>
        </w:rPr>
        <w:t>Expiration Date</w:t>
      </w:r>
      <w:r w:rsidR="004C00CE">
        <w:rPr>
          <w:color w:val="000000"/>
        </w:rPr>
        <w:t>:</w:t>
      </w:r>
      <w:r>
        <w:rPr>
          <w:color w:val="000000"/>
        </w:rPr>
        <w:t xml:space="preserve"> </w:t>
      </w:r>
      <w:r w:rsidR="0094512B">
        <w:rPr>
          <w:color w:val="000000"/>
        </w:rPr>
        <w:t>06/30/2022</w:t>
      </w:r>
    </w:p>
    <w:p w:rsidR="00BC290E" w:rsidP="008544D1" w:rsidRDefault="00BC290E" w14:paraId="738688A0" w14:textId="77777777">
      <w:pPr>
        <w:jc w:val="center"/>
        <w:rPr>
          <w:b/>
        </w:rPr>
      </w:pPr>
    </w:p>
    <w:p w:rsidR="00BC290E" w:rsidP="008544D1" w:rsidRDefault="00BC290E" w14:paraId="0B346122" w14:textId="77777777">
      <w:pPr>
        <w:jc w:val="center"/>
        <w:rPr>
          <w:b/>
        </w:rPr>
      </w:pPr>
    </w:p>
    <w:p w:rsidR="00380EA1" w:rsidP="008544D1" w:rsidRDefault="008544D1" w14:paraId="737F0454" w14:textId="77777777">
      <w:pPr>
        <w:jc w:val="center"/>
        <w:rPr>
          <w:b/>
        </w:rPr>
      </w:pPr>
      <w:r>
        <w:rPr>
          <w:b/>
        </w:rPr>
        <w:t xml:space="preserve">Supporting Statement </w:t>
      </w:r>
      <w:r w:rsidR="00BC290E">
        <w:rPr>
          <w:b/>
        </w:rPr>
        <w:t>Part A</w:t>
      </w:r>
      <w:r w:rsidR="00016C0E">
        <w:rPr>
          <w:b/>
        </w:rPr>
        <w:t xml:space="preserve"> </w:t>
      </w:r>
    </w:p>
    <w:p w:rsidR="008544D1" w:rsidP="008544D1" w:rsidRDefault="008544D1" w14:paraId="6AD60672" w14:textId="77777777">
      <w:pPr>
        <w:jc w:val="center"/>
        <w:rPr>
          <w:b/>
        </w:rPr>
      </w:pPr>
    </w:p>
    <w:p w:rsidR="008544D1" w:rsidP="008544D1" w:rsidRDefault="008544D1" w14:paraId="2FC22E0A" w14:textId="77777777">
      <w:pPr>
        <w:jc w:val="center"/>
        <w:rPr>
          <w:b/>
        </w:rPr>
      </w:pPr>
    </w:p>
    <w:p w:rsidR="008544D1" w:rsidP="008544D1" w:rsidRDefault="00BC290E" w14:paraId="476CFB64" w14:textId="1693855C">
      <w:pPr>
        <w:jc w:val="center"/>
        <w:rPr>
          <w:b/>
        </w:rPr>
      </w:pPr>
      <w:r>
        <w:rPr>
          <w:b/>
        </w:rPr>
        <w:t xml:space="preserve">Submitted: </w:t>
      </w:r>
      <w:r w:rsidR="00090E5E">
        <w:rPr>
          <w:b/>
        </w:rPr>
        <w:t xml:space="preserve">June </w:t>
      </w:r>
      <w:r w:rsidR="00D6557F">
        <w:rPr>
          <w:b/>
        </w:rPr>
        <w:t>13</w:t>
      </w:r>
      <w:r w:rsidR="00090E5E">
        <w:rPr>
          <w:b/>
        </w:rPr>
        <w:t>, 2022</w:t>
      </w:r>
    </w:p>
    <w:p w:rsidR="00583F53" w:rsidP="008544D1" w:rsidRDefault="00583F53" w14:paraId="3AF5094A" w14:textId="77777777">
      <w:pPr>
        <w:jc w:val="center"/>
        <w:rPr>
          <w:b/>
        </w:rPr>
      </w:pPr>
    </w:p>
    <w:p w:rsidR="00583F53" w:rsidP="00584A53" w:rsidRDefault="00583F53" w14:paraId="65722D2E" w14:textId="77777777">
      <w:pPr>
        <w:rPr>
          <w:b/>
        </w:rPr>
      </w:pPr>
    </w:p>
    <w:p w:rsidR="00583F53" w:rsidP="008544D1" w:rsidRDefault="00583F53" w14:paraId="683C1A9F" w14:textId="77777777">
      <w:pPr>
        <w:jc w:val="center"/>
        <w:rPr>
          <w:b/>
        </w:rPr>
      </w:pPr>
    </w:p>
    <w:p w:rsidR="00C84428" w:rsidP="00C84428" w:rsidRDefault="00CF11C2" w14:paraId="64D62897" w14:textId="7FF8F7B9">
      <w:pPr>
        <w:jc w:val="center"/>
      </w:pPr>
      <w:r>
        <w:t>Exposure Investigation</w:t>
      </w:r>
      <w:r w:rsidR="00C84428">
        <w:t xml:space="preserve"> (</w:t>
      </w:r>
      <w:r w:rsidR="007267F0">
        <w:t>EI</w:t>
      </w:r>
      <w:r w:rsidR="00C84428">
        <w:t>)</w:t>
      </w:r>
    </w:p>
    <w:p w:rsidR="00CF11C2" w:rsidP="00CF11C2" w:rsidRDefault="00CF11C2" w14:paraId="7DCBA6D2" w14:textId="51736C26">
      <w:pPr>
        <w:jc w:val="center"/>
        <w:rPr>
          <w:sz w:val="22"/>
          <w:szCs w:val="22"/>
        </w:rPr>
      </w:pPr>
      <w:r>
        <w:t>Office of Community Health and Hazard Assessment (OCHHA)</w:t>
      </w:r>
    </w:p>
    <w:p w:rsidRPr="007A429D" w:rsidR="00C84428" w:rsidP="00C84428" w:rsidRDefault="00C84428" w14:paraId="5E2FB1AA" w14:textId="77777777">
      <w:pPr>
        <w:jc w:val="center"/>
      </w:pPr>
      <w:r>
        <w:t>Agency for Toxic Substances and Disease Registry (ATSDR)</w:t>
      </w:r>
    </w:p>
    <w:p w:rsidR="005856AA" w:rsidP="00583F53" w:rsidRDefault="005856AA" w14:paraId="66BFC1F0" w14:textId="77777777">
      <w:pPr>
        <w:rPr>
          <w:b/>
        </w:rPr>
      </w:pPr>
    </w:p>
    <w:p w:rsidR="00DE30C6" w:rsidP="00C84428" w:rsidRDefault="00DE30C6" w14:paraId="176E238D" w14:textId="77777777">
      <w:pPr>
        <w:tabs>
          <w:tab w:val="left" w:pos="1545"/>
        </w:tabs>
        <w:rPr>
          <w:b/>
        </w:rPr>
      </w:pPr>
    </w:p>
    <w:p w:rsidR="00DE30C6" w:rsidP="00C84428" w:rsidRDefault="00DE30C6" w14:paraId="048799A6" w14:textId="77777777">
      <w:pPr>
        <w:tabs>
          <w:tab w:val="left" w:pos="1545"/>
        </w:tabs>
        <w:rPr>
          <w:b/>
        </w:rPr>
      </w:pPr>
    </w:p>
    <w:p w:rsidR="00DE30C6" w:rsidP="00C84428" w:rsidRDefault="00DE30C6" w14:paraId="611E35AB" w14:textId="77777777">
      <w:pPr>
        <w:tabs>
          <w:tab w:val="left" w:pos="1545"/>
        </w:tabs>
        <w:rPr>
          <w:b/>
        </w:rPr>
      </w:pPr>
    </w:p>
    <w:p w:rsidRPr="00C84428" w:rsidR="00C84428" w:rsidP="00C84428" w:rsidRDefault="00C84428" w14:paraId="7B67AB58" w14:textId="77777777">
      <w:pPr>
        <w:tabs>
          <w:tab w:val="left" w:pos="1545"/>
        </w:tabs>
        <w:rPr>
          <w:b/>
        </w:rPr>
      </w:pPr>
      <w:bookmarkStart w:name="_Hlk105405427" w:id="0"/>
      <w:r w:rsidRPr="00C84428">
        <w:rPr>
          <w:b/>
        </w:rPr>
        <w:t>Program Official:</w:t>
      </w:r>
    </w:p>
    <w:p w:rsidR="00C84428" w:rsidP="00C84428" w:rsidRDefault="00CC027D" w14:paraId="532550D2" w14:textId="77777777">
      <w:pPr>
        <w:autoSpaceDE w:val="0"/>
        <w:autoSpaceDN w:val="0"/>
        <w:adjustRightInd w:val="0"/>
        <w:ind w:left="720"/>
      </w:pPr>
      <w:r>
        <w:t>Peter J. Kowalski</w:t>
      </w:r>
      <w:r w:rsidR="00C84428">
        <w:t>, M</w:t>
      </w:r>
      <w:r>
        <w:t>PH</w:t>
      </w:r>
      <w:r w:rsidR="00C84428">
        <w:t xml:space="preserve">, </w:t>
      </w:r>
      <w:r>
        <w:t>CI</w:t>
      </w:r>
      <w:r w:rsidR="00C84428">
        <w:t>H</w:t>
      </w:r>
    </w:p>
    <w:p w:rsidR="00C84428" w:rsidP="00C84428" w:rsidRDefault="00C84428" w14:paraId="599A59E2" w14:textId="77777777">
      <w:pPr>
        <w:autoSpaceDE w:val="0"/>
        <w:autoSpaceDN w:val="0"/>
        <w:adjustRightInd w:val="0"/>
        <w:ind w:left="720"/>
      </w:pPr>
      <w:r>
        <w:t xml:space="preserve">Lead, Exposure Investigations </w:t>
      </w:r>
      <w:r w:rsidR="002F3BAA">
        <w:t xml:space="preserve">and Data Analysis </w:t>
      </w:r>
      <w:r>
        <w:t>Team</w:t>
      </w:r>
    </w:p>
    <w:p w:rsidR="00CF11C2" w:rsidP="00CF11C2" w:rsidRDefault="00CF11C2" w14:paraId="5B98AA93" w14:textId="77777777">
      <w:pPr>
        <w:ind w:firstLine="720"/>
        <w:rPr>
          <w:sz w:val="22"/>
          <w:szCs w:val="22"/>
        </w:rPr>
      </w:pPr>
      <w:r>
        <w:t>Office of Community Health and Hazard Assessment</w:t>
      </w:r>
    </w:p>
    <w:p w:rsidR="00C84428" w:rsidP="00C84428" w:rsidRDefault="00C84428" w14:paraId="354377F1" w14:textId="77777777">
      <w:pPr>
        <w:autoSpaceDE w:val="0"/>
        <w:autoSpaceDN w:val="0"/>
        <w:adjustRightInd w:val="0"/>
        <w:ind w:left="720"/>
      </w:pPr>
      <w:r>
        <w:t>Agency for Toxic Substances and Disease Registry</w:t>
      </w:r>
    </w:p>
    <w:p w:rsidR="00C84428" w:rsidP="00C84428" w:rsidRDefault="00C84428" w14:paraId="785D280C" w14:textId="77777777">
      <w:pPr>
        <w:autoSpaceDE w:val="0"/>
        <w:autoSpaceDN w:val="0"/>
        <w:adjustRightInd w:val="0"/>
        <w:ind w:left="720"/>
        <w:rPr>
          <w:szCs w:val="20"/>
        </w:rPr>
      </w:pPr>
      <w:r>
        <w:rPr>
          <w:szCs w:val="20"/>
        </w:rPr>
        <w:t>4770 Buford Hwy NE, MS F59</w:t>
      </w:r>
      <w:r>
        <w:rPr>
          <w:szCs w:val="20"/>
        </w:rPr>
        <w:br/>
        <w:t>Atlanta, GA 30341</w:t>
      </w:r>
    </w:p>
    <w:p w:rsidR="00C84428" w:rsidP="00C84428" w:rsidRDefault="00C84428" w14:paraId="28D649D9" w14:textId="77777777">
      <w:pPr>
        <w:autoSpaceDE w:val="0"/>
        <w:autoSpaceDN w:val="0"/>
        <w:adjustRightInd w:val="0"/>
        <w:ind w:left="720"/>
      </w:pPr>
      <w:r>
        <w:t>Phone: 770-488-</w:t>
      </w:r>
      <w:r w:rsidR="00CC027D">
        <w:t>0776</w:t>
      </w:r>
    </w:p>
    <w:p w:rsidR="00C84428" w:rsidP="00C84428" w:rsidRDefault="00C84428" w14:paraId="3FDBDC7A" w14:textId="77777777">
      <w:pPr>
        <w:autoSpaceDE w:val="0"/>
        <w:autoSpaceDN w:val="0"/>
        <w:adjustRightInd w:val="0"/>
        <w:ind w:left="720"/>
      </w:pPr>
      <w:r>
        <w:t>Fax:  770-488-1542</w:t>
      </w:r>
    </w:p>
    <w:p w:rsidR="001142C7" w:rsidP="00AB317D" w:rsidRDefault="00C84428" w14:paraId="3141521E" w14:textId="521D0F1A">
      <w:pPr>
        <w:autoSpaceDE w:val="0"/>
        <w:autoSpaceDN w:val="0"/>
        <w:adjustRightInd w:val="0"/>
        <w:ind w:firstLine="720"/>
        <w:rPr>
          <w:b/>
          <w:color w:val="1F497D" w:themeColor="text2"/>
        </w:rPr>
      </w:pPr>
      <w:r>
        <w:t xml:space="preserve">Email: </w:t>
      </w:r>
      <w:hyperlink w:history="1" r:id="rId8">
        <w:r w:rsidRPr="00CC027D" w:rsidR="00CC027D">
          <w:rPr>
            <w:rStyle w:val="Hyperlink"/>
          </w:rPr>
          <w:t>PKowalski@cdc.gov</w:t>
        </w:r>
      </w:hyperlink>
      <w:r w:rsidR="00FD74D2">
        <w:rPr>
          <w:b/>
          <w:color w:val="1F497D" w:themeColor="text2"/>
        </w:rPr>
        <w:br w:type="page"/>
      </w:r>
    </w:p>
    <w:bookmarkEnd w:id="0"/>
    <w:p w:rsidR="001142C7" w:rsidP="00AB317D" w:rsidRDefault="001142C7" w14:paraId="1850B336" w14:textId="77777777">
      <w:pPr>
        <w:autoSpaceDE w:val="0"/>
        <w:autoSpaceDN w:val="0"/>
        <w:adjustRightInd w:val="0"/>
        <w:rPr>
          <w:b/>
          <w:color w:val="1F497D" w:themeColor="text2"/>
        </w:rPr>
      </w:pPr>
    </w:p>
    <w:p w:rsidRPr="00D142FF" w:rsidR="006E3E43" w:rsidP="00AB317D" w:rsidRDefault="006E3E43" w14:paraId="5346B08B" w14:textId="31F8292F">
      <w:pPr>
        <w:autoSpaceDE w:val="0"/>
        <w:autoSpaceDN w:val="0"/>
        <w:adjustRightInd w:val="0"/>
      </w:pPr>
      <w:r w:rsidRPr="00D142FF">
        <w:rPr>
          <w:b/>
          <w:color w:val="1F497D" w:themeColor="text2"/>
        </w:rPr>
        <w:t>Table of Contents</w:t>
      </w:r>
    </w:p>
    <w:p w:rsidRPr="00D142FF" w:rsidR="00AC5805" w:rsidP="00261215" w:rsidRDefault="00AC5805" w14:paraId="59EFA2AE" w14:textId="77777777">
      <w:pPr>
        <w:rPr>
          <w:b/>
          <w:bCs/>
          <w:u w:val="single"/>
        </w:rPr>
      </w:pPr>
      <w:bookmarkStart w:name="_Toc304808214" w:id="1"/>
      <w:bookmarkStart w:name="_Toc304808301" w:id="2"/>
      <w:bookmarkStart w:name="_Toc305153411" w:id="3"/>
      <w:bookmarkStart w:name="_Toc305153629" w:id="4"/>
      <w:bookmarkStart w:name="_Toc305154205" w:id="5"/>
      <w:bookmarkStart w:name="_Toc305155359" w:id="6"/>
      <w:bookmarkStart w:name="_Toc306341889" w:id="7"/>
      <w:bookmarkStart w:name="_Toc306344142" w:id="8"/>
      <w:bookmarkStart w:name="_Toc306344783" w:id="9"/>
      <w:bookmarkStart w:name="_Toc306345024" w:id="10"/>
      <w:bookmarkStart w:name="_Toc311445493" w:id="11"/>
    </w:p>
    <w:sdt>
      <w:sdtPr>
        <w:rPr>
          <w:b/>
          <w:bCs/>
        </w:rPr>
        <w:id w:val="2086181389"/>
        <w:docPartObj>
          <w:docPartGallery w:val="Table of Contents"/>
          <w:docPartUnique/>
        </w:docPartObj>
      </w:sdtPr>
      <w:sdtEndPr>
        <w:rPr>
          <w:b w:val="0"/>
          <w:bCs w:val="0"/>
          <w:noProof/>
        </w:rPr>
      </w:sdtEndPr>
      <w:sdtContent>
        <w:p w:rsidR="00A409CE" w:rsidRDefault="00311E38" w14:paraId="1624796A" w14:textId="434E3330">
          <w:pPr>
            <w:pStyle w:val="TOC1"/>
            <w:rPr>
              <w:rFonts w:asciiTheme="minorHAnsi" w:hAnsiTheme="minorHAnsi" w:eastAsiaTheme="minorEastAsia" w:cstheme="minorBidi"/>
              <w:noProof/>
              <w:sz w:val="22"/>
              <w:szCs w:val="22"/>
            </w:rPr>
          </w:pPr>
          <w:r w:rsidRPr="00D142FF">
            <w:fldChar w:fldCharType="begin"/>
          </w:r>
          <w:r w:rsidRPr="00D142FF" w:rsidR="002930BD">
            <w:instrText xml:space="preserve"> TOC \o "1-3" \h \z \u </w:instrText>
          </w:r>
          <w:r w:rsidRPr="00D142FF">
            <w:fldChar w:fldCharType="separate"/>
          </w:r>
          <w:hyperlink w:history="1" w:anchor="_Toc105168837">
            <w:r w:rsidRPr="00441D23" w:rsidR="00A409CE">
              <w:rPr>
                <w:rStyle w:val="Hyperlink"/>
                <w:noProof/>
              </w:rPr>
              <w:t>A. Justification</w:t>
            </w:r>
            <w:r w:rsidR="00A409CE">
              <w:rPr>
                <w:noProof/>
                <w:webHidden/>
              </w:rPr>
              <w:tab/>
            </w:r>
            <w:r w:rsidR="00A409CE">
              <w:rPr>
                <w:noProof/>
                <w:webHidden/>
              </w:rPr>
              <w:fldChar w:fldCharType="begin"/>
            </w:r>
            <w:r w:rsidR="00A409CE">
              <w:rPr>
                <w:noProof/>
                <w:webHidden/>
              </w:rPr>
              <w:instrText xml:space="preserve"> PAGEREF _Toc105168837 \h </w:instrText>
            </w:r>
            <w:r w:rsidR="00A409CE">
              <w:rPr>
                <w:noProof/>
                <w:webHidden/>
              </w:rPr>
            </w:r>
            <w:r w:rsidR="00A409CE">
              <w:rPr>
                <w:noProof/>
                <w:webHidden/>
              </w:rPr>
              <w:fldChar w:fldCharType="separate"/>
            </w:r>
            <w:r w:rsidR="008677DD">
              <w:rPr>
                <w:noProof/>
                <w:webHidden/>
              </w:rPr>
              <w:t>4</w:t>
            </w:r>
            <w:r w:rsidR="00A409CE">
              <w:rPr>
                <w:noProof/>
                <w:webHidden/>
              </w:rPr>
              <w:fldChar w:fldCharType="end"/>
            </w:r>
          </w:hyperlink>
        </w:p>
        <w:p w:rsidR="00A409CE" w:rsidRDefault="008E2BB7" w14:paraId="1052A630" w14:textId="4CC2015A">
          <w:pPr>
            <w:pStyle w:val="TOC2"/>
            <w:rPr>
              <w:rFonts w:asciiTheme="minorHAnsi" w:hAnsiTheme="minorHAnsi" w:cstheme="minorBidi"/>
              <w:bCs w:val="0"/>
              <w:sz w:val="22"/>
              <w:szCs w:val="22"/>
            </w:rPr>
          </w:pPr>
          <w:hyperlink w:history="1" w:anchor="_Toc105168838">
            <w:r w:rsidRPr="00441D23" w:rsidR="00A409CE">
              <w:rPr>
                <w:rStyle w:val="Hyperlink"/>
              </w:rPr>
              <w:t>A.1 Circumstances Making the Collection of Information Necessary</w:t>
            </w:r>
            <w:r w:rsidR="00A409CE">
              <w:rPr>
                <w:webHidden/>
              </w:rPr>
              <w:tab/>
            </w:r>
            <w:r w:rsidR="00A409CE">
              <w:rPr>
                <w:webHidden/>
              </w:rPr>
              <w:fldChar w:fldCharType="begin"/>
            </w:r>
            <w:r w:rsidR="00A409CE">
              <w:rPr>
                <w:webHidden/>
              </w:rPr>
              <w:instrText xml:space="preserve"> PAGEREF _Toc105168838 \h </w:instrText>
            </w:r>
            <w:r w:rsidR="00A409CE">
              <w:rPr>
                <w:webHidden/>
              </w:rPr>
            </w:r>
            <w:r w:rsidR="00A409CE">
              <w:rPr>
                <w:webHidden/>
              </w:rPr>
              <w:fldChar w:fldCharType="separate"/>
            </w:r>
            <w:r w:rsidR="008677DD">
              <w:rPr>
                <w:webHidden/>
              </w:rPr>
              <w:t>4</w:t>
            </w:r>
            <w:r w:rsidR="00A409CE">
              <w:rPr>
                <w:webHidden/>
              </w:rPr>
              <w:fldChar w:fldCharType="end"/>
            </w:r>
          </w:hyperlink>
        </w:p>
        <w:p w:rsidR="00A409CE" w:rsidRDefault="008E2BB7" w14:paraId="4DBE2846" w14:textId="47FA4210">
          <w:pPr>
            <w:pStyle w:val="TOC2"/>
            <w:rPr>
              <w:rFonts w:asciiTheme="minorHAnsi" w:hAnsiTheme="minorHAnsi" w:cstheme="minorBidi"/>
              <w:bCs w:val="0"/>
              <w:sz w:val="22"/>
              <w:szCs w:val="22"/>
            </w:rPr>
          </w:pPr>
          <w:hyperlink w:history="1" w:anchor="_Toc105168839">
            <w:r w:rsidRPr="00441D23" w:rsidR="00A409CE">
              <w:rPr>
                <w:rStyle w:val="Hyperlink"/>
              </w:rPr>
              <w:t>A.2. Purpose and Use of Information Collection</w:t>
            </w:r>
            <w:r w:rsidR="00A409CE">
              <w:rPr>
                <w:webHidden/>
              </w:rPr>
              <w:tab/>
            </w:r>
            <w:r w:rsidR="00A409CE">
              <w:rPr>
                <w:webHidden/>
              </w:rPr>
              <w:fldChar w:fldCharType="begin"/>
            </w:r>
            <w:r w:rsidR="00A409CE">
              <w:rPr>
                <w:webHidden/>
              </w:rPr>
              <w:instrText xml:space="preserve"> PAGEREF _Toc105168839 \h </w:instrText>
            </w:r>
            <w:r w:rsidR="00A409CE">
              <w:rPr>
                <w:webHidden/>
              </w:rPr>
            </w:r>
            <w:r w:rsidR="00A409CE">
              <w:rPr>
                <w:webHidden/>
              </w:rPr>
              <w:fldChar w:fldCharType="separate"/>
            </w:r>
            <w:r w:rsidR="008677DD">
              <w:rPr>
                <w:webHidden/>
              </w:rPr>
              <w:t>6</w:t>
            </w:r>
            <w:r w:rsidR="00A409CE">
              <w:rPr>
                <w:webHidden/>
              </w:rPr>
              <w:fldChar w:fldCharType="end"/>
            </w:r>
          </w:hyperlink>
        </w:p>
        <w:p w:rsidR="00A409CE" w:rsidRDefault="008E2BB7" w14:paraId="131BDF0C" w14:textId="2803C712">
          <w:pPr>
            <w:pStyle w:val="TOC2"/>
            <w:rPr>
              <w:rFonts w:asciiTheme="minorHAnsi" w:hAnsiTheme="minorHAnsi" w:cstheme="minorBidi"/>
              <w:bCs w:val="0"/>
              <w:sz w:val="22"/>
              <w:szCs w:val="22"/>
            </w:rPr>
          </w:pPr>
          <w:hyperlink w:history="1" w:anchor="_Toc105168840">
            <w:r w:rsidRPr="00441D23" w:rsidR="00A409CE">
              <w:rPr>
                <w:rStyle w:val="Hyperlink"/>
              </w:rPr>
              <w:t>A.3. Use of Improved Information Technology and Burden Reduction</w:t>
            </w:r>
            <w:r w:rsidR="00A409CE">
              <w:rPr>
                <w:webHidden/>
              </w:rPr>
              <w:tab/>
            </w:r>
            <w:r w:rsidR="00A409CE">
              <w:rPr>
                <w:webHidden/>
              </w:rPr>
              <w:fldChar w:fldCharType="begin"/>
            </w:r>
            <w:r w:rsidR="00A409CE">
              <w:rPr>
                <w:webHidden/>
              </w:rPr>
              <w:instrText xml:space="preserve"> PAGEREF _Toc105168840 \h </w:instrText>
            </w:r>
            <w:r w:rsidR="00A409CE">
              <w:rPr>
                <w:webHidden/>
              </w:rPr>
            </w:r>
            <w:r w:rsidR="00A409CE">
              <w:rPr>
                <w:webHidden/>
              </w:rPr>
              <w:fldChar w:fldCharType="separate"/>
            </w:r>
            <w:r w:rsidR="008677DD">
              <w:rPr>
                <w:webHidden/>
              </w:rPr>
              <w:t>7</w:t>
            </w:r>
            <w:r w:rsidR="00A409CE">
              <w:rPr>
                <w:webHidden/>
              </w:rPr>
              <w:fldChar w:fldCharType="end"/>
            </w:r>
          </w:hyperlink>
        </w:p>
        <w:p w:rsidR="00A409CE" w:rsidRDefault="008E2BB7" w14:paraId="2F488C21" w14:textId="75A3475F">
          <w:pPr>
            <w:pStyle w:val="TOC2"/>
            <w:rPr>
              <w:rFonts w:asciiTheme="minorHAnsi" w:hAnsiTheme="minorHAnsi" w:cstheme="minorBidi"/>
              <w:bCs w:val="0"/>
              <w:sz w:val="22"/>
              <w:szCs w:val="22"/>
            </w:rPr>
          </w:pPr>
          <w:hyperlink w:history="1" w:anchor="_Toc105168841">
            <w:r w:rsidRPr="00441D23" w:rsidR="00A409CE">
              <w:rPr>
                <w:rStyle w:val="Hyperlink"/>
              </w:rPr>
              <w:t>A.4. Efforts to Identify Duplication and Use of Similar Information</w:t>
            </w:r>
            <w:r w:rsidR="00A409CE">
              <w:rPr>
                <w:webHidden/>
              </w:rPr>
              <w:tab/>
            </w:r>
            <w:r w:rsidR="00A409CE">
              <w:rPr>
                <w:webHidden/>
              </w:rPr>
              <w:fldChar w:fldCharType="begin"/>
            </w:r>
            <w:r w:rsidR="00A409CE">
              <w:rPr>
                <w:webHidden/>
              </w:rPr>
              <w:instrText xml:space="preserve"> PAGEREF _Toc105168841 \h </w:instrText>
            </w:r>
            <w:r w:rsidR="00A409CE">
              <w:rPr>
                <w:webHidden/>
              </w:rPr>
            </w:r>
            <w:r w:rsidR="00A409CE">
              <w:rPr>
                <w:webHidden/>
              </w:rPr>
              <w:fldChar w:fldCharType="separate"/>
            </w:r>
            <w:r w:rsidR="008677DD">
              <w:rPr>
                <w:webHidden/>
              </w:rPr>
              <w:t>7</w:t>
            </w:r>
            <w:r w:rsidR="00A409CE">
              <w:rPr>
                <w:webHidden/>
              </w:rPr>
              <w:fldChar w:fldCharType="end"/>
            </w:r>
          </w:hyperlink>
        </w:p>
        <w:p w:rsidR="00A409CE" w:rsidRDefault="008E2BB7" w14:paraId="0D348D62" w14:textId="44F2B6FE">
          <w:pPr>
            <w:pStyle w:val="TOC2"/>
            <w:rPr>
              <w:rFonts w:asciiTheme="minorHAnsi" w:hAnsiTheme="minorHAnsi" w:cstheme="minorBidi"/>
              <w:bCs w:val="0"/>
              <w:sz w:val="22"/>
              <w:szCs w:val="22"/>
            </w:rPr>
          </w:pPr>
          <w:hyperlink w:history="1" w:anchor="_Toc105168842">
            <w:r w:rsidRPr="00441D23" w:rsidR="00A409CE">
              <w:rPr>
                <w:rStyle w:val="Hyperlink"/>
              </w:rPr>
              <w:t>A.5. Impact on Small Businesses or Other Small Entities</w:t>
            </w:r>
            <w:r w:rsidR="00A409CE">
              <w:rPr>
                <w:webHidden/>
              </w:rPr>
              <w:tab/>
            </w:r>
            <w:r w:rsidR="00A409CE">
              <w:rPr>
                <w:webHidden/>
              </w:rPr>
              <w:fldChar w:fldCharType="begin"/>
            </w:r>
            <w:r w:rsidR="00A409CE">
              <w:rPr>
                <w:webHidden/>
              </w:rPr>
              <w:instrText xml:space="preserve"> PAGEREF _Toc105168842 \h </w:instrText>
            </w:r>
            <w:r w:rsidR="00A409CE">
              <w:rPr>
                <w:webHidden/>
              </w:rPr>
            </w:r>
            <w:r w:rsidR="00A409CE">
              <w:rPr>
                <w:webHidden/>
              </w:rPr>
              <w:fldChar w:fldCharType="separate"/>
            </w:r>
            <w:r w:rsidR="008677DD">
              <w:rPr>
                <w:webHidden/>
              </w:rPr>
              <w:t>8</w:t>
            </w:r>
            <w:r w:rsidR="00A409CE">
              <w:rPr>
                <w:webHidden/>
              </w:rPr>
              <w:fldChar w:fldCharType="end"/>
            </w:r>
          </w:hyperlink>
        </w:p>
        <w:p w:rsidR="00A409CE" w:rsidRDefault="008E2BB7" w14:paraId="34208F57" w14:textId="7CF81A6D">
          <w:pPr>
            <w:pStyle w:val="TOC2"/>
            <w:rPr>
              <w:rFonts w:asciiTheme="minorHAnsi" w:hAnsiTheme="minorHAnsi" w:cstheme="minorBidi"/>
              <w:bCs w:val="0"/>
              <w:sz w:val="22"/>
              <w:szCs w:val="22"/>
            </w:rPr>
          </w:pPr>
          <w:hyperlink w:history="1" w:anchor="_Toc105168843">
            <w:r w:rsidRPr="00441D23" w:rsidR="00A409CE">
              <w:rPr>
                <w:rStyle w:val="Hyperlink"/>
              </w:rPr>
              <w:t>A.6. Consequences of Collecting the Information Less Frequently</w:t>
            </w:r>
            <w:r w:rsidR="00A409CE">
              <w:rPr>
                <w:webHidden/>
              </w:rPr>
              <w:tab/>
            </w:r>
            <w:r w:rsidR="00A409CE">
              <w:rPr>
                <w:webHidden/>
              </w:rPr>
              <w:fldChar w:fldCharType="begin"/>
            </w:r>
            <w:r w:rsidR="00A409CE">
              <w:rPr>
                <w:webHidden/>
              </w:rPr>
              <w:instrText xml:space="preserve"> PAGEREF _Toc105168843 \h </w:instrText>
            </w:r>
            <w:r w:rsidR="00A409CE">
              <w:rPr>
                <w:webHidden/>
              </w:rPr>
            </w:r>
            <w:r w:rsidR="00A409CE">
              <w:rPr>
                <w:webHidden/>
              </w:rPr>
              <w:fldChar w:fldCharType="separate"/>
            </w:r>
            <w:r w:rsidR="008677DD">
              <w:rPr>
                <w:webHidden/>
              </w:rPr>
              <w:t>8</w:t>
            </w:r>
            <w:r w:rsidR="00A409CE">
              <w:rPr>
                <w:webHidden/>
              </w:rPr>
              <w:fldChar w:fldCharType="end"/>
            </w:r>
          </w:hyperlink>
        </w:p>
        <w:p w:rsidR="00A409CE" w:rsidRDefault="008E2BB7" w14:paraId="6027D2EC" w14:textId="2DA97D6F">
          <w:pPr>
            <w:pStyle w:val="TOC2"/>
            <w:rPr>
              <w:rFonts w:asciiTheme="minorHAnsi" w:hAnsiTheme="minorHAnsi" w:cstheme="minorBidi"/>
              <w:bCs w:val="0"/>
              <w:sz w:val="22"/>
              <w:szCs w:val="22"/>
            </w:rPr>
          </w:pPr>
          <w:hyperlink w:history="1" w:anchor="_Toc105168844">
            <w:r w:rsidRPr="00441D23" w:rsidR="00A409CE">
              <w:rPr>
                <w:rStyle w:val="Hyperlink"/>
              </w:rPr>
              <w:t>A.7. Special Circumstances Relating to the Guidelines of 5 CFR 1320.5</w:t>
            </w:r>
            <w:r w:rsidR="00A409CE">
              <w:rPr>
                <w:webHidden/>
              </w:rPr>
              <w:tab/>
            </w:r>
            <w:r w:rsidR="00A409CE">
              <w:rPr>
                <w:webHidden/>
              </w:rPr>
              <w:fldChar w:fldCharType="begin"/>
            </w:r>
            <w:r w:rsidR="00A409CE">
              <w:rPr>
                <w:webHidden/>
              </w:rPr>
              <w:instrText xml:space="preserve"> PAGEREF _Toc105168844 \h </w:instrText>
            </w:r>
            <w:r w:rsidR="00A409CE">
              <w:rPr>
                <w:webHidden/>
              </w:rPr>
            </w:r>
            <w:r w:rsidR="00A409CE">
              <w:rPr>
                <w:webHidden/>
              </w:rPr>
              <w:fldChar w:fldCharType="separate"/>
            </w:r>
            <w:r w:rsidR="008677DD">
              <w:rPr>
                <w:webHidden/>
              </w:rPr>
              <w:t>8</w:t>
            </w:r>
            <w:r w:rsidR="00A409CE">
              <w:rPr>
                <w:webHidden/>
              </w:rPr>
              <w:fldChar w:fldCharType="end"/>
            </w:r>
          </w:hyperlink>
        </w:p>
        <w:p w:rsidR="00A409CE" w:rsidRDefault="008E2BB7" w14:paraId="72D38B29" w14:textId="473B8AE6">
          <w:pPr>
            <w:pStyle w:val="TOC2"/>
            <w:rPr>
              <w:rFonts w:asciiTheme="minorHAnsi" w:hAnsiTheme="minorHAnsi" w:cstheme="minorBidi"/>
              <w:bCs w:val="0"/>
              <w:sz w:val="22"/>
              <w:szCs w:val="22"/>
            </w:rPr>
          </w:pPr>
          <w:hyperlink w:history="1" w:anchor="_Toc105168845">
            <w:r w:rsidRPr="00441D23" w:rsidR="00A409CE">
              <w:rPr>
                <w:rStyle w:val="Hyperlink"/>
              </w:rPr>
              <w:t>A.8. Comments in Response to the Federal Register Notice and Efforts to Consult Outside the Agency</w:t>
            </w:r>
            <w:r w:rsidR="00A409CE">
              <w:rPr>
                <w:webHidden/>
              </w:rPr>
              <w:tab/>
            </w:r>
            <w:r w:rsidR="00A409CE">
              <w:rPr>
                <w:webHidden/>
              </w:rPr>
              <w:fldChar w:fldCharType="begin"/>
            </w:r>
            <w:r w:rsidR="00A409CE">
              <w:rPr>
                <w:webHidden/>
              </w:rPr>
              <w:instrText xml:space="preserve"> PAGEREF _Toc105168845 \h </w:instrText>
            </w:r>
            <w:r w:rsidR="00A409CE">
              <w:rPr>
                <w:webHidden/>
              </w:rPr>
            </w:r>
            <w:r w:rsidR="00A409CE">
              <w:rPr>
                <w:webHidden/>
              </w:rPr>
              <w:fldChar w:fldCharType="separate"/>
            </w:r>
            <w:r w:rsidR="008677DD">
              <w:rPr>
                <w:webHidden/>
              </w:rPr>
              <w:t>8</w:t>
            </w:r>
            <w:r w:rsidR="00A409CE">
              <w:rPr>
                <w:webHidden/>
              </w:rPr>
              <w:fldChar w:fldCharType="end"/>
            </w:r>
          </w:hyperlink>
        </w:p>
        <w:p w:rsidR="00A409CE" w:rsidRDefault="008E2BB7" w14:paraId="388EA585" w14:textId="5E7D0172">
          <w:pPr>
            <w:pStyle w:val="TOC2"/>
            <w:rPr>
              <w:rFonts w:asciiTheme="minorHAnsi" w:hAnsiTheme="minorHAnsi" w:cstheme="minorBidi"/>
              <w:bCs w:val="0"/>
              <w:sz w:val="22"/>
              <w:szCs w:val="22"/>
            </w:rPr>
          </w:pPr>
          <w:hyperlink w:history="1" w:anchor="_Toc105168846">
            <w:r w:rsidRPr="00441D23" w:rsidR="00A409CE">
              <w:rPr>
                <w:rStyle w:val="Hyperlink"/>
              </w:rPr>
              <w:t>A.9. Explanation of Any Payment or Gift to Respondents</w:t>
            </w:r>
            <w:r w:rsidR="00A409CE">
              <w:rPr>
                <w:webHidden/>
              </w:rPr>
              <w:tab/>
            </w:r>
            <w:r w:rsidR="00A409CE">
              <w:rPr>
                <w:webHidden/>
              </w:rPr>
              <w:fldChar w:fldCharType="begin"/>
            </w:r>
            <w:r w:rsidR="00A409CE">
              <w:rPr>
                <w:webHidden/>
              </w:rPr>
              <w:instrText xml:space="preserve"> PAGEREF _Toc105168846 \h </w:instrText>
            </w:r>
            <w:r w:rsidR="00A409CE">
              <w:rPr>
                <w:webHidden/>
              </w:rPr>
            </w:r>
            <w:r w:rsidR="00A409CE">
              <w:rPr>
                <w:webHidden/>
              </w:rPr>
              <w:fldChar w:fldCharType="separate"/>
            </w:r>
            <w:r w:rsidR="008677DD">
              <w:rPr>
                <w:webHidden/>
              </w:rPr>
              <w:t>9</w:t>
            </w:r>
            <w:r w:rsidR="00A409CE">
              <w:rPr>
                <w:webHidden/>
              </w:rPr>
              <w:fldChar w:fldCharType="end"/>
            </w:r>
          </w:hyperlink>
        </w:p>
        <w:p w:rsidR="00A409CE" w:rsidRDefault="008E2BB7" w14:paraId="5370C272" w14:textId="0BA4F233">
          <w:pPr>
            <w:pStyle w:val="TOC2"/>
            <w:rPr>
              <w:rFonts w:asciiTheme="minorHAnsi" w:hAnsiTheme="minorHAnsi" w:cstheme="minorBidi"/>
              <w:bCs w:val="0"/>
              <w:sz w:val="22"/>
              <w:szCs w:val="22"/>
            </w:rPr>
          </w:pPr>
          <w:hyperlink w:history="1" w:anchor="_Toc105168847">
            <w:r w:rsidRPr="00441D23" w:rsidR="00A409CE">
              <w:rPr>
                <w:rStyle w:val="Hyperlink"/>
              </w:rPr>
              <w:t>A.10. Protection of the Privacy and Confidentiality of Information Provided by Respondents</w:t>
            </w:r>
            <w:r w:rsidR="00A409CE">
              <w:rPr>
                <w:webHidden/>
              </w:rPr>
              <w:tab/>
            </w:r>
            <w:r w:rsidR="00A409CE">
              <w:rPr>
                <w:webHidden/>
              </w:rPr>
              <w:fldChar w:fldCharType="begin"/>
            </w:r>
            <w:r w:rsidR="00A409CE">
              <w:rPr>
                <w:webHidden/>
              </w:rPr>
              <w:instrText xml:space="preserve"> PAGEREF _Toc105168847 \h </w:instrText>
            </w:r>
            <w:r w:rsidR="00A409CE">
              <w:rPr>
                <w:webHidden/>
              </w:rPr>
            </w:r>
            <w:r w:rsidR="00A409CE">
              <w:rPr>
                <w:webHidden/>
              </w:rPr>
              <w:fldChar w:fldCharType="separate"/>
            </w:r>
            <w:r w:rsidR="008677DD">
              <w:rPr>
                <w:webHidden/>
              </w:rPr>
              <w:t>9</w:t>
            </w:r>
            <w:r w:rsidR="00A409CE">
              <w:rPr>
                <w:webHidden/>
              </w:rPr>
              <w:fldChar w:fldCharType="end"/>
            </w:r>
          </w:hyperlink>
        </w:p>
        <w:p w:rsidR="00A409CE" w:rsidRDefault="008E2BB7" w14:paraId="27E0752B" w14:textId="1A1EE604">
          <w:pPr>
            <w:pStyle w:val="TOC3"/>
            <w:tabs>
              <w:tab w:val="right" w:leader="dot" w:pos="9350"/>
            </w:tabs>
            <w:rPr>
              <w:noProof/>
            </w:rPr>
          </w:pPr>
          <w:hyperlink w:history="1" w:anchor="_Toc105168848">
            <w:r w:rsidRPr="00441D23" w:rsidR="00A409CE">
              <w:rPr>
                <w:rStyle w:val="Hyperlink"/>
                <w:noProof/>
              </w:rPr>
              <w:t>A.10.1. Privacy Impact Assessment Information</w:t>
            </w:r>
            <w:r w:rsidR="00A409CE">
              <w:rPr>
                <w:noProof/>
                <w:webHidden/>
              </w:rPr>
              <w:tab/>
            </w:r>
            <w:r w:rsidR="00A409CE">
              <w:rPr>
                <w:noProof/>
                <w:webHidden/>
              </w:rPr>
              <w:fldChar w:fldCharType="begin"/>
            </w:r>
            <w:r w:rsidR="00A409CE">
              <w:rPr>
                <w:noProof/>
                <w:webHidden/>
              </w:rPr>
              <w:instrText xml:space="preserve"> PAGEREF _Toc105168848 \h </w:instrText>
            </w:r>
            <w:r w:rsidR="00A409CE">
              <w:rPr>
                <w:noProof/>
                <w:webHidden/>
              </w:rPr>
            </w:r>
            <w:r w:rsidR="00A409CE">
              <w:rPr>
                <w:noProof/>
                <w:webHidden/>
              </w:rPr>
              <w:fldChar w:fldCharType="separate"/>
            </w:r>
            <w:r w:rsidR="008677DD">
              <w:rPr>
                <w:noProof/>
                <w:webHidden/>
              </w:rPr>
              <w:t>9</w:t>
            </w:r>
            <w:r w:rsidR="00A409CE">
              <w:rPr>
                <w:noProof/>
                <w:webHidden/>
              </w:rPr>
              <w:fldChar w:fldCharType="end"/>
            </w:r>
          </w:hyperlink>
        </w:p>
        <w:p w:rsidR="00A409CE" w:rsidRDefault="008E2BB7" w14:paraId="68FBBFB8" w14:textId="4487897E">
          <w:pPr>
            <w:pStyle w:val="TOC2"/>
            <w:rPr>
              <w:rFonts w:asciiTheme="minorHAnsi" w:hAnsiTheme="minorHAnsi" w:cstheme="minorBidi"/>
              <w:bCs w:val="0"/>
              <w:sz w:val="22"/>
              <w:szCs w:val="22"/>
            </w:rPr>
          </w:pPr>
          <w:hyperlink w:history="1" w:anchor="_Toc105168849">
            <w:r w:rsidRPr="00441D23" w:rsidR="00A409CE">
              <w:rPr>
                <w:rStyle w:val="Hyperlink"/>
              </w:rPr>
              <w:t>A.11. Institutional Review Board (IRB) and Justification for Sensitive Questions</w:t>
            </w:r>
            <w:r w:rsidR="00A409CE">
              <w:rPr>
                <w:webHidden/>
              </w:rPr>
              <w:tab/>
            </w:r>
            <w:r w:rsidR="00A409CE">
              <w:rPr>
                <w:webHidden/>
              </w:rPr>
              <w:fldChar w:fldCharType="begin"/>
            </w:r>
            <w:r w:rsidR="00A409CE">
              <w:rPr>
                <w:webHidden/>
              </w:rPr>
              <w:instrText xml:space="preserve"> PAGEREF _Toc105168849 \h </w:instrText>
            </w:r>
            <w:r w:rsidR="00A409CE">
              <w:rPr>
                <w:webHidden/>
              </w:rPr>
            </w:r>
            <w:r w:rsidR="00A409CE">
              <w:rPr>
                <w:webHidden/>
              </w:rPr>
              <w:fldChar w:fldCharType="separate"/>
            </w:r>
            <w:r w:rsidR="008677DD">
              <w:rPr>
                <w:webHidden/>
              </w:rPr>
              <w:t>12</w:t>
            </w:r>
            <w:r w:rsidR="00A409CE">
              <w:rPr>
                <w:webHidden/>
              </w:rPr>
              <w:fldChar w:fldCharType="end"/>
            </w:r>
          </w:hyperlink>
        </w:p>
        <w:p w:rsidR="00A409CE" w:rsidRDefault="008E2BB7" w14:paraId="1CF6F287" w14:textId="046F3CD7">
          <w:pPr>
            <w:pStyle w:val="TOC2"/>
            <w:rPr>
              <w:rFonts w:asciiTheme="minorHAnsi" w:hAnsiTheme="minorHAnsi" w:cstheme="minorBidi"/>
              <w:bCs w:val="0"/>
              <w:sz w:val="22"/>
              <w:szCs w:val="22"/>
            </w:rPr>
          </w:pPr>
          <w:hyperlink w:history="1" w:anchor="_Toc105168850">
            <w:r w:rsidRPr="00441D23" w:rsidR="00A409CE">
              <w:rPr>
                <w:rStyle w:val="Hyperlink"/>
              </w:rPr>
              <w:t>A.12. Estimates of Annualized Burden Hours and Costs</w:t>
            </w:r>
            <w:r w:rsidR="00A409CE">
              <w:rPr>
                <w:webHidden/>
              </w:rPr>
              <w:tab/>
            </w:r>
            <w:r w:rsidR="00A409CE">
              <w:rPr>
                <w:webHidden/>
              </w:rPr>
              <w:fldChar w:fldCharType="begin"/>
            </w:r>
            <w:r w:rsidR="00A409CE">
              <w:rPr>
                <w:webHidden/>
              </w:rPr>
              <w:instrText xml:space="preserve"> PAGEREF _Toc105168850 \h </w:instrText>
            </w:r>
            <w:r w:rsidR="00A409CE">
              <w:rPr>
                <w:webHidden/>
              </w:rPr>
            </w:r>
            <w:r w:rsidR="00A409CE">
              <w:rPr>
                <w:webHidden/>
              </w:rPr>
              <w:fldChar w:fldCharType="separate"/>
            </w:r>
            <w:r w:rsidR="008677DD">
              <w:rPr>
                <w:webHidden/>
              </w:rPr>
              <w:t>13</w:t>
            </w:r>
            <w:r w:rsidR="00A409CE">
              <w:rPr>
                <w:webHidden/>
              </w:rPr>
              <w:fldChar w:fldCharType="end"/>
            </w:r>
          </w:hyperlink>
        </w:p>
        <w:p w:rsidR="00A409CE" w:rsidRDefault="008E2BB7" w14:paraId="48C2E21C" w14:textId="30E6E757">
          <w:pPr>
            <w:pStyle w:val="TOC3"/>
            <w:tabs>
              <w:tab w:val="right" w:leader="dot" w:pos="9350"/>
            </w:tabs>
            <w:rPr>
              <w:noProof/>
            </w:rPr>
          </w:pPr>
          <w:hyperlink w:history="1" w:anchor="_Toc105168851">
            <w:r w:rsidRPr="00441D23" w:rsidR="00A409CE">
              <w:rPr>
                <w:rStyle w:val="Hyperlink"/>
                <w:noProof/>
              </w:rPr>
              <w:t>A.12.1. Estimates of Annualized Burden Hours</w:t>
            </w:r>
            <w:r w:rsidR="00A409CE">
              <w:rPr>
                <w:noProof/>
                <w:webHidden/>
              </w:rPr>
              <w:tab/>
            </w:r>
            <w:r w:rsidR="00A409CE">
              <w:rPr>
                <w:noProof/>
                <w:webHidden/>
              </w:rPr>
              <w:fldChar w:fldCharType="begin"/>
            </w:r>
            <w:r w:rsidR="00A409CE">
              <w:rPr>
                <w:noProof/>
                <w:webHidden/>
              </w:rPr>
              <w:instrText xml:space="preserve"> PAGEREF _Toc105168851 \h </w:instrText>
            </w:r>
            <w:r w:rsidR="00A409CE">
              <w:rPr>
                <w:noProof/>
                <w:webHidden/>
              </w:rPr>
            </w:r>
            <w:r w:rsidR="00A409CE">
              <w:rPr>
                <w:noProof/>
                <w:webHidden/>
              </w:rPr>
              <w:fldChar w:fldCharType="separate"/>
            </w:r>
            <w:r w:rsidR="008677DD">
              <w:rPr>
                <w:noProof/>
                <w:webHidden/>
              </w:rPr>
              <w:t>13</w:t>
            </w:r>
            <w:r w:rsidR="00A409CE">
              <w:rPr>
                <w:noProof/>
                <w:webHidden/>
              </w:rPr>
              <w:fldChar w:fldCharType="end"/>
            </w:r>
          </w:hyperlink>
        </w:p>
        <w:p w:rsidR="00A409CE" w:rsidRDefault="008E2BB7" w14:paraId="7769276E" w14:textId="35202CAC">
          <w:pPr>
            <w:pStyle w:val="TOC3"/>
            <w:tabs>
              <w:tab w:val="right" w:leader="dot" w:pos="9350"/>
            </w:tabs>
            <w:rPr>
              <w:noProof/>
            </w:rPr>
          </w:pPr>
          <w:hyperlink w:history="1" w:anchor="_Toc105168852">
            <w:r w:rsidRPr="00441D23" w:rsidR="00A409CE">
              <w:rPr>
                <w:rStyle w:val="Hyperlink"/>
                <w:noProof/>
              </w:rPr>
              <w:t>A.12.2. Annualized Cost to Respondents</w:t>
            </w:r>
            <w:r w:rsidR="00A409CE">
              <w:rPr>
                <w:noProof/>
                <w:webHidden/>
              </w:rPr>
              <w:tab/>
            </w:r>
            <w:r w:rsidR="00A409CE">
              <w:rPr>
                <w:noProof/>
                <w:webHidden/>
              </w:rPr>
              <w:fldChar w:fldCharType="begin"/>
            </w:r>
            <w:r w:rsidR="00A409CE">
              <w:rPr>
                <w:noProof/>
                <w:webHidden/>
              </w:rPr>
              <w:instrText xml:space="preserve"> PAGEREF _Toc105168852 \h </w:instrText>
            </w:r>
            <w:r w:rsidR="00A409CE">
              <w:rPr>
                <w:noProof/>
                <w:webHidden/>
              </w:rPr>
            </w:r>
            <w:r w:rsidR="00A409CE">
              <w:rPr>
                <w:noProof/>
                <w:webHidden/>
              </w:rPr>
              <w:fldChar w:fldCharType="separate"/>
            </w:r>
            <w:r w:rsidR="008677DD">
              <w:rPr>
                <w:noProof/>
                <w:webHidden/>
              </w:rPr>
              <w:t>14</w:t>
            </w:r>
            <w:r w:rsidR="00A409CE">
              <w:rPr>
                <w:noProof/>
                <w:webHidden/>
              </w:rPr>
              <w:fldChar w:fldCharType="end"/>
            </w:r>
          </w:hyperlink>
        </w:p>
        <w:p w:rsidR="00A409CE" w:rsidRDefault="008E2BB7" w14:paraId="181AB04F" w14:textId="44B6C2A7">
          <w:pPr>
            <w:pStyle w:val="TOC2"/>
            <w:rPr>
              <w:rFonts w:asciiTheme="minorHAnsi" w:hAnsiTheme="minorHAnsi" w:cstheme="minorBidi"/>
              <w:bCs w:val="0"/>
              <w:sz w:val="22"/>
              <w:szCs w:val="22"/>
            </w:rPr>
          </w:pPr>
          <w:hyperlink w:history="1" w:anchor="_Toc105168853">
            <w:r w:rsidRPr="00441D23" w:rsidR="00A409CE">
              <w:rPr>
                <w:rStyle w:val="Hyperlink"/>
              </w:rPr>
              <w:t>A.13. Estimates of Other Total Annual Cost Burden to Respondents or Record Keepers</w:t>
            </w:r>
            <w:r w:rsidR="00A409CE">
              <w:rPr>
                <w:webHidden/>
              </w:rPr>
              <w:tab/>
            </w:r>
            <w:r w:rsidR="00A409CE">
              <w:rPr>
                <w:webHidden/>
              </w:rPr>
              <w:fldChar w:fldCharType="begin"/>
            </w:r>
            <w:r w:rsidR="00A409CE">
              <w:rPr>
                <w:webHidden/>
              </w:rPr>
              <w:instrText xml:space="preserve"> PAGEREF _Toc105168853 \h </w:instrText>
            </w:r>
            <w:r w:rsidR="00A409CE">
              <w:rPr>
                <w:webHidden/>
              </w:rPr>
            </w:r>
            <w:r w:rsidR="00A409CE">
              <w:rPr>
                <w:webHidden/>
              </w:rPr>
              <w:fldChar w:fldCharType="separate"/>
            </w:r>
            <w:r w:rsidR="008677DD">
              <w:rPr>
                <w:webHidden/>
              </w:rPr>
              <w:t>16</w:t>
            </w:r>
            <w:r w:rsidR="00A409CE">
              <w:rPr>
                <w:webHidden/>
              </w:rPr>
              <w:fldChar w:fldCharType="end"/>
            </w:r>
          </w:hyperlink>
        </w:p>
        <w:p w:rsidR="00A409CE" w:rsidRDefault="008E2BB7" w14:paraId="52EA783A" w14:textId="2567592B">
          <w:pPr>
            <w:pStyle w:val="TOC2"/>
            <w:rPr>
              <w:rFonts w:asciiTheme="minorHAnsi" w:hAnsiTheme="minorHAnsi" w:cstheme="minorBidi"/>
              <w:bCs w:val="0"/>
              <w:sz w:val="22"/>
              <w:szCs w:val="22"/>
            </w:rPr>
          </w:pPr>
          <w:hyperlink w:history="1" w:anchor="_Toc105168854">
            <w:r w:rsidRPr="00441D23" w:rsidR="00A409CE">
              <w:rPr>
                <w:rStyle w:val="Hyperlink"/>
              </w:rPr>
              <w:t>A.14. Annualized Cost to the Government</w:t>
            </w:r>
            <w:r w:rsidR="00A409CE">
              <w:rPr>
                <w:webHidden/>
              </w:rPr>
              <w:tab/>
            </w:r>
            <w:r w:rsidR="00A409CE">
              <w:rPr>
                <w:webHidden/>
              </w:rPr>
              <w:fldChar w:fldCharType="begin"/>
            </w:r>
            <w:r w:rsidR="00A409CE">
              <w:rPr>
                <w:webHidden/>
              </w:rPr>
              <w:instrText xml:space="preserve"> PAGEREF _Toc105168854 \h </w:instrText>
            </w:r>
            <w:r w:rsidR="00A409CE">
              <w:rPr>
                <w:webHidden/>
              </w:rPr>
            </w:r>
            <w:r w:rsidR="00A409CE">
              <w:rPr>
                <w:webHidden/>
              </w:rPr>
              <w:fldChar w:fldCharType="separate"/>
            </w:r>
            <w:r w:rsidR="008677DD">
              <w:rPr>
                <w:webHidden/>
              </w:rPr>
              <w:t>16</w:t>
            </w:r>
            <w:r w:rsidR="00A409CE">
              <w:rPr>
                <w:webHidden/>
              </w:rPr>
              <w:fldChar w:fldCharType="end"/>
            </w:r>
          </w:hyperlink>
        </w:p>
        <w:p w:rsidR="00A409CE" w:rsidRDefault="008E2BB7" w14:paraId="08132563" w14:textId="3448C00E">
          <w:pPr>
            <w:pStyle w:val="TOC2"/>
            <w:rPr>
              <w:rFonts w:asciiTheme="minorHAnsi" w:hAnsiTheme="minorHAnsi" w:cstheme="minorBidi"/>
              <w:bCs w:val="0"/>
              <w:sz w:val="22"/>
              <w:szCs w:val="22"/>
            </w:rPr>
          </w:pPr>
          <w:hyperlink w:history="1" w:anchor="_Toc105168855">
            <w:r w:rsidRPr="00441D23" w:rsidR="00A409CE">
              <w:rPr>
                <w:rStyle w:val="Hyperlink"/>
              </w:rPr>
              <w:t>A.15. Explanation for Program Changes or Adjustments</w:t>
            </w:r>
            <w:r w:rsidR="00A409CE">
              <w:rPr>
                <w:webHidden/>
              </w:rPr>
              <w:tab/>
            </w:r>
            <w:r w:rsidR="00A409CE">
              <w:rPr>
                <w:webHidden/>
              </w:rPr>
              <w:fldChar w:fldCharType="begin"/>
            </w:r>
            <w:r w:rsidR="00A409CE">
              <w:rPr>
                <w:webHidden/>
              </w:rPr>
              <w:instrText xml:space="preserve"> PAGEREF _Toc105168855 \h </w:instrText>
            </w:r>
            <w:r w:rsidR="00A409CE">
              <w:rPr>
                <w:webHidden/>
              </w:rPr>
            </w:r>
            <w:r w:rsidR="00A409CE">
              <w:rPr>
                <w:webHidden/>
              </w:rPr>
              <w:fldChar w:fldCharType="separate"/>
            </w:r>
            <w:r w:rsidR="008677DD">
              <w:rPr>
                <w:webHidden/>
              </w:rPr>
              <w:t>16</w:t>
            </w:r>
            <w:r w:rsidR="00A409CE">
              <w:rPr>
                <w:webHidden/>
              </w:rPr>
              <w:fldChar w:fldCharType="end"/>
            </w:r>
          </w:hyperlink>
        </w:p>
        <w:p w:rsidR="00A409CE" w:rsidRDefault="008E2BB7" w14:paraId="618DF20C" w14:textId="32DB7FA4">
          <w:pPr>
            <w:pStyle w:val="TOC2"/>
            <w:rPr>
              <w:rFonts w:asciiTheme="minorHAnsi" w:hAnsiTheme="minorHAnsi" w:cstheme="minorBidi"/>
              <w:bCs w:val="0"/>
              <w:sz w:val="22"/>
              <w:szCs w:val="22"/>
            </w:rPr>
          </w:pPr>
          <w:hyperlink w:history="1" w:anchor="_Toc105168856">
            <w:r w:rsidRPr="00441D23" w:rsidR="00A409CE">
              <w:rPr>
                <w:rStyle w:val="Hyperlink"/>
              </w:rPr>
              <w:t>A.16. Plans for Tabulation and Publication and Project Time Schedule</w:t>
            </w:r>
            <w:r w:rsidR="00A409CE">
              <w:rPr>
                <w:webHidden/>
              </w:rPr>
              <w:tab/>
            </w:r>
            <w:r w:rsidR="00A409CE">
              <w:rPr>
                <w:webHidden/>
              </w:rPr>
              <w:fldChar w:fldCharType="begin"/>
            </w:r>
            <w:r w:rsidR="00A409CE">
              <w:rPr>
                <w:webHidden/>
              </w:rPr>
              <w:instrText xml:space="preserve"> PAGEREF _Toc105168856 \h </w:instrText>
            </w:r>
            <w:r w:rsidR="00A409CE">
              <w:rPr>
                <w:webHidden/>
              </w:rPr>
            </w:r>
            <w:r w:rsidR="00A409CE">
              <w:rPr>
                <w:webHidden/>
              </w:rPr>
              <w:fldChar w:fldCharType="separate"/>
            </w:r>
            <w:r w:rsidR="008677DD">
              <w:rPr>
                <w:webHidden/>
              </w:rPr>
              <w:t>16</w:t>
            </w:r>
            <w:r w:rsidR="00A409CE">
              <w:rPr>
                <w:webHidden/>
              </w:rPr>
              <w:fldChar w:fldCharType="end"/>
            </w:r>
          </w:hyperlink>
        </w:p>
        <w:p w:rsidR="00A409CE" w:rsidRDefault="008E2BB7" w14:paraId="1D8BA136" w14:textId="71040F47">
          <w:pPr>
            <w:pStyle w:val="TOC2"/>
            <w:rPr>
              <w:rFonts w:asciiTheme="minorHAnsi" w:hAnsiTheme="minorHAnsi" w:cstheme="minorBidi"/>
              <w:bCs w:val="0"/>
              <w:sz w:val="22"/>
              <w:szCs w:val="22"/>
            </w:rPr>
          </w:pPr>
          <w:hyperlink w:history="1" w:anchor="_Toc105168857">
            <w:r w:rsidRPr="00441D23" w:rsidR="00A409CE">
              <w:rPr>
                <w:rStyle w:val="Hyperlink"/>
              </w:rPr>
              <w:t>A.17. Reason(s) Display of OMB Expiration Date is Inappropriate</w:t>
            </w:r>
            <w:r w:rsidR="00A409CE">
              <w:rPr>
                <w:webHidden/>
              </w:rPr>
              <w:tab/>
            </w:r>
            <w:r w:rsidR="00A409CE">
              <w:rPr>
                <w:webHidden/>
              </w:rPr>
              <w:fldChar w:fldCharType="begin"/>
            </w:r>
            <w:r w:rsidR="00A409CE">
              <w:rPr>
                <w:webHidden/>
              </w:rPr>
              <w:instrText xml:space="preserve"> PAGEREF _Toc105168857 \h </w:instrText>
            </w:r>
            <w:r w:rsidR="00A409CE">
              <w:rPr>
                <w:webHidden/>
              </w:rPr>
            </w:r>
            <w:r w:rsidR="00A409CE">
              <w:rPr>
                <w:webHidden/>
              </w:rPr>
              <w:fldChar w:fldCharType="separate"/>
            </w:r>
            <w:r w:rsidR="008677DD">
              <w:rPr>
                <w:webHidden/>
              </w:rPr>
              <w:t>17</w:t>
            </w:r>
            <w:r w:rsidR="00A409CE">
              <w:rPr>
                <w:webHidden/>
              </w:rPr>
              <w:fldChar w:fldCharType="end"/>
            </w:r>
          </w:hyperlink>
        </w:p>
        <w:p w:rsidR="00A409CE" w:rsidRDefault="008E2BB7" w14:paraId="10B448D8" w14:textId="3D7875DC">
          <w:pPr>
            <w:pStyle w:val="TOC2"/>
            <w:rPr>
              <w:rFonts w:asciiTheme="minorHAnsi" w:hAnsiTheme="minorHAnsi" w:cstheme="minorBidi"/>
              <w:bCs w:val="0"/>
              <w:sz w:val="22"/>
              <w:szCs w:val="22"/>
            </w:rPr>
          </w:pPr>
          <w:hyperlink w:history="1" w:anchor="_Toc105168858">
            <w:r w:rsidRPr="00441D23" w:rsidR="00A409CE">
              <w:rPr>
                <w:rStyle w:val="Hyperlink"/>
              </w:rPr>
              <w:t>A.18. Exceptions to Certification for Paperwork Reduction Act Submissions</w:t>
            </w:r>
            <w:r w:rsidR="00A409CE">
              <w:rPr>
                <w:webHidden/>
              </w:rPr>
              <w:tab/>
            </w:r>
            <w:r w:rsidR="00A409CE">
              <w:rPr>
                <w:webHidden/>
              </w:rPr>
              <w:fldChar w:fldCharType="begin"/>
            </w:r>
            <w:r w:rsidR="00A409CE">
              <w:rPr>
                <w:webHidden/>
              </w:rPr>
              <w:instrText xml:space="preserve"> PAGEREF _Toc105168858 \h </w:instrText>
            </w:r>
            <w:r w:rsidR="00A409CE">
              <w:rPr>
                <w:webHidden/>
              </w:rPr>
            </w:r>
            <w:r w:rsidR="00A409CE">
              <w:rPr>
                <w:webHidden/>
              </w:rPr>
              <w:fldChar w:fldCharType="separate"/>
            </w:r>
            <w:r w:rsidR="008677DD">
              <w:rPr>
                <w:webHidden/>
              </w:rPr>
              <w:t>17</w:t>
            </w:r>
            <w:r w:rsidR="00A409CE">
              <w:rPr>
                <w:webHidden/>
              </w:rPr>
              <w:fldChar w:fldCharType="end"/>
            </w:r>
          </w:hyperlink>
        </w:p>
        <w:p w:rsidR="002930BD" w:rsidRDefault="00311E38" w14:paraId="779C9C33" w14:textId="7678B847">
          <w:r w:rsidRPr="00D142FF">
            <w:rPr>
              <w:b/>
              <w:bCs/>
              <w:noProof/>
            </w:rPr>
            <w:fldChar w:fldCharType="end"/>
          </w:r>
        </w:p>
      </w:sdtContent>
    </w:sdt>
    <w:bookmarkEnd w:id="1"/>
    <w:bookmarkEnd w:id="2"/>
    <w:bookmarkEnd w:id="3"/>
    <w:bookmarkEnd w:id="4"/>
    <w:bookmarkEnd w:id="5"/>
    <w:bookmarkEnd w:id="6"/>
    <w:bookmarkEnd w:id="7"/>
    <w:bookmarkEnd w:id="8"/>
    <w:bookmarkEnd w:id="9"/>
    <w:bookmarkEnd w:id="10"/>
    <w:bookmarkEnd w:id="11"/>
    <w:p w:rsidR="003B2430" w:rsidRDefault="003B2430" w14:paraId="4E21554D" w14:textId="2DA3F257">
      <w:pPr>
        <w:rPr>
          <w:b/>
        </w:rPr>
      </w:pPr>
    </w:p>
    <w:p w:rsidR="003B2430" w:rsidRDefault="003B2430" w14:paraId="6FD23FB7" w14:textId="3F17AFF9">
      <w:pPr>
        <w:rPr>
          <w:b/>
        </w:rPr>
      </w:pPr>
    </w:p>
    <w:p w:rsidRPr="005C1619" w:rsidR="008F78CE" w:rsidP="008F78CE" w:rsidRDefault="00802EFE" w14:paraId="3A137103" w14:textId="536AB888">
      <w:pPr>
        <w:rPr>
          <w:bCs/>
        </w:rPr>
      </w:pPr>
      <w:r w:rsidRPr="00D20211">
        <w:rPr>
          <w:rFonts w:asciiTheme="majorHAnsi" w:hAnsiTheme="majorHAnsi"/>
          <w:noProof/>
          <w:sz w:val="36"/>
          <w:szCs w:val="36"/>
        </w:rPr>
        <w:lastRenderedPageBreak/>
        <mc:AlternateContent>
          <mc:Choice Requires="wps">
            <w:drawing>
              <wp:anchor distT="45720" distB="45720" distL="114300" distR="114300" simplePos="0" relativeHeight="251658240" behindDoc="0" locked="0" layoutInCell="1" allowOverlap="1" wp14:editId="7BA1BC3D" wp14:anchorId="16286F7B">
                <wp:simplePos x="0" y="0"/>
                <wp:positionH relativeFrom="margin">
                  <wp:posOffset>0</wp:posOffset>
                </wp:positionH>
                <wp:positionV relativeFrom="paragraph">
                  <wp:posOffset>220980</wp:posOffset>
                </wp:positionV>
                <wp:extent cx="5930900" cy="4038600"/>
                <wp:effectExtent l="0" t="0" r="1270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0900" cy="4038600"/>
                        </a:xfrm>
                        <a:prstGeom prst="rect">
                          <a:avLst/>
                        </a:prstGeom>
                        <a:solidFill>
                          <a:srgbClr val="FFFFFF"/>
                        </a:solidFill>
                        <a:ln w="9525">
                          <a:solidFill>
                            <a:srgbClr val="000000"/>
                          </a:solidFill>
                          <a:miter lim="800000"/>
                          <a:headEnd/>
                          <a:tailEnd/>
                        </a:ln>
                      </wps:spPr>
                      <wps:txbx>
                        <w:txbxContent>
                          <w:p w:rsidRPr="001B2712" w:rsidR="001F17DE" w:rsidP="001F17DE" w:rsidRDefault="001F17DE" w14:paraId="5D1E0631" w14:textId="45BBE690">
                            <w:pPr>
                              <w:spacing w:before="240"/>
                            </w:pPr>
                            <w:r w:rsidRPr="001B2712">
                              <w:rPr>
                                <w:b/>
                              </w:rPr>
                              <w:t xml:space="preserve">Goal of the study: </w:t>
                            </w:r>
                            <w:r w:rsidRPr="004306BF" w:rsidR="004306BF">
                              <w:t xml:space="preserve">The Jasper and Newton County Exposure Investigation (JNC EI) will </w:t>
                            </w:r>
                            <w:r w:rsidR="003948A2">
                              <w:t xml:space="preserve">measure </w:t>
                            </w:r>
                            <w:r w:rsidRPr="0003163E" w:rsidR="0003163E">
                              <w:t xml:space="preserve">blood lead levels (BLLs) and lead in environmental samples in and around homes near the Oronogo-Duenweg Mining Belt and Newton County Mine Tailings Superfund sites. </w:t>
                            </w:r>
                          </w:p>
                          <w:p w:rsidRPr="001B2712" w:rsidR="001F17DE" w:rsidP="001F17DE" w:rsidRDefault="001F17DE" w14:paraId="63E06781" w14:textId="7A7B6D5D">
                            <w:pPr>
                              <w:spacing w:before="240"/>
                            </w:pPr>
                            <w:r w:rsidRPr="001B2712">
                              <w:rPr>
                                <w:b/>
                              </w:rPr>
                              <w:t xml:space="preserve">Intended use of the resulting data: </w:t>
                            </w:r>
                            <w:r w:rsidR="000A354C">
                              <w:t>The data will inform the exten</w:t>
                            </w:r>
                            <w:r w:rsidR="00D929C7">
                              <w:t xml:space="preserve">t </w:t>
                            </w:r>
                            <w:r w:rsidR="000A354C">
                              <w:t xml:space="preserve">of lead exposure in the community and </w:t>
                            </w:r>
                            <w:r w:rsidR="003948A2">
                              <w:t xml:space="preserve">help </w:t>
                            </w:r>
                            <w:r w:rsidR="00802EFE">
                              <w:t xml:space="preserve">develop future recommendations and actions to reduce exposure to lead. </w:t>
                            </w:r>
                          </w:p>
                          <w:p w:rsidRPr="001B2712" w:rsidR="001F17DE" w:rsidP="001F17DE" w:rsidRDefault="001F17DE" w14:paraId="32EFBAAC" w14:textId="29D8044D">
                            <w:pPr>
                              <w:spacing w:before="240"/>
                            </w:pPr>
                            <w:r w:rsidRPr="001B2712">
                              <w:rPr>
                                <w:b/>
                              </w:rPr>
                              <w:t xml:space="preserve">Methods to be used to collect: </w:t>
                            </w:r>
                            <w:r w:rsidR="00DA101F">
                              <w:t xml:space="preserve"> </w:t>
                            </w:r>
                            <w:r w:rsidRPr="00DA101F" w:rsidR="00DA101F">
                              <w:t>Participants for the EI will be recruited from the areas within the Oronogo-Duenweg Mining Belt and Newton County Mine Tailings Superfund sites’ boundaries</w:t>
                            </w:r>
                            <w:r w:rsidR="003948A2">
                              <w:t xml:space="preserve"> through</w:t>
                            </w:r>
                            <w:r w:rsidR="006B588D">
                              <w:t xml:space="preserve"> convenient sampling</w:t>
                            </w:r>
                            <w:r w:rsidRPr="00DA101F" w:rsidR="00DA101F">
                              <w:t>. Recruitment priority will be given to area residents where lead contamination is highest or suspected</w:t>
                            </w:r>
                            <w:r w:rsidR="00121231">
                              <w:t xml:space="preserve">. </w:t>
                            </w:r>
                          </w:p>
                          <w:p w:rsidRPr="001B2712" w:rsidR="001F17DE" w:rsidP="001F17DE" w:rsidRDefault="001F17DE" w14:paraId="31D92729" w14:textId="064D0FC7">
                            <w:pPr>
                              <w:spacing w:before="240"/>
                            </w:pPr>
                            <w:r w:rsidRPr="001B2712">
                              <w:rPr>
                                <w:b/>
                              </w:rPr>
                              <w:t xml:space="preserve">Subpopulation to be studied: </w:t>
                            </w:r>
                            <w:r w:rsidR="00121231">
                              <w:t>C</w:t>
                            </w:r>
                            <w:r w:rsidRPr="004306BF" w:rsidR="00121231">
                              <w:t xml:space="preserve">hildren (&lt;72 months) and pregnant women or women of childbearing age (15-44 years) </w:t>
                            </w:r>
                            <w:r w:rsidR="00492FE0">
                              <w:t xml:space="preserve">living </w:t>
                            </w:r>
                            <w:r w:rsidRPr="004306BF" w:rsidR="00121231">
                              <w:t>near the sites</w:t>
                            </w:r>
                            <w:r w:rsidR="00121231">
                              <w:t xml:space="preserve">. </w:t>
                            </w:r>
                          </w:p>
                          <w:p w:rsidRPr="001B2712" w:rsidR="001F17DE" w:rsidP="001F17DE" w:rsidRDefault="001F17DE" w14:paraId="72C01F17" w14:textId="1DAFFEC6">
                            <w:pPr>
                              <w:spacing w:before="240"/>
                            </w:pPr>
                            <w:r w:rsidRPr="001B2712">
                              <w:rPr>
                                <w:b/>
                              </w:rPr>
                              <w:t xml:space="preserve">How data will be analyzed: </w:t>
                            </w:r>
                            <w:r w:rsidR="004D7B27">
                              <w:t>Data analysis will be performed using R, SPSS, SAS, and/or Prism software. Descriptive analyses, including the various BLLs and environmental data, broken down by age, sex, status on known lead exposures, comparison to NHANES, etc., will be provided and presented via distinctive and clear figures along with descriptions in text. A</w:t>
                            </w:r>
                            <w:r w:rsidRPr="00F06748" w:rsidR="003948A2">
                              <w:rPr>
                                <w:bCs/>
                              </w:rPr>
                              <w:t>TSDR statisticians will</w:t>
                            </w:r>
                            <w:r w:rsidR="008D44CC">
                              <w:t xml:space="preserve"> </w:t>
                            </w:r>
                            <w:r w:rsidRPr="00F06748" w:rsidR="003948A2">
                              <w:rPr>
                                <w:bCs/>
                              </w:rPr>
                              <w:t>compare the measured BLL to the current BLRV and incorporate</w:t>
                            </w:r>
                            <w:r w:rsidR="008D44CC">
                              <w:rPr>
                                <w:bCs/>
                              </w:rPr>
                              <w:t xml:space="preserve"> </w:t>
                            </w:r>
                            <w:r w:rsidRPr="00F06748" w:rsidR="008D44CC">
                              <w:rPr>
                                <w:bCs/>
                              </w:rPr>
                              <w:t>multivariate regression analysis to determine the association between BLL and lead measured in the surrounding environment,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6286F7B">
                <v:stroke joinstyle="miter"/>
                <v:path gradientshapeok="t" o:connecttype="rect"/>
              </v:shapetype>
              <v:shape id="Text Box 2" style="position:absolute;margin-left:0;margin-top:17.4pt;width:467pt;height:318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">
                <v:textbox>
                  <w:txbxContent>
                    <w:p w:rsidRPr="001B2712" w:rsidR="001F17DE" w:rsidP="001F17DE" w:rsidRDefault="001F17DE" w14:paraId="5D1E0631" w14:textId="45BBE690">
                      <w:pPr>
                        <w:spacing w:before="240"/>
                      </w:pPr>
                      <w:r w:rsidRPr="001B2712">
                        <w:rPr>
                          <w:b/>
                        </w:rPr>
                        <w:t xml:space="preserve">Goal of the study: </w:t>
                      </w:r>
                      <w:r w:rsidRPr="004306BF" w:rsidR="004306BF">
                        <w:t xml:space="preserve">The Jasper and Newton County Exposure Investigation (JNC EI) will </w:t>
                      </w:r>
                      <w:r w:rsidR="003948A2">
                        <w:t xml:space="preserve">measure </w:t>
                      </w:r>
                      <w:r w:rsidRPr="0003163E" w:rsidR="0003163E">
                        <w:t xml:space="preserve">blood lead levels (BLLs) and lead in environmental samples in and around homes near the Oronogo-Duenweg Mining Belt and Newton County Mine Tailings Superfund sites. </w:t>
                      </w:r>
                    </w:p>
                    <w:p w:rsidRPr="001B2712" w:rsidR="001F17DE" w:rsidP="001F17DE" w:rsidRDefault="001F17DE" w14:paraId="63E06781" w14:textId="7A7B6D5D">
                      <w:pPr>
                        <w:spacing w:before="240"/>
                      </w:pPr>
                      <w:r w:rsidRPr="001B2712">
                        <w:rPr>
                          <w:b/>
                        </w:rPr>
                        <w:t xml:space="preserve">Intended use of the resulting data: </w:t>
                      </w:r>
                      <w:r w:rsidR="000A354C">
                        <w:t>The data will inform the exten</w:t>
                      </w:r>
                      <w:r w:rsidR="00D929C7">
                        <w:t xml:space="preserve">t </w:t>
                      </w:r>
                      <w:r w:rsidR="000A354C">
                        <w:t xml:space="preserve">of lead exposure in the community and </w:t>
                      </w:r>
                      <w:r w:rsidR="003948A2">
                        <w:t xml:space="preserve">help </w:t>
                      </w:r>
                      <w:r w:rsidR="00802EFE">
                        <w:t xml:space="preserve">develop future recommendations and actions to reduce exposure to lead. </w:t>
                      </w:r>
                    </w:p>
                    <w:p w:rsidRPr="001B2712" w:rsidR="001F17DE" w:rsidP="001F17DE" w:rsidRDefault="001F17DE" w14:paraId="32EFBAAC" w14:textId="29D8044D">
                      <w:pPr>
                        <w:spacing w:before="240"/>
                      </w:pPr>
                      <w:r w:rsidRPr="001B2712">
                        <w:rPr>
                          <w:b/>
                        </w:rPr>
                        <w:t xml:space="preserve">Methods to be used to collect: </w:t>
                      </w:r>
                      <w:r w:rsidR="00DA101F">
                        <w:t xml:space="preserve"> </w:t>
                      </w:r>
                      <w:r w:rsidRPr="00DA101F" w:rsidR="00DA101F">
                        <w:t>Participants for the EI will be recruited from the areas within the Oronogo-Duenweg Mining Belt and Newton County Mine Tailings Superfund sites’ boundaries</w:t>
                      </w:r>
                      <w:r w:rsidR="003948A2">
                        <w:t xml:space="preserve"> through</w:t>
                      </w:r>
                      <w:r w:rsidR="006B588D">
                        <w:t xml:space="preserve"> convenient sampling</w:t>
                      </w:r>
                      <w:r w:rsidRPr="00DA101F" w:rsidR="00DA101F">
                        <w:t>. Recruitment priority will be given to area residents where lead contamination is highest or suspected</w:t>
                      </w:r>
                      <w:r w:rsidR="00121231">
                        <w:t xml:space="preserve">. </w:t>
                      </w:r>
                    </w:p>
                    <w:p w:rsidRPr="001B2712" w:rsidR="001F17DE" w:rsidP="001F17DE" w:rsidRDefault="001F17DE" w14:paraId="31D92729" w14:textId="064D0FC7">
                      <w:pPr>
                        <w:spacing w:before="240"/>
                      </w:pPr>
                      <w:r w:rsidRPr="001B2712">
                        <w:rPr>
                          <w:b/>
                        </w:rPr>
                        <w:t xml:space="preserve">Subpopulation to be studied: </w:t>
                      </w:r>
                      <w:r w:rsidR="00121231">
                        <w:t>C</w:t>
                      </w:r>
                      <w:r w:rsidRPr="004306BF" w:rsidR="00121231">
                        <w:t xml:space="preserve">hildren (&lt;72 months) and pregnant women or women of childbearing age (15-44 years) </w:t>
                      </w:r>
                      <w:r w:rsidR="00492FE0">
                        <w:t xml:space="preserve">living </w:t>
                      </w:r>
                      <w:r w:rsidRPr="004306BF" w:rsidR="00121231">
                        <w:t>near the sites</w:t>
                      </w:r>
                      <w:r w:rsidR="00121231">
                        <w:t xml:space="preserve">. </w:t>
                      </w:r>
                    </w:p>
                    <w:p w:rsidRPr="001B2712" w:rsidR="001F17DE" w:rsidP="001F17DE" w:rsidRDefault="001F17DE" w14:paraId="72C01F17" w14:textId="1DAFFEC6">
                      <w:pPr>
                        <w:spacing w:before="240"/>
                      </w:pPr>
                      <w:r w:rsidRPr="001B2712">
                        <w:rPr>
                          <w:b/>
                        </w:rPr>
                        <w:t xml:space="preserve">How data will be analyzed: </w:t>
                      </w:r>
                      <w:r w:rsidR="004D7B27">
                        <w:t>Data analysis will be performed using R, SPSS, SAS, and/or Prism software. Descriptive analyses, including the various BLLs and environmental data, broken down by age, sex, status on known lead exposures, comparison to NHANES, etc., will be provided and presented via distinctive and clear figures along with descriptions in text. A</w:t>
                      </w:r>
                      <w:r w:rsidRPr="00F06748" w:rsidR="003948A2">
                        <w:rPr>
                          <w:bCs/>
                        </w:rPr>
                        <w:t>TSDR statisticians will</w:t>
                      </w:r>
                      <w:r w:rsidR="008D44CC">
                        <w:t xml:space="preserve"> </w:t>
                      </w:r>
                      <w:r w:rsidRPr="00F06748" w:rsidR="003948A2">
                        <w:rPr>
                          <w:bCs/>
                        </w:rPr>
                        <w:t>compare the measured BLL to the current BLRV and incorporate</w:t>
                      </w:r>
                      <w:r w:rsidR="008D44CC">
                        <w:rPr>
                          <w:bCs/>
                        </w:rPr>
                        <w:t xml:space="preserve"> </w:t>
                      </w:r>
                      <w:r w:rsidRPr="00F06748" w:rsidR="008D44CC">
                        <w:rPr>
                          <w:bCs/>
                        </w:rPr>
                        <w:t>multivariate regression analysis to determine the association between BLL and lead measured in the surrounding environment,</w:t>
                      </w:r>
                    </w:p>
                  </w:txbxContent>
                </v:textbox>
                <w10:wrap type="square" anchorx="margin"/>
              </v:shape>
            </w:pict>
          </mc:Fallback>
        </mc:AlternateContent>
      </w:r>
    </w:p>
    <w:p w:rsidR="004B00B1" w:rsidP="004034A1" w:rsidRDefault="004B00B1" w14:paraId="7AECF74C" w14:textId="77777777">
      <w:pPr>
        <w:ind w:firstLine="720"/>
      </w:pPr>
      <w:bookmarkStart w:name="_Hlk102421655" w:id="12"/>
    </w:p>
    <w:bookmarkEnd w:id="12"/>
    <w:p w:rsidR="003B2430" w:rsidRDefault="003B2430" w14:paraId="623B85B0" w14:textId="278D32D0">
      <w:pPr>
        <w:rPr>
          <w:b/>
        </w:rPr>
      </w:pPr>
    </w:p>
    <w:p w:rsidRPr="00C635E7" w:rsidR="00A441FB" w:rsidP="00C635E7" w:rsidRDefault="00147926" w14:paraId="20C72746" w14:textId="499E4D8B">
      <w:pPr>
        <w:rPr>
          <w:rFonts w:asciiTheme="majorHAnsi" w:hAnsiTheme="majorHAnsi" w:eastAsiaTheme="majorEastAsia" w:cstheme="majorBidi"/>
          <w:b/>
          <w:bCs/>
          <w:color w:val="365F91" w:themeColor="accent1" w:themeShade="BF"/>
          <w:sz w:val="28"/>
          <w:szCs w:val="28"/>
        </w:rPr>
      </w:pPr>
      <w:r>
        <w:rPr>
          <w:b/>
        </w:rPr>
        <w:br w:type="page"/>
      </w:r>
    </w:p>
    <w:p w:rsidRPr="00C635E7" w:rsidR="00EC4AE2" w:rsidP="00C635E7" w:rsidRDefault="00312D79" w14:paraId="2A7B3EE2" w14:textId="6E58217D">
      <w:pPr>
        <w:pStyle w:val="Heading1"/>
      </w:pPr>
      <w:bookmarkStart w:name="_Toc105168837" w:id="13"/>
      <w:r w:rsidRPr="00C635E7">
        <w:lastRenderedPageBreak/>
        <w:t>A. Justification</w:t>
      </w:r>
      <w:bookmarkEnd w:id="13"/>
    </w:p>
    <w:p w:rsidR="00311E38" w:rsidP="001C226F" w:rsidRDefault="00DE0214" w14:paraId="55283E8A" w14:textId="041B0772">
      <w:pPr>
        <w:pStyle w:val="Heading2"/>
      </w:pPr>
      <w:bookmarkStart w:name="_Toc105168838" w:id="14"/>
      <w:r>
        <w:t xml:space="preserve">A.1 Circumstances </w:t>
      </w:r>
      <w:r w:rsidRPr="001C226F">
        <w:t>Making</w:t>
      </w:r>
      <w:r>
        <w:t xml:space="preserve"> the Collection of Information Necessary</w:t>
      </w:r>
      <w:bookmarkEnd w:id="14"/>
    </w:p>
    <w:p w:rsidRPr="003E4C15" w:rsidR="00073047" w:rsidP="004C7B15" w:rsidRDefault="00073047" w14:paraId="03F41731" w14:textId="77777777"/>
    <w:p w:rsidR="0069469D" w:rsidP="00D94910" w:rsidRDefault="00BC290E" w14:paraId="462A6B39" w14:textId="17346E01">
      <w:pPr>
        <w:spacing w:line="276" w:lineRule="auto"/>
        <w:rPr>
          <w:bCs/>
        </w:rPr>
      </w:pPr>
      <w:r>
        <w:rPr>
          <w:bCs/>
        </w:rPr>
        <w:t xml:space="preserve">This data collection is being conducted using the Generic Information Collection mechanism of the </w:t>
      </w:r>
      <w:r w:rsidR="000244F3">
        <w:rPr>
          <w:bCs/>
        </w:rPr>
        <w:t>Agency for Toxic Substances an</w:t>
      </w:r>
      <w:r w:rsidR="005452C7">
        <w:rPr>
          <w:bCs/>
        </w:rPr>
        <w:t>d</w:t>
      </w:r>
      <w:r w:rsidR="000244F3">
        <w:rPr>
          <w:bCs/>
        </w:rPr>
        <w:t xml:space="preserve"> Disease Registry (</w:t>
      </w:r>
      <w:r>
        <w:rPr>
          <w:bCs/>
        </w:rPr>
        <w:t>ATSDR</w:t>
      </w:r>
      <w:r w:rsidR="000244F3">
        <w:rPr>
          <w:bCs/>
        </w:rPr>
        <w:t>)</w:t>
      </w:r>
      <w:r>
        <w:rPr>
          <w:bCs/>
        </w:rPr>
        <w:t xml:space="preserve"> Exposure Investigations (EIs) – OMB </w:t>
      </w:r>
      <w:r w:rsidR="00EB2D9F">
        <w:rPr>
          <w:bCs/>
        </w:rPr>
        <w:t xml:space="preserve">Control </w:t>
      </w:r>
      <w:r>
        <w:rPr>
          <w:bCs/>
        </w:rPr>
        <w:t>No.0923-0048</w:t>
      </w:r>
      <w:r w:rsidR="00EB2D9F">
        <w:rPr>
          <w:bCs/>
        </w:rPr>
        <w:t>,</w:t>
      </w:r>
      <w:r w:rsidR="00E734E7">
        <w:rPr>
          <w:bCs/>
        </w:rPr>
        <w:t xml:space="preserve"> exp</w:t>
      </w:r>
      <w:r w:rsidR="000B7F02">
        <w:rPr>
          <w:bCs/>
        </w:rPr>
        <w:t>iration date</w:t>
      </w:r>
      <w:r w:rsidR="00E734E7">
        <w:rPr>
          <w:bCs/>
        </w:rPr>
        <w:t xml:space="preserve"> </w:t>
      </w:r>
      <w:r w:rsidR="00AE1FF1">
        <w:rPr>
          <w:bCs/>
        </w:rPr>
        <w:t>6</w:t>
      </w:r>
      <w:r w:rsidR="00E734E7">
        <w:rPr>
          <w:bCs/>
        </w:rPr>
        <w:t>/31/20</w:t>
      </w:r>
      <w:r w:rsidR="00D46B59">
        <w:rPr>
          <w:bCs/>
        </w:rPr>
        <w:t>22</w:t>
      </w:r>
      <w:r>
        <w:rPr>
          <w:bCs/>
        </w:rPr>
        <w:t xml:space="preserve">. The data collection for the </w:t>
      </w:r>
      <w:r w:rsidR="009242E9">
        <w:rPr>
          <w:bCs/>
        </w:rPr>
        <w:t>Jasper and Newton County Exposure Investigation (</w:t>
      </w:r>
      <w:r w:rsidR="00DA464F">
        <w:rPr>
          <w:bCs/>
        </w:rPr>
        <w:t>JNC</w:t>
      </w:r>
      <w:r w:rsidR="00C52647">
        <w:rPr>
          <w:rStyle w:val="Strong"/>
          <w:b w:val="0"/>
        </w:rPr>
        <w:t xml:space="preserve"> </w:t>
      </w:r>
      <w:r>
        <w:rPr>
          <w:bCs/>
        </w:rPr>
        <w:t>EI</w:t>
      </w:r>
      <w:r w:rsidR="009242E9">
        <w:rPr>
          <w:bCs/>
        </w:rPr>
        <w:t>)</w:t>
      </w:r>
      <w:r>
        <w:rPr>
          <w:bCs/>
        </w:rPr>
        <w:t xml:space="preserve"> aligns with the </w:t>
      </w:r>
      <w:r w:rsidR="00827296">
        <w:rPr>
          <w:bCs/>
        </w:rPr>
        <w:t>a</w:t>
      </w:r>
      <w:r w:rsidR="00905D07">
        <w:rPr>
          <w:bCs/>
        </w:rPr>
        <w:t xml:space="preserve">gency’s </w:t>
      </w:r>
      <w:r>
        <w:rPr>
          <w:bCs/>
        </w:rPr>
        <w:t>mission.</w:t>
      </w:r>
    </w:p>
    <w:p w:rsidR="00363D95" w:rsidP="007E5790" w:rsidRDefault="00363D95" w14:paraId="64603AED" w14:textId="77777777">
      <w:pPr>
        <w:rPr>
          <w:bCs/>
        </w:rPr>
      </w:pPr>
    </w:p>
    <w:p w:rsidRPr="007F6ADC" w:rsidR="00363D95" w:rsidP="00D94910" w:rsidRDefault="00363D95" w14:paraId="5AC19267" w14:textId="77777777">
      <w:pPr>
        <w:spacing w:line="276" w:lineRule="auto"/>
        <w:rPr>
          <w:color w:val="000000"/>
          <w:szCs w:val="20"/>
        </w:rPr>
      </w:pPr>
      <w:r>
        <w:rPr>
          <w:color w:val="000000"/>
          <w:szCs w:val="20"/>
        </w:rPr>
        <w:t>The data collection is authorized by the Comprehensive Environmental Response, Compensation, and Liability Act of 1980 (CERCLA), commonly known as the “Superfund” Act, as amended by the Superfund Amendments and Reauthorization Act (SARA) of 1986.</w:t>
      </w:r>
    </w:p>
    <w:p w:rsidR="00BC290E" w:rsidP="007E5790" w:rsidRDefault="00BC290E" w14:paraId="4F1A605E" w14:textId="77777777"/>
    <w:p w:rsidRPr="005B1CE6" w:rsidR="005B1CE6" w:rsidP="007E5790" w:rsidRDefault="005B1CE6" w14:paraId="41EFE604" w14:textId="77777777">
      <w:pPr>
        <w:rPr>
          <w:rStyle w:val="Strong"/>
          <w:rFonts w:asciiTheme="majorHAnsi" w:hAnsiTheme="majorHAnsi"/>
          <w:color w:val="4F81BD"/>
        </w:rPr>
      </w:pPr>
      <w:r w:rsidRPr="005B1CE6">
        <w:rPr>
          <w:rStyle w:val="Strong"/>
          <w:rFonts w:asciiTheme="majorHAnsi" w:hAnsiTheme="majorHAnsi"/>
          <w:color w:val="4F81BD"/>
        </w:rPr>
        <w:t>ATSDR Public Health Assessment Process</w:t>
      </w:r>
      <w:r w:rsidR="00C15C5B">
        <w:rPr>
          <w:rStyle w:val="Strong"/>
          <w:rFonts w:asciiTheme="majorHAnsi" w:hAnsiTheme="majorHAnsi"/>
          <w:color w:val="4F81BD"/>
        </w:rPr>
        <w:t xml:space="preserve"> and the Role of the Exposure Investigation</w:t>
      </w:r>
    </w:p>
    <w:p w:rsidR="005B1CE6" w:rsidP="007E5790" w:rsidRDefault="005B1CE6" w14:paraId="2B580890" w14:textId="77777777">
      <w:pPr>
        <w:rPr>
          <w:color w:val="000000"/>
        </w:rPr>
      </w:pPr>
    </w:p>
    <w:p w:rsidR="00B45A8E" w:rsidP="001F4AB2" w:rsidRDefault="00B45A8E" w14:paraId="05E7EA4C" w14:textId="68AF431B">
      <w:pPr>
        <w:spacing w:after="100" w:afterAutospacing="1" w:line="276" w:lineRule="auto"/>
      </w:pPr>
      <w:r>
        <w:t>The EI will measure lead in the blood</w:t>
      </w:r>
      <w:r w:rsidRPr="00E82DF3">
        <w:t xml:space="preserve"> </w:t>
      </w:r>
      <w:r>
        <w:t xml:space="preserve">of children (&lt;72 months) and pregnant women or women of childbearing age (15-44 years) near the </w:t>
      </w:r>
      <w:proofErr w:type="spellStart"/>
      <w:r>
        <w:t>Oronogo-Duenweg</w:t>
      </w:r>
      <w:proofErr w:type="spellEnd"/>
      <w:r>
        <w:t xml:space="preserve"> Mining Belt and Newton County Mine Tailings Superfund sites</w:t>
      </w:r>
      <w:r w:rsidRPr="001621B7">
        <w:t xml:space="preserve">. </w:t>
      </w:r>
      <w:r w:rsidRPr="001F4AB2" w:rsidR="009242E9">
        <w:t xml:space="preserve">In addition, federal and state partners will measure lead contamination in and around households to better inform potential lead exposure to participants. </w:t>
      </w:r>
      <w:r w:rsidRPr="001621B7">
        <w:t>The EI</w:t>
      </w:r>
      <w:r>
        <w:t xml:space="preserve"> will evaluate the association between BLLs and environmental lead levels. The </w:t>
      </w:r>
      <w:proofErr w:type="spellStart"/>
      <w:r>
        <w:t>Oronogo-Duenweg</w:t>
      </w:r>
      <w:proofErr w:type="spellEnd"/>
      <w:r>
        <w:t xml:space="preserve"> Mining Belt and the Newton County Mine Tailings Superfund sites are listed on the EPA National Priorities List (NPL) and are part of the Tri-State Mining District (TSMD). The TSMD encompasses approximately 2,500 square miles of land in Kansas, Missouri, and Oklahoma. </w:t>
      </w:r>
    </w:p>
    <w:p w:rsidR="00B45A8E" w:rsidP="001F4AB2" w:rsidRDefault="00B45A8E" w14:paraId="2D1420E1" w14:textId="26AE529A">
      <w:pPr>
        <w:spacing w:after="100" w:afterAutospacing="1" w:line="276" w:lineRule="auto"/>
      </w:pPr>
      <w:r>
        <w:t xml:space="preserve">The TSMD was one of the foremost lead-zinc mining areas of the world. Lead and zinc ores were actively mined, milled, and smelted for over 100 years. Historic mining activities generated millions of tons of waste (described in </w:t>
      </w:r>
      <w:r w:rsidR="009242E9">
        <w:t>the Protocol</w:t>
      </w:r>
      <w:r>
        <w:t xml:space="preserve">) that contaminated soil, groundwater, and sediments with lead and other metals.  </w:t>
      </w:r>
    </w:p>
    <w:p w:rsidR="00B45A8E" w:rsidP="001F4AB2" w:rsidRDefault="00B45A8E" w14:paraId="783E2536" w14:textId="030D63C8">
      <w:pPr>
        <w:spacing w:after="100" w:afterAutospacing="1" w:line="276" w:lineRule="auto"/>
      </w:pPr>
      <w:r>
        <w:t xml:space="preserve">ATSDR released a Preliminary Public Health Assessment for the </w:t>
      </w:r>
      <w:proofErr w:type="spellStart"/>
      <w:r>
        <w:t>Oronogo-Duenweg</w:t>
      </w:r>
      <w:proofErr w:type="spellEnd"/>
      <w:r>
        <w:t xml:space="preserve"> Mining Belt in 1990 and a Public Health Assessment for the Newton County Mine Tailings Site in 2006. Public Health Assessments evaluate hazardous waste sites to determine whether people could be harmed by coming into contact with site-related substances. Both assessments concluded that the sites posed a public health concern due to human exposure to metals via ingestion and inhalation of contaminated groundwater, soil, sediment, and air [ATSDR 1990, 2006].</w:t>
      </w:r>
    </w:p>
    <w:p w:rsidR="00B45A8E" w:rsidP="001F4AB2" w:rsidRDefault="00B45A8E" w14:paraId="737AA39C" w14:textId="0BD9EB2D">
      <w:pPr>
        <w:spacing w:after="100" w:afterAutospacing="1" w:line="276" w:lineRule="auto"/>
      </w:pPr>
      <w:r>
        <w:t xml:space="preserve">Given CDC’s changes to the </w:t>
      </w:r>
      <w:r w:rsidR="00D46B59">
        <w:t>blood-lead reference value (</w:t>
      </w:r>
      <w:r>
        <w:t>BLRV</w:t>
      </w:r>
      <w:r w:rsidR="00D46B59">
        <w:t>)</w:t>
      </w:r>
      <w:r>
        <w:t xml:space="preserve">, in October 2021, EPA asked for ATSDR’s assistance in conducting a blood lead assessment for the </w:t>
      </w:r>
      <w:proofErr w:type="spellStart"/>
      <w:r>
        <w:t>Oronogo-Duenweg</w:t>
      </w:r>
      <w:proofErr w:type="spellEnd"/>
      <w:r>
        <w:t xml:space="preserve"> Mining Belt and Newton County Mine Tailings Superfund sites [EPA 2017, EPA 2019]. </w:t>
      </w:r>
    </w:p>
    <w:p w:rsidR="00074222" w:rsidP="007E282F" w:rsidRDefault="00074222" w14:paraId="6D1F22A6" w14:textId="77777777"/>
    <w:p w:rsidR="00BC290E" w:rsidP="00691B3B" w:rsidRDefault="008F5CF3" w14:paraId="543AA856" w14:textId="38334EBA">
      <w:r>
        <w:rPr>
          <w:rStyle w:val="Strong"/>
          <w:rFonts w:asciiTheme="majorHAnsi" w:hAnsiTheme="majorHAnsi"/>
          <w:color w:val="4F81BD"/>
        </w:rPr>
        <w:lastRenderedPageBreak/>
        <w:t xml:space="preserve">Blood Lead Levels in </w:t>
      </w:r>
      <w:r w:rsidR="00E14D34">
        <w:rPr>
          <w:rStyle w:val="Strong"/>
          <w:rFonts w:asciiTheme="majorHAnsi" w:hAnsiTheme="majorHAnsi"/>
          <w:color w:val="4F81BD"/>
        </w:rPr>
        <w:t>JNC, MO</w:t>
      </w:r>
      <w:r w:rsidR="00BC290E">
        <w:rPr>
          <w:rStyle w:val="Strong"/>
          <w:rFonts w:asciiTheme="majorHAnsi" w:hAnsiTheme="majorHAnsi"/>
          <w:color w:val="4F81BD"/>
        </w:rPr>
        <w:t xml:space="preserve"> Exposure </w:t>
      </w:r>
      <w:r w:rsidRPr="00844EC5" w:rsidR="00BC290E">
        <w:rPr>
          <w:rStyle w:val="Strong"/>
          <w:rFonts w:asciiTheme="majorHAnsi" w:hAnsiTheme="majorHAnsi"/>
          <w:color w:val="4F81BD"/>
        </w:rPr>
        <w:t>Investigation</w:t>
      </w:r>
    </w:p>
    <w:p w:rsidR="00363D95" w:rsidP="007F6ADC" w:rsidRDefault="00363D95" w14:paraId="6958C348" w14:textId="77777777">
      <w:pPr>
        <w:rPr>
          <w:color w:val="000000"/>
          <w:szCs w:val="20"/>
        </w:rPr>
      </w:pPr>
    </w:p>
    <w:p w:rsidR="00E14D34" w:rsidP="001F4AB2" w:rsidRDefault="00E14D34" w14:paraId="2C56CBCD" w14:textId="77777777">
      <w:pPr>
        <w:spacing w:after="100" w:afterAutospacing="1" w:line="276" w:lineRule="auto"/>
      </w:pPr>
      <w:r>
        <w:t xml:space="preserve">The EI team evaluated the following four questions to determine whether an EI is appropriate to fill a data gap for the </w:t>
      </w:r>
      <w:proofErr w:type="spellStart"/>
      <w:r>
        <w:t>Oronogo-Duenweg</w:t>
      </w:r>
      <w:proofErr w:type="spellEnd"/>
      <w:r>
        <w:t xml:space="preserve"> Mining Belt and Newton County Mine Tailings Superfund sites. </w:t>
      </w:r>
    </w:p>
    <w:p w:rsidRPr="00AE3FB7" w:rsidR="00E14D34" w:rsidP="001F4AB2" w:rsidRDefault="00E14D34" w14:paraId="4741C267" w14:textId="77777777">
      <w:pPr>
        <w:pStyle w:val="ListParagraph"/>
        <w:numPr>
          <w:ilvl w:val="0"/>
          <w:numId w:val="19"/>
        </w:numPr>
        <w:spacing w:after="100" w:afterAutospacing="1" w:line="276" w:lineRule="auto"/>
        <w:rPr>
          <w:b/>
          <w:bCs/>
        </w:rPr>
      </w:pPr>
      <w:r w:rsidRPr="00AE3FB7">
        <w:rPr>
          <w:b/>
          <w:bCs/>
        </w:rPr>
        <w:t>Can an exposed population be identified?</w:t>
      </w:r>
    </w:p>
    <w:p w:rsidR="00E14D34" w:rsidP="001F4AB2" w:rsidRDefault="00E14D34" w14:paraId="40CBC761" w14:textId="77777777">
      <w:pPr>
        <w:pStyle w:val="ListParagraph"/>
        <w:spacing w:after="100" w:afterAutospacing="1" w:line="276" w:lineRule="auto"/>
      </w:pPr>
    </w:p>
    <w:p w:rsidR="00E14D34" w:rsidP="001F4AB2" w:rsidRDefault="00E14D34" w14:paraId="64ACA589" w14:textId="77777777">
      <w:pPr>
        <w:pStyle w:val="ListParagraph"/>
        <w:spacing w:after="100" w:afterAutospacing="1" w:line="276" w:lineRule="auto"/>
      </w:pPr>
      <w:r>
        <w:t xml:space="preserve">Yes. EPA has conducted extensive soil sampling and found high levels of lead throughout the impacted areas within both Jasper and Newton Counties. Sensitive populations could be at risk for exposure to harmful levels of lead in this community, specifically children &lt; 72 months (i.e., younger than 6 years old) and women who are pregnant or of child-bearing age. </w:t>
      </w:r>
    </w:p>
    <w:p w:rsidR="00E14D34" w:rsidP="001F4AB2" w:rsidRDefault="00E14D34" w14:paraId="4E5755AE" w14:textId="77777777">
      <w:pPr>
        <w:pStyle w:val="ListParagraph"/>
        <w:spacing w:after="100" w:afterAutospacing="1" w:line="276" w:lineRule="auto"/>
      </w:pPr>
    </w:p>
    <w:p w:rsidR="00E14D34" w:rsidP="001F4AB2" w:rsidRDefault="00E14D34" w14:paraId="077ED70C" w14:textId="77777777">
      <w:pPr>
        <w:pStyle w:val="ListParagraph"/>
        <w:numPr>
          <w:ilvl w:val="0"/>
          <w:numId w:val="19"/>
        </w:numPr>
        <w:spacing w:after="100" w:afterAutospacing="1" w:line="276" w:lineRule="auto"/>
        <w:rPr>
          <w:b/>
          <w:bCs/>
        </w:rPr>
      </w:pPr>
      <w:r w:rsidRPr="008913D7">
        <w:rPr>
          <w:b/>
          <w:bCs/>
        </w:rPr>
        <w:t>Does a data gap exist that affects the ability to determine if a health hazard exists?</w:t>
      </w:r>
    </w:p>
    <w:p w:rsidR="00E14D34" w:rsidP="001F4AB2" w:rsidRDefault="00E14D34" w14:paraId="280C8AE1" w14:textId="77777777">
      <w:pPr>
        <w:pStyle w:val="ListParagraph"/>
        <w:spacing w:after="100" w:afterAutospacing="1" w:line="276" w:lineRule="auto"/>
      </w:pPr>
    </w:p>
    <w:p w:rsidR="00E14D34" w:rsidP="001F4AB2" w:rsidRDefault="00E14D34" w14:paraId="043890F7" w14:textId="77777777">
      <w:pPr>
        <w:pStyle w:val="ListParagraph"/>
        <w:spacing w:after="100" w:afterAutospacing="1" w:line="276" w:lineRule="auto"/>
      </w:pPr>
      <w:r>
        <w:t xml:space="preserve">Yes. Communities near the </w:t>
      </w:r>
      <w:proofErr w:type="spellStart"/>
      <w:r>
        <w:t>Oronogo-Duenweg</w:t>
      </w:r>
      <w:proofErr w:type="spellEnd"/>
      <w:r>
        <w:t xml:space="preserve"> Mining Belt and Newton County Mine Tailings sites have been shown to have historic exposure to lead. While extensive response actions have been taken to reduce exposure, lead contamination remains present in soils at varying levels and some areas have yet to be investigated. It is unknown how historic and ongoing exposure to lead may be associated with BLLs.   </w:t>
      </w:r>
    </w:p>
    <w:p w:rsidR="00E14D34" w:rsidP="001F4AB2" w:rsidRDefault="00E14D34" w14:paraId="091E0231" w14:textId="77777777">
      <w:pPr>
        <w:pStyle w:val="ListParagraph"/>
        <w:spacing w:after="100" w:afterAutospacing="1" w:line="276" w:lineRule="auto"/>
      </w:pPr>
    </w:p>
    <w:p w:rsidR="00E14D34" w:rsidP="001F4AB2" w:rsidRDefault="00E14D34" w14:paraId="5F46B697" w14:textId="77777777">
      <w:pPr>
        <w:pStyle w:val="ListParagraph"/>
        <w:numPr>
          <w:ilvl w:val="0"/>
          <w:numId w:val="19"/>
        </w:numPr>
        <w:spacing w:after="100" w:afterAutospacing="1" w:line="276" w:lineRule="auto"/>
        <w:rPr>
          <w:b/>
          <w:bCs/>
        </w:rPr>
      </w:pPr>
      <w:r w:rsidRPr="008913D7">
        <w:rPr>
          <w:b/>
          <w:bCs/>
        </w:rPr>
        <w:t>Can an exposure investigation be designed that will address this data gap?</w:t>
      </w:r>
    </w:p>
    <w:p w:rsidR="00E14D34" w:rsidP="001F4AB2" w:rsidRDefault="00E14D34" w14:paraId="36D79FD0" w14:textId="77777777">
      <w:pPr>
        <w:pStyle w:val="ListParagraph"/>
        <w:spacing w:after="100" w:afterAutospacing="1" w:line="276" w:lineRule="auto"/>
        <w:rPr>
          <w:b/>
          <w:bCs/>
        </w:rPr>
      </w:pPr>
    </w:p>
    <w:p w:rsidRPr="00501222" w:rsidR="00E14D34" w:rsidP="001F4AB2" w:rsidRDefault="00E14D34" w14:paraId="091ACA0E" w14:textId="23D36AD4">
      <w:pPr>
        <w:pStyle w:val="ListParagraph"/>
        <w:spacing w:after="100" w:afterAutospacing="1" w:line="276" w:lineRule="auto"/>
      </w:pPr>
      <w:r>
        <w:t>Yes. The EI will focus on participants across both sites where contamination from historic mining activities is highest. E</w:t>
      </w:r>
      <w:r w:rsidRPr="0086344E">
        <w:t>PA</w:t>
      </w:r>
      <w:r w:rsidRPr="00F5612E">
        <w:t xml:space="preserve"> environmental sampling data </w:t>
      </w:r>
      <w:r>
        <w:t xml:space="preserve">and site investigation information </w:t>
      </w:r>
      <w:r w:rsidRPr="00F5612E">
        <w:t xml:space="preserve">will be used to </w:t>
      </w:r>
      <w:r>
        <w:t xml:space="preserve">identify areas where lead contamination is known or suspected to be present. Blood lead results will be compared to BLRVs and interpreted using levels of lead found in the households of participants. </w:t>
      </w:r>
      <w:r w:rsidR="000967A7">
        <w:t>EPA and MDHSS will collect samples</w:t>
      </w:r>
      <w:r>
        <w:t xml:space="preserve"> from soil, drinking water, house dust, and interior and exterior paint</w:t>
      </w:r>
      <w:r w:rsidR="000967A7">
        <w:t xml:space="preserve"> in homes of EI participants</w:t>
      </w:r>
      <w:r>
        <w:t xml:space="preserve">. </w:t>
      </w:r>
    </w:p>
    <w:p w:rsidR="00E14D34" w:rsidP="001F4AB2" w:rsidRDefault="00E14D34" w14:paraId="63C6263E" w14:textId="77777777">
      <w:pPr>
        <w:pStyle w:val="ListParagraph"/>
        <w:spacing w:after="100" w:afterAutospacing="1" w:line="276" w:lineRule="auto"/>
      </w:pPr>
    </w:p>
    <w:p w:rsidR="00E14D34" w:rsidP="001F4AB2" w:rsidRDefault="00E14D34" w14:paraId="43B60A57" w14:textId="77777777">
      <w:pPr>
        <w:pStyle w:val="ListParagraph"/>
        <w:numPr>
          <w:ilvl w:val="0"/>
          <w:numId w:val="19"/>
        </w:numPr>
        <w:spacing w:after="100" w:afterAutospacing="1" w:line="276" w:lineRule="auto"/>
        <w:rPr>
          <w:b/>
          <w:bCs/>
        </w:rPr>
      </w:pPr>
      <w:r w:rsidRPr="0070196A">
        <w:rPr>
          <w:b/>
          <w:bCs/>
        </w:rPr>
        <w:t>How will the EI results impact the public health decision(s) for the site?</w:t>
      </w:r>
    </w:p>
    <w:p w:rsidRPr="0024319E" w:rsidR="00E14D34" w:rsidP="001F4AB2" w:rsidRDefault="00E14D34" w14:paraId="5005DDE8" w14:textId="0F07F64B">
      <w:pPr>
        <w:spacing w:after="100" w:afterAutospacing="1" w:line="276" w:lineRule="auto"/>
        <w:ind w:left="720"/>
        <w:contextualSpacing/>
      </w:pPr>
      <w:r>
        <w:t xml:space="preserve">The results of the EI will allow ATSDR to measure and compare BLLs and environmental levels and to provide recommendations on how to reduce exposure. The results may lead to an increase in education about exposure and prevention and recommendations for remedial or removal actions. The results may also help inform future clean-up work. </w:t>
      </w:r>
    </w:p>
    <w:p w:rsidR="00ED19C8" w:rsidP="001F4AB2" w:rsidRDefault="00ED19C8" w14:paraId="2E3DE622" w14:textId="77777777">
      <w:pPr>
        <w:spacing w:after="100" w:afterAutospacing="1" w:line="276" w:lineRule="auto"/>
        <w:contextualSpacing/>
      </w:pPr>
    </w:p>
    <w:p w:rsidR="00156A60" w:rsidP="001F4AB2" w:rsidRDefault="00245495" w14:paraId="66393203" w14:textId="0C90CD06">
      <w:pPr>
        <w:spacing w:after="100" w:afterAutospacing="1" w:line="276" w:lineRule="auto"/>
        <w:contextualSpacing/>
      </w:pPr>
      <w:r>
        <w:rPr>
          <w:rFonts w:eastAsiaTheme="minorHAnsi"/>
        </w:rPr>
        <w:lastRenderedPageBreak/>
        <w:t xml:space="preserve">Once the </w:t>
      </w:r>
      <w:r w:rsidR="00E43DA9">
        <w:rPr>
          <w:rFonts w:eastAsiaTheme="minorHAnsi"/>
        </w:rPr>
        <w:t>EI</w:t>
      </w:r>
      <w:r>
        <w:rPr>
          <w:rFonts w:eastAsiaTheme="minorHAnsi"/>
        </w:rPr>
        <w:t xml:space="preserve"> data collection and </w:t>
      </w:r>
      <w:r w:rsidR="001621B7">
        <w:rPr>
          <w:rFonts w:eastAsiaTheme="minorHAnsi"/>
        </w:rPr>
        <w:t>the EI report is</w:t>
      </w:r>
      <w:r>
        <w:rPr>
          <w:rFonts w:eastAsiaTheme="minorHAnsi"/>
        </w:rPr>
        <w:t xml:space="preserve"> complete, </w:t>
      </w:r>
      <w:r w:rsidR="00156A60">
        <w:rPr>
          <w:rFonts w:eastAsiaTheme="minorHAnsi"/>
        </w:rPr>
        <w:t xml:space="preserve">the ATSDR Team </w:t>
      </w:r>
      <w:r w:rsidR="0035250C">
        <w:rPr>
          <w:rFonts w:eastAsiaTheme="minorHAnsi"/>
        </w:rPr>
        <w:t xml:space="preserve">will </w:t>
      </w:r>
      <w:r w:rsidR="00156A60">
        <w:rPr>
          <w:rFonts w:eastAsiaTheme="minorHAnsi"/>
        </w:rPr>
        <w:t xml:space="preserve">conduct a public availability session for participants in the EI and </w:t>
      </w:r>
      <w:r w:rsidR="00E43DA9">
        <w:rPr>
          <w:rFonts w:eastAsiaTheme="minorHAnsi"/>
        </w:rPr>
        <w:t xml:space="preserve">for </w:t>
      </w:r>
      <w:r w:rsidR="00156A60">
        <w:rPr>
          <w:rFonts w:eastAsiaTheme="minorHAnsi"/>
        </w:rPr>
        <w:t xml:space="preserve">the community as a whole to discuss </w:t>
      </w:r>
      <w:r w:rsidRPr="00245495" w:rsidR="00156A60">
        <w:t xml:space="preserve">recommendations to reduce exposure and </w:t>
      </w:r>
      <w:r>
        <w:t xml:space="preserve">potential </w:t>
      </w:r>
      <w:r w:rsidRPr="00245495" w:rsidR="00156A60">
        <w:t xml:space="preserve">health concerns </w:t>
      </w:r>
      <w:r>
        <w:t xml:space="preserve">related to </w:t>
      </w:r>
      <w:r w:rsidR="0088149D">
        <w:t>lead</w:t>
      </w:r>
      <w:r w:rsidRPr="00245495" w:rsidR="00156A60">
        <w:t>.</w:t>
      </w:r>
      <w:r w:rsidR="00506F10">
        <w:t xml:space="preserve">  </w:t>
      </w:r>
    </w:p>
    <w:p w:rsidRPr="003E4C15" w:rsidR="00067EF1" w:rsidP="00844EC5" w:rsidRDefault="00067EF1" w14:paraId="00028A43" w14:textId="51A7EB61">
      <w:pPr>
        <w:pStyle w:val="Heading2"/>
      </w:pPr>
      <w:bookmarkStart w:name="_Toc305153413" w:id="15"/>
      <w:bookmarkStart w:name="_Toc305153631" w:id="16"/>
      <w:bookmarkStart w:name="_Toc305154207" w:id="17"/>
      <w:bookmarkStart w:name="_Toc305155361" w:id="18"/>
      <w:bookmarkStart w:name="_Toc306341891" w:id="19"/>
      <w:bookmarkStart w:name="_Toc306344144" w:id="20"/>
      <w:bookmarkStart w:name="_Toc306344785" w:id="21"/>
      <w:bookmarkStart w:name="_Toc306345026" w:id="22"/>
      <w:bookmarkStart w:name="_Toc311445495" w:id="23"/>
      <w:bookmarkStart w:name="_Toc105168839" w:id="24"/>
      <w:r w:rsidRPr="003E4C15">
        <w:t>A.2</w:t>
      </w:r>
      <w:r w:rsidR="002A0056">
        <w:t>.</w:t>
      </w:r>
      <w:r w:rsidRPr="003E4C15">
        <w:t xml:space="preserve"> Purpose and Use of Information</w:t>
      </w:r>
      <w:bookmarkEnd w:id="15"/>
      <w:bookmarkEnd w:id="16"/>
      <w:bookmarkEnd w:id="17"/>
      <w:bookmarkEnd w:id="18"/>
      <w:bookmarkEnd w:id="19"/>
      <w:bookmarkEnd w:id="20"/>
      <w:bookmarkEnd w:id="21"/>
      <w:bookmarkEnd w:id="22"/>
      <w:bookmarkEnd w:id="23"/>
      <w:r w:rsidR="00186982">
        <w:t xml:space="preserve"> Collection</w:t>
      </w:r>
      <w:bookmarkEnd w:id="24"/>
    </w:p>
    <w:p w:rsidRPr="002D0805" w:rsidR="0068197A" w:rsidP="002F40AB" w:rsidRDefault="0068197A" w14:paraId="7C7ED2A0" w14:textId="77777777">
      <w:pPr>
        <w:autoSpaceDE w:val="0"/>
        <w:autoSpaceDN w:val="0"/>
        <w:adjustRightInd w:val="0"/>
      </w:pPr>
    </w:p>
    <w:p w:rsidR="000B7DD8" w:rsidP="000B7DD8" w:rsidRDefault="000B7DD8" w14:paraId="5D825513" w14:textId="019B45BD">
      <w:pPr>
        <w:spacing w:after="100" w:afterAutospacing="1" w:line="276" w:lineRule="auto"/>
      </w:pPr>
      <w:r>
        <w:t xml:space="preserve">The objectives of the EI in </w:t>
      </w:r>
      <w:r w:rsidR="002A71F4">
        <w:t>JNC</w:t>
      </w:r>
      <w:r>
        <w:t xml:space="preserve"> include:</w:t>
      </w:r>
    </w:p>
    <w:p w:rsidR="001621B7" w:rsidP="001621B7" w:rsidRDefault="001621B7" w14:paraId="6C03A143" w14:textId="77777777">
      <w:pPr>
        <w:pStyle w:val="ListParagraph"/>
        <w:numPr>
          <w:ilvl w:val="0"/>
          <w:numId w:val="21"/>
        </w:numPr>
        <w:spacing w:after="160" w:line="259" w:lineRule="auto"/>
      </w:pPr>
      <w:r>
        <w:t>Evaluate BLLs for Jasper and Newton counties’ residents who are &lt; 72 months, women who are pregnant, or women of childbearing age (15-44 years) that participate in the investigation.</w:t>
      </w:r>
    </w:p>
    <w:p w:rsidR="001621B7" w:rsidP="001621B7" w:rsidRDefault="001621B7" w14:paraId="624E6CA4" w14:textId="77777777">
      <w:pPr>
        <w:pStyle w:val="ListParagraph"/>
        <w:numPr>
          <w:ilvl w:val="1"/>
          <w:numId w:val="21"/>
        </w:numPr>
        <w:spacing w:after="160" w:line="259" w:lineRule="auto"/>
      </w:pPr>
      <w:r>
        <w:t xml:space="preserve">Minor siblings &gt; 72 months may also have their BLLs evaluated for participating families at the parent/guardian’s request. </w:t>
      </w:r>
    </w:p>
    <w:p w:rsidR="001621B7" w:rsidP="001621B7" w:rsidRDefault="001621B7" w14:paraId="75AABF98" w14:textId="77777777">
      <w:pPr>
        <w:pStyle w:val="ListParagraph"/>
        <w:numPr>
          <w:ilvl w:val="1"/>
          <w:numId w:val="21"/>
        </w:numPr>
        <w:spacing w:after="160" w:line="259" w:lineRule="auto"/>
      </w:pPr>
      <w:r>
        <w:t xml:space="preserve">Recommend case management for child participants with BLLs </w:t>
      </w:r>
      <w:r w:rsidRPr="249D09EB">
        <w:t>≥</w:t>
      </w:r>
      <w:r>
        <w:t xml:space="preserve"> 3.5 </w:t>
      </w:r>
      <w:r w:rsidRPr="249D09EB">
        <w:t>µ</w:t>
      </w:r>
      <w:r>
        <w:t xml:space="preserve">g/dL and adult participants with BLLs </w:t>
      </w:r>
      <w:r w:rsidRPr="249D09EB">
        <w:t>≥</w:t>
      </w:r>
      <w:r>
        <w:t xml:space="preserve"> 5 </w:t>
      </w:r>
      <w:r w:rsidRPr="249D09EB">
        <w:t>µ</w:t>
      </w:r>
      <w:r>
        <w:t>g/dL [CDC 2021b].</w:t>
      </w:r>
    </w:p>
    <w:p w:rsidR="001621B7" w:rsidP="001621B7" w:rsidRDefault="001621B7" w14:paraId="32851943" w14:textId="77777777">
      <w:pPr>
        <w:pStyle w:val="ListParagraph"/>
        <w:numPr>
          <w:ilvl w:val="1"/>
          <w:numId w:val="20"/>
        </w:numPr>
        <w:spacing w:after="160" w:line="259" w:lineRule="auto"/>
      </w:pPr>
      <w:r>
        <w:t>Recommend follow-up evaluation and retesting with a Primary Care Provider (PCP), obstetrician-gynecologist (OB/GYN), pediatrician, or health department.</w:t>
      </w:r>
      <w:r w:rsidRPr="00C03E2B">
        <w:t xml:space="preserve"> </w:t>
      </w:r>
    </w:p>
    <w:p w:rsidR="001621B7" w:rsidP="001621B7" w:rsidRDefault="001621B7" w14:paraId="372700AC" w14:textId="77777777">
      <w:pPr>
        <w:pStyle w:val="ListParagraph"/>
        <w:numPr>
          <w:ilvl w:val="1"/>
          <w:numId w:val="20"/>
        </w:numPr>
        <w:spacing w:after="160" w:line="259" w:lineRule="auto"/>
      </w:pPr>
      <w:r>
        <w:t xml:space="preserve">Recommend screening for developmental and behavioral issues in children. Refer children with developmental and behavioral issues, as needed.  </w:t>
      </w:r>
    </w:p>
    <w:p w:rsidR="001621B7" w:rsidP="001621B7" w:rsidRDefault="001621B7" w14:paraId="6E519E73" w14:textId="77777777">
      <w:pPr>
        <w:pStyle w:val="ListParagraph"/>
        <w:numPr>
          <w:ilvl w:val="1"/>
          <w:numId w:val="20"/>
        </w:numPr>
        <w:spacing w:after="160" w:line="259" w:lineRule="auto"/>
      </w:pPr>
      <w:r>
        <w:t>Provide information on nutrition that may help to decrease the absorption of lead into the body [CDC 2002].</w:t>
      </w:r>
    </w:p>
    <w:p w:rsidR="001621B7" w:rsidP="001621B7" w:rsidRDefault="001621B7" w14:paraId="4C38850F" w14:textId="77777777">
      <w:pPr>
        <w:pStyle w:val="ListParagraph"/>
        <w:numPr>
          <w:ilvl w:val="0"/>
          <w:numId w:val="21"/>
        </w:numPr>
        <w:spacing w:after="160" w:line="259" w:lineRule="auto"/>
      </w:pPr>
      <w:r>
        <w:t>Review environmental sampling data collected by state and federal partners from participating residents’ indoor and outdoor environments.</w:t>
      </w:r>
    </w:p>
    <w:p w:rsidR="001621B7" w:rsidP="001621B7" w:rsidRDefault="001621B7" w14:paraId="2F555DDA" w14:textId="77777777">
      <w:pPr>
        <w:pStyle w:val="ListParagraph"/>
        <w:numPr>
          <w:ilvl w:val="0"/>
          <w:numId w:val="21"/>
        </w:numPr>
        <w:spacing w:after="160" w:line="259" w:lineRule="auto"/>
      </w:pPr>
      <w:r>
        <w:t>Administer a questionnaire to document demographic, behavioral, occupational, and educational information of participants. Parent/guardians will complete the survey for child participants.</w:t>
      </w:r>
    </w:p>
    <w:p w:rsidR="001621B7" w:rsidP="001621B7" w:rsidRDefault="001621B7" w14:paraId="78FE4005" w14:textId="77777777">
      <w:pPr>
        <w:pStyle w:val="ListParagraph"/>
        <w:numPr>
          <w:ilvl w:val="0"/>
          <w:numId w:val="21"/>
        </w:numPr>
        <w:spacing w:after="160" w:line="259" w:lineRule="auto"/>
      </w:pPr>
      <w:r>
        <w:t xml:space="preserve">Evaluate lead levels in environmental samples and the association between environmental lead levels and BLLs. </w:t>
      </w:r>
    </w:p>
    <w:p w:rsidR="001621B7" w:rsidP="001621B7" w:rsidRDefault="001621B7" w14:paraId="4CEAF920" w14:textId="77777777">
      <w:pPr>
        <w:pStyle w:val="ListParagraph"/>
        <w:numPr>
          <w:ilvl w:val="0"/>
          <w:numId w:val="21"/>
        </w:numPr>
        <w:spacing w:after="160" w:line="259" w:lineRule="auto"/>
      </w:pPr>
      <w:r>
        <w:t>Recommend ways to lower environmental exposures to lead.</w:t>
      </w:r>
    </w:p>
    <w:p w:rsidR="001621B7" w:rsidP="001621B7" w:rsidRDefault="001621B7" w14:paraId="6D641D75" w14:textId="77777777">
      <w:pPr>
        <w:pStyle w:val="ListParagraph"/>
        <w:numPr>
          <w:ilvl w:val="0"/>
          <w:numId w:val="21"/>
        </w:numPr>
        <w:spacing w:after="160" w:line="259" w:lineRule="auto"/>
      </w:pPr>
      <w:r>
        <w:t xml:space="preserve">Provide the opportunity for all participants and parents/guardians of child participants to discuss their blood lead findings with an ATSDR medical officer. </w:t>
      </w:r>
    </w:p>
    <w:p w:rsidR="00A821CE" w:rsidP="00D94910" w:rsidRDefault="00F31C3D" w14:paraId="40C9505B" w14:textId="25E07FA7">
      <w:pPr>
        <w:tabs>
          <w:tab w:val="left" w:pos="1545"/>
        </w:tabs>
        <w:spacing w:line="276" w:lineRule="auto"/>
        <w:rPr>
          <w:i/>
        </w:rPr>
      </w:pPr>
      <w:r>
        <w:t>Data</w:t>
      </w:r>
      <w:r w:rsidR="0075380A">
        <w:t xml:space="preserve"> </w:t>
      </w:r>
      <w:r w:rsidR="0070071C">
        <w:t xml:space="preserve">from </w:t>
      </w:r>
      <w:r w:rsidRPr="00C91A37" w:rsidR="00154C0F">
        <w:t>ATSDR’s</w:t>
      </w:r>
      <w:r w:rsidR="003732FE">
        <w:t xml:space="preserve"> </w:t>
      </w:r>
      <w:r w:rsidR="002D1D28">
        <w:t>JNC</w:t>
      </w:r>
      <w:r w:rsidR="00B21F21">
        <w:t xml:space="preserve"> </w:t>
      </w:r>
      <w:r w:rsidRPr="00C91A37" w:rsidR="00154C0F">
        <w:t>EI report</w:t>
      </w:r>
      <w:r w:rsidR="00B21F21">
        <w:t xml:space="preserve"> may </w:t>
      </w:r>
      <w:r w:rsidR="00DE3B20">
        <w:t xml:space="preserve">also </w:t>
      </w:r>
      <w:r w:rsidR="00B21F21">
        <w:t>be</w:t>
      </w:r>
      <w:r w:rsidRPr="00C91A37" w:rsidR="00154C0F">
        <w:t xml:space="preserve"> used by public health professionals, environmental risk managers, and other decision makers in determining the source and extent of the exposures. </w:t>
      </w:r>
      <w:r w:rsidR="00CC797F">
        <w:t>ATSDR</w:t>
      </w:r>
      <w:r w:rsidR="00375D68">
        <w:t xml:space="preserve"> will produce </w:t>
      </w:r>
      <w:r w:rsidR="00B21F21">
        <w:t xml:space="preserve">this </w:t>
      </w:r>
      <w:r w:rsidR="00375D68">
        <w:t xml:space="preserve">needed information to support public health action. Further, </w:t>
      </w:r>
      <w:r w:rsidR="00FC0A68">
        <w:t>th</w:t>
      </w:r>
      <w:r w:rsidR="008553BA">
        <w:t>e results of th</w:t>
      </w:r>
      <w:r w:rsidR="00B21F21">
        <w:t>is</w:t>
      </w:r>
      <w:r w:rsidR="008553BA">
        <w:t xml:space="preserve"> EI are</w:t>
      </w:r>
      <w:r w:rsidR="00096C93">
        <w:t xml:space="preserve"> </w:t>
      </w:r>
      <w:r w:rsidR="008553BA">
        <w:t>not</w:t>
      </w:r>
      <w:r w:rsidR="00D37683">
        <w:t xml:space="preserve"> intended to be</w:t>
      </w:r>
      <w:r w:rsidR="008553BA">
        <w:t xml:space="preserve"> generaliz</w:t>
      </w:r>
      <w:r w:rsidR="0015682F">
        <w:t>ed</w:t>
      </w:r>
      <w:r w:rsidR="008553BA">
        <w:t xml:space="preserve"> and are applicable only to the participants.  </w:t>
      </w:r>
      <w:bookmarkStart w:name="_Toc305153414" w:id="25"/>
      <w:bookmarkStart w:name="_Toc305153632" w:id="26"/>
      <w:bookmarkStart w:name="_Toc305154208" w:id="27"/>
      <w:bookmarkStart w:name="_Toc305155362" w:id="28"/>
      <w:bookmarkStart w:name="_Toc306341892" w:id="29"/>
      <w:bookmarkStart w:name="_Toc306344145" w:id="30"/>
      <w:bookmarkStart w:name="_Toc306344786" w:id="31"/>
      <w:bookmarkStart w:name="_Toc306345027" w:id="32"/>
      <w:bookmarkStart w:name="_Toc311445496" w:id="33"/>
      <w:r w:rsidR="009901D9">
        <w:t xml:space="preserve">ATSDR only collects information that will help us interpret the laboratory data and recognize likely exposure scenarios. </w:t>
      </w:r>
      <w:r w:rsidR="00A821CE">
        <w:t xml:space="preserve">Once we conduct an EI, we match the unique answers given by participants with their laboratory results or environmental samples to determine whether intervention is needed on an individual level. The information collection is therefore </w:t>
      </w:r>
      <w:r w:rsidR="00A821CE">
        <w:rPr>
          <w:i/>
        </w:rPr>
        <w:t>inherently person- or location-specific</w:t>
      </w:r>
      <w:r w:rsidR="00DD4D45">
        <w:rPr>
          <w:i/>
        </w:rPr>
        <w:t>.</w:t>
      </w:r>
    </w:p>
    <w:p w:rsidR="000664AD" w:rsidP="00D94910" w:rsidRDefault="000664AD" w14:paraId="061C8F86" w14:textId="77777777">
      <w:pPr>
        <w:tabs>
          <w:tab w:val="left" w:pos="1545"/>
        </w:tabs>
        <w:spacing w:line="276" w:lineRule="auto"/>
        <w:rPr>
          <w:i/>
        </w:rPr>
      </w:pPr>
    </w:p>
    <w:p w:rsidR="00A821CE" w:rsidP="00D94910" w:rsidRDefault="00A821CE" w14:paraId="10BAC0B4" w14:textId="00B19500">
      <w:pPr>
        <w:spacing w:line="276" w:lineRule="auto"/>
      </w:pPr>
      <w:r>
        <w:t xml:space="preserve">Data are treated </w:t>
      </w:r>
      <w:r w:rsidR="003A5B61">
        <w:t>to protect privacy</w:t>
      </w:r>
      <w:r>
        <w:t xml:space="preserve">; access to computer files is password-protected and access is limited to authorized EI personnel. All staff working on the project agrees to safeguard the data and not to make unauthorized disclosures. Published reports </w:t>
      </w:r>
      <w:r w:rsidR="001621B7">
        <w:t xml:space="preserve">will </w:t>
      </w:r>
      <w:r>
        <w:t>present responses in aggregate form and no individuals are identified by name.</w:t>
      </w:r>
    </w:p>
    <w:p w:rsidR="006D3381" w:rsidP="00D94910" w:rsidRDefault="006D3381" w14:paraId="13032280" w14:textId="77777777">
      <w:pPr>
        <w:spacing w:line="276" w:lineRule="auto"/>
      </w:pPr>
    </w:p>
    <w:p w:rsidRPr="00D531DA" w:rsidR="00322A9F" w:rsidP="00216DEF" w:rsidRDefault="00322A9F" w14:paraId="677F75A2" w14:textId="4299D9FB">
      <w:pPr>
        <w:pStyle w:val="Heading2"/>
      </w:pPr>
      <w:bookmarkStart w:name="_Toc105168840" w:id="34"/>
      <w:r w:rsidRPr="00D531DA">
        <w:t>A.3</w:t>
      </w:r>
      <w:r w:rsidR="002A0056">
        <w:t>.</w:t>
      </w:r>
      <w:r w:rsidRPr="00D531DA">
        <w:t xml:space="preserve"> Use of Improved Information Technology and Burden Reduction</w:t>
      </w:r>
      <w:bookmarkEnd w:id="25"/>
      <w:bookmarkEnd w:id="26"/>
      <w:bookmarkEnd w:id="27"/>
      <w:bookmarkEnd w:id="28"/>
      <w:bookmarkEnd w:id="29"/>
      <w:bookmarkEnd w:id="30"/>
      <w:bookmarkEnd w:id="31"/>
      <w:bookmarkEnd w:id="32"/>
      <w:bookmarkEnd w:id="33"/>
      <w:bookmarkEnd w:id="34"/>
    </w:p>
    <w:p w:rsidR="00F01A85" w:rsidP="00167F85" w:rsidRDefault="00F01A85" w14:paraId="1FD0A331" w14:textId="77777777">
      <w:pPr>
        <w:tabs>
          <w:tab w:val="left" w:pos="1545"/>
        </w:tabs>
      </w:pPr>
    </w:p>
    <w:p w:rsidR="009704E2" w:rsidP="00D94910" w:rsidRDefault="00167F85" w14:paraId="22115263" w14:textId="54AB57A6">
      <w:pPr>
        <w:tabs>
          <w:tab w:val="left" w:pos="1545"/>
        </w:tabs>
        <w:spacing w:line="276" w:lineRule="auto"/>
      </w:pPr>
      <w:r>
        <w:t xml:space="preserve">ATSDR </w:t>
      </w:r>
      <w:r w:rsidR="00BE03A0">
        <w:t xml:space="preserve">will </w:t>
      </w:r>
      <w:r w:rsidR="0002723A">
        <w:t xml:space="preserve">conduct </w:t>
      </w:r>
      <w:r w:rsidR="006B5524">
        <w:t>p</w:t>
      </w:r>
      <w:r w:rsidR="0002723A">
        <w:t>ersonal</w:t>
      </w:r>
      <w:r w:rsidR="00394595">
        <w:t xml:space="preserve"> </w:t>
      </w:r>
      <w:r w:rsidR="00BE03A0">
        <w:t>interview</w:t>
      </w:r>
      <w:r w:rsidR="00394595">
        <w:t xml:space="preserve">s </w:t>
      </w:r>
      <w:r w:rsidR="000B7DD8">
        <w:t xml:space="preserve">at the sample collection location </w:t>
      </w:r>
      <w:r w:rsidR="00925D15">
        <w:t>using</w:t>
      </w:r>
      <w:r w:rsidR="003732FE">
        <w:t xml:space="preserve"> a hard-copy </w:t>
      </w:r>
      <w:r w:rsidR="00C04F17">
        <w:t xml:space="preserve">questionnaire </w:t>
      </w:r>
      <w:r w:rsidR="00394595">
        <w:t>with</w:t>
      </w:r>
      <w:r w:rsidR="00BE03A0">
        <w:t xml:space="preserve"> the participants</w:t>
      </w:r>
      <w:r w:rsidR="003732FE">
        <w:t xml:space="preserve">. </w:t>
      </w:r>
      <w:r w:rsidR="00394595">
        <w:rPr>
          <w:color w:val="000000"/>
        </w:rPr>
        <w:t xml:space="preserve">The information will be </w:t>
      </w:r>
      <w:r w:rsidR="00431CD2">
        <w:rPr>
          <w:color w:val="000000"/>
        </w:rPr>
        <w:t>entered</w:t>
      </w:r>
      <w:r w:rsidR="00394595">
        <w:rPr>
          <w:color w:val="000000"/>
        </w:rPr>
        <w:t xml:space="preserve"> electronically </w:t>
      </w:r>
      <w:r w:rsidR="00431CD2">
        <w:rPr>
          <w:color w:val="000000"/>
        </w:rPr>
        <w:t xml:space="preserve">and validated </w:t>
      </w:r>
      <w:r w:rsidR="00394595">
        <w:rPr>
          <w:color w:val="000000"/>
        </w:rPr>
        <w:t>on a laptop computer</w:t>
      </w:r>
      <w:r w:rsidR="00431CD2">
        <w:rPr>
          <w:color w:val="000000"/>
        </w:rPr>
        <w:t xml:space="preserve"> by staff members.</w:t>
      </w:r>
      <w:r w:rsidR="00394595">
        <w:rPr>
          <w:color w:val="000000"/>
        </w:rPr>
        <w:t xml:space="preserve"> </w:t>
      </w:r>
    </w:p>
    <w:p w:rsidR="0068197A" w:rsidP="00186982" w:rsidRDefault="0068197A" w14:paraId="0D9273AA" w14:textId="79CC67E2">
      <w:pPr>
        <w:pStyle w:val="Heading2"/>
      </w:pPr>
      <w:bookmarkStart w:name="_Toc305153415" w:id="35"/>
      <w:bookmarkStart w:name="_Toc305153633" w:id="36"/>
      <w:bookmarkStart w:name="_Toc305154209" w:id="37"/>
      <w:bookmarkStart w:name="_Toc305155363" w:id="38"/>
      <w:bookmarkStart w:name="_Toc306341893" w:id="39"/>
      <w:bookmarkStart w:name="_Toc306344146" w:id="40"/>
      <w:bookmarkStart w:name="_Toc306344787" w:id="41"/>
      <w:bookmarkStart w:name="_Toc306345028" w:id="42"/>
      <w:bookmarkStart w:name="_Toc311445497" w:id="43"/>
      <w:bookmarkStart w:name="_Toc105168841" w:id="44"/>
      <w:r w:rsidRPr="004F54A8">
        <w:t>A.4</w:t>
      </w:r>
      <w:r w:rsidR="002A0056">
        <w:t>.</w:t>
      </w:r>
      <w:r w:rsidRPr="004F54A8">
        <w:t xml:space="preserve"> Efforts </w:t>
      </w:r>
      <w:r w:rsidR="00261215">
        <w:t xml:space="preserve">to </w:t>
      </w:r>
      <w:r w:rsidRPr="004F54A8">
        <w:t>Identify Duplication and Use of Similar Information</w:t>
      </w:r>
      <w:bookmarkEnd w:id="35"/>
      <w:bookmarkEnd w:id="36"/>
      <w:bookmarkEnd w:id="37"/>
      <w:bookmarkEnd w:id="38"/>
      <w:bookmarkEnd w:id="39"/>
      <w:bookmarkEnd w:id="40"/>
      <w:bookmarkEnd w:id="41"/>
      <w:bookmarkEnd w:id="42"/>
      <w:bookmarkEnd w:id="43"/>
      <w:bookmarkEnd w:id="44"/>
    </w:p>
    <w:p w:rsidRPr="004F54A8" w:rsidR="004F54A8" w:rsidP="004F54A8" w:rsidRDefault="004F54A8" w14:paraId="466BF01D" w14:textId="77777777"/>
    <w:p w:rsidRPr="00B35DA3" w:rsidR="00B35DA3" w:rsidP="00B35DA3" w:rsidRDefault="00B35DA3" w14:paraId="010E6B1B" w14:textId="77777777">
      <w:pPr>
        <w:spacing w:after="160" w:line="259" w:lineRule="auto"/>
        <w:rPr>
          <w:rFonts w:eastAsia="Calibri"/>
          <w:szCs w:val="22"/>
        </w:rPr>
      </w:pPr>
      <w:bookmarkStart w:name="_Toc305153416" w:id="45"/>
      <w:bookmarkStart w:name="_Toc305153634" w:id="46"/>
      <w:bookmarkStart w:name="_Toc305154210" w:id="47"/>
      <w:bookmarkStart w:name="_Toc305155364" w:id="48"/>
      <w:bookmarkStart w:name="_Toc306341894" w:id="49"/>
      <w:bookmarkStart w:name="_Toc306344147" w:id="50"/>
      <w:bookmarkStart w:name="_Toc306344788" w:id="51"/>
      <w:bookmarkStart w:name="_Toc306345029" w:id="52"/>
      <w:bookmarkStart w:name="_Toc311445498" w:id="53"/>
      <w:r w:rsidRPr="00B35DA3">
        <w:rPr>
          <w:rFonts w:eastAsia="Calibri"/>
          <w:szCs w:val="22"/>
        </w:rPr>
        <w:t xml:space="preserve">ATSDR released a Preliminary Public Health Assessment for the </w:t>
      </w:r>
      <w:proofErr w:type="spellStart"/>
      <w:r w:rsidRPr="00B35DA3">
        <w:rPr>
          <w:rFonts w:eastAsia="Calibri"/>
          <w:szCs w:val="22"/>
        </w:rPr>
        <w:t>Oronogo-Duenweg</w:t>
      </w:r>
      <w:proofErr w:type="spellEnd"/>
      <w:r w:rsidRPr="00B35DA3">
        <w:rPr>
          <w:rFonts w:eastAsia="Calibri"/>
          <w:szCs w:val="22"/>
        </w:rPr>
        <w:t xml:space="preserve"> Mining Belt in 1990 and a Public Health Assessment for the Newton County Mine Tailings Site in 2006. Public Health Assessments evaluate hazardous waste sites to determine whether people could be harmed by coming into contact with site-related substances. Both assessments concluded that the sites posed a public health concern due to human exposure to metals via ingestion and inhalation of contaminated groundwater, soil, sediment, and air [ATSDR 1990, 2006].</w:t>
      </w:r>
    </w:p>
    <w:p w:rsidRPr="00B35DA3" w:rsidR="00B35DA3" w:rsidP="00B35DA3" w:rsidRDefault="00B35DA3" w14:paraId="212FAD7F" w14:textId="77777777">
      <w:pPr>
        <w:spacing w:after="160" w:line="259" w:lineRule="auto"/>
        <w:rPr>
          <w:rFonts w:eastAsia="Calibri"/>
          <w:szCs w:val="22"/>
        </w:rPr>
      </w:pPr>
      <w:r w:rsidRPr="00B35DA3">
        <w:rPr>
          <w:rFonts w:eastAsia="Calibri"/>
          <w:szCs w:val="22"/>
        </w:rPr>
        <w:t xml:space="preserve">In 1991, ATSDR, in partnership with the Missouri Department of Health (MDOH) now known as the MDHSS, initiated a lead and cadmium exposure study to determine if residents living in the Jasper County Superfund site area had blood lead and urine cadmium levels higher than residents living in a comparison area. The final report, published in 1995, found that BLLs were significantly higher in the exposed group. Urine cadmium levels did not significantly differ between the control and study populations. Environmental exposure to the area soil was the most important factor influencing the distribution of BLLs [ATSDR 1995]. </w:t>
      </w:r>
    </w:p>
    <w:p w:rsidRPr="00B35DA3" w:rsidR="00B35DA3" w:rsidP="00B35DA3" w:rsidRDefault="00B35DA3" w14:paraId="3D1FADF1" w14:textId="5AEF90D1">
      <w:pPr>
        <w:spacing w:after="160" w:line="259" w:lineRule="auto"/>
        <w:rPr>
          <w:rFonts w:eastAsia="Calibri"/>
          <w:szCs w:val="22"/>
        </w:rPr>
      </w:pPr>
      <w:r w:rsidRPr="00B35DA3">
        <w:rPr>
          <w:rFonts w:eastAsia="Calibri"/>
          <w:szCs w:val="22"/>
        </w:rPr>
        <w:t xml:space="preserve">EPA implemented major interventions in response to the 1995 report. By June 2000, they had remediated 2,288 residential yards. In 2000, ATSDR and MDOH conducted a follow-up lead exposure study to determine whether the interventions had been effective in reducing the mean BLLs of children residing in the area. The final follow-up study report, published in 2002, found that educational and environmental interventions were effective in reducing mean BLLs [ATSDR 2002]. The findings and conclusions of these studies are described in </w:t>
      </w:r>
      <w:r w:rsidR="00990986">
        <w:rPr>
          <w:rFonts w:eastAsia="Calibri"/>
          <w:szCs w:val="22"/>
        </w:rPr>
        <w:t xml:space="preserve">the JNC EI </w:t>
      </w:r>
      <w:r w:rsidR="000B28EC">
        <w:rPr>
          <w:rFonts w:eastAsia="Calibri"/>
          <w:szCs w:val="22"/>
        </w:rPr>
        <w:t xml:space="preserve">Protocol </w:t>
      </w:r>
      <w:r w:rsidRPr="00B35DA3">
        <w:rPr>
          <w:rFonts w:eastAsia="Calibri"/>
          <w:szCs w:val="22"/>
        </w:rPr>
        <w:t xml:space="preserve">Appendix A. </w:t>
      </w:r>
    </w:p>
    <w:p w:rsidRPr="00B35DA3" w:rsidR="00B35DA3" w:rsidP="00B35DA3" w:rsidRDefault="00B35DA3" w14:paraId="0360BC80" w14:textId="77777777">
      <w:pPr>
        <w:spacing w:after="160" w:line="259" w:lineRule="auto"/>
        <w:rPr>
          <w:rFonts w:eastAsia="Calibri"/>
          <w:szCs w:val="22"/>
        </w:rPr>
      </w:pPr>
      <w:r w:rsidRPr="00B35DA3">
        <w:rPr>
          <w:rFonts w:eastAsia="Calibri"/>
          <w:szCs w:val="22"/>
        </w:rPr>
        <w:t>The CDC has updated recommendations on children’s BLLs over time as science and understanding of the health impacts of lead have evolved. Until 2012, children were identified as having a blood lead “level of concern” if the blood lead test result was greater than or equal to (≥)10 micrograms per deciliter (µg/dL). CDC no longer uses the term “level of concern” and instead uses a BLRV to identify children who have more lead in their blood than most children. In 2012, CDC began using a BLRV of 5 µg/dL and in 2021 lowered the BLRV to 3.5 µg/dL (described further in the next section) [CDC 2021b].</w:t>
      </w:r>
    </w:p>
    <w:p w:rsidR="00B35DA3" w:rsidP="001F4AB2" w:rsidRDefault="00B35DA3" w14:paraId="705CA190" w14:textId="6516A68F">
      <w:pPr>
        <w:rPr>
          <w:rFonts w:eastAsia="Calibri"/>
        </w:rPr>
      </w:pPr>
      <w:r w:rsidRPr="00B35DA3">
        <w:rPr>
          <w:rFonts w:eastAsia="Calibri"/>
        </w:rPr>
        <w:lastRenderedPageBreak/>
        <w:t xml:space="preserve">Given CDC’s changes to the BLRV, in October 2021, EPA asked for ATSDR’s assistance in conducting a blood lead assessment for the </w:t>
      </w:r>
      <w:proofErr w:type="spellStart"/>
      <w:r w:rsidRPr="00B35DA3">
        <w:rPr>
          <w:rFonts w:eastAsia="Calibri"/>
        </w:rPr>
        <w:t>Oronogo-Duenweg</w:t>
      </w:r>
      <w:proofErr w:type="spellEnd"/>
      <w:r w:rsidRPr="00B35DA3">
        <w:rPr>
          <w:rFonts w:eastAsia="Calibri"/>
        </w:rPr>
        <w:t xml:space="preserve"> Mining Belt and Newton County Mine Tailings Superfund sites [EPA 2017, EPA 2019]. There are concerns that historic residential soil clean up levels may not remain sufficiently protective. </w:t>
      </w:r>
      <w:r w:rsidR="000148E6">
        <w:rPr>
          <w:rFonts w:eastAsia="Calibri"/>
        </w:rPr>
        <w:t>Blood lead testing and environmental sampling has not</w:t>
      </w:r>
      <w:r w:rsidR="007F5E10">
        <w:rPr>
          <w:rFonts w:eastAsia="Calibri"/>
        </w:rPr>
        <w:t xml:space="preserve"> been conducted since the </w:t>
      </w:r>
      <w:r w:rsidR="001F1E82">
        <w:rPr>
          <w:rFonts w:eastAsia="Calibri"/>
        </w:rPr>
        <w:t xml:space="preserve">most recent </w:t>
      </w:r>
      <w:r w:rsidR="007F5E10">
        <w:rPr>
          <w:rFonts w:eastAsia="Calibri"/>
        </w:rPr>
        <w:t xml:space="preserve">changes to </w:t>
      </w:r>
      <w:r w:rsidR="001F1E82">
        <w:rPr>
          <w:rFonts w:eastAsia="Calibri"/>
        </w:rPr>
        <w:t xml:space="preserve">the </w:t>
      </w:r>
      <w:r w:rsidR="007F5E10">
        <w:rPr>
          <w:rFonts w:eastAsia="Calibri"/>
        </w:rPr>
        <w:t>BLRV</w:t>
      </w:r>
      <w:r w:rsidR="001F1E82">
        <w:rPr>
          <w:rFonts w:eastAsia="Calibri"/>
        </w:rPr>
        <w:t xml:space="preserve"> and this EI will produce new </w:t>
      </w:r>
      <w:r w:rsidR="00EB5DCB">
        <w:rPr>
          <w:rFonts w:eastAsia="Calibri"/>
        </w:rPr>
        <w:t>information that can be used to direct future efforts in the community to reduce exposure to lead.</w:t>
      </w:r>
    </w:p>
    <w:p w:rsidR="00B35DA3" w:rsidP="00B35DA3" w:rsidRDefault="00B35DA3" w14:paraId="3E6DA3BB" w14:textId="77777777">
      <w:pPr>
        <w:pStyle w:val="Heading2"/>
        <w:spacing w:before="0"/>
        <w:rPr>
          <w:rFonts w:ascii="Times New Roman" w:hAnsi="Times New Roman" w:eastAsia="Calibri" w:cs="Times New Roman"/>
          <w:b w:val="0"/>
          <w:bCs w:val="0"/>
          <w:color w:val="auto"/>
          <w:sz w:val="24"/>
          <w:szCs w:val="22"/>
        </w:rPr>
      </w:pPr>
    </w:p>
    <w:p w:rsidRPr="004F54A8" w:rsidR="00322A9F" w:rsidP="00B35DA3" w:rsidRDefault="00322A9F" w14:paraId="0ACB9390" w14:textId="26FBD45C">
      <w:pPr>
        <w:pStyle w:val="Heading2"/>
        <w:spacing w:before="0"/>
      </w:pPr>
      <w:bookmarkStart w:name="_Toc105168842" w:id="54"/>
      <w:r w:rsidRPr="004F54A8">
        <w:t>A.5</w:t>
      </w:r>
      <w:r w:rsidR="002A0056">
        <w:t>.</w:t>
      </w:r>
      <w:r w:rsidRPr="004F54A8">
        <w:t xml:space="preserve"> Impact on Small Business</w:t>
      </w:r>
      <w:r w:rsidR="00261215">
        <w:t>es</w:t>
      </w:r>
      <w:r w:rsidRPr="004F54A8">
        <w:t xml:space="preserve"> or Other Small Entities</w:t>
      </w:r>
      <w:bookmarkEnd w:id="45"/>
      <w:bookmarkEnd w:id="46"/>
      <w:bookmarkEnd w:id="47"/>
      <w:bookmarkEnd w:id="48"/>
      <w:bookmarkEnd w:id="49"/>
      <w:bookmarkEnd w:id="50"/>
      <w:bookmarkEnd w:id="51"/>
      <w:bookmarkEnd w:id="52"/>
      <w:bookmarkEnd w:id="53"/>
      <w:bookmarkEnd w:id="54"/>
    </w:p>
    <w:p w:rsidR="004F54A8" w:rsidP="002F40AB" w:rsidRDefault="004F54A8" w14:paraId="3EE89F47" w14:textId="77777777">
      <w:pPr>
        <w:autoSpaceDE w:val="0"/>
        <w:autoSpaceDN w:val="0"/>
        <w:adjustRightInd w:val="0"/>
        <w:rPr>
          <w:rFonts w:ascii="TimesNewRoman" w:hAnsi="TimesNewRoman" w:cs="TimesNewRoman"/>
        </w:rPr>
      </w:pPr>
    </w:p>
    <w:p w:rsidR="00D55B9B" w:rsidP="00D94910" w:rsidRDefault="00C844C8" w14:paraId="7D3347D2" w14:textId="6E4DF83F">
      <w:pPr>
        <w:tabs>
          <w:tab w:val="left" w:pos="1545"/>
        </w:tabs>
        <w:spacing w:line="276" w:lineRule="auto"/>
      </w:pPr>
      <w:bookmarkStart w:name="_Toc305153417" w:id="55"/>
      <w:bookmarkStart w:name="_Toc305153635" w:id="56"/>
      <w:bookmarkStart w:name="_Toc305154211" w:id="57"/>
      <w:bookmarkStart w:name="_Toc305155365" w:id="58"/>
      <w:bookmarkStart w:name="_Toc306341895" w:id="59"/>
      <w:bookmarkStart w:name="_Toc306344148" w:id="60"/>
      <w:bookmarkStart w:name="_Toc306344789" w:id="61"/>
      <w:bookmarkStart w:name="_Toc306345030" w:id="62"/>
      <w:bookmarkStart w:name="_Toc311445499" w:id="63"/>
      <w:r>
        <w:t>The only small businesses that may be included in th</w:t>
      </w:r>
      <w:r w:rsidR="000B050E">
        <w:t>e JNC</w:t>
      </w:r>
      <w:r>
        <w:t xml:space="preserve"> EI include daycare centers and preschool/elementary schools. </w:t>
      </w:r>
      <w:r w:rsidR="00257CCF">
        <w:t>These facilities will be approached for recruitment of children that attend the facility.</w:t>
      </w:r>
    </w:p>
    <w:p w:rsidRPr="004F54A8" w:rsidR="00322A9F" w:rsidP="00186982" w:rsidRDefault="00322A9F" w14:paraId="33574C1C" w14:textId="32ACE8D7">
      <w:pPr>
        <w:pStyle w:val="Heading2"/>
      </w:pPr>
      <w:bookmarkStart w:name="_Toc105168843" w:id="64"/>
      <w:r w:rsidRPr="004F54A8">
        <w:t>A.6</w:t>
      </w:r>
      <w:r w:rsidR="002A0056">
        <w:t>.</w:t>
      </w:r>
      <w:r w:rsidRPr="004F54A8">
        <w:t xml:space="preserve"> Consequences of Collecting the Information Less Frequently</w:t>
      </w:r>
      <w:bookmarkEnd w:id="55"/>
      <w:bookmarkEnd w:id="56"/>
      <w:bookmarkEnd w:id="57"/>
      <w:bookmarkEnd w:id="58"/>
      <w:bookmarkEnd w:id="59"/>
      <w:bookmarkEnd w:id="60"/>
      <w:bookmarkEnd w:id="61"/>
      <w:bookmarkEnd w:id="62"/>
      <w:bookmarkEnd w:id="63"/>
      <w:bookmarkEnd w:id="64"/>
    </w:p>
    <w:p w:rsidRPr="002D0805" w:rsidR="004F54A8" w:rsidP="004F54A8" w:rsidRDefault="004F54A8" w14:paraId="370F9BB9" w14:textId="77777777">
      <w:pPr>
        <w:autoSpaceDE w:val="0"/>
        <w:autoSpaceDN w:val="0"/>
        <w:adjustRightInd w:val="0"/>
        <w:rPr>
          <w:b/>
          <w:bCs/>
        </w:rPr>
      </w:pPr>
    </w:p>
    <w:p w:rsidR="00164F2C" w:rsidP="00D94910" w:rsidRDefault="000A2598" w14:paraId="6CD5E1F8" w14:textId="3FEAFF0C">
      <w:pPr>
        <w:tabs>
          <w:tab w:val="left" w:pos="1545"/>
        </w:tabs>
        <w:spacing w:line="276" w:lineRule="auto"/>
      </w:pPr>
      <w:r>
        <w:t xml:space="preserve">This request is for a </w:t>
      </w:r>
      <w:r w:rsidR="006F62B8">
        <w:t>one</w:t>
      </w:r>
      <w:r w:rsidR="00DD5453">
        <w:t>-time</w:t>
      </w:r>
      <w:r>
        <w:t xml:space="preserve"> data collection</w:t>
      </w:r>
      <w:r w:rsidR="006F62B8">
        <w:t xml:space="preserve"> in the </w:t>
      </w:r>
      <w:r w:rsidR="00E57E06">
        <w:t>summer of 2022</w:t>
      </w:r>
      <w:r>
        <w:t xml:space="preserve">. </w:t>
      </w:r>
      <w:r w:rsidR="00A6396B">
        <w:t>There are no legal obstacles to reduce the burden.</w:t>
      </w:r>
      <w:bookmarkStart w:name="_Toc305155366" w:id="65"/>
      <w:bookmarkStart w:name="_Toc306341896" w:id="66"/>
      <w:bookmarkStart w:name="_Toc306344149" w:id="67"/>
      <w:bookmarkStart w:name="_Toc306344790" w:id="68"/>
      <w:bookmarkStart w:name="_Toc306345031" w:id="69"/>
      <w:bookmarkStart w:name="_Toc311445500" w:id="70"/>
      <w:r w:rsidR="00003C3F">
        <w:t xml:space="preserve"> ATSDR’s Health and Safety plan for </w:t>
      </w:r>
      <w:r w:rsidR="00E72AFE">
        <w:t>the EI is provided in Protocol Appendix G.</w:t>
      </w:r>
    </w:p>
    <w:p w:rsidRPr="00266092" w:rsidR="00322A9F" w:rsidP="00D94910" w:rsidRDefault="00322A9F" w14:paraId="644AD829" w14:textId="6C47EDA9">
      <w:pPr>
        <w:pStyle w:val="Heading2"/>
        <w:spacing w:line="276" w:lineRule="auto"/>
      </w:pPr>
      <w:bookmarkStart w:name="_Toc105168844" w:id="71"/>
      <w:r w:rsidRPr="00266092">
        <w:t>A.7</w:t>
      </w:r>
      <w:r w:rsidR="002A0056">
        <w:t>.</w:t>
      </w:r>
      <w:r w:rsidRPr="00266092">
        <w:t xml:space="preserve"> Special Circumstances Relating to the Guidelines of 5 CFR 1320.5</w:t>
      </w:r>
      <w:bookmarkEnd w:id="65"/>
      <w:bookmarkEnd w:id="66"/>
      <w:bookmarkEnd w:id="67"/>
      <w:bookmarkEnd w:id="68"/>
      <w:bookmarkEnd w:id="69"/>
      <w:bookmarkEnd w:id="70"/>
      <w:bookmarkEnd w:id="71"/>
    </w:p>
    <w:p w:rsidR="004F54A8" w:rsidP="00D94910" w:rsidRDefault="004F54A8" w14:paraId="26537A7B" w14:textId="77777777">
      <w:pPr>
        <w:autoSpaceDE w:val="0"/>
        <w:autoSpaceDN w:val="0"/>
        <w:adjustRightInd w:val="0"/>
        <w:spacing w:line="276" w:lineRule="auto"/>
        <w:rPr>
          <w:rFonts w:ascii="TimesNewRoman" w:hAnsi="TimesNewRoman" w:cs="TimesNewRoman"/>
        </w:rPr>
      </w:pPr>
    </w:p>
    <w:p w:rsidRPr="002D0805" w:rsidR="0073591C" w:rsidP="00D94910" w:rsidRDefault="00322A9F" w14:paraId="6B8E9580" w14:textId="77777777">
      <w:pPr>
        <w:autoSpaceDE w:val="0"/>
        <w:autoSpaceDN w:val="0"/>
        <w:adjustRightInd w:val="0"/>
        <w:spacing w:line="276" w:lineRule="auto"/>
        <w:rPr>
          <w:b/>
          <w:bCs/>
        </w:rPr>
      </w:pPr>
      <w:r w:rsidRPr="002D0805">
        <w:rPr>
          <w:rFonts w:ascii="TimesNewRoman" w:hAnsi="TimesNewRoman" w:cs="TimesNewRoman"/>
        </w:rPr>
        <w:t>There are no special circumstances associated with this data collection. The data</w:t>
      </w:r>
      <w:r w:rsidRPr="002D0805" w:rsidR="00E34DE4">
        <w:rPr>
          <w:rFonts w:ascii="TimesNewRoman" w:hAnsi="TimesNewRoman" w:cs="TimesNewRoman"/>
        </w:rPr>
        <w:t xml:space="preserve"> collection will fully comply</w:t>
      </w:r>
      <w:r w:rsidRPr="002D0805">
        <w:rPr>
          <w:rFonts w:ascii="TimesNewRoman" w:hAnsi="TimesNewRoman" w:cs="TimesNewRoman"/>
        </w:rPr>
        <w:t xml:space="preserve"> with the guidelines of 5 CFR 1320.5</w:t>
      </w:r>
      <w:r w:rsidR="000A2598">
        <w:rPr>
          <w:rFonts w:ascii="TimesNewRoman" w:hAnsi="TimesNewRoman" w:cs="TimesNewRoman"/>
        </w:rPr>
        <w:t xml:space="preserve"> and will be voluntary</w:t>
      </w:r>
      <w:r w:rsidRPr="002D0805">
        <w:rPr>
          <w:rFonts w:ascii="TimesNewRoman" w:hAnsi="TimesNewRoman" w:cs="TimesNewRoman"/>
        </w:rPr>
        <w:t>.</w:t>
      </w:r>
    </w:p>
    <w:p w:rsidR="00A077EB" w:rsidP="00D94910" w:rsidRDefault="00A077EB" w14:paraId="580A4104" w14:textId="77777777">
      <w:pPr>
        <w:pStyle w:val="Heading2"/>
        <w:spacing w:before="0" w:line="276" w:lineRule="auto"/>
      </w:pPr>
      <w:bookmarkStart w:name="_Toc305155367" w:id="72"/>
      <w:bookmarkStart w:name="_Toc306341897" w:id="73"/>
      <w:bookmarkStart w:name="_Toc306344150" w:id="74"/>
      <w:bookmarkStart w:name="_Toc306344791" w:id="75"/>
      <w:bookmarkStart w:name="_Toc306345032" w:id="76"/>
      <w:bookmarkStart w:name="_Toc311445501" w:id="77"/>
    </w:p>
    <w:p w:rsidRPr="003934D6" w:rsidR="007E0E75" w:rsidP="00D94910" w:rsidRDefault="00322A9F" w14:paraId="1C6D177D" w14:textId="033841F4">
      <w:pPr>
        <w:pStyle w:val="Heading2"/>
        <w:spacing w:before="0" w:line="276" w:lineRule="auto"/>
      </w:pPr>
      <w:bookmarkStart w:name="_Toc105168845" w:id="78"/>
      <w:r w:rsidRPr="003934D6">
        <w:t>A.8</w:t>
      </w:r>
      <w:r w:rsidR="002A0056">
        <w:t>.</w:t>
      </w:r>
      <w:r w:rsidRPr="003934D6">
        <w:t xml:space="preserve"> Comments in Response to the Federal Register Notice and Efforts to Consult Outside</w:t>
      </w:r>
      <w:bookmarkEnd w:id="72"/>
      <w:bookmarkEnd w:id="73"/>
      <w:bookmarkEnd w:id="74"/>
      <w:bookmarkEnd w:id="75"/>
      <w:bookmarkEnd w:id="76"/>
      <w:bookmarkEnd w:id="77"/>
      <w:r w:rsidRPr="003934D6" w:rsidR="00186982">
        <w:t xml:space="preserve"> the Agency</w:t>
      </w:r>
      <w:bookmarkEnd w:id="78"/>
      <w:r w:rsidRPr="003934D6" w:rsidR="00186982">
        <w:t xml:space="preserve"> </w:t>
      </w:r>
    </w:p>
    <w:p w:rsidRPr="003934D6" w:rsidR="003934D6" w:rsidP="00D94910" w:rsidRDefault="003934D6" w14:paraId="202AD281" w14:textId="77777777">
      <w:pPr>
        <w:autoSpaceDE w:val="0"/>
        <w:autoSpaceDN w:val="0"/>
        <w:adjustRightInd w:val="0"/>
        <w:spacing w:line="276" w:lineRule="auto"/>
        <w:rPr>
          <w:rFonts w:asciiTheme="majorHAnsi" w:hAnsiTheme="majorHAnsi"/>
          <w:b/>
          <w:bCs/>
          <w:sz w:val="26"/>
          <w:szCs w:val="26"/>
        </w:rPr>
      </w:pPr>
    </w:p>
    <w:p w:rsidR="00DD5453" w:rsidP="00D94910" w:rsidRDefault="000A2598" w14:paraId="25DA6C44" w14:textId="1338441A">
      <w:pPr>
        <w:tabs>
          <w:tab w:val="left" w:pos="1545"/>
        </w:tabs>
        <w:spacing w:line="276" w:lineRule="auto"/>
        <w:rPr>
          <w:color w:val="000000"/>
        </w:rPr>
      </w:pPr>
      <w:r>
        <w:rPr>
          <w:color w:val="000000"/>
        </w:rPr>
        <w:t xml:space="preserve">This data collection is being conducted using the Generic Information Collection mechanism for Exposure Investigations – OMB </w:t>
      </w:r>
      <w:r w:rsidR="00CB584F">
        <w:rPr>
          <w:color w:val="000000"/>
        </w:rPr>
        <w:t xml:space="preserve">Control </w:t>
      </w:r>
      <w:r>
        <w:rPr>
          <w:color w:val="000000"/>
        </w:rPr>
        <w:t>No. 0923-0048</w:t>
      </w:r>
      <w:r w:rsidR="001A7EA9">
        <w:rPr>
          <w:color w:val="000000"/>
        </w:rPr>
        <w:t xml:space="preserve"> (expiration date: </w:t>
      </w:r>
      <w:r w:rsidR="00AE1FF1">
        <w:rPr>
          <w:color w:val="000000"/>
        </w:rPr>
        <w:t>06/30/202</w:t>
      </w:r>
      <w:r w:rsidR="00242240">
        <w:rPr>
          <w:color w:val="000000"/>
        </w:rPr>
        <w:t>5</w:t>
      </w:r>
      <w:r w:rsidR="001A7EA9">
        <w:rPr>
          <w:color w:val="000000"/>
        </w:rPr>
        <w:t>)</w:t>
      </w:r>
      <w:r>
        <w:rPr>
          <w:color w:val="000000"/>
        </w:rPr>
        <w:t xml:space="preserve">.  A </w:t>
      </w:r>
      <w:r w:rsidR="00A6396B">
        <w:t xml:space="preserve">60-day Federal Register </w:t>
      </w:r>
      <w:r w:rsidR="00DD5453">
        <w:t>N</w:t>
      </w:r>
      <w:r w:rsidR="00A6396B">
        <w:t xml:space="preserve">otice was published in the </w:t>
      </w:r>
      <w:r w:rsidRPr="0039614F" w:rsidR="00A6396B">
        <w:rPr>
          <w:i/>
        </w:rPr>
        <w:t>Federal Register</w:t>
      </w:r>
      <w:r w:rsidR="00A6396B">
        <w:t xml:space="preserve">, Vol. </w:t>
      </w:r>
      <w:r w:rsidR="00E57E06">
        <w:t>86</w:t>
      </w:r>
      <w:r w:rsidR="00A6396B">
        <w:t xml:space="preserve">, No. </w:t>
      </w:r>
      <w:r w:rsidR="00E57E06">
        <w:t xml:space="preserve">154 </w:t>
      </w:r>
      <w:r w:rsidR="00A6396B">
        <w:t xml:space="preserve">on </w:t>
      </w:r>
      <w:r w:rsidR="00C96CF6">
        <w:t>Wednesday</w:t>
      </w:r>
      <w:r w:rsidR="00A6396B">
        <w:t xml:space="preserve">, </w:t>
      </w:r>
      <w:r w:rsidR="00E57E06">
        <w:t>August 13, 2021</w:t>
      </w:r>
      <w:r w:rsidRPr="0039614F" w:rsidR="00A6396B">
        <w:rPr>
          <w:color w:val="000000"/>
        </w:rPr>
        <w:t xml:space="preserve">. </w:t>
      </w:r>
      <w:r>
        <w:rPr>
          <w:color w:val="000000"/>
        </w:rPr>
        <w:t xml:space="preserve">No comments were received. </w:t>
      </w:r>
      <w:bookmarkStart w:name="_Toc305155369" w:id="79"/>
      <w:bookmarkStart w:name="_Toc306341899" w:id="80"/>
      <w:bookmarkStart w:name="_Toc306344152" w:id="81"/>
      <w:bookmarkStart w:name="_Toc306344793" w:id="82"/>
      <w:bookmarkStart w:name="_Toc306345034" w:id="83"/>
      <w:bookmarkStart w:name="_Toc311445503" w:id="84"/>
    </w:p>
    <w:p w:rsidR="008C45E6" w:rsidP="00D94910" w:rsidRDefault="008C45E6" w14:paraId="30CAFCE8" w14:textId="77777777">
      <w:pPr>
        <w:tabs>
          <w:tab w:val="left" w:pos="1545"/>
        </w:tabs>
        <w:spacing w:line="276" w:lineRule="auto"/>
        <w:rPr>
          <w:color w:val="000000"/>
        </w:rPr>
      </w:pPr>
    </w:p>
    <w:p w:rsidR="00666DB5" w:rsidP="001F4AB2" w:rsidRDefault="00666DB5" w14:paraId="15CA8F6D" w14:textId="55B4935E">
      <w:pPr>
        <w:spacing w:line="276" w:lineRule="auto"/>
      </w:pPr>
      <w:r w:rsidRPr="00666DB5">
        <w:t xml:space="preserve">This EI is a collaborative project between ATSDR, Centers for Disease Control and Prevention (CDC) Division of Laboratory Sciences (DLS), </w:t>
      </w:r>
      <w:r w:rsidR="00E57E06">
        <w:t>U.S. Environmental Protection Agency (</w:t>
      </w:r>
      <w:r w:rsidRPr="00666DB5">
        <w:t>EPA</w:t>
      </w:r>
      <w:r w:rsidR="00E57E06">
        <w:t>)</w:t>
      </w:r>
      <w:r w:rsidRPr="00666DB5">
        <w:t xml:space="preserve">, Missouri Department of Health and Senior Services (MDHSS), Jasper County Health Department, Newton County Health Department, Joplin City Health Department, and the Mid-America Pediatric Environmental Health Specialty Unit (PEHSU). ATSDR will work collaboratively with all partners throughout this process and </w:t>
      </w:r>
      <w:proofErr w:type="gramStart"/>
      <w:r w:rsidRPr="00666DB5">
        <w:t>provide assistance</w:t>
      </w:r>
      <w:proofErr w:type="gramEnd"/>
      <w:r w:rsidRPr="00666DB5">
        <w:t xml:space="preserve"> as needed. </w:t>
      </w:r>
    </w:p>
    <w:p w:rsidR="00AE1FF1" w:rsidP="00186982" w:rsidRDefault="00AE1FF1" w14:paraId="2DF608D0" w14:textId="77777777">
      <w:pPr>
        <w:pStyle w:val="Heading2"/>
      </w:pPr>
      <w:bookmarkStart w:name="_Toc105168846" w:id="85"/>
    </w:p>
    <w:p w:rsidRPr="00266092" w:rsidR="0068197A" w:rsidP="00186982" w:rsidRDefault="0068197A" w14:paraId="47783888" w14:textId="71E309A6">
      <w:pPr>
        <w:pStyle w:val="Heading2"/>
      </w:pPr>
      <w:r w:rsidRPr="00266092">
        <w:t>A.9</w:t>
      </w:r>
      <w:r w:rsidR="002A0056">
        <w:t>.</w:t>
      </w:r>
      <w:r w:rsidRPr="00266092">
        <w:t xml:space="preserve"> </w:t>
      </w:r>
      <w:r w:rsidRPr="007F446A">
        <w:t>Explanation</w:t>
      </w:r>
      <w:r w:rsidRPr="00266092">
        <w:t xml:space="preserve"> of Any Payment or Gift to </w:t>
      </w:r>
      <w:r w:rsidRPr="00266092" w:rsidR="001E683D">
        <w:t>Respondents</w:t>
      </w:r>
      <w:bookmarkEnd w:id="79"/>
      <w:bookmarkEnd w:id="80"/>
      <w:bookmarkEnd w:id="81"/>
      <w:bookmarkEnd w:id="82"/>
      <w:bookmarkEnd w:id="83"/>
      <w:bookmarkEnd w:id="84"/>
      <w:bookmarkEnd w:id="85"/>
    </w:p>
    <w:p w:rsidRPr="002D0805" w:rsidR="0068197A" w:rsidP="002F40AB" w:rsidRDefault="0068197A" w14:paraId="6A1D8C5A" w14:textId="77777777">
      <w:pPr>
        <w:autoSpaceDE w:val="0"/>
        <w:autoSpaceDN w:val="0"/>
        <w:adjustRightInd w:val="0"/>
      </w:pPr>
    </w:p>
    <w:p w:rsidR="00371272" w:rsidP="00371272" w:rsidRDefault="00371272" w14:paraId="093A1193" w14:textId="1A290126">
      <w:bookmarkStart w:name="_Toc305155370" w:id="86"/>
      <w:bookmarkStart w:name="_Toc306341900" w:id="87"/>
      <w:bookmarkStart w:name="_Toc306344153" w:id="88"/>
      <w:bookmarkStart w:name="_Toc306344794" w:id="89"/>
      <w:bookmarkStart w:name="_Toc306345035" w:id="90"/>
      <w:bookmarkStart w:name="_Toc311445504" w:id="91"/>
      <w:r>
        <w:t>Each eligible participant will receive</w:t>
      </w:r>
      <w:r w:rsidR="00364584">
        <w:t xml:space="preserve"> free </w:t>
      </w:r>
      <w:r w:rsidR="00DD7111">
        <w:t>blood lead testing with explanation of results and</w:t>
      </w:r>
      <w:r>
        <w:t xml:space="preserve"> a $20 gift card for their participation</w:t>
      </w:r>
      <w:r w:rsidR="00D672A9">
        <w:t xml:space="preserve">. The gift cards will be </w:t>
      </w:r>
      <w:r w:rsidR="00E57E06">
        <w:t>provided to</w:t>
      </w:r>
      <w:r w:rsidR="00D672A9">
        <w:t xml:space="preserve"> participants at the time of blood draw.</w:t>
      </w:r>
    </w:p>
    <w:p w:rsidR="00EA3580" w:rsidP="00C41444" w:rsidRDefault="00EA3580" w14:paraId="72759E65" w14:textId="20A4A4D5">
      <w:pPr>
        <w:pStyle w:val="Heading2"/>
      </w:pPr>
      <w:bookmarkStart w:name="_Toc105168847" w:id="92"/>
      <w:r>
        <w:t xml:space="preserve">A.10. </w:t>
      </w:r>
      <w:r w:rsidRPr="0037198B" w:rsidR="0037198B">
        <w:t>Protection of the Privacy and Confidentiality of Information Provided by Respondents</w:t>
      </w:r>
      <w:bookmarkEnd w:id="92"/>
    </w:p>
    <w:p w:rsidRPr="0047002D" w:rsidR="0047002D" w:rsidP="00C41444" w:rsidRDefault="0047002D" w14:paraId="254A812E" w14:textId="77777777"/>
    <w:bookmarkEnd w:id="86"/>
    <w:bookmarkEnd w:id="87"/>
    <w:bookmarkEnd w:id="88"/>
    <w:bookmarkEnd w:id="89"/>
    <w:bookmarkEnd w:id="90"/>
    <w:bookmarkEnd w:id="91"/>
    <w:p w:rsidR="00C82527" w:rsidP="00C82527" w:rsidRDefault="004C1327" w14:paraId="7E9C63EE" w14:textId="77777777">
      <w:pPr>
        <w:spacing w:line="276" w:lineRule="auto"/>
      </w:pPr>
      <w:r>
        <w:t>ATSDR/</w:t>
      </w:r>
      <w:r w:rsidRPr="000A7CAB" w:rsidR="00A96A4D">
        <w:t>NCEH Information Systems Security officer (ISSO)</w:t>
      </w:r>
      <w:r w:rsidRPr="000A7CAB" w:rsidR="00B7549D">
        <w:t xml:space="preserve"> </w:t>
      </w:r>
      <w:r>
        <w:t>has</w:t>
      </w:r>
      <w:r w:rsidRPr="000A7CAB">
        <w:t xml:space="preserve"> </w:t>
      </w:r>
      <w:r w:rsidRPr="000A7CAB" w:rsidR="00B7549D">
        <w:t>determined that the Privacy Act does apply</w:t>
      </w:r>
      <w:r>
        <w:t xml:space="preserve"> for the </w:t>
      </w:r>
      <w:r w:rsidR="00A3691F">
        <w:t>JNC</w:t>
      </w:r>
      <w:r>
        <w:t xml:space="preserve"> EI</w:t>
      </w:r>
      <w:r w:rsidRPr="000A7CAB" w:rsidR="00B7549D">
        <w:t>. The relevant Privacy Act Syste</w:t>
      </w:r>
      <w:r w:rsidRPr="00B4500F" w:rsidR="00B7549D">
        <w:t xml:space="preserve">m of Records Notice (SORN) for this EI is </w:t>
      </w:r>
      <w:r w:rsidRPr="00AB317D" w:rsidR="00A96A4D">
        <w:t xml:space="preserve">Privacy Act System Notice 09-19-0001, </w:t>
      </w:r>
      <w:r w:rsidRPr="000A7CAB" w:rsidR="00B7549D">
        <w:t>Records of Persons Exposed or Potentially Exposed to Toxic</w:t>
      </w:r>
      <w:r w:rsidRPr="00C41444" w:rsidR="00B7549D">
        <w:t xml:space="preserve"> or Hazardous Substances (HHS/ATSDR).</w:t>
      </w:r>
      <w:r w:rsidR="00C82527">
        <w:t xml:space="preserve"> A Privacy Act Statement is included in the consent package (Appendix D1).</w:t>
      </w:r>
    </w:p>
    <w:p w:rsidR="004C1327" w:rsidP="00D94910" w:rsidRDefault="004C1327" w14:paraId="5EF044AA" w14:textId="6172D1DE">
      <w:pPr>
        <w:spacing w:line="276" w:lineRule="auto"/>
      </w:pPr>
    </w:p>
    <w:p w:rsidR="006A07AF" w:rsidP="00D94910" w:rsidRDefault="004C1327" w14:paraId="5DF04B41" w14:textId="0E119AAF">
      <w:pPr>
        <w:spacing w:line="276" w:lineRule="auto"/>
      </w:pPr>
      <w:r>
        <w:t xml:space="preserve">A Privacy Impact Assessment (PIA) form provides information </w:t>
      </w:r>
      <w:r w:rsidR="00430F47">
        <w:t xml:space="preserve">on information </w:t>
      </w:r>
      <w:r>
        <w:t xml:space="preserve">that will be collected from respondents and how it will be secured (Attachment </w:t>
      </w:r>
      <w:r w:rsidR="00C82527">
        <w:t>6</w:t>
      </w:r>
      <w:r w:rsidR="006A07AF">
        <w:t xml:space="preserve">). </w:t>
      </w:r>
    </w:p>
    <w:p w:rsidRPr="0082063A" w:rsidR="006A07AF" w:rsidP="0082063A" w:rsidRDefault="006A07AF" w14:paraId="38D051AD" w14:textId="43012B62">
      <w:pPr>
        <w:spacing w:line="276" w:lineRule="auto"/>
        <w:rPr>
          <w:color w:val="000000"/>
          <w:szCs w:val="20"/>
        </w:rPr>
      </w:pPr>
    </w:p>
    <w:p w:rsidR="00B7549D" w:rsidP="0082063A" w:rsidRDefault="00B7549D" w14:paraId="089F8B31" w14:textId="6B59081A">
      <w:pPr>
        <w:tabs>
          <w:tab w:val="left" w:pos="1545"/>
        </w:tabs>
        <w:spacing w:line="276" w:lineRule="auto"/>
      </w:pPr>
      <w:r>
        <w:rPr>
          <w:color w:val="000000"/>
          <w:szCs w:val="20"/>
        </w:rPr>
        <w:t xml:space="preserve">Data obtained during the </w:t>
      </w:r>
      <w:r w:rsidR="00A12A64">
        <w:rPr>
          <w:color w:val="000000"/>
          <w:szCs w:val="20"/>
        </w:rPr>
        <w:t>EI</w:t>
      </w:r>
      <w:r>
        <w:rPr>
          <w:color w:val="000000"/>
          <w:szCs w:val="20"/>
        </w:rPr>
        <w:t xml:space="preserve"> will be treated in a secure manner and will not be disclosed, unless otherwise compelled by law. </w:t>
      </w:r>
      <w:r w:rsidR="00E502EB">
        <w:t>Missouri</w:t>
      </w:r>
      <w:r w:rsidR="002A7372">
        <w:t xml:space="preserve"> Open Record </w:t>
      </w:r>
      <w:r>
        <w:t>Laws require openness in government, which may result in personal identification being accessible by the general public. The EI will comply with all appropriate requirements.</w:t>
      </w:r>
    </w:p>
    <w:p w:rsidR="00F14206" w:rsidP="00C41444" w:rsidRDefault="00F14206" w14:paraId="38EF094F" w14:textId="77777777">
      <w:pPr>
        <w:rPr>
          <w:i/>
        </w:rPr>
      </w:pPr>
    </w:p>
    <w:p w:rsidRPr="00B7549D" w:rsidR="00A6396B" w:rsidRDefault="000C2177" w14:paraId="4544EF78" w14:textId="778B6414">
      <w:pPr>
        <w:pStyle w:val="Heading3"/>
      </w:pPr>
      <w:bookmarkStart w:name="_Toc105168848" w:id="93"/>
      <w:r w:rsidRPr="00B7549D">
        <w:t xml:space="preserve">A.10.1. </w:t>
      </w:r>
      <w:r w:rsidRPr="00B7549D" w:rsidR="00A6396B">
        <w:t>Privacy Impact Assessment Information</w:t>
      </w:r>
      <w:bookmarkEnd w:id="93"/>
    </w:p>
    <w:p w:rsidR="00F14206" w:rsidP="00A6396B" w:rsidRDefault="00F14206" w14:paraId="00A3AB49" w14:textId="77777777">
      <w:pPr>
        <w:tabs>
          <w:tab w:val="left" w:pos="1545"/>
        </w:tabs>
      </w:pPr>
    </w:p>
    <w:p w:rsidR="00B7549D" w:rsidP="0082063A" w:rsidRDefault="00B7549D" w14:paraId="21EEB715" w14:textId="5467DD40">
      <w:pPr>
        <w:tabs>
          <w:tab w:val="left" w:pos="1545"/>
        </w:tabs>
        <w:spacing w:line="276" w:lineRule="auto"/>
        <w:rPr>
          <w:bCs/>
          <w:iCs/>
        </w:rPr>
      </w:pPr>
      <w:r>
        <w:rPr>
          <w:bCs/>
          <w:iCs/>
        </w:rPr>
        <w:t xml:space="preserve">The </w:t>
      </w:r>
      <w:r w:rsidR="00B528AE">
        <w:rPr>
          <w:bCs/>
          <w:iCs/>
        </w:rPr>
        <w:t>JNC</w:t>
      </w:r>
      <w:r>
        <w:rPr>
          <w:bCs/>
          <w:iCs/>
        </w:rPr>
        <w:t xml:space="preserve"> EI will involve </w:t>
      </w:r>
      <w:r w:rsidR="006C6DFE">
        <w:rPr>
          <w:bCs/>
          <w:iCs/>
        </w:rPr>
        <w:t xml:space="preserve">up to </w:t>
      </w:r>
      <w:r w:rsidR="00B528AE">
        <w:rPr>
          <w:bCs/>
          <w:iCs/>
        </w:rPr>
        <w:t>3</w:t>
      </w:r>
      <w:r w:rsidR="006C6DFE">
        <w:rPr>
          <w:bCs/>
          <w:iCs/>
        </w:rPr>
        <w:t xml:space="preserve">00 participants, including </w:t>
      </w:r>
      <w:r>
        <w:rPr>
          <w:bCs/>
          <w:iCs/>
        </w:rPr>
        <w:t>children</w:t>
      </w:r>
      <w:r w:rsidR="00801157">
        <w:rPr>
          <w:bCs/>
          <w:iCs/>
        </w:rPr>
        <w:t xml:space="preserve"> and adults</w:t>
      </w:r>
      <w:r>
        <w:rPr>
          <w:bCs/>
          <w:iCs/>
        </w:rPr>
        <w:t>. ATSDR provides participants with information on the EI process and what it can and cannot determine.</w:t>
      </w:r>
      <w:r w:rsidR="00EA5F53">
        <w:rPr>
          <w:bCs/>
          <w:iCs/>
        </w:rPr>
        <w:t xml:space="preserve"> ATSDR factsheets about the EI and other recruitment material is provided in Protocol Appendix C</w:t>
      </w:r>
      <w:r w:rsidR="00F13E52">
        <w:rPr>
          <w:bCs/>
          <w:iCs/>
        </w:rPr>
        <w:t>.</w:t>
      </w:r>
      <w:r>
        <w:rPr>
          <w:bCs/>
          <w:iCs/>
        </w:rPr>
        <w:t xml:space="preserve"> After providing the participants this information, ATSDR will ask for parental permission </w:t>
      </w:r>
      <w:r w:rsidR="00E57E06">
        <w:rPr>
          <w:bCs/>
          <w:iCs/>
        </w:rPr>
        <w:t xml:space="preserve"> </w:t>
      </w:r>
      <w:r>
        <w:rPr>
          <w:bCs/>
          <w:iCs/>
        </w:rPr>
        <w:t>or adult consent to participate in the EI</w:t>
      </w:r>
      <w:r w:rsidR="00430F47">
        <w:rPr>
          <w:bCs/>
          <w:iCs/>
        </w:rPr>
        <w:t xml:space="preserve"> (</w:t>
      </w:r>
      <w:r w:rsidR="00721D3C">
        <w:rPr>
          <w:bCs/>
          <w:iCs/>
        </w:rPr>
        <w:t xml:space="preserve">Protocol </w:t>
      </w:r>
      <w:r w:rsidR="00C82527">
        <w:rPr>
          <w:bCs/>
          <w:iCs/>
        </w:rPr>
        <w:t>Appendices D2-D4</w:t>
      </w:r>
      <w:r w:rsidR="00430F47">
        <w:rPr>
          <w:bCs/>
          <w:iCs/>
        </w:rPr>
        <w:t>)</w:t>
      </w:r>
      <w:r>
        <w:rPr>
          <w:bCs/>
          <w:iCs/>
        </w:rPr>
        <w:t xml:space="preserve">. Participation is completely voluntary; participants can stop participating in the EI at any time.  </w:t>
      </w:r>
    </w:p>
    <w:p w:rsidR="00B7549D" w:rsidP="00D94910" w:rsidRDefault="00B7549D" w14:paraId="5DF276DF" w14:textId="77777777">
      <w:pPr>
        <w:tabs>
          <w:tab w:val="left" w:pos="1545"/>
        </w:tabs>
        <w:spacing w:line="276" w:lineRule="auto"/>
        <w:rPr>
          <w:bCs/>
          <w:iCs/>
        </w:rPr>
      </w:pPr>
    </w:p>
    <w:p w:rsidR="00495623" w:rsidP="00D94910" w:rsidRDefault="00495623" w14:paraId="72871322" w14:textId="77777777">
      <w:pPr>
        <w:spacing w:line="276" w:lineRule="auto"/>
      </w:pPr>
      <w:r>
        <w:rPr>
          <w:rStyle w:val="Strong"/>
          <w:rFonts w:asciiTheme="majorHAnsi" w:hAnsiTheme="majorHAnsi"/>
          <w:color w:val="4F81BD"/>
        </w:rPr>
        <w:t>Overview of the Data Collection System</w:t>
      </w:r>
    </w:p>
    <w:p w:rsidR="00D607C6" w:rsidDel="0036112F" w:rsidP="00D94910" w:rsidRDefault="00D607C6" w14:paraId="42F5E5A1" w14:textId="77777777">
      <w:pPr>
        <w:tabs>
          <w:tab w:val="left" w:pos="1545"/>
        </w:tabs>
        <w:spacing w:line="276" w:lineRule="auto"/>
      </w:pPr>
    </w:p>
    <w:p w:rsidR="00D607C6" w:rsidDel="0036112F" w:rsidP="00D94910" w:rsidRDefault="00D607C6" w14:paraId="6E772914" w14:textId="14E4D382">
      <w:pPr>
        <w:tabs>
          <w:tab w:val="left" w:pos="1545"/>
        </w:tabs>
        <w:spacing w:line="276" w:lineRule="auto"/>
      </w:pPr>
      <w:r w:rsidRPr="00F272FD" w:rsidDel="0036112F">
        <w:t>The primary objective of the</w:t>
      </w:r>
      <w:r w:rsidDel="0036112F">
        <w:t xml:space="preserve"> information collected for the </w:t>
      </w:r>
      <w:r w:rsidR="00B528AE">
        <w:t>JNC</w:t>
      </w:r>
      <w:r w:rsidDel="0036112F">
        <w:t xml:space="preserve"> EI is to assess exposures to environmental lead. Data obtained during this EI will include analytical measures of </w:t>
      </w:r>
      <w:r w:rsidR="00EF1853">
        <w:t>lead</w:t>
      </w:r>
      <w:r w:rsidDel="0036112F">
        <w:t xml:space="preserve"> in blood</w:t>
      </w:r>
      <w:r w:rsidR="0008448C">
        <w:t xml:space="preserve"> and environmental samples collected in and around the home</w:t>
      </w:r>
      <w:r w:rsidR="00E57E06">
        <w:t xml:space="preserve"> as well as an administered questionnaire</w:t>
      </w:r>
      <w:r w:rsidR="0008448C">
        <w:t>.</w:t>
      </w:r>
      <w:r w:rsidDel="0036112F">
        <w:t xml:space="preserve"> Information obtained from the participants assists the team in determining if exposure has occurred or is occurring.</w:t>
      </w:r>
      <w:r w:rsidRPr="00C14B8B" w:rsidDel="0036112F">
        <w:t xml:space="preserve"> </w:t>
      </w:r>
      <w:r w:rsidDel="0036112F">
        <w:t>For this EI, a data collection system will include all of the measurements and procedures that are proposed to address data gaps in the blood sampling.</w:t>
      </w:r>
    </w:p>
    <w:p w:rsidR="00D607C6" w:rsidDel="0036112F" w:rsidP="00D607C6" w:rsidRDefault="00D607C6" w14:paraId="6C6FCB11" w14:textId="77777777">
      <w:pPr>
        <w:tabs>
          <w:tab w:val="left" w:pos="1545"/>
        </w:tabs>
      </w:pPr>
    </w:p>
    <w:p w:rsidR="00D607C6" w:rsidDel="0036112F" w:rsidP="00D94910" w:rsidRDefault="00D607C6" w14:paraId="17CE2D1C" w14:textId="77777777">
      <w:pPr>
        <w:tabs>
          <w:tab w:val="left" w:pos="1545"/>
        </w:tabs>
        <w:spacing w:line="276" w:lineRule="auto"/>
      </w:pPr>
      <w:r w:rsidDel="0036112F">
        <w:t>The data collection system for this EI will be characterized by the following:</w:t>
      </w:r>
    </w:p>
    <w:p w:rsidR="00D607C6" w:rsidDel="0036112F" w:rsidP="00D94910" w:rsidRDefault="00D607C6" w14:paraId="5BA54E3B" w14:textId="77777777">
      <w:pPr>
        <w:tabs>
          <w:tab w:val="left" w:pos="1545"/>
        </w:tabs>
        <w:spacing w:line="276" w:lineRule="auto"/>
      </w:pPr>
    </w:p>
    <w:p w:rsidRPr="00DB10B4" w:rsidR="00D607C6" w:rsidDel="0036112F" w:rsidP="006F62B8" w:rsidRDefault="00D607C6" w14:paraId="6FB71D13" w14:textId="77777777">
      <w:pPr>
        <w:pStyle w:val="ListParagraph"/>
        <w:numPr>
          <w:ilvl w:val="0"/>
          <w:numId w:val="1"/>
        </w:numPr>
        <w:tabs>
          <w:tab w:val="left" w:pos="1545"/>
        </w:tabs>
        <w:spacing w:line="276" w:lineRule="auto"/>
        <w:rPr>
          <w:u w:val="single"/>
        </w:rPr>
      </w:pPr>
      <w:r w:rsidRPr="00DB10B4" w:rsidDel="0036112F">
        <w:rPr>
          <w:u w:val="single"/>
        </w:rPr>
        <w:t xml:space="preserve">Who </w:t>
      </w:r>
      <w:r w:rsidDel="0036112F">
        <w:rPr>
          <w:u w:val="single"/>
        </w:rPr>
        <w:t>will use the</w:t>
      </w:r>
      <w:r w:rsidRPr="00DB10B4" w:rsidDel="0036112F">
        <w:rPr>
          <w:u w:val="single"/>
        </w:rPr>
        <w:t xml:space="preserve"> EI </w:t>
      </w:r>
      <w:r w:rsidDel="0036112F">
        <w:rPr>
          <w:u w:val="single"/>
        </w:rPr>
        <w:t>Data Collection System?</w:t>
      </w:r>
    </w:p>
    <w:p w:rsidR="00D607C6" w:rsidDel="0036112F" w:rsidP="00D94910" w:rsidRDefault="00D607C6" w14:paraId="5EE35477" w14:textId="1133B415">
      <w:pPr>
        <w:pStyle w:val="ListParagraph"/>
        <w:spacing w:line="276" w:lineRule="auto"/>
      </w:pPr>
      <w:r w:rsidRPr="00DB10B4" w:rsidDel="0036112F">
        <w:t xml:space="preserve">The </w:t>
      </w:r>
      <w:r w:rsidR="00D100E0">
        <w:t>OCHHA</w:t>
      </w:r>
      <w:r w:rsidDel="0036112F">
        <w:t xml:space="preserve"> </w:t>
      </w:r>
      <w:r w:rsidRPr="00DB10B4" w:rsidDel="0036112F">
        <w:t xml:space="preserve">EI </w:t>
      </w:r>
      <w:r w:rsidDel="0036112F">
        <w:t>T</w:t>
      </w:r>
      <w:r w:rsidRPr="00DB10B4" w:rsidDel="0036112F">
        <w:t>eam</w:t>
      </w:r>
      <w:r w:rsidDel="0036112F">
        <w:t xml:space="preserve"> and the ATSDR Region </w:t>
      </w:r>
      <w:r w:rsidR="00E174BB">
        <w:t>7</w:t>
      </w:r>
      <w:r w:rsidDel="0036112F">
        <w:t xml:space="preserve"> staff </w:t>
      </w:r>
      <w:r w:rsidRPr="00DB10B4" w:rsidDel="0036112F">
        <w:t xml:space="preserve">will use the </w:t>
      </w:r>
      <w:r w:rsidDel="0036112F">
        <w:t>Data Collection System to perform the blood collection and laboratory analysis during the</w:t>
      </w:r>
      <w:r w:rsidR="00835B5F">
        <w:t xml:space="preserve"> </w:t>
      </w:r>
      <w:r w:rsidR="00063EFE">
        <w:t>JNC</w:t>
      </w:r>
      <w:r w:rsidDel="0036112F">
        <w:t xml:space="preserve"> EI. </w:t>
      </w:r>
    </w:p>
    <w:p w:rsidR="00D607C6" w:rsidDel="0036112F" w:rsidP="00D94910" w:rsidRDefault="00D607C6" w14:paraId="522C4F18" w14:textId="77777777">
      <w:pPr>
        <w:pStyle w:val="ListParagraph"/>
        <w:spacing w:line="276" w:lineRule="auto"/>
      </w:pPr>
    </w:p>
    <w:p w:rsidRPr="00DB10B4" w:rsidR="00D607C6" w:rsidDel="0036112F" w:rsidP="006F62B8" w:rsidRDefault="00D607C6" w14:paraId="08E31AD9" w14:textId="77777777">
      <w:pPr>
        <w:pStyle w:val="ListParagraph"/>
        <w:numPr>
          <w:ilvl w:val="0"/>
          <w:numId w:val="1"/>
        </w:numPr>
        <w:spacing w:line="276" w:lineRule="auto"/>
        <w:rPr>
          <w:u w:val="single"/>
        </w:rPr>
      </w:pPr>
      <w:r w:rsidRPr="00DB10B4" w:rsidDel="0036112F">
        <w:rPr>
          <w:u w:val="single"/>
        </w:rPr>
        <w:t>Who can be included as part of the EI</w:t>
      </w:r>
      <w:r w:rsidDel="0036112F">
        <w:rPr>
          <w:u w:val="single"/>
        </w:rPr>
        <w:t xml:space="preserve"> Generic Clearance?</w:t>
      </w:r>
    </w:p>
    <w:p w:rsidR="00B00064" w:rsidP="00B00064" w:rsidRDefault="00B00064" w14:paraId="4AEC8E79" w14:textId="4C4E4FF9">
      <w:pPr>
        <w:pStyle w:val="ListParagraph"/>
      </w:pPr>
      <w:r>
        <w:t>Children &lt; 72 months, pregnant women, and women of childbearing age will be eligible for inclusion</w:t>
      </w:r>
      <w:r w:rsidR="003034E6">
        <w:t xml:space="preserve"> in the EI</w:t>
      </w:r>
      <w:r>
        <w:t xml:space="preserve">. ATSDR will also evaluate BLLs for minor siblings of participants </w:t>
      </w:r>
      <w:r w:rsidRPr="249D09EB">
        <w:t>≥</w:t>
      </w:r>
      <w:r>
        <w:t xml:space="preserve"> 72 months, if requested by a parent or guardian, as a public health service to the community. However, their results will not be evaluated as part of the EI</w:t>
      </w:r>
      <w:r w:rsidR="00BC34EC">
        <w:t>, and they will not be compensated</w:t>
      </w:r>
      <w:r w:rsidR="00624742">
        <w:t>.</w:t>
      </w:r>
    </w:p>
    <w:p w:rsidR="00EC3A9E" w:rsidP="00D94910" w:rsidRDefault="00EC3A9E" w14:paraId="06470DA1" w14:textId="5AF4CAD6">
      <w:pPr>
        <w:spacing w:line="276" w:lineRule="auto"/>
        <w:ind w:left="720"/>
      </w:pPr>
    </w:p>
    <w:p w:rsidRPr="009175DC" w:rsidR="00D607C6" w:rsidDel="0036112F" w:rsidP="006F62B8" w:rsidRDefault="00D607C6" w14:paraId="5797EFAB" w14:textId="77777777">
      <w:pPr>
        <w:pStyle w:val="ListParagraph"/>
        <w:numPr>
          <w:ilvl w:val="0"/>
          <w:numId w:val="1"/>
        </w:numPr>
        <w:spacing w:line="276" w:lineRule="auto"/>
        <w:rPr>
          <w:u w:val="single"/>
        </w:rPr>
      </w:pPr>
      <w:r w:rsidRPr="009175DC" w:rsidDel="0036112F">
        <w:rPr>
          <w:u w:val="single"/>
        </w:rPr>
        <w:t>What types of questions may be asked as part of the EI Generic Clearance?</w:t>
      </w:r>
    </w:p>
    <w:p w:rsidRPr="00584A53" w:rsidR="00D607C6" w:rsidDel="0036112F" w:rsidP="00D94910" w:rsidRDefault="00D607C6" w14:paraId="7AD24E4E" w14:textId="54EB7274">
      <w:pPr>
        <w:pStyle w:val="ListParagraph"/>
        <w:spacing w:line="276" w:lineRule="auto"/>
        <w:rPr>
          <w:b/>
          <w:bCs/>
        </w:rPr>
      </w:pPr>
      <w:r w:rsidDel="0036112F">
        <w:t xml:space="preserve">For the </w:t>
      </w:r>
      <w:r w:rsidR="009A1B86">
        <w:t>JNC</w:t>
      </w:r>
      <w:r w:rsidDel="0036112F">
        <w:t xml:space="preserve"> EI, the medi</w:t>
      </w:r>
      <w:r w:rsidR="00587FF2">
        <w:t>a</w:t>
      </w:r>
      <w:r w:rsidDel="0036112F">
        <w:t xml:space="preserve"> of concern </w:t>
      </w:r>
      <w:r w:rsidR="00587FF2">
        <w:t>are</w:t>
      </w:r>
      <w:r w:rsidDel="0036112F">
        <w:t xml:space="preserve"> </w:t>
      </w:r>
      <w:r w:rsidR="00AA676F">
        <w:t xml:space="preserve">water, </w:t>
      </w:r>
      <w:r w:rsidDel="0036112F">
        <w:t xml:space="preserve">soil </w:t>
      </w:r>
      <w:r w:rsidR="00587FF2">
        <w:t xml:space="preserve">and dust </w:t>
      </w:r>
      <w:r w:rsidDel="0036112F">
        <w:t xml:space="preserve">contaminated with lead. </w:t>
      </w:r>
      <w:r w:rsidR="00D1286C">
        <w:t xml:space="preserve">The Protocol </w:t>
      </w:r>
      <w:r w:rsidR="00C82527">
        <w:t>Appendix E</w:t>
      </w:r>
      <w:r w:rsidR="00664301">
        <w:t xml:space="preserve"> contains </w:t>
      </w:r>
      <w:r w:rsidR="001000C6">
        <w:t>all ATSDR data collection forms: E</w:t>
      </w:r>
      <w:r w:rsidR="00C82527">
        <w:t>1</w:t>
      </w:r>
      <w:r w:rsidDel="0036112F">
        <w:t xml:space="preserve"> </w:t>
      </w:r>
      <w:r w:rsidR="00C82527">
        <w:t>is</w:t>
      </w:r>
      <w:r w:rsidDel="0036112F">
        <w:t xml:space="preserve"> the </w:t>
      </w:r>
      <w:r w:rsidR="00C82527">
        <w:t>questionnaire</w:t>
      </w:r>
      <w:r w:rsidDel="0036112F">
        <w:t xml:space="preserve"> used to evaluate </w:t>
      </w:r>
      <w:r w:rsidR="00E956A6">
        <w:t>lead</w:t>
      </w:r>
      <w:r w:rsidR="00AA676F">
        <w:t xml:space="preserve"> </w:t>
      </w:r>
      <w:r w:rsidR="00E956A6">
        <w:t>exposure</w:t>
      </w:r>
      <w:r w:rsidDel="0036112F">
        <w:t xml:space="preserve"> of EI participants</w:t>
      </w:r>
      <w:r w:rsidR="001000C6">
        <w:t xml:space="preserve">, and E2 </w:t>
      </w:r>
      <w:r w:rsidR="00D13383">
        <w:t>is the tracking form used during blood collection.</w:t>
      </w:r>
      <w:r w:rsidR="00C56463">
        <w:t xml:space="preserve"> Data collection forms used by MDHHS and USEPA</w:t>
      </w:r>
      <w:r w:rsidDel="0036112F">
        <w:t xml:space="preserve"> </w:t>
      </w:r>
      <w:r w:rsidR="00C56463">
        <w:t xml:space="preserve">are </w:t>
      </w:r>
      <w:r w:rsidR="00D1286C">
        <w:t>provided in the Protocol Appendix I.</w:t>
      </w:r>
    </w:p>
    <w:p w:rsidR="00D607C6" w:rsidDel="0036112F" w:rsidP="00D94910" w:rsidRDefault="00D607C6" w14:paraId="711308B5" w14:textId="77777777">
      <w:pPr>
        <w:pStyle w:val="Heading3"/>
        <w:spacing w:before="0" w:line="276" w:lineRule="auto"/>
        <w:rPr>
          <w:rFonts w:ascii="Times New Roman" w:hAnsi="Times New Roman" w:cs="Times New Roman"/>
          <w:b w:val="0"/>
          <w:color w:val="auto"/>
          <w:u w:val="single"/>
        </w:rPr>
      </w:pPr>
    </w:p>
    <w:p w:rsidR="00495623" w:rsidP="00D94910" w:rsidRDefault="00495623" w14:paraId="02420A0F" w14:textId="77777777">
      <w:pPr>
        <w:spacing w:line="276" w:lineRule="auto"/>
      </w:pPr>
      <w:r>
        <w:rPr>
          <w:rStyle w:val="Strong"/>
          <w:rFonts w:asciiTheme="majorHAnsi" w:hAnsiTheme="majorHAnsi"/>
          <w:color w:val="4F81BD"/>
        </w:rPr>
        <w:t>Items of Information to be Collected</w:t>
      </w:r>
    </w:p>
    <w:p w:rsidR="00D607C6" w:rsidDel="0036112F" w:rsidP="00D94910" w:rsidRDefault="00D607C6" w14:paraId="3A889021" w14:textId="77777777">
      <w:pPr>
        <w:tabs>
          <w:tab w:val="left" w:pos="1545"/>
        </w:tabs>
        <w:spacing w:line="276" w:lineRule="auto"/>
      </w:pPr>
    </w:p>
    <w:p w:rsidR="00D607C6" w:rsidDel="0036112F" w:rsidP="00D94910" w:rsidRDefault="00D607C6" w14:paraId="240E220D" w14:textId="5D1F8F04">
      <w:pPr>
        <w:tabs>
          <w:tab w:val="left" w:pos="1545"/>
        </w:tabs>
        <w:spacing w:line="276" w:lineRule="auto"/>
      </w:pPr>
      <w:r w:rsidDel="0036112F">
        <w:t>Collecting identifying information is necessary to facilitate personal contact with participants, to obtain their parental permission</w:t>
      </w:r>
      <w:r w:rsidDel="00E57E06" w:rsidR="00E57E06">
        <w:t xml:space="preserve"> </w:t>
      </w:r>
      <w:r w:rsidDel="0036112F">
        <w:t>/consent to participate and to provide them with results. The information is also used by ATSDR to better interpret the results of the sampling. ATSDR uses the information only to contact respondents. Data is treated in a private manner, unless otherwise compelled by law.</w:t>
      </w:r>
    </w:p>
    <w:p w:rsidR="00D607C6" w:rsidDel="0036112F" w:rsidP="00D94910" w:rsidRDefault="00D607C6" w14:paraId="4D3D11F5" w14:textId="77777777">
      <w:pPr>
        <w:tabs>
          <w:tab w:val="left" w:pos="1545"/>
        </w:tabs>
        <w:spacing w:line="276" w:lineRule="auto"/>
        <w:rPr>
          <w:bCs/>
          <w:iCs/>
          <w:color w:val="000000"/>
        </w:rPr>
      </w:pPr>
    </w:p>
    <w:p w:rsidR="00D607C6" w:rsidDel="0036112F" w:rsidP="00D94910" w:rsidRDefault="00D607C6" w14:paraId="3AE6B78D" w14:textId="68A76A52">
      <w:pPr>
        <w:tabs>
          <w:tab w:val="left" w:pos="1545"/>
        </w:tabs>
        <w:spacing w:line="276" w:lineRule="auto"/>
        <w:rPr>
          <w:bCs/>
          <w:iCs/>
          <w:color w:val="000000"/>
        </w:rPr>
      </w:pPr>
      <w:r w:rsidDel="0036112F">
        <w:rPr>
          <w:bCs/>
          <w:iCs/>
          <w:color w:val="000000"/>
        </w:rPr>
        <w:t xml:space="preserve">ATSDR collects contact information (e.g., name, address, phone number, email address) to provide the participant with their individual results. General information, which includes age/date of birth, race, gender, etc., </w:t>
      </w:r>
      <w:r w:rsidR="00E956A6">
        <w:rPr>
          <w:bCs/>
          <w:iCs/>
          <w:color w:val="000000"/>
        </w:rPr>
        <w:t>will be</w:t>
      </w:r>
      <w:r w:rsidDel="0036112F">
        <w:rPr>
          <w:bCs/>
          <w:iCs/>
          <w:color w:val="000000"/>
        </w:rPr>
        <w:t xml:space="preserve"> collected </w:t>
      </w:r>
      <w:r w:rsidR="00E956A6">
        <w:rPr>
          <w:bCs/>
          <w:iCs/>
          <w:color w:val="000000"/>
        </w:rPr>
        <w:t>since we are recruiting specific age groups in the EI</w:t>
      </w:r>
      <w:r w:rsidDel="0036112F">
        <w:rPr>
          <w:bCs/>
          <w:iCs/>
          <w:color w:val="000000"/>
        </w:rPr>
        <w:t>.</w:t>
      </w:r>
    </w:p>
    <w:p w:rsidR="00D607C6" w:rsidDel="0036112F" w:rsidP="00D94910" w:rsidRDefault="00D607C6" w14:paraId="401C6401" w14:textId="77777777">
      <w:pPr>
        <w:tabs>
          <w:tab w:val="left" w:pos="1545"/>
        </w:tabs>
        <w:spacing w:line="276" w:lineRule="auto"/>
        <w:rPr>
          <w:bCs/>
          <w:iCs/>
        </w:rPr>
      </w:pPr>
    </w:p>
    <w:p w:rsidR="00D607C6" w:rsidDel="0036112F" w:rsidP="00D94910" w:rsidRDefault="00D607C6" w14:paraId="1C3554A8" w14:textId="1EBE864A">
      <w:pPr>
        <w:tabs>
          <w:tab w:val="left" w:pos="1545"/>
        </w:tabs>
        <w:spacing w:line="276" w:lineRule="auto"/>
        <w:rPr>
          <w:bCs/>
          <w:iCs/>
          <w:color w:val="000000"/>
        </w:rPr>
      </w:pPr>
      <w:r w:rsidDel="0036112F">
        <w:rPr>
          <w:bCs/>
          <w:iCs/>
        </w:rPr>
        <w:t xml:space="preserve">ATSDR will ask participants questions about their recreational activities that could increase their potential exposure to lead </w:t>
      </w:r>
      <w:r w:rsidR="007F0B24">
        <w:rPr>
          <w:bCs/>
          <w:iCs/>
        </w:rPr>
        <w:t>in environmental media.</w:t>
      </w:r>
      <w:r w:rsidDel="0036112F">
        <w:t xml:space="preserve"> </w:t>
      </w:r>
      <w:r w:rsidDel="0036112F">
        <w:rPr>
          <w:bCs/>
        </w:rPr>
        <w:t xml:space="preserve">Only questions needed to determine the extent of exposure in a particular situation will be asked. The questions are intended to estimate how long and how frequently participants may have contact with soil </w:t>
      </w:r>
      <w:r w:rsidR="00E57E06">
        <w:rPr>
          <w:bCs/>
        </w:rPr>
        <w:t>around their homes</w:t>
      </w:r>
      <w:r w:rsidDel="0036112F">
        <w:rPr>
          <w:bCs/>
        </w:rPr>
        <w:t xml:space="preserve">.  </w:t>
      </w:r>
    </w:p>
    <w:p w:rsidR="00D607C6" w:rsidDel="0036112F" w:rsidP="00D94910" w:rsidRDefault="00D607C6" w14:paraId="44FD5FC9" w14:textId="77777777">
      <w:pPr>
        <w:tabs>
          <w:tab w:val="left" w:pos="1545"/>
        </w:tabs>
        <w:spacing w:line="276" w:lineRule="auto"/>
      </w:pPr>
    </w:p>
    <w:p w:rsidRPr="005348BC" w:rsidR="00D607C6" w:rsidDel="0036112F" w:rsidP="00D94910" w:rsidRDefault="00D607C6" w14:paraId="4750890C" w14:textId="0ADA8C63">
      <w:pPr>
        <w:spacing w:line="276" w:lineRule="auto"/>
        <w:rPr>
          <w:b/>
          <w:bCs/>
        </w:rPr>
      </w:pPr>
      <w:r w:rsidDel="0036112F">
        <w:lastRenderedPageBreak/>
        <w:t>In addition, A</w:t>
      </w:r>
      <w:r w:rsidRPr="005348BC" w:rsidDel="0036112F">
        <w:rPr>
          <w:bCs/>
          <w:iCs/>
        </w:rPr>
        <w:t>TSDR will also collect information on other possible sources of lead</w:t>
      </w:r>
      <w:r w:rsidR="00C71DB6">
        <w:rPr>
          <w:bCs/>
          <w:iCs/>
        </w:rPr>
        <w:t xml:space="preserve"> e</w:t>
      </w:r>
      <w:r w:rsidRPr="005348BC" w:rsidDel="0036112F">
        <w:rPr>
          <w:bCs/>
          <w:iCs/>
        </w:rPr>
        <w:t xml:space="preserve">xposure such as age </w:t>
      </w:r>
      <w:r w:rsidDel="0036112F">
        <w:rPr>
          <w:bCs/>
          <w:iCs/>
        </w:rPr>
        <w:t xml:space="preserve">and construction characteristics </w:t>
      </w:r>
      <w:r w:rsidRPr="005348BC" w:rsidDel="0036112F">
        <w:rPr>
          <w:bCs/>
          <w:iCs/>
        </w:rPr>
        <w:t xml:space="preserve">of </w:t>
      </w:r>
      <w:r w:rsidDel="0036112F">
        <w:rPr>
          <w:bCs/>
          <w:iCs/>
        </w:rPr>
        <w:t xml:space="preserve">the </w:t>
      </w:r>
      <w:r w:rsidRPr="005348BC" w:rsidDel="0036112F">
        <w:rPr>
          <w:bCs/>
          <w:iCs/>
        </w:rPr>
        <w:t>home, foods eaten, hobbies</w:t>
      </w:r>
      <w:r w:rsidDel="0036112F">
        <w:rPr>
          <w:bCs/>
          <w:iCs/>
        </w:rPr>
        <w:t>, time spent outdoors,</w:t>
      </w:r>
      <w:r w:rsidRPr="005348BC" w:rsidDel="0036112F">
        <w:rPr>
          <w:bCs/>
          <w:iCs/>
        </w:rPr>
        <w:t xml:space="preserve"> etc. That information represents their individual exposure history. </w:t>
      </w:r>
    </w:p>
    <w:p w:rsidR="00D607C6" w:rsidDel="0036112F" w:rsidP="00D94910" w:rsidRDefault="00D607C6" w14:paraId="77A661D4" w14:textId="77777777">
      <w:pPr>
        <w:tabs>
          <w:tab w:val="left" w:pos="1545"/>
        </w:tabs>
        <w:spacing w:line="276" w:lineRule="auto"/>
        <w:rPr>
          <w:bCs/>
          <w:iCs/>
        </w:rPr>
      </w:pPr>
    </w:p>
    <w:p w:rsidR="00D607C6" w:rsidP="00D94910" w:rsidRDefault="00D607C6" w14:paraId="4504055D" w14:textId="5756C814">
      <w:pPr>
        <w:spacing w:line="276" w:lineRule="auto"/>
        <w:rPr>
          <w:bCs/>
          <w:iCs/>
        </w:rPr>
      </w:pPr>
      <w:r w:rsidDel="0036112F">
        <w:t>The blood collection will be overseen by ATSDR personnel, obtained by trained phlebotomists, and shipped directly to the CDC National Center for Environmental Health (NCEH) laboratory in Atlanta for analysis.  Appropriate Quality Assurance Plans will be prepared and implemented by ATSDR.</w:t>
      </w:r>
      <w:r w:rsidDel="0036112F">
        <w:rPr>
          <w:bCs/>
          <w:iCs/>
        </w:rPr>
        <w:t xml:space="preserve"> Blood lead samples will be collected at a central location within the community.  </w:t>
      </w:r>
    </w:p>
    <w:p w:rsidR="00017E63" w:rsidP="00D94910" w:rsidRDefault="00017E63" w14:paraId="37468BE5" w14:textId="182F2701">
      <w:pPr>
        <w:spacing w:line="276" w:lineRule="auto"/>
        <w:rPr>
          <w:bCs/>
          <w:iCs/>
        </w:rPr>
      </w:pPr>
    </w:p>
    <w:p w:rsidRPr="003D22FC" w:rsidR="00017E63" w:rsidDel="0036112F" w:rsidP="00D94910" w:rsidRDefault="00017E63" w14:paraId="63F80536" w14:textId="03015CD0">
      <w:pPr>
        <w:spacing w:line="276" w:lineRule="auto"/>
      </w:pPr>
      <w:r>
        <w:rPr>
          <w:bCs/>
          <w:iCs/>
        </w:rPr>
        <w:t xml:space="preserve">An example of a completed Exposure Investigation is provided as Attachment </w:t>
      </w:r>
      <w:r w:rsidR="00C82527">
        <w:rPr>
          <w:bCs/>
          <w:iCs/>
        </w:rPr>
        <w:t>4</w:t>
      </w:r>
      <w:r>
        <w:rPr>
          <w:bCs/>
          <w:iCs/>
        </w:rPr>
        <w:t xml:space="preserve"> and the final </w:t>
      </w:r>
      <w:r w:rsidR="009A1B86">
        <w:rPr>
          <w:bCs/>
          <w:iCs/>
        </w:rPr>
        <w:t>JNC</w:t>
      </w:r>
      <w:r>
        <w:rPr>
          <w:bCs/>
          <w:iCs/>
        </w:rPr>
        <w:t xml:space="preserve"> Protocol is provided as Attachment </w:t>
      </w:r>
      <w:r w:rsidR="00C82527">
        <w:rPr>
          <w:bCs/>
          <w:iCs/>
        </w:rPr>
        <w:t>7</w:t>
      </w:r>
      <w:r>
        <w:rPr>
          <w:bCs/>
          <w:iCs/>
        </w:rPr>
        <w:t>.</w:t>
      </w:r>
    </w:p>
    <w:p w:rsidRPr="00C41444" w:rsidR="00D607C6" w:rsidP="00D94910" w:rsidRDefault="00D607C6" w14:paraId="464EAAA9" w14:textId="77777777">
      <w:pPr>
        <w:tabs>
          <w:tab w:val="left" w:pos="1545"/>
        </w:tabs>
        <w:spacing w:line="276" w:lineRule="auto"/>
        <w:rPr>
          <w:rStyle w:val="Strong"/>
        </w:rPr>
      </w:pPr>
    </w:p>
    <w:p w:rsidR="00495623" w:rsidP="00D94910" w:rsidRDefault="00495623" w14:paraId="52F5E21F" w14:textId="77777777">
      <w:pPr>
        <w:spacing w:line="276" w:lineRule="auto"/>
      </w:pPr>
      <w:r>
        <w:rPr>
          <w:rStyle w:val="Strong"/>
          <w:rFonts w:asciiTheme="majorHAnsi" w:hAnsiTheme="majorHAnsi"/>
          <w:color w:val="4F81BD"/>
        </w:rPr>
        <w:t>Sharing and Purpose of Collected Information</w:t>
      </w:r>
    </w:p>
    <w:p w:rsidR="00F30854" w:rsidP="00D94910" w:rsidRDefault="00F30854" w14:paraId="3DF0991A" w14:textId="77777777">
      <w:pPr>
        <w:tabs>
          <w:tab w:val="left" w:pos="1545"/>
        </w:tabs>
        <w:spacing w:line="276" w:lineRule="auto"/>
        <w:rPr>
          <w:rStyle w:val="Strong"/>
        </w:rPr>
      </w:pPr>
    </w:p>
    <w:p w:rsidRPr="009B0F1A" w:rsidR="00F30854" w:rsidP="00D94910" w:rsidRDefault="00F30854" w14:paraId="522E4C1E" w14:textId="62D38527">
      <w:pPr>
        <w:tabs>
          <w:tab w:val="left" w:pos="1545"/>
        </w:tabs>
        <w:spacing w:line="276" w:lineRule="auto"/>
        <w:rPr>
          <w:rStyle w:val="Strong"/>
          <w:b w:val="0"/>
        </w:rPr>
      </w:pPr>
      <w:r w:rsidRPr="009B0F1A">
        <w:rPr>
          <w:rStyle w:val="Strong"/>
          <w:b w:val="0"/>
        </w:rPr>
        <w:t>The information</w:t>
      </w:r>
      <w:r>
        <w:rPr>
          <w:rStyle w:val="Strong"/>
          <w:b w:val="0"/>
        </w:rPr>
        <w:t xml:space="preserve"> collected for the </w:t>
      </w:r>
      <w:r w:rsidR="00AD43A1">
        <w:rPr>
          <w:rStyle w:val="Strong"/>
          <w:b w:val="0"/>
        </w:rPr>
        <w:t xml:space="preserve">EI </w:t>
      </w:r>
      <w:r>
        <w:rPr>
          <w:rStyle w:val="Strong"/>
          <w:b w:val="0"/>
        </w:rPr>
        <w:t>will be use</w:t>
      </w:r>
      <w:r w:rsidR="00D251B9">
        <w:rPr>
          <w:rStyle w:val="Strong"/>
          <w:b w:val="0"/>
        </w:rPr>
        <w:t xml:space="preserve">d to evaluate whether participants may have been exposed to lead </w:t>
      </w:r>
      <w:r w:rsidR="00AD43A1">
        <w:rPr>
          <w:rStyle w:val="Strong"/>
          <w:b w:val="0"/>
        </w:rPr>
        <w:t xml:space="preserve">in </w:t>
      </w:r>
      <w:r w:rsidR="00C71DB6">
        <w:rPr>
          <w:rStyle w:val="Strong"/>
          <w:b w:val="0"/>
        </w:rPr>
        <w:t>JNC</w:t>
      </w:r>
      <w:r w:rsidR="00A15A1D">
        <w:rPr>
          <w:rStyle w:val="Strong"/>
          <w:b w:val="0"/>
        </w:rPr>
        <w:t xml:space="preserve"> from</w:t>
      </w:r>
      <w:r w:rsidR="00AD43A1">
        <w:rPr>
          <w:rStyle w:val="Strong"/>
          <w:b w:val="0"/>
        </w:rPr>
        <w:t xml:space="preserve"> </w:t>
      </w:r>
      <w:r w:rsidR="0045064D">
        <w:rPr>
          <w:rStyle w:val="Strong"/>
          <w:b w:val="0"/>
        </w:rPr>
        <w:t xml:space="preserve">former </w:t>
      </w:r>
      <w:r w:rsidR="00A15A1D">
        <w:rPr>
          <w:rStyle w:val="Strong"/>
          <w:b w:val="0"/>
        </w:rPr>
        <w:t>mining activities</w:t>
      </w:r>
      <w:r w:rsidR="00D251B9">
        <w:rPr>
          <w:rStyle w:val="Strong"/>
          <w:b w:val="0"/>
        </w:rPr>
        <w:t xml:space="preserve">.  Participants will be notified of their individual results and an </w:t>
      </w:r>
      <w:r w:rsidR="00AD43A1">
        <w:rPr>
          <w:rStyle w:val="Strong"/>
          <w:b w:val="0"/>
        </w:rPr>
        <w:t>EI</w:t>
      </w:r>
      <w:r w:rsidR="00D251B9">
        <w:rPr>
          <w:rStyle w:val="Strong"/>
          <w:b w:val="0"/>
        </w:rPr>
        <w:t xml:space="preserve"> report will be prepared that will present the results of the </w:t>
      </w:r>
      <w:r w:rsidR="00AD43A1">
        <w:rPr>
          <w:rStyle w:val="Strong"/>
          <w:b w:val="0"/>
        </w:rPr>
        <w:t>investigation.</w:t>
      </w:r>
    </w:p>
    <w:p w:rsidR="00F30854" w:rsidP="00D94910" w:rsidRDefault="00F30854" w14:paraId="552AF449" w14:textId="77777777">
      <w:pPr>
        <w:tabs>
          <w:tab w:val="left" w:pos="1545"/>
        </w:tabs>
        <w:spacing w:line="276" w:lineRule="auto"/>
        <w:rPr>
          <w:rStyle w:val="Strong"/>
        </w:rPr>
      </w:pPr>
    </w:p>
    <w:p w:rsidR="00495623" w:rsidP="00D94910" w:rsidRDefault="00495623" w14:paraId="6BEA891B" w14:textId="77777777">
      <w:pPr>
        <w:spacing w:line="276" w:lineRule="auto"/>
      </w:pPr>
      <w:r>
        <w:rPr>
          <w:rStyle w:val="Strong"/>
          <w:rFonts w:asciiTheme="majorHAnsi" w:hAnsiTheme="majorHAnsi"/>
          <w:color w:val="4F81BD"/>
        </w:rPr>
        <w:t>Securing of Collected Inform</w:t>
      </w:r>
      <w:r w:rsidRPr="006274AD">
        <w:rPr>
          <w:rStyle w:val="Strong"/>
          <w:rFonts w:asciiTheme="majorHAnsi" w:hAnsiTheme="majorHAnsi"/>
          <w:color w:val="4F81BD"/>
        </w:rPr>
        <w:t>ation</w:t>
      </w:r>
    </w:p>
    <w:p w:rsidR="00BB6422" w:rsidP="00D94910" w:rsidRDefault="00BB6422" w14:paraId="1F9AC2ED" w14:textId="77777777">
      <w:pPr>
        <w:tabs>
          <w:tab w:val="left" w:pos="1545"/>
        </w:tabs>
        <w:spacing w:line="276" w:lineRule="auto"/>
      </w:pPr>
    </w:p>
    <w:p w:rsidR="00BB6422" w:rsidP="00D94910" w:rsidRDefault="00BB6422" w14:paraId="0F34CA27" w14:textId="77777777">
      <w:pPr>
        <w:tabs>
          <w:tab w:val="left" w:pos="1545"/>
        </w:tabs>
        <w:spacing w:line="276" w:lineRule="auto"/>
        <w:rPr>
          <w:i/>
        </w:rPr>
      </w:pPr>
      <w:r>
        <w:t xml:space="preserve">ATSDR only collects information that will help us interpret the laboratory data and recognize likely exposure scenarios. Once we conduct an EI, we match the unique answers given by participants with their laboratory results or environmental samples to determine whether intervention is needed on an individual level. The information collection is therefore </w:t>
      </w:r>
      <w:r>
        <w:rPr>
          <w:i/>
        </w:rPr>
        <w:t>inherently person- or location-specific.</w:t>
      </w:r>
    </w:p>
    <w:p w:rsidR="00BB6422" w:rsidP="00D94910" w:rsidRDefault="00BB6422" w14:paraId="773BFBA7" w14:textId="77777777">
      <w:pPr>
        <w:tabs>
          <w:tab w:val="left" w:pos="1545"/>
        </w:tabs>
        <w:spacing w:line="276" w:lineRule="auto"/>
        <w:rPr>
          <w:i/>
        </w:rPr>
      </w:pPr>
    </w:p>
    <w:p w:rsidR="00BB6422" w:rsidP="00D94910" w:rsidRDefault="00BB6422" w14:paraId="53322C6E" w14:textId="2747C425">
      <w:pPr>
        <w:spacing w:line="276" w:lineRule="auto"/>
      </w:pPr>
      <w:r>
        <w:t>Data are treated to protect privacy; access to computer files is password-protected and access is limited to authorized EI personnel, including contractors. All staff working on the project agree to safeguard the data and not to make unauthorized disclosures. Published reports may present responses in aggregate form and no individuals are identified by name.</w:t>
      </w:r>
    </w:p>
    <w:p w:rsidR="00C41444" w:rsidP="00D94910" w:rsidRDefault="00C41444" w14:paraId="46DF4E0E" w14:textId="77777777">
      <w:pPr>
        <w:spacing w:line="276" w:lineRule="auto"/>
      </w:pPr>
    </w:p>
    <w:p w:rsidR="00C41444" w:rsidP="00D94910" w:rsidRDefault="00C41444" w14:paraId="7FC23D9B" w14:textId="07B13F4E">
      <w:pPr>
        <w:tabs>
          <w:tab w:val="left" w:pos="1545"/>
        </w:tabs>
        <w:spacing w:line="276" w:lineRule="auto"/>
      </w:pPr>
      <w:r>
        <w:t xml:space="preserve">Data are treated in a private manner, unless otherwise compelled by law. Paper documents containing personal identifiers are kept in locked file cabinets at ATSDR. </w:t>
      </w:r>
      <w:r>
        <w:rPr>
          <w:color w:val="000000"/>
        </w:rPr>
        <w:t>ATSDR computers comply with the HHS Standard 2008-0007.001S for encryption</w:t>
      </w:r>
      <w:r>
        <w:t xml:space="preserve"> in accordance with information systems security requirements for safeguarding personally identifiable information.  Access to computer files is password-protected and access is limited to authorized EI personnel. That information is stored in a secure database along with the laboratory results. </w:t>
      </w:r>
    </w:p>
    <w:p w:rsidRPr="00C41444" w:rsidR="00BB6422" w:rsidDel="0036112F" w:rsidP="00D94910" w:rsidRDefault="00BB6422" w14:paraId="59C2714C" w14:textId="77777777">
      <w:pPr>
        <w:tabs>
          <w:tab w:val="left" w:pos="1545"/>
        </w:tabs>
        <w:spacing w:line="276" w:lineRule="auto"/>
        <w:rPr>
          <w:rStyle w:val="Strong"/>
        </w:rPr>
      </w:pPr>
    </w:p>
    <w:p w:rsidR="00AE1FF1" w:rsidP="00D94910" w:rsidRDefault="00AE1FF1" w14:paraId="306E8DD2" w14:textId="77777777">
      <w:pPr>
        <w:spacing w:line="276" w:lineRule="auto"/>
        <w:rPr>
          <w:rStyle w:val="Strong"/>
          <w:rFonts w:asciiTheme="majorHAnsi" w:hAnsiTheme="majorHAnsi"/>
          <w:color w:val="4F81BD"/>
        </w:rPr>
      </w:pPr>
    </w:p>
    <w:p w:rsidR="00495623" w:rsidP="00D94910" w:rsidRDefault="00495623" w14:paraId="1381528B" w14:textId="52BCCF6E">
      <w:pPr>
        <w:spacing w:line="276" w:lineRule="auto"/>
      </w:pPr>
      <w:r>
        <w:rPr>
          <w:rStyle w:val="Strong"/>
          <w:rFonts w:asciiTheme="majorHAnsi" w:hAnsiTheme="majorHAnsi"/>
          <w:color w:val="4F81BD"/>
        </w:rPr>
        <w:lastRenderedPageBreak/>
        <w:t>Applicability of the Privacy Act</w:t>
      </w:r>
    </w:p>
    <w:p w:rsidR="00D80635" w:rsidP="00D94910" w:rsidRDefault="00D80635" w14:paraId="2D913770" w14:textId="77777777">
      <w:pPr>
        <w:tabs>
          <w:tab w:val="left" w:pos="1545"/>
        </w:tabs>
        <w:spacing w:line="276" w:lineRule="auto"/>
      </w:pPr>
    </w:p>
    <w:p w:rsidR="00A6396B" w:rsidP="00D94910" w:rsidRDefault="00A6396B" w14:paraId="37088F5E" w14:textId="77777777">
      <w:pPr>
        <w:tabs>
          <w:tab w:val="left" w:pos="1545"/>
        </w:tabs>
        <w:spacing w:line="276" w:lineRule="auto"/>
      </w:pPr>
      <w:r>
        <w:t xml:space="preserve">A. </w:t>
      </w:r>
      <w:r w:rsidR="00EF3B23">
        <w:t>T</w:t>
      </w:r>
      <w:r>
        <w:t xml:space="preserve">he Privacy Act is applicable. The applicable System of Records Notice (SORN) is </w:t>
      </w:r>
      <w:r w:rsidR="00EF3B23">
        <w:t>No.</w:t>
      </w:r>
      <w:r>
        <w:t xml:space="preserve"> 09-19-0001, “Records of Persons Exposed or Potentially Exposed to Hazardous or Toxic Substances.”</w:t>
      </w:r>
    </w:p>
    <w:p w:rsidR="00A6396B" w:rsidP="00D94910" w:rsidRDefault="00A6396B" w14:paraId="5E70CE28" w14:textId="77777777">
      <w:pPr>
        <w:tabs>
          <w:tab w:val="left" w:pos="1545"/>
        </w:tabs>
        <w:spacing w:line="276" w:lineRule="auto"/>
      </w:pPr>
    </w:p>
    <w:p w:rsidR="00723DD6" w:rsidP="00D94910" w:rsidRDefault="00A6396B" w14:paraId="28A1B989" w14:textId="77777777">
      <w:pPr>
        <w:tabs>
          <w:tab w:val="left" w:pos="1545"/>
        </w:tabs>
        <w:spacing w:line="276" w:lineRule="auto"/>
      </w:pPr>
      <w:r>
        <w:t>B.  Identifying information such as name, address, phone numbe</w:t>
      </w:r>
      <w:r w:rsidR="000848A3">
        <w:t xml:space="preserve">r and email are collected. </w:t>
      </w:r>
      <w:r>
        <w:t xml:space="preserve">ATSDR uses the information only to contact respondents. Identifying information is necessary to facilitate the personal contact with respondents to conduct the </w:t>
      </w:r>
      <w:r w:rsidR="005511E1">
        <w:t>questionnaire</w:t>
      </w:r>
      <w:r>
        <w:t>, to obtain con</w:t>
      </w:r>
      <w:r w:rsidR="006D6063">
        <w:t xml:space="preserve">sent to </w:t>
      </w:r>
      <w:r w:rsidRPr="000848A3" w:rsidR="006D6063">
        <w:t>participate</w:t>
      </w:r>
      <w:r w:rsidRPr="000848A3">
        <w:t xml:space="preserve">, and to provide them their results. </w:t>
      </w:r>
    </w:p>
    <w:p w:rsidR="00723DD6" w:rsidP="00D94910" w:rsidRDefault="00723DD6" w14:paraId="5F5790EA" w14:textId="77777777">
      <w:pPr>
        <w:tabs>
          <w:tab w:val="left" w:pos="1545"/>
        </w:tabs>
        <w:spacing w:line="276" w:lineRule="auto"/>
      </w:pPr>
    </w:p>
    <w:p w:rsidR="000848A3" w:rsidP="00D94910" w:rsidRDefault="00A6396B" w14:paraId="3D5F3A2C" w14:textId="77777777">
      <w:pPr>
        <w:tabs>
          <w:tab w:val="left" w:pos="1545"/>
        </w:tabs>
        <w:spacing w:line="276" w:lineRule="auto"/>
      </w:pPr>
      <w:r w:rsidRPr="000848A3">
        <w:t>Al</w:t>
      </w:r>
      <w:r w:rsidR="00072511">
        <w:t>l identifying information maintained by the agency will be</w:t>
      </w:r>
      <w:r w:rsidR="00723DD6">
        <w:t xml:space="preserve"> managed by ATSDR and is</w:t>
      </w:r>
      <w:r w:rsidRPr="000848A3" w:rsidR="000848A3">
        <w:t xml:space="preserve"> subject to the ATSDR Comprehensive Record Control Schedule (CRCS), B-371, which contains authorized disposition instructions for ATSDR's administrative an</w:t>
      </w:r>
      <w:r w:rsidR="002415A9">
        <w:t>d program records.</w:t>
      </w:r>
      <w:r w:rsidRPr="000848A3" w:rsidR="000848A3">
        <w:t xml:space="preserve"> </w:t>
      </w:r>
    </w:p>
    <w:p w:rsidR="00A6396B" w:rsidP="00D94910" w:rsidRDefault="00A6396B" w14:paraId="6FB91689" w14:textId="77777777">
      <w:pPr>
        <w:tabs>
          <w:tab w:val="left" w:pos="1545"/>
        </w:tabs>
        <w:spacing w:line="276" w:lineRule="auto"/>
      </w:pPr>
    </w:p>
    <w:p w:rsidR="00AB36D9" w:rsidP="00D94910" w:rsidRDefault="00AB36D9" w14:paraId="2AA271E5" w14:textId="66524651">
      <w:pPr>
        <w:tabs>
          <w:tab w:val="left" w:pos="1545"/>
        </w:tabs>
        <w:spacing w:line="276" w:lineRule="auto"/>
      </w:pPr>
      <w:r>
        <w:t xml:space="preserve">C. Respondent Consent </w:t>
      </w:r>
      <w:r w:rsidR="00582C91">
        <w:t>–</w:t>
      </w:r>
      <w:r>
        <w:t xml:space="preserve">ATSDR will require that EI participants be fully informed of the potential risks and benefits of their participation and that the privacy of the participants’ information </w:t>
      </w:r>
      <w:r w:rsidR="00B25CED">
        <w:t xml:space="preserve">will </w:t>
      </w:r>
      <w:r>
        <w:t xml:space="preserve">be protected. The </w:t>
      </w:r>
      <w:r w:rsidR="00B25CED">
        <w:t xml:space="preserve">parental permission, and </w:t>
      </w:r>
      <w:r w:rsidR="00CF46BE">
        <w:t xml:space="preserve">adult </w:t>
      </w:r>
      <w:r>
        <w:t>consent forms for the</w:t>
      </w:r>
      <w:r w:rsidR="0096642B">
        <w:t xml:space="preserve"> </w:t>
      </w:r>
      <w:r w:rsidR="009A1B86">
        <w:t>JNC</w:t>
      </w:r>
      <w:r>
        <w:t xml:space="preserve"> EI include all appropriate information from the Privacy Act including authority and purpose for collecting the data, with whom identifiable information will be shared, the voluntary nature of the information collection and the effect upon the respondent for not participating</w:t>
      </w:r>
      <w:r w:rsidR="004C1A39">
        <w:t xml:space="preserve"> (A</w:t>
      </w:r>
      <w:r w:rsidR="0002190D">
        <w:t>ppendices D1-D4</w:t>
      </w:r>
      <w:r w:rsidR="004C1A39">
        <w:t>)</w:t>
      </w:r>
      <w:r>
        <w:t>.</w:t>
      </w:r>
      <w:r w:rsidR="00160EFB">
        <w:t xml:space="preserve"> </w:t>
      </w:r>
      <w:r w:rsidR="007866DB">
        <w:t>Missouri</w:t>
      </w:r>
      <w:r w:rsidR="00430F47">
        <w:t xml:space="preserve"> </w:t>
      </w:r>
      <w:r w:rsidR="00160EFB">
        <w:t>Sunshine Laws require openness in government</w:t>
      </w:r>
      <w:r w:rsidR="00412949">
        <w:t xml:space="preserve"> and will be followed</w:t>
      </w:r>
      <w:r w:rsidR="00160EFB">
        <w:t>.  The EI will comply with all appropriate requirements.</w:t>
      </w:r>
    </w:p>
    <w:p w:rsidR="00A6396B" w:rsidP="00D94910" w:rsidRDefault="00A6396B" w14:paraId="34F815DD" w14:textId="77777777">
      <w:pPr>
        <w:tabs>
          <w:tab w:val="left" w:pos="1545"/>
        </w:tabs>
        <w:spacing w:line="276" w:lineRule="auto"/>
      </w:pPr>
    </w:p>
    <w:p w:rsidR="00A6396B" w:rsidP="00D94910" w:rsidRDefault="00A6396B" w14:paraId="2C6B978D" w14:textId="77777777">
      <w:pPr>
        <w:tabs>
          <w:tab w:val="left" w:pos="1545"/>
        </w:tabs>
        <w:spacing w:line="276" w:lineRule="auto"/>
      </w:pPr>
      <w:r>
        <w:t>D. Voluntary Nature</w:t>
      </w:r>
      <w:r w:rsidR="00FE1266">
        <w:t xml:space="preserve"> - </w:t>
      </w:r>
      <w:r>
        <w:t>Respondents are told that their participation in the EI is voluntary and they may refuse to answer any of the questions.</w:t>
      </w:r>
    </w:p>
    <w:p w:rsidR="003436A2" w:rsidP="00D94910" w:rsidRDefault="003436A2" w14:paraId="326FE269" w14:textId="77777777">
      <w:pPr>
        <w:tabs>
          <w:tab w:val="left" w:pos="1545"/>
        </w:tabs>
        <w:spacing w:line="276" w:lineRule="auto"/>
      </w:pPr>
    </w:p>
    <w:p w:rsidRPr="00266092" w:rsidR="001E683D" w:rsidP="00D94910" w:rsidRDefault="001E683D" w14:paraId="36A1D503" w14:textId="2D05FF2A">
      <w:pPr>
        <w:pStyle w:val="Heading2"/>
        <w:spacing w:line="276" w:lineRule="auto"/>
      </w:pPr>
      <w:bookmarkStart w:name="_Toc305155371" w:id="94"/>
      <w:bookmarkStart w:name="_Toc306341901" w:id="95"/>
      <w:bookmarkStart w:name="_Toc306344154" w:id="96"/>
      <w:bookmarkStart w:name="_Toc306344795" w:id="97"/>
      <w:bookmarkStart w:name="_Toc306345036" w:id="98"/>
      <w:bookmarkStart w:name="_Toc311445505" w:id="99"/>
      <w:bookmarkStart w:name="_Toc105168849" w:id="100"/>
      <w:r w:rsidRPr="00266092">
        <w:t>A.11</w:t>
      </w:r>
      <w:r w:rsidR="006E0743">
        <w:t>.</w:t>
      </w:r>
      <w:r w:rsidRPr="00266092">
        <w:t xml:space="preserve"> </w:t>
      </w:r>
      <w:r w:rsidRPr="0037198B" w:rsidR="0037198B">
        <w:t>Institutional Review Board (IRB) and Justification for Sensitive Questions</w:t>
      </w:r>
      <w:bookmarkEnd w:id="94"/>
      <w:bookmarkEnd w:id="95"/>
      <w:bookmarkEnd w:id="96"/>
      <w:bookmarkEnd w:id="97"/>
      <w:bookmarkEnd w:id="98"/>
      <w:bookmarkEnd w:id="99"/>
      <w:bookmarkEnd w:id="100"/>
    </w:p>
    <w:p w:rsidRPr="002D0805" w:rsidR="00266092" w:rsidP="00D94910" w:rsidRDefault="00266092" w14:paraId="7975B74B" w14:textId="77777777">
      <w:pPr>
        <w:autoSpaceDE w:val="0"/>
        <w:autoSpaceDN w:val="0"/>
        <w:adjustRightInd w:val="0"/>
        <w:spacing w:line="276" w:lineRule="auto"/>
        <w:rPr>
          <w:b/>
          <w:bCs/>
        </w:rPr>
      </w:pPr>
    </w:p>
    <w:p w:rsidRPr="004D735B" w:rsidR="00DB19B8" w:rsidP="00DB19B8" w:rsidRDefault="00DB19B8" w14:paraId="1C14B121" w14:textId="2CE30B30">
      <w:pPr>
        <w:tabs>
          <w:tab w:val="left" w:pos="1545"/>
        </w:tabs>
        <w:spacing w:line="276" w:lineRule="auto"/>
      </w:pPr>
      <w:r>
        <w:t>Federal Regulations for Protection of Human Subjects (45 CFR 46) state that “</w:t>
      </w:r>
      <w:r w:rsidRPr="006F1ACD">
        <w:rPr>
          <w:i/>
        </w:rPr>
        <w:t>research</w:t>
      </w:r>
      <w:r>
        <w:t xml:space="preserve"> means a systematic investigation, including research development, testing, and evaluation, designed to develop or contribute to generalizable knowledge.” In contrast, this EI is intended to be a systematic investigation but is not designed to develop or contribute to generalizable knowledge. The </w:t>
      </w:r>
      <w:r w:rsidR="009A1B86">
        <w:t>JNC</w:t>
      </w:r>
      <w:r>
        <w:t xml:space="preserve"> EI is a </w:t>
      </w:r>
      <w:proofErr w:type="spellStart"/>
      <w:r>
        <w:t>nonresearch</w:t>
      </w:r>
      <w:proofErr w:type="spellEnd"/>
      <w:r>
        <w:t xml:space="preserve"> activity and human subjects review by an Institutional Review Board (IRB) is not required. The EI was reviewed by the NCEH/ATSDR Human Subjects Coordinator</w:t>
      </w:r>
      <w:r w:rsidR="008F6AAE">
        <w:t xml:space="preserve">, and the Project Determination is included as </w:t>
      </w:r>
      <w:r>
        <w:t xml:space="preserve">Attachment </w:t>
      </w:r>
      <w:r w:rsidR="005F6AC6">
        <w:t>8</w:t>
      </w:r>
      <w:r>
        <w:t xml:space="preserve">. </w:t>
      </w:r>
    </w:p>
    <w:p w:rsidR="00DB19B8" w:rsidP="00D94910" w:rsidRDefault="00DB19B8" w14:paraId="60DBFB27" w14:textId="77777777">
      <w:pPr>
        <w:autoSpaceDE w:val="0"/>
        <w:autoSpaceDN w:val="0"/>
        <w:adjustRightInd w:val="0"/>
        <w:spacing w:line="276" w:lineRule="auto"/>
        <w:rPr>
          <w:color w:val="000000"/>
        </w:rPr>
      </w:pPr>
    </w:p>
    <w:p w:rsidR="00FE2EAC" w:rsidP="00D94910" w:rsidRDefault="00A6396B" w14:paraId="3405A4F8" w14:textId="7B4B557C">
      <w:pPr>
        <w:autoSpaceDE w:val="0"/>
        <w:autoSpaceDN w:val="0"/>
        <w:adjustRightInd w:val="0"/>
        <w:spacing w:line="276" w:lineRule="auto"/>
      </w:pPr>
      <w:r>
        <w:rPr>
          <w:color w:val="000000"/>
        </w:rPr>
        <w:t xml:space="preserve">ATSDR </w:t>
      </w:r>
      <w:r w:rsidR="0016335B">
        <w:rPr>
          <w:color w:val="000000"/>
        </w:rPr>
        <w:t>will</w:t>
      </w:r>
      <w:r>
        <w:rPr>
          <w:color w:val="000000"/>
        </w:rPr>
        <w:t xml:space="preserve"> gather information about individual characteristics (e.g., gender, age, ethnicity, and race) to assis</w:t>
      </w:r>
      <w:r w:rsidR="009B760F">
        <w:rPr>
          <w:color w:val="000000"/>
        </w:rPr>
        <w:t>t with interpretation for biolog</w:t>
      </w:r>
      <w:r>
        <w:rPr>
          <w:color w:val="000000"/>
        </w:rPr>
        <w:t xml:space="preserve">ical samples. For example, the individual’s laboratory </w:t>
      </w:r>
      <w:r>
        <w:rPr>
          <w:color w:val="000000"/>
        </w:rPr>
        <w:lastRenderedPageBreak/>
        <w:t xml:space="preserve">results are compared to similar ethnicity and race results in the </w:t>
      </w:r>
      <w:r>
        <w:rPr>
          <w:i/>
          <w:iCs/>
          <w:color w:val="000000"/>
        </w:rPr>
        <w:t xml:space="preserve">National Report on Human Exposure to Environmental Chemicals </w:t>
      </w:r>
      <w:r w:rsidRPr="00F676BC">
        <w:rPr>
          <w:iCs/>
          <w:color w:val="000000"/>
        </w:rPr>
        <w:t>(</w:t>
      </w:r>
      <w:r w:rsidRPr="0016335B" w:rsidR="0016335B">
        <w:rPr>
          <w:iCs/>
          <w:color w:val="000000"/>
        </w:rPr>
        <w:t>http://www.cdc.gov/exposurereport/</w:t>
      </w:r>
      <w:r w:rsidRPr="00F676BC">
        <w:rPr>
          <w:iCs/>
          <w:color w:val="000000"/>
        </w:rPr>
        <w:t>)</w:t>
      </w:r>
      <w:r w:rsidRPr="00FA34A2">
        <w:rPr>
          <w:color w:val="000000"/>
        </w:rPr>
        <w:t>.</w:t>
      </w:r>
      <w:r>
        <w:rPr>
          <w:color w:val="000000"/>
        </w:rPr>
        <w:t xml:space="preserve"> </w:t>
      </w:r>
      <w:r>
        <w:rPr>
          <w:bCs/>
          <w:iCs/>
        </w:rPr>
        <w:t>Beyond that</w:t>
      </w:r>
      <w:r>
        <w:t xml:space="preserve">, questions of a sensitive nature </w:t>
      </w:r>
      <w:r w:rsidR="00F83594">
        <w:t>will not</w:t>
      </w:r>
      <w:r w:rsidR="0016335B">
        <w:t xml:space="preserve"> be</w:t>
      </w:r>
      <w:r>
        <w:t xml:space="preserve"> asked. </w:t>
      </w:r>
    </w:p>
    <w:p w:rsidR="00FE2EAC" w:rsidP="00D94910" w:rsidRDefault="00FE2EAC" w14:paraId="57968726" w14:textId="77777777">
      <w:pPr>
        <w:autoSpaceDE w:val="0"/>
        <w:autoSpaceDN w:val="0"/>
        <w:adjustRightInd w:val="0"/>
        <w:spacing w:line="276" w:lineRule="auto"/>
      </w:pPr>
    </w:p>
    <w:p w:rsidR="00A6396B" w:rsidP="00D94910" w:rsidRDefault="00967E84" w14:paraId="44CB9A77" w14:textId="2CA8F9FB">
      <w:pPr>
        <w:autoSpaceDE w:val="0"/>
        <w:autoSpaceDN w:val="0"/>
        <w:adjustRightInd w:val="0"/>
        <w:spacing w:line="276" w:lineRule="auto"/>
      </w:pPr>
      <w:r>
        <w:t>W</w:t>
      </w:r>
      <w:r w:rsidR="00A6396B">
        <w:t xml:space="preserve">e </w:t>
      </w:r>
      <w:r w:rsidR="00F83594">
        <w:t>will not</w:t>
      </w:r>
      <w:r w:rsidR="00A6396B">
        <w:t xml:space="preserve"> ask questions on </w:t>
      </w:r>
      <w:r w:rsidR="00876CA0">
        <w:t xml:space="preserve">symptoms, medical outcomes, or </w:t>
      </w:r>
      <w:r w:rsidR="00A6396B">
        <w:t xml:space="preserve">drug and medication use. </w:t>
      </w:r>
      <w:r w:rsidR="00085240">
        <w:t>For the</w:t>
      </w:r>
      <w:r w:rsidR="00412949">
        <w:t xml:space="preserve"> </w:t>
      </w:r>
      <w:r w:rsidR="009A1B86">
        <w:t>JNC</w:t>
      </w:r>
      <w:r w:rsidR="00085240">
        <w:t xml:space="preserve"> EI, </w:t>
      </w:r>
      <w:r w:rsidR="00A6396B">
        <w:t xml:space="preserve">ATSDR </w:t>
      </w:r>
      <w:r w:rsidRPr="00584A53" w:rsidR="00085240">
        <w:t>will</w:t>
      </w:r>
      <w:r w:rsidR="00A6396B">
        <w:t xml:space="preserve"> ask questions pertaining to recent or current pregnancy status </w:t>
      </w:r>
      <w:r w:rsidR="00085240">
        <w:t xml:space="preserve">because </w:t>
      </w:r>
      <w:r w:rsidR="00A6396B">
        <w:t>pregnancy makes a woman and her unborn child more vulnerable to the effects of lead</w:t>
      </w:r>
      <w:r w:rsidR="00A838D2">
        <w:t xml:space="preserve">.  </w:t>
      </w:r>
    </w:p>
    <w:p w:rsidR="00A6396B" w:rsidP="00D94910" w:rsidRDefault="00A6396B" w14:paraId="51F1A304" w14:textId="77777777">
      <w:pPr>
        <w:tabs>
          <w:tab w:val="left" w:pos="1545"/>
        </w:tabs>
        <w:spacing w:line="276" w:lineRule="auto"/>
      </w:pPr>
    </w:p>
    <w:p w:rsidR="00392B58" w:rsidP="00D94910" w:rsidRDefault="00A6396B" w14:paraId="3E07BDD9" w14:textId="77777777">
      <w:pPr>
        <w:tabs>
          <w:tab w:val="left" w:pos="1545"/>
        </w:tabs>
        <w:spacing w:line="276" w:lineRule="auto"/>
      </w:pPr>
      <w:r>
        <w:t>Social se</w:t>
      </w:r>
      <w:r w:rsidR="00646835">
        <w:t xml:space="preserve">curity numbers are not </w:t>
      </w:r>
      <w:proofErr w:type="gramStart"/>
      <w:r w:rsidR="00646835">
        <w:t>needed</w:t>
      </w:r>
      <w:proofErr w:type="gramEnd"/>
      <w:r w:rsidR="00646835">
        <w:t xml:space="preserve"> nor will </w:t>
      </w:r>
      <w:r w:rsidR="00E31C99">
        <w:t xml:space="preserve">they </w:t>
      </w:r>
      <w:r w:rsidR="00646835">
        <w:t>be</w:t>
      </w:r>
      <w:r>
        <w:t xml:space="preserve"> requested.</w:t>
      </w:r>
    </w:p>
    <w:p w:rsidRPr="00392B58" w:rsidR="00651981" w:rsidP="00D94910" w:rsidRDefault="00651981" w14:paraId="4A0B0F2A" w14:textId="03E4CD51">
      <w:pPr>
        <w:pStyle w:val="Heading2"/>
        <w:spacing w:line="276" w:lineRule="auto"/>
      </w:pPr>
      <w:bookmarkStart w:name="_Toc306344155" w:id="101"/>
      <w:bookmarkStart w:name="_Toc306344796" w:id="102"/>
      <w:bookmarkStart w:name="_Toc306345037" w:id="103"/>
      <w:bookmarkStart w:name="_Toc311445506" w:id="104"/>
      <w:bookmarkStart w:name="_Toc105168850" w:id="105"/>
      <w:r w:rsidRPr="00A527F9">
        <w:t>A.12</w:t>
      </w:r>
      <w:r w:rsidR="002A0056">
        <w:t>.</w:t>
      </w:r>
      <w:r w:rsidRPr="00A527F9">
        <w:t xml:space="preserve"> Estimates of Annualized Burden Hours and Costs</w:t>
      </w:r>
      <w:bookmarkEnd w:id="101"/>
      <w:bookmarkEnd w:id="102"/>
      <w:bookmarkEnd w:id="103"/>
      <w:bookmarkEnd w:id="104"/>
      <w:bookmarkEnd w:id="105"/>
    </w:p>
    <w:p w:rsidRPr="004628E1" w:rsidR="006653AB" w:rsidP="00D94910" w:rsidRDefault="006653AB" w14:paraId="2551963A" w14:textId="77777777">
      <w:pPr>
        <w:pStyle w:val="Heading3"/>
        <w:spacing w:line="276" w:lineRule="auto"/>
      </w:pPr>
      <w:bookmarkStart w:name="_Toc105168851" w:id="106"/>
      <w:bookmarkStart w:name="_Toc306344156" w:id="107"/>
      <w:bookmarkStart w:name="_Toc306344797" w:id="108"/>
      <w:bookmarkStart w:name="_Toc306345038" w:id="109"/>
      <w:bookmarkStart w:name="_Toc311445507" w:id="110"/>
      <w:r w:rsidRPr="004628E1">
        <w:t>A.</w:t>
      </w:r>
      <w:r w:rsidR="00B60A40">
        <w:t>12.1.</w:t>
      </w:r>
      <w:r w:rsidRPr="004628E1">
        <w:t xml:space="preserve"> Estimates of </w:t>
      </w:r>
      <w:r w:rsidRPr="003B5990">
        <w:t>Annualized</w:t>
      </w:r>
      <w:r w:rsidRPr="004628E1">
        <w:t xml:space="preserve"> Burden Hours</w:t>
      </w:r>
      <w:bookmarkEnd w:id="106"/>
    </w:p>
    <w:p w:rsidR="006653AB" w:rsidP="00D94910" w:rsidRDefault="006653AB" w14:paraId="45FCEBFD" w14:textId="77777777">
      <w:pPr>
        <w:tabs>
          <w:tab w:val="center" w:pos="4680"/>
          <w:tab w:val="left" w:pos="7710"/>
        </w:tabs>
        <w:spacing w:line="276" w:lineRule="auto"/>
        <w:rPr>
          <w:bCs/>
        </w:rPr>
      </w:pPr>
    </w:p>
    <w:p w:rsidR="006365D1" w:rsidP="00F071A6" w:rsidRDefault="006653AB" w14:paraId="3BB9FB94" w14:textId="06F898A6">
      <w:pPr>
        <w:tabs>
          <w:tab w:val="center" w:pos="4680"/>
          <w:tab w:val="left" w:pos="7710"/>
        </w:tabs>
        <w:spacing w:line="276" w:lineRule="auto"/>
        <w:rPr>
          <w:bCs/>
        </w:rPr>
      </w:pPr>
      <w:r>
        <w:rPr>
          <w:bCs/>
        </w:rPr>
        <w:t xml:space="preserve">The </w:t>
      </w:r>
      <w:r w:rsidR="00A838D2">
        <w:rPr>
          <w:bCs/>
        </w:rPr>
        <w:t xml:space="preserve">estimate for burden hours </w:t>
      </w:r>
      <w:r w:rsidR="00540BD7">
        <w:rPr>
          <w:bCs/>
        </w:rPr>
        <w:t>for the</w:t>
      </w:r>
      <w:r w:rsidR="005748D7">
        <w:rPr>
          <w:bCs/>
        </w:rPr>
        <w:t xml:space="preserve"> </w:t>
      </w:r>
      <w:r w:rsidR="009A1B86">
        <w:rPr>
          <w:bCs/>
        </w:rPr>
        <w:t>JNC</w:t>
      </w:r>
      <w:r w:rsidR="00540BD7">
        <w:rPr>
          <w:bCs/>
        </w:rPr>
        <w:t xml:space="preserve"> EI </w:t>
      </w:r>
      <w:r w:rsidR="00A838D2">
        <w:rPr>
          <w:bCs/>
        </w:rPr>
        <w:t xml:space="preserve">is based on similar </w:t>
      </w:r>
      <w:r w:rsidR="00540BD7">
        <w:rPr>
          <w:bCs/>
        </w:rPr>
        <w:t>EIs that the EI team has conducted in the past</w:t>
      </w:r>
      <w:r w:rsidRPr="0082063A" w:rsidR="00540BD7">
        <w:rPr>
          <w:bCs/>
        </w:rPr>
        <w:t xml:space="preserve">.  </w:t>
      </w:r>
      <w:r w:rsidRPr="0082063A" w:rsidR="005511E1">
        <w:rPr>
          <w:bCs/>
        </w:rPr>
        <w:t>A typical questionnaire</w:t>
      </w:r>
      <w:r w:rsidRPr="0082063A">
        <w:rPr>
          <w:bCs/>
        </w:rPr>
        <w:t xml:space="preserve"> may include up to </w:t>
      </w:r>
      <w:r w:rsidRPr="0082063A" w:rsidR="009461EA">
        <w:rPr>
          <w:bCs/>
        </w:rPr>
        <w:t>60</w:t>
      </w:r>
      <w:r w:rsidRPr="0082063A">
        <w:rPr>
          <w:bCs/>
        </w:rPr>
        <w:t xml:space="preserve"> questions</w:t>
      </w:r>
      <w:r w:rsidR="0035509C">
        <w:rPr>
          <w:bCs/>
        </w:rPr>
        <w:t>,</w:t>
      </w:r>
      <w:r w:rsidRPr="0082063A" w:rsidR="0035509C">
        <w:rPr>
          <w:bCs/>
        </w:rPr>
        <w:t xml:space="preserve"> taking approximately 20 minutes to complete. </w:t>
      </w:r>
      <w:r w:rsidRPr="0082063A">
        <w:rPr>
          <w:bCs/>
        </w:rPr>
        <w:t xml:space="preserve"> </w:t>
      </w:r>
      <w:r w:rsidRPr="0082063A" w:rsidR="00D17C39">
        <w:rPr>
          <w:bCs/>
        </w:rPr>
        <w:t xml:space="preserve">Blood draw </w:t>
      </w:r>
      <w:r w:rsidR="00B43CB1">
        <w:rPr>
          <w:bCs/>
        </w:rPr>
        <w:t>is</w:t>
      </w:r>
      <w:r w:rsidRPr="0082063A" w:rsidR="00D17C39">
        <w:rPr>
          <w:bCs/>
        </w:rPr>
        <w:t xml:space="preserve"> estimated to take 10 minutes</w:t>
      </w:r>
      <w:r w:rsidRPr="0082063A" w:rsidR="002133F2">
        <w:rPr>
          <w:bCs/>
        </w:rPr>
        <w:t xml:space="preserve"> for a total of </w:t>
      </w:r>
      <w:r w:rsidRPr="0082063A" w:rsidR="0035509C">
        <w:rPr>
          <w:bCs/>
        </w:rPr>
        <w:t xml:space="preserve">30 </w:t>
      </w:r>
      <w:r w:rsidRPr="0082063A" w:rsidR="002133F2">
        <w:rPr>
          <w:bCs/>
        </w:rPr>
        <w:t>minutes per respondent</w:t>
      </w:r>
      <w:r w:rsidRPr="0082063A" w:rsidR="00D17C39">
        <w:rPr>
          <w:bCs/>
        </w:rPr>
        <w:t xml:space="preserve">. </w:t>
      </w:r>
      <w:r w:rsidR="006365D1">
        <w:rPr>
          <w:bCs/>
        </w:rPr>
        <w:t xml:space="preserve">We are limiting the number </w:t>
      </w:r>
      <w:r w:rsidR="00646E05">
        <w:rPr>
          <w:bCs/>
        </w:rPr>
        <w:t>of EI participants</w:t>
      </w:r>
      <w:r w:rsidR="006365D1">
        <w:rPr>
          <w:bCs/>
        </w:rPr>
        <w:t xml:space="preserve"> a maximum of 300. </w:t>
      </w:r>
      <w:r w:rsidR="00374315">
        <w:rPr>
          <w:bCs/>
        </w:rPr>
        <w:t>I</w:t>
      </w:r>
      <w:r w:rsidR="00916C0D">
        <w:rPr>
          <w:bCs/>
        </w:rPr>
        <w:t xml:space="preserve">f the goal of 300 participants </w:t>
      </w:r>
      <w:r w:rsidR="00D401A5">
        <w:rPr>
          <w:bCs/>
        </w:rPr>
        <w:t xml:space="preserve">is not met, </w:t>
      </w:r>
      <w:r w:rsidR="006365D1">
        <w:t>ATSDR will</w:t>
      </w:r>
      <w:r w:rsidR="00374315">
        <w:t xml:space="preserve"> offer to</w:t>
      </w:r>
      <w:r w:rsidR="006365D1">
        <w:t xml:space="preserve"> evaluate BLLs for minor siblings of participants </w:t>
      </w:r>
      <w:r w:rsidRPr="249D09EB" w:rsidR="006365D1">
        <w:t>≥</w:t>
      </w:r>
      <w:r w:rsidR="006365D1">
        <w:t xml:space="preserve"> 72 months, if requested by a parent or guardian, as a public health service to the community. However, their results will not be </w:t>
      </w:r>
      <w:r w:rsidR="0010088C">
        <w:t>included</w:t>
      </w:r>
      <w:r w:rsidR="006365D1">
        <w:t xml:space="preserve"> as part of the EI</w:t>
      </w:r>
      <w:r w:rsidR="0010088C">
        <w:t xml:space="preserve"> report</w:t>
      </w:r>
      <w:r w:rsidR="008659F2">
        <w:t>, and they will not be compensated</w:t>
      </w:r>
      <w:r w:rsidR="00624742">
        <w:t>.</w:t>
      </w:r>
    </w:p>
    <w:p w:rsidR="006365D1" w:rsidP="00F071A6" w:rsidRDefault="006365D1" w14:paraId="1FF2445D" w14:textId="77777777">
      <w:pPr>
        <w:tabs>
          <w:tab w:val="center" w:pos="4680"/>
          <w:tab w:val="left" w:pos="7710"/>
        </w:tabs>
        <w:spacing w:line="276" w:lineRule="auto"/>
        <w:rPr>
          <w:bCs/>
        </w:rPr>
      </w:pPr>
    </w:p>
    <w:p w:rsidR="0010088C" w:rsidP="00F071A6" w:rsidRDefault="003D204A" w14:paraId="1922EC9A" w14:textId="21B030B2">
      <w:pPr>
        <w:tabs>
          <w:tab w:val="center" w:pos="4680"/>
          <w:tab w:val="left" w:pos="7710"/>
        </w:tabs>
        <w:spacing w:line="276" w:lineRule="auto"/>
        <w:rPr>
          <w:bCs/>
        </w:rPr>
      </w:pPr>
      <w:r>
        <w:rPr>
          <w:bCs/>
        </w:rPr>
        <w:t xml:space="preserve">Environmental sampling inside the home (dust wipes and </w:t>
      </w:r>
      <w:r w:rsidR="00B6261B">
        <w:rPr>
          <w:bCs/>
        </w:rPr>
        <w:t>public water samples)</w:t>
      </w:r>
      <w:r w:rsidR="001C75BC">
        <w:rPr>
          <w:bCs/>
        </w:rPr>
        <w:t xml:space="preserve">, </w:t>
      </w:r>
      <w:r w:rsidR="00B6261B">
        <w:rPr>
          <w:bCs/>
        </w:rPr>
        <w:t>collected by MDHHS</w:t>
      </w:r>
      <w:r w:rsidR="001C75BC">
        <w:rPr>
          <w:bCs/>
        </w:rPr>
        <w:t>,</w:t>
      </w:r>
      <w:r w:rsidR="00B6261B">
        <w:rPr>
          <w:bCs/>
        </w:rPr>
        <w:t xml:space="preserve"> will take approximately 30 min</w:t>
      </w:r>
      <w:r w:rsidR="00273A87">
        <w:rPr>
          <w:bCs/>
        </w:rPr>
        <w:t>utes</w:t>
      </w:r>
      <w:r w:rsidR="005913C9">
        <w:rPr>
          <w:bCs/>
        </w:rPr>
        <w:t xml:space="preserve"> to collect. Environmental sampling outside the home</w:t>
      </w:r>
      <w:r w:rsidR="001C75BC">
        <w:rPr>
          <w:bCs/>
        </w:rPr>
        <w:t xml:space="preserve"> (soil and private water samples</w:t>
      </w:r>
      <w:r w:rsidR="00C46D42">
        <w:rPr>
          <w:bCs/>
        </w:rPr>
        <w:t>), collected by the EPA will also take 30 minutes</w:t>
      </w:r>
      <w:r w:rsidR="00273A87">
        <w:rPr>
          <w:bCs/>
        </w:rPr>
        <w:t>.</w:t>
      </w:r>
      <w:r w:rsidR="005913C9">
        <w:rPr>
          <w:bCs/>
        </w:rPr>
        <w:t xml:space="preserve"> </w:t>
      </w:r>
      <w:r w:rsidR="00990986">
        <w:rPr>
          <w:bCs/>
        </w:rPr>
        <w:t>Environmental sampling protocols are provided in the JNC EI Protocol Appendix F.</w:t>
      </w:r>
    </w:p>
    <w:p w:rsidR="0010088C" w:rsidP="00F071A6" w:rsidRDefault="0010088C" w14:paraId="5F9E1449" w14:textId="77777777">
      <w:pPr>
        <w:tabs>
          <w:tab w:val="center" w:pos="4680"/>
          <w:tab w:val="left" w:pos="7710"/>
        </w:tabs>
        <w:spacing w:line="276" w:lineRule="auto"/>
        <w:rPr>
          <w:bCs/>
        </w:rPr>
      </w:pPr>
    </w:p>
    <w:p w:rsidR="006653AB" w:rsidP="00F071A6" w:rsidRDefault="006653AB" w14:paraId="05BFE706" w14:textId="38D373FF">
      <w:pPr>
        <w:tabs>
          <w:tab w:val="center" w:pos="4680"/>
          <w:tab w:val="left" w:pos="7710"/>
        </w:tabs>
        <w:spacing w:line="276" w:lineRule="auto"/>
        <w:rPr>
          <w:b/>
        </w:rPr>
      </w:pPr>
      <w:r w:rsidRPr="0082063A">
        <w:t>The</w:t>
      </w:r>
      <w:r w:rsidRPr="00D02DDA">
        <w:t xml:space="preserve"> </w:t>
      </w:r>
      <w:r w:rsidR="00704213">
        <w:t xml:space="preserve">maximum </w:t>
      </w:r>
      <w:r w:rsidRPr="00D02DDA">
        <w:t xml:space="preserve">estimated </w:t>
      </w:r>
      <w:r w:rsidR="00CA2760">
        <w:t xml:space="preserve">time </w:t>
      </w:r>
      <w:r w:rsidRPr="00D02DDA">
        <w:t>burden</w:t>
      </w:r>
      <w:r w:rsidR="00CA2760">
        <w:t xml:space="preserve"> is</w:t>
      </w:r>
      <w:r w:rsidRPr="00D02DDA">
        <w:t xml:space="preserve"> </w:t>
      </w:r>
      <w:r w:rsidR="00F6515C">
        <w:t xml:space="preserve">426 </w:t>
      </w:r>
      <w:r w:rsidR="00CA2760">
        <w:t>hours</w:t>
      </w:r>
      <w:r w:rsidR="00B3182F">
        <w:t xml:space="preserve">. This </w:t>
      </w:r>
      <w:r w:rsidR="000B2494">
        <w:t xml:space="preserve">maximum </w:t>
      </w:r>
      <w:r w:rsidR="00B3182F">
        <w:t xml:space="preserve">value </w:t>
      </w:r>
      <w:proofErr w:type="gramStart"/>
      <w:r w:rsidR="000B2494">
        <w:t>is based on</w:t>
      </w:r>
      <w:r w:rsidR="00751F50">
        <w:t xml:space="preserve"> the assumption</w:t>
      </w:r>
      <w:proofErr w:type="gramEnd"/>
      <w:r w:rsidR="00751F50">
        <w:t xml:space="preserve"> that</w:t>
      </w:r>
      <w:r w:rsidR="00BD64D1">
        <w:t xml:space="preserve"> each participant will </w:t>
      </w:r>
      <w:r w:rsidR="00365FF6">
        <w:t xml:space="preserve">have a separate sampling event </w:t>
      </w:r>
      <w:r w:rsidR="00592A8D">
        <w:t xml:space="preserve">for </w:t>
      </w:r>
      <w:r w:rsidR="002A384F">
        <w:t xml:space="preserve">indoor dust and outdoor soil. </w:t>
      </w:r>
      <w:r w:rsidR="00592A8D">
        <w:t xml:space="preserve">The total will likely be less due to </w:t>
      </w:r>
      <w:r w:rsidR="00C94E49">
        <w:t>multiple participants</w:t>
      </w:r>
      <w:r w:rsidR="0068473F">
        <w:t xml:space="preserve"> that will require </w:t>
      </w:r>
      <w:r w:rsidR="00CA2760">
        <w:t xml:space="preserve">one </w:t>
      </w:r>
      <w:r w:rsidR="00646E05">
        <w:t xml:space="preserve">household </w:t>
      </w:r>
      <w:r w:rsidR="00CA2760">
        <w:t>set of</w:t>
      </w:r>
      <w:r w:rsidR="0068473F">
        <w:t xml:space="preserve"> environmental samples. </w:t>
      </w:r>
    </w:p>
    <w:p w:rsidRPr="00935939" w:rsidR="00F071A6" w:rsidP="00F06748" w:rsidRDefault="00F071A6" w14:paraId="42B35770" w14:textId="77777777">
      <w:pPr>
        <w:tabs>
          <w:tab w:val="center" w:pos="4680"/>
          <w:tab w:val="left" w:pos="7710"/>
        </w:tabs>
        <w:spacing w:line="276" w:lineRule="auto"/>
        <w:rPr>
          <w:b/>
        </w:rPr>
      </w:pPr>
    </w:p>
    <w:p w:rsidRPr="00A5763A" w:rsidR="006653AB" w:rsidP="006653AB" w:rsidRDefault="006653AB" w14:paraId="2E0E81E2" w14:textId="77777777">
      <w:pPr>
        <w:tabs>
          <w:tab w:val="left" w:pos="1545"/>
        </w:tabs>
        <w:rPr>
          <w:u w:val="single"/>
        </w:rPr>
      </w:pPr>
      <w:r w:rsidRPr="00A5763A">
        <w:rPr>
          <w:u w:val="single"/>
        </w:rPr>
        <w:t>Estimated Annualized Burden Hours</w:t>
      </w:r>
    </w:p>
    <w:p w:rsidRPr="00A5763A" w:rsidR="006653AB" w:rsidP="006653AB" w:rsidRDefault="006653AB" w14:paraId="7D99977C" w14:textId="77777777">
      <w:pPr>
        <w:tabs>
          <w:tab w:val="left" w:pos="1545"/>
        </w:tabs>
        <w:rPr>
          <w:b/>
        </w:rPr>
      </w:pP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818"/>
        <w:gridCol w:w="1623"/>
        <w:gridCol w:w="1534"/>
        <w:gridCol w:w="1533"/>
        <w:gridCol w:w="1534"/>
        <w:gridCol w:w="1534"/>
      </w:tblGrid>
      <w:tr w:rsidRPr="00F16E9D" w:rsidR="004C1A39" w:rsidTr="005511E1" w14:paraId="346F2D10" w14:textId="77777777">
        <w:trPr>
          <w:trHeight w:val="719"/>
        </w:trPr>
        <w:tc>
          <w:tcPr>
            <w:tcW w:w="1818" w:type="dxa"/>
            <w:shd w:val="clear" w:color="auto" w:fill="auto"/>
          </w:tcPr>
          <w:p w:rsidRPr="004034A1" w:rsidR="00311E38" w:rsidP="00041F9D" w:rsidRDefault="00311E38" w14:paraId="08556ED4" w14:textId="77777777">
            <w:pPr>
              <w:tabs>
                <w:tab w:val="left" w:pos="1545"/>
              </w:tabs>
              <w:jc w:val="center"/>
              <w:rPr>
                <w:sz w:val="20"/>
                <w:szCs w:val="20"/>
              </w:rPr>
            </w:pPr>
            <w:bookmarkStart w:name="_Hlk102988972" w:id="111"/>
            <w:r w:rsidRPr="004034A1">
              <w:rPr>
                <w:sz w:val="20"/>
                <w:szCs w:val="20"/>
              </w:rPr>
              <w:t>Type of Respondents</w:t>
            </w:r>
          </w:p>
        </w:tc>
        <w:tc>
          <w:tcPr>
            <w:tcW w:w="1623" w:type="dxa"/>
            <w:shd w:val="clear" w:color="auto" w:fill="auto"/>
          </w:tcPr>
          <w:p w:rsidRPr="004034A1" w:rsidR="00311E38" w:rsidP="00041F9D" w:rsidRDefault="004C1A39" w14:paraId="50897B61" w14:textId="77777777">
            <w:pPr>
              <w:tabs>
                <w:tab w:val="left" w:pos="1545"/>
              </w:tabs>
              <w:jc w:val="center"/>
              <w:rPr>
                <w:sz w:val="20"/>
                <w:szCs w:val="20"/>
              </w:rPr>
            </w:pPr>
            <w:r w:rsidRPr="004034A1">
              <w:rPr>
                <w:sz w:val="20"/>
                <w:szCs w:val="20"/>
              </w:rPr>
              <w:t>Name of Form</w:t>
            </w:r>
          </w:p>
        </w:tc>
        <w:tc>
          <w:tcPr>
            <w:tcW w:w="1534" w:type="dxa"/>
            <w:shd w:val="clear" w:color="auto" w:fill="auto"/>
          </w:tcPr>
          <w:p w:rsidRPr="004034A1" w:rsidR="00311E38" w:rsidP="00041F9D" w:rsidRDefault="004C1A39" w14:paraId="454F1334" w14:textId="77777777">
            <w:pPr>
              <w:widowControl w:val="0"/>
              <w:tabs>
                <w:tab w:val="left" w:pos="1545"/>
              </w:tabs>
              <w:autoSpaceDE w:val="0"/>
              <w:autoSpaceDN w:val="0"/>
              <w:adjustRightInd w:val="0"/>
              <w:jc w:val="center"/>
              <w:rPr>
                <w:sz w:val="20"/>
                <w:szCs w:val="20"/>
              </w:rPr>
            </w:pPr>
            <w:r w:rsidRPr="004034A1">
              <w:rPr>
                <w:sz w:val="20"/>
                <w:szCs w:val="20"/>
              </w:rPr>
              <w:t>No. of Respondents</w:t>
            </w:r>
          </w:p>
        </w:tc>
        <w:tc>
          <w:tcPr>
            <w:tcW w:w="1533" w:type="dxa"/>
            <w:shd w:val="clear" w:color="auto" w:fill="auto"/>
          </w:tcPr>
          <w:p w:rsidRPr="004034A1" w:rsidR="00311E38" w:rsidP="00041F9D" w:rsidRDefault="004C1A39" w14:paraId="05A07900" w14:textId="77777777">
            <w:pPr>
              <w:widowControl w:val="0"/>
              <w:tabs>
                <w:tab w:val="left" w:pos="1545"/>
              </w:tabs>
              <w:autoSpaceDE w:val="0"/>
              <w:autoSpaceDN w:val="0"/>
              <w:adjustRightInd w:val="0"/>
              <w:jc w:val="center"/>
              <w:rPr>
                <w:sz w:val="20"/>
                <w:szCs w:val="20"/>
              </w:rPr>
            </w:pPr>
            <w:r w:rsidRPr="004034A1">
              <w:rPr>
                <w:sz w:val="20"/>
                <w:szCs w:val="20"/>
              </w:rPr>
              <w:t>No. of Responses per Respondent</w:t>
            </w:r>
          </w:p>
        </w:tc>
        <w:tc>
          <w:tcPr>
            <w:tcW w:w="1534" w:type="dxa"/>
            <w:shd w:val="clear" w:color="auto" w:fill="auto"/>
          </w:tcPr>
          <w:p w:rsidRPr="004034A1" w:rsidR="00311E38" w:rsidP="00041F9D" w:rsidRDefault="004C1A39" w14:paraId="784EB6EF" w14:textId="77777777">
            <w:pPr>
              <w:widowControl w:val="0"/>
              <w:tabs>
                <w:tab w:val="left" w:pos="1545"/>
              </w:tabs>
              <w:autoSpaceDE w:val="0"/>
              <w:autoSpaceDN w:val="0"/>
              <w:adjustRightInd w:val="0"/>
              <w:jc w:val="center"/>
              <w:rPr>
                <w:sz w:val="20"/>
                <w:szCs w:val="20"/>
              </w:rPr>
            </w:pPr>
            <w:r w:rsidRPr="004034A1">
              <w:rPr>
                <w:sz w:val="20"/>
                <w:szCs w:val="20"/>
              </w:rPr>
              <w:t xml:space="preserve">Average Burden per Response </w:t>
            </w:r>
          </w:p>
          <w:p w:rsidRPr="004034A1" w:rsidR="00311E38" w:rsidP="00041F9D" w:rsidRDefault="004C1A39" w14:paraId="7ECCE907" w14:textId="77777777">
            <w:pPr>
              <w:widowControl w:val="0"/>
              <w:tabs>
                <w:tab w:val="left" w:pos="1545"/>
              </w:tabs>
              <w:autoSpaceDE w:val="0"/>
              <w:autoSpaceDN w:val="0"/>
              <w:adjustRightInd w:val="0"/>
              <w:jc w:val="center"/>
              <w:rPr>
                <w:sz w:val="20"/>
                <w:szCs w:val="20"/>
              </w:rPr>
            </w:pPr>
            <w:r w:rsidRPr="004034A1">
              <w:rPr>
                <w:sz w:val="20"/>
                <w:szCs w:val="20"/>
              </w:rPr>
              <w:t>(</w:t>
            </w:r>
            <w:proofErr w:type="gramStart"/>
            <w:r w:rsidRPr="004034A1">
              <w:rPr>
                <w:sz w:val="20"/>
                <w:szCs w:val="20"/>
              </w:rPr>
              <w:t>in</w:t>
            </w:r>
            <w:proofErr w:type="gramEnd"/>
            <w:r w:rsidRPr="004034A1">
              <w:rPr>
                <w:sz w:val="20"/>
                <w:szCs w:val="20"/>
              </w:rPr>
              <w:t xml:space="preserve"> hours)</w:t>
            </w:r>
          </w:p>
        </w:tc>
        <w:tc>
          <w:tcPr>
            <w:tcW w:w="1534" w:type="dxa"/>
          </w:tcPr>
          <w:p w:rsidRPr="004034A1" w:rsidR="00311E38" w:rsidP="00041F9D" w:rsidRDefault="004C1A39" w14:paraId="1614BBA4" w14:textId="0FBAD890">
            <w:pPr>
              <w:widowControl w:val="0"/>
              <w:tabs>
                <w:tab w:val="left" w:pos="1545"/>
              </w:tabs>
              <w:autoSpaceDE w:val="0"/>
              <w:autoSpaceDN w:val="0"/>
              <w:adjustRightInd w:val="0"/>
              <w:jc w:val="center"/>
              <w:rPr>
                <w:sz w:val="20"/>
                <w:szCs w:val="20"/>
              </w:rPr>
            </w:pPr>
            <w:r w:rsidRPr="004034A1">
              <w:rPr>
                <w:sz w:val="20"/>
                <w:szCs w:val="20"/>
              </w:rPr>
              <w:t>Total Burden (</w:t>
            </w:r>
            <w:r w:rsidRPr="004034A1" w:rsidR="00F855BA">
              <w:rPr>
                <w:sz w:val="20"/>
                <w:szCs w:val="20"/>
              </w:rPr>
              <w:t>i</w:t>
            </w:r>
            <w:r w:rsidRPr="004034A1">
              <w:rPr>
                <w:sz w:val="20"/>
                <w:szCs w:val="20"/>
              </w:rPr>
              <w:t>n Hours)</w:t>
            </w:r>
          </w:p>
        </w:tc>
      </w:tr>
      <w:tr w:rsidRPr="00F16E9D" w:rsidR="005A42F1" w:rsidTr="005511E1" w14:paraId="239F7AA0" w14:textId="77777777">
        <w:trPr>
          <w:trHeight w:val="584"/>
        </w:trPr>
        <w:tc>
          <w:tcPr>
            <w:tcW w:w="1818" w:type="dxa"/>
            <w:shd w:val="clear" w:color="auto" w:fill="auto"/>
            <w:vAlign w:val="center"/>
          </w:tcPr>
          <w:p w:rsidRPr="004034A1" w:rsidR="005A42F1" w:rsidP="004034A1" w:rsidRDefault="005A42F1" w14:paraId="3001C665" w14:textId="267A1BC5">
            <w:pPr>
              <w:widowControl w:val="0"/>
              <w:tabs>
                <w:tab w:val="left" w:pos="1545"/>
              </w:tabs>
              <w:autoSpaceDE w:val="0"/>
              <w:autoSpaceDN w:val="0"/>
              <w:adjustRightInd w:val="0"/>
              <w:rPr>
                <w:sz w:val="20"/>
                <w:szCs w:val="20"/>
              </w:rPr>
            </w:pPr>
            <w:r w:rsidRPr="004034A1">
              <w:rPr>
                <w:sz w:val="20"/>
                <w:szCs w:val="20"/>
              </w:rPr>
              <w:t>Parent Proxy for Child</w:t>
            </w:r>
            <w:r w:rsidR="00E152AB">
              <w:rPr>
                <w:sz w:val="20"/>
                <w:szCs w:val="20"/>
              </w:rPr>
              <w:t xml:space="preserve">ren under 6 </w:t>
            </w:r>
          </w:p>
        </w:tc>
        <w:tc>
          <w:tcPr>
            <w:tcW w:w="1623" w:type="dxa"/>
            <w:shd w:val="clear" w:color="auto" w:fill="auto"/>
            <w:vAlign w:val="center"/>
          </w:tcPr>
          <w:p w:rsidRPr="004034A1" w:rsidR="005A42F1" w:rsidP="004034A1" w:rsidRDefault="005A42F1" w14:paraId="4F24E9DB" w14:textId="75448861">
            <w:pPr>
              <w:widowControl w:val="0"/>
              <w:tabs>
                <w:tab w:val="left" w:pos="1545"/>
              </w:tabs>
              <w:autoSpaceDE w:val="0"/>
              <w:autoSpaceDN w:val="0"/>
              <w:adjustRightInd w:val="0"/>
              <w:rPr>
                <w:sz w:val="20"/>
                <w:szCs w:val="20"/>
              </w:rPr>
            </w:pPr>
            <w:r w:rsidRPr="004034A1">
              <w:rPr>
                <w:sz w:val="20"/>
                <w:szCs w:val="20"/>
              </w:rPr>
              <w:t>Participant Questionnaire</w:t>
            </w:r>
          </w:p>
        </w:tc>
        <w:tc>
          <w:tcPr>
            <w:tcW w:w="1534" w:type="dxa"/>
            <w:shd w:val="clear" w:color="auto" w:fill="auto"/>
            <w:vAlign w:val="center"/>
          </w:tcPr>
          <w:p w:rsidRPr="004034A1" w:rsidR="005A42F1" w:rsidP="005A42F1" w:rsidRDefault="005A42F1" w14:paraId="562C563E" w14:textId="476C8A7F">
            <w:pPr>
              <w:widowControl w:val="0"/>
              <w:tabs>
                <w:tab w:val="left" w:pos="1545"/>
              </w:tabs>
              <w:autoSpaceDE w:val="0"/>
              <w:autoSpaceDN w:val="0"/>
              <w:adjustRightInd w:val="0"/>
              <w:jc w:val="center"/>
              <w:rPr>
                <w:sz w:val="20"/>
                <w:szCs w:val="20"/>
              </w:rPr>
            </w:pPr>
            <w:r w:rsidRPr="004034A1">
              <w:rPr>
                <w:sz w:val="20"/>
                <w:szCs w:val="20"/>
              </w:rPr>
              <w:t>225</w:t>
            </w:r>
          </w:p>
        </w:tc>
        <w:tc>
          <w:tcPr>
            <w:tcW w:w="1533" w:type="dxa"/>
            <w:shd w:val="clear" w:color="auto" w:fill="auto"/>
            <w:vAlign w:val="center"/>
          </w:tcPr>
          <w:p w:rsidRPr="004034A1" w:rsidR="005A42F1" w:rsidP="005A42F1" w:rsidRDefault="005A42F1" w14:paraId="7DF560A3" w14:textId="583E8780">
            <w:pPr>
              <w:widowControl w:val="0"/>
              <w:tabs>
                <w:tab w:val="left" w:pos="1545"/>
              </w:tabs>
              <w:autoSpaceDE w:val="0"/>
              <w:autoSpaceDN w:val="0"/>
              <w:adjustRightInd w:val="0"/>
              <w:jc w:val="center"/>
              <w:rPr>
                <w:sz w:val="20"/>
                <w:szCs w:val="20"/>
              </w:rPr>
            </w:pPr>
            <w:r w:rsidRPr="004034A1">
              <w:rPr>
                <w:sz w:val="20"/>
                <w:szCs w:val="20"/>
              </w:rPr>
              <w:t>1</w:t>
            </w:r>
          </w:p>
        </w:tc>
        <w:tc>
          <w:tcPr>
            <w:tcW w:w="1534" w:type="dxa"/>
            <w:shd w:val="clear" w:color="auto" w:fill="auto"/>
            <w:vAlign w:val="center"/>
          </w:tcPr>
          <w:p w:rsidRPr="004034A1" w:rsidR="005A42F1" w:rsidP="005A42F1" w:rsidRDefault="005A42F1" w14:paraId="49893E6E" w14:textId="71E10E04">
            <w:pPr>
              <w:widowControl w:val="0"/>
              <w:tabs>
                <w:tab w:val="left" w:pos="1545"/>
              </w:tabs>
              <w:autoSpaceDE w:val="0"/>
              <w:autoSpaceDN w:val="0"/>
              <w:adjustRightInd w:val="0"/>
              <w:jc w:val="center"/>
              <w:rPr>
                <w:sz w:val="20"/>
                <w:szCs w:val="20"/>
              </w:rPr>
            </w:pPr>
            <w:r w:rsidRPr="004034A1">
              <w:rPr>
                <w:sz w:val="20"/>
                <w:szCs w:val="20"/>
              </w:rPr>
              <w:t>20/60</w:t>
            </w:r>
          </w:p>
        </w:tc>
        <w:tc>
          <w:tcPr>
            <w:tcW w:w="1534" w:type="dxa"/>
            <w:vAlign w:val="center"/>
          </w:tcPr>
          <w:p w:rsidRPr="004034A1" w:rsidR="005A42F1" w:rsidP="005A42F1" w:rsidRDefault="00A10860" w14:paraId="312CED7C" w14:textId="35882950">
            <w:pPr>
              <w:widowControl w:val="0"/>
              <w:tabs>
                <w:tab w:val="left" w:pos="1545"/>
              </w:tabs>
              <w:autoSpaceDE w:val="0"/>
              <w:autoSpaceDN w:val="0"/>
              <w:adjustRightInd w:val="0"/>
              <w:jc w:val="center"/>
              <w:rPr>
                <w:sz w:val="20"/>
                <w:szCs w:val="20"/>
              </w:rPr>
            </w:pPr>
            <w:r>
              <w:rPr>
                <w:sz w:val="20"/>
                <w:szCs w:val="20"/>
              </w:rPr>
              <w:t>75</w:t>
            </w:r>
          </w:p>
        </w:tc>
      </w:tr>
      <w:tr w:rsidRPr="00F16E9D" w:rsidR="005A42F1" w:rsidTr="005511E1" w14:paraId="0E64DFDC" w14:textId="77777777">
        <w:trPr>
          <w:trHeight w:val="584"/>
        </w:trPr>
        <w:tc>
          <w:tcPr>
            <w:tcW w:w="1818" w:type="dxa"/>
            <w:shd w:val="clear" w:color="auto" w:fill="auto"/>
            <w:vAlign w:val="center"/>
          </w:tcPr>
          <w:p w:rsidRPr="004034A1" w:rsidR="005A42F1" w:rsidP="004034A1" w:rsidRDefault="00DB589A" w14:paraId="28209847" w14:textId="1D74D484">
            <w:pPr>
              <w:widowControl w:val="0"/>
              <w:tabs>
                <w:tab w:val="left" w:pos="1545"/>
              </w:tabs>
              <w:autoSpaceDE w:val="0"/>
              <w:autoSpaceDN w:val="0"/>
              <w:adjustRightInd w:val="0"/>
              <w:rPr>
                <w:sz w:val="20"/>
                <w:szCs w:val="20"/>
              </w:rPr>
            </w:pPr>
            <w:r>
              <w:rPr>
                <w:sz w:val="20"/>
                <w:szCs w:val="20"/>
              </w:rPr>
              <w:t xml:space="preserve">Adult </w:t>
            </w:r>
            <w:r w:rsidRPr="004034A1" w:rsidR="005A42F1">
              <w:rPr>
                <w:sz w:val="20"/>
                <w:szCs w:val="20"/>
              </w:rPr>
              <w:t>EI Participants</w:t>
            </w:r>
          </w:p>
        </w:tc>
        <w:tc>
          <w:tcPr>
            <w:tcW w:w="1623" w:type="dxa"/>
            <w:shd w:val="clear" w:color="auto" w:fill="auto"/>
            <w:vAlign w:val="center"/>
          </w:tcPr>
          <w:p w:rsidRPr="004034A1" w:rsidR="005A42F1" w:rsidP="004034A1" w:rsidRDefault="005A42F1" w14:paraId="057EB0FE" w14:textId="260985A6">
            <w:pPr>
              <w:widowControl w:val="0"/>
              <w:tabs>
                <w:tab w:val="left" w:pos="1545"/>
              </w:tabs>
              <w:autoSpaceDE w:val="0"/>
              <w:autoSpaceDN w:val="0"/>
              <w:adjustRightInd w:val="0"/>
              <w:rPr>
                <w:sz w:val="20"/>
                <w:szCs w:val="20"/>
              </w:rPr>
            </w:pPr>
            <w:r w:rsidRPr="004034A1">
              <w:rPr>
                <w:sz w:val="20"/>
                <w:szCs w:val="20"/>
              </w:rPr>
              <w:t>Participant Questionnaire</w:t>
            </w:r>
          </w:p>
        </w:tc>
        <w:tc>
          <w:tcPr>
            <w:tcW w:w="1534" w:type="dxa"/>
            <w:shd w:val="clear" w:color="auto" w:fill="auto"/>
            <w:vAlign w:val="center"/>
          </w:tcPr>
          <w:p w:rsidRPr="004034A1" w:rsidR="005A42F1" w:rsidP="005A42F1" w:rsidRDefault="005A42F1" w14:paraId="6858A18A" w14:textId="565905E6">
            <w:pPr>
              <w:widowControl w:val="0"/>
              <w:tabs>
                <w:tab w:val="left" w:pos="1545"/>
              </w:tabs>
              <w:autoSpaceDE w:val="0"/>
              <w:autoSpaceDN w:val="0"/>
              <w:adjustRightInd w:val="0"/>
              <w:jc w:val="center"/>
              <w:rPr>
                <w:sz w:val="20"/>
                <w:szCs w:val="20"/>
              </w:rPr>
            </w:pPr>
            <w:r w:rsidRPr="004034A1">
              <w:rPr>
                <w:sz w:val="20"/>
                <w:szCs w:val="20"/>
              </w:rPr>
              <w:t>75</w:t>
            </w:r>
          </w:p>
        </w:tc>
        <w:tc>
          <w:tcPr>
            <w:tcW w:w="1533" w:type="dxa"/>
            <w:shd w:val="clear" w:color="auto" w:fill="auto"/>
            <w:vAlign w:val="center"/>
          </w:tcPr>
          <w:p w:rsidRPr="004034A1" w:rsidR="005A42F1" w:rsidP="005A42F1" w:rsidRDefault="005A42F1" w14:paraId="2B3A1DDA" w14:textId="4A43F4B0">
            <w:pPr>
              <w:widowControl w:val="0"/>
              <w:tabs>
                <w:tab w:val="left" w:pos="1545"/>
              </w:tabs>
              <w:autoSpaceDE w:val="0"/>
              <w:autoSpaceDN w:val="0"/>
              <w:adjustRightInd w:val="0"/>
              <w:jc w:val="center"/>
              <w:rPr>
                <w:sz w:val="20"/>
                <w:szCs w:val="20"/>
              </w:rPr>
            </w:pPr>
            <w:r w:rsidRPr="004034A1">
              <w:rPr>
                <w:sz w:val="20"/>
                <w:szCs w:val="20"/>
              </w:rPr>
              <w:t>1</w:t>
            </w:r>
          </w:p>
        </w:tc>
        <w:tc>
          <w:tcPr>
            <w:tcW w:w="1534" w:type="dxa"/>
            <w:shd w:val="clear" w:color="auto" w:fill="auto"/>
            <w:vAlign w:val="center"/>
          </w:tcPr>
          <w:p w:rsidRPr="004034A1" w:rsidR="005A42F1" w:rsidP="005A42F1" w:rsidRDefault="005A42F1" w14:paraId="6F97EB31" w14:textId="3044252B">
            <w:pPr>
              <w:widowControl w:val="0"/>
              <w:tabs>
                <w:tab w:val="left" w:pos="1545"/>
              </w:tabs>
              <w:autoSpaceDE w:val="0"/>
              <w:autoSpaceDN w:val="0"/>
              <w:adjustRightInd w:val="0"/>
              <w:jc w:val="center"/>
              <w:rPr>
                <w:sz w:val="20"/>
                <w:szCs w:val="20"/>
              </w:rPr>
            </w:pPr>
            <w:r w:rsidRPr="004034A1">
              <w:rPr>
                <w:sz w:val="20"/>
                <w:szCs w:val="20"/>
              </w:rPr>
              <w:t>20/60</w:t>
            </w:r>
          </w:p>
        </w:tc>
        <w:tc>
          <w:tcPr>
            <w:tcW w:w="1534" w:type="dxa"/>
            <w:vAlign w:val="center"/>
          </w:tcPr>
          <w:p w:rsidRPr="004034A1" w:rsidR="005A42F1" w:rsidP="005A42F1" w:rsidRDefault="002277B4" w14:paraId="32269D14" w14:textId="11A76714">
            <w:pPr>
              <w:widowControl w:val="0"/>
              <w:tabs>
                <w:tab w:val="left" w:pos="1545"/>
              </w:tabs>
              <w:autoSpaceDE w:val="0"/>
              <w:autoSpaceDN w:val="0"/>
              <w:adjustRightInd w:val="0"/>
              <w:jc w:val="center"/>
              <w:rPr>
                <w:sz w:val="20"/>
                <w:szCs w:val="20"/>
              </w:rPr>
            </w:pPr>
            <w:r>
              <w:rPr>
                <w:sz w:val="20"/>
                <w:szCs w:val="20"/>
              </w:rPr>
              <w:t>25</w:t>
            </w:r>
          </w:p>
        </w:tc>
      </w:tr>
      <w:tr w:rsidRPr="00F16E9D" w:rsidR="00DB589A" w:rsidTr="005511E1" w14:paraId="7BB937ED" w14:textId="77777777">
        <w:trPr>
          <w:trHeight w:val="584"/>
        </w:trPr>
        <w:tc>
          <w:tcPr>
            <w:tcW w:w="1818" w:type="dxa"/>
            <w:shd w:val="clear" w:color="auto" w:fill="auto"/>
            <w:vAlign w:val="center"/>
          </w:tcPr>
          <w:p w:rsidRPr="004034A1" w:rsidR="00DB589A" w:rsidP="004034A1" w:rsidRDefault="00DB589A" w14:paraId="03037BB4" w14:textId="5E2A26CE">
            <w:pPr>
              <w:widowControl w:val="0"/>
              <w:tabs>
                <w:tab w:val="left" w:pos="1545"/>
              </w:tabs>
              <w:autoSpaceDE w:val="0"/>
              <w:autoSpaceDN w:val="0"/>
              <w:adjustRightInd w:val="0"/>
              <w:rPr>
                <w:sz w:val="20"/>
                <w:szCs w:val="20"/>
              </w:rPr>
            </w:pPr>
            <w:bookmarkStart w:name="_Hlk103161582" w:id="112"/>
            <w:r w:rsidRPr="002277F6">
              <w:rPr>
                <w:sz w:val="20"/>
                <w:szCs w:val="20"/>
              </w:rPr>
              <w:lastRenderedPageBreak/>
              <w:t>Child</w:t>
            </w:r>
            <w:r>
              <w:rPr>
                <w:sz w:val="20"/>
                <w:szCs w:val="20"/>
              </w:rPr>
              <w:t>ren under 6 and minors from 6-17 when applicable</w:t>
            </w:r>
          </w:p>
        </w:tc>
        <w:tc>
          <w:tcPr>
            <w:tcW w:w="1623" w:type="dxa"/>
            <w:shd w:val="clear" w:color="auto" w:fill="auto"/>
            <w:vAlign w:val="center"/>
          </w:tcPr>
          <w:p w:rsidRPr="004034A1" w:rsidR="00DB589A" w:rsidP="004034A1" w:rsidRDefault="00DB589A" w14:paraId="37AD5BDE" w14:textId="53BFEF2B">
            <w:pPr>
              <w:widowControl w:val="0"/>
              <w:tabs>
                <w:tab w:val="left" w:pos="1545"/>
              </w:tabs>
              <w:autoSpaceDE w:val="0"/>
              <w:autoSpaceDN w:val="0"/>
              <w:adjustRightInd w:val="0"/>
              <w:rPr>
                <w:sz w:val="20"/>
                <w:szCs w:val="20"/>
              </w:rPr>
            </w:pPr>
            <w:r w:rsidRPr="004034A1">
              <w:rPr>
                <w:sz w:val="20"/>
                <w:szCs w:val="20"/>
              </w:rPr>
              <w:t>Blood Collection</w:t>
            </w:r>
          </w:p>
        </w:tc>
        <w:tc>
          <w:tcPr>
            <w:tcW w:w="1534" w:type="dxa"/>
            <w:shd w:val="clear" w:color="auto" w:fill="auto"/>
            <w:vAlign w:val="center"/>
          </w:tcPr>
          <w:p w:rsidRPr="004034A1" w:rsidR="00DB589A" w:rsidP="00DB589A" w:rsidRDefault="00DB589A" w14:paraId="10AA2553" w14:textId="121FA40D">
            <w:pPr>
              <w:widowControl w:val="0"/>
              <w:tabs>
                <w:tab w:val="left" w:pos="1545"/>
              </w:tabs>
              <w:autoSpaceDE w:val="0"/>
              <w:autoSpaceDN w:val="0"/>
              <w:adjustRightInd w:val="0"/>
              <w:jc w:val="center"/>
              <w:rPr>
                <w:sz w:val="20"/>
                <w:szCs w:val="20"/>
              </w:rPr>
            </w:pPr>
            <w:r w:rsidRPr="004034A1">
              <w:rPr>
                <w:sz w:val="20"/>
                <w:szCs w:val="20"/>
              </w:rPr>
              <w:t xml:space="preserve">225 </w:t>
            </w:r>
          </w:p>
        </w:tc>
        <w:tc>
          <w:tcPr>
            <w:tcW w:w="1533" w:type="dxa"/>
            <w:shd w:val="clear" w:color="auto" w:fill="auto"/>
            <w:vAlign w:val="center"/>
          </w:tcPr>
          <w:p w:rsidRPr="004034A1" w:rsidR="00DB589A" w:rsidP="00DB589A" w:rsidRDefault="00DB589A" w14:paraId="6A66AB2E" w14:textId="6B3010A2">
            <w:pPr>
              <w:widowControl w:val="0"/>
              <w:tabs>
                <w:tab w:val="left" w:pos="1545"/>
              </w:tabs>
              <w:autoSpaceDE w:val="0"/>
              <w:autoSpaceDN w:val="0"/>
              <w:adjustRightInd w:val="0"/>
              <w:jc w:val="center"/>
              <w:rPr>
                <w:sz w:val="20"/>
                <w:szCs w:val="20"/>
              </w:rPr>
            </w:pPr>
            <w:r w:rsidRPr="004034A1">
              <w:rPr>
                <w:sz w:val="20"/>
                <w:szCs w:val="20"/>
              </w:rPr>
              <w:t>1</w:t>
            </w:r>
          </w:p>
        </w:tc>
        <w:tc>
          <w:tcPr>
            <w:tcW w:w="1534" w:type="dxa"/>
            <w:shd w:val="clear" w:color="auto" w:fill="auto"/>
            <w:vAlign w:val="center"/>
          </w:tcPr>
          <w:p w:rsidRPr="004034A1" w:rsidR="00DB589A" w:rsidP="00DB589A" w:rsidRDefault="00DB589A" w14:paraId="7FC1EF3B" w14:textId="2A9BA0FF">
            <w:pPr>
              <w:widowControl w:val="0"/>
              <w:tabs>
                <w:tab w:val="left" w:pos="1545"/>
              </w:tabs>
              <w:autoSpaceDE w:val="0"/>
              <w:autoSpaceDN w:val="0"/>
              <w:adjustRightInd w:val="0"/>
              <w:jc w:val="center"/>
              <w:rPr>
                <w:sz w:val="20"/>
                <w:szCs w:val="20"/>
              </w:rPr>
            </w:pPr>
            <w:r w:rsidRPr="004034A1">
              <w:rPr>
                <w:sz w:val="20"/>
                <w:szCs w:val="20"/>
              </w:rPr>
              <w:t>10/60</w:t>
            </w:r>
          </w:p>
        </w:tc>
        <w:tc>
          <w:tcPr>
            <w:tcW w:w="1534" w:type="dxa"/>
            <w:vAlign w:val="center"/>
          </w:tcPr>
          <w:p w:rsidRPr="004034A1" w:rsidR="00DB589A" w:rsidP="00DB589A" w:rsidRDefault="00DB589A" w14:paraId="4E039D60" w14:textId="62E539D2">
            <w:pPr>
              <w:widowControl w:val="0"/>
              <w:tabs>
                <w:tab w:val="left" w:pos="1545"/>
              </w:tabs>
              <w:autoSpaceDE w:val="0"/>
              <w:autoSpaceDN w:val="0"/>
              <w:adjustRightInd w:val="0"/>
              <w:jc w:val="center"/>
              <w:rPr>
                <w:sz w:val="20"/>
                <w:szCs w:val="20"/>
              </w:rPr>
            </w:pPr>
            <w:r>
              <w:rPr>
                <w:sz w:val="20"/>
                <w:szCs w:val="20"/>
              </w:rPr>
              <w:t>38</w:t>
            </w:r>
          </w:p>
        </w:tc>
      </w:tr>
      <w:tr w:rsidRPr="00F16E9D" w:rsidR="00DB589A" w:rsidTr="005511E1" w14:paraId="5DFAA013" w14:textId="77777777">
        <w:trPr>
          <w:trHeight w:val="584"/>
        </w:trPr>
        <w:tc>
          <w:tcPr>
            <w:tcW w:w="1818" w:type="dxa"/>
            <w:shd w:val="clear" w:color="auto" w:fill="auto"/>
            <w:vAlign w:val="center"/>
          </w:tcPr>
          <w:p w:rsidRPr="004034A1" w:rsidR="00DB589A" w:rsidP="004034A1" w:rsidRDefault="00DB589A" w14:paraId="4FC2513B" w14:textId="25AAA596">
            <w:pPr>
              <w:widowControl w:val="0"/>
              <w:tabs>
                <w:tab w:val="left" w:pos="1545"/>
              </w:tabs>
              <w:autoSpaceDE w:val="0"/>
              <w:autoSpaceDN w:val="0"/>
              <w:adjustRightInd w:val="0"/>
              <w:rPr>
                <w:sz w:val="20"/>
                <w:szCs w:val="20"/>
              </w:rPr>
            </w:pPr>
            <w:r>
              <w:rPr>
                <w:sz w:val="20"/>
                <w:szCs w:val="20"/>
              </w:rPr>
              <w:t xml:space="preserve">Adult </w:t>
            </w:r>
            <w:r w:rsidRPr="00F45191">
              <w:rPr>
                <w:sz w:val="20"/>
                <w:szCs w:val="20"/>
              </w:rPr>
              <w:t>EI Participants</w:t>
            </w:r>
          </w:p>
        </w:tc>
        <w:tc>
          <w:tcPr>
            <w:tcW w:w="1623" w:type="dxa"/>
            <w:shd w:val="clear" w:color="auto" w:fill="auto"/>
            <w:vAlign w:val="center"/>
          </w:tcPr>
          <w:p w:rsidRPr="004034A1" w:rsidR="00DB589A" w:rsidP="004034A1" w:rsidRDefault="00DB589A" w14:paraId="6CB31235" w14:textId="70E3C14F">
            <w:pPr>
              <w:widowControl w:val="0"/>
              <w:tabs>
                <w:tab w:val="left" w:pos="1545"/>
              </w:tabs>
              <w:autoSpaceDE w:val="0"/>
              <w:autoSpaceDN w:val="0"/>
              <w:adjustRightInd w:val="0"/>
              <w:rPr>
                <w:sz w:val="20"/>
                <w:szCs w:val="20"/>
              </w:rPr>
            </w:pPr>
            <w:r w:rsidRPr="004034A1">
              <w:rPr>
                <w:sz w:val="20"/>
                <w:szCs w:val="20"/>
              </w:rPr>
              <w:t>Blood Collection</w:t>
            </w:r>
          </w:p>
        </w:tc>
        <w:tc>
          <w:tcPr>
            <w:tcW w:w="1534" w:type="dxa"/>
            <w:shd w:val="clear" w:color="auto" w:fill="auto"/>
            <w:vAlign w:val="center"/>
          </w:tcPr>
          <w:p w:rsidRPr="004034A1" w:rsidR="00DB589A" w:rsidP="00DB589A" w:rsidRDefault="00DB589A" w14:paraId="2CCE69ED" w14:textId="71A93194">
            <w:pPr>
              <w:widowControl w:val="0"/>
              <w:tabs>
                <w:tab w:val="left" w:pos="1545"/>
              </w:tabs>
              <w:autoSpaceDE w:val="0"/>
              <w:autoSpaceDN w:val="0"/>
              <w:adjustRightInd w:val="0"/>
              <w:jc w:val="center"/>
              <w:rPr>
                <w:sz w:val="20"/>
                <w:szCs w:val="20"/>
              </w:rPr>
            </w:pPr>
            <w:r w:rsidRPr="004034A1">
              <w:rPr>
                <w:sz w:val="20"/>
                <w:szCs w:val="20"/>
              </w:rPr>
              <w:t>75</w:t>
            </w:r>
          </w:p>
        </w:tc>
        <w:tc>
          <w:tcPr>
            <w:tcW w:w="1533" w:type="dxa"/>
            <w:shd w:val="clear" w:color="auto" w:fill="auto"/>
            <w:vAlign w:val="center"/>
          </w:tcPr>
          <w:p w:rsidRPr="004034A1" w:rsidR="00DB589A" w:rsidP="00DB589A" w:rsidRDefault="00DB589A" w14:paraId="05C26784" w14:textId="4FB1DCB5">
            <w:pPr>
              <w:widowControl w:val="0"/>
              <w:tabs>
                <w:tab w:val="left" w:pos="1545"/>
              </w:tabs>
              <w:autoSpaceDE w:val="0"/>
              <w:autoSpaceDN w:val="0"/>
              <w:adjustRightInd w:val="0"/>
              <w:jc w:val="center"/>
              <w:rPr>
                <w:sz w:val="20"/>
                <w:szCs w:val="20"/>
              </w:rPr>
            </w:pPr>
            <w:r w:rsidRPr="004034A1">
              <w:rPr>
                <w:sz w:val="20"/>
                <w:szCs w:val="20"/>
              </w:rPr>
              <w:t>1</w:t>
            </w:r>
          </w:p>
        </w:tc>
        <w:tc>
          <w:tcPr>
            <w:tcW w:w="1534" w:type="dxa"/>
            <w:shd w:val="clear" w:color="auto" w:fill="auto"/>
            <w:vAlign w:val="center"/>
          </w:tcPr>
          <w:p w:rsidRPr="004034A1" w:rsidR="00DB589A" w:rsidP="00DB589A" w:rsidRDefault="00DB589A" w14:paraId="0E09F232" w14:textId="46320AA5">
            <w:pPr>
              <w:widowControl w:val="0"/>
              <w:tabs>
                <w:tab w:val="left" w:pos="1545"/>
              </w:tabs>
              <w:autoSpaceDE w:val="0"/>
              <w:autoSpaceDN w:val="0"/>
              <w:adjustRightInd w:val="0"/>
              <w:jc w:val="center"/>
              <w:rPr>
                <w:sz w:val="20"/>
                <w:szCs w:val="20"/>
              </w:rPr>
            </w:pPr>
            <w:r w:rsidRPr="004034A1">
              <w:rPr>
                <w:sz w:val="20"/>
                <w:szCs w:val="20"/>
              </w:rPr>
              <w:t>10/60</w:t>
            </w:r>
          </w:p>
        </w:tc>
        <w:tc>
          <w:tcPr>
            <w:tcW w:w="1534" w:type="dxa"/>
            <w:vAlign w:val="center"/>
          </w:tcPr>
          <w:p w:rsidRPr="004034A1" w:rsidR="00DB589A" w:rsidP="00DB589A" w:rsidRDefault="00DB589A" w14:paraId="2E9D2754" w14:textId="1E9F2291">
            <w:pPr>
              <w:widowControl w:val="0"/>
              <w:tabs>
                <w:tab w:val="left" w:pos="1545"/>
              </w:tabs>
              <w:autoSpaceDE w:val="0"/>
              <w:autoSpaceDN w:val="0"/>
              <w:adjustRightInd w:val="0"/>
              <w:jc w:val="center"/>
              <w:rPr>
                <w:sz w:val="20"/>
                <w:szCs w:val="20"/>
              </w:rPr>
            </w:pPr>
            <w:r w:rsidRPr="004034A1">
              <w:rPr>
                <w:sz w:val="20"/>
                <w:szCs w:val="20"/>
              </w:rPr>
              <w:t>1</w:t>
            </w:r>
            <w:r>
              <w:rPr>
                <w:sz w:val="20"/>
                <w:szCs w:val="20"/>
              </w:rPr>
              <w:t>3</w:t>
            </w:r>
          </w:p>
        </w:tc>
      </w:tr>
      <w:tr w:rsidRPr="00F16E9D" w:rsidR="00F6720F" w:rsidTr="005511E1" w14:paraId="5C8F41D3" w14:textId="77777777">
        <w:trPr>
          <w:trHeight w:val="584"/>
        </w:trPr>
        <w:tc>
          <w:tcPr>
            <w:tcW w:w="1818" w:type="dxa"/>
            <w:vMerge w:val="restart"/>
            <w:shd w:val="clear" w:color="auto" w:fill="auto"/>
            <w:vAlign w:val="center"/>
          </w:tcPr>
          <w:p w:rsidR="00F6720F" w:rsidP="00F6720F" w:rsidRDefault="00F6720F" w14:paraId="4CF3859A" w14:textId="368B1B66">
            <w:pPr>
              <w:widowControl w:val="0"/>
              <w:tabs>
                <w:tab w:val="left" w:pos="1545"/>
              </w:tabs>
              <w:autoSpaceDE w:val="0"/>
              <w:autoSpaceDN w:val="0"/>
              <w:adjustRightInd w:val="0"/>
              <w:rPr>
                <w:sz w:val="20"/>
                <w:szCs w:val="20"/>
              </w:rPr>
            </w:pPr>
            <w:r w:rsidRPr="005C1619">
              <w:rPr>
                <w:sz w:val="20"/>
                <w:szCs w:val="20"/>
              </w:rPr>
              <w:t>Head of Household</w:t>
            </w:r>
          </w:p>
        </w:tc>
        <w:tc>
          <w:tcPr>
            <w:tcW w:w="1623" w:type="dxa"/>
            <w:shd w:val="clear" w:color="auto" w:fill="auto"/>
            <w:vAlign w:val="center"/>
          </w:tcPr>
          <w:p w:rsidRPr="00F16E9D" w:rsidR="00F6720F" w:rsidP="00F6720F" w:rsidRDefault="00F6720F" w14:paraId="35595304" w14:textId="11A6F8DD">
            <w:pPr>
              <w:widowControl w:val="0"/>
              <w:tabs>
                <w:tab w:val="left" w:pos="1545"/>
              </w:tabs>
              <w:autoSpaceDE w:val="0"/>
              <w:autoSpaceDN w:val="0"/>
              <w:adjustRightInd w:val="0"/>
              <w:rPr>
                <w:sz w:val="20"/>
                <w:szCs w:val="20"/>
              </w:rPr>
            </w:pPr>
            <w:r w:rsidRPr="005C1619">
              <w:rPr>
                <w:sz w:val="20"/>
                <w:szCs w:val="20"/>
              </w:rPr>
              <w:t>Home Schematic (Form 100)</w:t>
            </w:r>
          </w:p>
        </w:tc>
        <w:tc>
          <w:tcPr>
            <w:tcW w:w="1534" w:type="dxa"/>
            <w:shd w:val="clear" w:color="auto" w:fill="auto"/>
            <w:vAlign w:val="center"/>
          </w:tcPr>
          <w:p w:rsidRPr="00F16E9D" w:rsidR="00F6720F" w:rsidRDefault="00F6720F" w14:paraId="3ED293C6" w14:textId="4DA603D6">
            <w:pPr>
              <w:widowControl w:val="0"/>
              <w:tabs>
                <w:tab w:val="left" w:pos="1545"/>
              </w:tabs>
              <w:autoSpaceDE w:val="0"/>
              <w:autoSpaceDN w:val="0"/>
              <w:adjustRightInd w:val="0"/>
              <w:jc w:val="center"/>
              <w:rPr>
                <w:sz w:val="20"/>
                <w:szCs w:val="20"/>
              </w:rPr>
            </w:pPr>
            <w:r w:rsidRPr="005C1619">
              <w:rPr>
                <w:sz w:val="20"/>
                <w:szCs w:val="20"/>
              </w:rPr>
              <w:t>300</w:t>
            </w:r>
          </w:p>
        </w:tc>
        <w:tc>
          <w:tcPr>
            <w:tcW w:w="1533" w:type="dxa"/>
            <w:shd w:val="clear" w:color="auto" w:fill="auto"/>
            <w:vAlign w:val="center"/>
          </w:tcPr>
          <w:p w:rsidRPr="00F16E9D" w:rsidR="00F6720F" w:rsidRDefault="00F6720F" w14:paraId="2F7BEC2C" w14:textId="74EE0281">
            <w:pPr>
              <w:widowControl w:val="0"/>
              <w:tabs>
                <w:tab w:val="left" w:pos="1545"/>
              </w:tabs>
              <w:autoSpaceDE w:val="0"/>
              <w:autoSpaceDN w:val="0"/>
              <w:adjustRightInd w:val="0"/>
              <w:jc w:val="center"/>
              <w:rPr>
                <w:sz w:val="20"/>
                <w:szCs w:val="20"/>
              </w:rPr>
            </w:pPr>
            <w:r w:rsidRPr="005C1619">
              <w:rPr>
                <w:sz w:val="20"/>
                <w:szCs w:val="20"/>
              </w:rPr>
              <w:t>1</w:t>
            </w:r>
          </w:p>
        </w:tc>
        <w:tc>
          <w:tcPr>
            <w:tcW w:w="1534" w:type="dxa"/>
            <w:shd w:val="clear" w:color="auto" w:fill="auto"/>
            <w:vAlign w:val="center"/>
          </w:tcPr>
          <w:p w:rsidRPr="00F16E9D" w:rsidR="00F6720F" w:rsidRDefault="00F6720F" w14:paraId="40201446" w14:textId="69E2FFEE">
            <w:pPr>
              <w:widowControl w:val="0"/>
              <w:tabs>
                <w:tab w:val="left" w:pos="1545"/>
              </w:tabs>
              <w:autoSpaceDE w:val="0"/>
              <w:autoSpaceDN w:val="0"/>
              <w:adjustRightInd w:val="0"/>
              <w:jc w:val="center"/>
              <w:rPr>
                <w:sz w:val="20"/>
                <w:szCs w:val="20"/>
              </w:rPr>
            </w:pPr>
            <w:r>
              <w:rPr>
                <w:sz w:val="20"/>
                <w:szCs w:val="20"/>
              </w:rPr>
              <w:t>5</w:t>
            </w:r>
            <w:r w:rsidRPr="005C1619">
              <w:rPr>
                <w:sz w:val="20"/>
                <w:szCs w:val="20"/>
              </w:rPr>
              <w:t>/60</w:t>
            </w:r>
          </w:p>
        </w:tc>
        <w:tc>
          <w:tcPr>
            <w:tcW w:w="1534" w:type="dxa"/>
            <w:vAlign w:val="center"/>
          </w:tcPr>
          <w:p w:rsidRPr="00F16E9D" w:rsidR="00F6720F" w:rsidRDefault="0034646A" w14:paraId="29B6956D" w14:textId="2BE141C7">
            <w:pPr>
              <w:widowControl w:val="0"/>
              <w:tabs>
                <w:tab w:val="left" w:pos="1545"/>
              </w:tabs>
              <w:autoSpaceDE w:val="0"/>
              <w:autoSpaceDN w:val="0"/>
              <w:adjustRightInd w:val="0"/>
              <w:jc w:val="center"/>
              <w:rPr>
                <w:sz w:val="20"/>
                <w:szCs w:val="20"/>
              </w:rPr>
            </w:pPr>
            <w:r>
              <w:rPr>
                <w:sz w:val="20"/>
                <w:szCs w:val="20"/>
              </w:rPr>
              <w:t>25</w:t>
            </w:r>
          </w:p>
        </w:tc>
      </w:tr>
      <w:tr w:rsidRPr="00F16E9D" w:rsidR="00F6720F" w:rsidTr="005511E1" w14:paraId="784D3FD8" w14:textId="77777777">
        <w:trPr>
          <w:trHeight w:val="584"/>
        </w:trPr>
        <w:tc>
          <w:tcPr>
            <w:tcW w:w="1818" w:type="dxa"/>
            <w:vMerge/>
            <w:shd w:val="clear" w:color="auto" w:fill="auto"/>
            <w:vAlign w:val="center"/>
          </w:tcPr>
          <w:p w:rsidR="00F6720F" w:rsidP="00F6720F" w:rsidRDefault="00F6720F" w14:paraId="39415505" w14:textId="77777777">
            <w:pPr>
              <w:widowControl w:val="0"/>
              <w:tabs>
                <w:tab w:val="left" w:pos="1545"/>
              </w:tabs>
              <w:autoSpaceDE w:val="0"/>
              <w:autoSpaceDN w:val="0"/>
              <w:adjustRightInd w:val="0"/>
              <w:rPr>
                <w:sz w:val="20"/>
                <w:szCs w:val="20"/>
              </w:rPr>
            </w:pPr>
          </w:p>
        </w:tc>
        <w:tc>
          <w:tcPr>
            <w:tcW w:w="1623" w:type="dxa"/>
            <w:shd w:val="clear" w:color="auto" w:fill="auto"/>
            <w:vAlign w:val="center"/>
          </w:tcPr>
          <w:p w:rsidRPr="00F16E9D" w:rsidR="00F6720F" w:rsidP="00F6720F" w:rsidRDefault="00F6720F" w14:paraId="1A676F92" w14:textId="2A5D402E">
            <w:pPr>
              <w:widowControl w:val="0"/>
              <w:tabs>
                <w:tab w:val="left" w:pos="1545"/>
              </w:tabs>
              <w:autoSpaceDE w:val="0"/>
              <w:autoSpaceDN w:val="0"/>
              <w:adjustRightInd w:val="0"/>
              <w:rPr>
                <w:sz w:val="20"/>
                <w:szCs w:val="20"/>
              </w:rPr>
            </w:pPr>
            <w:r w:rsidRPr="005C1619">
              <w:rPr>
                <w:sz w:val="20"/>
                <w:szCs w:val="20"/>
              </w:rPr>
              <w:t>Interior Environmental Paint Assessment (Form 110)</w:t>
            </w:r>
          </w:p>
        </w:tc>
        <w:tc>
          <w:tcPr>
            <w:tcW w:w="1534" w:type="dxa"/>
            <w:shd w:val="clear" w:color="auto" w:fill="auto"/>
            <w:vAlign w:val="center"/>
          </w:tcPr>
          <w:p w:rsidRPr="00F16E9D" w:rsidR="00F6720F" w:rsidRDefault="00F6720F" w14:paraId="0D2FE3D9" w14:textId="5673EFDD">
            <w:pPr>
              <w:widowControl w:val="0"/>
              <w:tabs>
                <w:tab w:val="left" w:pos="1545"/>
              </w:tabs>
              <w:autoSpaceDE w:val="0"/>
              <w:autoSpaceDN w:val="0"/>
              <w:adjustRightInd w:val="0"/>
              <w:jc w:val="center"/>
              <w:rPr>
                <w:sz w:val="20"/>
                <w:szCs w:val="20"/>
              </w:rPr>
            </w:pPr>
            <w:r w:rsidRPr="005C1619">
              <w:rPr>
                <w:sz w:val="20"/>
                <w:szCs w:val="20"/>
              </w:rPr>
              <w:t>300</w:t>
            </w:r>
          </w:p>
        </w:tc>
        <w:tc>
          <w:tcPr>
            <w:tcW w:w="1533" w:type="dxa"/>
            <w:shd w:val="clear" w:color="auto" w:fill="auto"/>
            <w:vAlign w:val="center"/>
          </w:tcPr>
          <w:p w:rsidRPr="00F16E9D" w:rsidR="00F6720F" w:rsidRDefault="00F6720F" w14:paraId="0144AAF7" w14:textId="38C5D23E">
            <w:pPr>
              <w:widowControl w:val="0"/>
              <w:tabs>
                <w:tab w:val="left" w:pos="1545"/>
              </w:tabs>
              <w:autoSpaceDE w:val="0"/>
              <w:autoSpaceDN w:val="0"/>
              <w:adjustRightInd w:val="0"/>
              <w:jc w:val="center"/>
              <w:rPr>
                <w:sz w:val="20"/>
                <w:szCs w:val="20"/>
              </w:rPr>
            </w:pPr>
            <w:r w:rsidRPr="005C1619">
              <w:rPr>
                <w:sz w:val="20"/>
                <w:szCs w:val="20"/>
              </w:rPr>
              <w:t>1</w:t>
            </w:r>
          </w:p>
        </w:tc>
        <w:tc>
          <w:tcPr>
            <w:tcW w:w="1534" w:type="dxa"/>
            <w:shd w:val="clear" w:color="auto" w:fill="auto"/>
            <w:vAlign w:val="center"/>
          </w:tcPr>
          <w:p w:rsidRPr="00F16E9D" w:rsidR="00F6720F" w:rsidRDefault="00F6720F" w14:paraId="425F82DF" w14:textId="77777777">
            <w:pPr>
              <w:widowControl w:val="0"/>
              <w:tabs>
                <w:tab w:val="left" w:pos="1545"/>
              </w:tabs>
              <w:autoSpaceDE w:val="0"/>
              <w:autoSpaceDN w:val="0"/>
              <w:adjustRightInd w:val="0"/>
              <w:jc w:val="center"/>
              <w:rPr>
                <w:sz w:val="20"/>
                <w:szCs w:val="20"/>
              </w:rPr>
            </w:pPr>
            <w:r>
              <w:rPr>
                <w:sz w:val="20"/>
                <w:szCs w:val="20"/>
              </w:rPr>
              <w:t>10</w:t>
            </w:r>
            <w:r w:rsidRPr="005C1619">
              <w:rPr>
                <w:sz w:val="20"/>
                <w:szCs w:val="20"/>
              </w:rPr>
              <w:t>/60</w:t>
            </w:r>
          </w:p>
        </w:tc>
        <w:tc>
          <w:tcPr>
            <w:tcW w:w="1534" w:type="dxa"/>
            <w:vAlign w:val="center"/>
          </w:tcPr>
          <w:p w:rsidRPr="00F16E9D" w:rsidR="00E63E5E" w:rsidRDefault="00E63E5E" w14:paraId="652C873E" w14:textId="5DDB132D">
            <w:pPr>
              <w:widowControl w:val="0"/>
              <w:tabs>
                <w:tab w:val="left" w:pos="1545"/>
              </w:tabs>
              <w:autoSpaceDE w:val="0"/>
              <w:autoSpaceDN w:val="0"/>
              <w:adjustRightInd w:val="0"/>
              <w:jc w:val="center"/>
              <w:rPr>
                <w:sz w:val="20"/>
                <w:szCs w:val="20"/>
              </w:rPr>
            </w:pPr>
            <w:r>
              <w:rPr>
                <w:sz w:val="20"/>
                <w:szCs w:val="20"/>
              </w:rPr>
              <w:t>50</w:t>
            </w:r>
          </w:p>
        </w:tc>
      </w:tr>
      <w:tr w:rsidRPr="00F16E9D" w:rsidR="00F6720F" w:rsidTr="0057306B" w14:paraId="08E31695" w14:textId="77777777">
        <w:trPr>
          <w:trHeight w:val="350"/>
        </w:trPr>
        <w:tc>
          <w:tcPr>
            <w:tcW w:w="1818" w:type="dxa"/>
            <w:vMerge/>
            <w:shd w:val="clear" w:color="auto" w:fill="auto"/>
            <w:vAlign w:val="center"/>
          </w:tcPr>
          <w:p w:rsidR="00F6720F" w:rsidP="00F6720F" w:rsidRDefault="00F6720F" w14:paraId="71BD1AA0" w14:textId="77777777">
            <w:pPr>
              <w:widowControl w:val="0"/>
              <w:tabs>
                <w:tab w:val="left" w:pos="1545"/>
              </w:tabs>
              <w:autoSpaceDE w:val="0"/>
              <w:autoSpaceDN w:val="0"/>
              <w:adjustRightInd w:val="0"/>
              <w:rPr>
                <w:sz w:val="20"/>
                <w:szCs w:val="20"/>
              </w:rPr>
            </w:pPr>
          </w:p>
        </w:tc>
        <w:tc>
          <w:tcPr>
            <w:tcW w:w="1623" w:type="dxa"/>
            <w:shd w:val="clear" w:color="auto" w:fill="auto"/>
            <w:vAlign w:val="center"/>
          </w:tcPr>
          <w:p w:rsidRPr="00F16E9D" w:rsidR="00F6720F" w:rsidP="00F6720F" w:rsidRDefault="00F6720F" w14:paraId="7EB365BB" w14:textId="1D6CF67E">
            <w:pPr>
              <w:widowControl w:val="0"/>
              <w:tabs>
                <w:tab w:val="left" w:pos="1545"/>
              </w:tabs>
              <w:autoSpaceDE w:val="0"/>
              <w:autoSpaceDN w:val="0"/>
              <w:adjustRightInd w:val="0"/>
              <w:rPr>
                <w:sz w:val="20"/>
                <w:szCs w:val="20"/>
              </w:rPr>
            </w:pPr>
            <w:r w:rsidRPr="005C1619">
              <w:rPr>
                <w:sz w:val="20"/>
                <w:szCs w:val="20"/>
              </w:rPr>
              <w:t>External Environmental Paint Assessment (Form 120)</w:t>
            </w:r>
          </w:p>
        </w:tc>
        <w:tc>
          <w:tcPr>
            <w:tcW w:w="1534" w:type="dxa"/>
            <w:shd w:val="clear" w:color="auto" w:fill="auto"/>
            <w:vAlign w:val="center"/>
          </w:tcPr>
          <w:p w:rsidRPr="00F16E9D" w:rsidR="00F6720F" w:rsidRDefault="00F6720F" w14:paraId="4352AFA5" w14:textId="7838EFE0">
            <w:pPr>
              <w:widowControl w:val="0"/>
              <w:tabs>
                <w:tab w:val="left" w:pos="1545"/>
              </w:tabs>
              <w:autoSpaceDE w:val="0"/>
              <w:autoSpaceDN w:val="0"/>
              <w:adjustRightInd w:val="0"/>
              <w:jc w:val="center"/>
              <w:rPr>
                <w:sz w:val="20"/>
                <w:szCs w:val="20"/>
              </w:rPr>
            </w:pPr>
            <w:r w:rsidRPr="005C1619">
              <w:rPr>
                <w:sz w:val="20"/>
                <w:szCs w:val="20"/>
              </w:rPr>
              <w:t>300</w:t>
            </w:r>
          </w:p>
        </w:tc>
        <w:tc>
          <w:tcPr>
            <w:tcW w:w="1533" w:type="dxa"/>
            <w:shd w:val="clear" w:color="auto" w:fill="auto"/>
            <w:vAlign w:val="center"/>
          </w:tcPr>
          <w:p w:rsidRPr="00F16E9D" w:rsidR="00F6720F" w:rsidRDefault="00F6720F" w14:paraId="56291865" w14:textId="3B5755BE">
            <w:pPr>
              <w:widowControl w:val="0"/>
              <w:tabs>
                <w:tab w:val="left" w:pos="1545"/>
              </w:tabs>
              <w:autoSpaceDE w:val="0"/>
              <w:autoSpaceDN w:val="0"/>
              <w:adjustRightInd w:val="0"/>
              <w:jc w:val="center"/>
              <w:rPr>
                <w:sz w:val="20"/>
                <w:szCs w:val="20"/>
              </w:rPr>
            </w:pPr>
            <w:r w:rsidRPr="005C1619">
              <w:rPr>
                <w:sz w:val="20"/>
                <w:szCs w:val="20"/>
              </w:rPr>
              <w:t>1</w:t>
            </w:r>
          </w:p>
        </w:tc>
        <w:tc>
          <w:tcPr>
            <w:tcW w:w="1534" w:type="dxa"/>
            <w:shd w:val="clear" w:color="auto" w:fill="auto"/>
            <w:vAlign w:val="center"/>
          </w:tcPr>
          <w:p w:rsidRPr="00F16E9D" w:rsidR="00F6720F" w:rsidRDefault="00F6720F" w14:paraId="0199B12A" w14:textId="20812D1F">
            <w:pPr>
              <w:widowControl w:val="0"/>
              <w:tabs>
                <w:tab w:val="left" w:pos="1545"/>
              </w:tabs>
              <w:autoSpaceDE w:val="0"/>
              <w:autoSpaceDN w:val="0"/>
              <w:adjustRightInd w:val="0"/>
              <w:jc w:val="center"/>
              <w:rPr>
                <w:sz w:val="20"/>
                <w:szCs w:val="20"/>
              </w:rPr>
            </w:pPr>
            <w:r>
              <w:rPr>
                <w:sz w:val="20"/>
                <w:szCs w:val="20"/>
              </w:rPr>
              <w:t>5</w:t>
            </w:r>
            <w:r w:rsidRPr="005C1619">
              <w:rPr>
                <w:sz w:val="20"/>
                <w:szCs w:val="20"/>
              </w:rPr>
              <w:t>/60</w:t>
            </w:r>
          </w:p>
        </w:tc>
        <w:tc>
          <w:tcPr>
            <w:tcW w:w="1534" w:type="dxa"/>
            <w:vAlign w:val="center"/>
          </w:tcPr>
          <w:p w:rsidRPr="00F16E9D" w:rsidR="00F6720F" w:rsidRDefault="0029625F" w14:paraId="002E3CE7" w14:textId="3357CAA2">
            <w:pPr>
              <w:widowControl w:val="0"/>
              <w:tabs>
                <w:tab w:val="left" w:pos="1545"/>
              </w:tabs>
              <w:autoSpaceDE w:val="0"/>
              <w:autoSpaceDN w:val="0"/>
              <w:adjustRightInd w:val="0"/>
              <w:jc w:val="center"/>
              <w:rPr>
                <w:sz w:val="20"/>
                <w:szCs w:val="20"/>
              </w:rPr>
            </w:pPr>
            <w:r>
              <w:rPr>
                <w:sz w:val="20"/>
                <w:szCs w:val="20"/>
              </w:rPr>
              <w:t>25</w:t>
            </w:r>
          </w:p>
        </w:tc>
      </w:tr>
      <w:tr w:rsidRPr="00F16E9D" w:rsidR="00F6720F" w:rsidTr="005511E1" w14:paraId="1C58A612" w14:textId="77777777">
        <w:trPr>
          <w:trHeight w:val="584"/>
        </w:trPr>
        <w:tc>
          <w:tcPr>
            <w:tcW w:w="1818" w:type="dxa"/>
            <w:vMerge/>
            <w:shd w:val="clear" w:color="auto" w:fill="auto"/>
            <w:vAlign w:val="center"/>
          </w:tcPr>
          <w:p w:rsidR="00F6720F" w:rsidP="00F6720F" w:rsidRDefault="00F6720F" w14:paraId="75B7A0A4" w14:textId="77777777">
            <w:pPr>
              <w:widowControl w:val="0"/>
              <w:tabs>
                <w:tab w:val="left" w:pos="1545"/>
              </w:tabs>
              <w:autoSpaceDE w:val="0"/>
              <w:autoSpaceDN w:val="0"/>
              <w:adjustRightInd w:val="0"/>
              <w:rPr>
                <w:sz w:val="20"/>
                <w:szCs w:val="20"/>
              </w:rPr>
            </w:pPr>
          </w:p>
        </w:tc>
        <w:tc>
          <w:tcPr>
            <w:tcW w:w="1623" w:type="dxa"/>
            <w:shd w:val="clear" w:color="auto" w:fill="auto"/>
            <w:vAlign w:val="center"/>
          </w:tcPr>
          <w:p w:rsidRPr="00F16E9D" w:rsidR="00F6720F" w:rsidP="00F6720F" w:rsidRDefault="00F6720F" w14:paraId="209A9FA1" w14:textId="7CB2343B">
            <w:pPr>
              <w:widowControl w:val="0"/>
              <w:tabs>
                <w:tab w:val="left" w:pos="1545"/>
              </w:tabs>
              <w:autoSpaceDE w:val="0"/>
              <w:autoSpaceDN w:val="0"/>
              <w:adjustRightInd w:val="0"/>
              <w:rPr>
                <w:sz w:val="20"/>
                <w:szCs w:val="20"/>
              </w:rPr>
            </w:pPr>
            <w:r w:rsidRPr="005C1619">
              <w:rPr>
                <w:sz w:val="20"/>
                <w:szCs w:val="20"/>
              </w:rPr>
              <w:t>Dust Wipe Collection (Form 200)</w:t>
            </w:r>
          </w:p>
        </w:tc>
        <w:tc>
          <w:tcPr>
            <w:tcW w:w="1534" w:type="dxa"/>
            <w:shd w:val="clear" w:color="auto" w:fill="auto"/>
            <w:vAlign w:val="center"/>
          </w:tcPr>
          <w:p w:rsidRPr="00F16E9D" w:rsidR="00F6720F" w:rsidRDefault="00F6720F" w14:paraId="66EA9444" w14:textId="5B8AB4AB">
            <w:pPr>
              <w:widowControl w:val="0"/>
              <w:tabs>
                <w:tab w:val="left" w:pos="1545"/>
              </w:tabs>
              <w:autoSpaceDE w:val="0"/>
              <w:autoSpaceDN w:val="0"/>
              <w:adjustRightInd w:val="0"/>
              <w:jc w:val="center"/>
              <w:rPr>
                <w:sz w:val="20"/>
                <w:szCs w:val="20"/>
              </w:rPr>
            </w:pPr>
            <w:r w:rsidRPr="005C1619">
              <w:rPr>
                <w:sz w:val="20"/>
                <w:szCs w:val="20"/>
              </w:rPr>
              <w:t>300</w:t>
            </w:r>
          </w:p>
        </w:tc>
        <w:tc>
          <w:tcPr>
            <w:tcW w:w="1533" w:type="dxa"/>
            <w:shd w:val="clear" w:color="auto" w:fill="auto"/>
            <w:vAlign w:val="center"/>
          </w:tcPr>
          <w:p w:rsidRPr="00F16E9D" w:rsidR="00F6720F" w:rsidRDefault="00F6720F" w14:paraId="5046D80F" w14:textId="7341DA10">
            <w:pPr>
              <w:widowControl w:val="0"/>
              <w:tabs>
                <w:tab w:val="left" w:pos="1545"/>
              </w:tabs>
              <w:autoSpaceDE w:val="0"/>
              <w:autoSpaceDN w:val="0"/>
              <w:adjustRightInd w:val="0"/>
              <w:jc w:val="center"/>
              <w:rPr>
                <w:sz w:val="20"/>
                <w:szCs w:val="20"/>
              </w:rPr>
            </w:pPr>
            <w:r w:rsidRPr="005C1619">
              <w:rPr>
                <w:sz w:val="20"/>
                <w:szCs w:val="20"/>
              </w:rPr>
              <w:t>1</w:t>
            </w:r>
          </w:p>
        </w:tc>
        <w:tc>
          <w:tcPr>
            <w:tcW w:w="1534" w:type="dxa"/>
            <w:shd w:val="clear" w:color="auto" w:fill="auto"/>
            <w:vAlign w:val="center"/>
          </w:tcPr>
          <w:p w:rsidRPr="00F16E9D" w:rsidR="00F6720F" w:rsidRDefault="00F6720F" w14:paraId="48DB8BBE" w14:textId="40577EC4">
            <w:pPr>
              <w:widowControl w:val="0"/>
              <w:tabs>
                <w:tab w:val="left" w:pos="1545"/>
              </w:tabs>
              <w:autoSpaceDE w:val="0"/>
              <w:autoSpaceDN w:val="0"/>
              <w:adjustRightInd w:val="0"/>
              <w:jc w:val="center"/>
              <w:rPr>
                <w:sz w:val="20"/>
                <w:szCs w:val="20"/>
              </w:rPr>
            </w:pPr>
            <w:r>
              <w:rPr>
                <w:sz w:val="20"/>
                <w:szCs w:val="20"/>
              </w:rPr>
              <w:t>10</w:t>
            </w:r>
            <w:r w:rsidRPr="005C1619">
              <w:rPr>
                <w:sz w:val="20"/>
                <w:szCs w:val="20"/>
              </w:rPr>
              <w:t>/60</w:t>
            </w:r>
          </w:p>
        </w:tc>
        <w:tc>
          <w:tcPr>
            <w:tcW w:w="1534" w:type="dxa"/>
            <w:vAlign w:val="center"/>
          </w:tcPr>
          <w:p w:rsidRPr="00F16E9D" w:rsidR="00F6720F" w:rsidRDefault="0029625F" w14:paraId="298CDF20" w14:textId="5534A849">
            <w:pPr>
              <w:widowControl w:val="0"/>
              <w:tabs>
                <w:tab w:val="left" w:pos="1545"/>
              </w:tabs>
              <w:autoSpaceDE w:val="0"/>
              <w:autoSpaceDN w:val="0"/>
              <w:adjustRightInd w:val="0"/>
              <w:jc w:val="center"/>
              <w:rPr>
                <w:sz w:val="20"/>
                <w:szCs w:val="20"/>
              </w:rPr>
            </w:pPr>
            <w:r>
              <w:rPr>
                <w:sz w:val="20"/>
                <w:szCs w:val="20"/>
              </w:rPr>
              <w:t>50</w:t>
            </w:r>
          </w:p>
        </w:tc>
      </w:tr>
      <w:tr w:rsidRPr="00F16E9D" w:rsidR="00F6720F" w:rsidTr="005511E1" w14:paraId="2B95C9A7" w14:textId="77777777">
        <w:trPr>
          <w:trHeight w:val="584"/>
        </w:trPr>
        <w:tc>
          <w:tcPr>
            <w:tcW w:w="1818" w:type="dxa"/>
            <w:vMerge/>
            <w:shd w:val="clear" w:color="auto" w:fill="auto"/>
            <w:vAlign w:val="center"/>
          </w:tcPr>
          <w:p w:rsidR="00F6720F" w:rsidP="00F6720F" w:rsidRDefault="00F6720F" w14:paraId="2F5608A4" w14:textId="77777777">
            <w:pPr>
              <w:widowControl w:val="0"/>
              <w:tabs>
                <w:tab w:val="left" w:pos="1545"/>
              </w:tabs>
              <w:autoSpaceDE w:val="0"/>
              <w:autoSpaceDN w:val="0"/>
              <w:adjustRightInd w:val="0"/>
              <w:rPr>
                <w:sz w:val="20"/>
                <w:szCs w:val="20"/>
              </w:rPr>
            </w:pPr>
          </w:p>
        </w:tc>
        <w:tc>
          <w:tcPr>
            <w:tcW w:w="1623" w:type="dxa"/>
            <w:shd w:val="clear" w:color="auto" w:fill="auto"/>
            <w:vAlign w:val="center"/>
          </w:tcPr>
          <w:p w:rsidRPr="00F16E9D" w:rsidR="00F6720F" w:rsidP="00F6720F" w:rsidRDefault="00F6720F" w14:paraId="12963A85" w14:textId="5A26369A">
            <w:pPr>
              <w:widowControl w:val="0"/>
              <w:tabs>
                <w:tab w:val="left" w:pos="1545"/>
              </w:tabs>
              <w:autoSpaceDE w:val="0"/>
              <w:autoSpaceDN w:val="0"/>
              <w:adjustRightInd w:val="0"/>
              <w:rPr>
                <w:sz w:val="20"/>
                <w:szCs w:val="20"/>
              </w:rPr>
            </w:pPr>
            <w:r w:rsidRPr="005C1619">
              <w:rPr>
                <w:sz w:val="20"/>
                <w:szCs w:val="20"/>
              </w:rPr>
              <w:t>Soil Composite Sample Collection (Form 300)</w:t>
            </w:r>
          </w:p>
        </w:tc>
        <w:tc>
          <w:tcPr>
            <w:tcW w:w="1534" w:type="dxa"/>
            <w:shd w:val="clear" w:color="auto" w:fill="auto"/>
            <w:vAlign w:val="center"/>
          </w:tcPr>
          <w:p w:rsidRPr="00F16E9D" w:rsidR="00F6720F" w:rsidRDefault="00F6720F" w14:paraId="284FC9F9" w14:textId="07099348">
            <w:pPr>
              <w:widowControl w:val="0"/>
              <w:tabs>
                <w:tab w:val="left" w:pos="1545"/>
              </w:tabs>
              <w:autoSpaceDE w:val="0"/>
              <w:autoSpaceDN w:val="0"/>
              <w:adjustRightInd w:val="0"/>
              <w:jc w:val="center"/>
              <w:rPr>
                <w:sz w:val="20"/>
                <w:szCs w:val="20"/>
              </w:rPr>
            </w:pPr>
            <w:r w:rsidRPr="005C1619">
              <w:rPr>
                <w:sz w:val="20"/>
                <w:szCs w:val="20"/>
              </w:rPr>
              <w:t>300</w:t>
            </w:r>
          </w:p>
        </w:tc>
        <w:tc>
          <w:tcPr>
            <w:tcW w:w="1533" w:type="dxa"/>
            <w:shd w:val="clear" w:color="auto" w:fill="auto"/>
            <w:vAlign w:val="center"/>
          </w:tcPr>
          <w:p w:rsidRPr="00F16E9D" w:rsidR="00F6720F" w:rsidRDefault="00F6720F" w14:paraId="18041E24" w14:textId="1563E2C3">
            <w:pPr>
              <w:widowControl w:val="0"/>
              <w:tabs>
                <w:tab w:val="left" w:pos="1545"/>
              </w:tabs>
              <w:autoSpaceDE w:val="0"/>
              <w:autoSpaceDN w:val="0"/>
              <w:adjustRightInd w:val="0"/>
              <w:jc w:val="center"/>
              <w:rPr>
                <w:sz w:val="20"/>
                <w:szCs w:val="20"/>
              </w:rPr>
            </w:pPr>
            <w:r w:rsidRPr="005C1619">
              <w:rPr>
                <w:sz w:val="20"/>
                <w:szCs w:val="20"/>
              </w:rPr>
              <w:t>1</w:t>
            </w:r>
          </w:p>
        </w:tc>
        <w:tc>
          <w:tcPr>
            <w:tcW w:w="1534" w:type="dxa"/>
            <w:shd w:val="clear" w:color="auto" w:fill="auto"/>
            <w:vAlign w:val="center"/>
          </w:tcPr>
          <w:p w:rsidRPr="00F16E9D" w:rsidR="00F6720F" w:rsidRDefault="00F6720F" w14:paraId="710505E5" w14:textId="33FF0FC2">
            <w:pPr>
              <w:widowControl w:val="0"/>
              <w:tabs>
                <w:tab w:val="left" w:pos="1545"/>
              </w:tabs>
              <w:autoSpaceDE w:val="0"/>
              <w:autoSpaceDN w:val="0"/>
              <w:adjustRightInd w:val="0"/>
              <w:jc w:val="center"/>
              <w:rPr>
                <w:sz w:val="20"/>
                <w:szCs w:val="20"/>
              </w:rPr>
            </w:pPr>
            <w:r>
              <w:rPr>
                <w:sz w:val="20"/>
                <w:szCs w:val="20"/>
              </w:rPr>
              <w:t>20</w:t>
            </w:r>
            <w:r w:rsidRPr="005C1619">
              <w:rPr>
                <w:sz w:val="20"/>
                <w:szCs w:val="20"/>
              </w:rPr>
              <w:t>/60</w:t>
            </w:r>
          </w:p>
        </w:tc>
        <w:tc>
          <w:tcPr>
            <w:tcW w:w="1534" w:type="dxa"/>
            <w:vAlign w:val="center"/>
          </w:tcPr>
          <w:p w:rsidRPr="00F16E9D" w:rsidR="00F6720F" w:rsidRDefault="0029625F" w14:paraId="68C01295" w14:textId="2B5EA4CD">
            <w:pPr>
              <w:widowControl w:val="0"/>
              <w:tabs>
                <w:tab w:val="left" w:pos="1545"/>
              </w:tabs>
              <w:autoSpaceDE w:val="0"/>
              <w:autoSpaceDN w:val="0"/>
              <w:adjustRightInd w:val="0"/>
              <w:jc w:val="center"/>
              <w:rPr>
                <w:sz w:val="20"/>
                <w:szCs w:val="20"/>
              </w:rPr>
            </w:pPr>
            <w:r>
              <w:rPr>
                <w:sz w:val="20"/>
                <w:szCs w:val="20"/>
              </w:rPr>
              <w:t>100</w:t>
            </w:r>
          </w:p>
        </w:tc>
      </w:tr>
      <w:tr w:rsidRPr="00F16E9D" w:rsidR="00F6720F" w:rsidTr="005511E1" w14:paraId="064F3DAD" w14:textId="77777777">
        <w:trPr>
          <w:trHeight w:val="584"/>
        </w:trPr>
        <w:tc>
          <w:tcPr>
            <w:tcW w:w="1818" w:type="dxa"/>
            <w:vMerge/>
            <w:shd w:val="clear" w:color="auto" w:fill="auto"/>
            <w:vAlign w:val="center"/>
          </w:tcPr>
          <w:p w:rsidR="00F6720F" w:rsidP="00F6720F" w:rsidRDefault="00F6720F" w14:paraId="4F94152B" w14:textId="77777777">
            <w:pPr>
              <w:widowControl w:val="0"/>
              <w:tabs>
                <w:tab w:val="left" w:pos="1545"/>
              </w:tabs>
              <w:autoSpaceDE w:val="0"/>
              <w:autoSpaceDN w:val="0"/>
              <w:adjustRightInd w:val="0"/>
              <w:rPr>
                <w:sz w:val="20"/>
                <w:szCs w:val="20"/>
              </w:rPr>
            </w:pPr>
          </w:p>
        </w:tc>
        <w:tc>
          <w:tcPr>
            <w:tcW w:w="1623" w:type="dxa"/>
            <w:shd w:val="clear" w:color="auto" w:fill="auto"/>
            <w:vAlign w:val="center"/>
          </w:tcPr>
          <w:p w:rsidRPr="004034A1" w:rsidR="00F6720F" w:rsidP="00F6720F" w:rsidRDefault="00F6720F" w14:paraId="7EFCF3A6" w14:textId="2F1B23D8">
            <w:pPr>
              <w:widowControl w:val="0"/>
              <w:tabs>
                <w:tab w:val="left" w:pos="1545"/>
              </w:tabs>
              <w:autoSpaceDE w:val="0"/>
              <w:autoSpaceDN w:val="0"/>
              <w:adjustRightInd w:val="0"/>
              <w:rPr>
                <w:sz w:val="20"/>
                <w:szCs w:val="20"/>
                <w:vertAlign w:val="superscript"/>
              </w:rPr>
            </w:pPr>
            <w:r w:rsidRPr="005C1619">
              <w:rPr>
                <w:sz w:val="20"/>
                <w:szCs w:val="20"/>
              </w:rPr>
              <w:t>Private Well Water Collection (Form 400)</w:t>
            </w:r>
            <w:r w:rsidR="00F6515C">
              <w:rPr>
                <w:sz w:val="20"/>
                <w:szCs w:val="20"/>
              </w:rPr>
              <w:t xml:space="preserve"> </w:t>
            </w:r>
            <w:r w:rsidR="00B233F2">
              <w:rPr>
                <w:sz w:val="20"/>
                <w:szCs w:val="20"/>
                <w:vertAlign w:val="superscript"/>
              </w:rPr>
              <w:t>a</w:t>
            </w:r>
          </w:p>
        </w:tc>
        <w:tc>
          <w:tcPr>
            <w:tcW w:w="1534" w:type="dxa"/>
            <w:shd w:val="clear" w:color="auto" w:fill="auto"/>
            <w:vAlign w:val="center"/>
          </w:tcPr>
          <w:p w:rsidRPr="004034A1" w:rsidR="00F6720F" w:rsidRDefault="00F50776" w14:paraId="491C3020" w14:textId="3F3ADB3A">
            <w:pPr>
              <w:widowControl w:val="0"/>
              <w:tabs>
                <w:tab w:val="left" w:pos="1545"/>
              </w:tabs>
              <w:autoSpaceDE w:val="0"/>
              <w:autoSpaceDN w:val="0"/>
              <w:adjustRightInd w:val="0"/>
              <w:jc w:val="center"/>
              <w:rPr>
                <w:sz w:val="20"/>
                <w:szCs w:val="20"/>
                <w:vertAlign w:val="superscript"/>
              </w:rPr>
            </w:pPr>
            <w:r>
              <w:rPr>
                <w:sz w:val="20"/>
                <w:szCs w:val="20"/>
              </w:rPr>
              <w:t>60</w:t>
            </w:r>
            <w:r w:rsidR="00F6515C">
              <w:rPr>
                <w:sz w:val="20"/>
                <w:szCs w:val="20"/>
              </w:rPr>
              <w:t xml:space="preserve"> </w:t>
            </w:r>
            <w:r w:rsidRPr="005A36CD" w:rsidR="005A36CD">
              <w:rPr>
                <w:sz w:val="20"/>
                <w:szCs w:val="20"/>
                <w:vertAlign w:val="superscript"/>
              </w:rPr>
              <w:t>a</w:t>
            </w:r>
          </w:p>
        </w:tc>
        <w:tc>
          <w:tcPr>
            <w:tcW w:w="1533" w:type="dxa"/>
            <w:shd w:val="clear" w:color="auto" w:fill="auto"/>
            <w:vAlign w:val="center"/>
          </w:tcPr>
          <w:p w:rsidRPr="00F16E9D" w:rsidR="00F6720F" w:rsidRDefault="00F6720F" w14:paraId="596F092D" w14:textId="7CDD0E52">
            <w:pPr>
              <w:widowControl w:val="0"/>
              <w:tabs>
                <w:tab w:val="left" w:pos="1545"/>
              </w:tabs>
              <w:autoSpaceDE w:val="0"/>
              <w:autoSpaceDN w:val="0"/>
              <w:adjustRightInd w:val="0"/>
              <w:jc w:val="center"/>
              <w:rPr>
                <w:sz w:val="20"/>
                <w:szCs w:val="20"/>
              </w:rPr>
            </w:pPr>
            <w:r w:rsidRPr="005C1619">
              <w:rPr>
                <w:sz w:val="20"/>
                <w:szCs w:val="20"/>
              </w:rPr>
              <w:t>1</w:t>
            </w:r>
          </w:p>
        </w:tc>
        <w:tc>
          <w:tcPr>
            <w:tcW w:w="1534" w:type="dxa"/>
            <w:shd w:val="clear" w:color="auto" w:fill="auto"/>
            <w:vAlign w:val="center"/>
          </w:tcPr>
          <w:p w:rsidRPr="00F16E9D" w:rsidR="00F6720F" w:rsidRDefault="00F6720F" w14:paraId="13BFDD1D" w14:textId="477B4F35">
            <w:pPr>
              <w:widowControl w:val="0"/>
              <w:tabs>
                <w:tab w:val="left" w:pos="1545"/>
              </w:tabs>
              <w:autoSpaceDE w:val="0"/>
              <w:autoSpaceDN w:val="0"/>
              <w:adjustRightInd w:val="0"/>
              <w:jc w:val="center"/>
              <w:rPr>
                <w:sz w:val="20"/>
                <w:szCs w:val="20"/>
              </w:rPr>
            </w:pPr>
            <w:r>
              <w:rPr>
                <w:sz w:val="20"/>
                <w:szCs w:val="20"/>
              </w:rPr>
              <w:t>5</w:t>
            </w:r>
            <w:r w:rsidRPr="005C1619">
              <w:rPr>
                <w:sz w:val="20"/>
                <w:szCs w:val="20"/>
              </w:rPr>
              <w:t>/60</w:t>
            </w:r>
          </w:p>
        </w:tc>
        <w:tc>
          <w:tcPr>
            <w:tcW w:w="1534" w:type="dxa"/>
            <w:vAlign w:val="center"/>
          </w:tcPr>
          <w:p w:rsidRPr="00F16E9D" w:rsidR="00F6720F" w:rsidRDefault="004030F9" w14:paraId="42926C3D" w14:textId="296E448C">
            <w:pPr>
              <w:widowControl w:val="0"/>
              <w:tabs>
                <w:tab w:val="left" w:pos="1545"/>
              </w:tabs>
              <w:autoSpaceDE w:val="0"/>
              <w:autoSpaceDN w:val="0"/>
              <w:adjustRightInd w:val="0"/>
              <w:jc w:val="center"/>
              <w:rPr>
                <w:sz w:val="20"/>
                <w:szCs w:val="20"/>
              </w:rPr>
            </w:pPr>
            <w:r>
              <w:rPr>
                <w:sz w:val="20"/>
                <w:szCs w:val="20"/>
              </w:rPr>
              <w:t>5</w:t>
            </w:r>
          </w:p>
        </w:tc>
      </w:tr>
      <w:tr w:rsidRPr="00F16E9D" w:rsidR="00F6720F" w:rsidTr="005511E1" w14:paraId="7301A0F9" w14:textId="77777777">
        <w:trPr>
          <w:trHeight w:val="584"/>
        </w:trPr>
        <w:tc>
          <w:tcPr>
            <w:tcW w:w="1818" w:type="dxa"/>
            <w:vMerge/>
            <w:shd w:val="clear" w:color="auto" w:fill="auto"/>
            <w:vAlign w:val="center"/>
          </w:tcPr>
          <w:p w:rsidR="00F6720F" w:rsidP="00F6720F" w:rsidRDefault="00F6720F" w14:paraId="0A987DD9" w14:textId="77777777">
            <w:pPr>
              <w:widowControl w:val="0"/>
              <w:tabs>
                <w:tab w:val="left" w:pos="1545"/>
              </w:tabs>
              <w:autoSpaceDE w:val="0"/>
              <w:autoSpaceDN w:val="0"/>
              <w:adjustRightInd w:val="0"/>
              <w:rPr>
                <w:sz w:val="20"/>
                <w:szCs w:val="20"/>
              </w:rPr>
            </w:pPr>
          </w:p>
        </w:tc>
        <w:tc>
          <w:tcPr>
            <w:tcW w:w="1623" w:type="dxa"/>
            <w:shd w:val="clear" w:color="auto" w:fill="auto"/>
            <w:vAlign w:val="center"/>
          </w:tcPr>
          <w:p w:rsidRPr="004034A1" w:rsidR="00F6720F" w:rsidP="00F6720F" w:rsidRDefault="00F6720F" w14:paraId="172095EC" w14:textId="6B3A1A98">
            <w:pPr>
              <w:widowControl w:val="0"/>
              <w:tabs>
                <w:tab w:val="left" w:pos="1545"/>
              </w:tabs>
              <w:autoSpaceDE w:val="0"/>
              <w:autoSpaceDN w:val="0"/>
              <w:adjustRightInd w:val="0"/>
              <w:rPr>
                <w:sz w:val="20"/>
                <w:szCs w:val="20"/>
                <w:vertAlign w:val="superscript"/>
              </w:rPr>
            </w:pPr>
            <w:r w:rsidRPr="005C1619">
              <w:rPr>
                <w:sz w:val="20"/>
                <w:szCs w:val="20"/>
              </w:rPr>
              <w:t>Public Water Kitchen Tap Collection (Form 500)</w:t>
            </w:r>
            <w:r w:rsidR="00F6515C">
              <w:rPr>
                <w:sz w:val="20"/>
                <w:szCs w:val="20"/>
              </w:rPr>
              <w:t xml:space="preserve"> </w:t>
            </w:r>
            <w:r w:rsidR="005A36CD">
              <w:rPr>
                <w:sz w:val="20"/>
                <w:szCs w:val="20"/>
                <w:vertAlign w:val="superscript"/>
              </w:rPr>
              <w:t>a</w:t>
            </w:r>
          </w:p>
        </w:tc>
        <w:tc>
          <w:tcPr>
            <w:tcW w:w="1534" w:type="dxa"/>
            <w:shd w:val="clear" w:color="auto" w:fill="auto"/>
            <w:vAlign w:val="center"/>
          </w:tcPr>
          <w:p w:rsidRPr="004034A1" w:rsidR="00F6720F" w:rsidRDefault="007153CB" w14:paraId="58243907" w14:textId="4FF91E08">
            <w:pPr>
              <w:widowControl w:val="0"/>
              <w:tabs>
                <w:tab w:val="left" w:pos="1545"/>
              </w:tabs>
              <w:autoSpaceDE w:val="0"/>
              <w:autoSpaceDN w:val="0"/>
              <w:adjustRightInd w:val="0"/>
              <w:jc w:val="center"/>
              <w:rPr>
                <w:sz w:val="20"/>
                <w:szCs w:val="20"/>
                <w:vertAlign w:val="superscript"/>
              </w:rPr>
            </w:pPr>
            <w:r>
              <w:rPr>
                <w:sz w:val="20"/>
                <w:szCs w:val="20"/>
              </w:rPr>
              <w:t>2</w:t>
            </w:r>
            <w:r w:rsidR="00F50776">
              <w:rPr>
                <w:sz w:val="20"/>
                <w:szCs w:val="20"/>
              </w:rPr>
              <w:t>40</w:t>
            </w:r>
            <w:r w:rsidR="00F6515C">
              <w:rPr>
                <w:sz w:val="20"/>
                <w:szCs w:val="20"/>
              </w:rPr>
              <w:t xml:space="preserve"> </w:t>
            </w:r>
            <w:r w:rsidR="005A36CD">
              <w:rPr>
                <w:sz w:val="20"/>
                <w:szCs w:val="20"/>
                <w:vertAlign w:val="superscript"/>
              </w:rPr>
              <w:t>a</w:t>
            </w:r>
          </w:p>
        </w:tc>
        <w:tc>
          <w:tcPr>
            <w:tcW w:w="1533" w:type="dxa"/>
            <w:shd w:val="clear" w:color="auto" w:fill="auto"/>
            <w:vAlign w:val="center"/>
          </w:tcPr>
          <w:p w:rsidRPr="00F16E9D" w:rsidR="00F6720F" w:rsidRDefault="00F6720F" w14:paraId="00ACA786" w14:textId="24FCBC9D">
            <w:pPr>
              <w:widowControl w:val="0"/>
              <w:tabs>
                <w:tab w:val="left" w:pos="1545"/>
              </w:tabs>
              <w:autoSpaceDE w:val="0"/>
              <w:autoSpaceDN w:val="0"/>
              <w:adjustRightInd w:val="0"/>
              <w:jc w:val="center"/>
              <w:rPr>
                <w:sz w:val="20"/>
                <w:szCs w:val="20"/>
              </w:rPr>
            </w:pPr>
            <w:r w:rsidRPr="005C1619">
              <w:rPr>
                <w:sz w:val="20"/>
                <w:szCs w:val="20"/>
              </w:rPr>
              <w:t>1</w:t>
            </w:r>
          </w:p>
        </w:tc>
        <w:tc>
          <w:tcPr>
            <w:tcW w:w="1534" w:type="dxa"/>
            <w:shd w:val="clear" w:color="auto" w:fill="auto"/>
            <w:vAlign w:val="center"/>
          </w:tcPr>
          <w:p w:rsidRPr="00F16E9D" w:rsidR="00F6720F" w:rsidRDefault="00F6720F" w14:paraId="7AA37B52" w14:textId="0EDCA77C">
            <w:pPr>
              <w:widowControl w:val="0"/>
              <w:tabs>
                <w:tab w:val="left" w:pos="1545"/>
              </w:tabs>
              <w:autoSpaceDE w:val="0"/>
              <w:autoSpaceDN w:val="0"/>
              <w:adjustRightInd w:val="0"/>
              <w:jc w:val="center"/>
              <w:rPr>
                <w:sz w:val="20"/>
                <w:szCs w:val="20"/>
              </w:rPr>
            </w:pPr>
            <w:r>
              <w:rPr>
                <w:sz w:val="20"/>
                <w:szCs w:val="20"/>
              </w:rPr>
              <w:t>5</w:t>
            </w:r>
            <w:r w:rsidRPr="005C1619">
              <w:rPr>
                <w:sz w:val="20"/>
                <w:szCs w:val="20"/>
              </w:rPr>
              <w:t>/60</w:t>
            </w:r>
          </w:p>
        </w:tc>
        <w:tc>
          <w:tcPr>
            <w:tcW w:w="1534" w:type="dxa"/>
            <w:vAlign w:val="center"/>
          </w:tcPr>
          <w:p w:rsidRPr="00F16E9D" w:rsidR="00F6720F" w:rsidRDefault="004030F9" w14:paraId="6CBEE91B" w14:textId="13A995C1">
            <w:pPr>
              <w:widowControl w:val="0"/>
              <w:tabs>
                <w:tab w:val="left" w:pos="1545"/>
              </w:tabs>
              <w:autoSpaceDE w:val="0"/>
              <w:autoSpaceDN w:val="0"/>
              <w:adjustRightInd w:val="0"/>
              <w:jc w:val="center"/>
              <w:rPr>
                <w:sz w:val="20"/>
                <w:szCs w:val="20"/>
              </w:rPr>
            </w:pPr>
            <w:r>
              <w:rPr>
                <w:sz w:val="20"/>
                <w:szCs w:val="20"/>
              </w:rPr>
              <w:t>20</w:t>
            </w:r>
          </w:p>
        </w:tc>
      </w:tr>
      <w:bookmarkEnd w:id="112"/>
      <w:tr w:rsidRPr="00F16E9D" w:rsidR="005A42F1" w:rsidTr="005511E1" w14:paraId="7954B382" w14:textId="77777777">
        <w:trPr>
          <w:trHeight w:val="584"/>
        </w:trPr>
        <w:tc>
          <w:tcPr>
            <w:tcW w:w="1818" w:type="dxa"/>
            <w:shd w:val="clear" w:color="auto" w:fill="auto"/>
            <w:vAlign w:val="center"/>
          </w:tcPr>
          <w:p w:rsidRPr="004034A1" w:rsidR="005A42F1" w:rsidP="005A42F1" w:rsidRDefault="005A42F1" w14:paraId="6C017B04" w14:textId="41778ABF">
            <w:pPr>
              <w:widowControl w:val="0"/>
              <w:tabs>
                <w:tab w:val="left" w:pos="1545"/>
              </w:tabs>
              <w:autoSpaceDE w:val="0"/>
              <w:autoSpaceDN w:val="0"/>
              <w:adjustRightInd w:val="0"/>
              <w:jc w:val="center"/>
              <w:rPr>
                <w:sz w:val="20"/>
                <w:szCs w:val="20"/>
              </w:rPr>
            </w:pPr>
            <w:r w:rsidRPr="004034A1">
              <w:rPr>
                <w:sz w:val="20"/>
                <w:szCs w:val="20"/>
              </w:rPr>
              <w:t>Total</w:t>
            </w:r>
          </w:p>
        </w:tc>
        <w:tc>
          <w:tcPr>
            <w:tcW w:w="1623" w:type="dxa"/>
            <w:shd w:val="clear" w:color="auto" w:fill="auto"/>
            <w:vAlign w:val="center"/>
          </w:tcPr>
          <w:p w:rsidRPr="004034A1" w:rsidR="005A42F1" w:rsidP="005A42F1" w:rsidRDefault="005A42F1" w14:paraId="0FD93CD2" w14:textId="77777777">
            <w:pPr>
              <w:widowControl w:val="0"/>
              <w:tabs>
                <w:tab w:val="left" w:pos="1545"/>
              </w:tabs>
              <w:autoSpaceDE w:val="0"/>
              <w:autoSpaceDN w:val="0"/>
              <w:adjustRightInd w:val="0"/>
              <w:jc w:val="center"/>
              <w:rPr>
                <w:sz w:val="20"/>
                <w:szCs w:val="20"/>
              </w:rPr>
            </w:pPr>
          </w:p>
        </w:tc>
        <w:tc>
          <w:tcPr>
            <w:tcW w:w="1534" w:type="dxa"/>
            <w:shd w:val="clear" w:color="auto" w:fill="auto"/>
            <w:vAlign w:val="center"/>
          </w:tcPr>
          <w:p w:rsidRPr="004034A1" w:rsidR="005A42F1" w:rsidP="005A42F1" w:rsidRDefault="005A42F1" w14:paraId="1BFF06C1" w14:textId="77777777">
            <w:pPr>
              <w:widowControl w:val="0"/>
              <w:tabs>
                <w:tab w:val="left" w:pos="1545"/>
              </w:tabs>
              <w:autoSpaceDE w:val="0"/>
              <w:autoSpaceDN w:val="0"/>
              <w:adjustRightInd w:val="0"/>
              <w:jc w:val="center"/>
              <w:rPr>
                <w:sz w:val="20"/>
                <w:szCs w:val="20"/>
              </w:rPr>
            </w:pPr>
          </w:p>
        </w:tc>
        <w:tc>
          <w:tcPr>
            <w:tcW w:w="1533" w:type="dxa"/>
            <w:shd w:val="clear" w:color="auto" w:fill="auto"/>
            <w:vAlign w:val="center"/>
          </w:tcPr>
          <w:p w:rsidRPr="004034A1" w:rsidR="005A42F1" w:rsidP="005A42F1" w:rsidRDefault="005A42F1" w14:paraId="21B2D203" w14:textId="77777777">
            <w:pPr>
              <w:widowControl w:val="0"/>
              <w:tabs>
                <w:tab w:val="left" w:pos="1545"/>
              </w:tabs>
              <w:autoSpaceDE w:val="0"/>
              <w:autoSpaceDN w:val="0"/>
              <w:adjustRightInd w:val="0"/>
              <w:jc w:val="center"/>
              <w:rPr>
                <w:sz w:val="20"/>
                <w:szCs w:val="20"/>
              </w:rPr>
            </w:pPr>
          </w:p>
        </w:tc>
        <w:tc>
          <w:tcPr>
            <w:tcW w:w="1534" w:type="dxa"/>
            <w:shd w:val="clear" w:color="auto" w:fill="auto"/>
            <w:vAlign w:val="center"/>
          </w:tcPr>
          <w:p w:rsidRPr="004034A1" w:rsidR="005A42F1" w:rsidP="005A42F1" w:rsidRDefault="005A42F1" w14:paraId="642F83E5" w14:textId="77777777">
            <w:pPr>
              <w:widowControl w:val="0"/>
              <w:tabs>
                <w:tab w:val="left" w:pos="1545"/>
              </w:tabs>
              <w:autoSpaceDE w:val="0"/>
              <w:autoSpaceDN w:val="0"/>
              <w:adjustRightInd w:val="0"/>
              <w:jc w:val="center"/>
              <w:rPr>
                <w:sz w:val="20"/>
                <w:szCs w:val="20"/>
              </w:rPr>
            </w:pPr>
          </w:p>
        </w:tc>
        <w:tc>
          <w:tcPr>
            <w:tcW w:w="1534" w:type="dxa"/>
            <w:vAlign w:val="center"/>
          </w:tcPr>
          <w:p w:rsidRPr="004034A1" w:rsidR="005A42F1" w:rsidP="005A42F1" w:rsidRDefault="00F6515C" w14:paraId="0DE3DAFC" w14:textId="156032DF">
            <w:pPr>
              <w:widowControl w:val="0"/>
              <w:tabs>
                <w:tab w:val="left" w:pos="1545"/>
              </w:tabs>
              <w:autoSpaceDE w:val="0"/>
              <w:autoSpaceDN w:val="0"/>
              <w:adjustRightInd w:val="0"/>
              <w:jc w:val="center"/>
              <w:rPr>
                <w:sz w:val="20"/>
                <w:szCs w:val="20"/>
              </w:rPr>
            </w:pPr>
            <w:r>
              <w:rPr>
                <w:sz w:val="20"/>
                <w:szCs w:val="20"/>
              </w:rPr>
              <w:t xml:space="preserve">426 </w:t>
            </w:r>
            <w:r w:rsidRPr="004034A1" w:rsidR="00B233F2">
              <w:rPr>
                <w:sz w:val="20"/>
                <w:szCs w:val="20"/>
                <w:vertAlign w:val="superscript"/>
              </w:rPr>
              <w:t>b</w:t>
            </w:r>
          </w:p>
        </w:tc>
      </w:tr>
    </w:tbl>
    <w:p w:rsidR="00F57E96" w:rsidP="00F06748" w:rsidRDefault="00877867" w14:paraId="0189DDC6" w14:textId="0E5E7133">
      <w:pPr>
        <w:rPr>
          <w:sz w:val="20"/>
          <w:szCs w:val="20"/>
        </w:rPr>
      </w:pPr>
      <w:bookmarkStart w:name="_Toc306344157" w:id="113"/>
      <w:bookmarkStart w:name="_Toc306344798" w:id="114"/>
      <w:bookmarkStart w:name="_Toc306345039" w:id="115"/>
      <w:bookmarkStart w:name="_Toc311445508" w:id="116"/>
      <w:bookmarkEnd w:id="107"/>
      <w:bookmarkEnd w:id="108"/>
      <w:bookmarkEnd w:id="109"/>
      <w:bookmarkEnd w:id="110"/>
      <w:bookmarkEnd w:id="111"/>
      <w:proofErr w:type="spellStart"/>
      <w:r w:rsidRPr="004034A1">
        <w:rPr>
          <w:sz w:val="20"/>
          <w:szCs w:val="20"/>
          <w:vertAlign w:val="superscript"/>
        </w:rPr>
        <w:t>a</w:t>
      </w:r>
      <w:proofErr w:type="spellEnd"/>
      <w:r w:rsidRPr="004034A1">
        <w:rPr>
          <w:sz w:val="20"/>
          <w:szCs w:val="20"/>
          <w:vertAlign w:val="superscript"/>
        </w:rPr>
        <w:t xml:space="preserve"> </w:t>
      </w:r>
      <w:r w:rsidR="00F57E96">
        <w:rPr>
          <w:sz w:val="20"/>
          <w:szCs w:val="20"/>
        </w:rPr>
        <w:t xml:space="preserve">Each of the 300 participants will </w:t>
      </w:r>
      <w:r w:rsidR="00C844C0">
        <w:rPr>
          <w:sz w:val="20"/>
          <w:szCs w:val="20"/>
        </w:rPr>
        <w:t>have</w:t>
      </w:r>
      <w:r w:rsidR="00A3298F">
        <w:rPr>
          <w:sz w:val="20"/>
          <w:szCs w:val="20"/>
        </w:rPr>
        <w:t xml:space="preserve"> their </w:t>
      </w:r>
      <w:r w:rsidR="008B6923">
        <w:rPr>
          <w:sz w:val="20"/>
          <w:szCs w:val="20"/>
        </w:rPr>
        <w:t>w</w:t>
      </w:r>
      <w:r w:rsidR="00C844C0">
        <w:rPr>
          <w:sz w:val="20"/>
          <w:szCs w:val="20"/>
        </w:rPr>
        <w:t>ater sample</w:t>
      </w:r>
      <w:r w:rsidR="008B6923">
        <w:rPr>
          <w:sz w:val="20"/>
          <w:szCs w:val="20"/>
        </w:rPr>
        <w:t>d</w:t>
      </w:r>
      <w:r w:rsidR="00C844C0">
        <w:rPr>
          <w:sz w:val="20"/>
          <w:szCs w:val="20"/>
        </w:rPr>
        <w:t xml:space="preserve">. </w:t>
      </w:r>
      <w:r w:rsidR="008B6923">
        <w:rPr>
          <w:sz w:val="20"/>
          <w:szCs w:val="20"/>
        </w:rPr>
        <w:t xml:space="preserve">Water sampling will require no more than 5 </w:t>
      </w:r>
      <w:r w:rsidR="00426C71">
        <w:rPr>
          <w:sz w:val="20"/>
          <w:szCs w:val="20"/>
        </w:rPr>
        <w:t>minutes of time for</w:t>
      </w:r>
      <w:r w:rsidR="00F665EF">
        <w:rPr>
          <w:sz w:val="20"/>
          <w:szCs w:val="20"/>
        </w:rPr>
        <w:t xml:space="preserve"> either</w:t>
      </w:r>
      <w:r w:rsidR="00426C71">
        <w:rPr>
          <w:sz w:val="20"/>
          <w:szCs w:val="20"/>
        </w:rPr>
        <w:t xml:space="preserve"> public</w:t>
      </w:r>
      <w:r w:rsidR="00F665EF">
        <w:rPr>
          <w:sz w:val="20"/>
          <w:szCs w:val="20"/>
        </w:rPr>
        <w:t xml:space="preserve"> or </w:t>
      </w:r>
      <w:r w:rsidR="00426C71">
        <w:rPr>
          <w:sz w:val="20"/>
          <w:szCs w:val="20"/>
        </w:rPr>
        <w:t xml:space="preserve"> private </w:t>
      </w:r>
      <w:r w:rsidR="00723A14">
        <w:rPr>
          <w:sz w:val="20"/>
          <w:szCs w:val="20"/>
        </w:rPr>
        <w:t xml:space="preserve">sources. </w:t>
      </w:r>
      <w:r w:rsidR="00C844C0">
        <w:rPr>
          <w:sz w:val="20"/>
          <w:szCs w:val="20"/>
        </w:rPr>
        <w:t xml:space="preserve">ATSDR anticipates </w:t>
      </w:r>
      <w:r w:rsidR="00723A14">
        <w:rPr>
          <w:sz w:val="20"/>
          <w:szCs w:val="20"/>
        </w:rPr>
        <w:t xml:space="preserve">homes will only </w:t>
      </w:r>
      <w:r w:rsidR="0033765A">
        <w:rPr>
          <w:sz w:val="20"/>
          <w:szCs w:val="20"/>
        </w:rPr>
        <w:t>us</w:t>
      </w:r>
      <w:r w:rsidR="00723A14">
        <w:rPr>
          <w:sz w:val="20"/>
          <w:szCs w:val="20"/>
        </w:rPr>
        <w:t xml:space="preserve">e </w:t>
      </w:r>
      <w:r w:rsidR="0033765A">
        <w:rPr>
          <w:sz w:val="20"/>
          <w:szCs w:val="20"/>
        </w:rPr>
        <w:t xml:space="preserve"> water from </w:t>
      </w:r>
      <w:r w:rsidR="00723A14">
        <w:rPr>
          <w:sz w:val="20"/>
          <w:szCs w:val="20"/>
        </w:rPr>
        <w:t xml:space="preserve">one source </w:t>
      </w:r>
      <w:r w:rsidR="0033765A">
        <w:rPr>
          <w:sz w:val="20"/>
          <w:szCs w:val="20"/>
        </w:rPr>
        <w:t>and that no more than 20% of the participants</w:t>
      </w:r>
      <w:r w:rsidR="000E3C7D">
        <w:rPr>
          <w:sz w:val="20"/>
          <w:szCs w:val="20"/>
        </w:rPr>
        <w:t xml:space="preserve"> will have private wells.</w:t>
      </w:r>
      <w:r w:rsidR="00EB75B6">
        <w:rPr>
          <w:sz w:val="20"/>
          <w:szCs w:val="20"/>
        </w:rPr>
        <w:t xml:space="preserve"> The true number of participants with private and public sources may change, </w:t>
      </w:r>
      <w:r w:rsidR="00A537B1">
        <w:rPr>
          <w:sz w:val="20"/>
          <w:szCs w:val="20"/>
        </w:rPr>
        <w:t xml:space="preserve">but </w:t>
      </w:r>
      <w:r w:rsidR="00306870">
        <w:rPr>
          <w:sz w:val="20"/>
          <w:szCs w:val="20"/>
        </w:rPr>
        <w:t xml:space="preserve">the total </w:t>
      </w:r>
      <w:r w:rsidR="00A537B1">
        <w:rPr>
          <w:sz w:val="20"/>
          <w:szCs w:val="20"/>
        </w:rPr>
        <w:t>will still equal 300</w:t>
      </w:r>
      <w:r w:rsidR="00306870">
        <w:rPr>
          <w:sz w:val="20"/>
          <w:szCs w:val="20"/>
        </w:rPr>
        <w:t>, and the burden will not change</w:t>
      </w:r>
      <w:r w:rsidR="00A537B1">
        <w:rPr>
          <w:sz w:val="20"/>
          <w:szCs w:val="20"/>
        </w:rPr>
        <w:t xml:space="preserve">. </w:t>
      </w:r>
      <w:r w:rsidR="00254CC1">
        <w:rPr>
          <w:sz w:val="20"/>
          <w:szCs w:val="20"/>
        </w:rPr>
        <w:t xml:space="preserve"> </w:t>
      </w:r>
    </w:p>
    <w:p w:rsidRPr="004034A1" w:rsidR="00306870" w:rsidP="00F06748" w:rsidRDefault="00306870" w14:paraId="7E0778A3" w14:textId="77777777">
      <w:pPr>
        <w:rPr>
          <w:sz w:val="20"/>
          <w:szCs w:val="20"/>
        </w:rPr>
      </w:pPr>
    </w:p>
    <w:p w:rsidRPr="00F06748" w:rsidR="00770188" w:rsidP="00F06748" w:rsidRDefault="00F57E96" w14:paraId="7C1FEE6A" w14:textId="69199B97">
      <w:proofErr w:type="spellStart"/>
      <w:r>
        <w:rPr>
          <w:sz w:val="20"/>
          <w:szCs w:val="20"/>
          <w:vertAlign w:val="superscript"/>
        </w:rPr>
        <w:t>b</w:t>
      </w:r>
      <w:r w:rsidRPr="004034A1" w:rsidR="00877867">
        <w:rPr>
          <w:sz w:val="20"/>
          <w:szCs w:val="20"/>
        </w:rPr>
        <w:t>This</w:t>
      </w:r>
      <w:proofErr w:type="spellEnd"/>
      <w:r w:rsidRPr="004034A1" w:rsidR="00877867">
        <w:rPr>
          <w:sz w:val="20"/>
          <w:szCs w:val="20"/>
        </w:rPr>
        <w:t xml:space="preserve"> maximum value </w:t>
      </w:r>
      <w:r w:rsidRPr="00130072" w:rsidR="00130072">
        <w:rPr>
          <w:sz w:val="20"/>
          <w:szCs w:val="20"/>
        </w:rPr>
        <w:t>assumes</w:t>
      </w:r>
      <w:r w:rsidRPr="004034A1" w:rsidR="00877867">
        <w:rPr>
          <w:sz w:val="20"/>
          <w:szCs w:val="20"/>
        </w:rPr>
        <w:t xml:space="preserve"> that each participant will have a separate sampling event for indoor dust and outdoor soil. The total will likely be less due to multiple participants that will require one household set of environmental samples. </w:t>
      </w:r>
    </w:p>
    <w:p w:rsidRPr="0094069A" w:rsidR="006653AB" w:rsidP="00B60A40" w:rsidRDefault="00B60A40" w14:paraId="6ADC9A5A" w14:textId="77777777">
      <w:pPr>
        <w:pStyle w:val="Heading3"/>
      </w:pPr>
      <w:bookmarkStart w:name="_Toc105168852" w:id="117"/>
      <w:r>
        <w:t>A.12.2.</w:t>
      </w:r>
      <w:r w:rsidRPr="0094069A" w:rsidR="006653AB">
        <w:t xml:space="preserve"> Annualized Cost to Respondents</w:t>
      </w:r>
      <w:bookmarkEnd w:id="117"/>
    </w:p>
    <w:p w:rsidR="006653AB" w:rsidP="006653AB" w:rsidRDefault="006653AB" w14:paraId="2C1A580C" w14:textId="77777777">
      <w:pPr>
        <w:tabs>
          <w:tab w:val="center" w:pos="4680"/>
          <w:tab w:val="left" w:pos="7710"/>
        </w:tabs>
        <w:rPr>
          <w:b/>
        </w:rPr>
      </w:pPr>
    </w:p>
    <w:p w:rsidR="006653AB" w:rsidP="00D94910" w:rsidRDefault="006653AB" w14:paraId="09B086D3" w14:textId="1A8DE1C9">
      <w:pPr>
        <w:tabs>
          <w:tab w:val="center" w:pos="4680"/>
          <w:tab w:val="left" w:pos="7710"/>
        </w:tabs>
        <w:spacing w:line="276" w:lineRule="auto"/>
        <w:rPr>
          <w:color w:val="FF0000"/>
        </w:rPr>
      </w:pPr>
      <w:r>
        <w:t xml:space="preserve">Using a </w:t>
      </w:r>
      <w:r w:rsidR="009461EA">
        <w:t xml:space="preserve">mean hourly </w:t>
      </w:r>
      <w:r>
        <w:t>rate of $</w:t>
      </w:r>
      <w:r w:rsidR="00765361">
        <w:t>28.01</w:t>
      </w:r>
      <w:r>
        <w:rPr>
          <w:color w:val="000000"/>
        </w:rPr>
        <w:t>/h</w:t>
      </w:r>
      <w:r w:rsidR="0089362A">
        <w:rPr>
          <w:color w:val="000000"/>
        </w:rPr>
        <w:t>our</w:t>
      </w:r>
      <w:r w:rsidR="001B2C61">
        <w:rPr>
          <w:color w:val="000000"/>
        </w:rPr>
        <w:t xml:space="preserve"> for adults</w:t>
      </w:r>
      <w:r w:rsidR="000E7A50">
        <w:rPr>
          <w:color w:val="000000"/>
        </w:rPr>
        <w:t>, parent proxies,</w:t>
      </w:r>
      <w:r w:rsidR="009F4134">
        <w:rPr>
          <w:color w:val="000000"/>
        </w:rPr>
        <w:t xml:space="preserve"> and heads of households</w:t>
      </w:r>
      <w:r w:rsidR="001B2C61">
        <w:rPr>
          <w:color w:val="000000"/>
        </w:rPr>
        <w:t xml:space="preserve"> </w:t>
      </w:r>
      <w:r w:rsidR="003515A4">
        <w:rPr>
          <w:color w:val="000000"/>
        </w:rPr>
        <w:t xml:space="preserve">(for all occupations) </w:t>
      </w:r>
      <w:r w:rsidR="001B2C61">
        <w:rPr>
          <w:color w:val="000000"/>
        </w:rPr>
        <w:t>and a minimum wage of $7.25 for children</w:t>
      </w:r>
      <w:r>
        <w:rPr>
          <w:color w:val="000000"/>
        </w:rPr>
        <w:t>,</w:t>
      </w:r>
      <w:r>
        <w:t xml:space="preserve"> the annualized cost to respondents for the hour burdens for the collection of information is $</w:t>
      </w:r>
      <w:r w:rsidR="002E5DFF">
        <w:t>11,</w:t>
      </w:r>
      <w:r w:rsidR="00576CA0">
        <w:t>12</w:t>
      </w:r>
      <w:r w:rsidR="007532E3">
        <w:t>5</w:t>
      </w:r>
      <w:r w:rsidR="00576CA0">
        <w:t>.76</w:t>
      </w:r>
      <w:r>
        <w:t>. The hourly wage rate is based on the U.S. Department of Labor, Bureau of Labor Statistics’ most current statistics [</w:t>
      </w:r>
      <w:r w:rsidR="00A43880">
        <w:t xml:space="preserve">May </w:t>
      </w:r>
      <w:r w:rsidR="005D7E81">
        <w:t>20</w:t>
      </w:r>
      <w:r w:rsidR="002F3176">
        <w:t>21</w:t>
      </w:r>
      <w:r w:rsidR="005D7E81">
        <w:t xml:space="preserve"> </w:t>
      </w:r>
      <w:r>
        <w:t>National Occupational Employment and Wage Estimates United States,</w:t>
      </w:r>
      <w:r w:rsidR="009461EA">
        <w:t xml:space="preserve"> </w:t>
      </w:r>
      <w:hyperlink w:history="1" w:anchor="00-0000" r:id="rId9">
        <w:r w:rsidRPr="00612AE1" w:rsidR="009F4134">
          <w:rPr>
            <w:rStyle w:val="Hyperlink"/>
          </w:rPr>
          <w:t>http://www.bls.gov/oes/current/oes_nat.htm#00-0000</w:t>
        </w:r>
      </w:hyperlink>
      <w:r>
        <w:t>]</w:t>
      </w:r>
      <w:r w:rsidR="009F4134">
        <w:t xml:space="preserve"> and the U.S. Department of Labor Minimum Wage website, </w:t>
      </w:r>
      <w:r w:rsidRPr="009F4134" w:rsidR="009F4134">
        <w:t>https://www.dol.gov/general/topic/wages/minimumwage</w:t>
      </w:r>
      <w:r w:rsidR="009F4134">
        <w:t>.</w:t>
      </w:r>
    </w:p>
    <w:p w:rsidR="006653AB" w:rsidP="006653AB" w:rsidRDefault="006653AB" w14:paraId="5431048C" w14:textId="77777777">
      <w:pPr>
        <w:tabs>
          <w:tab w:val="center" w:pos="4680"/>
          <w:tab w:val="left" w:pos="7710"/>
        </w:tabs>
        <w:rPr>
          <w:color w:val="FF0000"/>
        </w:rPr>
      </w:pPr>
    </w:p>
    <w:p w:rsidR="006653AB" w:rsidP="006653AB" w:rsidRDefault="006653AB" w14:paraId="77885C07" w14:textId="4E28355F">
      <w:pPr>
        <w:tabs>
          <w:tab w:val="center" w:pos="4680"/>
          <w:tab w:val="left" w:pos="7710"/>
        </w:tabs>
        <w:rPr>
          <w:u w:val="single"/>
        </w:rPr>
      </w:pPr>
      <w:r w:rsidRPr="003D5701">
        <w:rPr>
          <w:color w:val="000000"/>
          <w:u w:val="single"/>
        </w:rPr>
        <w:lastRenderedPageBreak/>
        <w:t xml:space="preserve">Estimated Annualized </w:t>
      </w:r>
      <w:r w:rsidRPr="003D5701">
        <w:rPr>
          <w:u w:val="single"/>
        </w:rPr>
        <w:t>Burden Costs</w:t>
      </w:r>
    </w:p>
    <w:p w:rsidR="0089362A" w:rsidP="006653AB" w:rsidRDefault="0089362A" w14:paraId="77945985" w14:textId="113B459F">
      <w:pPr>
        <w:tabs>
          <w:tab w:val="center" w:pos="4680"/>
          <w:tab w:val="left" w:pos="7710"/>
        </w:tabs>
        <w:rPr>
          <w:u w:val="single"/>
        </w:rPr>
      </w:pPr>
    </w:p>
    <w:tbl>
      <w:tblPr>
        <w:tblW w:w="96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817"/>
        <w:gridCol w:w="1622"/>
        <w:gridCol w:w="1326"/>
        <w:gridCol w:w="1080"/>
        <w:gridCol w:w="1260"/>
        <w:gridCol w:w="1260"/>
        <w:gridCol w:w="1260"/>
      </w:tblGrid>
      <w:tr w:rsidRPr="00F16E9D" w:rsidR="00EA6207" w:rsidTr="004034A1" w14:paraId="659641D1" w14:textId="08E2E8D7">
        <w:trPr>
          <w:trHeight w:val="719"/>
        </w:trPr>
        <w:tc>
          <w:tcPr>
            <w:tcW w:w="1817" w:type="dxa"/>
            <w:shd w:val="clear" w:color="auto" w:fill="auto"/>
          </w:tcPr>
          <w:p w:rsidRPr="004034A1" w:rsidR="00EA6207" w:rsidP="00722921" w:rsidRDefault="00EA6207" w14:paraId="2727361C" w14:textId="77777777">
            <w:pPr>
              <w:tabs>
                <w:tab w:val="left" w:pos="1545"/>
              </w:tabs>
              <w:jc w:val="center"/>
              <w:rPr>
                <w:sz w:val="20"/>
                <w:szCs w:val="20"/>
              </w:rPr>
            </w:pPr>
            <w:r w:rsidRPr="004034A1">
              <w:rPr>
                <w:sz w:val="20"/>
                <w:szCs w:val="20"/>
              </w:rPr>
              <w:t>Type of Respondents</w:t>
            </w:r>
          </w:p>
        </w:tc>
        <w:tc>
          <w:tcPr>
            <w:tcW w:w="1622" w:type="dxa"/>
            <w:shd w:val="clear" w:color="auto" w:fill="auto"/>
          </w:tcPr>
          <w:p w:rsidRPr="004034A1" w:rsidR="00EA6207" w:rsidP="00722921" w:rsidRDefault="00EA6207" w14:paraId="2653A4C5" w14:textId="77777777">
            <w:pPr>
              <w:tabs>
                <w:tab w:val="left" w:pos="1545"/>
              </w:tabs>
              <w:jc w:val="center"/>
              <w:rPr>
                <w:sz w:val="20"/>
                <w:szCs w:val="20"/>
              </w:rPr>
            </w:pPr>
            <w:r w:rsidRPr="004034A1">
              <w:rPr>
                <w:sz w:val="20"/>
                <w:szCs w:val="20"/>
              </w:rPr>
              <w:t>Name of Form</w:t>
            </w:r>
          </w:p>
        </w:tc>
        <w:tc>
          <w:tcPr>
            <w:tcW w:w="1326" w:type="dxa"/>
            <w:shd w:val="clear" w:color="auto" w:fill="auto"/>
          </w:tcPr>
          <w:p w:rsidRPr="004034A1" w:rsidR="00EA6207" w:rsidP="00722921" w:rsidRDefault="00EA6207" w14:paraId="71E4CFD0" w14:textId="77777777">
            <w:pPr>
              <w:widowControl w:val="0"/>
              <w:tabs>
                <w:tab w:val="left" w:pos="1545"/>
              </w:tabs>
              <w:autoSpaceDE w:val="0"/>
              <w:autoSpaceDN w:val="0"/>
              <w:adjustRightInd w:val="0"/>
              <w:jc w:val="center"/>
              <w:rPr>
                <w:sz w:val="20"/>
                <w:szCs w:val="20"/>
              </w:rPr>
            </w:pPr>
            <w:r w:rsidRPr="004034A1">
              <w:rPr>
                <w:sz w:val="20"/>
                <w:szCs w:val="20"/>
              </w:rPr>
              <w:t>No. of Respondents</w:t>
            </w:r>
          </w:p>
        </w:tc>
        <w:tc>
          <w:tcPr>
            <w:tcW w:w="1080" w:type="dxa"/>
            <w:shd w:val="clear" w:color="auto" w:fill="auto"/>
          </w:tcPr>
          <w:p w:rsidRPr="004034A1" w:rsidR="00EA6207" w:rsidP="00722921" w:rsidRDefault="00EA6207" w14:paraId="72054BE1" w14:textId="77777777">
            <w:pPr>
              <w:widowControl w:val="0"/>
              <w:tabs>
                <w:tab w:val="left" w:pos="1545"/>
              </w:tabs>
              <w:autoSpaceDE w:val="0"/>
              <w:autoSpaceDN w:val="0"/>
              <w:adjustRightInd w:val="0"/>
              <w:jc w:val="center"/>
              <w:rPr>
                <w:sz w:val="20"/>
                <w:szCs w:val="20"/>
              </w:rPr>
            </w:pPr>
            <w:r w:rsidRPr="004034A1">
              <w:rPr>
                <w:sz w:val="20"/>
                <w:szCs w:val="20"/>
              </w:rPr>
              <w:t>No. of Responses per Respondent</w:t>
            </w:r>
          </w:p>
        </w:tc>
        <w:tc>
          <w:tcPr>
            <w:tcW w:w="1260" w:type="dxa"/>
            <w:shd w:val="clear" w:color="auto" w:fill="auto"/>
          </w:tcPr>
          <w:p w:rsidRPr="004034A1" w:rsidR="00EA6207" w:rsidP="00722921" w:rsidRDefault="00EA6207" w14:paraId="503CF78A" w14:textId="77777777">
            <w:pPr>
              <w:widowControl w:val="0"/>
              <w:tabs>
                <w:tab w:val="left" w:pos="1545"/>
              </w:tabs>
              <w:autoSpaceDE w:val="0"/>
              <w:autoSpaceDN w:val="0"/>
              <w:adjustRightInd w:val="0"/>
              <w:jc w:val="center"/>
              <w:rPr>
                <w:sz w:val="20"/>
                <w:szCs w:val="20"/>
              </w:rPr>
            </w:pPr>
            <w:r w:rsidRPr="004034A1">
              <w:rPr>
                <w:sz w:val="20"/>
                <w:szCs w:val="20"/>
              </w:rPr>
              <w:t xml:space="preserve">Average Burden per Response </w:t>
            </w:r>
          </w:p>
          <w:p w:rsidRPr="004034A1" w:rsidR="00EA6207" w:rsidP="00722921" w:rsidRDefault="00EA6207" w14:paraId="4DF14C43" w14:textId="77777777">
            <w:pPr>
              <w:widowControl w:val="0"/>
              <w:tabs>
                <w:tab w:val="left" w:pos="1545"/>
              </w:tabs>
              <w:autoSpaceDE w:val="0"/>
              <w:autoSpaceDN w:val="0"/>
              <w:adjustRightInd w:val="0"/>
              <w:jc w:val="center"/>
              <w:rPr>
                <w:sz w:val="20"/>
                <w:szCs w:val="20"/>
              </w:rPr>
            </w:pPr>
            <w:r w:rsidRPr="004034A1">
              <w:rPr>
                <w:sz w:val="20"/>
                <w:szCs w:val="20"/>
              </w:rPr>
              <w:t>(</w:t>
            </w:r>
            <w:proofErr w:type="gramStart"/>
            <w:r w:rsidRPr="004034A1">
              <w:rPr>
                <w:sz w:val="20"/>
                <w:szCs w:val="20"/>
              </w:rPr>
              <w:t>in</w:t>
            </w:r>
            <w:proofErr w:type="gramEnd"/>
            <w:r w:rsidRPr="004034A1">
              <w:rPr>
                <w:sz w:val="20"/>
                <w:szCs w:val="20"/>
              </w:rPr>
              <w:t xml:space="preserve"> hours)</w:t>
            </w:r>
          </w:p>
        </w:tc>
        <w:tc>
          <w:tcPr>
            <w:tcW w:w="1260" w:type="dxa"/>
          </w:tcPr>
          <w:p w:rsidRPr="004034A1" w:rsidR="00EA6207" w:rsidP="00722921" w:rsidRDefault="00EA6207" w14:paraId="5E31399A" w14:textId="3C9A47AA">
            <w:pPr>
              <w:widowControl w:val="0"/>
              <w:tabs>
                <w:tab w:val="left" w:pos="1545"/>
              </w:tabs>
              <w:autoSpaceDE w:val="0"/>
              <w:autoSpaceDN w:val="0"/>
              <w:adjustRightInd w:val="0"/>
              <w:jc w:val="center"/>
              <w:rPr>
                <w:sz w:val="20"/>
                <w:szCs w:val="20"/>
              </w:rPr>
            </w:pPr>
            <w:r w:rsidRPr="004034A1">
              <w:rPr>
                <w:sz w:val="20"/>
                <w:szCs w:val="20"/>
              </w:rPr>
              <w:t>Hourly Wage Rate</w:t>
            </w:r>
          </w:p>
        </w:tc>
        <w:tc>
          <w:tcPr>
            <w:tcW w:w="1260" w:type="dxa"/>
          </w:tcPr>
          <w:p w:rsidRPr="004034A1" w:rsidR="00EA6207" w:rsidRDefault="00EA6207" w14:paraId="040B274C" w14:textId="31E263F6">
            <w:pPr>
              <w:widowControl w:val="0"/>
              <w:tabs>
                <w:tab w:val="left" w:pos="1545"/>
              </w:tabs>
              <w:autoSpaceDE w:val="0"/>
              <w:autoSpaceDN w:val="0"/>
              <w:adjustRightInd w:val="0"/>
              <w:jc w:val="center"/>
              <w:rPr>
                <w:sz w:val="20"/>
                <w:szCs w:val="20"/>
              </w:rPr>
            </w:pPr>
            <w:r w:rsidRPr="004034A1">
              <w:rPr>
                <w:sz w:val="20"/>
                <w:szCs w:val="20"/>
              </w:rPr>
              <w:t>Total Respondent Cost</w:t>
            </w:r>
          </w:p>
        </w:tc>
      </w:tr>
      <w:tr w:rsidRPr="00F16E9D" w:rsidR="00EA6207" w:rsidTr="004034A1" w14:paraId="6B0C63A7" w14:textId="3AEF4203">
        <w:trPr>
          <w:trHeight w:val="584"/>
        </w:trPr>
        <w:tc>
          <w:tcPr>
            <w:tcW w:w="1817" w:type="dxa"/>
            <w:shd w:val="clear" w:color="auto" w:fill="auto"/>
            <w:vAlign w:val="center"/>
          </w:tcPr>
          <w:p w:rsidRPr="004034A1" w:rsidR="00EA6207" w:rsidP="00722921" w:rsidRDefault="00EA6207" w14:paraId="5067EB9B" w14:textId="44079672">
            <w:pPr>
              <w:widowControl w:val="0"/>
              <w:tabs>
                <w:tab w:val="left" w:pos="1545"/>
              </w:tabs>
              <w:autoSpaceDE w:val="0"/>
              <w:autoSpaceDN w:val="0"/>
              <w:adjustRightInd w:val="0"/>
              <w:rPr>
                <w:sz w:val="20"/>
                <w:szCs w:val="20"/>
              </w:rPr>
            </w:pPr>
            <w:r w:rsidRPr="004034A1">
              <w:rPr>
                <w:sz w:val="20"/>
                <w:szCs w:val="20"/>
              </w:rPr>
              <w:t>Parent Proxy for</w:t>
            </w:r>
            <w:r>
              <w:rPr>
                <w:sz w:val="20"/>
                <w:szCs w:val="20"/>
              </w:rPr>
              <w:t xml:space="preserve"> c</w:t>
            </w:r>
            <w:r w:rsidRPr="002277F6">
              <w:rPr>
                <w:sz w:val="20"/>
                <w:szCs w:val="20"/>
              </w:rPr>
              <w:t>hild</w:t>
            </w:r>
            <w:r>
              <w:rPr>
                <w:sz w:val="20"/>
                <w:szCs w:val="20"/>
              </w:rPr>
              <w:t>ren under 6</w:t>
            </w:r>
          </w:p>
        </w:tc>
        <w:tc>
          <w:tcPr>
            <w:tcW w:w="1622" w:type="dxa"/>
            <w:shd w:val="clear" w:color="auto" w:fill="auto"/>
            <w:vAlign w:val="center"/>
          </w:tcPr>
          <w:p w:rsidRPr="004034A1" w:rsidR="00EA6207" w:rsidP="00722921" w:rsidRDefault="00EA6207" w14:paraId="3DC67CBD" w14:textId="77777777">
            <w:pPr>
              <w:widowControl w:val="0"/>
              <w:tabs>
                <w:tab w:val="left" w:pos="1545"/>
              </w:tabs>
              <w:autoSpaceDE w:val="0"/>
              <w:autoSpaceDN w:val="0"/>
              <w:adjustRightInd w:val="0"/>
              <w:rPr>
                <w:sz w:val="20"/>
                <w:szCs w:val="20"/>
              </w:rPr>
            </w:pPr>
            <w:r w:rsidRPr="004034A1">
              <w:rPr>
                <w:sz w:val="20"/>
                <w:szCs w:val="20"/>
              </w:rPr>
              <w:t>Participant Questionnaire</w:t>
            </w:r>
          </w:p>
        </w:tc>
        <w:tc>
          <w:tcPr>
            <w:tcW w:w="1326" w:type="dxa"/>
            <w:shd w:val="clear" w:color="auto" w:fill="auto"/>
            <w:vAlign w:val="center"/>
          </w:tcPr>
          <w:p w:rsidRPr="004034A1" w:rsidR="00EA6207" w:rsidP="00722921" w:rsidRDefault="00EA6207" w14:paraId="02AC39ED" w14:textId="77777777">
            <w:pPr>
              <w:widowControl w:val="0"/>
              <w:tabs>
                <w:tab w:val="left" w:pos="1545"/>
              </w:tabs>
              <w:autoSpaceDE w:val="0"/>
              <w:autoSpaceDN w:val="0"/>
              <w:adjustRightInd w:val="0"/>
              <w:jc w:val="center"/>
              <w:rPr>
                <w:sz w:val="20"/>
                <w:szCs w:val="20"/>
              </w:rPr>
            </w:pPr>
            <w:r w:rsidRPr="004034A1">
              <w:rPr>
                <w:sz w:val="20"/>
                <w:szCs w:val="20"/>
              </w:rPr>
              <w:t>225</w:t>
            </w:r>
          </w:p>
        </w:tc>
        <w:tc>
          <w:tcPr>
            <w:tcW w:w="1080" w:type="dxa"/>
            <w:shd w:val="clear" w:color="auto" w:fill="auto"/>
            <w:vAlign w:val="center"/>
          </w:tcPr>
          <w:p w:rsidRPr="004034A1" w:rsidR="00EA6207" w:rsidP="00722921" w:rsidRDefault="00EA6207" w14:paraId="2436F5B7" w14:textId="77777777">
            <w:pPr>
              <w:widowControl w:val="0"/>
              <w:tabs>
                <w:tab w:val="left" w:pos="1545"/>
              </w:tabs>
              <w:autoSpaceDE w:val="0"/>
              <w:autoSpaceDN w:val="0"/>
              <w:adjustRightInd w:val="0"/>
              <w:jc w:val="center"/>
              <w:rPr>
                <w:sz w:val="20"/>
                <w:szCs w:val="20"/>
              </w:rPr>
            </w:pPr>
            <w:r w:rsidRPr="004034A1">
              <w:rPr>
                <w:sz w:val="20"/>
                <w:szCs w:val="20"/>
              </w:rPr>
              <w:t>1</w:t>
            </w:r>
          </w:p>
        </w:tc>
        <w:tc>
          <w:tcPr>
            <w:tcW w:w="1260" w:type="dxa"/>
            <w:shd w:val="clear" w:color="auto" w:fill="auto"/>
            <w:vAlign w:val="center"/>
          </w:tcPr>
          <w:p w:rsidRPr="004034A1" w:rsidR="00EA6207" w:rsidP="00722921" w:rsidRDefault="00EA6207" w14:paraId="6B7D454C" w14:textId="77777777">
            <w:pPr>
              <w:widowControl w:val="0"/>
              <w:tabs>
                <w:tab w:val="left" w:pos="1545"/>
              </w:tabs>
              <w:autoSpaceDE w:val="0"/>
              <w:autoSpaceDN w:val="0"/>
              <w:adjustRightInd w:val="0"/>
              <w:jc w:val="center"/>
              <w:rPr>
                <w:sz w:val="20"/>
                <w:szCs w:val="20"/>
              </w:rPr>
            </w:pPr>
            <w:r w:rsidRPr="004034A1">
              <w:rPr>
                <w:sz w:val="20"/>
                <w:szCs w:val="20"/>
              </w:rPr>
              <w:t>20/60</w:t>
            </w:r>
          </w:p>
        </w:tc>
        <w:tc>
          <w:tcPr>
            <w:tcW w:w="1260" w:type="dxa"/>
            <w:vAlign w:val="center"/>
          </w:tcPr>
          <w:p w:rsidRPr="004034A1" w:rsidR="00EA6207" w:rsidP="0089362A" w:rsidRDefault="00EA6207" w14:paraId="20545CDB" w14:textId="23BD7761">
            <w:pPr>
              <w:widowControl w:val="0"/>
              <w:tabs>
                <w:tab w:val="left" w:pos="1545"/>
              </w:tabs>
              <w:autoSpaceDE w:val="0"/>
              <w:autoSpaceDN w:val="0"/>
              <w:adjustRightInd w:val="0"/>
              <w:jc w:val="center"/>
              <w:rPr>
                <w:sz w:val="20"/>
                <w:szCs w:val="20"/>
              </w:rPr>
            </w:pPr>
            <w:r w:rsidRPr="004034A1">
              <w:rPr>
                <w:sz w:val="20"/>
                <w:szCs w:val="20"/>
              </w:rPr>
              <w:t>$28.01</w:t>
            </w:r>
          </w:p>
        </w:tc>
        <w:tc>
          <w:tcPr>
            <w:tcW w:w="1260" w:type="dxa"/>
            <w:vAlign w:val="center"/>
          </w:tcPr>
          <w:p w:rsidRPr="004034A1" w:rsidR="00EA6207" w:rsidRDefault="00EA6207" w14:paraId="07C437CC" w14:textId="658A92BE">
            <w:pPr>
              <w:widowControl w:val="0"/>
              <w:tabs>
                <w:tab w:val="left" w:pos="1545"/>
              </w:tabs>
              <w:autoSpaceDE w:val="0"/>
              <w:autoSpaceDN w:val="0"/>
              <w:adjustRightInd w:val="0"/>
              <w:jc w:val="center"/>
              <w:rPr>
                <w:sz w:val="20"/>
                <w:szCs w:val="20"/>
              </w:rPr>
            </w:pPr>
            <w:r w:rsidRPr="004034A1">
              <w:rPr>
                <w:sz w:val="20"/>
                <w:szCs w:val="20"/>
              </w:rPr>
              <w:t>$2,100.75</w:t>
            </w:r>
          </w:p>
        </w:tc>
      </w:tr>
      <w:tr w:rsidRPr="00F16E9D" w:rsidR="00EA6207" w:rsidTr="004034A1" w14:paraId="764032C4" w14:textId="0D9D4443">
        <w:trPr>
          <w:trHeight w:val="584"/>
        </w:trPr>
        <w:tc>
          <w:tcPr>
            <w:tcW w:w="1817" w:type="dxa"/>
            <w:shd w:val="clear" w:color="auto" w:fill="auto"/>
            <w:vAlign w:val="center"/>
          </w:tcPr>
          <w:p w:rsidRPr="004034A1" w:rsidR="00EA6207" w:rsidP="00722921" w:rsidRDefault="00EA6207" w14:paraId="5557F6E7" w14:textId="72235CB1">
            <w:pPr>
              <w:widowControl w:val="0"/>
              <w:tabs>
                <w:tab w:val="left" w:pos="1545"/>
              </w:tabs>
              <w:autoSpaceDE w:val="0"/>
              <w:autoSpaceDN w:val="0"/>
              <w:adjustRightInd w:val="0"/>
              <w:rPr>
                <w:sz w:val="20"/>
                <w:szCs w:val="20"/>
              </w:rPr>
            </w:pPr>
            <w:r>
              <w:rPr>
                <w:sz w:val="20"/>
                <w:szCs w:val="20"/>
              </w:rPr>
              <w:t xml:space="preserve">Adult </w:t>
            </w:r>
            <w:r w:rsidRPr="004034A1">
              <w:rPr>
                <w:sz w:val="20"/>
                <w:szCs w:val="20"/>
              </w:rPr>
              <w:t xml:space="preserve">EI Participants </w:t>
            </w:r>
          </w:p>
        </w:tc>
        <w:tc>
          <w:tcPr>
            <w:tcW w:w="1622" w:type="dxa"/>
            <w:shd w:val="clear" w:color="auto" w:fill="auto"/>
            <w:vAlign w:val="center"/>
          </w:tcPr>
          <w:p w:rsidRPr="004034A1" w:rsidR="00EA6207" w:rsidP="00722921" w:rsidRDefault="00EA6207" w14:paraId="2AA7D1DD" w14:textId="77777777">
            <w:pPr>
              <w:widowControl w:val="0"/>
              <w:tabs>
                <w:tab w:val="left" w:pos="1545"/>
              </w:tabs>
              <w:autoSpaceDE w:val="0"/>
              <w:autoSpaceDN w:val="0"/>
              <w:adjustRightInd w:val="0"/>
              <w:rPr>
                <w:sz w:val="20"/>
                <w:szCs w:val="20"/>
              </w:rPr>
            </w:pPr>
            <w:r w:rsidRPr="004034A1">
              <w:rPr>
                <w:sz w:val="20"/>
                <w:szCs w:val="20"/>
              </w:rPr>
              <w:t>Participant Questionnaire</w:t>
            </w:r>
          </w:p>
        </w:tc>
        <w:tc>
          <w:tcPr>
            <w:tcW w:w="1326" w:type="dxa"/>
            <w:shd w:val="clear" w:color="auto" w:fill="auto"/>
            <w:vAlign w:val="center"/>
          </w:tcPr>
          <w:p w:rsidRPr="004034A1" w:rsidR="00EA6207" w:rsidP="00722921" w:rsidRDefault="00EA6207" w14:paraId="032ACBE1" w14:textId="77777777">
            <w:pPr>
              <w:widowControl w:val="0"/>
              <w:tabs>
                <w:tab w:val="left" w:pos="1545"/>
              </w:tabs>
              <w:autoSpaceDE w:val="0"/>
              <w:autoSpaceDN w:val="0"/>
              <w:adjustRightInd w:val="0"/>
              <w:jc w:val="center"/>
              <w:rPr>
                <w:sz w:val="20"/>
                <w:szCs w:val="20"/>
              </w:rPr>
            </w:pPr>
            <w:r w:rsidRPr="004034A1">
              <w:rPr>
                <w:sz w:val="20"/>
                <w:szCs w:val="20"/>
              </w:rPr>
              <w:t>75</w:t>
            </w:r>
          </w:p>
        </w:tc>
        <w:tc>
          <w:tcPr>
            <w:tcW w:w="1080" w:type="dxa"/>
            <w:shd w:val="clear" w:color="auto" w:fill="auto"/>
            <w:vAlign w:val="center"/>
          </w:tcPr>
          <w:p w:rsidRPr="004034A1" w:rsidR="00EA6207" w:rsidP="00722921" w:rsidRDefault="00EA6207" w14:paraId="1BDC19E2" w14:textId="77777777">
            <w:pPr>
              <w:widowControl w:val="0"/>
              <w:tabs>
                <w:tab w:val="left" w:pos="1545"/>
              </w:tabs>
              <w:autoSpaceDE w:val="0"/>
              <w:autoSpaceDN w:val="0"/>
              <w:adjustRightInd w:val="0"/>
              <w:jc w:val="center"/>
              <w:rPr>
                <w:sz w:val="20"/>
                <w:szCs w:val="20"/>
              </w:rPr>
            </w:pPr>
            <w:r w:rsidRPr="004034A1">
              <w:rPr>
                <w:sz w:val="20"/>
                <w:szCs w:val="20"/>
              </w:rPr>
              <w:t>1</w:t>
            </w:r>
          </w:p>
        </w:tc>
        <w:tc>
          <w:tcPr>
            <w:tcW w:w="1260" w:type="dxa"/>
            <w:shd w:val="clear" w:color="auto" w:fill="auto"/>
            <w:vAlign w:val="center"/>
          </w:tcPr>
          <w:p w:rsidRPr="004034A1" w:rsidR="00EA6207" w:rsidP="00722921" w:rsidRDefault="00EA6207" w14:paraId="65D9ADD9" w14:textId="77777777">
            <w:pPr>
              <w:widowControl w:val="0"/>
              <w:tabs>
                <w:tab w:val="left" w:pos="1545"/>
              </w:tabs>
              <w:autoSpaceDE w:val="0"/>
              <w:autoSpaceDN w:val="0"/>
              <w:adjustRightInd w:val="0"/>
              <w:jc w:val="center"/>
              <w:rPr>
                <w:sz w:val="20"/>
                <w:szCs w:val="20"/>
              </w:rPr>
            </w:pPr>
            <w:r w:rsidRPr="004034A1">
              <w:rPr>
                <w:sz w:val="20"/>
                <w:szCs w:val="20"/>
              </w:rPr>
              <w:t>20/60</w:t>
            </w:r>
          </w:p>
        </w:tc>
        <w:tc>
          <w:tcPr>
            <w:tcW w:w="1260" w:type="dxa"/>
            <w:vAlign w:val="center"/>
          </w:tcPr>
          <w:p w:rsidRPr="004034A1" w:rsidR="00EA6207" w:rsidP="0089362A" w:rsidRDefault="00EA6207" w14:paraId="0D54F73A" w14:textId="36997877">
            <w:pPr>
              <w:widowControl w:val="0"/>
              <w:tabs>
                <w:tab w:val="left" w:pos="1545"/>
              </w:tabs>
              <w:autoSpaceDE w:val="0"/>
              <w:autoSpaceDN w:val="0"/>
              <w:adjustRightInd w:val="0"/>
              <w:jc w:val="center"/>
              <w:rPr>
                <w:sz w:val="20"/>
                <w:szCs w:val="20"/>
              </w:rPr>
            </w:pPr>
            <w:r w:rsidRPr="004034A1">
              <w:rPr>
                <w:sz w:val="20"/>
                <w:szCs w:val="20"/>
              </w:rPr>
              <w:t>$28.01</w:t>
            </w:r>
          </w:p>
        </w:tc>
        <w:tc>
          <w:tcPr>
            <w:tcW w:w="1260" w:type="dxa"/>
            <w:vAlign w:val="center"/>
          </w:tcPr>
          <w:p w:rsidRPr="004034A1" w:rsidR="00EA6207" w:rsidRDefault="00EA6207" w14:paraId="655065D3" w14:textId="0C68D7AE">
            <w:pPr>
              <w:widowControl w:val="0"/>
              <w:tabs>
                <w:tab w:val="left" w:pos="1545"/>
              </w:tabs>
              <w:autoSpaceDE w:val="0"/>
              <w:autoSpaceDN w:val="0"/>
              <w:adjustRightInd w:val="0"/>
              <w:jc w:val="center"/>
              <w:rPr>
                <w:sz w:val="20"/>
                <w:szCs w:val="20"/>
              </w:rPr>
            </w:pPr>
            <w:r>
              <w:rPr>
                <w:sz w:val="20"/>
                <w:szCs w:val="20"/>
              </w:rPr>
              <w:t>$700.25</w:t>
            </w:r>
          </w:p>
        </w:tc>
      </w:tr>
      <w:tr w:rsidRPr="00F16E9D" w:rsidR="00EA6207" w:rsidTr="004034A1" w14:paraId="40D39C20" w14:textId="585F454A">
        <w:trPr>
          <w:trHeight w:val="584"/>
        </w:trPr>
        <w:tc>
          <w:tcPr>
            <w:tcW w:w="1817" w:type="dxa"/>
            <w:shd w:val="clear" w:color="auto" w:fill="auto"/>
            <w:vAlign w:val="center"/>
          </w:tcPr>
          <w:p w:rsidRPr="004034A1" w:rsidR="00EA6207" w:rsidP="00722921" w:rsidRDefault="00EA6207" w14:paraId="17E87CAC" w14:textId="3103E826">
            <w:pPr>
              <w:widowControl w:val="0"/>
              <w:tabs>
                <w:tab w:val="left" w:pos="1545"/>
              </w:tabs>
              <w:autoSpaceDE w:val="0"/>
              <w:autoSpaceDN w:val="0"/>
              <w:adjustRightInd w:val="0"/>
              <w:rPr>
                <w:sz w:val="20"/>
                <w:szCs w:val="20"/>
              </w:rPr>
            </w:pPr>
            <w:r w:rsidRPr="002277F6">
              <w:rPr>
                <w:sz w:val="20"/>
                <w:szCs w:val="20"/>
              </w:rPr>
              <w:t>Child</w:t>
            </w:r>
            <w:r>
              <w:rPr>
                <w:sz w:val="20"/>
                <w:szCs w:val="20"/>
              </w:rPr>
              <w:t>ren under 6 and minors from 6-17 when applicable</w:t>
            </w:r>
          </w:p>
        </w:tc>
        <w:tc>
          <w:tcPr>
            <w:tcW w:w="1622" w:type="dxa"/>
            <w:shd w:val="clear" w:color="auto" w:fill="auto"/>
            <w:vAlign w:val="center"/>
          </w:tcPr>
          <w:p w:rsidRPr="004034A1" w:rsidR="00EA6207" w:rsidP="00722921" w:rsidRDefault="00EA6207" w14:paraId="4D038283" w14:textId="77777777">
            <w:pPr>
              <w:widowControl w:val="0"/>
              <w:tabs>
                <w:tab w:val="left" w:pos="1545"/>
              </w:tabs>
              <w:autoSpaceDE w:val="0"/>
              <w:autoSpaceDN w:val="0"/>
              <w:adjustRightInd w:val="0"/>
              <w:rPr>
                <w:sz w:val="20"/>
                <w:szCs w:val="20"/>
              </w:rPr>
            </w:pPr>
            <w:r w:rsidRPr="004034A1">
              <w:rPr>
                <w:sz w:val="20"/>
                <w:szCs w:val="20"/>
              </w:rPr>
              <w:t>Blood Collection</w:t>
            </w:r>
          </w:p>
        </w:tc>
        <w:tc>
          <w:tcPr>
            <w:tcW w:w="1326" w:type="dxa"/>
            <w:shd w:val="clear" w:color="auto" w:fill="auto"/>
            <w:vAlign w:val="center"/>
          </w:tcPr>
          <w:p w:rsidRPr="004034A1" w:rsidR="00EA6207" w:rsidP="00722921" w:rsidRDefault="00EA6207" w14:paraId="1AB2C5FE" w14:textId="7DEDC8ED">
            <w:pPr>
              <w:widowControl w:val="0"/>
              <w:tabs>
                <w:tab w:val="left" w:pos="1545"/>
              </w:tabs>
              <w:autoSpaceDE w:val="0"/>
              <w:autoSpaceDN w:val="0"/>
              <w:adjustRightInd w:val="0"/>
              <w:jc w:val="center"/>
              <w:rPr>
                <w:sz w:val="20"/>
                <w:szCs w:val="20"/>
              </w:rPr>
            </w:pPr>
            <w:r w:rsidRPr="004034A1">
              <w:rPr>
                <w:sz w:val="20"/>
                <w:szCs w:val="20"/>
              </w:rPr>
              <w:t xml:space="preserve">225 </w:t>
            </w:r>
          </w:p>
        </w:tc>
        <w:tc>
          <w:tcPr>
            <w:tcW w:w="1080" w:type="dxa"/>
            <w:shd w:val="clear" w:color="auto" w:fill="auto"/>
            <w:vAlign w:val="center"/>
          </w:tcPr>
          <w:p w:rsidRPr="004034A1" w:rsidR="00EA6207" w:rsidP="00722921" w:rsidRDefault="00EA6207" w14:paraId="5762520D" w14:textId="77777777">
            <w:pPr>
              <w:widowControl w:val="0"/>
              <w:tabs>
                <w:tab w:val="left" w:pos="1545"/>
              </w:tabs>
              <w:autoSpaceDE w:val="0"/>
              <w:autoSpaceDN w:val="0"/>
              <w:adjustRightInd w:val="0"/>
              <w:jc w:val="center"/>
              <w:rPr>
                <w:sz w:val="20"/>
                <w:szCs w:val="20"/>
              </w:rPr>
            </w:pPr>
            <w:r w:rsidRPr="004034A1">
              <w:rPr>
                <w:sz w:val="20"/>
                <w:szCs w:val="20"/>
              </w:rPr>
              <w:t>1</w:t>
            </w:r>
          </w:p>
        </w:tc>
        <w:tc>
          <w:tcPr>
            <w:tcW w:w="1260" w:type="dxa"/>
            <w:shd w:val="clear" w:color="auto" w:fill="auto"/>
            <w:vAlign w:val="center"/>
          </w:tcPr>
          <w:p w:rsidRPr="004034A1" w:rsidR="00EA6207" w:rsidP="00722921" w:rsidRDefault="00EA6207" w14:paraId="71F2A013" w14:textId="77777777">
            <w:pPr>
              <w:widowControl w:val="0"/>
              <w:tabs>
                <w:tab w:val="left" w:pos="1545"/>
              </w:tabs>
              <w:autoSpaceDE w:val="0"/>
              <w:autoSpaceDN w:val="0"/>
              <w:adjustRightInd w:val="0"/>
              <w:jc w:val="center"/>
              <w:rPr>
                <w:sz w:val="20"/>
                <w:szCs w:val="20"/>
              </w:rPr>
            </w:pPr>
            <w:r w:rsidRPr="004034A1">
              <w:rPr>
                <w:sz w:val="20"/>
                <w:szCs w:val="20"/>
              </w:rPr>
              <w:t>10/60</w:t>
            </w:r>
          </w:p>
        </w:tc>
        <w:tc>
          <w:tcPr>
            <w:tcW w:w="1260" w:type="dxa"/>
            <w:vAlign w:val="center"/>
          </w:tcPr>
          <w:p w:rsidRPr="004034A1" w:rsidR="00EA6207" w:rsidP="0089362A" w:rsidRDefault="00EA6207" w14:paraId="18B93C14" w14:textId="7CF777AF">
            <w:pPr>
              <w:widowControl w:val="0"/>
              <w:tabs>
                <w:tab w:val="left" w:pos="1545"/>
              </w:tabs>
              <w:autoSpaceDE w:val="0"/>
              <w:autoSpaceDN w:val="0"/>
              <w:adjustRightInd w:val="0"/>
              <w:jc w:val="center"/>
              <w:rPr>
                <w:sz w:val="20"/>
                <w:szCs w:val="20"/>
              </w:rPr>
            </w:pPr>
            <w:r w:rsidRPr="004034A1">
              <w:rPr>
                <w:color w:val="000000"/>
                <w:sz w:val="20"/>
                <w:szCs w:val="20"/>
              </w:rPr>
              <w:t>$7.25</w:t>
            </w:r>
          </w:p>
        </w:tc>
        <w:tc>
          <w:tcPr>
            <w:tcW w:w="1260" w:type="dxa"/>
            <w:vAlign w:val="center"/>
          </w:tcPr>
          <w:p w:rsidRPr="004034A1" w:rsidR="00EA6207" w:rsidRDefault="00EA6207" w14:paraId="59F20877" w14:textId="2642251C">
            <w:pPr>
              <w:widowControl w:val="0"/>
              <w:tabs>
                <w:tab w:val="left" w:pos="1545"/>
              </w:tabs>
              <w:autoSpaceDE w:val="0"/>
              <w:autoSpaceDN w:val="0"/>
              <w:adjustRightInd w:val="0"/>
              <w:jc w:val="center"/>
              <w:rPr>
                <w:sz w:val="20"/>
                <w:szCs w:val="20"/>
              </w:rPr>
            </w:pPr>
            <w:r>
              <w:rPr>
                <w:sz w:val="20"/>
                <w:szCs w:val="20"/>
              </w:rPr>
              <w:t>$271.88</w:t>
            </w:r>
          </w:p>
        </w:tc>
      </w:tr>
      <w:tr w:rsidRPr="00F16E9D" w:rsidR="00EA6207" w:rsidTr="004034A1" w14:paraId="3E66A959" w14:textId="353B9C3E">
        <w:trPr>
          <w:trHeight w:val="584"/>
        </w:trPr>
        <w:tc>
          <w:tcPr>
            <w:tcW w:w="1817" w:type="dxa"/>
            <w:shd w:val="clear" w:color="auto" w:fill="auto"/>
            <w:vAlign w:val="center"/>
          </w:tcPr>
          <w:p w:rsidRPr="004034A1" w:rsidR="00EA6207" w:rsidP="00722921" w:rsidRDefault="00EA6207" w14:paraId="14066C04" w14:textId="6E8C58B2">
            <w:pPr>
              <w:widowControl w:val="0"/>
              <w:tabs>
                <w:tab w:val="left" w:pos="1545"/>
              </w:tabs>
              <w:autoSpaceDE w:val="0"/>
              <w:autoSpaceDN w:val="0"/>
              <w:adjustRightInd w:val="0"/>
              <w:rPr>
                <w:sz w:val="20"/>
                <w:szCs w:val="20"/>
              </w:rPr>
            </w:pPr>
            <w:r>
              <w:rPr>
                <w:sz w:val="20"/>
                <w:szCs w:val="20"/>
              </w:rPr>
              <w:t xml:space="preserve">Adult </w:t>
            </w:r>
            <w:r w:rsidRPr="004034A1">
              <w:rPr>
                <w:sz w:val="20"/>
                <w:szCs w:val="20"/>
              </w:rPr>
              <w:t>EI Participants</w:t>
            </w:r>
          </w:p>
        </w:tc>
        <w:tc>
          <w:tcPr>
            <w:tcW w:w="1622" w:type="dxa"/>
            <w:shd w:val="clear" w:color="auto" w:fill="auto"/>
            <w:vAlign w:val="center"/>
          </w:tcPr>
          <w:p w:rsidRPr="004034A1" w:rsidR="00EA6207" w:rsidP="00722921" w:rsidRDefault="00EA6207" w14:paraId="556A99A3" w14:textId="77777777">
            <w:pPr>
              <w:widowControl w:val="0"/>
              <w:tabs>
                <w:tab w:val="left" w:pos="1545"/>
              </w:tabs>
              <w:autoSpaceDE w:val="0"/>
              <w:autoSpaceDN w:val="0"/>
              <w:adjustRightInd w:val="0"/>
              <w:rPr>
                <w:sz w:val="20"/>
                <w:szCs w:val="20"/>
              </w:rPr>
            </w:pPr>
            <w:r w:rsidRPr="004034A1">
              <w:rPr>
                <w:sz w:val="20"/>
                <w:szCs w:val="20"/>
              </w:rPr>
              <w:t>Blood Collection</w:t>
            </w:r>
          </w:p>
        </w:tc>
        <w:tc>
          <w:tcPr>
            <w:tcW w:w="1326" w:type="dxa"/>
            <w:shd w:val="clear" w:color="auto" w:fill="auto"/>
            <w:vAlign w:val="center"/>
          </w:tcPr>
          <w:p w:rsidRPr="004034A1" w:rsidR="00EA6207" w:rsidP="00722921" w:rsidRDefault="00EA6207" w14:paraId="7594E74A" w14:textId="77777777">
            <w:pPr>
              <w:widowControl w:val="0"/>
              <w:tabs>
                <w:tab w:val="left" w:pos="1545"/>
              </w:tabs>
              <w:autoSpaceDE w:val="0"/>
              <w:autoSpaceDN w:val="0"/>
              <w:adjustRightInd w:val="0"/>
              <w:jc w:val="center"/>
              <w:rPr>
                <w:sz w:val="20"/>
                <w:szCs w:val="20"/>
              </w:rPr>
            </w:pPr>
            <w:r w:rsidRPr="004034A1">
              <w:rPr>
                <w:sz w:val="20"/>
                <w:szCs w:val="20"/>
              </w:rPr>
              <w:t>75</w:t>
            </w:r>
          </w:p>
        </w:tc>
        <w:tc>
          <w:tcPr>
            <w:tcW w:w="1080" w:type="dxa"/>
            <w:shd w:val="clear" w:color="auto" w:fill="auto"/>
            <w:vAlign w:val="center"/>
          </w:tcPr>
          <w:p w:rsidRPr="004034A1" w:rsidR="00EA6207" w:rsidP="00722921" w:rsidRDefault="00EA6207" w14:paraId="6C7A035B" w14:textId="77777777">
            <w:pPr>
              <w:widowControl w:val="0"/>
              <w:tabs>
                <w:tab w:val="left" w:pos="1545"/>
              </w:tabs>
              <w:autoSpaceDE w:val="0"/>
              <w:autoSpaceDN w:val="0"/>
              <w:adjustRightInd w:val="0"/>
              <w:jc w:val="center"/>
              <w:rPr>
                <w:sz w:val="20"/>
                <w:szCs w:val="20"/>
              </w:rPr>
            </w:pPr>
            <w:r w:rsidRPr="004034A1">
              <w:rPr>
                <w:sz w:val="20"/>
                <w:szCs w:val="20"/>
              </w:rPr>
              <w:t>1</w:t>
            </w:r>
          </w:p>
        </w:tc>
        <w:tc>
          <w:tcPr>
            <w:tcW w:w="1260" w:type="dxa"/>
            <w:shd w:val="clear" w:color="auto" w:fill="auto"/>
            <w:vAlign w:val="center"/>
          </w:tcPr>
          <w:p w:rsidRPr="004034A1" w:rsidR="00EA6207" w:rsidP="00722921" w:rsidRDefault="00EA6207" w14:paraId="1FDFB578" w14:textId="77777777">
            <w:pPr>
              <w:widowControl w:val="0"/>
              <w:tabs>
                <w:tab w:val="left" w:pos="1545"/>
              </w:tabs>
              <w:autoSpaceDE w:val="0"/>
              <w:autoSpaceDN w:val="0"/>
              <w:adjustRightInd w:val="0"/>
              <w:jc w:val="center"/>
              <w:rPr>
                <w:sz w:val="20"/>
                <w:szCs w:val="20"/>
              </w:rPr>
            </w:pPr>
            <w:r w:rsidRPr="004034A1">
              <w:rPr>
                <w:sz w:val="20"/>
                <w:szCs w:val="20"/>
              </w:rPr>
              <w:t>10/60</w:t>
            </w:r>
          </w:p>
        </w:tc>
        <w:tc>
          <w:tcPr>
            <w:tcW w:w="1260" w:type="dxa"/>
            <w:vAlign w:val="center"/>
          </w:tcPr>
          <w:p w:rsidRPr="004034A1" w:rsidR="00EA6207" w:rsidP="0089362A" w:rsidRDefault="00EA6207" w14:paraId="355DD5AB" w14:textId="38AF4EDD">
            <w:pPr>
              <w:widowControl w:val="0"/>
              <w:tabs>
                <w:tab w:val="left" w:pos="1545"/>
              </w:tabs>
              <w:autoSpaceDE w:val="0"/>
              <w:autoSpaceDN w:val="0"/>
              <w:adjustRightInd w:val="0"/>
              <w:jc w:val="center"/>
              <w:rPr>
                <w:sz w:val="20"/>
                <w:szCs w:val="20"/>
              </w:rPr>
            </w:pPr>
            <w:r w:rsidRPr="004034A1">
              <w:rPr>
                <w:sz w:val="20"/>
                <w:szCs w:val="20"/>
              </w:rPr>
              <w:t>$28.01</w:t>
            </w:r>
          </w:p>
        </w:tc>
        <w:tc>
          <w:tcPr>
            <w:tcW w:w="1260" w:type="dxa"/>
            <w:vAlign w:val="center"/>
          </w:tcPr>
          <w:p w:rsidRPr="004034A1" w:rsidR="00EA6207" w:rsidRDefault="00EA6207" w14:paraId="4AE5B649" w14:textId="19339788">
            <w:pPr>
              <w:widowControl w:val="0"/>
              <w:tabs>
                <w:tab w:val="left" w:pos="1545"/>
              </w:tabs>
              <w:autoSpaceDE w:val="0"/>
              <w:autoSpaceDN w:val="0"/>
              <w:adjustRightInd w:val="0"/>
              <w:jc w:val="center"/>
              <w:rPr>
                <w:sz w:val="20"/>
                <w:szCs w:val="20"/>
              </w:rPr>
            </w:pPr>
            <w:r>
              <w:rPr>
                <w:sz w:val="20"/>
                <w:szCs w:val="20"/>
              </w:rPr>
              <w:t>$350.13</w:t>
            </w:r>
          </w:p>
        </w:tc>
      </w:tr>
      <w:tr w:rsidRPr="005C1619" w:rsidR="0077370B" w:rsidTr="004034A1" w14:paraId="5E8C5CDA" w14:textId="11EB7E17">
        <w:trPr>
          <w:trHeight w:val="584"/>
        </w:trPr>
        <w:tc>
          <w:tcPr>
            <w:tcW w:w="1817" w:type="dxa"/>
            <w:vMerge w:val="restart"/>
            <w:shd w:val="clear" w:color="auto" w:fill="auto"/>
            <w:vAlign w:val="center"/>
          </w:tcPr>
          <w:p w:rsidRPr="005C1619" w:rsidR="0077370B" w:rsidP="0077370B" w:rsidRDefault="0077370B" w14:paraId="3443F47A" w14:textId="77777777">
            <w:pPr>
              <w:widowControl w:val="0"/>
              <w:tabs>
                <w:tab w:val="left" w:pos="1545"/>
              </w:tabs>
              <w:autoSpaceDE w:val="0"/>
              <w:autoSpaceDN w:val="0"/>
              <w:adjustRightInd w:val="0"/>
              <w:rPr>
                <w:sz w:val="20"/>
                <w:szCs w:val="20"/>
              </w:rPr>
            </w:pPr>
            <w:r w:rsidRPr="005C1619">
              <w:rPr>
                <w:sz w:val="20"/>
                <w:szCs w:val="20"/>
              </w:rPr>
              <w:t>Head of Household</w:t>
            </w:r>
          </w:p>
        </w:tc>
        <w:tc>
          <w:tcPr>
            <w:tcW w:w="1622" w:type="dxa"/>
            <w:shd w:val="clear" w:color="auto" w:fill="auto"/>
            <w:vAlign w:val="center"/>
          </w:tcPr>
          <w:p w:rsidRPr="005C1619" w:rsidR="0077370B" w:rsidP="0077370B" w:rsidRDefault="0077370B" w14:paraId="2E06B4A1" w14:textId="77777777">
            <w:pPr>
              <w:widowControl w:val="0"/>
              <w:tabs>
                <w:tab w:val="left" w:pos="1545"/>
              </w:tabs>
              <w:autoSpaceDE w:val="0"/>
              <w:autoSpaceDN w:val="0"/>
              <w:adjustRightInd w:val="0"/>
              <w:rPr>
                <w:sz w:val="20"/>
                <w:szCs w:val="20"/>
              </w:rPr>
            </w:pPr>
            <w:r w:rsidRPr="005C1619">
              <w:rPr>
                <w:sz w:val="20"/>
                <w:szCs w:val="20"/>
              </w:rPr>
              <w:t>Home Schematic (Form 100)</w:t>
            </w:r>
          </w:p>
        </w:tc>
        <w:tc>
          <w:tcPr>
            <w:tcW w:w="1326" w:type="dxa"/>
            <w:shd w:val="clear" w:color="auto" w:fill="auto"/>
            <w:vAlign w:val="center"/>
          </w:tcPr>
          <w:p w:rsidRPr="005C1619" w:rsidR="0077370B" w:rsidP="0077370B" w:rsidRDefault="0077370B" w14:paraId="524C42D4" w14:textId="77777777">
            <w:pPr>
              <w:widowControl w:val="0"/>
              <w:tabs>
                <w:tab w:val="left" w:pos="1545"/>
              </w:tabs>
              <w:autoSpaceDE w:val="0"/>
              <w:autoSpaceDN w:val="0"/>
              <w:adjustRightInd w:val="0"/>
              <w:jc w:val="center"/>
              <w:rPr>
                <w:sz w:val="20"/>
                <w:szCs w:val="20"/>
              </w:rPr>
            </w:pPr>
            <w:r w:rsidRPr="005C1619">
              <w:rPr>
                <w:sz w:val="20"/>
                <w:szCs w:val="20"/>
              </w:rPr>
              <w:t>300</w:t>
            </w:r>
          </w:p>
        </w:tc>
        <w:tc>
          <w:tcPr>
            <w:tcW w:w="1080" w:type="dxa"/>
            <w:shd w:val="clear" w:color="auto" w:fill="auto"/>
            <w:vAlign w:val="center"/>
          </w:tcPr>
          <w:p w:rsidRPr="005C1619" w:rsidR="0077370B" w:rsidP="0077370B" w:rsidRDefault="0077370B" w14:paraId="52AC9DA6" w14:textId="77777777">
            <w:pPr>
              <w:widowControl w:val="0"/>
              <w:tabs>
                <w:tab w:val="left" w:pos="1545"/>
              </w:tabs>
              <w:autoSpaceDE w:val="0"/>
              <w:autoSpaceDN w:val="0"/>
              <w:adjustRightInd w:val="0"/>
              <w:jc w:val="center"/>
              <w:rPr>
                <w:sz w:val="20"/>
                <w:szCs w:val="20"/>
              </w:rPr>
            </w:pPr>
            <w:r w:rsidRPr="005C1619">
              <w:rPr>
                <w:sz w:val="20"/>
                <w:szCs w:val="20"/>
              </w:rPr>
              <w:t>1</w:t>
            </w:r>
          </w:p>
        </w:tc>
        <w:tc>
          <w:tcPr>
            <w:tcW w:w="1260" w:type="dxa"/>
            <w:shd w:val="clear" w:color="auto" w:fill="auto"/>
            <w:vAlign w:val="center"/>
          </w:tcPr>
          <w:p w:rsidRPr="005C1619" w:rsidR="0077370B" w:rsidP="0077370B" w:rsidRDefault="0077370B" w14:paraId="4328D2F4" w14:textId="6039E2AA">
            <w:pPr>
              <w:widowControl w:val="0"/>
              <w:tabs>
                <w:tab w:val="left" w:pos="1545"/>
              </w:tabs>
              <w:autoSpaceDE w:val="0"/>
              <w:autoSpaceDN w:val="0"/>
              <w:adjustRightInd w:val="0"/>
              <w:jc w:val="center"/>
              <w:rPr>
                <w:sz w:val="20"/>
                <w:szCs w:val="20"/>
              </w:rPr>
            </w:pPr>
            <w:r>
              <w:rPr>
                <w:sz w:val="20"/>
                <w:szCs w:val="20"/>
              </w:rPr>
              <w:t>5</w:t>
            </w:r>
            <w:r w:rsidRPr="005C1619">
              <w:rPr>
                <w:sz w:val="20"/>
                <w:szCs w:val="20"/>
              </w:rPr>
              <w:t>/60</w:t>
            </w:r>
          </w:p>
        </w:tc>
        <w:tc>
          <w:tcPr>
            <w:tcW w:w="1260" w:type="dxa"/>
            <w:vAlign w:val="center"/>
          </w:tcPr>
          <w:p w:rsidRPr="005C1619" w:rsidR="0077370B" w:rsidP="0077370B" w:rsidRDefault="0077370B" w14:paraId="1031B8D4" w14:textId="06F13179">
            <w:pPr>
              <w:widowControl w:val="0"/>
              <w:tabs>
                <w:tab w:val="left" w:pos="1545"/>
              </w:tabs>
              <w:autoSpaceDE w:val="0"/>
              <w:autoSpaceDN w:val="0"/>
              <w:adjustRightInd w:val="0"/>
              <w:jc w:val="center"/>
              <w:rPr>
                <w:sz w:val="20"/>
                <w:szCs w:val="20"/>
              </w:rPr>
            </w:pPr>
            <w:r w:rsidRPr="005C1619">
              <w:rPr>
                <w:sz w:val="20"/>
                <w:szCs w:val="20"/>
              </w:rPr>
              <w:t>$28.01</w:t>
            </w:r>
          </w:p>
        </w:tc>
        <w:tc>
          <w:tcPr>
            <w:tcW w:w="1260" w:type="dxa"/>
            <w:vAlign w:val="center"/>
          </w:tcPr>
          <w:p w:rsidRPr="005C1619" w:rsidR="0077370B" w:rsidRDefault="00E5146E" w14:paraId="1250F6B3" w14:textId="2FF1817C">
            <w:pPr>
              <w:widowControl w:val="0"/>
              <w:tabs>
                <w:tab w:val="left" w:pos="1545"/>
              </w:tabs>
              <w:autoSpaceDE w:val="0"/>
              <w:autoSpaceDN w:val="0"/>
              <w:adjustRightInd w:val="0"/>
              <w:jc w:val="center"/>
              <w:rPr>
                <w:sz w:val="20"/>
                <w:szCs w:val="20"/>
              </w:rPr>
            </w:pPr>
            <w:r>
              <w:rPr>
                <w:sz w:val="20"/>
                <w:szCs w:val="20"/>
              </w:rPr>
              <w:t>$700.25</w:t>
            </w:r>
          </w:p>
        </w:tc>
      </w:tr>
      <w:tr w:rsidRPr="005C1619" w:rsidR="00452F42" w:rsidTr="004034A1" w14:paraId="36641E0E" w14:textId="24C8AC2A">
        <w:trPr>
          <w:trHeight w:val="584"/>
        </w:trPr>
        <w:tc>
          <w:tcPr>
            <w:tcW w:w="1817" w:type="dxa"/>
            <w:vMerge/>
            <w:shd w:val="clear" w:color="auto" w:fill="auto"/>
            <w:vAlign w:val="center"/>
          </w:tcPr>
          <w:p w:rsidRPr="005C1619" w:rsidR="00452F42" w:rsidP="00452F42" w:rsidRDefault="00452F42" w14:paraId="49D30E1B" w14:textId="77777777">
            <w:pPr>
              <w:widowControl w:val="0"/>
              <w:tabs>
                <w:tab w:val="left" w:pos="1545"/>
              </w:tabs>
              <w:autoSpaceDE w:val="0"/>
              <w:autoSpaceDN w:val="0"/>
              <w:adjustRightInd w:val="0"/>
              <w:jc w:val="center"/>
              <w:rPr>
                <w:sz w:val="20"/>
                <w:szCs w:val="20"/>
              </w:rPr>
            </w:pPr>
          </w:p>
        </w:tc>
        <w:tc>
          <w:tcPr>
            <w:tcW w:w="1622" w:type="dxa"/>
            <w:shd w:val="clear" w:color="auto" w:fill="auto"/>
            <w:vAlign w:val="center"/>
          </w:tcPr>
          <w:p w:rsidRPr="005C1619" w:rsidR="00452F42" w:rsidP="00452F42" w:rsidRDefault="00452F42" w14:paraId="40D105C3" w14:textId="77777777">
            <w:pPr>
              <w:widowControl w:val="0"/>
              <w:tabs>
                <w:tab w:val="left" w:pos="1545"/>
              </w:tabs>
              <w:autoSpaceDE w:val="0"/>
              <w:autoSpaceDN w:val="0"/>
              <w:adjustRightInd w:val="0"/>
              <w:rPr>
                <w:sz w:val="20"/>
                <w:szCs w:val="20"/>
              </w:rPr>
            </w:pPr>
            <w:r w:rsidRPr="005C1619">
              <w:rPr>
                <w:sz w:val="20"/>
                <w:szCs w:val="20"/>
              </w:rPr>
              <w:t>Interior Environmental Paint Assessment (Form 110)</w:t>
            </w:r>
          </w:p>
        </w:tc>
        <w:tc>
          <w:tcPr>
            <w:tcW w:w="1326" w:type="dxa"/>
            <w:shd w:val="clear" w:color="auto" w:fill="auto"/>
            <w:vAlign w:val="center"/>
          </w:tcPr>
          <w:p w:rsidRPr="005C1619" w:rsidR="00452F42" w:rsidP="00452F42" w:rsidRDefault="00452F42" w14:paraId="2DD6EF85" w14:textId="77777777">
            <w:pPr>
              <w:widowControl w:val="0"/>
              <w:tabs>
                <w:tab w:val="left" w:pos="1545"/>
              </w:tabs>
              <w:autoSpaceDE w:val="0"/>
              <w:autoSpaceDN w:val="0"/>
              <w:adjustRightInd w:val="0"/>
              <w:jc w:val="center"/>
              <w:rPr>
                <w:sz w:val="20"/>
                <w:szCs w:val="20"/>
              </w:rPr>
            </w:pPr>
            <w:r w:rsidRPr="005C1619">
              <w:rPr>
                <w:sz w:val="20"/>
                <w:szCs w:val="20"/>
              </w:rPr>
              <w:t>300</w:t>
            </w:r>
          </w:p>
        </w:tc>
        <w:tc>
          <w:tcPr>
            <w:tcW w:w="1080" w:type="dxa"/>
            <w:shd w:val="clear" w:color="auto" w:fill="auto"/>
            <w:vAlign w:val="center"/>
          </w:tcPr>
          <w:p w:rsidRPr="005C1619" w:rsidR="00452F42" w:rsidP="00452F42" w:rsidRDefault="00452F42" w14:paraId="29AF8773" w14:textId="77777777">
            <w:pPr>
              <w:widowControl w:val="0"/>
              <w:tabs>
                <w:tab w:val="left" w:pos="1545"/>
              </w:tabs>
              <w:autoSpaceDE w:val="0"/>
              <w:autoSpaceDN w:val="0"/>
              <w:adjustRightInd w:val="0"/>
              <w:jc w:val="center"/>
              <w:rPr>
                <w:sz w:val="20"/>
                <w:szCs w:val="20"/>
              </w:rPr>
            </w:pPr>
            <w:r w:rsidRPr="005C1619">
              <w:rPr>
                <w:sz w:val="20"/>
                <w:szCs w:val="20"/>
              </w:rPr>
              <w:t>1</w:t>
            </w:r>
          </w:p>
        </w:tc>
        <w:tc>
          <w:tcPr>
            <w:tcW w:w="1260" w:type="dxa"/>
            <w:shd w:val="clear" w:color="auto" w:fill="auto"/>
            <w:vAlign w:val="center"/>
          </w:tcPr>
          <w:p w:rsidRPr="005C1619" w:rsidR="00452F42" w:rsidP="00452F42" w:rsidRDefault="00452F42" w14:paraId="4DEC2137" w14:textId="48025429">
            <w:pPr>
              <w:widowControl w:val="0"/>
              <w:tabs>
                <w:tab w:val="left" w:pos="1545"/>
              </w:tabs>
              <w:autoSpaceDE w:val="0"/>
              <w:autoSpaceDN w:val="0"/>
              <w:adjustRightInd w:val="0"/>
              <w:jc w:val="center"/>
              <w:rPr>
                <w:sz w:val="20"/>
                <w:szCs w:val="20"/>
              </w:rPr>
            </w:pPr>
            <w:r>
              <w:rPr>
                <w:sz w:val="20"/>
                <w:szCs w:val="20"/>
              </w:rPr>
              <w:t>10</w:t>
            </w:r>
            <w:r w:rsidRPr="005C1619">
              <w:rPr>
                <w:sz w:val="20"/>
                <w:szCs w:val="20"/>
              </w:rPr>
              <w:t>/60</w:t>
            </w:r>
          </w:p>
        </w:tc>
        <w:tc>
          <w:tcPr>
            <w:tcW w:w="1260" w:type="dxa"/>
            <w:vAlign w:val="center"/>
          </w:tcPr>
          <w:p w:rsidRPr="005C1619" w:rsidR="00452F42" w:rsidP="00452F42" w:rsidRDefault="00452F42" w14:paraId="76C31E08" w14:textId="69C43318">
            <w:pPr>
              <w:widowControl w:val="0"/>
              <w:tabs>
                <w:tab w:val="left" w:pos="1545"/>
              </w:tabs>
              <w:autoSpaceDE w:val="0"/>
              <w:autoSpaceDN w:val="0"/>
              <w:adjustRightInd w:val="0"/>
              <w:jc w:val="center"/>
              <w:rPr>
                <w:sz w:val="20"/>
                <w:szCs w:val="20"/>
              </w:rPr>
            </w:pPr>
            <w:r w:rsidRPr="005C1619">
              <w:rPr>
                <w:sz w:val="20"/>
                <w:szCs w:val="20"/>
              </w:rPr>
              <w:t>$28.01</w:t>
            </w:r>
          </w:p>
        </w:tc>
        <w:tc>
          <w:tcPr>
            <w:tcW w:w="1260" w:type="dxa"/>
            <w:vAlign w:val="center"/>
          </w:tcPr>
          <w:p w:rsidRPr="005C1619" w:rsidR="00452F42" w:rsidRDefault="00452F42" w14:paraId="41818719" w14:textId="40188CA8">
            <w:pPr>
              <w:widowControl w:val="0"/>
              <w:tabs>
                <w:tab w:val="left" w:pos="1545"/>
              </w:tabs>
              <w:autoSpaceDE w:val="0"/>
              <w:autoSpaceDN w:val="0"/>
              <w:adjustRightInd w:val="0"/>
              <w:jc w:val="center"/>
              <w:rPr>
                <w:sz w:val="20"/>
                <w:szCs w:val="20"/>
              </w:rPr>
            </w:pPr>
            <w:r>
              <w:rPr>
                <w:sz w:val="20"/>
                <w:szCs w:val="20"/>
              </w:rPr>
              <w:t>$1,400.50</w:t>
            </w:r>
          </w:p>
        </w:tc>
      </w:tr>
      <w:tr w:rsidRPr="005C1619" w:rsidR="00452F42" w:rsidTr="004034A1" w14:paraId="130535C9" w14:textId="5EBB32BA">
        <w:trPr>
          <w:trHeight w:val="584"/>
        </w:trPr>
        <w:tc>
          <w:tcPr>
            <w:tcW w:w="1817" w:type="dxa"/>
            <w:vMerge/>
            <w:shd w:val="clear" w:color="auto" w:fill="auto"/>
            <w:vAlign w:val="center"/>
          </w:tcPr>
          <w:p w:rsidRPr="005C1619" w:rsidR="00452F42" w:rsidP="00452F42" w:rsidRDefault="00452F42" w14:paraId="39E1D062" w14:textId="77777777">
            <w:pPr>
              <w:widowControl w:val="0"/>
              <w:tabs>
                <w:tab w:val="left" w:pos="1545"/>
              </w:tabs>
              <w:autoSpaceDE w:val="0"/>
              <w:autoSpaceDN w:val="0"/>
              <w:adjustRightInd w:val="0"/>
              <w:jc w:val="center"/>
              <w:rPr>
                <w:sz w:val="20"/>
                <w:szCs w:val="20"/>
              </w:rPr>
            </w:pPr>
          </w:p>
        </w:tc>
        <w:tc>
          <w:tcPr>
            <w:tcW w:w="1622" w:type="dxa"/>
            <w:shd w:val="clear" w:color="auto" w:fill="auto"/>
            <w:vAlign w:val="center"/>
          </w:tcPr>
          <w:p w:rsidRPr="005C1619" w:rsidR="00452F42" w:rsidP="00452F42" w:rsidRDefault="00452F42" w14:paraId="27041C84" w14:textId="77777777">
            <w:pPr>
              <w:widowControl w:val="0"/>
              <w:tabs>
                <w:tab w:val="left" w:pos="1545"/>
              </w:tabs>
              <w:autoSpaceDE w:val="0"/>
              <w:autoSpaceDN w:val="0"/>
              <w:adjustRightInd w:val="0"/>
              <w:rPr>
                <w:sz w:val="20"/>
                <w:szCs w:val="20"/>
              </w:rPr>
            </w:pPr>
            <w:r w:rsidRPr="005C1619">
              <w:rPr>
                <w:sz w:val="20"/>
                <w:szCs w:val="20"/>
              </w:rPr>
              <w:t>External Environmental Paint Assessment (Form 120)</w:t>
            </w:r>
          </w:p>
        </w:tc>
        <w:tc>
          <w:tcPr>
            <w:tcW w:w="1326" w:type="dxa"/>
            <w:shd w:val="clear" w:color="auto" w:fill="auto"/>
            <w:vAlign w:val="center"/>
          </w:tcPr>
          <w:p w:rsidRPr="005C1619" w:rsidR="00452F42" w:rsidP="00452F42" w:rsidRDefault="00452F42" w14:paraId="63C6B06B" w14:textId="77777777">
            <w:pPr>
              <w:widowControl w:val="0"/>
              <w:tabs>
                <w:tab w:val="left" w:pos="1545"/>
              </w:tabs>
              <w:autoSpaceDE w:val="0"/>
              <w:autoSpaceDN w:val="0"/>
              <w:adjustRightInd w:val="0"/>
              <w:jc w:val="center"/>
              <w:rPr>
                <w:sz w:val="20"/>
                <w:szCs w:val="20"/>
              </w:rPr>
            </w:pPr>
            <w:r w:rsidRPr="005C1619">
              <w:rPr>
                <w:sz w:val="20"/>
                <w:szCs w:val="20"/>
              </w:rPr>
              <w:t>300</w:t>
            </w:r>
          </w:p>
        </w:tc>
        <w:tc>
          <w:tcPr>
            <w:tcW w:w="1080" w:type="dxa"/>
            <w:shd w:val="clear" w:color="auto" w:fill="auto"/>
            <w:vAlign w:val="center"/>
          </w:tcPr>
          <w:p w:rsidRPr="005C1619" w:rsidR="00452F42" w:rsidP="00452F42" w:rsidRDefault="00452F42" w14:paraId="586AE91D" w14:textId="77777777">
            <w:pPr>
              <w:widowControl w:val="0"/>
              <w:tabs>
                <w:tab w:val="left" w:pos="1545"/>
              </w:tabs>
              <w:autoSpaceDE w:val="0"/>
              <w:autoSpaceDN w:val="0"/>
              <w:adjustRightInd w:val="0"/>
              <w:jc w:val="center"/>
              <w:rPr>
                <w:sz w:val="20"/>
                <w:szCs w:val="20"/>
              </w:rPr>
            </w:pPr>
            <w:r w:rsidRPr="005C1619">
              <w:rPr>
                <w:sz w:val="20"/>
                <w:szCs w:val="20"/>
              </w:rPr>
              <w:t>1</w:t>
            </w:r>
          </w:p>
        </w:tc>
        <w:tc>
          <w:tcPr>
            <w:tcW w:w="1260" w:type="dxa"/>
            <w:shd w:val="clear" w:color="auto" w:fill="auto"/>
            <w:vAlign w:val="center"/>
          </w:tcPr>
          <w:p w:rsidRPr="005C1619" w:rsidR="00452F42" w:rsidP="00452F42" w:rsidRDefault="00452F42" w14:paraId="187DDB20" w14:textId="7941D878">
            <w:pPr>
              <w:widowControl w:val="0"/>
              <w:tabs>
                <w:tab w:val="left" w:pos="1545"/>
              </w:tabs>
              <w:autoSpaceDE w:val="0"/>
              <w:autoSpaceDN w:val="0"/>
              <w:adjustRightInd w:val="0"/>
              <w:jc w:val="center"/>
              <w:rPr>
                <w:sz w:val="20"/>
                <w:szCs w:val="20"/>
              </w:rPr>
            </w:pPr>
            <w:r>
              <w:rPr>
                <w:sz w:val="20"/>
                <w:szCs w:val="20"/>
              </w:rPr>
              <w:t>5</w:t>
            </w:r>
            <w:r w:rsidRPr="005C1619">
              <w:rPr>
                <w:sz w:val="20"/>
                <w:szCs w:val="20"/>
              </w:rPr>
              <w:t>/60</w:t>
            </w:r>
          </w:p>
        </w:tc>
        <w:tc>
          <w:tcPr>
            <w:tcW w:w="1260" w:type="dxa"/>
            <w:vAlign w:val="center"/>
          </w:tcPr>
          <w:p w:rsidRPr="005C1619" w:rsidR="00452F42" w:rsidP="00452F42" w:rsidRDefault="00452F42" w14:paraId="2F4C0915" w14:textId="52F4EE75">
            <w:pPr>
              <w:widowControl w:val="0"/>
              <w:tabs>
                <w:tab w:val="left" w:pos="1545"/>
              </w:tabs>
              <w:autoSpaceDE w:val="0"/>
              <w:autoSpaceDN w:val="0"/>
              <w:adjustRightInd w:val="0"/>
              <w:jc w:val="center"/>
              <w:rPr>
                <w:sz w:val="20"/>
                <w:szCs w:val="20"/>
              </w:rPr>
            </w:pPr>
            <w:r w:rsidRPr="005C1619">
              <w:rPr>
                <w:sz w:val="20"/>
                <w:szCs w:val="20"/>
              </w:rPr>
              <w:t>$28.01</w:t>
            </w:r>
          </w:p>
        </w:tc>
        <w:tc>
          <w:tcPr>
            <w:tcW w:w="1260" w:type="dxa"/>
            <w:vAlign w:val="center"/>
          </w:tcPr>
          <w:p w:rsidRPr="005C1619" w:rsidR="00452F42" w:rsidRDefault="00452F42" w14:paraId="4E95F611" w14:textId="308BA77F">
            <w:pPr>
              <w:widowControl w:val="0"/>
              <w:tabs>
                <w:tab w:val="left" w:pos="1545"/>
              </w:tabs>
              <w:autoSpaceDE w:val="0"/>
              <w:autoSpaceDN w:val="0"/>
              <w:adjustRightInd w:val="0"/>
              <w:jc w:val="center"/>
              <w:rPr>
                <w:sz w:val="20"/>
                <w:szCs w:val="20"/>
              </w:rPr>
            </w:pPr>
            <w:r>
              <w:rPr>
                <w:sz w:val="20"/>
                <w:szCs w:val="20"/>
              </w:rPr>
              <w:t>$700.25</w:t>
            </w:r>
          </w:p>
        </w:tc>
      </w:tr>
      <w:tr w:rsidRPr="005C1619" w:rsidR="00452F42" w:rsidTr="004034A1" w14:paraId="057F6E66" w14:textId="0989B725">
        <w:trPr>
          <w:trHeight w:val="584"/>
        </w:trPr>
        <w:tc>
          <w:tcPr>
            <w:tcW w:w="1817" w:type="dxa"/>
            <w:vMerge/>
            <w:shd w:val="clear" w:color="auto" w:fill="auto"/>
            <w:vAlign w:val="center"/>
          </w:tcPr>
          <w:p w:rsidRPr="005C1619" w:rsidR="00452F42" w:rsidP="00452F42" w:rsidRDefault="00452F42" w14:paraId="49ED1A9D" w14:textId="77777777">
            <w:pPr>
              <w:widowControl w:val="0"/>
              <w:tabs>
                <w:tab w:val="left" w:pos="1545"/>
              </w:tabs>
              <w:autoSpaceDE w:val="0"/>
              <w:autoSpaceDN w:val="0"/>
              <w:adjustRightInd w:val="0"/>
              <w:jc w:val="center"/>
              <w:rPr>
                <w:sz w:val="20"/>
                <w:szCs w:val="20"/>
              </w:rPr>
            </w:pPr>
          </w:p>
        </w:tc>
        <w:tc>
          <w:tcPr>
            <w:tcW w:w="1622" w:type="dxa"/>
            <w:shd w:val="clear" w:color="auto" w:fill="auto"/>
            <w:vAlign w:val="center"/>
          </w:tcPr>
          <w:p w:rsidRPr="005C1619" w:rsidR="00452F42" w:rsidP="00452F42" w:rsidRDefault="00452F42" w14:paraId="2822D486" w14:textId="77777777">
            <w:pPr>
              <w:widowControl w:val="0"/>
              <w:tabs>
                <w:tab w:val="left" w:pos="1545"/>
              </w:tabs>
              <w:autoSpaceDE w:val="0"/>
              <w:autoSpaceDN w:val="0"/>
              <w:adjustRightInd w:val="0"/>
              <w:rPr>
                <w:sz w:val="20"/>
                <w:szCs w:val="20"/>
              </w:rPr>
            </w:pPr>
            <w:r w:rsidRPr="005C1619">
              <w:rPr>
                <w:sz w:val="20"/>
                <w:szCs w:val="20"/>
              </w:rPr>
              <w:t>Dust Wipe Collection (Form 200)</w:t>
            </w:r>
          </w:p>
        </w:tc>
        <w:tc>
          <w:tcPr>
            <w:tcW w:w="1326" w:type="dxa"/>
            <w:shd w:val="clear" w:color="auto" w:fill="auto"/>
            <w:vAlign w:val="center"/>
          </w:tcPr>
          <w:p w:rsidRPr="005C1619" w:rsidR="00452F42" w:rsidP="00452F42" w:rsidRDefault="00452F42" w14:paraId="5B3FEA33" w14:textId="77777777">
            <w:pPr>
              <w:widowControl w:val="0"/>
              <w:tabs>
                <w:tab w:val="left" w:pos="1545"/>
              </w:tabs>
              <w:autoSpaceDE w:val="0"/>
              <w:autoSpaceDN w:val="0"/>
              <w:adjustRightInd w:val="0"/>
              <w:jc w:val="center"/>
              <w:rPr>
                <w:sz w:val="20"/>
                <w:szCs w:val="20"/>
              </w:rPr>
            </w:pPr>
            <w:r w:rsidRPr="005C1619">
              <w:rPr>
                <w:sz w:val="20"/>
                <w:szCs w:val="20"/>
              </w:rPr>
              <w:t>300</w:t>
            </w:r>
          </w:p>
        </w:tc>
        <w:tc>
          <w:tcPr>
            <w:tcW w:w="1080" w:type="dxa"/>
            <w:shd w:val="clear" w:color="auto" w:fill="auto"/>
            <w:vAlign w:val="center"/>
          </w:tcPr>
          <w:p w:rsidRPr="005C1619" w:rsidR="00452F42" w:rsidP="00452F42" w:rsidRDefault="00452F42" w14:paraId="3E089858" w14:textId="77777777">
            <w:pPr>
              <w:widowControl w:val="0"/>
              <w:tabs>
                <w:tab w:val="left" w:pos="1545"/>
              </w:tabs>
              <w:autoSpaceDE w:val="0"/>
              <w:autoSpaceDN w:val="0"/>
              <w:adjustRightInd w:val="0"/>
              <w:jc w:val="center"/>
              <w:rPr>
                <w:sz w:val="20"/>
                <w:szCs w:val="20"/>
              </w:rPr>
            </w:pPr>
            <w:r w:rsidRPr="005C1619">
              <w:rPr>
                <w:sz w:val="20"/>
                <w:szCs w:val="20"/>
              </w:rPr>
              <w:t>1</w:t>
            </w:r>
          </w:p>
        </w:tc>
        <w:tc>
          <w:tcPr>
            <w:tcW w:w="1260" w:type="dxa"/>
            <w:shd w:val="clear" w:color="auto" w:fill="auto"/>
            <w:vAlign w:val="center"/>
          </w:tcPr>
          <w:p w:rsidRPr="005C1619" w:rsidR="00452F42" w:rsidP="00452F42" w:rsidRDefault="00452F42" w14:paraId="6AC93E6F" w14:textId="0B556BEC">
            <w:pPr>
              <w:widowControl w:val="0"/>
              <w:tabs>
                <w:tab w:val="left" w:pos="1545"/>
              </w:tabs>
              <w:autoSpaceDE w:val="0"/>
              <w:autoSpaceDN w:val="0"/>
              <w:adjustRightInd w:val="0"/>
              <w:jc w:val="center"/>
              <w:rPr>
                <w:sz w:val="20"/>
                <w:szCs w:val="20"/>
              </w:rPr>
            </w:pPr>
            <w:r>
              <w:rPr>
                <w:sz w:val="20"/>
                <w:szCs w:val="20"/>
              </w:rPr>
              <w:t>10</w:t>
            </w:r>
            <w:r w:rsidRPr="005C1619">
              <w:rPr>
                <w:sz w:val="20"/>
                <w:szCs w:val="20"/>
              </w:rPr>
              <w:t>/60</w:t>
            </w:r>
          </w:p>
        </w:tc>
        <w:tc>
          <w:tcPr>
            <w:tcW w:w="1260" w:type="dxa"/>
            <w:vAlign w:val="center"/>
          </w:tcPr>
          <w:p w:rsidRPr="005C1619" w:rsidR="00452F42" w:rsidP="00452F42" w:rsidRDefault="00452F42" w14:paraId="456D19B1" w14:textId="42BC43BD">
            <w:pPr>
              <w:widowControl w:val="0"/>
              <w:tabs>
                <w:tab w:val="left" w:pos="1545"/>
              </w:tabs>
              <w:autoSpaceDE w:val="0"/>
              <w:autoSpaceDN w:val="0"/>
              <w:adjustRightInd w:val="0"/>
              <w:jc w:val="center"/>
              <w:rPr>
                <w:sz w:val="20"/>
                <w:szCs w:val="20"/>
              </w:rPr>
            </w:pPr>
            <w:r w:rsidRPr="005C1619">
              <w:rPr>
                <w:sz w:val="20"/>
                <w:szCs w:val="20"/>
              </w:rPr>
              <w:t>$28.01</w:t>
            </w:r>
          </w:p>
        </w:tc>
        <w:tc>
          <w:tcPr>
            <w:tcW w:w="1260" w:type="dxa"/>
            <w:vAlign w:val="center"/>
          </w:tcPr>
          <w:p w:rsidRPr="005C1619" w:rsidR="00452F42" w:rsidRDefault="00452F42" w14:paraId="0343B14E" w14:textId="6E747C7A">
            <w:pPr>
              <w:widowControl w:val="0"/>
              <w:tabs>
                <w:tab w:val="left" w:pos="1545"/>
              </w:tabs>
              <w:autoSpaceDE w:val="0"/>
              <w:autoSpaceDN w:val="0"/>
              <w:adjustRightInd w:val="0"/>
              <w:jc w:val="center"/>
              <w:rPr>
                <w:sz w:val="20"/>
                <w:szCs w:val="20"/>
              </w:rPr>
            </w:pPr>
            <w:r>
              <w:rPr>
                <w:sz w:val="20"/>
                <w:szCs w:val="20"/>
              </w:rPr>
              <w:t>$1,400.50</w:t>
            </w:r>
          </w:p>
        </w:tc>
      </w:tr>
      <w:tr w:rsidRPr="005C1619" w:rsidR="00452F42" w:rsidTr="004034A1" w14:paraId="15081A48" w14:textId="152884E1">
        <w:trPr>
          <w:trHeight w:val="584"/>
        </w:trPr>
        <w:tc>
          <w:tcPr>
            <w:tcW w:w="1817" w:type="dxa"/>
            <w:vMerge/>
            <w:shd w:val="clear" w:color="auto" w:fill="auto"/>
            <w:vAlign w:val="center"/>
          </w:tcPr>
          <w:p w:rsidRPr="005C1619" w:rsidR="00452F42" w:rsidP="00452F42" w:rsidRDefault="00452F42" w14:paraId="04BB0365" w14:textId="77777777">
            <w:pPr>
              <w:widowControl w:val="0"/>
              <w:tabs>
                <w:tab w:val="left" w:pos="1545"/>
              </w:tabs>
              <w:autoSpaceDE w:val="0"/>
              <w:autoSpaceDN w:val="0"/>
              <w:adjustRightInd w:val="0"/>
              <w:jc w:val="center"/>
              <w:rPr>
                <w:sz w:val="20"/>
                <w:szCs w:val="20"/>
              </w:rPr>
            </w:pPr>
          </w:p>
        </w:tc>
        <w:tc>
          <w:tcPr>
            <w:tcW w:w="1622" w:type="dxa"/>
            <w:shd w:val="clear" w:color="auto" w:fill="auto"/>
            <w:vAlign w:val="center"/>
          </w:tcPr>
          <w:p w:rsidRPr="005C1619" w:rsidR="00452F42" w:rsidP="00452F42" w:rsidRDefault="00452F42" w14:paraId="157DDFFC" w14:textId="77777777">
            <w:pPr>
              <w:widowControl w:val="0"/>
              <w:tabs>
                <w:tab w:val="left" w:pos="1545"/>
              </w:tabs>
              <w:autoSpaceDE w:val="0"/>
              <w:autoSpaceDN w:val="0"/>
              <w:adjustRightInd w:val="0"/>
              <w:rPr>
                <w:sz w:val="20"/>
                <w:szCs w:val="20"/>
              </w:rPr>
            </w:pPr>
            <w:r w:rsidRPr="005C1619">
              <w:rPr>
                <w:sz w:val="20"/>
                <w:szCs w:val="20"/>
              </w:rPr>
              <w:t>Soil Composite Sample Collection (Form 300)</w:t>
            </w:r>
          </w:p>
        </w:tc>
        <w:tc>
          <w:tcPr>
            <w:tcW w:w="1326" w:type="dxa"/>
            <w:shd w:val="clear" w:color="auto" w:fill="auto"/>
            <w:vAlign w:val="center"/>
          </w:tcPr>
          <w:p w:rsidRPr="005C1619" w:rsidR="00452F42" w:rsidP="00452F42" w:rsidRDefault="00452F42" w14:paraId="1906730F" w14:textId="77777777">
            <w:pPr>
              <w:widowControl w:val="0"/>
              <w:tabs>
                <w:tab w:val="left" w:pos="1545"/>
              </w:tabs>
              <w:autoSpaceDE w:val="0"/>
              <w:autoSpaceDN w:val="0"/>
              <w:adjustRightInd w:val="0"/>
              <w:jc w:val="center"/>
              <w:rPr>
                <w:sz w:val="20"/>
                <w:szCs w:val="20"/>
              </w:rPr>
            </w:pPr>
            <w:r w:rsidRPr="005C1619">
              <w:rPr>
                <w:sz w:val="20"/>
                <w:szCs w:val="20"/>
              </w:rPr>
              <w:t>300</w:t>
            </w:r>
          </w:p>
        </w:tc>
        <w:tc>
          <w:tcPr>
            <w:tcW w:w="1080" w:type="dxa"/>
            <w:shd w:val="clear" w:color="auto" w:fill="auto"/>
            <w:vAlign w:val="center"/>
          </w:tcPr>
          <w:p w:rsidRPr="005C1619" w:rsidR="00452F42" w:rsidP="00452F42" w:rsidRDefault="00452F42" w14:paraId="2778B5E1" w14:textId="77777777">
            <w:pPr>
              <w:widowControl w:val="0"/>
              <w:tabs>
                <w:tab w:val="left" w:pos="1545"/>
              </w:tabs>
              <w:autoSpaceDE w:val="0"/>
              <w:autoSpaceDN w:val="0"/>
              <w:adjustRightInd w:val="0"/>
              <w:jc w:val="center"/>
              <w:rPr>
                <w:sz w:val="20"/>
                <w:szCs w:val="20"/>
              </w:rPr>
            </w:pPr>
            <w:r w:rsidRPr="005C1619">
              <w:rPr>
                <w:sz w:val="20"/>
                <w:szCs w:val="20"/>
              </w:rPr>
              <w:t>1</w:t>
            </w:r>
          </w:p>
        </w:tc>
        <w:tc>
          <w:tcPr>
            <w:tcW w:w="1260" w:type="dxa"/>
            <w:shd w:val="clear" w:color="auto" w:fill="auto"/>
            <w:vAlign w:val="center"/>
          </w:tcPr>
          <w:p w:rsidRPr="005C1619" w:rsidR="00452F42" w:rsidP="00452F42" w:rsidRDefault="00452F42" w14:paraId="5CE651C0" w14:textId="6982D4E4">
            <w:pPr>
              <w:widowControl w:val="0"/>
              <w:tabs>
                <w:tab w:val="left" w:pos="1545"/>
              </w:tabs>
              <w:autoSpaceDE w:val="0"/>
              <w:autoSpaceDN w:val="0"/>
              <w:adjustRightInd w:val="0"/>
              <w:jc w:val="center"/>
              <w:rPr>
                <w:sz w:val="20"/>
                <w:szCs w:val="20"/>
              </w:rPr>
            </w:pPr>
            <w:r>
              <w:rPr>
                <w:sz w:val="20"/>
                <w:szCs w:val="20"/>
              </w:rPr>
              <w:t>20</w:t>
            </w:r>
            <w:r w:rsidRPr="005C1619">
              <w:rPr>
                <w:sz w:val="20"/>
                <w:szCs w:val="20"/>
              </w:rPr>
              <w:t>/60</w:t>
            </w:r>
          </w:p>
        </w:tc>
        <w:tc>
          <w:tcPr>
            <w:tcW w:w="1260" w:type="dxa"/>
            <w:vAlign w:val="center"/>
          </w:tcPr>
          <w:p w:rsidRPr="005C1619" w:rsidR="00452F42" w:rsidP="00452F42" w:rsidRDefault="00452F42" w14:paraId="0ADB2ADD" w14:textId="263561B8">
            <w:pPr>
              <w:widowControl w:val="0"/>
              <w:tabs>
                <w:tab w:val="left" w:pos="1545"/>
              </w:tabs>
              <w:autoSpaceDE w:val="0"/>
              <w:autoSpaceDN w:val="0"/>
              <w:adjustRightInd w:val="0"/>
              <w:jc w:val="center"/>
              <w:rPr>
                <w:sz w:val="20"/>
                <w:szCs w:val="20"/>
              </w:rPr>
            </w:pPr>
            <w:r w:rsidRPr="005C1619">
              <w:rPr>
                <w:sz w:val="20"/>
                <w:szCs w:val="20"/>
              </w:rPr>
              <w:t>$28.01</w:t>
            </w:r>
          </w:p>
        </w:tc>
        <w:tc>
          <w:tcPr>
            <w:tcW w:w="1260" w:type="dxa"/>
            <w:vAlign w:val="center"/>
          </w:tcPr>
          <w:p w:rsidRPr="005C1619" w:rsidR="00452F42" w:rsidRDefault="00452F42" w14:paraId="4E7E5D6A" w14:textId="5E8EB015">
            <w:pPr>
              <w:widowControl w:val="0"/>
              <w:tabs>
                <w:tab w:val="left" w:pos="1545"/>
              </w:tabs>
              <w:autoSpaceDE w:val="0"/>
              <w:autoSpaceDN w:val="0"/>
              <w:adjustRightInd w:val="0"/>
              <w:jc w:val="center"/>
              <w:rPr>
                <w:sz w:val="20"/>
                <w:szCs w:val="20"/>
              </w:rPr>
            </w:pPr>
            <w:r>
              <w:rPr>
                <w:sz w:val="20"/>
                <w:szCs w:val="20"/>
              </w:rPr>
              <w:t>$2,801.00</w:t>
            </w:r>
          </w:p>
        </w:tc>
      </w:tr>
      <w:tr w:rsidRPr="005C1619" w:rsidR="00452F42" w:rsidTr="004034A1" w14:paraId="30899D95" w14:textId="58358ACF">
        <w:trPr>
          <w:trHeight w:val="584"/>
        </w:trPr>
        <w:tc>
          <w:tcPr>
            <w:tcW w:w="1817" w:type="dxa"/>
            <w:vMerge/>
            <w:shd w:val="clear" w:color="auto" w:fill="auto"/>
            <w:vAlign w:val="center"/>
          </w:tcPr>
          <w:p w:rsidRPr="005C1619" w:rsidR="00452F42" w:rsidP="00452F42" w:rsidRDefault="00452F42" w14:paraId="72E50642" w14:textId="77777777">
            <w:pPr>
              <w:widowControl w:val="0"/>
              <w:tabs>
                <w:tab w:val="left" w:pos="1545"/>
              </w:tabs>
              <w:autoSpaceDE w:val="0"/>
              <w:autoSpaceDN w:val="0"/>
              <w:adjustRightInd w:val="0"/>
              <w:jc w:val="center"/>
              <w:rPr>
                <w:sz w:val="20"/>
                <w:szCs w:val="20"/>
              </w:rPr>
            </w:pPr>
          </w:p>
        </w:tc>
        <w:tc>
          <w:tcPr>
            <w:tcW w:w="1622" w:type="dxa"/>
            <w:shd w:val="clear" w:color="auto" w:fill="auto"/>
            <w:vAlign w:val="center"/>
          </w:tcPr>
          <w:p w:rsidRPr="005C1619" w:rsidR="00452F42" w:rsidP="00452F42" w:rsidRDefault="00452F42" w14:paraId="572E0477" w14:textId="77777777">
            <w:pPr>
              <w:widowControl w:val="0"/>
              <w:tabs>
                <w:tab w:val="left" w:pos="1545"/>
              </w:tabs>
              <w:autoSpaceDE w:val="0"/>
              <w:autoSpaceDN w:val="0"/>
              <w:adjustRightInd w:val="0"/>
              <w:rPr>
                <w:sz w:val="20"/>
                <w:szCs w:val="20"/>
              </w:rPr>
            </w:pPr>
            <w:r w:rsidRPr="005C1619">
              <w:rPr>
                <w:sz w:val="20"/>
                <w:szCs w:val="20"/>
              </w:rPr>
              <w:t>Private Well Water Collection (Form 400)</w:t>
            </w:r>
          </w:p>
        </w:tc>
        <w:tc>
          <w:tcPr>
            <w:tcW w:w="1326" w:type="dxa"/>
            <w:shd w:val="clear" w:color="auto" w:fill="auto"/>
            <w:vAlign w:val="center"/>
          </w:tcPr>
          <w:p w:rsidRPr="004034A1" w:rsidR="00452F42" w:rsidP="00452F42" w:rsidRDefault="006B7376" w14:paraId="1B6E380D" w14:textId="2020878C">
            <w:pPr>
              <w:widowControl w:val="0"/>
              <w:tabs>
                <w:tab w:val="left" w:pos="1545"/>
              </w:tabs>
              <w:autoSpaceDE w:val="0"/>
              <w:autoSpaceDN w:val="0"/>
              <w:adjustRightInd w:val="0"/>
              <w:jc w:val="center"/>
              <w:rPr>
                <w:sz w:val="20"/>
                <w:szCs w:val="20"/>
                <w:vertAlign w:val="superscript"/>
              </w:rPr>
            </w:pPr>
            <w:r>
              <w:rPr>
                <w:sz w:val="20"/>
                <w:szCs w:val="20"/>
              </w:rPr>
              <w:t>60</w:t>
            </w:r>
            <w:r w:rsidR="004D384D">
              <w:rPr>
                <w:sz w:val="20"/>
                <w:szCs w:val="20"/>
                <w:vertAlign w:val="superscript"/>
              </w:rPr>
              <w:t>a</w:t>
            </w:r>
          </w:p>
        </w:tc>
        <w:tc>
          <w:tcPr>
            <w:tcW w:w="1080" w:type="dxa"/>
            <w:shd w:val="clear" w:color="auto" w:fill="auto"/>
            <w:vAlign w:val="center"/>
          </w:tcPr>
          <w:p w:rsidRPr="005C1619" w:rsidR="00452F42" w:rsidP="00452F42" w:rsidRDefault="00452F42" w14:paraId="6E6916FF" w14:textId="77777777">
            <w:pPr>
              <w:widowControl w:val="0"/>
              <w:tabs>
                <w:tab w:val="left" w:pos="1545"/>
              </w:tabs>
              <w:autoSpaceDE w:val="0"/>
              <w:autoSpaceDN w:val="0"/>
              <w:adjustRightInd w:val="0"/>
              <w:jc w:val="center"/>
              <w:rPr>
                <w:sz w:val="20"/>
                <w:szCs w:val="20"/>
              </w:rPr>
            </w:pPr>
            <w:r w:rsidRPr="005C1619">
              <w:rPr>
                <w:sz w:val="20"/>
                <w:szCs w:val="20"/>
              </w:rPr>
              <w:t>1</w:t>
            </w:r>
          </w:p>
        </w:tc>
        <w:tc>
          <w:tcPr>
            <w:tcW w:w="1260" w:type="dxa"/>
            <w:shd w:val="clear" w:color="auto" w:fill="auto"/>
            <w:vAlign w:val="center"/>
          </w:tcPr>
          <w:p w:rsidRPr="005C1619" w:rsidR="00452F42" w:rsidP="00452F42" w:rsidRDefault="00452F42" w14:paraId="50A43164" w14:textId="4F43BF54">
            <w:pPr>
              <w:widowControl w:val="0"/>
              <w:tabs>
                <w:tab w:val="left" w:pos="1545"/>
              </w:tabs>
              <w:autoSpaceDE w:val="0"/>
              <w:autoSpaceDN w:val="0"/>
              <w:adjustRightInd w:val="0"/>
              <w:jc w:val="center"/>
              <w:rPr>
                <w:sz w:val="20"/>
                <w:szCs w:val="20"/>
              </w:rPr>
            </w:pPr>
            <w:r>
              <w:rPr>
                <w:sz w:val="20"/>
                <w:szCs w:val="20"/>
              </w:rPr>
              <w:t>5</w:t>
            </w:r>
            <w:r w:rsidRPr="005C1619">
              <w:rPr>
                <w:sz w:val="20"/>
                <w:szCs w:val="20"/>
              </w:rPr>
              <w:t>/60</w:t>
            </w:r>
          </w:p>
        </w:tc>
        <w:tc>
          <w:tcPr>
            <w:tcW w:w="1260" w:type="dxa"/>
            <w:vAlign w:val="center"/>
          </w:tcPr>
          <w:p w:rsidRPr="005C1619" w:rsidR="00452F42" w:rsidP="00452F42" w:rsidRDefault="00452F42" w14:paraId="4607B3CD" w14:textId="4290B172">
            <w:pPr>
              <w:widowControl w:val="0"/>
              <w:tabs>
                <w:tab w:val="left" w:pos="1545"/>
              </w:tabs>
              <w:autoSpaceDE w:val="0"/>
              <w:autoSpaceDN w:val="0"/>
              <w:adjustRightInd w:val="0"/>
              <w:jc w:val="center"/>
              <w:rPr>
                <w:sz w:val="20"/>
                <w:szCs w:val="20"/>
              </w:rPr>
            </w:pPr>
            <w:r w:rsidRPr="005C1619">
              <w:rPr>
                <w:sz w:val="20"/>
                <w:szCs w:val="20"/>
              </w:rPr>
              <w:t>$28.01</w:t>
            </w:r>
          </w:p>
        </w:tc>
        <w:tc>
          <w:tcPr>
            <w:tcW w:w="1260" w:type="dxa"/>
            <w:vAlign w:val="center"/>
          </w:tcPr>
          <w:p w:rsidRPr="005C1619" w:rsidR="00452F42" w:rsidRDefault="00452F42" w14:paraId="191AFABF" w14:textId="60142D4C">
            <w:pPr>
              <w:widowControl w:val="0"/>
              <w:tabs>
                <w:tab w:val="left" w:pos="1545"/>
              </w:tabs>
              <w:autoSpaceDE w:val="0"/>
              <w:autoSpaceDN w:val="0"/>
              <w:adjustRightInd w:val="0"/>
              <w:jc w:val="center"/>
              <w:rPr>
                <w:sz w:val="20"/>
                <w:szCs w:val="20"/>
              </w:rPr>
            </w:pPr>
            <w:r>
              <w:rPr>
                <w:sz w:val="20"/>
                <w:szCs w:val="20"/>
              </w:rPr>
              <w:t>$</w:t>
            </w:r>
            <w:r w:rsidR="009779CC">
              <w:rPr>
                <w:sz w:val="20"/>
                <w:szCs w:val="20"/>
              </w:rPr>
              <w:t>140.0</w:t>
            </w:r>
            <w:r>
              <w:rPr>
                <w:sz w:val="20"/>
                <w:szCs w:val="20"/>
              </w:rPr>
              <w:t>5</w:t>
            </w:r>
          </w:p>
        </w:tc>
      </w:tr>
      <w:tr w:rsidRPr="005C1619" w:rsidR="00452F42" w:rsidTr="004034A1" w14:paraId="7A06F1BB" w14:textId="2AB7BFC4">
        <w:trPr>
          <w:trHeight w:val="584"/>
        </w:trPr>
        <w:tc>
          <w:tcPr>
            <w:tcW w:w="1817" w:type="dxa"/>
            <w:vMerge/>
            <w:shd w:val="clear" w:color="auto" w:fill="auto"/>
            <w:vAlign w:val="center"/>
          </w:tcPr>
          <w:p w:rsidRPr="005C1619" w:rsidR="00452F42" w:rsidP="00452F42" w:rsidRDefault="00452F42" w14:paraId="2A6F3C5D" w14:textId="77777777">
            <w:pPr>
              <w:widowControl w:val="0"/>
              <w:tabs>
                <w:tab w:val="left" w:pos="1545"/>
              </w:tabs>
              <w:autoSpaceDE w:val="0"/>
              <w:autoSpaceDN w:val="0"/>
              <w:adjustRightInd w:val="0"/>
              <w:jc w:val="center"/>
              <w:rPr>
                <w:sz w:val="20"/>
                <w:szCs w:val="20"/>
              </w:rPr>
            </w:pPr>
          </w:p>
        </w:tc>
        <w:tc>
          <w:tcPr>
            <w:tcW w:w="1622" w:type="dxa"/>
            <w:shd w:val="clear" w:color="auto" w:fill="auto"/>
            <w:vAlign w:val="center"/>
          </w:tcPr>
          <w:p w:rsidRPr="005C1619" w:rsidR="00452F42" w:rsidP="00452F42" w:rsidRDefault="00452F42" w14:paraId="086B9075" w14:textId="77777777">
            <w:pPr>
              <w:widowControl w:val="0"/>
              <w:tabs>
                <w:tab w:val="left" w:pos="1545"/>
              </w:tabs>
              <w:autoSpaceDE w:val="0"/>
              <w:autoSpaceDN w:val="0"/>
              <w:adjustRightInd w:val="0"/>
              <w:rPr>
                <w:sz w:val="20"/>
                <w:szCs w:val="20"/>
              </w:rPr>
            </w:pPr>
            <w:r w:rsidRPr="005C1619">
              <w:rPr>
                <w:sz w:val="20"/>
                <w:szCs w:val="20"/>
              </w:rPr>
              <w:t>Public Water Kitchen Tap Collection (Form 500)</w:t>
            </w:r>
          </w:p>
        </w:tc>
        <w:tc>
          <w:tcPr>
            <w:tcW w:w="1326" w:type="dxa"/>
            <w:shd w:val="clear" w:color="auto" w:fill="auto"/>
            <w:vAlign w:val="center"/>
          </w:tcPr>
          <w:p w:rsidRPr="004034A1" w:rsidR="00452F42" w:rsidP="00452F42" w:rsidRDefault="006B7376" w14:paraId="219195B9" w14:textId="1AFCC7B9">
            <w:pPr>
              <w:widowControl w:val="0"/>
              <w:tabs>
                <w:tab w:val="left" w:pos="1545"/>
              </w:tabs>
              <w:autoSpaceDE w:val="0"/>
              <w:autoSpaceDN w:val="0"/>
              <w:adjustRightInd w:val="0"/>
              <w:jc w:val="center"/>
              <w:rPr>
                <w:sz w:val="20"/>
                <w:szCs w:val="20"/>
                <w:vertAlign w:val="superscript"/>
              </w:rPr>
            </w:pPr>
            <w:r>
              <w:rPr>
                <w:sz w:val="20"/>
                <w:szCs w:val="20"/>
              </w:rPr>
              <w:t>240</w:t>
            </w:r>
            <w:r w:rsidR="004D384D">
              <w:rPr>
                <w:sz w:val="20"/>
                <w:szCs w:val="20"/>
                <w:vertAlign w:val="superscript"/>
              </w:rPr>
              <w:t>a</w:t>
            </w:r>
          </w:p>
        </w:tc>
        <w:tc>
          <w:tcPr>
            <w:tcW w:w="1080" w:type="dxa"/>
            <w:shd w:val="clear" w:color="auto" w:fill="auto"/>
            <w:vAlign w:val="center"/>
          </w:tcPr>
          <w:p w:rsidRPr="005C1619" w:rsidR="00452F42" w:rsidP="00452F42" w:rsidRDefault="00452F42" w14:paraId="69299D0A" w14:textId="77777777">
            <w:pPr>
              <w:widowControl w:val="0"/>
              <w:tabs>
                <w:tab w:val="left" w:pos="1545"/>
              </w:tabs>
              <w:autoSpaceDE w:val="0"/>
              <w:autoSpaceDN w:val="0"/>
              <w:adjustRightInd w:val="0"/>
              <w:jc w:val="center"/>
              <w:rPr>
                <w:sz w:val="20"/>
                <w:szCs w:val="20"/>
              </w:rPr>
            </w:pPr>
            <w:r w:rsidRPr="005C1619">
              <w:rPr>
                <w:sz w:val="20"/>
                <w:szCs w:val="20"/>
              </w:rPr>
              <w:t>1</w:t>
            </w:r>
          </w:p>
        </w:tc>
        <w:tc>
          <w:tcPr>
            <w:tcW w:w="1260" w:type="dxa"/>
            <w:shd w:val="clear" w:color="auto" w:fill="auto"/>
            <w:vAlign w:val="center"/>
          </w:tcPr>
          <w:p w:rsidRPr="005C1619" w:rsidR="00452F42" w:rsidP="00452F42" w:rsidRDefault="00452F42" w14:paraId="7C7A89BB" w14:textId="0946834D">
            <w:pPr>
              <w:widowControl w:val="0"/>
              <w:tabs>
                <w:tab w:val="left" w:pos="1545"/>
              </w:tabs>
              <w:autoSpaceDE w:val="0"/>
              <w:autoSpaceDN w:val="0"/>
              <w:adjustRightInd w:val="0"/>
              <w:jc w:val="center"/>
              <w:rPr>
                <w:sz w:val="20"/>
                <w:szCs w:val="20"/>
              </w:rPr>
            </w:pPr>
            <w:r>
              <w:rPr>
                <w:sz w:val="20"/>
                <w:szCs w:val="20"/>
              </w:rPr>
              <w:t>5</w:t>
            </w:r>
            <w:r w:rsidRPr="005C1619">
              <w:rPr>
                <w:sz w:val="20"/>
                <w:szCs w:val="20"/>
              </w:rPr>
              <w:t>/60</w:t>
            </w:r>
          </w:p>
        </w:tc>
        <w:tc>
          <w:tcPr>
            <w:tcW w:w="1260" w:type="dxa"/>
            <w:vAlign w:val="center"/>
          </w:tcPr>
          <w:p w:rsidRPr="005C1619" w:rsidR="00452F42" w:rsidP="00452F42" w:rsidRDefault="00452F42" w14:paraId="0402C9DE" w14:textId="7EA08802">
            <w:pPr>
              <w:widowControl w:val="0"/>
              <w:tabs>
                <w:tab w:val="left" w:pos="1545"/>
              </w:tabs>
              <w:autoSpaceDE w:val="0"/>
              <w:autoSpaceDN w:val="0"/>
              <w:adjustRightInd w:val="0"/>
              <w:jc w:val="center"/>
              <w:rPr>
                <w:sz w:val="20"/>
                <w:szCs w:val="20"/>
              </w:rPr>
            </w:pPr>
            <w:r w:rsidRPr="005C1619">
              <w:rPr>
                <w:sz w:val="20"/>
                <w:szCs w:val="20"/>
              </w:rPr>
              <w:t>$28.01</w:t>
            </w:r>
          </w:p>
        </w:tc>
        <w:tc>
          <w:tcPr>
            <w:tcW w:w="1260" w:type="dxa"/>
            <w:vAlign w:val="center"/>
          </w:tcPr>
          <w:p w:rsidRPr="005C1619" w:rsidR="00452F42" w:rsidRDefault="00452F42" w14:paraId="664482DD" w14:textId="39ED87C1">
            <w:pPr>
              <w:widowControl w:val="0"/>
              <w:tabs>
                <w:tab w:val="left" w:pos="1545"/>
              </w:tabs>
              <w:autoSpaceDE w:val="0"/>
              <w:autoSpaceDN w:val="0"/>
              <w:adjustRightInd w:val="0"/>
              <w:jc w:val="center"/>
              <w:rPr>
                <w:sz w:val="20"/>
                <w:szCs w:val="20"/>
              </w:rPr>
            </w:pPr>
            <w:r>
              <w:rPr>
                <w:sz w:val="20"/>
                <w:szCs w:val="20"/>
              </w:rPr>
              <w:t>$</w:t>
            </w:r>
            <w:r w:rsidR="00652EF4">
              <w:rPr>
                <w:sz w:val="20"/>
                <w:szCs w:val="20"/>
              </w:rPr>
              <w:t>560.20</w:t>
            </w:r>
          </w:p>
        </w:tc>
      </w:tr>
      <w:tr w:rsidRPr="00F16E9D" w:rsidR="00452F42" w:rsidTr="004034A1" w14:paraId="1238131C" w14:textId="5AE77570">
        <w:trPr>
          <w:trHeight w:val="584"/>
        </w:trPr>
        <w:tc>
          <w:tcPr>
            <w:tcW w:w="1817" w:type="dxa"/>
            <w:shd w:val="clear" w:color="auto" w:fill="auto"/>
            <w:vAlign w:val="center"/>
          </w:tcPr>
          <w:p w:rsidRPr="004034A1" w:rsidR="00452F42" w:rsidP="00452F42" w:rsidRDefault="00452F42" w14:paraId="3EF8BDAF" w14:textId="77777777">
            <w:pPr>
              <w:widowControl w:val="0"/>
              <w:tabs>
                <w:tab w:val="left" w:pos="1545"/>
              </w:tabs>
              <w:autoSpaceDE w:val="0"/>
              <w:autoSpaceDN w:val="0"/>
              <w:adjustRightInd w:val="0"/>
              <w:jc w:val="center"/>
              <w:rPr>
                <w:sz w:val="20"/>
                <w:szCs w:val="20"/>
              </w:rPr>
            </w:pPr>
            <w:r w:rsidRPr="004034A1">
              <w:rPr>
                <w:sz w:val="20"/>
                <w:szCs w:val="20"/>
              </w:rPr>
              <w:t>Total</w:t>
            </w:r>
          </w:p>
        </w:tc>
        <w:tc>
          <w:tcPr>
            <w:tcW w:w="1622" w:type="dxa"/>
            <w:shd w:val="clear" w:color="auto" w:fill="auto"/>
            <w:vAlign w:val="center"/>
          </w:tcPr>
          <w:p w:rsidRPr="004034A1" w:rsidR="00452F42" w:rsidP="00452F42" w:rsidRDefault="00452F42" w14:paraId="6791AAE1" w14:textId="77777777">
            <w:pPr>
              <w:widowControl w:val="0"/>
              <w:tabs>
                <w:tab w:val="left" w:pos="1545"/>
              </w:tabs>
              <w:autoSpaceDE w:val="0"/>
              <w:autoSpaceDN w:val="0"/>
              <w:adjustRightInd w:val="0"/>
              <w:jc w:val="center"/>
              <w:rPr>
                <w:sz w:val="20"/>
                <w:szCs w:val="20"/>
              </w:rPr>
            </w:pPr>
          </w:p>
        </w:tc>
        <w:tc>
          <w:tcPr>
            <w:tcW w:w="1326" w:type="dxa"/>
            <w:shd w:val="clear" w:color="auto" w:fill="auto"/>
            <w:vAlign w:val="center"/>
          </w:tcPr>
          <w:p w:rsidRPr="004034A1" w:rsidR="00452F42" w:rsidP="00452F42" w:rsidRDefault="00452F42" w14:paraId="5A555E71" w14:textId="77777777">
            <w:pPr>
              <w:widowControl w:val="0"/>
              <w:tabs>
                <w:tab w:val="left" w:pos="1545"/>
              </w:tabs>
              <w:autoSpaceDE w:val="0"/>
              <w:autoSpaceDN w:val="0"/>
              <w:adjustRightInd w:val="0"/>
              <w:jc w:val="center"/>
              <w:rPr>
                <w:sz w:val="20"/>
                <w:szCs w:val="20"/>
              </w:rPr>
            </w:pPr>
          </w:p>
        </w:tc>
        <w:tc>
          <w:tcPr>
            <w:tcW w:w="1080" w:type="dxa"/>
            <w:shd w:val="clear" w:color="auto" w:fill="auto"/>
            <w:vAlign w:val="center"/>
          </w:tcPr>
          <w:p w:rsidRPr="004034A1" w:rsidR="00452F42" w:rsidP="00452F42" w:rsidRDefault="00452F42" w14:paraId="1814F3B0" w14:textId="77777777">
            <w:pPr>
              <w:widowControl w:val="0"/>
              <w:tabs>
                <w:tab w:val="left" w:pos="1545"/>
              </w:tabs>
              <w:autoSpaceDE w:val="0"/>
              <w:autoSpaceDN w:val="0"/>
              <w:adjustRightInd w:val="0"/>
              <w:jc w:val="center"/>
              <w:rPr>
                <w:sz w:val="20"/>
                <w:szCs w:val="20"/>
              </w:rPr>
            </w:pPr>
          </w:p>
        </w:tc>
        <w:tc>
          <w:tcPr>
            <w:tcW w:w="1260" w:type="dxa"/>
            <w:shd w:val="clear" w:color="auto" w:fill="auto"/>
            <w:vAlign w:val="center"/>
          </w:tcPr>
          <w:p w:rsidRPr="004034A1" w:rsidR="00452F42" w:rsidP="00452F42" w:rsidRDefault="00452F42" w14:paraId="76D56A38" w14:textId="77777777">
            <w:pPr>
              <w:widowControl w:val="0"/>
              <w:tabs>
                <w:tab w:val="left" w:pos="1545"/>
              </w:tabs>
              <w:autoSpaceDE w:val="0"/>
              <w:autoSpaceDN w:val="0"/>
              <w:adjustRightInd w:val="0"/>
              <w:jc w:val="center"/>
              <w:rPr>
                <w:sz w:val="20"/>
                <w:szCs w:val="20"/>
              </w:rPr>
            </w:pPr>
          </w:p>
        </w:tc>
        <w:tc>
          <w:tcPr>
            <w:tcW w:w="1260" w:type="dxa"/>
            <w:vAlign w:val="center"/>
          </w:tcPr>
          <w:p w:rsidRPr="004034A1" w:rsidR="00452F42" w:rsidP="00452F42" w:rsidRDefault="00452F42" w14:paraId="76D8E5C7" w14:textId="77777777">
            <w:pPr>
              <w:widowControl w:val="0"/>
              <w:tabs>
                <w:tab w:val="left" w:pos="1545"/>
              </w:tabs>
              <w:autoSpaceDE w:val="0"/>
              <w:autoSpaceDN w:val="0"/>
              <w:adjustRightInd w:val="0"/>
              <w:jc w:val="center"/>
              <w:rPr>
                <w:sz w:val="20"/>
                <w:szCs w:val="20"/>
              </w:rPr>
            </w:pPr>
          </w:p>
        </w:tc>
        <w:tc>
          <w:tcPr>
            <w:tcW w:w="1260" w:type="dxa"/>
            <w:vAlign w:val="center"/>
          </w:tcPr>
          <w:p w:rsidRPr="004034A1" w:rsidR="00452F42" w:rsidRDefault="00452F42" w14:paraId="7C913967" w14:textId="268C40EC">
            <w:pPr>
              <w:widowControl w:val="0"/>
              <w:tabs>
                <w:tab w:val="left" w:pos="1545"/>
              </w:tabs>
              <w:autoSpaceDE w:val="0"/>
              <w:autoSpaceDN w:val="0"/>
              <w:adjustRightInd w:val="0"/>
              <w:jc w:val="center"/>
              <w:rPr>
                <w:sz w:val="20"/>
                <w:szCs w:val="20"/>
                <w:vertAlign w:val="superscript"/>
              </w:rPr>
            </w:pPr>
            <w:r>
              <w:rPr>
                <w:sz w:val="20"/>
                <w:szCs w:val="20"/>
              </w:rPr>
              <w:t>$</w:t>
            </w:r>
            <w:r w:rsidR="002E5DFF">
              <w:rPr>
                <w:sz w:val="20"/>
                <w:szCs w:val="20"/>
              </w:rPr>
              <w:t>11</w:t>
            </w:r>
            <w:r>
              <w:rPr>
                <w:sz w:val="20"/>
                <w:szCs w:val="20"/>
              </w:rPr>
              <w:t>,</w:t>
            </w:r>
            <w:r w:rsidR="00576CA0">
              <w:rPr>
                <w:sz w:val="20"/>
                <w:szCs w:val="20"/>
              </w:rPr>
              <w:t>125.7</w:t>
            </w:r>
            <w:r w:rsidR="00F6515C">
              <w:rPr>
                <w:sz w:val="20"/>
                <w:szCs w:val="20"/>
              </w:rPr>
              <w:t xml:space="preserve">5 </w:t>
            </w:r>
            <w:r w:rsidR="004D384D">
              <w:rPr>
                <w:sz w:val="20"/>
                <w:szCs w:val="20"/>
                <w:vertAlign w:val="superscript"/>
              </w:rPr>
              <w:t>b</w:t>
            </w:r>
          </w:p>
        </w:tc>
      </w:tr>
    </w:tbl>
    <w:p w:rsidR="004D384D" w:rsidP="004D384D" w:rsidRDefault="004D384D" w14:paraId="2DE30A40" w14:textId="2743C794">
      <w:pPr>
        <w:rPr>
          <w:sz w:val="20"/>
          <w:szCs w:val="20"/>
        </w:rPr>
      </w:pPr>
      <w:proofErr w:type="spellStart"/>
      <w:r w:rsidRPr="005C1619">
        <w:rPr>
          <w:sz w:val="20"/>
          <w:szCs w:val="20"/>
          <w:vertAlign w:val="superscript"/>
        </w:rPr>
        <w:t>a</w:t>
      </w:r>
      <w:proofErr w:type="spellEnd"/>
      <w:r w:rsidR="00D228AB">
        <w:rPr>
          <w:sz w:val="20"/>
          <w:szCs w:val="20"/>
          <w:vertAlign w:val="superscript"/>
        </w:rPr>
        <w:t xml:space="preserve"> </w:t>
      </w:r>
      <w:r>
        <w:rPr>
          <w:sz w:val="20"/>
          <w:szCs w:val="20"/>
        </w:rPr>
        <w:t xml:space="preserve">Each of the 300 participants will have their water sampled. Water sampling will require no more than 5 minutes of time for either public or  private sources. ATSDR anticipates homes will only use  water from one source and that no more than 20% of the participants will have private wells. The true number of participants with private and public sources may change, but </w:t>
      </w:r>
      <w:r w:rsidR="00B31FC5">
        <w:rPr>
          <w:sz w:val="20"/>
          <w:szCs w:val="20"/>
        </w:rPr>
        <w:t xml:space="preserve">the total </w:t>
      </w:r>
      <w:r>
        <w:rPr>
          <w:sz w:val="20"/>
          <w:szCs w:val="20"/>
        </w:rPr>
        <w:t xml:space="preserve">will still equal 300 </w:t>
      </w:r>
      <w:r w:rsidR="00221E42">
        <w:rPr>
          <w:sz w:val="20"/>
          <w:szCs w:val="20"/>
        </w:rPr>
        <w:t>and the burden will not change</w:t>
      </w:r>
      <w:r>
        <w:rPr>
          <w:sz w:val="20"/>
          <w:szCs w:val="20"/>
        </w:rPr>
        <w:t xml:space="preserve">.  </w:t>
      </w:r>
    </w:p>
    <w:p w:rsidRPr="005C1619" w:rsidR="004D384D" w:rsidP="004D384D" w:rsidRDefault="004D384D" w14:paraId="5B950503" w14:textId="77777777">
      <w:pPr>
        <w:rPr>
          <w:sz w:val="20"/>
          <w:szCs w:val="20"/>
        </w:rPr>
      </w:pPr>
    </w:p>
    <w:p w:rsidRPr="00F06748" w:rsidR="004D384D" w:rsidP="004D384D" w:rsidRDefault="004D384D" w14:paraId="7A0CFA5C" w14:textId="5134F03D">
      <w:r>
        <w:rPr>
          <w:sz w:val="20"/>
          <w:szCs w:val="20"/>
          <w:vertAlign w:val="superscript"/>
        </w:rPr>
        <w:t>b</w:t>
      </w:r>
      <w:r w:rsidR="00D228AB">
        <w:rPr>
          <w:sz w:val="20"/>
          <w:szCs w:val="20"/>
          <w:vertAlign w:val="superscript"/>
        </w:rPr>
        <w:t xml:space="preserve"> </w:t>
      </w:r>
      <w:r w:rsidRPr="005C1619">
        <w:rPr>
          <w:sz w:val="20"/>
          <w:szCs w:val="20"/>
        </w:rPr>
        <w:t xml:space="preserve">This maximum value assumes that each participant will have a separate sampling event for indoor dust and outdoor soil. The total will likely be less due to multiple participants that will require one household set of environmental samples. </w:t>
      </w:r>
    </w:p>
    <w:p w:rsidRPr="003D5701" w:rsidR="0089362A" w:rsidP="006653AB" w:rsidRDefault="0089362A" w14:paraId="29EA9372" w14:textId="77777777">
      <w:pPr>
        <w:tabs>
          <w:tab w:val="center" w:pos="4680"/>
          <w:tab w:val="left" w:pos="7710"/>
        </w:tabs>
        <w:rPr>
          <w:u w:val="single"/>
        </w:rPr>
      </w:pPr>
    </w:p>
    <w:p w:rsidR="00261215" w:rsidP="00B60A40" w:rsidRDefault="00B60A40" w14:paraId="5DF13B52" w14:textId="77777777">
      <w:pPr>
        <w:pStyle w:val="Heading2"/>
      </w:pPr>
      <w:bookmarkStart w:name="_Toc105168853" w:id="118"/>
      <w:r>
        <w:lastRenderedPageBreak/>
        <w:t>A.13</w:t>
      </w:r>
      <w:r w:rsidR="002A0056">
        <w:t>.</w:t>
      </w:r>
      <w:r w:rsidR="00261215">
        <w:t xml:space="preserve"> Estimates of Other Total Annual Cost Burden to </w:t>
      </w:r>
      <w:r w:rsidR="009F3DD8">
        <w:t>Respondents</w:t>
      </w:r>
      <w:r w:rsidR="00261215">
        <w:t xml:space="preserve"> o</w:t>
      </w:r>
      <w:r w:rsidR="00DD0E31">
        <w:t>r</w:t>
      </w:r>
      <w:r w:rsidR="00261215">
        <w:t xml:space="preserve"> Record Keepers</w:t>
      </w:r>
      <w:bookmarkEnd w:id="118"/>
    </w:p>
    <w:p w:rsidRPr="000128D8" w:rsidR="00DD0E31" w:rsidP="006653AB" w:rsidRDefault="00DD0E31" w14:paraId="0A7D9D59" w14:textId="77777777">
      <w:pPr>
        <w:tabs>
          <w:tab w:val="center" w:pos="4680"/>
          <w:tab w:val="left" w:pos="7710"/>
        </w:tabs>
      </w:pPr>
    </w:p>
    <w:p w:rsidR="00DD0E31" w:rsidP="006653AB" w:rsidRDefault="00540BD7" w14:paraId="100A09AB" w14:textId="77777777">
      <w:pPr>
        <w:tabs>
          <w:tab w:val="center" w:pos="4680"/>
          <w:tab w:val="left" w:pos="7710"/>
        </w:tabs>
        <w:rPr>
          <w:b/>
        </w:rPr>
      </w:pPr>
      <w:r>
        <w:t>There will be no direct costs to the participants other than their time to participate in the EI</w:t>
      </w:r>
      <w:r w:rsidRPr="000128D8" w:rsidR="00DD0E31">
        <w:t>.</w:t>
      </w:r>
    </w:p>
    <w:bookmarkEnd w:id="113"/>
    <w:bookmarkEnd w:id="114"/>
    <w:bookmarkEnd w:id="115"/>
    <w:bookmarkEnd w:id="116"/>
    <w:p w:rsidRPr="00A527F9" w:rsidR="00AB0F01" w:rsidP="002F40AB" w:rsidRDefault="00AB0F01" w14:paraId="6C21B0A5" w14:textId="77777777">
      <w:pPr>
        <w:autoSpaceDE w:val="0"/>
        <w:autoSpaceDN w:val="0"/>
        <w:adjustRightInd w:val="0"/>
        <w:rPr>
          <w:color w:val="000000" w:themeColor="text1"/>
        </w:rPr>
      </w:pPr>
    </w:p>
    <w:p w:rsidR="006653AB" w:rsidP="00B60A40" w:rsidRDefault="00B60A40" w14:paraId="6382ADBD" w14:textId="77777777">
      <w:pPr>
        <w:pStyle w:val="Heading2"/>
      </w:pPr>
      <w:bookmarkStart w:name="_Toc105168854" w:id="119"/>
      <w:bookmarkStart w:name="_Toc306344159" w:id="120"/>
      <w:bookmarkStart w:name="_Toc306344800" w:id="121"/>
      <w:bookmarkStart w:name="_Toc306345041" w:id="122"/>
      <w:bookmarkStart w:name="_Toc311445510" w:id="123"/>
      <w:r>
        <w:t>A.14</w:t>
      </w:r>
      <w:r w:rsidR="006653AB">
        <w:t>. Annualized Cost to the Government</w:t>
      </w:r>
      <w:bookmarkEnd w:id="119"/>
    </w:p>
    <w:p w:rsidR="006653AB" w:rsidP="006653AB" w:rsidRDefault="006653AB" w14:paraId="275018FB" w14:textId="77777777">
      <w:pPr>
        <w:tabs>
          <w:tab w:val="center" w:pos="4680"/>
          <w:tab w:val="left" w:pos="7710"/>
        </w:tabs>
        <w:rPr>
          <w:b/>
        </w:rPr>
      </w:pPr>
    </w:p>
    <w:p w:rsidR="006653AB" w:rsidP="006653AB" w:rsidRDefault="006653AB" w14:paraId="46DB2F8C" w14:textId="77777777">
      <w:pPr>
        <w:tabs>
          <w:tab w:val="center" w:pos="4680"/>
          <w:tab w:val="left" w:pos="7710"/>
        </w:tabs>
      </w:pPr>
      <w:r>
        <w:t xml:space="preserve">Costs for ATSDR personnel </w:t>
      </w:r>
      <w:r w:rsidR="00B847C9">
        <w:t>a</w:t>
      </w:r>
      <w:r>
        <w:t>re estimated based on experience with previous EI activities.</w:t>
      </w:r>
      <w:r w:rsidR="00540BD7">
        <w:t xml:space="preserve">  </w:t>
      </w:r>
    </w:p>
    <w:p w:rsidRPr="006523AC" w:rsidR="00540BD7" w:rsidP="006653AB" w:rsidRDefault="00540BD7" w14:paraId="61BBE9F2" w14:textId="77777777">
      <w:pPr>
        <w:tabs>
          <w:tab w:val="center" w:pos="4680"/>
          <w:tab w:val="left" w:pos="7710"/>
        </w:tabs>
      </w:pPr>
    </w:p>
    <w:tbl>
      <w:tblPr>
        <w:tblStyle w:val="TableGrid1"/>
        <w:tblW w:w="9567" w:type="dxa"/>
        <w:tblInd w:w="9" w:type="dxa"/>
        <w:tblLayout w:type="fixed"/>
        <w:tblLook w:val="04A0" w:firstRow="1" w:lastRow="0" w:firstColumn="1" w:lastColumn="0" w:noHBand="0" w:noVBand="1"/>
      </w:tblPr>
      <w:tblGrid>
        <w:gridCol w:w="5296"/>
        <w:gridCol w:w="1499"/>
        <w:gridCol w:w="1386"/>
        <w:gridCol w:w="1386"/>
      </w:tblGrid>
      <w:tr w:rsidRPr="00BA12D5" w:rsidR="00540BD7" w:rsidTr="00BC3480" w14:paraId="42D7FD19" w14:textId="77777777">
        <w:trPr>
          <w:trHeight w:val="593"/>
        </w:trPr>
        <w:tc>
          <w:tcPr>
            <w:tcW w:w="5296" w:type="dxa"/>
            <w:tcBorders>
              <w:bottom w:val="single" w:color="auto" w:sz="4" w:space="0"/>
            </w:tcBorders>
            <w:shd w:val="clear" w:color="auto" w:fill="D9D9D9" w:themeFill="background1" w:themeFillShade="D9"/>
            <w:vAlign w:val="center"/>
          </w:tcPr>
          <w:p w:rsidRPr="0057306B" w:rsidR="00540BD7" w:rsidP="00540BD7" w:rsidRDefault="00540BD7" w14:paraId="010ACBD3" w14:textId="77777777">
            <w:pPr>
              <w:rPr>
                <w:rFonts w:ascii="Times New Roman" w:hAnsi="Times New Roman" w:cs="Times New Roman"/>
                <w:sz w:val="20"/>
                <w:szCs w:val="20"/>
              </w:rPr>
            </w:pPr>
            <w:r w:rsidRPr="0057306B">
              <w:rPr>
                <w:sz w:val="20"/>
                <w:szCs w:val="20"/>
              </w:rPr>
              <w:t xml:space="preserve">Staff (FTE) </w:t>
            </w:r>
          </w:p>
        </w:tc>
        <w:tc>
          <w:tcPr>
            <w:tcW w:w="1499" w:type="dxa"/>
            <w:tcBorders>
              <w:bottom w:val="single" w:color="auto" w:sz="4" w:space="0"/>
            </w:tcBorders>
            <w:shd w:val="clear" w:color="auto" w:fill="D9D9D9" w:themeFill="background1" w:themeFillShade="D9"/>
            <w:vAlign w:val="center"/>
          </w:tcPr>
          <w:p w:rsidRPr="0057306B" w:rsidR="00540BD7" w:rsidP="00B76161" w:rsidRDefault="00540BD7" w14:paraId="163A0824" w14:textId="77777777">
            <w:pPr>
              <w:jc w:val="center"/>
              <w:rPr>
                <w:rFonts w:ascii="Times New Roman" w:hAnsi="Times New Roman" w:cs="Times New Roman"/>
                <w:sz w:val="20"/>
                <w:szCs w:val="20"/>
              </w:rPr>
            </w:pPr>
            <w:r w:rsidRPr="0057306B">
              <w:rPr>
                <w:sz w:val="20"/>
                <w:szCs w:val="20"/>
              </w:rPr>
              <w:t>Average Hours per Collection</w:t>
            </w:r>
          </w:p>
        </w:tc>
        <w:tc>
          <w:tcPr>
            <w:tcW w:w="1386" w:type="dxa"/>
            <w:tcBorders>
              <w:bottom w:val="single" w:color="auto" w:sz="4" w:space="0"/>
            </w:tcBorders>
            <w:shd w:val="clear" w:color="auto" w:fill="D9D9D9" w:themeFill="background1" w:themeFillShade="D9"/>
            <w:vAlign w:val="center"/>
          </w:tcPr>
          <w:p w:rsidRPr="0057306B" w:rsidR="00540BD7" w:rsidP="00B76161" w:rsidRDefault="00540BD7" w14:paraId="4B57002E" w14:textId="77777777">
            <w:pPr>
              <w:jc w:val="center"/>
              <w:rPr>
                <w:rFonts w:ascii="Times New Roman" w:hAnsi="Times New Roman" w:cs="Times New Roman"/>
                <w:sz w:val="20"/>
                <w:szCs w:val="20"/>
              </w:rPr>
            </w:pPr>
            <w:r w:rsidRPr="0057306B">
              <w:rPr>
                <w:sz w:val="20"/>
                <w:szCs w:val="20"/>
              </w:rPr>
              <w:t>Average Hourly Rate</w:t>
            </w:r>
          </w:p>
        </w:tc>
        <w:tc>
          <w:tcPr>
            <w:tcW w:w="1386" w:type="dxa"/>
            <w:tcBorders>
              <w:bottom w:val="single" w:color="auto" w:sz="4" w:space="0"/>
            </w:tcBorders>
            <w:shd w:val="clear" w:color="auto" w:fill="D9D9D9" w:themeFill="background1" w:themeFillShade="D9"/>
            <w:vAlign w:val="center"/>
          </w:tcPr>
          <w:p w:rsidRPr="0057306B" w:rsidR="00540BD7" w:rsidP="00B76161" w:rsidRDefault="00540BD7" w14:paraId="63AEC567" w14:textId="77777777">
            <w:pPr>
              <w:jc w:val="center"/>
              <w:rPr>
                <w:rFonts w:ascii="Times New Roman" w:hAnsi="Times New Roman" w:cs="Times New Roman"/>
                <w:sz w:val="20"/>
                <w:szCs w:val="20"/>
              </w:rPr>
            </w:pPr>
            <w:r w:rsidRPr="0057306B">
              <w:rPr>
                <w:sz w:val="20"/>
                <w:szCs w:val="20"/>
              </w:rPr>
              <w:t>Average Cost</w:t>
            </w:r>
          </w:p>
        </w:tc>
      </w:tr>
      <w:tr w:rsidRPr="00BA12D5" w:rsidR="00540BD7" w:rsidTr="00BC3480" w14:paraId="3CA1D762" w14:textId="77777777">
        <w:tc>
          <w:tcPr>
            <w:tcW w:w="5296" w:type="dxa"/>
            <w:tcBorders>
              <w:top w:val="single" w:color="auto" w:sz="4" w:space="0"/>
            </w:tcBorders>
          </w:tcPr>
          <w:p w:rsidRPr="0057306B" w:rsidR="00540BD7" w:rsidP="00E93EAC" w:rsidRDefault="00540BD7" w14:paraId="73158B82" w14:textId="411342FF">
            <w:pPr>
              <w:rPr>
                <w:rFonts w:ascii="Times New Roman" w:hAnsi="Times New Roman" w:cs="Times New Roman"/>
                <w:sz w:val="20"/>
                <w:szCs w:val="20"/>
              </w:rPr>
            </w:pPr>
            <w:r w:rsidRPr="0057306B">
              <w:rPr>
                <w:sz w:val="20"/>
                <w:szCs w:val="20"/>
              </w:rPr>
              <w:t xml:space="preserve"> </w:t>
            </w:r>
            <w:r w:rsidRPr="0057306B" w:rsidR="00403BAE">
              <w:rPr>
                <w:sz w:val="20"/>
                <w:szCs w:val="20"/>
              </w:rPr>
              <w:t>Medical Officer (</w:t>
            </w:r>
            <w:r w:rsidRPr="0057306B" w:rsidR="00941043">
              <w:rPr>
                <w:sz w:val="20"/>
                <w:szCs w:val="20"/>
              </w:rPr>
              <w:t>GS-14</w:t>
            </w:r>
            <w:r w:rsidRPr="0057306B" w:rsidR="00403BAE">
              <w:rPr>
                <w:sz w:val="20"/>
                <w:szCs w:val="20"/>
              </w:rPr>
              <w:t>)</w:t>
            </w:r>
          </w:p>
        </w:tc>
        <w:tc>
          <w:tcPr>
            <w:tcW w:w="1499" w:type="dxa"/>
            <w:tcBorders>
              <w:top w:val="single" w:color="auto" w:sz="4" w:space="0"/>
            </w:tcBorders>
          </w:tcPr>
          <w:p w:rsidRPr="0057306B" w:rsidR="00311E38" w:rsidP="00BC3480" w:rsidRDefault="00E93EAC" w14:paraId="1C95FBDB" w14:textId="1E2CC445">
            <w:pPr>
              <w:jc w:val="center"/>
              <w:rPr>
                <w:rFonts w:ascii="Times New Roman" w:hAnsi="Times New Roman" w:eastAsia="Times New Roman" w:cs="Times New Roman"/>
                <w:sz w:val="20"/>
                <w:szCs w:val="20"/>
              </w:rPr>
            </w:pPr>
            <w:r w:rsidRPr="0057306B">
              <w:rPr>
                <w:sz w:val="20"/>
                <w:szCs w:val="20"/>
              </w:rPr>
              <w:t>300</w:t>
            </w:r>
          </w:p>
        </w:tc>
        <w:tc>
          <w:tcPr>
            <w:tcW w:w="1386" w:type="dxa"/>
            <w:tcBorders>
              <w:top w:val="single" w:color="auto" w:sz="4" w:space="0"/>
            </w:tcBorders>
          </w:tcPr>
          <w:p w:rsidRPr="0057306B" w:rsidR="00311E38" w:rsidP="00BC3480" w:rsidRDefault="009A0F23" w14:paraId="40EBBD53" w14:textId="1CF48079">
            <w:pPr>
              <w:jc w:val="center"/>
              <w:rPr>
                <w:rFonts w:ascii="Times New Roman" w:hAnsi="Times New Roman" w:eastAsia="Times New Roman" w:cs="Times New Roman"/>
                <w:sz w:val="20"/>
                <w:szCs w:val="20"/>
              </w:rPr>
            </w:pPr>
            <w:r w:rsidRPr="0057306B">
              <w:rPr>
                <w:sz w:val="20"/>
                <w:szCs w:val="20"/>
              </w:rPr>
              <w:t>$5</w:t>
            </w:r>
            <w:r w:rsidRPr="0057306B" w:rsidR="00BC3480">
              <w:rPr>
                <w:sz w:val="20"/>
                <w:szCs w:val="20"/>
              </w:rPr>
              <w:t>4.24</w:t>
            </w:r>
          </w:p>
        </w:tc>
        <w:tc>
          <w:tcPr>
            <w:tcW w:w="1386" w:type="dxa"/>
            <w:tcBorders>
              <w:top w:val="single" w:color="auto" w:sz="4" w:space="0"/>
            </w:tcBorders>
          </w:tcPr>
          <w:p w:rsidRPr="0057306B" w:rsidR="00311E38" w:rsidP="00E93EAC" w:rsidRDefault="009A0F23" w14:paraId="2ECAFEE8" w14:textId="36725FA9">
            <w:pPr>
              <w:jc w:val="right"/>
              <w:rPr>
                <w:rFonts w:ascii="Times New Roman" w:hAnsi="Times New Roman" w:eastAsia="Times New Roman" w:cs="Times New Roman"/>
                <w:sz w:val="20"/>
                <w:szCs w:val="20"/>
              </w:rPr>
            </w:pPr>
            <w:r w:rsidRPr="0057306B">
              <w:rPr>
                <w:sz w:val="20"/>
                <w:szCs w:val="20"/>
              </w:rPr>
              <w:t>$</w:t>
            </w:r>
            <w:r w:rsidRPr="0057306B" w:rsidR="00E93EAC">
              <w:rPr>
                <w:sz w:val="20"/>
                <w:szCs w:val="20"/>
              </w:rPr>
              <w:t>16,272</w:t>
            </w:r>
            <w:r w:rsidRPr="0057306B" w:rsidR="00BC3480">
              <w:rPr>
                <w:sz w:val="20"/>
                <w:szCs w:val="20"/>
              </w:rPr>
              <w:t>.00</w:t>
            </w:r>
          </w:p>
        </w:tc>
      </w:tr>
      <w:tr w:rsidRPr="00BA12D5" w:rsidR="00540BD7" w:rsidTr="00BC3480" w14:paraId="3AEC7B9C" w14:textId="77777777">
        <w:tc>
          <w:tcPr>
            <w:tcW w:w="5296" w:type="dxa"/>
          </w:tcPr>
          <w:p w:rsidRPr="0057306B" w:rsidR="00941043" w:rsidP="00941043" w:rsidRDefault="00540BD7" w14:paraId="27D0A0EC" w14:textId="2EA64EB6">
            <w:pPr>
              <w:rPr>
                <w:rFonts w:ascii="Times New Roman" w:hAnsi="Times New Roman" w:cs="Times New Roman"/>
                <w:sz w:val="20"/>
                <w:szCs w:val="20"/>
              </w:rPr>
            </w:pPr>
            <w:r w:rsidRPr="0057306B">
              <w:rPr>
                <w:sz w:val="20"/>
                <w:szCs w:val="20"/>
              </w:rPr>
              <w:t xml:space="preserve"> </w:t>
            </w:r>
            <w:r w:rsidRPr="0057306B" w:rsidR="00941043">
              <w:rPr>
                <w:sz w:val="20"/>
                <w:szCs w:val="20"/>
              </w:rPr>
              <w:t>Headquarters Health Scientist (GS-13)</w:t>
            </w:r>
          </w:p>
        </w:tc>
        <w:tc>
          <w:tcPr>
            <w:tcW w:w="1499" w:type="dxa"/>
          </w:tcPr>
          <w:p w:rsidRPr="0057306B" w:rsidR="00311E38" w:rsidP="00BC3480" w:rsidRDefault="00941043" w14:paraId="09BA3ACE" w14:textId="496F8738">
            <w:pPr>
              <w:jc w:val="center"/>
              <w:rPr>
                <w:rFonts w:ascii="Times New Roman" w:hAnsi="Times New Roman" w:eastAsia="SimSun" w:cs="Times New Roman"/>
                <w:sz w:val="20"/>
                <w:szCs w:val="20"/>
                <w:lang w:eastAsia="zh-CN"/>
              </w:rPr>
            </w:pPr>
            <w:r w:rsidRPr="0057306B">
              <w:rPr>
                <w:sz w:val="20"/>
                <w:szCs w:val="20"/>
              </w:rPr>
              <w:t>750</w:t>
            </w:r>
          </w:p>
        </w:tc>
        <w:tc>
          <w:tcPr>
            <w:tcW w:w="1386" w:type="dxa"/>
          </w:tcPr>
          <w:p w:rsidRPr="0057306B" w:rsidR="00311E38" w:rsidP="00BC3480" w:rsidRDefault="009A0F23" w14:paraId="486EA5BC" w14:textId="06803CF6">
            <w:pPr>
              <w:jc w:val="center"/>
              <w:rPr>
                <w:rFonts w:ascii="Times New Roman" w:hAnsi="Times New Roman" w:eastAsia="SimSun" w:cs="Times New Roman"/>
                <w:sz w:val="20"/>
                <w:szCs w:val="20"/>
                <w:lang w:eastAsia="zh-CN"/>
              </w:rPr>
            </w:pPr>
            <w:r w:rsidRPr="0057306B">
              <w:rPr>
                <w:sz w:val="20"/>
                <w:szCs w:val="20"/>
              </w:rPr>
              <w:t>$</w:t>
            </w:r>
            <w:r w:rsidRPr="0057306B" w:rsidR="00BC3480">
              <w:rPr>
                <w:sz w:val="20"/>
                <w:szCs w:val="20"/>
              </w:rPr>
              <w:t>45.90</w:t>
            </w:r>
          </w:p>
        </w:tc>
        <w:tc>
          <w:tcPr>
            <w:tcW w:w="1386" w:type="dxa"/>
          </w:tcPr>
          <w:p w:rsidRPr="0057306B" w:rsidR="00941043" w:rsidP="00BC3480" w:rsidRDefault="009A0F23" w14:paraId="57D90047" w14:textId="06C0C189">
            <w:pPr>
              <w:jc w:val="right"/>
              <w:rPr>
                <w:rFonts w:ascii="Times New Roman" w:hAnsi="Times New Roman" w:cs="Times New Roman"/>
                <w:sz w:val="20"/>
                <w:szCs w:val="20"/>
              </w:rPr>
            </w:pPr>
            <w:r w:rsidRPr="0057306B">
              <w:rPr>
                <w:sz w:val="20"/>
                <w:szCs w:val="20"/>
              </w:rPr>
              <w:t>$</w:t>
            </w:r>
            <w:r w:rsidRPr="0057306B" w:rsidR="00BC3480">
              <w:rPr>
                <w:sz w:val="20"/>
                <w:szCs w:val="20"/>
              </w:rPr>
              <w:t>34,425.00</w:t>
            </w:r>
          </w:p>
        </w:tc>
      </w:tr>
      <w:tr w:rsidRPr="00BA12D5" w:rsidR="00941043" w:rsidTr="00BC3480" w14:paraId="17CE8E91" w14:textId="77777777">
        <w:tc>
          <w:tcPr>
            <w:tcW w:w="5296" w:type="dxa"/>
          </w:tcPr>
          <w:p w:rsidRPr="0057306B" w:rsidR="00941043" w:rsidP="005956B8" w:rsidRDefault="00941043" w14:paraId="06F7FC16" w14:textId="1F537C97">
            <w:pPr>
              <w:rPr>
                <w:rFonts w:ascii="Times New Roman" w:hAnsi="Times New Roman" w:cs="Times New Roman"/>
                <w:sz w:val="20"/>
                <w:szCs w:val="20"/>
              </w:rPr>
            </w:pPr>
            <w:r w:rsidRPr="0057306B">
              <w:rPr>
                <w:sz w:val="20"/>
                <w:szCs w:val="20"/>
              </w:rPr>
              <w:t xml:space="preserve"> Regional Representative (Health Scientist – GS-13)</w:t>
            </w:r>
          </w:p>
        </w:tc>
        <w:tc>
          <w:tcPr>
            <w:tcW w:w="1499" w:type="dxa"/>
          </w:tcPr>
          <w:p w:rsidRPr="0057306B" w:rsidR="00941043" w:rsidP="00BC3480" w:rsidRDefault="00941043" w14:paraId="728E7D61" w14:textId="56A33B3F">
            <w:pPr>
              <w:jc w:val="center"/>
              <w:rPr>
                <w:rFonts w:ascii="Times New Roman" w:hAnsi="Times New Roman" w:cs="Times New Roman"/>
                <w:sz w:val="20"/>
                <w:szCs w:val="20"/>
              </w:rPr>
            </w:pPr>
            <w:r w:rsidRPr="0057306B">
              <w:rPr>
                <w:sz w:val="20"/>
                <w:szCs w:val="20"/>
              </w:rPr>
              <w:t>400</w:t>
            </w:r>
          </w:p>
        </w:tc>
        <w:tc>
          <w:tcPr>
            <w:tcW w:w="1386" w:type="dxa"/>
          </w:tcPr>
          <w:p w:rsidRPr="0057306B" w:rsidR="00941043" w:rsidP="00BC3480" w:rsidRDefault="00941043" w14:paraId="5F6CE494" w14:textId="42BABACC">
            <w:pPr>
              <w:jc w:val="center"/>
              <w:rPr>
                <w:rFonts w:ascii="Times New Roman" w:hAnsi="Times New Roman" w:cs="Times New Roman"/>
                <w:sz w:val="20"/>
                <w:szCs w:val="20"/>
              </w:rPr>
            </w:pPr>
            <w:r w:rsidRPr="0057306B">
              <w:rPr>
                <w:sz w:val="20"/>
                <w:szCs w:val="20"/>
              </w:rPr>
              <w:t>$</w:t>
            </w:r>
            <w:r w:rsidRPr="0057306B" w:rsidR="00BC3480">
              <w:rPr>
                <w:sz w:val="20"/>
                <w:szCs w:val="20"/>
              </w:rPr>
              <w:t>45.90</w:t>
            </w:r>
          </w:p>
        </w:tc>
        <w:tc>
          <w:tcPr>
            <w:tcW w:w="1386" w:type="dxa"/>
          </w:tcPr>
          <w:p w:rsidRPr="0057306B" w:rsidR="00941043" w:rsidP="00BC3480" w:rsidRDefault="00C07BF4" w14:paraId="6F89E2CC" w14:textId="1C9C288E">
            <w:pPr>
              <w:jc w:val="right"/>
              <w:rPr>
                <w:rFonts w:ascii="Times New Roman" w:hAnsi="Times New Roman" w:cs="Times New Roman"/>
                <w:sz w:val="20"/>
                <w:szCs w:val="20"/>
              </w:rPr>
            </w:pPr>
            <w:r w:rsidRPr="0057306B">
              <w:rPr>
                <w:sz w:val="20"/>
                <w:szCs w:val="20"/>
              </w:rPr>
              <w:t>$</w:t>
            </w:r>
            <w:r w:rsidRPr="0057306B" w:rsidR="00BC3480">
              <w:rPr>
                <w:sz w:val="20"/>
                <w:szCs w:val="20"/>
              </w:rPr>
              <w:t>18,360.00</w:t>
            </w:r>
          </w:p>
        </w:tc>
      </w:tr>
      <w:tr w:rsidRPr="00BA12D5" w:rsidR="00540BD7" w:rsidTr="00796151" w14:paraId="46EFF201" w14:textId="77777777">
        <w:trPr>
          <w:trHeight w:val="332"/>
        </w:trPr>
        <w:tc>
          <w:tcPr>
            <w:tcW w:w="8181" w:type="dxa"/>
            <w:gridSpan w:val="3"/>
            <w:vAlign w:val="center"/>
          </w:tcPr>
          <w:p w:rsidRPr="0057306B" w:rsidR="00540BD7" w:rsidP="00B76161" w:rsidRDefault="00540BD7" w14:paraId="633F12C9" w14:textId="77777777">
            <w:pPr>
              <w:jc w:val="right"/>
              <w:rPr>
                <w:rFonts w:ascii="Times New Roman" w:hAnsi="Times New Roman" w:cs="Times New Roman"/>
                <w:sz w:val="20"/>
                <w:szCs w:val="20"/>
              </w:rPr>
            </w:pPr>
            <w:r w:rsidRPr="0057306B">
              <w:rPr>
                <w:sz w:val="20"/>
                <w:szCs w:val="20"/>
              </w:rPr>
              <w:t xml:space="preserve">Estimated Total </w:t>
            </w:r>
            <w:r w:rsidRPr="0057306B" w:rsidR="00145016">
              <w:rPr>
                <w:sz w:val="20"/>
                <w:szCs w:val="20"/>
              </w:rPr>
              <w:t xml:space="preserve">Personnel </w:t>
            </w:r>
            <w:r w:rsidRPr="0057306B">
              <w:rPr>
                <w:sz w:val="20"/>
                <w:szCs w:val="20"/>
              </w:rPr>
              <w:t xml:space="preserve">Cost of </w:t>
            </w:r>
            <w:r w:rsidRPr="0057306B" w:rsidR="00F83594">
              <w:rPr>
                <w:sz w:val="20"/>
                <w:szCs w:val="20"/>
              </w:rPr>
              <w:t>Exposure Investigation</w:t>
            </w:r>
          </w:p>
        </w:tc>
        <w:tc>
          <w:tcPr>
            <w:tcW w:w="1386" w:type="dxa"/>
            <w:vAlign w:val="center"/>
          </w:tcPr>
          <w:p w:rsidRPr="0057306B" w:rsidR="00311E38" w:rsidP="00E93EAC" w:rsidRDefault="009A0F23" w14:paraId="05C08D0D" w14:textId="5CCCB301">
            <w:pPr>
              <w:jc w:val="right"/>
              <w:rPr>
                <w:rFonts w:ascii="Times New Roman" w:hAnsi="Times New Roman" w:cs="Times New Roman"/>
                <w:sz w:val="20"/>
                <w:szCs w:val="20"/>
              </w:rPr>
            </w:pPr>
            <w:r w:rsidRPr="0057306B">
              <w:rPr>
                <w:sz w:val="20"/>
                <w:szCs w:val="20"/>
              </w:rPr>
              <w:t>$</w:t>
            </w:r>
            <w:r w:rsidRPr="0057306B" w:rsidR="00E93EAC">
              <w:rPr>
                <w:sz w:val="20"/>
                <w:szCs w:val="20"/>
              </w:rPr>
              <w:t>69,057</w:t>
            </w:r>
            <w:r w:rsidRPr="0057306B" w:rsidR="00BC3480">
              <w:rPr>
                <w:sz w:val="20"/>
                <w:szCs w:val="20"/>
              </w:rPr>
              <w:t>.00</w:t>
            </w:r>
          </w:p>
        </w:tc>
      </w:tr>
    </w:tbl>
    <w:p w:rsidRPr="005D7203" w:rsidR="00540BD7" w:rsidP="006653AB" w:rsidRDefault="00540BD7" w14:paraId="7E23F8BC" w14:textId="77777777">
      <w:pPr>
        <w:tabs>
          <w:tab w:val="center" w:pos="4680"/>
          <w:tab w:val="left" w:pos="7710"/>
        </w:tabs>
      </w:pPr>
    </w:p>
    <w:p w:rsidRPr="005D7203" w:rsidR="006653AB" w:rsidP="006653AB" w:rsidRDefault="006653AB" w14:paraId="450A4579" w14:textId="77777777">
      <w:pPr>
        <w:tabs>
          <w:tab w:val="center" w:pos="4680"/>
          <w:tab w:val="left" w:pos="7710"/>
        </w:tabs>
        <w:rPr>
          <w:b/>
        </w:rPr>
      </w:pPr>
      <w:r w:rsidRPr="005D7203">
        <w:rPr>
          <w:b/>
        </w:rPr>
        <w:t xml:space="preserve">                                                                                          </w:t>
      </w:r>
    </w:p>
    <w:tbl>
      <w:tblPr>
        <w:tblStyle w:val="LightList"/>
        <w:tblW w:w="9620" w:type="dxa"/>
        <w:tblBorders>
          <w:insideH w:val="single" w:color="000000" w:themeColor="text1" w:sz="8" w:space="0"/>
          <w:insideV w:val="single" w:color="000000" w:themeColor="text1" w:sz="8" w:space="0"/>
        </w:tblBorders>
        <w:tblLayout w:type="fixed"/>
        <w:tblLook w:val="04A0" w:firstRow="1" w:lastRow="0" w:firstColumn="1" w:lastColumn="0" w:noHBand="0" w:noVBand="1"/>
      </w:tblPr>
      <w:tblGrid>
        <w:gridCol w:w="967"/>
        <w:gridCol w:w="3033"/>
        <w:gridCol w:w="3460"/>
        <w:gridCol w:w="2160"/>
      </w:tblGrid>
      <w:tr w:rsidRPr="005D7203" w:rsidR="00B76161" w:rsidTr="008330B7" w14:paraId="5544A4BC"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60" w:type="dxa"/>
            <w:gridSpan w:val="3"/>
            <w:tcBorders>
              <w:bottom w:val="single" w:color="000000" w:themeColor="text1" w:sz="8" w:space="0"/>
            </w:tcBorders>
            <w:shd w:val="clear" w:color="auto" w:fill="D9D9D9" w:themeFill="background1" w:themeFillShade="D9"/>
          </w:tcPr>
          <w:p w:rsidRPr="0057306B" w:rsidR="00311E38" w:rsidP="00041F9D" w:rsidRDefault="006B32E4" w14:paraId="3618127E" w14:textId="77777777">
            <w:pPr>
              <w:tabs>
                <w:tab w:val="left" w:pos="1545"/>
              </w:tabs>
              <w:jc w:val="both"/>
              <w:rPr>
                <w:rFonts w:eastAsia="SimSun"/>
                <w:b w:val="0"/>
                <w:bCs w:val="0"/>
                <w:color w:val="auto"/>
                <w:sz w:val="20"/>
                <w:szCs w:val="20"/>
                <w:lang w:eastAsia="zh-CN"/>
              </w:rPr>
            </w:pPr>
            <w:r w:rsidRPr="0057306B">
              <w:rPr>
                <w:sz w:val="20"/>
                <w:szCs w:val="20"/>
              </w:rPr>
              <w:t>Non-Personnel</w:t>
            </w:r>
          </w:p>
        </w:tc>
        <w:tc>
          <w:tcPr>
            <w:tcW w:w="2160" w:type="dxa"/>
            <w:shd w:val="clear" w:color="auto" w:fill="D9D9D9" w:themeFill="background1" w:themeFillShade="D9"/>
          </w:tcPr>
          <w:p w:rsidRPr="0057306B" w:rsidR="00311E38" w:rsidP="00041F9D" w:rsidRDefault="006B32E4" w14:paraId="548A35F4" w14:textId="77777777">
            <w:pPr>
              <w:tabs>
                <w:tab w:val="left" w:pos="1545"/>
              </w:tabs>
              <w:jc w:val="center"/>
              <w:cnfStyle w:val="100000000000" w:firstRow="1" w:lastRow="0" w:firstColumn="0" w:lastColumn="0" w:oddVBand="0" w:evenVBand="0" w:oddHBand="0" w:evenHBand="0" w:firstRowFirstColumn="0" w:firstRowLastColumn="0" w:lastRowFirstColumn="0" w:lastRowLastColumn="0"/>
              <w:rPr>
                <w:b w:val="0"/>
                <w:bCs w:val="0"/>
                <w:color w:val="auto"/>
                <w:sz w:val="20"/>
                <w:szCs w:val="20"/>
              </w:rPr>
            </w:pPr>
            <w:r w:rsidRPr="0057306B">
              <w:rPr>
                <w:sz w:val="20"/>
                <w:szCs w:val="20"/>
              </w:rPr>
              <w:t>Cost</w:t>
            </w:r>
          </w:p>
        </w:tc>
      </w:tr>
      <w:tr w:rsidRPr="005D7203" w:rsidR="00B76161" w:rsidTr="008330B7" w14:paraId="18097AC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60" w:type="dxa"/>
            <w:gridSpan w:val="3"/>
          </w:tcPr>
          <w:p w:rsidRPr="0057306B" w:rsidR="00B76161" w:rsidP="006653AB" w:rsidRDefault="006B32E4" w14:paraId="4570AAFF" w14:textId="77777777">
            <w:pPr>
              <w:tabs>
                <w:tab w:val="left" w:pos="1545"/>
              </w:tabs>
              <w:rPr>
                <w:b w:val="0"/>
                <w:sz w:val="20"/>
                <w:szCs w:val="20"/>
              </w:rPr>
            </w:pPr>
            <w:r w:rsidRPr="0057306B">
              <w:rPr>
                <w:sz w:val="20"/>
                <w:szCs w:val="20"/>
              </w:rPr>
              <w:t>Travel costs</w:t>
            </w:r>
          </w:p>
        </w:tc>
        <w:tc>
          <w:tcPr>
            <w:tcW w:w="2160" w:type="dxa"/>
          </w:tcPr>
          <w:p w:rsidRPr="0057306B" w:rsidR="00B76161" w:rsidP="006653AB" w:rsidRDefault="00B76161" w14:paraId="0E5CC54B" w14:textId="77777777">
            <w:pPr>
              <w:tabs>
                <w:tab w:val="left" w:pos="1545"/>
              </w:tabs>
              <w:cnfStyle w:val="000000100000" w:firstRow="0" w:lastRow="0" w:firstColumn="0" w:lastColumn="0" w:oddVBand="0" w:evenVBand="0" w:oddHBand="1" w:evenHBand="0" w:firstRowFirstColumn="0" w:firstRowLastColumn="0" w:lastRowFirstColumn="0" w:lastRowLastColumn="0"/>
              <w:rPr>
                <w:sz w:val="20"/>
                <w:szCs w:val="20"/>
              </w:rPr>
            </w:pPr>
          </w:p>
        </w:tc>
      </w:tr>
      <w:tr w:rsidRPr="005D7203" w:rsidR="00DB2E14" w:rsidTr="008330B7" w14:paraId="167A686B" w14:textId="77777777">
        <w:tc>
          <w:tcPr>
            <w:cnfStyle w:val="001000000000" w:firstRow="0" w:lastRow="0" w:firstColumn="1" w:lastColumn="0" w:oddVBand="0" w:evenVBand="0" w:oddHBand="0" w:evenHBand="0" w:firstRowFirstColumn="0" w:firstRowLastColumn="0" w:lastRowFirstColumn="0" w:lastRowLastColumn="0"/>
            <w:tcW w:w="967" w:type="dxa"/>
            <w:tcBorders>
              <w:bottom w:val="single" w:color="000000" w:themeColor="text1" w:sz="8" w:space="0"/>
              <w:right w:val="nil"/>
            </w:tcBorders>
          </w:tcPr>
          <w:p w:rsidRPr="0057306B" w:rsidR="00DB2E14" w:rsidP="006653AB" w:rsidRDefault="00DB2E14" w14:paraId="3EB713E8" w14:textId="77777777">
            <w:pPr>
              <w:tabs>
                <w:tab w:val="left" w:pos="1545"/>
              </w:tabs>
              <w:rPr>
                <w:b w:val="0"/>
                <w:sz w:val="20"/>
                <w:szCs w:val="20"/>
              </w:rPr>
            </w:pPr>
          </w:p>
        </w:tc>
        <w:tc>
          <w:tcPr>
            <w:tcW w:w="6493" w:type="dxa"/>
            <w:gridSpan w:val="2"/>
            <w:tcBorders>
              <w:left w:val="nil"/>
              <w:bottom w:val="single" w:color="000000" w:themeColor="text1" w:sz="8" w:space="0"/>
            </w:tcBorders>
          </w:tcPr>
          <w:p w:rsidRPr="0057306B" w:rsidR="00DB2E14" w:rsidP="00DB2E14" w:rsidRDefault="00DB2E14" w14:paraId="1083844D" w14:textId="77777777">
            <w:pPr>
              <w:tabs>
                <w:tab w:val="left" w:pos="1545"/>
              </w:tabs>
              <w:cnfStyle w:val="000000000000" w:firstRow="0" w:lastRow="0" w:firstColumn="0" w:lastColumn="0" w:oddVBand="0" w:evenVBand="0" w:oddHBand="0" w:evenHBand="0" w:firstRowFirstColumn="0" w:firstRowLastColumn="0" w:lastRowFirstColumn="0" w:lastRowLastColumn="0"/>
              <w:rPr>
                <w:sz w:val="20"/>
                <w:szCs w:val="20"/>
              </w:rPr>
            </w:pPr>
            <w:r w:rsidRPr="0057306B">
              <w:rPr>
                <w:sz w:val="20"/>
                <w:szCs w:val="20"/>
              </w:rPr>
              <w:t>Atlanta Personnel</w:t>
            </w:r>
          </w:p>
        </w:tc>
        <w:tc>
          <w:tcPr>
            <w:tcW w:w="2160" w:type="dxa"/>
          </w:tcPr>
          <w:p w:rsidRPr="0057306B" w:rsidR="00311E38" w:rsidP="00E93EAC" w:rsidRDefault="00DB2E14" w14:paraId="2077295C" w14:textId="212B5097">
            <w:pPr>
              <w:tabs>
                <w:tab w:val="left" w:pos="1545"/>
              </w:tabs>
              <w:jc w:val="right"/>
              <w:cnfStyle w:val="000000000000" w:firstRow="0" w:lastRow="0" w:firstColumn="0" w:lastColumn="0" w:oddVBand="0" w:evenVBand="0" w:oddHBand="0" w:evenHBand="0" w:firstRowFirstColumn="0" w:firstRowLastColumn="0" w:lastRowFirstColumn="0" w:lastRowLastColumn="0"/>
              <w:rPr>
                <w:sz w:val="20"/>
                <w:szCs w:val="20"/>
              </w:rPr>
            </w:pPr>
            <w:r w:rsidRPr="0057306B">
              <w:rPr>
                <w:sz w:val="20"/>
                <w:szCs w:val="20"/>
              </w:rPr>
              <w:t>$</w:t>
            </w:r>
            <w:r w:rsidRPr="0057306B" w:rsidR="0018737D">
              <w:rPr>
                <w:sz w:val="20"/>
                <w:szCs w:val="20"/>
              </w:rPr>
              <w:t>8,418</w:t>
            </w:r>
            <w:r w:rsidRPr="0057306B" w:rsidR="00796151">
              <w:rPr>
                <w:sz w:val="20"/>
                <w:szCs w:val="20"/>
              </w:rPr>
              <w:t>.00</w:t>
            </w:r>
          </w:p>
        </w:tc>
      </w:tr>
      <w:tr w:rsidRPr="005D7203" w:rsidR="00DB2E14" w:rsidTr="008330B7" w14:paraId="380AF69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7" w:type="dxa"/>
            <w:tcBorders>
              <w:top w:val="none" w:color="auto" w:sz="0" w:space="0"/>
              <w:left w:val="none" w:color="auto" w:sz="0" w:space="0"/>
              <w:bottom w:val="none" w:color="auto" w:sz="0" w:space="0"/>
              <w:right w:val="nil"/>
            </w:tcBorders>
          </w:tcPr>
          <w:p w:rsidRPr="0057306B" w:rsidR="00DB2E14" w:rsidP="006653AB" w:rsidRDefault="00DB2E14" w14:paraId="71049AF9" w14:textId="77777777">
            <w:pPr>
              <w:tabs>
                <w:tab w:val="left" w:pos="1545"/>
              </w:tabs>
              <w:rPr>
                <w:b w:val="0"/>
                <w:sz w:val="20"/>
                <w:szCs w:val="20"/>
              </w:rPr>
            </w:pPr>
          </w:p>
        </w:tc>
        <w:tc>
          <w:tcPr>
            <w:tcW w:w="6493" w:type="dxa"/>
            <w:gridSpan w:val="2"/>
            <w:tcBorders>
              <w:top w:val="none" w:color="auto" w:sz="0" w:space="0"/>
              <w:left w:val="nil"/>
              <w:bottom w:val="none" w:color="auto" w:sz="0" w:space="0"/>
            </w:tcBorders>
          </w:tcPr>
          <w:p w:rsidRPr="0057306B" w:rsidR="00DB2E14" w:rsidP="00DB2E14" w:rsidRDefault="00DB2E14" w14:paraId="58BA34F2" w14:textId="77777777">
            <w:pPr>
              <w:tabs>
                <w:tab w:val="left" w:pos="1545"/>
              </w:tabs>
              <w:cnfStyle w:val="000000100000" w:firstRow="0" w:lastRow="0" w:firstColumn="0" w:lastColumn="0" w:oddVBand="0" w:evenVBand="0" w:oddHBand="1" w:evenHBand="0" w:firstRowFirstColumn="0" w:firstRowLastColumn="0" w:lastRowFirstColumn="0" w:lastRowLastColumn="0"/>
              <w:rPr>
                <w:sz w:val="20"/>
                <w:szCs w:val="20"/>
              </w:rPr>
            </w:pPr>
            <w:r w:rsidRPr="0057306B">
              <w:rPr>
                <w:sz w:val="20"/>
                <w:szCs w:val="20"/>
              </w:rPr>
              <w:t>Regional Personnel</w:t>
            </w:r>
          </w:p>
        </w:tc>
        <w:tc>
          <w:tcPr>
            <w:tcW w:w="2160" w:type="dxa"/>
            <w:tcBorders>
              <w:top w:val="none" w:color="auto" w:sz="0" w:space="0"/>
              <w:bottom w:val="none" w:color="auto" w:sz="0" w:space="0"/>
              <w:right w:val="none" w:color="auto" w:sz="0" w:space="0"/>
            </w:tcBorders>
          </w:tcPr>
          <w:p w:rsidRPr="0057306B" w:rsidR="00311E38" w:rsidP="00E93EAC" w:rsidRDefault="00DB2E14" w14:paraId="7A8E16BB" w14:textId="5C61F237">
            <w:pPr>
              <w:tabs>
                <w:tab w:val="left" w:pos="1545"/>
              </w:tabs>
              <w:jc w:val="right"/>
              <w:cnfStyle w:val="000000100000" w:firstRow="0" w:lastRow="0" w:firstColumn="0" w:lastColumn="0" w:oddVBand="0" w:evenVBand="0" w:oddHBand="1" w:evenHBand="0" w:firstRowFirstColumn="0" w:firstRowLastColumn="0" w:lastRowFirstColumn="0" w:lastRowLastColumn="0"/>
              <w:rPr>
                <w:sz w:val="20"/>
                <w:szCs w:val="20"/>
              </w:rPr>
            </w:pPr>
            <w:r w:rsidRPr="0057306B">
              <w:rPr>
                <w:sz w:val="20"/>
                <w:szCs w:val="20"/>
              </w:rPr>
              <w:t>$</w:t>
            </w:r>
            <w:r w:rsidRPr="0057306B" w:rsidR="005F3A9D">
              <w:rPr>
                <w:sz w:val="20"/>
                <w:szCs w:val="20"/>
              </w:rPr>
              <w:t>1</w:t>
            </w:r>
            <w:r w:rsidRPr="0057306B" w:rsidR="00E24DE4">
              <w:rPr>
                <w:sz w:val="20"/>
                <w:szCs w:val="20"/>
              </w:rPr>
              <w:t>2,466.</w:t>
            </w:r>
            <w:r w:rsidRPr="0057306B" w:rsidR="0007281C">
              <w:rPr>
                <w:sz w:val="20"/>
                <w:szCs w:val="20"/>
              </w:rPr>
              <w:t>00</w:t>
            </w:r>
          </w:p>
        </w:tc>
      </w:tr>
      <w:tr w:rsidRPr="005D7203" w:rsidR="00DB2E14" w:rsidTr="008330B7" w14:paraId="04BD1EE5" w14:textId="77777777">
        <w:tc>
          <w:tcPr>
            <w:cnfStyle w:val="001000000000" w:firstRow="0" w:lastRow="0" w:firstColumn="1" w:lastColumn="0" w:oddVBand="0" w:evenVBand="0" w:oddHBand="0" w:evenHBand="0" w:firstRowFirstColumn="0" w:firstRowLastColumn="0" w:lastRowFirstColumn="0" w:lastRowLastColumn="0"/>
            <w:tcW w:w="4000" w:type="dxa"/>
            <w:gridSpan w:val="2"/>
            <w:tcBorders>
              <w:right w:val="nil"/>
            </w:tcBorders>
          </w:tcPr>
          <w:p w:rsidRPr="0057306B" w:rsidR="00DB2E14" w:rsidP="00DB5631" w:rsidRDefault="006B32E4" w14:paraId="17A23BF3" w14:textId="3D1AC7D5">
            <w:pPr>
              <w:widowControl w:val="0"/>
              <w:tabs>
                <w:tab w:val="left" w:pos="1545"/>
              </w:tabs>
              <w:autoSpaceDE w:val="0"/>
              <w:autoSpaceDN w:val="0"/>
              <w:adjustRightInd w:val="0"/>
              <w:rPr>
                <w:b w:val="0"/>
                <w:sz w:val="20"/>
                <w:szCs w:val="20"/>
              </w:rPr>
            </w:pPr>
            <w:r w:rsidRPr="0057306B">
              <w:rPr>
                <w:sz w:val="20"/>
                <w:szCs w:val="20"/>
              </w:rPr>
              <w:t>Laboratory costs</w:t>
            </w:r>
            <w:r w:rsidRPr="0057306B" w:rsidR="004971B6">
              <w:rPr>
                <w:sz w:val="20"/>
                <w:szCs w:val="20"/>
              </w:rPr>
              <w:t xml:space="preserve"> </w:t>
            </w:r>
          </w:p>
        </w:tc>
        <w:tc>
          <w:tcPr>
            <w:tcW w:w="3460" w:type="dxa"/>
            <w:tcBorders>
              <w:left w:val="nil"/>
            </w:tcBorders>
          </w:tcPr>
          <w:p w:rsidRPr="0057306B" w:rsidR="00DB2E14" w:rsidP="006653AB" w:rsidRDefault="00DB2E14" w14:paraId="45E284E3" w14:textId="77777777">
            <w:pPr>
              <w:tabs>
                <w:tab w:val="left" w:pos="1545"/>
              </w:tabs>
              <w:cnfStyle w:val="000000000000" w:firstRow="0" w:lastRow="0" w:firstColumn="0" w:lastColumn="0" w:oddVBand="0" w:evenVBand="0" w:oddHBand="0" w:evenHBand="0" w:firstRowFirstColumn="0" w:firstRowLastColumn="0" w:lastRowFirstColumn="0" w:lastRowLastColumn="0"/>
              <w:rPr>
                <w:sz w:val="20"/>
                <w:szCs w:val="20"/>
              </w:rPr>
            </w:pPr>
          </w:p>
        </w:tc>
        <w:tc>
          <w:tcPr>
            <w:tcW w:w="2160" w:type="dxa"/>
          </w:tcPr>
          <w:p w:rsidRPr="0057306B" w:rsidR="00311E38" w:rsidP="00041F9D" w:rsidRDefault="004E6C29" w14:paraId="1E10C75E" w14:textId="3496100F">
            <w:pPr>
              <w:tabs>
                <w:tab w:val="left" w:pos="1545"/>
              </w:tabs>
              <w:jc w:val="right"/>
              <w:cnfStyle w:val="000000000000" w:firstRow="0" w:lastRow="0" w:firstColumn="0" w:lastColumn="0" w:oddVBand="0" w:evenVBand="0" w:oddHBand="0" w:evenHBand="0" w:firstRowFirstColumn="0" w:firstRowLastColumn="0" w:lastRowFirstColumn="0" w:lastRowLastColumn="0"/>
              <w:rPr>
                <w:sz w:val="20"/>
                <w:szCs w:val="20"/>
              </w:rPr>
            </w:pPr>
            <w:r w:rsidRPr="0057306B">
              <w:rPr>
                <w:sz w:val="20"/>
                <w:szCs w:val="20"/>
              </w:rPr>
              <w:t>$</w:t>
            </w:r>
            <w:r w:rsidRPr="0057306B" w:rsidR="00321DF8">
              <w:rPr>
                <w:sz w:val="20"/>
                <w:szCs w:val="20"/>
              </w:rPr>
              <w:t>24,000</w:t>
            </w:r>
            <w:r w:rsidRPr="0057306B">
              <w:rPr>
                <w:sz w:val="20"/>
                <w:szCs w:val="20"/>
              </w:rPr>
              <w:t>.00</w:t>
            </w:r>
          </w:p>
        </w:tc>
      </w:tr>
      <w:tr w:rsidRPr="005D7203" w:rsidR="00446E57" w:rsidTr="008330B7" w14:paraId="69A0F64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00" w:type="dxa"/>
            <w:gridSpan w:val="2"/>
            <w:tcBorders>
              <w:right w:val="nil"/>
            </w:tcBorders>
          </w:tcPr>
          <w:p w:rsidRPr="0057306B" w:rsidR="00446E57" w:rsidP="00DB5631" w:rsidRDefault="00446E57" w14:paraId="1453F987" w14:textId="72659FA2">
            <w:pPr>
              <w:widowControl w:val="0"/>
              <w:tabs>
                <w:tab w:val="left" w:pos="1545"/>
              </w:tabs>
              <w:autoSpaceDE w:val="0"/>
              <w:autoSpaceDN w:val="0"/>
              <w:adjustRightInd w:val="0"/>
              <w:rPr>
                <w:sz w:val="20"/>
                <w:szCs w:val="20"/>
              </w:rPr>
            </w:pPr>
            <w:r w:rsidRPr="0057306B">
              <w:rPr>
                <w:sz w:val="20"/>
                <w:szCs w:val="20"/>
              </w:rPr>
              <w:t>Shi</w:t>
            </w:r>
            <w:r w:rsidRPr="0057306B" w:rsidR="00AA62A9">
              <w:rPr>
                <w:sz w:val="20"/>
                <w:szCs w:val="20"/>
              </w:rPr>
              <w:t>pping supplies and samples</w:t>
            </w:r>
          </w:p>
        </w:tc>
        <w:tc>
          <w:tcPr>
            <w:tcW w:w="3460" w:type="dxa"/>
            <w:tcBorders>
              <w:left w:val="nil"/>
            </w:tcBorders>
          </w:tcPr>
          <w:p w:rsidRPr="0057306B" w:rsidR="00446E57" w:rsidP="006653AB" w:rsidRDefault="00446E57" w14:paraId="74985D5F" w14:textId="77777777">
            <w:pPr>
              <w:tabs>
                <w:tab w:val="left" w:pos="1545"/>
              </w:tabs>
              <w:cnfStyle w:val="000000100000" w:firstRow="0" w:lastRow="0" w:firstColumn="0" w:lastColumn="0" w:oddVBand="0" w:evenVBand="0" w:oddHBand="1" w:evenHBand="0" w:firstRowFirstColumn="0" w:firstRowLastColumn="0" w:lastRowFirstColumn="0" w:lastRowLastColumn="0"/>
              <w:rPr>
                <w:sz w:val="20"/>
                <w:szCs w:val="20"/>
              </w:rPr>
            </w:pPr>
          </w:p>
        </w:tc>
        <w:tc>
          <w:tcPr>
            <w:tcW w:w="2160" w:type="dxa"/>
          </w:tcPr>
          <w:p w:rsidRPr="0057306B" w:rsidR="00446E57" w:rsidP="00041F9D" w:rsidRDefault="00AA62A9" w14:paraId="14430199" w14:textId="02F4F38A">
            <w:pPr>
              <w:tabs>
                <w:tab w:val="left" w:pos="1545"/>
              </w:tabs>
              <w:jc w:val="right"/>
              <w:cnfStyle w:val="000000100000" w:firstRow="0" w:lastRow="0" w:firstColumn="0" w:lastColumn="0" w:oddVBand="0" w:evenVBand="0" w:oddHBand="1" w:evenHBand="0" w:firstRowFirstColumn="0" w:firstRowLastColumn="0" w:lastRowFirstColumn="0" w:lastRowLastColumn="0"/>
              <w:rPr>
                <w:sz w:val="20"/>
                <w:szCs w:val="20"/>
              </w:rPr>
            </w:pPr>
            <w:r w:rsidRPr="0057306B">
              <w:rPr>
                <w:sz w:val="20"/>
                <w:szCs w:val="20"/>
              </w:rPr>
              <w:t>$1,250.00</w:t>
            </w:r>
          </w:p>
        </w:tc>
      </w:tr>
      <w:tr w:rsidRPr="005D7203" w:rsidR="009A0F23" w:rsidTr="008330B7" w14:paraId="0211C6E1" w14:textId="77777777">
        <w:tc>
          <w:tcPr>
            <w:cnfStyle w:val="001000000000" w:firstRow="0" w:lastRow="0" w:firstColumn="1" w:lastColumn="0" w:oddVBand="0" w:evenVBand="0" w:oddHBand="0" w:evenHBand="0" w:firstRowFirstColumn="0" w:firstRowLastColumn="0" w:lastRowFirstColumn="0" w:lastRowLastColumn="0"/>
            <w:tcW w:w="4000" w:type="dxa"/>
            <w:gridSpan w:val="2"/>
            <w:tcBorders>
              <w:right w:val="nil"/>
            </w:tcBorders>
          </w:tcPr>
          <w:p w:rsidRPr="0057306B" w:rsidR="00DB2E14" w:rsidP="004971B6" w:rsidRDefault="004971B6" w14:paraId="6656DE14" w14:textId="7BF2CE63">
            <w:pPr>
              <w:tabs>
                <w:tab w:val="left" w:pos="1545"/>
              </w:tabs>
              <w:rPr>
                <w:b w:val="0"/>
                <w:sz w:val="20"/>
                <w:szCs w:val="20"/>
              </w:rPr>
            </w:pPr>
            <w:r w:rsidRPr="0057306B">
              <w:rPr>
                <w:sz w:val="20"/>
                <w:szCs w:val="20"/>
              </w:rPr>
              <w:t>Phlebotomist cost</w:t>
            </w:r>
          </w:p>
        </w:tc>
        <w:tc>
          <w:tcPr>
            <w:tcW w:w="3460" w:type="dxa"/>
            <w:tcBorders>
              <w:left w:val="nil"/>
            </w:tcBorders>
          </w:tcPr>
          <w:p w:rsidRPr="0057306B" w:rsidR="00DB2E14" w:rsidP="006653AB" w:rsidRDefault="00DB2E14" w14:paraId="2D928985" w14:textId="77777777">
            <w:pPr>
              <w:tabs>
                <w:tab w:val="left" w:pos="1545"/>
              </w:tabs>
              <w:cnfStyle w:val="000000000000" w:firstRow="0" w:lastRow="0" w:firstColumn="0" w:lastColumn="0" w:oddVBand="0" w:evenVBand="0" w:oddHBand="0" w:evenHBand="0" w:firstRowFirstColumn="0" w:firstRowLastColumn="0" w:lastRowFirstColumn="0" w:lastRowLastColumn="0"/>
              <w:rPr>
                <w:sz w:val="20"/>
                <w:szCs w:val="20"/>
              </w:rPr>
            </w:pPr>
          </w:p>
        </w:tc>
        <w:tc>
          <w:tcPr>
            <w:tcW w:w="2160" w:type="dxa"/>
          </w:tcPr>
          <w:p w:rsidRPr="0057306B" w:rsidR="00311E38" w:rsidP="00E93EAC" w:rsidRDefault="00796151" w14:paraId="69B28E80" w14:textId="47E71079">
            <w:pPr>
              <w:tabs>
                <w:tab w:val="left" w:pos="1545"/>
              </w:tabs>
              <w:jc w:val="right"/>
              <w:cnfStyle w:val="000000000000" w:firstRow="0" w:lastRow="0" w:firstColumn="0" w:lastColumn="0" w:oddVBand="0" w:evenVBand="0" w:oddHBand="0" w:evenHBand="0" w:firstRowFirstColumn="0" w:firstRowLastColumn="0" w:lastRowFirstColumn="0" w:lastRowLastColumn="0"/>
              <w:rPr>
                <w:sz w:val="20"/>
                <w:szCs w:val="20"/>
              </w:rPr>
            </w:pPr>
            <w:r w:rsidRPr="0057306B">
              <w:rPr>
                <w:sz w:val="20"/>
                <w:szCs w:val="20"/>
              </w:rPr>
              <w:t>$</w:t>
            </w:r>
            <w:r w:rsidRPr="0057306B" w:rsidR="00965725">
              <w:rPr>
                <w:sz w:val="20"/>
                <w:szCs w:val="20"/>
              </w:rPr>
              <w:t>2,400</w:t>
            </w:r>
            <w:r w:rsidRPr="0057306B">
              <w:rPr>
                <w:sz w:val="20"/>
                <w:szCs w:val="20"/>
              </w:rPr>
              <w:t>.00</w:t>
            </w:r>
          </w:p>
        </w:tc>
      </w:tr>
      <w:tr w:rsidRPr="005D7203" w:rsidR="00321DF8" w:rsidTr="008330B7" w14:paraId="6CC59A1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00" w:type="dxa"/>
            <w:gridSpan w:val="2"/>
            <w:tcBorders>
              <w:right w:val="nil"/>
            </w:tcBorders>
          </w:tcPr>
          <w:p w:rsidRPr="0057306B" w:rsidR="00321DF8" w:rsidP="004971B6" w:rsidRDefault="00321DF8" w14:paraId="557D1447" w14:textId="308309D3">
            <w:pPr>
              <w:tabs>
                <w:tab w:val="left" w:pos="1545"/>
              </w:tabs>
              <w:rPr>
                <w:b w:val="0"/>
                <w:bCs w:val="0"/>
                <w:sz w:val="20"/>
                <w:szCs w:val="20"/>
              </w:rPr>
            </w:pPr>
            <w:r w:rsidRPr="0057306B">
              <w:rPr>
                <w:sz w:val="20"/>
                <w:szCs w:val="20"/>
              </w:rPr>
              <w:t>Gift Cards</w:t>
            </w:r>
          </w:p>
        </w:tc>
        <w:tc>
          <w:tcPr>
            <w:tcW w:w="3460" w:type="dxa"/>
            <w:tcBorders>
              <w:left w:val="nil"/>
            </w:tcBorders>
          </w:tcPr>
          <w:p w:rsidRPr="0057306B" w:rsidR="00321DF8" w:rsidP="006653AB" w:rsidRDefault="00321DF8" w14:paraId="3A7FD005" w14:textId="77777777">
            <w:pPr>
              <w:tabs>
                <w:tab w:val="left" w:pos="1545"/>
              </w:tabs>
              <w:cnfStyle w:val="000000100000" w:firstRow="0" w:lastRow="0" w:firstColumn="0" w:lastColumn="0" w:oddVBand="0" w:evenVBand="0" w:oddHBand="1" w:evenHBand="0" w:firstRowFirstColumn="0" w:firstRowLastColumn="0" w:lastRowFirstColumn="0" w:lastRowLastColumn="0"/>
              <w:rPr>
                <w:sz w:val="20"/>
                <w:szCs w:val="20"/>
              </w:rPr>
            </w:pPr>
          </w:p>
        </w:tc>
        <w:tc>
          <w:tcPr>
            <w:tcW w:w="2160" w:type="dxa"/>
          </w:tcPr>
          <w:p w:rsidRPr="0057306B" w:rsidR="00321DF8" w:rsidP="00E93EAC" w:rsidRDefault="00321DF8" w14:paraId="545C1CB1" w14:textId="25DCEA33">
            <w:pPr>
              <w:tabs>
                <w:tab w:val="left" w:pos="1545"/>
              </w:tabs>
              <w:jc w:val="right"/>
              <w:cnfStyle w:val="000000100000" w:firstRow="0" w:lastRow="0" w:firstColumn="0" w:lastColumn="0" w:oddVBand="0" w:evenVBand="0" w:oddHBand="1" w:evenHBand="0" w:firstRowFirstColumn="0" w:firstRowLastColumn="0" w:lastRowFirstColumn="0" w:lastRowLastColumn="0"/>
              <w:rPr>
                <w:sz w:val="20"/>
                <w:szCs w:val="20"/>
              </w:rPr>
            </w:pPr>
            <w:r w:rsidRPr="0057306B">
              <w:rPr>
                <w:sz w:val="20"/>
                <w:szCs w:val="20"/>
              </w:rPr>
              <w:t>$6,000</w:t>
            </w:r>
          </w:p>
        </w:tc>
      </w:tr>
      <w:tr w:rsidRPr="005D7203" w:rsidR="0050694A" w:rsidTr="008330B7" w14:paraId="6E7A225D" w14:textId="77777777">
        <w:tc>
          <w:tcPr>
            <w:cnfStyle w:val="001000000000" w:firstRow="0" w:lastRow="0" w:firstColumn="1" w:lastColumn="0" w:oddVBand="0" w:evenVBand="0" w:oddHBand="0" w:evenHBand="0" w:firstRowFirstColumn="0" w:firstRowLastColumn="0" w:lastRowFirstColumn="0" w:lastRowLastColumn="0"/>
            <w:tcW w:w="4000" w:type="dxa"/>
            <w:gridSpan w:val="2"/>
            <w:tcBorders>
              <w:right w:val="nil"/>
            </w:tcBorders>
          </w:tcPr>
          <w:p w:rsidRPr="0057306B" w:rsidR="0050694A" w:rsidP="004971B6" w:rsidRDefault="004E6C29" w14:paraId="3179C9EA" w14:textId="7AECB0F0">
            <w:pPr>
              <w:tabs>
                <w:tab w:val="left" w:pos="1545"/>
              </w:tabs>
              <w:rPr>
                <w:b w:val="0"/>
                <w:bCs w:val="0"/>
                <w:sz w:val="20"/>
                <w:szCs w:val="20"/>
              </w:rPr>
            </w:pPr>
            <w:r w:rsidRPr="0057306B">
              <w:rPr>
                <w:sz w:val="20"/>
                <w:szCs w:val="20"/>
              </w:rPr>
              <w:t>Facility Rental</w:t>
            </w:r>
          </w:p>
        </w:tc>
        <w:tc>
          <w:tcPr>
            <w:tcW w:w="3460" w:type="dxa"/>
            <w:tcBorders>
              <w:left w:val="nil"/>
            </w:tcBorders>
          </w:tcPr>
          <w:p w:rsidRPr="0057306B" w:rsidR="0050694A" w:rsidP="006653AB" w:rsidRDefault="0050694A" w14:paraId="2843F492" w14:textId="77777777">
            <w:pPr>
              <w:tabs>
                <w:tab w:val="left" w:pos="1545"/>
              </w:tabs>
              <w:cnfStyle w:val="000000000000" w:firstRow="0" w:lastRow="0" w:firstColumn="0" w:lastColumn="0" w:oddVBand="0" w:evenVBand="0" w:oddHBand="0" w:evenHBand="0" w:firstRowFirstColumn="0" w:firstRowLastColumn="0" w:lastRowFirstColumn="0" w:lastRowLastColumn="0"/>
              <w:rPr>
                <w:sz w:val="20"/>
                <w:szCs w:val="20"/>
              </w:rPr>
            </w:pPr>
          </w:p>
        </w:tc>
        <w:tc>
          <w:tcPr>
            <w:tcW w:w="2160" w:type="dxa"/>
          </w:tcPr>
          <w:p w:rsidRPr="0057306B" w:rsidR="0050694A" w:rsidP="00E93EAC" w:rsidRDefault="004E6C29" w14:paraId="520A415B" w14:textId="4F90CB73">
            <w:pPr>
              <w:tabs>
                <w:tab w:val="left" w:pos="1545"/>
              </w:tabs>
              <w:jc w:val="right"/>
              <w:cnfStyle w:val="000000000000" w:firstRow="0" w:lastRow="0" w:firstColumn="0" w:lastColumn="0" w:oddVBand="0" w:evenVBand="0" w:oddHBand="0" w:evenHBand="0" w:firstRowFirstColumn="0" w:firstRowLastColumn="0" w:lastRowFirstColumn="0" w:lastRowLastColumn="0"/>
              <w:rPr>
                <w:sz w:val="20"/>
                <w:szCs w:val="20"/>
              </w:rPr>
            </w:pPr>
            <w:r w:rsidRPr="0057306B">
              <w:rPr>
                <w:sz w:val="20"/>
                <w:szCs w:val="20"/>
              </w:rPr>
              <w:t>$1,000</w:t>
            </w:r>
          </w:p>
        </w:tc>
      </w:tr>
      <w:tr w:rsidRPr="005D7203" w:rsidR="00B76161" w:rsidTr="008330B7" w14:paraId="3233E01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60" w:type="dxa"/>
            <w:gridSpan w:val="3"/>
          </w:tcPr>
          <w:p w:rsidRPr="0057306B" w:rsidR="00311E38" w:rsidP="00041F9D" w:rsidRDefault="00A10D50" w14:paraId="7F075B4F" w14:textId="77777777">
            <w:pPr>
              <w:tabs>
                <w:tab w:val="left" w:pos="1545"/>
              </w:tabs>
              <w:jc w:val="right"/>
              <w:rPr>
                <w:b w:val="0"/>
                <w:bCs w:val="0"/>
                <w:sz w:val="20"/>
                <w:szCs w:val="20"/>
              </w:rPr>
            </w:pPr>
            <w:r w:rsidRPr="0057306B">
              <w:rPr>
                <w:sz w:val="20"/>
                <w:szCs w:val="20"/>
              </w:rPr>
              <w:t>Estimated Total Non-personnel Cost of Exposure Investigation</w:t>
            </w:r>
          </w:p>
        </w:tc>
        <w:tc>
          <w:tcPr>
            <w:tcW w:w="2160" w:type="dxa"/>
          </w:tcPr>
          <w:p w:rsidRPr="0057306B" w:rsidR="00311E38" w:rsidP="00E93EAC" w:rsidRDefault="00311E38" w14:paraId="5846E108" w14:textId="56C0C34D">
            <w:pPr>
              <w:tabs>
                <w:tab w:val="left" w:pos="1545"/>
              </w:tabs>
              <w:jc w:val="right"/>
              <w:cnfStyle w:val="000000100000" w:firstRow="0" w:lastRow="0" w:firstColumn="0" w:lastColumn="0" w:oddVBand="0" w:evenVBand="0" w:oddHBand="1" w:evenHBand="0" w:firstRowFirstColumn="0" w:firstRowLastColumn="0" w:lastRowFirstColumn="0" w:lastRowLastColumn="0"/>
              <w:rPr>
                <w:sz w:val="20"/>
                <w:szCs w:val="20"/>
              </w:rPr>
            </w:pPr>
            <w:r w:rsidRPr="0057306B">
              <w:rPr>
                <w:sz w:val="20"/>
                <w:szCs w:val="20"/>
              </w:rPr>
              <w:t>$</w:t>
            </w:r>
            <w:r w:rsidRPr="0057306B" w:rsidR="0001083A">
              <w:rPr>
                <w:sz w:val="20"/>
                <w:szCs w:val="20"/>
              </w:rPr>
              <w:t>55,534.00</w:t>
            </w:r>
          </w:p>
        </w:tc>
      </w:tr>
      <w:tr w:rsidRPr="005D7203" w:rsidR="00B76161" w:rsidTr="008330B7" w14:paraId="5A0FC0C1" w14:textId="77777777">
        <w:tc>
          <w:tcPr>
            <w:cnfStyle w:val="001000000000" w:firstRow="0" w:lastRow="0" w:firstColumn="1" w:lastColumn="0" w:oddVBand="0" w:evenVBand="0" w:oddHBand="0" w:evenHBand="0" w:firstRowFirstColumn="0" w:firstRowLastColumn="0" w:lastRowFirstColumn="0" w:lastRowLastColumn="0"/>
            <w:tcW w:w="7460" w:type="dxa"/>
            <w:gridSpan w:val="3"/>
          </w:tcPr>
          <w:p w:rsidRPr="0057306B" w:rsidR="00311E38" w:rsidP="00041F9D" w:rsidRDefault="00A10D50" w14:paraId="0B280F86" w14:textId="43F2D1E8">
            <w:pPr>
              <w:tabs>
                <w:tab w:val="left" w:pos="1545"/>
              </w:tabs>
              <w:jc w:val="right"/>
              <w:rPr>
                <w:b w:val="0"/>
                <w:bCs w:val="0"/>
                <w:sz w:val="20"/>
                <w:szCs w:val="20"/>
              </w:rPr>
            </w:pPr>
            <w:r w:rsidRPr="0057306B">
              <w:rPr>
                <w:sz w:val="20"/>
                <w:szCs w:val="20"/>
              </w:rPr>
              <w:t>Total EI Cost</w:t>
            </w:r>
            <w:r w:rsidRPr="0057306B" w:rsidR="00B76161">
              <w:rPr>
                <w:sz w:val="20"/>
                <w:szCs w:val="20"/>
              </w:rPr>
              <w:t xml:space="preserve"> (Personnel + </w:t>
            </w:r>
            <w:proofErr w:type="gramStart"/>
            <w:r w:rsidRPr="0057306B" w:rsidR="00B76161">
              <w:rPr>
                <w:sz w:val="20"/>
                <w:szCs w:val="20"/>
              </w:rPr>
              <w:t>Non-</w:t>
            </w:r>
            <w:r w:rsidRPr="0057306B">
              <w:rPr>
                <w:sz w:val="20"/>
                <w:szCs w:val="20"/>
              </w:rPr>
              <w:t>p</w:t>
            </w:r>
            <w:r w:rsidRPr="0057306B" w:rsidR="00B76161">
              <w:rPr>
                <w:sz w:val="20"/>
                <w:szCs w:val="20"/>
              </w:rPr>
              <w:t>ersonnel costs</w:t>
            </w:r>
            <w:proofErr w:type="gramEnd"/>
            <w:r w:rsidRPr="0057306B" w:rsidR="00B76161">
              <w:rPr>
                <w:sz w:val="20"/>
                <w:szCs w:val="20"/>
              </w:rPr>
              <w:t>)</w:t>
            </w:r>
          </w:p>
        </w:tc>
        <w:tc>
          <w:tcPr>
            <w:tcW w:w="2160" w:type="dxa"/>
          </w:tcPr>
          <w:p w:rsidRPr="0057306B" w:rsidR="00311E38" w:rsidP="00E93EAC" w:rsidRDefault="00ED46FD" w14:paraId="1AE83A42" w14:textId="382E6AB3">
            <w:pPr>
              <w:tabs>
                <w:tab w:val="left" w:pos="1545"/>
              </w:tabs>
              <w:jc w:val="right"/>
              <w:cnfStyle w:val="000000000000" w:firstRow="0" w:lastRow="0" w:firstColumn="0" w:lastColumn="0" w:oddVBand="0" w:evenVBand="0" w:oddHBand="0" w:evenHBand="0" w:firstRowFirstColumn="0" w:firstRowLastColumn="0" w:lastRowFirstColumn="0" w:lastRowLastColumn="0"/>
              <w:rPr>
                <w:sz w:val="20"/>
                <w:szCs w:val="20"/>
              </w:rPr>
            </w:pPr>
            <w:r w:rsidRPr="0057306B">
              <w:rPr>
                <w:sz w:val="20"/>
                <w:szCs w:val="20"/>
              </w:rPr>
              <w:t>$</w:t>
            </w:r>
            <w:r w:rsidRPr="0057306B" w:rsidR="00E30DD8">
              <w:rPr>
                <w:sz w:val="20"/>
                <w:szCs w:val="20"/>
              </w:rPr>
              <w:t>1</w:t>
            </w:r>
            <w:r w:rsidRPr="0057306B" w:rsidR="00D7303E">
              <w:rPr>
                <w:sz w:val="20"/>
                <w:szCs w:val="20"/>
              </w:rPr>
              <w:t>2</w:t>
            </w:r>
            <w:r w:rsidRPr="0057306B">
              <w:rPr>
                <w:sz w:val="20"/>
                <w:szCs w:val="20"/>
              </w:rPr>
              <w:t>4,591.00</w:t>
            </w:r>
          </w:p>
        </w:tc>
      </w:tr>
    </w:tbl>
    <w:p w:rsidRPr="005D7203" w:rsidR="006653AB" w:rsidP="006653AB" w:rsidRDefault="006653AB" w14:paraId="29629098" w14:textId="7038AD44">
      <w:pPr>
        <w:tabs>
          <w:tab w:val="left" w:pos="1545"/>
        </w:tabs>
      </w:pPr>
    </w:p>
    <w:p w:rsidR="0007281C" w:rsidP="006653AB" w:rsidRDefault="0007281C" w14:paraId="4551E0F3" w14:textId="77777777">
      <w:pPr>
        <w:tabs>
          <w:tab w:val="left" w:pos="1545"/>
        </w:tabs>
      </w:pPr>
      <w:r>
        <w:t>The travel costs include the following:</w:t>
      </w:r>
    </w:p>
    <w:p w:rsidR="00664D52" w:rsidP="006F62B8" w:rsidRDefault="0007281C" w14:paraId="0D9A885E" w14:textId="08BAC1FC">
      <w:pPr>
        <w:pStyle w:val="ListParagraph"/>
        <w:numPr>
          <w:ilvl w:val="0"/>
          <w:numId w:val="3"/>
        </w:numPr>
        <w:tabs>
          <w:tab w:val="left" w:pos="1545"/>
        </w:tabs>
        <w:spacing w:line="276" w:lineRule="auto"/>
      </w:pPr>
      <w:r>
        <w:t>Travel to the site from Atlanta (</w:t>
      </w:r>
      <w:r w:rsidR="002E4681">
        <w:t>2</w:t>
      </w:r>
      <w:r w:rsidR="00E93EAC">
        <w:t xml:space="preserve"> person</w:t>
      </w:r>
      <w:r w:rsidR="00E5432B">
        <w:t>)</w:t>
      </w:r>
      <w:r>
        <w:t xml:space="preserve"> </w:t>
      </w:r>
      <w:r w:rsidR="00486D6F">
        <w:t xml:space="preserve">for </w:t>
      </w:r>
      <w:r w:rsidR="009461EA">
        <w:t>two weeks</w:t>
      </w:r>
    </w:p>
    <w:p w:rsidR="0007281C" w:rsidP="006F62B8" w:rsidRDefault="00664D52" w14:paraId="712F99EC" w14:textId="28242841">
      <w:pPr>
        <w:pStyle w:val="ListParagraph"/>
        <w:numPr>
          <w:ilvl w:val="0"/>
          <w:numId w:val="3"/>
        </w:numPr>
        <w:tabs>
          <w:tab w:val="left" w:pos="1545"/>
        </w:tabs>
        <w:spacing w:line="276" w:lineRule="auto"/>
      </w:pPr>
      <w:r>
        <w:t>Travel to site from Kansas City, MO</w:t>
      </w:r>
      <w:r w:rsidR="002A14F4">
        <w:t xml:space="preserve"> (3 person) for two weeks</w:t>
      </w:r>
      <w:r w:rsidR="009857E0">
        <w:t xml:space="preserve"> </w:t>
      </w:r>
    </w:p>
    <w:p w:rsidR="004B35BF" w:rsidP="006F62B8" w:rsidRDefault="004B35BF" w14:paraId="53604D73" w14:textId="366D41DC">
      <w:pPr>
        <w:pStyle w:val="ListParagraph"/>
        <w:numPr>
          <w:ilvl w:val="0"/>
          <w:numId w:val="3"/>
        </w:numPr>
        <w:tabs>
          <w:tab w:val="left" w:pos="1545"/>
        </w:tabs>
        <w:spacing w:line="276" w:lineRule="auto"/>
      </w:pPr>
      <w:r>
        <w:t>T</w:t>
      </w:r>
      <w:r w:rsidR="00486D6F">
        <w:t xml:space="preserve">ravel to the site from Atlanta </w:t>
      </w:r>
      <w:r>
        <w:t xml:space="preserve"> </w:t>
      </w:r>
      <w:r w:rsidR="00486D6F">
        <w:t>(</w:t>
      </w:r>
      <w:r w:rsidR="00E93EAC">
        <w:t>1</w:t>
      </w:r>
      <w:r w:rsidR="0019642B">
        <w:t>-2</w:t>
      </w:r>
      <w:r w:rsidR="00E93EAC">
        <w:t xml:space="preserve"> </w:t>
      </w:r>
      <w:r w:rsidR="00486D6F">
        <w:t>person</w:t>
      </w:r>
      <w:r>
        <w:t xml:space="preserve"> )</w:t>
      </w:r>
      <w:r w:rsidR="00E93EAC">
        <w:t>,</w:t>
      </w:r>
      <w:r w:rsidR="002A14F4">
        <w:t xml:space="preserve"> Kansas City</w:t>
      </w:r>
      <w:r>
        <w:t xml:space="preserve"> (</w:t>
      </w:r>
      <w:r w:rsidR="002E4681">
        <w:t>1-</w:t>
      </w:r>
      <w:r w:rsidR="002A14F4">
        <w:t>3</w:t>
      </w:r>
      <w:r w:rsidR="00486D6F">
        <w:t xml:space="preserve"> person</w:t>
      </w:r>
      <w:r>
        <w:t xml:space="preserve"> )</w:t>
      </w:r>
      <w:r w:rsidR="0019642B">
        <w:t xml:space="preserve"> </w:t>
      </w:r>
      <w:r w:rsidR="004A79F0">
        <w:t>to provide the results to the community</w:t>
      </w:r>
    </w:p>
    <w:p w:rsidRPr="008E0304" w:rsidR="00935939" w:rsidP="006653AB" w:rsidRDefault="00935939" w14:paraId="3088045A" w14:textId="77777777">
      <w:pPr>
        <w:tabs>
          <w:tab w:val="left" w:pos="1545"/>
        </w:tabs>
      </w:pPr>
    </w:p>
    <w:p w:rsidRPr="00041F9D" w:rsidR="006653AB" w:rsidP="007F446A" w:rsidRDefault="00B04CF8" w14:paraId="6D1BC6C9" w14:textId="77777777">
      <w:pPr>
        <w:pStyle w:val="Heading2"/>
      </w:pPr>
      <w:bookmarkStart w:name="_Toc105168855" w:id="124"/>
      <w:bookmarkStart w:name="_Toc306344160" w:id="125"/>
      <w:bookmarkStart w:name="_Toc306344801" w:id="126"/>
      <w:bookmarkStart w:name="_Toc306345042" w:id="127"/>
      <w:bookmarkStart w:name="_Toc311445513" w:id="128"/>
      <w:bookmarkEnd w:id="120"/>
      <w:bookmarkEnd w:id="121"/>
      <w:bookmarkEnd w:id="122"/>
      <w:bookmarkEnd w:id="123"/>
      <w:r w:rsidRPr="00041F9D">
        <w:t>A.</w:t>
      </w:r>
      <w:r w:rsidRPr="00041F9D" w:rsidR="006653AB">
        <w:t>1</w:t>
      </w:r>
      <w:r w:rsidRPr="00041F9D" w:rsidR="00B60A40">
        <w:t>5</w:t>
      </w:r>
      <w:r w:rsidRPr="00041F9D" w:rsidR="006653AB">
        <w:t>. Explanation for Program Changes or Adjustments</w:t>
      </w:r>
      <w:bookmarkEnd w:id="124"/>
    </w:p>
    <w:p w:rsidRPr="003B5990" w:rsidR="006653AB" w:rsidP="006653AB" w:rsidRDefault="006653AB" w14:paraId="5DA601E8" w14:textId="77777777">
      <w:pPr>
        <w:tabs>
          <w:tab w:val="left" w:pos="1545"/>
        </w:tabs>
        <w:rPr>
          <w:b/>
          <w:u w:val="single"/>
        </w:rPr>
      </w:pPr>
    </w:p>
    <w:p w:rsidRPr="00041F9D" w:rsidR="006653AB" w:rsidP="006653AB" w:rsidRDefault="00311E38" w14:paraId="44A408E8" w14:textId="77777777">
      <w:pPr>
        <w:tabs>
          <w:tab w:val="left" w:pos="1545"/>
        </w:tabs>
      </w:pPr>
      <w:r w:rsidRPr="00041F9D">
        <w:rPr>
          <w:rFonts w:eastAsia="Calibri"/>
        </w:rPr>
        <w:t>This is a new data collection.</w:t>
      </w:r>
    </w:p>
    <w:p w:rsidRPr="003B5990" w:rsidR="006653AB" w:rsidP="006653AB" w:rsidRDefault="006653AB" w14:paraId="63F68E23" w14:textId="77777777">
      <w:pPr>
        <w:tabs>
          <w:tab w:val="left" w:pos="1545"/>
        </w:tabs>
        <w:rPr>
          <w:u w:val="single"/>
        </w:rPr>
      </w:pPr>
    </w:p>
    <w:p w:rsidRPr="003B5990" w:rsidR="006653AB" w:rsidRDefault="00B04CF8" w14:paraId="04B7B71A" w14:textId="77777777">
      <w:pPr>
        <w:pStyle w:val="Heading2"/>
      </w:pPr>
      <w:bookmarkStart w:name="_Toc105168856" w:id="129"/>
      <w:r w:rsidRPr="003B5990">
        <w:t>A.</w:t>
      </w:r>
      <w:r w:rsidRPr="003B5990" w:rsidR="006653AB">
        <w:t>1</w:t>
      </w:r>
      <w:r w:rsidR="00B60A40">
        <w:t>6</w:t>
      </w:r>
      <w:r w:rsidRPr="003B5990" w:rsidR="006653AB">
        <w:t>. Plans for Tabulation and Publication and Project Time Schedule</w:t>
      </w:r>
      <w:bookmarkEnd w:id="129"/>
    </w:p>
    <w:p w:rsidRPr="007F446A" w:rsidR="005676F3" w:rsidP="00935939" w:rsidRDefault="005676F3" w14:paraId="16F80084" w14:textId="77777777">
      <w:pPr>
        <w:tabs>
          <w:tab w:val="left" w:pos="1545"/>
        </w:tabs>
      </w:pPr>
    </w:p>
    <w:p w:rsidRPr="00844EC5" w:rsidR="00935939" w:rsidP="00844EC5" w:rsidRDefault="00D74CE6" w14:paraId="433897E7" w14:textId="77777777">
      <w:r>
        <w:rPr>
          <w:rStyle w:val="Strong"/>
          <w:rFonts w:asciiTheme="majorHAnsi" w:hAnsiTheme="majorHAnsi"/>
          <w:color w:val="4F81BD"/>
        </w:rPr>
        <w:t>A.16.1 Project Time Schedule</w:t>
      </w:r>
    </w:p>
    <w:p w:rsidR="00935939" w:rsidP="00935939" w:rsidRDefault="00935939" w14:paraId="6D284B7D" w14:textId="77777777">
      <w:pPr>
        <w:tabs>
          <w:tab w:val="left" w:pos="1545"/>
        </w:tabs>
        <w:rPr>
          <w:b/>
        </w:rPr>
      </w:pPr>
    </w:p>
    <w:p w:rsidRPr="007F446A" w:rsidR="00F04621" w:rsidP="00F04621" w:rsidRDefault="00540BD7" w14:paraId="3DE4DAB2" w14:textId="01B733D8">
      <w:pPr>
        <w:tabs>
          <w:tab w:val="left" w:pos="1545"/>
        </w:tabs>
      </w:pPr>
      <w:r>
        <w:t>The</w:t>
      </w:r>
      <w:r w:rsidRPr="007F446A" w:rsidR="00F04621">
        <w:t xml:space="preserve"> project </w:t>
      </w:r>
      <w:r w:rsidRPr="007F446A" w:rsidR="00DD0E31">
        <w:t>T</w:t>
      </w:r>
      <w:r w:rsidRPr="007F446A" w:rsidR="00F04621">
        <w:t>ime</w:t>
      </w:r>
      <w:r w:rsidRPr="007F446A" w:rsidR="00DD0E31">
        <w:t xml:space="preserve"> Schedule</w:t>
      </w:r>
      <w:r w:rsidRPr="007F446A" w:rsidR="00F04621">
        <w:t xml:space="preserve"> </w:t>
      </w:r>
      <w:r>
        <w:t xml:space="preserve">for the </w:t>
      </w:r>
      <w:r w:rsidR="009A1B86">
        <w:t>JNC</w:t>
      </w:r>
      <w:r>
        <w:t xml:space="preserve"> EI</w:t>
      </w:r>
      <w:r w:rsidR="00E93EAC">
        <w:t xml:space="preserve"> </w:t>
      </w:r>
      <w:r>
        <w:t>is as follows:</w:t>
      </w:r>
      <w:r w:rsidRPr="007F446A" w:rsidR="00F04621">
        <w:t xml:space="preserve"> </w:t>
      </w:r>
    </w:p>
    <w:p w:rsidR="00F04621" w:rsidP="00935939" w:rsidRDefault="00935939" w14:paraId="0FA6A1E1" w14:textId="77777777">
      <w:pPr>
        <w:tabs>
          <w:tab w:val="left" w:pos="1545"/>
        </w:tabs>
        <w:rPr>
          <w:b/>
        </w:rPr>
      </w:pPr>
      <w:r>
        <w:rPr>
          <w:b/>
        </w:rPr>
        <w:lastRenderedPageBreak/>
        <w:t xml:space="preserve"> </w:t>
      </w:r>
    </w:p>
    <w:p w:rsidR="00482FD3" w:rsidP="00935939" w:rsidRDefault="00482FD3" w14:paraId="069CE598" w14:textId="77777777">
      <w:pPr>
        <w:tabs>
          <w:tab w:val="left" w:pos="1545"/>
        </w:tabs>
        <w:rPr>
          <w:b/>
        </w:rPr>
      </w:pPr>
    </w:p>
    <w:p w:rsidR="00935939" w:rsidP="00935939" w:rsidRDefault="00935939" w14:paraId="4C20BC2E" w14:textId="77777777">
      <w:pPr>
        <w:tabs>
          <w:tab w:val="left" w:pos="1545"/>
        </w:tabs>
        <w:rPr>
          <w:b/>
        </w:rPr>
      </w:pPr>
      <w:r>
        <w:rPr>
          <w:b/>
        </w:rPr>
        <w:t>Activity                                                                                 Time Schedule</w:t>
      </w:r>
    </w:p>
    <w:p w:rsidR="00935939" w:rsidP="00935939" w:rsidRDefault="00935939" w14:paraId="1EE000E3" w14:textId="77777777">
      <w:pPr>
        <w:tabs>
          <w:tab w:val="left" w:pos="1545"/>
        </w:tabs>
        <w:rPr>
          <w:b/>
        </w:rPr>
      </w:pPr>
    </w:p>
    <w:p w:rsidR="00737F31" w:rsidP="002202D1" w:rsidRDefault="00737F31" w14:paraId="2F555929" w14:textId="0E56E6E3">
      <w:pPr>
        <w:tabs>
          <w:tab w:val="left" w:pos="1545"/>
        </w:tabs>
        <w:jc w:val="both"/>
      </w:pPr>
      <w:r>
        <w:t>EI Recruitment………………………………………………</w:t>
      </w:r>
      <w:proofErr w:type="gramStart"/>
      <w:r>
        <w:t>…..</w:t>
      </w:r>
      <w:proofErr w:type="gramEnd"/>
      <w:r w:rsidR="002E06F6">
        <w:t xml:space="preserve"> Immediately after OMB approval</w:t>
      </w:r>
    </w:p>
    <w:p w:rsidR="00F40CC8" w:rsidP="002202D1" w:rsidRDefault="00F40CC8" w14:paraId="36E446EA" w14:textId="575369B7">
      <w:pPr>
        <w:tabs>
          <w:tab w:val="left" w:pos="1545"/>
        </w:tabs>
        <w:jc w:val="both"/>
      </w:pPr>
      <w:r>
        <w:t>Schedule Phlebotomist………………………………………</w:t>
      </w:r>
      <w:proofErr w:type="gramStart"/>
      <w:r>
        <w:t>…..</w:t>
      </w:r>
      <w:proofErr w:type="gramEnd"/>
      <w:r w:rsidR="00D1529F">
        <w:t>6 weeks after OMB approval</w:t>
      </w:r>
    </w:p>
    <w:p w:rsidR="00935939" w:rsidP="002202D1" w:rsidRDefault="00935939" w14:paraId="128EC595" w14:textId="360B6806">
      <w:pPr>
        <w:tabs>
          <w:tab w:val="left" w:pos="1545"/>
        </w:tabs>
        <w:jc w:val="both"/>
      </w:pPr>
      <w:r>
        <w:t>Start of data collection</w:t>
      </w:r>
      <w:r w:rsidR="00486D6F">
        <w:t xml:space="preserve"> and </w:t>
      </w:r>
      <w:r w:rsidR="00472B8E">
        <w:t>f</w:t>
      </w:r>
      <w:r w:rsidR="00486D6F">
        <w:t xml:space="preserve">ield </w:t>
      </w:r>
      <w:r w:rsidR="00472B8E">
        <w:t>w</w:t>
      </w:r>
      <w:r w:rsidR="00B16729">
        <w:t>ork</w:t>
      </w:r>
      <w:r w:rsidR="00594EE2">
        <w:t xml:space="preserve">   </w:t>
      </w:r>
      <w:proofErr w:type="gramStart"/>
      <w:r w:rsidR="00472B8E">
        <w:t>..</w:t>
      </w:r>
      <w:r w:rsidR="0011317C">
        <w:t>...</w:t>
      </w:r>
      <w:proofErr w:type="gramEnd"/>
      <w:r w:rsidR="00651D96">
        <w:t>…</w:t>
      </w:r>
      <w:r w:rsidR="00B16729">
        <w:t>……………..</w:t>
      </w:r>
      <w:r w:rsidR="002202D1">
        <w:t>……</w:t>
      </w:r>
      <w:r w:rsidR="00D1529F">
        <w:t>1</w:t>
      </w:r>
      <w:r w:rsidR="001E61E6">
        <w:t>2</w:t>
      </w:r>
      <w:r w:rsidR="002712D8">
        <w:t xml:space="preserve"> </w:t>
      </w:r>
      <w:r w:rsidR="00AB00BC">
        <w:t>week</w:t>
      </w:r>
      <w:r w:rsidR="001E61E6">
        <w:t>s</w:t>
      </w:r>
      <w:r>
        <w:t xml:space="preserve"> after OMB approval</w:t>
      </w:r>
    </w:p>
    <w:p w:rsidR="00935939" w:rsidP="002202D1" w:rsidRDefault="00661279" w14:paraId="0A3E92B0" w14:textId="45648589">
      <w:pPr>
        <w:tabs>
          <w:tab w:val="left" w:pos="1545"/>
        </w:tabs>
        <w:jc w:val="both"/>
      </w:pPr>
      <w:r>
        <w:t>Data and laboratory a</w:t>
      </w:r>
      <w:r w:rsidR="00935939">
        <w:t>nalysis………………………………....</w:t>
      </w:r>
      <w:r w:rsidR="00D37004">
        <w:t>..</w:t>
      </w:r>
      <w:r w:rsidR="002202D1">
        <w:t>...</w:t>
      </w:r>
      <w:r w:rsidR="00430FC6">
        <w:t xml:space="preserve"> </w:t>
      </w:r>
      <w:r w:rsidR="00B517E4">
        <w:t>15-</w:t>
      </w:r>
      <w:r w:rsidR="00A1374A">
        <w:t>21</w:t>
      </w:r>
      <w:r w:rsidR="00B517E4">
        <w:t xml:space="preserve"> week</w:t>
      </w:r>
      <w:r w:rsidR="00935939">
        <w:t>s after OMB approval</w:t>
      </w:r>
    </w:p>
    <w:p w:rsidR="00B71A11" w:rsidP="00CC223A" w:rsidRDefault="00B71A11" w14:paraId="3C63BC0D" w14:textId="0259D4FB">
      <w:pPr>
        <w:tabs>
          <w:tab w:val="left" w:pos="1545"/>
        </w:tabs>
      </w:pPr>
      <w:r>
        <w:t>Conduct Environmental Sampling</w:t>
      </w:r>
      <w:r w:rsidR="00CC223A">
        <w:t>…………………………15 to 28 weeks after OMB approval</w:t>
      </w:r>
    </w:p>
    <w:p w:rsidR="00CC223A" w:rsidP="00CC223A" w:rsidRDefault="00CC223A" w14:paraId="4ADFC2FD" w14:textId="639BE263">
      <w:pPr>
        <w:tabs>
          <w:tab w:val="left" w:pos="1545"/>
        </w:tabs>
      </w:pPr>
      <w:r>
        <w:t xml:space="preserve">Analyze </w:t>
      </w:r>
      <w:r w:rsidR="00FC13B7">
        <w:t>Environmental Data and questionnaire…….</w:t>
      </w:r>
      <w:r>
        <w:t>………</w:t>
      </w:r>
      <w:r w:rsidR="00FC13B7">
        <w:t>28</w:t>
      </w:r>
      <w:r>
        <w:t xml:space="preserve"> to </w:t>
      </w:r>
      <w:r w:rsidR="00CD0A8C">
        <w:t>36</w:t>
      </w:r>
      <w:r>
        <w:t xml:space="preserve"> weeks after OMB approval</w:t>
      </w:r>
    </w:p>
    <w:p w:rsidR="00935939" w:rsidP="002202D1" w:rsidRDefault="00935939" w14:paraId="1D8E2E33" w14:textId="6BCA7AC2">
      <w:pPr>
        <w:tabs>
          <w:tab w:val="left" w:pos="1545"/>
        </w:tabs>
        <w:jc w:val="both"/>
      </w:pPr>
      <w:r>
        <w:t>Respond to participants ……………………………</w:t>
      </w:r>
      <w:r w:rsidR="0011317C">
        <w:t>.</w:t>
      </w:r>
      <w:r>
        <w:t>…....</w:t>
      </w:r>
      <w:r w:rsidR="002712D8">
        <w:t>.....</w:t>
      </w:r>
      <w:r w:rsidR="0011317C">
        <w:t>.....</w:t>
      </w:r>
      <w:r w:rsidR="002202D1">
        <w:t>..</w:t>
      </w:r>
      <w:r w:rsidR="00CD0A8C">
        <w:t>36 weeks</w:t>
      </w:r>
      <w:r>
        <w:t xml:space="preserve"> after OMB approval</w:t>
      </w:r>
    </w:p>
    <w:p w:rsidR="00935939" w:rsidP="002202D1" w:rsidRDefault="00935939" w14:paraId="728F2035" w14:textId="5CEB360B">
      <w:pPr>
        <w:tabs>
          <w:tab w:val="left" w:pos="1545"/>
        </w:tabs>
        <w:jc w:val="both"/>
      </w:pPr>
      <w:r>
        <w:t xml:space="preserve">Written </w:t>
      </w:r>
      <w:r w:rsidR="00472B8E">
        <w:t>r</w:t>
      </w:r>
      <w:r>
        <w:t>eport</w:t>
      </w:r>
      <w:r w:rsidR="001E61E6">
        <w:t xml:space="preserve"> released….</w:t>
      </w:r>
      <w:r>
        <w:t>………………………</w:t>
      </w:r>
      <w:r w:rsidR="00472B8E">
        <w:t>.</w:t>
      </w:r>
      <w:r>
        <w:t>…......</w:t>
      </w:r>
      <w:r w:rsidR="00D37004">
        <w:t>.....</w:t>
      </w:r>
      <w:r w:rsidR="0011317C">
        <w:t>..</w:t>
      </w:r>
      <w:r w:rsidR="00B16729">
        <w:t>..</w:t>
      </w:r>
      <w:r w:rsidR="002202D1">
        <w:t>..</w:t>
      </w:r>
      <w:r w:rsidR="0011317C">
        <w:t>..</w:t>
      </w:r>
      <w:r w:rsidR="00CF1FB9">
        <w:t>40-64</w:t>
      </w:r>
      <w:r w:rsidR="00482FD3">
        <w:t xml:space="preserve"> - </w:t>
      </w:r>
      <w:r w:rsidR="00651D96">
        <w:t>based on clearance process</w:t>
      </w:r>
    </w:p>
    <w:p w:rsidR="006653AB" w:rsidP="006653AB" w:rsidRDefault="006653AB" w14:paraId="77D38E9B" w14:textId="77777777">
      <w:pPr>
        <w:tabs>
          <w:tab w:val="left" w:pos="1545"/>
        </w:tabs>
      </w:pPr>
    </w:p>
    <w:p w:rsidR="00DB4BB8" w:rsidP="00D94910" w:rsidRDefault="00DB4BB8" w14:paraId="0A12CC2B" w14:textId="50B12D14">
      <w:pPr>
        <w:tabs>
          <w:tab w:val="left" w:pos="1545"/>
        </w:tabs>
        <w:spacing w:line="276" w:lineRule="auto"/>
      </w:pPr>
      <w:r>
        <w:t xml:space="preserve">Response letters to the participants will be sent </w:t>
      </w:r>
      <w:r w:rsidR="00321DF8">
        <w:t>to all participants</w:t>
      </w:r>
      <w:r w:rsidR="00FD3B2F">
        <w:t xml:space="preserve"> </w:t>
      </w:r>
      <w:r w:rsidR="00AA5E22">
        <w:t>(</w:t>
      </w:r>
      <w:r w:rsidR="00321DF8">
        <w:t xml:space="preserve">sample letters </w:t>
      </w:r>
      <w:r w:rsidR="00FD3B2F">
        <w:t xml:space="preserve">are provided in </w:t>
      </w:r>
      <w:r w:rsidR="006569D0">
        <w:t xml:space="preserve">Protocol </w:t>
      </w:r>
      <w:r w:rsidR="00AA5E22">
        <w:t>A</w:t>
      </w:r>
      <w:r w:rsidR="00886C60">
        <w:t>ppendi</w:t>
      </w:r>
      <w:r w:rsidR="000B28EC">
        <w:t>ces</w:t>
      </w:r>
      <w:r w:rsidR="00886C60">
        <w:t xml:space="preserve"> H</w:t>
      </w:r>
      <w:r w:rsidR="000B28EC">
        <w:t>1 &amp; H2</w:t>
      </w:r>
      <w:r>
        <w:t>).</w:t>
      </w:r>
      <w:r w:rsidR="00AA5E22">
        <w:t xml:space="preserve"> </w:t>
      </w:r>
      <w:r w:rsidR="00321DF8">
        <w:t xml:space="preserve">If a participant has an elevated BLL, they will be notified by phone immediately to allow assistance to begin as soon as possible. </w:t>
      </w:r>
      <w:r w:rsidR="00E352B7">
        <w:t xml:space="preserve">Language from cleared ATSDR factsheets on reducing exposure to lead will be used </w:t>
      </w:r>
      <w:r w:rsidR="00B6584F">
        <w:t>to tailor the result</w:t>
      </w:r>
      <w:r w:rsidR="00E352B7">
        <w:t>s letters to</w:t>
      </w:r>
      <w:r w:rsidR="00B6584F">
        <w:t xml:space="preserve"> the participant’s measured lead concentrations and </w:t>
      </w:r>
      <w:r w:rsidR="00544937">
        <w:t xml:space="preserve">answers on the </w:t>
      </w:r>
      <w:r w:rsidR="00B6584F">
        <w:t xml:space="preserve">questionnaire. ATSDR factsheets on reducing lead exposure are provided in attachments 5A-5E. </w:t>
      </w:r>
      <w:r w:rsidR="00AA5E22">
        <w:t xml:space="preserve">An example of a prior Exposure Investigation report is provided as Attachment </w:t>
      </w:r>
      <w:r w:rsidR="00886C60">
        <w:t>4</w:t>
      </w:r>
      <w:r w:rsidR="00AA5E22">
        <w:t>.</w:t>
      </w:r>
    </w:p>
    <w:p w:rsidR="006653AB" w:rsidP="007F446A" w:rsidRDefault="00B04CF8" w14:paraId="0E2F4AD7" w14:textId="77777777">
      <w:pPr>
        <w:pStyle w:val="Heading2"/>
      </w:pPr>
      <w:bookmarkStart w:name="_Toc105168857" w:id="130"/>
      <w:r>
        <w:t>A.</w:t>
      </w:r>
      <w:r w:rsidR="006653AB">
        <w:t>1</w:t>
      </w:r>
      <w:r w:rsidR="00B60A40">
        <w:t>7</w:t>
      </w:r>
      <w:r w:rsidR="006653AB">
        <w:t>. Reason(s) Display of OMB Expiration Date is Inappropriate</w:t>
      </w:r>
      <w:bookmarkEnd w:id="130"/>
    </w:p>
    <w:p w:rsidR="006653AB" w:rsidP="006653AB" w:rsidRDefault="006653AB" w14:paraId="4756DCF1" w14:textId="77777777">
      <w:pPr>
        <w:tabs>
          <w:tab w:val="left" w:pos="1545"/>
        </w:tabs>
        <w:rPr>
          <w:b/>
        </w:rPr>
      </w:pPr>
    </w:p>
    <w:p w:rsidR="006653AB" w:rsidP="006653AB" w:rsidRDefault="006653AB" w14:paraId="6A66E449" w14:textId="77777777">
      <w:pPr>
        <w:tabs>
          <w:tab w:val="left" w:pos="1545"/>
        </w:tabs>
      </w:pPr>
      <w:r>
        <w:t>We are not requesting an exemption.</w:t>
      </w:r>
    </w:p>
    <w:p w:rsidR="006653AB" w:rsidP="006653AB" w:rsidRDefault="006653AB" w14:paraId="0850C374" w14:textId="77777777">
      <w:pPr>
        <w:tabs>
          <w:tab w:val="left" w:pos="1545"/>
        </w:tabs>
      </w:pPr>
    </w:p>
    <w:p w:rsidR="006653AB" w:rsidP="007F446A" w:rsidRDefault="00B04CF8" w14:paraId="1D66E114" w14:textId="77777777">
      <w:pPr>
        <w:pStyle w:val="Heading2"/>
      </w:pPr>
      <w:bookmarkStart w:name="_Toc105168858" w:id="131"/>
      <w:r>
        <w:t>A.</w:t>
      </w:r>
      <w:r w:rsidR="006653AB">
        <w:t>1</w:t>
      </w:r>
      <w:r w:rsidR="00B60A40">
        <w:t>8</w:t>
      </w:r>
      <w:r w:rsidR="006653AB">
        <w:t>. Exceptions to Certification for Paperwork Reduction Act Submissions</w:t>
      </w:r>
      <w:bookmarkEnd w:id="131"/>
    </w:p>
    <w:p w:rsidR="006653AB" w:rsidP="006653AB" w:rsidRDefault="006653AB" w14:paraId="0ED58EFD" w14:textId="77777777">
      <w:pPr>
        <w:tabs>
          <w:tab w:val="left" w:pos="1545"/>
        </w:tabs>
        <w:rPr>
          <w:b/>
        </w:rPr>
      </w:pPr>
    </w:p>
    <w:p w:rsidR="006653AB" w:rsidP="006653AB" w:rsidRDefault="006653AB" w14:paraId="31DB47C5" w14:textId="77777777">
      <w:pPr>
        <w:tabs>
          <w:tab w:val="left" w:pos="1545"/>
        </w:tabs>
      </w:pPr>
      <w:r>
        <w:rPr>
          <w:b/>
        </w:rPr>
        <w:t xml:space="preserve"> </w:t>
      </w:r>
      <w:r>
        <w:t>There are no exceptions to certification for Paperwork Reduction Act.</w:t>
      </w:r>
    </w:p>
    <w:bookmarkEnd w:id="125"/>
    <w:bookmarkEnd w:id="126"/>
    <w:bookmarkEnd w:id="127"/>
    <w:bookmarkEnd w:id="128"/>
    <w:p w:rsidR="00AA78D1" w:rsidP="002F40AB" w:rsidRDefault="00AA78D1" w14:paraId="445D0B76" w14:textId="35E4BA9A">
      <w:pPr>
        <w:rPr>
          <w:rFonts w:eastAsia="SimSun"/>
          <w:b/>
          <w:bCs/>
          <w:lang w:eastAsia="zh-CN"/>
        </w:rPr>
      </w:pPr>
    </w:p>
    <w:p w:rsidRPr="004034A1" w:rsidR="0017344E" w:rsidP="002F40AB" w:rsidRDefault="0017344E" w14:paraId="22D776B8" w14:textId="258809AA">
      <w:pPr>
        <w:rPr>
          <w:rFonts w:eastAsia="SimSun" w:asciiTheme="majorHAnsi" w:hAnsiTheme="majorHAnsi"/>
          <w:b/>
          <w:bCs/>
          <w:color w:val="4F81BD"/>
          <w:sz w:val="26"/>
          <w:szCs w:val="26"/>
          <w:lang w:eastAsia="zh-CN"/>
        </w:rPr>
      </w:pPr>
      <w:r w:rsidRPr="004034A1">
        <w:rPr>
          <w:rFonts w:eastAsia="SimSun" w:asciiTheme="majorHAnsi" w:hAnsiTheme="majorHAnsi"/>
          <w:b/>
          <w:bCs/>
          <w:color w:val="4F81BD"/>
          <w:sz w:val="26"/>
          <w:szCs w:val="26"/>
          <w:lang w:eastAsia="zh-CN"/>
        </w:rPr>
        <w:t>References</w:t>
      </w:r>
    </w:p>
    <w:p w:rsidRPr="004034A1" w:rsidR="00F16E9D" w:rsidP="002F40AB" w:rsidRDefault="00F16E9D" w14:paraId="5D222036" w14:textId="77777777">
      <w:pPr>
        <w:rPr>
          <w:rFonts w:eastAsia="SimSun" w:asciiTheme="majorHAnsi" w:hAnsiTheme="majorHAnsi"/>
          <w:b/>
          <w:bCs/>
          <w:sz w:val="26"/>
          <w:szCs w:val="26"/>
          <w:lang w:eastAsia="zh-CN"/>
        </w:rPr>
      </w:pPr>
    </w:p>
    <w:p w:rsidRPr="00B02AEE" w:rsidR="00B02AEE" w:rsidP="00B02AEE" w:rsidRDefault="00B02AEE" w14:paraId="3DCC1280" w14:textId="77777777">
      <w:pPr>
        <w:spacing w:after="100" w:afterAutospacing="1"/>
      </w:pPr>
      <w:r w:rsidRPr="00B02AEE">
        <w:t xml:space="preserve">[ATSDR 1990] Agency for Toxic Substances and Disease Registry. 1990. Preliminary health assessment for </w:t>
      </w:r>
      <w:proofErr w:type="spellStart"/>
      <w:r w:rsidRPr="00B02AEE">
        <w:t>Oronogo-Duenweg</w:t>
      </w:r>
      <w:proofErr w:type="spellEnd"/>
      <w:r w:rsidRPr="00B02AEE">
        <w:t xml:space="preserve"> mining belt. Atlanta GA.</w:t>
      </w:r>
    </w:p>
    <w:p w:rsidRPr="00B02AEE" w:rsidR="00B02AEE" w:rsidP="00B02AEE" w:rsidRDefault="00B02AEE" w14:paraId="58EE9B8E" w14:textId="77777777">
      <w:pPr>
        <w:spacing w:after="100" w:afterAutospacing="1"/>
      </w:pPr>
      <w:r w:rsidRPr="00B02AEE">
        <w:t>[ATSDR 1995] Agency for Toxic Substances and Disease Registry. 1995. Jasper County, Missouri superfund site lead and cadmium exposure study. Atlanta GA.</w:t>
      </w:r>
    </w:p>
    <w:p w:rsidRPr="00B02AEE" w:rsidR="00B02AEE" w:rsidP="00B02AEE" w:rsidRDefault="00B02AEE" w14:paraId="54D2755F" w14:textId="77777777">
      <w:pPr>
        <w:spacing w:after="100" w:afterAutospacing="1"/>
      </w:pPr>
      <w:r w:rsidRPr="00B02AEE">
        <w:t>[ATSDR 2002] Agency for Toxic Substances and Disease Registry. 2002. Jasper County, Missouri superfund site childhood 2000 lead exposure study. Atlanta GA.</w:t>
      </w:r>
    </w:p>
    <w:p w:rsidRPr="00B02AEE" w:rsidR="00B02AEE" w:rsidP="00B02AEE" w:rsidRDefault="00B02AEE" w14:paraId="28ED8EBC" w14:textId="77777777">
      <w:pPr>
        <w:spacing w:after="100" w:afterAutospacing="1"/>
      </w:pPr>
      <w:r w:rsidRPr="00B02AEE">
        <w:t>[ATSDR 2006] Agency for Toxic Substances and Disease Registry. 2006. Public health assessment for Newton County mine tailings site. Atlanta GA.</w:t>
      </w:r>
    </w:p>
    <w:p w:rsidRPr="00B02AEE" w:rsidR="00B02AEE" w:rsidP="00B02AEE" w:rsidRDefault="00B02AEE" w14:paraId="3C89983D" w14:textId="77777777">
      <w:pPr>
        <w:spacing w:after="100" w:afterAutospacing="1"/>
      </w:pPr>
      <w:r w:rsidRPr="00B02AEE">
        <w:lastRenderedPageBreak/>
        <w:t>[ATSDR 2020] Agency for Toxic Substances and Disease Registry. 2020. Toxicological profile for lead. Atlanta GA.</w:t>
      </w:r>
    </w:p>
    <w:p w:rsidR="0017344E" w:rsidP="0017344E" w:rsidRDefault="0017344E" w14:paraId="187CB91D" w14:textId="77777777">
      <w:pPr>
        <w:spacing w:after="100" w:afterAutospacing="1"/>
      </w:pPr>
      <w:r>
        <w:t xml:space="preserve">Brink LL, Talbot EO, Sharma RK, March GM, Wu WC, </w:t>
      </w:r>
      <w:proofErr w:type="spellStart"/>
      <w:r>
        <w:t>Rager</w:t>
      </w:r>
      <w:proofErr w:type="spellEnd"/>
      <w:r>
        <w:t xml:space="preserve"> JR, </w:t>
      </w:r>
      <w:proofErr w:type="spellStart"/>
      <w:r>
        <w:t>Strosnider</w:t>
      </w:r>
      <w:proofErr w:type="spellEnd"/>
      <w:r>
        <w:t xml:space="preserve"> HM (2013). Do U.S. Ambient Air Lead Levels Have a Significant Impact on Childhood Blood Lead Levels: Result of a National Study. J. Environ and Public Health. Available at:</w:t>
      </w:r>
      <w:r w:rsidRPr="002746C8">
        <w:t xml:space="preserve"> </w:t>
      </w:r>
      <w:hyperlink w:history="1" r:id="rId10">
        <w:r w:rsidRPr="006452D5">
          <w:rPr>
            <w:rStyle w:val="Hyperlink"/>
          </w:rPr>
          <w:t>http://www.hindawi.com/journals/jeph/2013/278042/</w:t>
        </w:r>
      </w:hyperlink>
      <w:r w:rsidRPr="006452D5">
        <w:t>.</w:t>
      </w:r>
    </w:p>
    <w:p w:rsidR="00385DA1" w:rsidP="00385DA1" w:rsidRDefault="00385DA1" w14:paraId="173B2254" w14:textId="77777777">
      <w:r>
        <w:t xml:space="preserve">[CDC 2021b] Centers for Disease Control and Prevention. 2021. Blood lead reference value. Atlanta, GA [reviewed 2021 October 27; accessed 2021 November 22]. Available from: </w:t>
      </w:r>
      <w:hyperlink w:history="1" r:id="rId11">
        <w:r w:rsidRPr="000A65A1">
          <w:rPr>
            <w:rStyle w:val="Hyperlink"/>
          </w:rPr>
          <w:t>https://www.cdc.</w:t>
        </w:r>
        <w:r>
          <w:rPr>
            <w:rStyle w:val="Hyperlink"/>
          </w:rPr>
          <w:t>‌</w:t>
        </w:r>
        <w:r w:rsidRPr="000A65A1">
          <w:rPr>
            <w:rStyle w:val="Hyperlink"/>
          </w:rPr>
          <w:t>gov/nceh/lead/data/blood-lead-reference-value.htm</w:t>
        </w:r>
      </w:hyperlink>
      <w:r>
        <w:t>.</w:t>
      </w:r>
    </w:p>
    <w:p w:rsidR="0017344E" w:rsidP="002F40AB" w:rsidRDefault="0017344E" w14:paraId="7DF69A21" w14:textId="78A1EAF5">
      <w:pPr>
        <w:rPr>
          <w:rFonts w:eastAsia="SimSun"/>
          <w:b/>
          <w:bCs/>
          <w:lang w:eastAsia="zh-CN"/>
        </w:rPr>
      </w:pPr>
    </w:p>
    <w:p w:rsidRPr="00501A9C" w:rsidR="00501A9C" w:rsidP="00501A9C" w:rsidRDefault="00501A9C" w14:paraId="1B45D7D6" w14:textId="77777777">
      <w:pPr>
        <w:spacing w:after="160" w:line="259" w:lineRule="auto"/>
        <w:rPr>
          <w:rFonts w:eastAsia="Calibri"/>
          <w:szCs w:val="22"/>
        </w:rPr>
      </w:pPr>
      <w:r w:rsidRPr="00501A9C">
        <w:rPr>
          <w:rFonts w:eastAsia="Calibri"/>
          <w:szCs w:val="22"/>
        </w:rPr>
        <w:t xml:space="preserve">[EPA 2017] U.S. Environmental Protection Agency. 2017. Fourth five-year review report for </w:t>
      </w:r>
      <w:proofErr w:type="spellStart"/>
      <w:r w:rsidRPr="00501A9C">
        <w:rPr>
          <w:rFonts w:eastAsia="Calibri"/>
          <w:szCs w:val="22"/>
        </w:rPr>
        <w:t>Oronogo-Duenweg</w:t>
      </w:r>
      <w:proofErr w:type="spellEnd"/>
      <w:r w:rsidRPr="00501A9C">
        <w:rPr>
          <w:rFonts w:eastAsia="Calibri"/>
          <w:szCs w:val="22"/>
        </w:rPr>
        <w:t xml:space="preserve"> mining belt superfund site Jasper County, Missouri. Lenexa KS. </w:t>
      </w:r>
    </w:p>
    <w:p w:rsidRPr="00501A9C" w:rsidR="00501A9C" w:rsidP="00501A9C" w:rsidRDefault="00501A9C" w14:paraId="6175E8E8" w14:textId="77777777">
      <w:pPr>
        <w:spacing w:after="160" w:line="259" w:lineRule="auto"/>
        <w:rPr>
          <w:rFonts w:eastAsia="Calibri"/>
          <w:szCs w:val="22"/>
        </w:rPr>
      </w:pPr>
      <w:r w:rsidRPr="00501A9C">
        <w:rPr>
          <w:rFonts w:eastAsia="Calibri"/>
          <w:szCs w:val="22"/>
        </w:rPr>
        <w:t xml:space="preserve">[EPA 2018] U.S. Environmental Protection Agency. 2018. Generic quality assurance project plan for Region 7’s Superfund lead-contaminated sites. Lenexa KS. </w:t>
      </w:r>
    </w:p>
    <w:p w:rsidRPr="00501A9C" w:rsidR="00501A9C" w:rsidP="00501A9C" w:rsidRDefault="00501A9C" w14:paraId="03750705" w14:textId="77777777">
      <w:pPr>
        <w:spacing w:after="160" w:line="259" w:lineRule="auto"/>
        <w:rPr>
          <w:rFonts w:eastAsia="Calibri"/>
          <w:szCs w:val="22"/>
        </w:rPr>
      </w:pPr>
      <w:r w:rsidRPr="00501A9C">
        <w:rPr>
          <w:rFonts w:eastAsia="Calibri"/>
          <w:szCs w:val="22"/>
        </w:rPr>
        <w:t>[EPA 2019] U.S. Environmental Protection Agency. 2019. First five-year review report for Newton County mine tailings superfund site Newton County, Missouri. Lenexa KS.</w:t>
      </w:r>
    </w:p>
    <w:p w:rsidR="00501A9C" w:rsidP="002F40AB" w:rsidRDefault="00501A9C" w14:paraId="76BFBF6C" w14:textId="77777777">
      <w:pPr>
        <w:rPr>
          <w:rFonts w:eastAsia="SimSun"/>
          <w:b/>
          <w:bCs/>
          <w:lang w:eastAsia="zh-CN"/>
        </w:rPr>
      </w:pPr>
    </w:p>
    <w:sectPr w:rsidR="00501A9C" w:rsidSect="0067720C">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D3B20" w14:textId="77777777" w:rsidR="00FE0148" w:rsidRDefault="00FE0148">
      <w:r>
        <w:separator/>
      </w:r>
    </w:p>
  </w:endnote>
  <w:endnote w:type="continuationSeparator" w:id="0">
    <w:p w14:paraId="319B9E2C" w14:textId="77777777" w:rsidR="00FE0148" w:rsidRDefault="00FE0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54AA3" w14:textId="77777777" w:rsidR="00C33C1A" w:rsidRDefault="00C33C1A" w:rsidP="0068197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A9D2277" w14:textId="77777777" w:rsidR="00C33C1A" w:rsidRDefault="00C33C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6B87D" w14:textId="5FC0A8BE" w:rsidR="00C33C1A" w:rsidRDefault="00C33C1A" w:rsidP="0068197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53B0D">
      <w:rPr>
        <w:rStyle w:val="PageNumber"/>
        <w:noProof/>
      </w:rPr>
      <w:t>17</w:t>
    </w:r>
    <w:r>
      <w:rPr>
        <w:rStyle w:val="PageNumber"/>
      </w:rPr>
      <w:fldChar w:fldCharType="end"/>
    </w:r>
  </w:p>
  <w:p w14:paraId="2FA06708" w14:textId="77777777" w:rsidR="00C33C1A" w:rsidRDefault="00C33C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35CE3" w14:textId="77777777" w:rsidR="0057106F" w:rsidRDefault="005710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4BFABE" w14:textId="77777777" w:rsidR="00FE0148" w:rsidRDefault="00FE0148">
      <w:r>
        <w:separator/>
      </w:r>
    </w:p>
  </w:footnote>
  <w:footnote w:type="continuationSeparator" w:id="0">
    <w:p w14:paraId="6992AD05" w14:textId="77777777" w:rsidR="00FE0148" w:rsidRDefault="00FE01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0C64E" w14:textId="77777777" w:rsidR="0057106F" w:rsidRDefault="005710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alias w:val="Title"/>
      <w:id w:val="77738743"/>
      <w:dataBinding w:prefixMappings="xmlns:ns0='http://schemas.openxmlformats.org/package/2006/metadata/core-properties' xmlns:ns1='http://purl.org/dc/elements/1.1/'" w:xpath="/ns0:coreProperties[1]/ns1:title[1]" w:storeItemID="{6C3C8BC8-F283-45AE-878A-BAB7291924A1}"/>
      <w:text/>
    </w:sdtPr>
    <w:sdtEndPr/>
    <w:sdtContent>
      <w:p w14:paraId="3B64C6A5" w14:textId="232E775D" w:rsidR="00C33C1A" w:rsidRDefault="00011715" w:rsidP="0067720C">
        <w:pPr>
          <w:pStyle w:val="Header"/>
          <w:jc w:val="center"/>
          <w:rPr>
            <w:rFonts w:asciiTheme="majorHAnsi" w:eastAsiaTheme="majorEastAsia" w:hAnsiTheme="majorHAnsi" w:cstheme="majorBidi"/>
            <w:sz w:val="32"/>
            <w:szCs w:val="32"/>
          </w:rPr>
        </w:pPr>
        <w:r>
          <w:rPr>
            <w:sz w:val="20"/>
            <w:szCs w:val="20"/>
          </w:rPr>
          <w:t xml:space="preserve">Attachment 1. Blood Lead Levels in </w:t>
        </w:r>
        <w:r w:rsidR="009A1B86">
          <w:rPr>
            <w:sz w:val="20"/>
            <w:szCs w:val="20"/>
          </w:rPr>
          <w:t>JNC</w:t>
        </w:r>
        <w:r>
          <w:rPr>
            <w:sz w:val="20"/>
            <w:szCs w:val="20"/>
          </w:rPr>
          <w:t xml:space="preserve"> EI:  Supporting Statement A</w:t>
        </w:r>
      </w:p>
    </w:sdtContent>
  </w:sdt>
  <w:p w14:paraId="24257B1D" w14:textId="77777777" w:rsidR="00C33C1A" w:rsidRDefault="00C33C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C90A0" w14:textId="77777777" w:rsidR="0057106F" w:rsidRDefault="005710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91EA1"/>
    <w:multiLevelType w:val="hybridMultilevel"/>
    <w:tmpl w:val="6F14C9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59B57AB"/>
    <w:multiLevelType w:val="hybridMultilevel"/>
    <w:tmpl w:val="B7FA9D18"/>
    <w:lvl w:ilvl="0" w:tplc="799CB9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0F5E8E"/>
    <w:multiLevelType w:val="hybridMultilevel"/>
    <w:tmpl w:val="4920E60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332AB6"/>
    <w:multiLevelType w:val="hybridMultilevel"/>
    <w:tmpl w:val="8990EE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655E71"/>
    <w:multiLevelType w:val="hybridMultilevel"/>
    <w:tmpl w:val="8F7E400A"/>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3915204B"/>
    <w:multiLevelType w:val="hybridMultilevel"/>
    <w:tmpl w:val="0AA4B82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4C436F"/>
    <w:multiLevelType w:val="hybridMultilevel"/>
    <w:tmpl w:val="36B6365E"/>
    <w:lvl w:ilvl="0" w:tplc="0409000F">
      <w:start w:val="1"/>
      <w:numFmt w:val="decimal"/>
      <w:lvlText w:val="%1."/>
      <w:lvlJc w:val="left"/>
      <w:pPr>
        <w:ind w:left="720" w:hanging="360"/>
      </w:pPr>
      <w:rPr>
        <w:rFonts w:hint="default"/>
      </w:rPr>
    </w:lvl>
    <w:lvl w:ilvl="1" w:tplc="630C50A0">
      <w:start w:val="1"/>
      <w:numFmt w:val="upperLetter"/>
      <w:lvlText w:val="3%2."/>
      <w:lvlJc w:val="left"/>
      <w:pPr>
        <w:ind w:left="216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722FED"/>
    <w:multiLevelType w:val="multilevel"/>
    <w:tmpl w:val="AF6C2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817AD9"/>
    <w:multiLevelType w:val="hybridMultilevel"/>
    <w:tmpl w:val="804ED732"/>
    <w:lvl w:ilvl="0" w:tplc="89C2682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FA86289"/>
    <w:multiLevelType w:val="hybridMultilevel"/>
    <w:tmpl w:val="FB2A211A"/>
    <w:lvl w:ilvl="0" w:tplc="8BCEFDF0">
      <w:start w:val="4"/>
      <w:numFmt w:val="decimal"/>
      <w:lvlText w:val="%1."/>
      <w:lvlJc w:val="left"/>
      <w:pPr>
        <w:ind w:left="-14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540" w:hanging="180"/>
      </w:pPr>
    </w:lvl>
    <w:lvl w:ilvl="3" w:tplc="0409000F" w:tentative="1">
      <w:start w:val="1"/>
      <w:numFmt w:val="decimal"/>
      <w:lvlText w:val="%4."/>
      <w:lvlJc w:val="left"/>
      <w:pPr>
        <w:ind w:left="180" w:hanging="360"/>
      </w:pPr>
    </w:lvl>
    <w:lvl w:ilvl="4" w:tplc="04090019" w:tentative="1">
      <w:start w:val="1"/>
      <w:numFmt w:val="lowerLetter"/>
      <w:lvlText w:val="%5."/>
      <w:lvlJc w:val="left"/>
      <w:pPr>
        <w:ind w:left="900" w:hanging="360"/>
      </w:pPr>
    </w:lvl>
    <w:lvl w:ilvl="5" w:tplc="0409001B" w:tentative="1">
      <w:start w:val="1"/>
      <w:numFmt w:val="lowerRoman"/>
      <w:lvlText w:val="%6."/>
      <w:lvlJc w:val="right"/>
      <w:pPr>
        <w:ind w:left="1620" w:hanging="180"/>
      </w:pPr>
    </w:lvl>
    <w:lvl w:ilvl="6" w:tplc="0409000F" w:tentative="1">
      <w:start w:val="1"/>
      <w:numFmt w:val="decimal"/>
      <w:lvlText w:val="%7."/>
      <w:lvlJc w:val="left"/>
      <w:pPr>
        <w:ind w:left="2340" w:hanging="360"/>
      </w:pPr>
    </w:lvl>
    <w:lvl w:ilvl="7" w:tplc="04090019" w:tentative="1">
      <w:start w:val="1"/>
      <w:numFmt w:val="lowerLetter"/>
      <w:lvlText w:val="%8."/>
      <w:lvlJc w:val="left"/>
      <w:pPr>
        <w:ind w:left="3060" w:hanging="360"/>
      </w:pPr>
    </w:lvl>
    <w:lvl w:ilvl="8" w:tplc="0409001B" w:tentative="1">
      <w:start w:val="1"/>
      <w:numFmt w:val="lowerRoman"/>
      <w:lvlText w:val="%9."/>
      <w:lvlJc w:val="right"/>
      <w:pPr>
        <w:ind w:left="3780" w:hanging="180"/>
      </w:pPr>
    </w:lvl>
  </w:abstractNum>
  <w:abstractNum w:abstractNumId="10" w15:restartNumberingAfterBreak="0">
    <w:nsid w:val="40E43003"/>
    <w:multiLevelType w:val="hybridMultilevel"/>
    <w:tmpl w:val="371E02C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47CE6C96"/>
    <w:multiLevelType w:val="hybridMultilevel"/>
    <w:tmpl w:val="AF54E01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195B21"/>
    <w:multiLevelType w:val="hybridMultilevel"/>
    <w:tmpl w:val="7D5A4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C2217A"/>
    <w:multiLevelType w:val="hybridMultilevel"/>
    <w:tmpl w:val="7CCE8066"/>
    <w:lvl w:ilvl="0" w:tplc="04090001">
      <w:start w:val="1"/>
      <w:numFmt w:val="bullet"/>
      <w:lvlText w:val=""/>
      <w:lvlJc w:val="left"/>
      <w:pPr>
        <w:ind w:left="1800" w:hanging="360"/>
      </w:pPr>
      <w:rPr>
        <w:rFonts w:ascii="Symbol" w:hAnsi="Symbol" w:hint="default"/>
      </w:rPr>
    </w:lvl>
    <w:lvl w:ilvl="1" w:tplc="04090005">
      <w:start w:val="1"/>
      <w:numFmt w:val="bullet"/>
      <w:lvlText w:val=""/>
      <w:lvlJc w:val="left"/>
      <w:pPr>
        <w:ind w:left="2520" w:hanging="360"/>
      </w:pPr>
      <w:rPr>
        <w:rFonts w:ascii="Wingdings" w:hAnsi="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563E4350"/>
    <w:multiLevelType w:val="hybridMultilevel"/>
    <w:tmpl w:val="CA56E18E"/>
    <w:lvl w:ilvl="0" w:tplc="0409000F">
      <w:start w:val="1"/>
      <w:numFmt w:val="decimal"/>
      <w:lvlText w:val="%1."/>
      <w:lvlJc w:val="left"/>
      <w:pPr>
        <w:ind w:left="720" w:hanging="360"/>
      </w:pPr>
      <w:rPr>
        <w:rFonts w:hint="default"/>
      </w:rPr>
    </w:lvl>
    <w:lvl w:ilvl="1" w:tplc="51E8C0E0">
      <w:start w:val="1"/>
      <w:numFmt w:val="upperLetter"/>
      <w:lvlText w:val="6%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6B4C6E"/>
    <w:multiLevelType w:val="hybridMultilevel"/>
    <w:tmpl w:val="B0A64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930953"/>
    <w:multiLevelType w:val="hybridMultilevel"/>
    <w:tmpl w:val="EAE85A84"/>
    <w:lvl w:ilvl="0" w:tplc="C9D45E0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7" w15:restartNumberingAfterBreak="0">
    <w:nsid w:val="62DB3D68"/>
    <w:multiLevelType w:val="hybridMultilevel"/>
    <w:tmpl w:val="CBC6FE0C"/>
    <w:lvl w:ilvl="0" w:tplc="21D42084">
      <w:start w:val="1"/>
      <w:numFmt w:val="bullet"/>
      <w:pStyle w:val="BulletText1"/>
      <w:lvlText w:val=""/>
      <w:lvlJc w:val="left"/>
      <w:pPr>
        <w:tabs>
          <w:tab w:val="num" w:pos="173"/>
        </w:tabs>
        <w:ind w:left="173" w:hanging="17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5605E70"/>
    <w:multiLevelType w:val="hybridMultilevel"/>
    <w:tmpl w:val="92F8D0E4"/>
    <w:lvl w:ilvl="0" w:tplc="04090001">
      <w:start w:val="1"/>
      <w:numFmt w:val="bullet"/>
      <w:lvlText w:val=""/>
      <w:lvlJc w:val="left"/>
      <w:pPr>
        <w:ind w:left="1260" w:hanging="360"/>
      </w:pPr>
      <w:rPr>
        <w:rFonts w:ascii="Symbol" w:hAnsi="Symbol" w:hint="default"/>
        <w:b w:val="0"/>
      </w:rPr>
    </w:lvl>
    <w:lvl w:ilvl="1" w:tplc="04090001">
      <w:start w:val="1"/>
      <w:numFmt w:val="bullet"/>
      <w:lvlText w:val=""/>
      <w:lvlJc w:val="left"/>
      <w:pPr>
        <w:ind w:left="2070" w:hanging="360"/>
      </w:pPr>
      <w:rPr>
        <w:rFonts w:ascii="Symbol" w:hAnsi="Symbol" w:hint="default"/>
      </w:rPr>
    </w:lvl>
    <w:lvl w:ilvl="2" w:tplc="04090003">
      <w:start w:val="1"/>
      <w:numFmt w:val="bullet"/>
      <w:lvlText w:val="o"/>
      <w:lvlJc w:val="left"/>
      <w:pPr>
        <w:ind w:left="2790" w:hanging="180"/>
      </w:pPr>
      <w:rPr>
        <w:rFonts w:ascii="Courier New" w:hAnsi="Courier New" w:cs="Courier New" w:hint="default"/>
      </w:rPr>
    </w:lvl>
    <w:lvl w:ilvl="3" w:tplc="0409000F">
      <w:start w:val="1"/>
      <w:numFmt w:val="decimal"/>
      <w:lvlText w:val="%4."/>
      <w:lvlJc w:val="left"/>
      <w:pPr>
        <w:ind w:left="3510" w:hanging="360"/>
      </w:pPr>
    </w:lvl>
    <w:lvl w:ilvl="4" w:tplc="04090003">
      <w:start w:val="1"/>
      <w:numFmt w:val="bullet"/>
      <w:lvlText w:val="o"/>
      <w:lvlJc w:val="left"/>
      <w:pPr>
        <w:ind w:left="4230" w:hanging="360"/>
      </w:pPr>
      <w:rPr>
        <w:rFonts w:ascii="Courier New" w:hAnsi="Courier New" w:cs="Courier New" w:hint="default"/>
      </w:r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9" w15:restartNumberingAfterBreak="0">
    <w:nsid w:val="6EFE4BFA"/>
    <w:multiLevelType w:val="hybridMultilevel"/>
    <w:tmpl w:val="B986C4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194DE5"/>
    <w:multiLevelType w:val="hybridMultilevel"/>
    <w:tmpl w:val="18A4A92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AF1482D"/>
    <w:multiLevelType w:val="hybridMultilevel"/>
    <w:tmpl w:val="3F646F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EA25633"/>
    <w:multiLevelType w:val="hybridMultilevel"/>
    <w:tmpl w:val="7A661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7"/>
  </w:num>
  <w:num w:numId="3">
    <w:abstractNumId w:val="15"/>
  </w:num>
  <w:num w:numId="4">
    <w:abstractNumId w:val="10"/>
  </w:num>
  <w:num w:numId="5">
    <w:abstractNumId w:val="8"/>
  </w:num>
  <w:num w:numId="6">
    <w:abstractNumId w:val="6"/>
  </w:num>
  <w:num w:numId="7">
    <w:abstractNumId w:val="14"/>
  </w:num>
  <w:num w:numId="8">
    <w:abstractNumId w:val="4"/>
  </w:num>
  <w:num w:numId="9">
    <w:abstractNumId w:val="16"/>
  </w:num>
  <w:num w:numId="10">
    <w:abstractNumId w:val="1"/>
  </w:num>
  <w:num w:numId="11">
    <w:abstractNumId w:val="0"/>
  </w:num>
  <w:num w:numId="12">
    <w:abstractNumId w:val="11"/>
  </w:num>
  <w:num w:numId="13">
    <w:abstractNumId w:val="20"/>
  </w:num>
  <w:num w:numId="14">
    <w:abstractNumId w:val="9"/>
  </w:num>
  <w:num w:numId="15">
    <w:abstractNumId w:val="18"/>
  </w:num>
  <w:num w:numId="16">
    <w:abstractNumId w:val="22"/>
  </w:num>
  <w:num w:numId="17">
    <w:abstractNumId w:val="3"/>
  </w:num>
  <w:num w:numId="18">
    <w:abstractNumId w:val="21"/>
  </w:num>
  <w:num w:numId="19">
    <w:abstractNumId w:val="5"/>
  </w:num>
  <w:num w:numId="20">
    <w:abstractNumId w:val="13"/>
  </w:num>
  <w:num w:numId="21">
    <w:abstractNumId w:val="2"/>
  </w:num>
  <w:num w:numId="22">
    <w:abstractNumId w:val="7"/>
  </w:num>
  <w:num w:numId="23">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7A8"/>
    <w:rsid w:val="000000D1"/>
    <w:rsid w:val="00000592"/>
    <w:rsid w:val="00000D99"/>
    <w:rsid w:val="000010F4"/>
    <w:rsid w:val="00001F47"/>
    <w:rsid w:val="00002E14"/>
    <w:rsid w:val="00003C3F"/>
    <w:rsid w:val="0000420B"/>
    <w:rsid w:val="00005117"/>
    <w:rsid w:val="00006E46"/>
    <w:rsid w:val="000074F7"/>
    <w:rsid w:val="0001083A"/>
    <w:rsid w:val="00010E39"/>
    <w:rsid w:val="00010F99"/>
    <w:rsid w:val="00011715"/>
    <w:rsid w:val="000118DC"/>
    <w:rsid w:val="000124B5"/>
    <w:rsid w:val="00012804"/>
    <w:rsid w:val="000128D8"/>
    <w:rsid w:val="00012C7C"/>
    <w:rsid w:val="000148E6"/>
    <w:rsid w:val="00015984"/>
    <w:rsid w:val="00016C0E"/>
    <w:rsid w:val="00017E63"/>
    <w:rsid w:val="0002190D"/>
    <w:rsid w:val="00022806"/>
    <w:rsid w:val="00023F4D"/>
    <w:rsid w:val="000244F3"/>
    <w:rsid w:val="0002536F"/>
    <w:rsid w:val="000258E4"/>
    <w:rsid w:val="000258EB"/>
    <w:rsid w:val="00025B51"/>
    <w:rsid w:val="0002723A"/>
    <w:rsid w:val="000275B0"/>
    <w:rsid w:val="00027A5E"/>
    <w:rsid w:val="00030EFC"/>
    <w:rsid w:val="00031570"/>
    <w:rsid w:val="0003163E"/>
    <w:rsid w:val="000323A4"/>
    <w:rsid w:val="0003287E"/>
    <w:rsid w:val="00032922"/>
    <w:rsid w:val="00032FB0"/>
    <w:rsid w:val="00033E54"/>
    <w:rsid w:val="00036104"/>
    <w:rsid w:val="00040280"/>
    <w:rsid w:val="000412D0"/>
    <w:rsid w:val="0004143B"/>
    <w:rsid w:val="00041524"/>
    <w:rsid w:val="00041D2A"/>
    <w:rsid w:val="00041F9D"/>
    <w:rsid w:val="00042C05"/>
    <w:rsid w:val="000433E5"/>
    <w:rsid w:val="000472D0"/>
    <w:rsid w:val="00047884"/>
    <w:rsid w:val="00047F9C"/>
    <w:rsid w:val="00050D0E"/>
    <w:rsid w:val="000526A9"/>
    <w:rsid w:val="00052A85"/>
    <w:rsid w:val="00053166"/>
    <w:rsid w:val="00055819"/>
    <w:rsid w:val="00055DDA"/>
    <w:rsid w:val="0005797C"/>
    <w:rsid w:val="00060538"/>
    <w:rsid w:val="00061479"/>
    <w:rsid w:val="00062A3F"/>
    <w:rsid w:val="00062B5A"/>
    <w:rsid w:val="00062BC0"/>
    <w:rsid w:val="000633E2"/>
    <w:rsid w:val="000635E9"/>
    <w:rsid w:val="00063EFE"/>
    <w:rsid w:val="000646CA"/>
    <w:rsid w:val="000649C1"/>
    <w:rsid w:val="00065156"/>
    <w:rsid w:val="000663F9"/>
    <w:rsid w:val="000664AD"/>
    <w:rsid w:val="000670FA"/>
    <w:rsid w:val="00067EB5"/>
    <w:rsid w:val="00067EF1"/>
    <w:rsid w:val="00072511"/>
    <w:rsid w:val="0007281C"/>
    <w:rsid w:val="00073047"/>
    <w:rsid w:val="00074222"/>
    <w:rsid w:val="0007657C"/>
    <w:rsid w:val="000773C4"/>
    <w:rsid w:val="000804D3"/>
    <w:rsid w:val="00080DBF"/>
    <w:rsid w:val="00081A58"/>
    <w:rsid w:val="00082B8D"/>
    <w:rsid w:val="00083406"/>
    <w:rsid w:val="0008428C"/>
    <w:rsid w:val="0008448C"/>
    <w:rsid w:val="000848A3"/>
    <w:rsid w:val="00085240"/>
    <w:rsid w:val="00087084"/>
    <w:rsid w:val="0008749C"/>
    <w:rsid w:val="00087551"/>
    <w:rsid w:val="0008756C"/>
    <w:rsid w:val="00090754"/>
    <w:rsid w:val="00090912"/>
    <w:rsid w:val="00090CCA"/>
    <w:rsid w:val="00090E5E"/>
    <w:rsid w:val="0009115D"/>
    <w:rsid w:val="00091F11"/>
    <w:rsid w:val="000930B2"/>
    <w:rsid w:val="000939DD"/>
    <w:rsid w:val="00094F19"/>
    <w:rsid w:val="000967A7"/>
    <w:rsid w:val="00096B34"/>
    <w:rsid w:val="00096C93"/>
    <w:rsid w:val="00097D89"/>
    <w:rsid w:val="000A0B3D"/>
    <w:rsid w:val="000A15C9"/>
    <w:rsid w:val="000A1EAB"/>
    <w:rsid w:val="000A2598"/>
    <w:rsid w:val="000A2E46"/>
    <w:rsid w:val="000A32C4"/>
    <w:rsid w:val="000A354C"/>
    <w:rsid w:val="000A3873"/>
    <w:rsid w:val="000A49BD"/>
    <w:rsid w:val="000A4A98"/>
    <w:rsid w:val="000A5592"/>
    <w:rsid w:val="000A5668"/>
    <w:rsid w:val="000A65A5"/>
    <w:rsid w:val="000A6A68"/>
    <w:rsid w:val="000A6D11"/>
    <w:rsid w:val="000A7018"/>
    <w:rsid w:val="000A760D"/>
    <w:rsid w:val="000A7CAB"/>
    <w:rsid w:val="000B050E"/>
    <w:rsid w:val="000B093C"/>
    <w:rsid w:val="000B0BC3"/>
    <w:rsid w:val="000B0C64"/>
    <w:rsid w:val="000B1254"/>
    <w:rsid w:val="000B1712"/>
    <w:rsid w:val="000B23EF"/>
    <w:rsid w:val="000B2494"/>
    <w:rsid w:val="000B283E"/>
    <w:rsid w:val="000B28EC"/>
    <w:rsid w:val="000B3CA2"/>
    <w:rsid w:val="000B4986"/>
    <w:rsid w:val="000B4D9B"/>
    <w:rsid w:val="000B5420"/>
    <w:rsid w:val="000B62E7"/>
    <w:rsid w:val="000B6474"/>
    <w:rsid w:val="000B7365"/>
    <w:rsid w:val="000B76DC"/>
    <w:rsid w:val="000B7DD8"/>
    <w:rsid w:val="000B7F02"/>
    <w:rsid w:val="000C0446"/>
    <w:rsid w:val="000C2177"/>
    <w:rsid w:val="000C41E6"/>
    <w:rsid w:val="000C5B26"/>
    <w:rsid w:val="000C63C7"/>
    <w:rsid w:val="000C641F"/>
    <w:rsid w:val="000D0F5D"/>
    <w:rsid w:val="000D26C5"/>
    <w:rsid w:val="000D43FA"/>
    <w:rsid w:val="000D455D"/>
    <w:rsid w:val="000D4FEF"/>
    <w:rsid w:val="000D6641"/>
    <w:rsid w:val="000D67EE"/>
    <w:rsid w:val="000E17DC"/>
    <w:rsid w:val="000E3C7D"/>
    <w:rsid w:val="000E4314"/>
    <w:rsid w:val="000E531D"/>
    <w:rsid w:val="000E68C0"/>
    <w:rsid w:val="000E6BBC"/>
    <w:rsid w:val="000E736E"/>
    <w:rsid w:val="000E7793"/>
    <w:rsid w:val="000E7A50"/>
    <w:rsid w:val="000E7D1F"/>
    <w:rsid w:val="000F0AD5"/>
    <w:rsid w:val="000F0DAE"/>
    <w:rsid w:val="000F3C1B"/>
    <w:rsid w:val="000F4354"/>
    <w:rsid w:val="000F4CCE"/>
    <w:rsid w:val="000F5AD6"/>
    <w:rsid w:val="000F704F"/>
    <w:rsid w:val="000F7C28"/>
    <w:rsid w:val="001000C6"/>
    <w:rsid w:val="0010088C"/>
    <w:rsid w:val="0010521B"/>
    <w:rsid w:val="00105540"/>
    <w:rsid w:val="00106CD3"/>
    <w:rsid w:val="001071F9"/>
    <w:rsid w:val="001075DE"/>
    <w:rsid w:val="00107B7A"/>
    <w:rsid w:val="001100C0"/>
    <w:rsid w:val="00110107"/>
    <w:rsid w:val="00110292"/>
    <w:rsid w:val="00110D66"/>
    <w:rsid w:val="001116DC"/>
    <w:rsid w:val="00111AEA"/>
    <w:rsid w:val="00112AB8"/>
    <w:rsid w:val="0011317C"/>
    <w:rsid w:val="001142C7"/>
    <w:rsid w:val="00114D3E"/>
    <w:rsid w:val="00115158"/>
    <w:rsid w:val="0011558C"/>
    <w:rsid w:val="00120226"/>
    <w:rsid w:val="001210BD"/>
    <w:rsid w:val="00121231"/>
    <w:rsid w:val="00122D9D"/>
    <w:rsid w:val="001230EC"/>
    <w:rsid w:val="0012326E"/>
    <w:rsid w:val="00123448"/>
    <w:rsid w:val="00127E39"/>
    <w:rsid w:val="00130072"/>
    <w:rsid w:val="001301C2"/>
    <w:rsid w:val="00132A7C"/>
    <w:rsid w:val="001337F5"/>
    <w:rsid w:val="00133C79"/>
    <w:rsid w:val="00134480"/>
    <w:rsid w:val="001349FC"/>
    <w:rsid w:val="00134A2C"/>
    <w:rsid w:val="00134F7C"/>
    <w:rsid w:val="001351F2"/>
    <w:rsid w:val="001352D8"/>
    <w:rsid w:val="001366D5"/>
    <w:rsid w:val="00136BB4"/>
    <w:rsid w:val="00137B93"/>
    <w:rsid w:val="00140A27"/>
    <w:rsid w:val="00142A17"/>
    <w:rsid w:val="00143131"/>
    <w:rsid w:val="00143AB2"/>
    <w:rsid w:val="00145016"/>
    <w:rsid w:val="001458B0"/>
    <w:rsid w:val="00146B56"/>
    <w:rsid w:val="00147410"/>
    <w:rsid w:val="00147926"/>
    <w:rsid w:val="001509BD"/>
    <w:rsid w:val="001513C4"/>
    <w:rsid w:val="00153B8B"/>
    <w:rsid w:val="00154C0F"/>
    <w:rsid w:val="0015682F"/>
    <w:rsid w:val="00156A60"/>
    <w:rsid w:val="00156C1D"/>
    <w:rsid w:val="00156E28"/>
    <w:rsid w:val="001608A1"/>
    <w:rsid w:val="00160EFB"/>
    <w:rsid w:val="00161D0A"/>
    <w:rsid w:val="001621B7"/>
    <w:rsid w:val="00162D9E"/>
    <w:rsid w:val="0016335B"/>
    <w:rsid w:val="001635A6"/>
    <w:rsid w:val="001635FD"/>
    <w:rsid w:val="00164F2C"/>
    <w:rsid w:val="00165D9D"/>
    <w:rsid w:val="00166980"/>
    <w:rsid w:val="00167843"/>
    <w:rsid w:val="00167F85"/>
    <w:rsid w:val="001716E3"/>
    <w:rsid w:val="001717DF"/>
    <w:rsid w:val="00172B0F"/>
    <w:rsid w:val="0017344E"/>
    <w:rsid w:val="0017349B"/>
    <w:rsid w:val="00174115"/>
    <w:rsid w:val="00175106"/>
    <w:rsid w:val="00175336"/>
    <w:rsid w:val="001801C9"/>
    <w:rsid w:val="00180B4A"/>
    <w:rsid w:val="0018100B"/>
    <w:rsid w:val="001828C9"/>
    <w:rsid w:val="001833B6"/>
    <w:rsid w:val="001834A3"/>
    <w:rsid w:val="00183ACA"/>
    <w:rsid w:val="00186261"/>
    <w:rsid w:val="00186982"/>
    <w:rsid w:val="0018737D"/>
    <w:rsid w:val="00187F73"/>
    <w:rsid w:val="00190128"/>
    <w:rsid w:val="00190465"/>
    <w:rsid w:val="00191562"/>
    <w:rsid w:val="00191BD4"/>
    <w:rsid w:val="00192F70"/>
    <w:rsid w:val="00195192"/>
    <w:rsid w:val="0019642B"/>
    <w:rsid w:val="001968FA"/>
    <w:rsid w:val="00196D22"/>
    <w:rsid w:val="001977A4"/>
    <w:rsid w:val="001A02F8"/>
    <w:rsid w:val="001A244C"/>
    <w:rsid w:val="001A48A4"/>
    <w:rsid w:val="001A6554"/>
    <w:rsid w:val="001A7EA9"/>
    <w:rsid w:val="001B0A9F"/>
    <w:rsid w:val="001B29FD"/>
    <w:rsid w:val="001B2C61"/>
    <w:rsid w:val="001B2F0F"/>
    <w:rsid w:val="001B330F"/>
    <w:rsid w:val="001B392D"/>
    <w:rsid w:val="001B42E6"/>
    <w:rsid w:val="001B4C58"/>
    <w:rsid w:val="001B6C41"/>
    <w:rsid w:val="001B71A2"/>
    <w:rsid w:val="001C01C8"/>
    <w:rsid w:val="001C1DB0"/>
    <w:rsid w:val="001C226F"/>
    <w:rsid w:val="001C579A"/>
    <w:rsid w:val="001C5B78"/>
    <w:rsid w:val="001C6298"/>
    <w:rsid w:val="001C7136"/>
    <w:rsid w:val="001C75BC"/>
    <w:rsid w:val="001D0AD0"/>
    <w:rsid w:val="001D0EAE"/>
    <w:rsid w:val="001D4FF9"/>
    <w:rsid w:val="001D558F"/>
    <w:rsid w:val="001D58F2"/>
    <w:rsid w:val="001D63B6"/>
    <w:rsid w:val="001D6A64"/>
    <w:rsid w:val="001D7273"/>
    <w:rsid w:val="001D789D"/>
    <w:rsid w:val="001E0E17"/>
    <w:rsid w:val="001E18A6"/>
    <w:rsid w:val="001E1C8D"/>
    <w:rsid w:val="001E2294"/>
    <w:rsid w:val="001E32B5"/>
    <w:rsid w:val="001E3D7D"/>
    <w:rsid w:val="001E61E6"/>
    <w:rsid w:val="001E683D"/>
    <w:rsid w:val="001E6AFE"/>
    <w:rsid w:val="001E6C16"/>
    <w:rsid w:val="001E7EE8"/>
    <w:rsid w:val="001F0DE9"/>
    <w:rsid w:val="001F0F12"/>
    <w:rsid w:val="001F10AB"/>
    <w:rsid w:val="001F17DE"/>
    <w:rsid w:val="001F1E82"/>
    <w:rsid w:val="001F4758"/>
    <w:rsid w:val="001F4AB2"/>
    <w:rsid w:val="001F4DC1"/>
    <w:rsid w:val="001F5488"/>
    <w:rsid w:val="001F6424"/>
    <w:rsid w:val="001F671F"/>
    <w:rsid w:val="00201F22"/>
    <w:rsid w:val="002025B5"/>
    <w:rsid w:val="002030D7"/>
    <w:rsid w:val="00205458"/>
    <w:rsid w:val="00210F73"/>
    <w:rsid w:val="00211300"/>
    <w:rsid w:val="0021137C"/>
    <w:rsid w:val="0021237B"/>
    <w:rsid w:val="002133F2"/>
    <w:rsid w:val="00214695"/>
    <w:rsid w:val="00214A74"/>
    <w:rsid w:val="002154E3"/>
    <w:rsid w:val="00215E9D"/>
    <w:rsid w:val="00216CF8"/>
    <w:rsid w:val="00216DEF"/>
    <w:rsid w:val="002171FE"/>
    <w:rsid w:val="002202D1"/>
    <w:rsid w:val="00221518"/>
    <w:rsid w:val="00221B76"/>
    <w:rsid w:val="00221E42"/>
    <w:rsid w:val="00224F03"/>
    <w:rsid w:val="002252F1"/>
    <w:rsid w:val="00225CF9"/>
    <w:rsid w:val="00226069"/>
    <w:rsid w:val="00226789"/>
    <w:rsid w:val="00226F12"/>
    <w:rsid w:val="00227352"/>
    <w:rsid w:val="002275A3"/>
    <w:rsid w:val="002276C7"/>
    <w:rsid w:val="002277B4"/>
    <w:rsid w:val="0022783B"/>
    <w:rsid w:val="0023342F"/>
    <w:rsid w:val="00233EDA"/>
    <w:rsid w:val="00235605"/>
    <w:rsid w:val="00235E02"/>
    <w:rsid w:val="00236A25"/>
    <w:rsid w:val="00240CF0"/>
    <w:rsid w:val="002415A9"/>
    <w:rsid w:val="00241C5C"/>
    <w:rsid w:val="00242240"/>
    <w:rsid w:val="002428A9"/>
    <w:rsid w:val="00242ACE"/>
    <w:rsid w:val="00244270"/>
    <w:rsid w:val="00244F9A"/>
    <w:rsid w:val="00245495"/>
    <w:rsid w:val="00246A18"/>
    <w:rsid w:val="00246A47"/>
    <w:rsid w:val="00246B5A"/>
    <w:rsid w:val="002473AB"/>
    <w:rsid w:val="00250919"/>
    <w:rsid w:val="00250E9A"/>
    <w:rsid w:val="002515D0"/>
    <w:rsid w:val="002538AC"/>
    <w:rsid w:val="00254CC1"/>
    <w:rsid w:val="00255CE9"/>
    <w:rsid w:val="00256724"/>
    <w:rsid w:val="002569E1"/>
    <w:rsid w:val="00256A3C"/>
    <w:rsid w:val="00256D1C"/>
    <w:rsid w:val="002570B0"/>
    <w:rsid w:val="00257CCF"/>
    <w:rsid w:val="00261215"/>
    <w:rsid w:val="002640DF"/>
    <w:rsid w:val="00265F7C"/>
    <w:rsid w:val="00266092"/>
    <w:rsid w:val="002669CF"/>
    <w:rsid w:val="002678ED"/>
    <w:rsid w:val="00270902"/>
    <w:rsid w:val="00270CDE"/>
    <w:rsid w:val="002712D8"/>
    <w:rsid w:val="00271D22"/>
    <w:rsid w:val="00273680"/>
    <w:rsid w:val="00273A87"/>
    <w:rsid w:val="002741FD"/>
    <w:rsid w:val="00275497"/>
    <w:rsid w:val="0027662B"/>
    <w:rsid w:val="002766A0"/>
    <w:rsid w:val="00277628"/>
    <w:rsid w:val="00277A1A"/>
    <w:rsid w:val="00280F3C"/>
    <w:rsid w:val="002811CF"/>
    <w:rsid w:val="002812FB"/>
    <w:rsid w:val="002818F3"/>
    <w:rsid w:val="002835A1"/>
    <w:rsid w:val="0028483B"/>
    <w:rsid w:val="00284F9D"/>
    <w:rsid w:val="0028547A"/>
    <w:rsid w:val="00291A7B"/>
    <w:rsid w:val="0029205A"/>
    <w:rsid w:val="002930BD"/>
    <w:rsid w:val="00293159"/>
    <w:rsid w:val="00293340"/>
    <w:rsid w:val="00295101"/>
    <w:rsid w:val="0029554B"/>
    <w:rsid w:val="002955F5"/>
    <w:rsid w:val="0029579F"/>
    <w:rsid w:val="0029625F"/>
    <w:rsid w:val="00297C51"/>
    <w:rsid w:val="002A0056"/>
    <w:rsid w:val="002A04F0"/>
    <w:rsid w:val="002A14F4"/>
    <w:rsid w:val="002A384F"/>
    <w:rsid w:val="002A435F"/>
    <w:rsid w:val="002A43BA"/>
    <w:rsid w:val="002A57E4"/>
    <w:rsid w:val="002A676A"/>
    <w:rsid w:val="002A71F4"/>
    <w:rsid w:val="002A7372"/>
    <w:rsid w:val="002A756C"/>
    <w:rsid w:val="002A779C"/>
    <w:rsid w:val="002B0FAA"/>
    <w:rsid w:val="002B1573"/>
    <w:rsid w:val="002B198F"/>
    <w:rsid w:val="002B2744"/>
    <w:rsid w:val="002B3F38"/>
    <w:rsid w:val="002B4079"/>
    <w:rsid w:val="002B651B"/>
    <w:rsid w:val="002B66D4"/>
    <w:rsid w:val="002B775D"/>
    <w:rsid w:val="002C0499"/>
    <w:rsid w:val="002C0563"/>
    <w:rsid w:val="002C180F"/>
    <w:rsid w:val="002C2492"/>
    <w:rsid w:val="002C249D"/>
    <w:rsid w:val="002C334E"/>
    <w:rsid w:val="002C33E8"/>
    <w:rsid w:val="002C5903"/>
    <w:rsid w:val="002C5D46"/>
    <w:rsid w:val="002C6403"/>
    <w:rsid w:val="002C67A8"/>
    <w:rsid w:val="002C79A9"/>
    <w:rsid w:val="002C7DD8"/>
    <w:rsid w:val="002D0805"/>
    <w:rsid w:val="002D1274"/>
    <w:rsid w:val="002D1635"/>
    <w:rsid w:val="002D18BD"/>
    <w:rsid w:val="002D1D28"/>
    <w:rsid w:val="002D21A8"/>
    <w:rsid w:val="002D25B2"/>
    <w:rsid w:val="002D4337"/>
    <w:rsid w:val="002D48E0"/>
    <w:rsid w:val="002D4CEF"/>
    <w:rsid w:val="002D6888"/>
    <w:rsid w:val="002D6CB4"/>
    <w:rsid w:val="002D701C"/>
    <w:rsid w:val="002D78FB"/>
    <w:rsid w:val="002E06F6"/>
    <w:rsid w:val="002E0CB9"/>
    <w:rsid w:val="002E2057"/>
    <w:rsid w:val="002E24AE"/>
    <w:rsid w:val="002E2A9E"/>
    <w:rsid w:val="002E4681"/>
    <w:rsid w:val="002E57EE"/>
    <w:rsid w:val="002E5DFF"/>
    <w:rsid w:val="002F0422"/>
    <w:rsid w:val="002F0B0D"/>
    <w:rsid w:val="002F1CBF"/>
    <w:rsid w:val="002F269E"/>
    <w:rsid w:val="002F3176"/>
    <w:rsid w:val="002F38FD"/>
    <w:rsid w:val="002F3BAA"/>
    <w:rsid w:val="002F40AB"/>
    <w:rsid w:val="002F5B1D"/>
    <w:rsid w:val="002F6358"/>
    <w:rsid w:val="002F6507"/>
    <w:rsid w:val="002F7273"/>
    <w:rsid w:val="00300B6C"/>
    <w:rsid w:val="003011EE"/>
    <w:rsid w:val="003034E6"/>
    <w:rsid w:val="00303B3C"/>
    <w:rsid w:val="003047A0"/>
    <w:rsid w:val="0030631D"/>
    <w:rsid w:val="00306870"/>
    <w:rsid w:val="00306AA5"/>
    <w:rsid w:val="00307746"/>
    <w:rsid w:val="003108EF"/>
    <w:rsid w:val="00311E38"/>
    <w:rsid w:val="00312462"/>
    <w:rsid w:val="00312B53"/>
    <w:rsid w:val="00312D79"/>
    <w:rsid w:val="00313614"/>
    <w:rsid w:val="0031417C"/>
    <w:rsid w:val="00314B98"/>
    <w:rsid w:val="003155AC"/>
    <w:rsid w:val="00315F9A"/>
    <w:rsid w:val="003169D4"/>
    <w:rsid w:val="00316DF8"/>
    <w:rsid w:val="00317784"/>
    <w:rsid w:val="00320114"/>
    <w:rsid w:val="00321DF8"/>
    <w:rsid w:val="00322A7D"/>
    <w:rsid w:val="00322A9F"/>
    <w:rsid w:val="00324120"/>
    <w:rsid w:val="00324644"/>
    <w:rsid w:val="003271CA"/>
    <w:rsid w:val="00330E89"/>
    <w:rsid w:val="003327B3"/>
    <w:rsid w:val="0033337C"/>
    <w:rsid w:val="00333CF8"/>
    <w:rsid w:val="00336BB1"/>
    <w:rsid w:val="0033765A"/>
    <w:rsid w:val="003376AD"/>
    <w:rsid w:val="00340194"/>
    <w:rsid w:val="00340F43"/>
    <w:rsid w:val="003428A5"/>
    <w:rsid w:val="003436A2"/>
    <w:rsid w:val="00344150"/>
    <w:rsid w:val="003453F4"/>
    <w:rsid w:val="0034646A"/>
    <w:rsid w:val="00347865"/>
    <w:rsid w:val="003515A4"/>
    <w:rsid w:val="00352186"/>
    <w:rsid w:val="0035250C"/>
    <w:rsid w:val="00352ACC"/>
    <w:rsid w:val="003530FB"/>
    <w:rsid w:val="003547C7"/>
    <w:rsid w:val="0035509C"/>
    <w:rsid w:val="0035552F"/>
    <w:rsid w:val="00356195"/>
    <w:rsid w:val="0035718C"/>
    <w:rsid w:val="00357B6C"/>
    <w:rsid w:val="00360D53"/>
    <w:rsid w:val="0036112F"/>
    <w:rsid w:val="00362654"/>
    <w:rsid w:val="00362A15"/>
    <w:rsid w:val="00362B96"/>
    <w:rsid w:val="003638DD"/>
    <w:rsid w:val="00363D95"/>
    <w:rsid w:val="00364584"/>
    <w:rsid w:val="003646EF"/>
    <w:rsid w:val="003649A9"/>
    <w:rsid w:val="00365505"/>
    <w:rsid w:val="00365AC6"/>
    <w:rsid w:val="00365FF6"/>
    <w:rsid w:val="003676E5"/>
    <w:rsid w:val="00370214"/>
    <w:rsid w:val="00370423"/>
    <w:rsid w:val="00370EFD"/>
    <w:rsid w:val="00371272"/>
    <w:rsid w:val="0037198B"/>
    <w:rsid w:val="003719B8"/>
    <w:rsid w:val="00372087"/>
    <w:rsid w:val="00372214"/>
    <w:rsid w:val="00372FBE"/>
    <w:rsid w:val="003732FE"/>
    <w:rsid w:val="00373C51"/>
    <w:rsid w:val="00374315"/>
    <w:rsid w:val="00375D68"/>
    <w:rsid w:val="0037652E"/>
    <w:rsid w:val="00380563"/>
    <w:rsid w:val="00380EA1"/>
    <w:rsid w:val="003817BF"/>
    <w:rsid w:val="003821C4"/>
    <w:rsid w:val="0038222D"/>
    <w:rsid w:val="003838E1"/>
    <w:rsid w:val="00384958"/>
    <w:rsid w:val="00384A59"/>
    <w:rsid w:val="003851D3"/>
    <w:rsid w:val="003858FE"/>
    <w:rsid w:val="00385DA1"/>
    <w:rsid w:val="0039052A"/>
    <w:rsid w:val="0039123B"/>
    <w:rsid w:val="00392B58"/>
    <w:rsid w:val="003934D6"/>
    <w:rsid w:val="00393781"/>
    <w:rsid w:val="00394595"/>
    <w:rsid w:val="003948A2"/>
    <w:rsid w:val="00394E51"/>
    <w:rsid w:val="0039614F"/>
    <w:rsid w:val="003961A9"/>
    <w:rsid w:val="0039667D"/>
    <w:rsid w:val="0039668D"/>
    <w:rsid w:val="00396DB3"/>
    <w:rsid w:val="0039749A"/>
    <w:rsid w:val="003A009B"/>
    <w:rsid w:val="003A17EB"/>
    <w:rsid w:val="003A1F30"/>
    <w:rsid w:val="003A313C"/>
    <w:rsid w:val="003A3443"/>
    <w:rsid w:val="003A34E7"/>
    <w:rsid w:val="003A3C5F"/>
    <w:rsid w:val="003A4223"/>
    <w:rsid w:val="003A448A"/>
    <w:rsid w:val="003A5B61"/>
    <w:rsid w:val="003A5BCE"/>
    <w:rsid w:val="003A6410"/>
    <w:rsid w:val="003B0656"/>
    <w:rsid w:val="003B09D0"/>
    <w:rsid w:val="003B2430"/>
    <w:rsid w:val="003B3B72"/>
    <w:rsid w:val="003B4F4E"/>
    <w:rsid w:val="003B574E"/>
    <w:rsid w:val="003B5990"/>
    <w:rsid w:val="003B6233"/>
    <w:rsid w:val="003C02F1"/>
    <w:rsid w:val="003C1D15"/>
    <w:rsid w:val="003C221E"/>
    <w:rsid w:val="003C2859"/>
    <w:rsid w:val="003C2B64"/>
    <w:rsid w:val="003C4AD3"/>
    <w:rsid w:val="003C4B87"/>
    <w:rsid w:val="003C5020"/>
    <w:rsid w:val="003C6471"/>
    <w:rsid w:val="003C6E41"/>
    <w:rsid w:val="003D08A0"/>
    <w:rsid w:val="003D204A"/>
    <w:rsid w:val="003D22FC"/>
    <w:rsid w:val="003D25F3"/>
    <w:rsid w:val="003D2F93"/>
    <w:rsid w:val="003D3556"/>
    <w:rsid w:val="003D5009"/>
    <w:rsid w:val="003D5582"/>
    <w:rsid w:val="003D5701"/>
    <w:rsid w:val="003D6F20"/>
    <w:rsid w:val="003D773E"/>
    <w:rsid w:val="003E010E"/>
    <w:rsid w:val="003E1120"/>
    <w:rsid w:val="003E2EB7"/>
    <w:rsid w:val="003E2FB3"/>
    <w:rsid w:val="003E3EEB"/>
    <w:rsid w:val="003E4C15"/>
    <w:rsid w:val="003E4C67"/>
    <w:rsid w:val="003E7D18"/>
    <w:rsid w:val="003F09CC"/>
    <w:rsid w:val="003F2A86"/>
    <w:rsid w:val="003F3B2E"/>
    <w:rsid w:val="003F3C32"/>
    <w:rsid w:val="003F5A07"/>
    <w:rsid w:val="003F7A03"/>
    <w:rsid w:val="0040058C"/>
    <w:rsid w:val="00401325"/>
    <w:rsid w:val="004014F8"/>
    <w:rsid w:val="004021A7"/>
    <w:rsid w:val="004025FF"/>
    <w:rsid w:val="004030F9"/>
    <w:rsid w:val="004031F7"/>
    <w:rsid w:val="00403254"/>
    <w:rsid w:val="004034A1"/>
    <w:rsid w:val="004035FC"/>
    <w:rsid w:val="00403BAE"/>
    <w:rsid w:val="00403C3A"/>
    <w:rsid w:val="004058DD"/>
    <w:rsid w:val="00405E33"/>
    <w:rsid w:val="004064CA"/>
    <w:rsid w:val="00406580"/>
    <w:rsid w:val="00411067"/>
    <w:rsid w:val="00412949"/>
    <w:rsid w:val="00413659"/>
    <w:rsid w:val="004147A7"/>
    <w:rsid w:val="0041541A"/>
    <w:rsid w:val="004155AF"/>
    <w:rsid w:val="00415CEC"/>
    <w:rsid w:val="00416587"/>
    <w:rsid w:val="00416780"/>
    <w:rsid w:val="00416D17"/>
    <w:rsid w:val="004172EC"/>
    <w:rsid w:val="004204E1"/>
    <w:rsid w:val="0042203C"/>
    <w:rsid w:val="0042229C"/>
    <w:rsid w:val="0042232C"/>
    <w:rsid w:val="00423A15"/>
    <w:rsid w:val="00424525"/>
    <w:rsid w:val="00424699"/>
    <w:rsid w:val="00424FA1"/>
    <w:rsid w:val="00425269"/>
    <w:rsid w:val="0042536F"/>
    <w:rsid w:val="0042698E"/>
    <w:rsid w:val="00426C71"/>
    <w:rsid w:val="004276E7"/>
    <w:rsid w:val="004306B4"/>
    <w:rsid w:val="004306BF"/>
    <w:rsid w:val="00430CBD"/>
    <w:rsid w:val="00430EBD"/>
    <w:rsid w:val="00430F47"/>
    <w:rsid w:val="00430FC6"/>
    <w:rsid w:val="004311D8"/>
    <w:rsid w:val="00431CD2"/>
    <w:rsid w:val="0043298B"/>
    <w:rsid w:val="004338EC"/>
    <w:rsid w:val="00434A70"/>
    <w:rsid w:val="00435BAC"/>
    <w:rsid w:val="0043660F"/>
    <w:rsid w:val="00436698"/>
    <w:rsid w:val="00436D45"/>
    <w:rsid w:val="004413CB"/>
    <w:rsid w:val="00442BA2"/>
    <w:rsid w:val="00443311"/>
    <w:rsid w:val="0044565F"/>
    <w:rsid w:val="00446E57"/>
    <w:rsid w:val="00447597"/>
    <w:rsid w:val="0044774C"/>
    <w:rsid w:val="0045045D"/>
    <w:rsid w:val="004505C1"/>
    <w:rsid w:val="0045064D"/>
    <w:rsid w:val="00452F42"/>
    <w:rsid w:val="00453B0D"/>
    <w:rsid w:val="0045668E"/>
    <w:rsid w:val="004628E1"/>
    <w:rsid w:val="00463437"/>
    <w:rsid w:val="004651C7"/>
    <w:rsid w:val="0047002D"/>
    <w:rsid w:val="00470BAA"/>
    <w:rsid w:val="00471684"/>
    <w:rsid w:val="00472B8E"/>
    <w:rsid w:val="00472E96"/>
    <w:rsid w:val="00476293"/>
    <w:rsid w:val="00477197"/>
    <w:rsid w:val="0048047A"/>
    <w:rsid w:val="00481480"/>
    <w:rsid w:val="00481C7B"/>
    <w:rsid w:val="00482AEC"/>
    <w:rsid w:val="00482FD3"/>
    <w:rsid w:val="004856EE"/>
    <w:rsid w:val="00486659"/>
    <w:rsid w:val="00486AB5"/>
    <w:rsid w:val="00486D6F"/>
    <w:rsid w:val="004873AB"/>
    <w:rsid w:val="00490477"/>
    <w:rsid w:val="0049129C"/>
    <w:rsid w:val="0049131E"/>
    <w:rsid w:val="004916CD"/>
    <w:rsid w:val="00491741"/>
    <w:rsid w:val="00491A63"/>
    <w:rsid w:val="00492FE0"/>
    <w:rsid w:val="00493735"/>
    <w:rsid w:val="00495623"/>
    <w:rsid w:val="004959AF"/>
    <w:rsid w:val="004971B6"/>
    <w:rsid w:val="00497999"/>
    <w:rsid w:val="004A0218"/>
    <w:rsid w:val="004A074D"/>
    <w:rsid w:val="004A1E3D"/>
    <w:rsid w:val="004A2373"/>
    <w:rsid w:val="004A25E1"/>
    <w:rsid w:val="004A2BAE"/>
    <w:rsid w:val="004A36EC"/>
    <w:rsid w:val="004A41B1"/>
    <w:rsid w:val="004A6A69"/>
    <w:rsid w:val="004A79F0"/>
    <w:rsid w:val="004B00B1"/>
    <w:rsid w:val="004B07BE"/>
    <w:rsid w:val="004B18EA"/>
    <w:rsid w:val="004B1EEE"/>
    <w:rsid w:val="004B3540"/>
    <w:rsid w:val="004B35BF"/>
    <w:rsid w:val="004B6110"/>
    <w:rsid w:val="004B69D7"/>
    <w:rsid w:val="004B778B"/>
    <w:rsid w:val="004B7A2F"/>
    <w:rsid w:val="004C00CE"/>
    <w:rsid w:val="004C06B5"/>
    <w:rsid w:val="004C1327"/>
    <w:rsid w:val="004C1A39"/>
    <w:rsid w:val="004C1DF9"/>
    <w:rsid w:val="004C1E1A"/>
    <w:rsid w:val="004C25B6"/>
    <w:rsid w:val="004C5ED9"/>
    <w:rsid w:val="004C6650"/>
    <w:rsid w:val="004C6A78"/>
    <w:rsid w:val="004C7309"/>
    <w:rsid w:val="004C7391"/>
    <w:rsid w:val="004C7B15"/>
    <w:rsid w:val="004D0F5A"/>
    <w:rsid w:val="004D1612"/>
    <w:rsid w:val="004D2FCD"/>
    <w:rsid w:val="004D3837"/>
    <w:rsid w:val="004D384D"/>
    <w:rsid w:val="004D4123"/>
    <w:rsid w:val="004D458D"/>
    <w:rsid w:val="004D46CB"/>
    <w:rsid w:val="004D54A5"/>
    <w:rsid w:val="004D5914"/>
    <w:rsid w:val="004D6401"/>
    <w:rsid w:val="004D72D2"/>
    <w:rsid w:val="004D735B"/>
    <w:rsid w:val="004D778E"/>
    <w:rsid w:val="004D7B27"/>
    <w:rsid w:val="004D7DFC"/>
    <w:rsid w:val="004E050A"/>
    <w:rsid w:val="004E1968"/>
    <w:rsid w:val="004E1D00"/>
    <w:rsid w:val="004E224F"/>
    <w:rsid w:val="004E22E0"/>
    <w:rsid w:val="004E2438"/>
    <w:rsid w:val="004E3383"/>
    <w:rsid w:val="004E3FE0"/>
    <w:rsid w:val="004E4891"/>
    <w:rsid w:val="004E4A2A"/>
    <w:rsid w:val="004E6C29"/>
    <w:rsid w:val="004E6F39"/>
    <w:rsid w:val="004E71B9"/>
    <w:rsid w:val="004F0058"/>
    <w:rsid w:val="004F005E"/>
    <w:rsid w:val="004F0854"/>
    <w:rsid w:val="004F1A80"/>
    <w:rsid w:val="004F2C7C"/>
    <w:rsid w:val="004F2E9A"/>
    <w:rsid w:val="004F32F0"/>
    <w:rsid w:val="004F43DE"/>
    <w:rsid w:val="004F4FDE"/>
    <w:rsid w:val="004F5338"/>
    <w:rsid w:val="004F54A8"/>
    <w:rsid w:val="004F6630"/>
    <w:rsid w:val="004F70D3"/>
    <w:rsid w:val="0050045B"/>
    <w:rsid w:val="00500461"/>
    <w:rsid w:val="00501A9C"/>
    <w:rsid w:val="00502EA3"/>
    <w:rsid w:val="00504E3B"/>
    <w:rsid w:val="0050563D"/>
    <w:rsid w:val="0050694A"/>
    <w:rsid w:val="00506F10"/>
    <w:rsid w:val="0050746A"/>
    <w:rsid w:val="00510653"/>
    <w:rsid w:val="00511A84"/>
    <w:rsid w:val="005124EC"/>
    <w:rsid w:val="005141ED"/>
    <w:rsid w:val="0051590E"/>
    <w:rsid w:val="00515B99"/>
    <w:rsid w:val="00515FFE"/>
    <w:rsid w:val="0051601C"/>
    <w:rsid w:val="005167C6"/>
    <w:rsid w:val="00517048"/>
    <w:rsid w:val="005229C8"/>
    <w:rsid w:val="00523D3E"/>
    <w:rsid w:val="00523DDE"/>
    <w:rsid w:val="00524678"/>
    <w:rsid w:val="005246DD"/>
    <w:rsid w:val="005249EE"/>
    <w:rsid w:val="005258E1"/>
    <w:rsid w:val="00525D5A"/>
    <w:rsid w:val="005322EC"/>
    <w:rsid w:val="005335A2"/>
    <w:rsid w:val="00533CE9"/>
    <w:rsid w:val="00533F1F"/>
    <w:rsid w:val="0053404A"/>
    <w:rsid w:val="005348BC"/>
    <w:rsid w:val="005354FF"/>
    <w:rsid w:val="00535D03"/>
    <w:rsid w:val="00536DFA"/>
    <w:rsid w:val="005376FC"/>
    <w:rsid w:val="00537907"/>
    <w:rsid w:val="005403F3"/>
    <w:rsid w:val="005409A9"/>
    <w:rsid w:val="00540BD7"/>
    <w:rsid w:val="0054372A"/>
    <w:rsid w:val="00543EE8"/>
    <w:rsid w:val="00543FBE"/>
    <w:rsid w:val="00544321"/>
    <w:rsid w:val="00544937"/>
    <w:rsid w:val="00544956"/>
    <w:rsid w:val="005452C7"/>
    <w:rsid w:val="00546017"/>
    <w:rsid w:val="00550A98"/>
    <w:rsid w:val="00550CE9"/>
    <w:rsid w:val="005511E1"/>
    <w:rsid w:val="00551AB0"/>
    <w:rsid w:val="00551B93"/>
    <w:rsid w:val="00551BA1"/>
    <w:rsid w:val="00551BCA"/>
    <w:rsid w:val="00552A78"/>
    <w:rsid w:val="0055302A"/>
    <w:rsid w:val="00554D51"/>
    <w:rsid w:val="00556503"/>
    <w:rsid w:val="005569F0"/>
    <w:rsid w:val="00556C24"/>
    <w:rsid w:val="00556CD4"/>
    <w:rsid w:val="005570EF"/>
    <w:rsid w:val="00557FCB"/>
    <w:rsid w:val="005610D0"/>
    <w:rsid w:val="00562ECD"/>
    <w:rsid w:val="00562EF3"/>
    <w:rsid w:val="005632D5"/>
    <w:rsid w:val="00563588"/>
    <w:rsid w:val="00564702"/>
    <w:rsid w:val="00567030"/>
    <w:rsid w:val="005674AF"/>
    <w:rsid w:val="005676F3"/>
    <w:rsid w:val="00567F99"/>
    <w:rsid w:val="00570135"/>
    <w:rsid w:val="005704D1"/>
    <w:rsid w:val="00570CA8"/>
    <w:rsid w:val="0057106F"/>
    <w:rsid w:val="00571985"/>
    <w:rsid w:val="00572633"/>
    <w:rsid w:val="0057306B"/>
    <w:rsid w:val="00573098"/>
    <w:rsid w:val="00573A1B"/>
    <w:rsid w:val="005748D7"/>
    <w:rsid w:val="00575460"/>
    <w:rsid w:val="00576A27"/>
    <w:rsid w:val="00576CA0"/>
    <w:rsid w:val="00577BBE"/>
    <w:rsid w:val="00577C55"/>
    <w:rsid w:val="00577D7D"/>
    <w:rsid w:val="00577EFA"/>
    <w:rsid w:val="005804B0"/>
    <w:rsid w:val="0058073B"/>
    <w:rsid w:val="00581926"/>
    <w:rsid w:val="00582665"/>
    <w:rsid w:val="00582965"/>
    <w:rsid w:val="00582C91"/>
    <w:rsid w:val="00583F53"/>
    <w:rsid w:val="00584A53"/>
    <w:rsid w:val="005856AA"/>
    <w:rsid w:val="00585FC5"/>
    <w:rsid w:val="00587809"/>
    <w:rsid w:val="00587C1B"/>
    <w:rsid w:val="00587FF2"/>
    <w:rsid w:val="00590499"/>
    <w:rsid w:val="00590EB2"/>
    <w:rsid w:val="005913C9"/>
    <w:rsid w:val="00591BD1"/>
    <w:rsid w:val="00592A8D"/>
    <w:rsid w:val="005940F4"/>
    <w:rsid w:val="00594EE2"/>
    <w:rsid w:val="005956B8"/>
    <w:rsid w:val="0059593E"/>
    <w:rsid w:val="00596E4A"/>
    <w:rsid w:val="00597B47"/>
    <w:rsid w:val="005A36CD"/>
    <w:rsid w:val="005A42F1"/>
    <w:rsid w:val="005A53DC"/>
    <w:rsid w:val="005A5509"/>
    <w:rsid w:val="005A57CC"/>
    <w:rsid w:val="005A58B9"/>
    <w:rsid w:val="005A65F9"/>
    <w:rsid w:val="005A68D5"/>
    <w:rsid w:val="005A6DDF"/>
    <w:rsid w:val="005B0AE4"/>
    <w:rsid w:val="005B0CA9"/>
    <w:rsid w:val="005B17A7"/>
    <w:rsid w:val="005B1CE6"/>
    <w:rsid w:val="005B1DE2"/>
    <w:rsid w:val="005B43F9"/>
    <w:rsid w:val="005B45F4"/>
    <w:rsid w:val="005B4870"/>
    <w:rsid w:val="005B4ECC"/>
    <w:rsid w:val="005B5BC2"/>
    <w:rsid w:val="005B6B9A"/>
    <w:rsid w:val="005B722C"/>
    <w:rsid w:val="005B769E"/>
    <w:rsid w:val="005B7A60"/>
    <w:rsid w:val="005C0816"/>
    <w:rsid w:val="005C18BF"/>
    <w:rsid w:val="005C1CDE"/>
    <w:rsid w:val="005C27F5"/>
    <w:rsid w:val="005C2EF1"/>
    <w:rsid w:val="005C37D8"/>
    <w:rsid w:val="005C3ADD"/>
    <w:rsid w:val="005C59F6"/>
    <w:rsid w:val="005C5A41"/>
    <w:rsid w:val="005C5AF0"/>
    <w:rsid w:val="005C69CF"/>
    <w:rsid w:val="005C7420"/>
    <w:rsid w:val="005D0D82"/>
    <w:rsid w:val="005D207D"/>
    <w:rsid w:val="005D27AB"/>
    <w:rsid w:val="005D2BF6"/>
    <w:rsid w:val="005D327E"/>
    <w:rsid w:val="005D3D80"/>
    <w:rsid w:val="005D3F9C"/>
    <w:rsid w:val="005D4B8D"/>
    <w:rsid w:val="005D55BE"/>
    <w:rsid w:val="005D5663"/>
    <w:rsid w:val="005D662F"/>
    <w:rsid w:val="005D6724"/>
    <w:rsid w:val="005D7203"/>
    <w:rsid w:val="005D7AF7"/>
    <w:rsid w:val="005D7E81"/>
    <w:rsid w:val="005E1D66"/>
    <w:rsid w:val="005E447E"/>
    <w:rsid w:val="005E5A71"/>
    <w:rsid w:val="005E629B"/>
    <w:rsid w:val="005E6AED"/>
    <w:rsid w:val="005E6F59"/>
    <w:rsid w:val="005E7D5C"/>
    <w:rsid w:val="005F38BB"/>
    <w:rsid w:val="005F3A9D"/>
    <w:rsid w:val="005F44A6"/>
    <w:rsid w:val="005F500C"/>
    <w:rsid w:val="005F5787"/>
    <w:rsid w:val="005F578E"/>
    <w:rsid w:val="005F6AC6"/>
    <w:rsid w:val="005F7561"/>
    <w:rsid w:val="005F7A53"/>
    <w:rsid w:val="006008B4"/>
    <w:rsid w:val="006012E2"/>
    <w:rsid w:val="00601C74"/>
    <w:rsid w:val="00602106"/>
    <w:rsid w:val="0060553B"/>
    <w:rsid w:val="00605FEE"/>
    <w:rsid w:val="006100EA"/>
    <w:rsid w:val="006124CC"/>
    <w:rsid w:val="006135CD"/>
    <w:rsid w:val="00613CB6"/>
    <w:rsid w:val="00615C29"/>
    <w:rsid w:val="00615C38"/>
    <w:rsid w:val="00617385"/>
    <w:rsid w:val="0061771E"/>
    <w:rsid w:val="00617FA2"/>
    <w:rsid w:val="006201FF"/>
    <w:rsid w:val="00620FD9"/>
    <w:rsid w:val="00621375"/>
    <w:rsid w:val="00621C2B"/>
    <w:rsid w:val="00622A3F"/>
    <w:rsid w:val="00622E0D"/>
    <w:rsid w:val="0062452D"/>
    <w:rsid w:val="00624742"/>
    <w:rsid w:val="00624B68"/>
    <w:rsid w:val="0062514C"/>
    <w:rsid w:val="00625E0A"/>
    <w:rsid w:val="006262E9"/>
    <w:rsid w:val="0062653B"/>
    <w:rsid w:val="006270A4"/>
    <w:rsid w:val="006300F0"/>
    <w:rsid w:val="00631517"/>
    <w:rsid w:val="00631525"/>
    <w:rsid w:val="00631651"/>
    <w:rsid w:val="00632559"/>
    <w:rsid w:val="00632F57"/>
    <w:rsid w:val="00633134"/>
    <w:rsid w:val="0063375F"/>
    <w:rsid w:val="006352DF"/>
    <w:rsid w:val="006365D1"/>
    <w:rsid w:val="00642AAC"/>
    <w:rsid w:val="006448C8"/>
    <w:rsid w:val="00646241"/>
    <w:rsid w:val="00646835"/>
    <w:rsid w:val="00646963"/>
    <w:rsid w:val="00646A93"/>
    <w:rsid w:val="00646E05"/>
    <w:rsid w:val="00647428"/>
    <w:rsid w:val="00650B53"/>
    <w:rsid w:val="00651211"/>
    <w:rsid w:val="00651981"/>
    <w:rsid w:val="00651D96"/>
    <w:rsid w:val="006523AC"/>
    <w:rsid w:val="006525AA"/>
    <w:rsid w:val="00652EF4"/>
    <w:rsid w:val="00653D46"/>
    <w:rsid w:val="006569D0"/>
    <w:rsid w:val="00656B10"/>
    <w:rsid w:val="00660F0C"/>
    <w:rsid w:val="00661279"/>
    <w:rsid w:val="006626EC"/>
    <w:rsid w:val="006628E0"/>
    <w:rsid w:val="00663053"/>
    <w:rsid w:val="0066392E"/>
    <w:rsid w:val="00664301"/>
    <w:rsid w:val="00664D52"/>
    <w:rsid w:val="00665019"/>
    <w:rsid w:val="006653AB"/>
    <w:rsid w:val="00665A27"/>
    <w:rsid w:val="006660AE"/>
    <w:rsid w:val="006668A4"/>
    <w:rsid w:val="00666DB5"/>
    <w:rsid w:val="00672FE7"/>
    <w:rsid w:val="00673751"/>
    <w:rsid w:val="006739D2"/>
    <w:rsid w:val="00673AD7"/>
    <w:rsid w:val="006761DF"/>
    <w:rsid w:val="0067720C"/>
    <w:rsid w:val="00680197"/>
    <w:rsid w:val="0068197A"/>
    <w:rsid w:val="00681AD2"/>
    <w:rsid w:val="0068233D"/>
    <w:rsid w:val="0068473F"/>
    <w:rsid w:val="00684BCD"/>
    <w:rsid w:val="006856D7"/>
    <w:rsid w:val="00685C2D"/>
    <w:rsid w:val="006862DD"/>
    <w:rsid w:val="006871DE"/>
    <w:rsid w:val="006873AE"/>
    <w:rsid w:val="00690048"/>
    <w:rsid w:val="00690212"/>
    <w:rsid w:val="0069091B"/>
    <w:rsid w:val="00691B3B"/>
    <w:rsid w:val="00692540"/>
    <w:rsid w:val="006925F9"/>
    <w:rsid w:val="006935DC"/>
    <w:rsid w:val="0069429B"/>
    <w:rsid w:val="00694686"/>
    <w:rsid w:val="0069469D"/>
    <w:rsid w:val="006966C0"/>
    <w:rsid w:val="006970F2"/>
    <w:rsid w:val="00697B11"/>
    <w:rsid w:val="006A0032"/>
    <w:rsid w:val="006A07AF"/>
    <w:rsid w:val="006A187C"/>
    <w:rsid w:val="006A1D0A"/>
    <w:rsid w:val="006A2AA7"/>
    <w:rsid w:val="006A2E93"/>
    <w:rsid w:val="006A3F75"/>
    <w:rsid w:val="006A4220"/>
    <w:rsid w:val="006A44C0"/>
    <w:rsid w:val="006A4EDB"/>
    <w:rsid w:val="006A6787"/>
    <w:rsid w:val="006A7661"/>
    <w:rsid w:val="006B00BC"/>
    <w:rsid w:val="006B044B"/>
    <w:rsid w:val="006B07C5"/>
    <w:rsid w:val="006B0EEC"/>
    <w:rsid w:val="006B0F4C"/>
    <w:rsid w:val="006B2C20"/>
    <w:rsid w:val="006B32E4"/>
    <w:rsid w:val="006B39B1"/>
    <w:rsid w:val="006B4164"/>
    <w:rsid w:val="006B486D"/>
    <w:rsid w:val="006B4A7B"/>
    <w:rsid w:val="006B5524"/>
    <w:rsid w:val="006B588D"/>
    <w:rsid w:val="006B5F7B"/>
    <w:rsid w:val="006B7376"/>
    <w:rsid w:val="006B749A"/>
    <w:rsid w:val="006C1B8A"/>
    <w:rsid w:val="006C1E38"/>
    <w:rsid w:val="006C45FD"/>
    <w:rsid w:val="006C5515"/>
    <w:rsid w:val="006C5E99"/>
    <w:rsid w:val="006C6DFE"/>
    <w:rsid w:val="006C7264"/>
    <w:rsid w:val="006C7542"/>
    <w:rsid w:val="006D06C5"/>
    <w:rsid w:val="006D1176"/>
    <w:rsid w:val="006D16D4"/>
    <w:rsid w:val="006D19A3"/>
    <w:rsid w:val="006D2146"/>
    <w:rsid w:val="006D3381"/>
    <w:rsid w:val="006D34D6"/>
    <w:rsid w:val="006D38F8"/>
    <w:rsid w:val="006D3C64"/>
    <w:rsid w:val="006D5E84"/>
    <w:rsid w:val="006D5FE1"/>
    <w:rsid w:val="006D6063"/>
    <w:rsid w:val="006D7085"/>
    <w:rsid w:val="006D784F"/>
    <w:rsid w:val="006D7CB6"/>
    <w:rsid w:val="006E0743"/>
    <w:rsid w:val="006E0815"/>
    <w:rsid w:val="006E2387"/>
    <w:rsid w:val="006E2673"/>
    <w:rsid w:val="006E2DF5"/>
    <w:rsid w:val="006E3A4F"/>
    <w:rsid w:val="006E3A77"/>
    <w:rsid w:val="006E3E43"/>
    <w:rsid w:val="006E4A36"/>
    <w:rsid w:val="006E6CFE"/>
    <w:rsid w:val="006F0135"/>
    <w:rsid w:val="006F0C29"/>
    <w:rsid w:val="006F0D45"/>
    <w:rsid w:val="006F15B9"/>
    <w:rsid w:val="006F1740"/>
    <w:rsid w:val="006F1ACD"/>
    <w:rsid w:val="006F4BE8"/>
    <w:rsid w:val="006F5779"/>
    <w:rsid w:val="006F5C3A"/>
    <w:rsid w:val="006F614B"/>
    <w:rsid w:val="006F62B8"/>
    <w:rsid w:val="006F6333"/>
    <w:rsid w:val="006F66A3"/>
    <w:rsid w:val="006F78CE"/>
    <w:rsid w:val="006F7AFF"/>
    <w:rsid w:val="006F7D72"/>
    <w:rsid w:val="006F7E98"/>
    <w:rsid w:val="006F7F98"/>
    <w:rsid w:val="0070071C"/>
    <w:rsid w:val="00700DC6"/>
    <w:rsid w:val="0070124A"/>
    <w:rsid w:val="00701769"/>
    <w:rsid w:val="00701BE8"/>
    <w:rsid w:val="00702BDA"/>
    <w:rsid w:val="0070318E"/>
    <w:rsid w:val="00703450"/>
    <w:rsid w:val="007038B4"/>
    <w:rsid w:val="00703A24"/>
    <w:rsid w:val="00704213"/>
    <w:rsid w:val="007049CD"/>
    <w:rsid w:val="00704BF2"/>
    <w:rsid w:val="00705106"/>
    <w:rsid w:val="0070579F"/>
    <w:rsid w:val="00706228"/>
    <w:rsid w:val="0070634B"/>
    <w:rsid w:val="00706D3E"/>
    <w:rsid w:val="00710C8A"/>
    <w:rsid w:val="00710CFC"/>
    <w:rsid w:val="0071113A"/>
    <w:rsid w:val="0071219B"/>
    <w:rsid w:val="00712A9A"/>
    <w:rsid w:val="0071388D"/>
    <w:rsid w:val="00713A02"/>
    <w:rsid w:val="00713DDE"/>
    <w:rsid w:val="0071485A"/>
    <w:rsid w:val="00714C71"/>
    <w:rsid w:val="007153CB"/>
    <w:rsid w:val="00715651"/>
    <w:rsid w:val="007159BF"/>
    <w:rsid w:val="00715EFC"/>
    <w:rsid w:val="00716010"/>
    <w:rsid w:val="00716202"/>
    <w:rsid w:val="007174AA"/>
    <w:rsid w:val="007210F0"/>
    <w:rsid w:val="00721D3C"/>
    <w:rsid w:val="0072286E"/>
    <w:rsid w:val="00722B19"/>
    <w:rsid w:val="00723A14"/>
    <w:rsid w:val="00723DD6"/>
    <w:rsid w:val="0072412B"/>
    <w:rsid w:val="00725D08"/>
    <w:rsid w:val="00725DCD"/>
    <w:rsid w:val="00725F65"/>
    <w:rsid w:val="007267F0"/>
    <w:rsid w:val="00726FEB"/>
    <w:rsid w:val="0072708F"/>
    <w:rsid w:val="00727F47"/>
    <w:rsid w:val="00730E49"/>
    <w:rsid w:val="0073556E"/>
    <w:rsid w:val="0073591C"/>
    <w:rsid w:val="00736050"/>
    <w:rsid w:val="0073613C"/>
    <w:rsid w:val="00736F73"/>
    <w:rsid w:val="00737722"/>
    <w:rsid w:val="00737C4B"/>
    <w:rsid w:val="00737F31"/>
    <w:rsid w:val="00741687"/>
    <w:rsid w:val="00741AAF"/>
    <w:rsid w:val="007426FA"/>
    <w:rsid w:val="00742C09"/>
    <w:rsid w:val="00743B14"/>
    <w:rsid w:val="00746165"/>
    <w:rsid w:val="007464B5"/>
    <w:rsid w:val="00747B23"/>
    <w:rsid w:val="00747C8D"/>
    <w:rsid w:val="00751515"/>
    <w:rsid w:val="00751DA9"/>
    <w:rsid w:val="00751F50"/>
    <w:rsid w:val="007521E8"/>
    <w:rsid w:val="00752445"/>
    <w:rsid w:val="007530C8"/>
    <w:rsid w:val="007532E3"/>
    <w:rsid w:val="0075380A"/>
    <w:rsid w:val="00754324"/>
    <w:rsid w:val="007561E0"/>
    <w:rsid w:val="00756787"/>
    <w:rsid w:val="007577B6"/>
    <w:rsid w:val="007603E8"/>
    <w:rsid w:val="00761F94"/>
    <w:rsid w:val="007626DF"/>
    <w:rsid w:val="007637AE"/>
    <w:rsid w:val="00763E7C"/>
    <w:rsid w:val="00764A4B"/>
    <w:rsid w:val="0076515F"/>
    <w:rsid w:val="00765361"/>
    <w:rsid w:val="0076649B"/>
    <w:rsid w:val="0076675A"/>
    <w:rsid w:val="007668BA"/>
    <w:rsid w:val="00767580"/>
    <w:rsid w:val="00770188"/>
    <w:rsid w:val="00770826"/>
    <w:rsid w:val="00770A10"/>
    <w:rsid w:val="007715C9"/>
    <w:rsid w:val="007724FA"/>
    <w:rsid w:val="0077370B"/>
    <w:rsid w:val="00773C8D"/>
    <w:rsid w:val="00774230"/>
    <w:rsid w:val="00775279"/>
    <w:rsid w:val="007770D8"/>
    <w:rsid w:val="007808A4"/>
    <w:rsid w:val="00783361"/>
    <w:rsid w:val="00783A0A"/>
    <w:rsid w:val="00786093"/>
    <w:rsid w:val="007866DB"/>
    <w:rsid w:val="00787683"/>
    <w:rsid w:val="00787FAC"/>
    <w:rsid w:val="00791540"/>
    <w:rsid w:val="0079229A"/>
    <w:rsid w:val="007929D3"/>
    <w:rsid w:val="00793F4F"/>
    <w:rsid w:val="0079581E"/>
    <w:rsid w:val="00796151"/>
    <w:rsid w:val="007A18D6"/>
    <w:rsid w:val="007A1BAF"/>
    <w:rsid w:val="007A224E"/>
    <w:rsid w:val="007A429D"/>
    <w:rsid w:val="007A454F"/>
    <w:rsid w:val="007A6909"/>
    <w:rsid w:val="007A7E9F"/>
    <w:rsid w:val="007B0ED5"/>
    <w:rsid w:val="007B12CE"/>
    <w:rsid w:val="007B1F9E"/>
    <w:rsid w:val="007B2881"/>
    <w:rsid w:val="007B3239"/>
    <w:rsid w:val="007B3CDB"/>
    <w:rsid w:val="007B4BE9"/>
    <w:rsid w:val="007B5494"/>
    <w:rsid w:val="007B5A13"/>
    <w:rsid w:val="007B5E65"/>
    <w:rsid w:val="007B7EBA"/>
    <w:rsid w:val="007B7F3D"/>
    <w:rsid w:val="007C0CB8"/>
    <w:rsid w:val="007C1E2B"/>
    <w:rsid w:val="007C1E6A"/>
    <w:rsid w:val="007C3132"/>
    <w:rsid w:val="007C362D"/>
    <w:rsid w:val="007C43B8"/>
    <w:rsid w:val="007C5898"/>
    <w:rsid w:val="007C67AD"/>
    <w:rsid w:val="007C6A1A"/>
    <w:rsid w:val="007C6B61"/>
    <w:rsid w:val="007C7FBC"/>
    <w:rsid w:val="007D17D3"/>
    <w:rsid w:val="007D1A50"/>
    <w:rsid w:val="007D1F66"/>
    <w:rsid w:val="007D31CC"/>
    <w:rsid w:val="007D3384"/>
    <w:rsid w:val="007D3DBD"/>
    <w:rsid w:val="007D5518"/>
    <w:rsid w:val="007D6BC6"/>
    <w:rsid w:val="007E0978"/>
    <w:rsid w:val="007E0CE7"/>
    <w:rsid w:val="007E0E75"/>
    <w:rsid w:val="007E282F"/>
    <w:rsid w:val="007E4325"/>
    <w:rsid w:val="007E4B2D"/>
    <w:rsid w:val="007E5790"/>
    <w:rsid w:val="007E79B5"/>
    <w:rsid w:val="007F0B24"/>
    <w:rsid w:val="007F0FDF"/>
    <w:rsid w:val="007F21F1"/>
    <w:rsid w:val="007F299C"/>
    <w:rsid w:val="007F29E5"/>
    <w:rsid w:val="007F2DBD"/>
    <w:rsid w:val="007F4058"/>
    <w:rsid w:val="007F446A"/>
    <w:rsid w:val="007F5CC7"/>
    <w:rsid w:val="007F5E10"/>
    <w:rsid w:val="007F6ADC"/>
    <w:rsid w:val="007F6C49"/>
    <w:rsid w:val="007F6C6E"/>
    <w:rsid w:val="007F782D"/>
    <w:rsid w:val="007F7C8B"/>
    <w:rsid w:val="00800B8E"/>
    <w:rsid w:val="00801157"/>
    <w:rsid w:val="008024C8"/>
    <w:rsid w:val="008026B5"/>
    <w:rsid w:val="00802EFE"/>
    <w:rsid w:val="00803711"/>
    <w:rsid w:val="0080393B"/>
    <w:rsid w:val="00803C54"/>
    <w:rsid w:val="00803EDE"/>
    <w:rsid w:val="0080540F"/>
    <w:rsid w:val="008054FB"/>
    <w:rsid w:val="00805B60"/>
    <w:rsid w:val="00807721"/>
    <w:rsid w:val="008103C4"/>
    <w:rsid w:val="00811ADE"/>
    <w:rsid w:val="00812B06"/>
    <w:rsid w:val="00813FA3"/>
    <w:rsid w:val="00815BB8"/>
    <w:rsid w:val="008171A9"/>
    <w:rsid w:val="008174E9"/>
    <w:rsid w:val="00820320"/>
    <w:rsid w:val="0082063A"/>
    <w:rsid w:val="00821907"/>
    <w:rsid w:val="00822BB1"/>
    <w:rsid w:val="00826EC1"/>
    <w:rsid w:val="00826EF0"/>
    <w:rsid w:val="00827296"/>
    <w:rsid w:val="00827DB6"/>
    <w:rsid w:val="00830317"/>
    <w:rsid w:val="00831792"/>
    <w:rsid w:val="00831830"/>
    <w:rsid w:val="00831D46"/>
    <w:rsid w:val="00831E88"/>
    <w:rsid w:val="008327AD"/>
    <w:rsid w:val="008330B7"/>
    <w:rsid w:val="008337BA"/>
    <w:rsid w:val="00833C68"/>
    <w:rsid w:val="008343E7"/>
    <w:rsid w:val="00834A61"/>
    <w:rsid w:val="00835B5F"/>
    <w:rsid w:val="00837498"/>
    <w:rsid w:val="00840018"/>
    <w:rsid w:val="00840708"/>
    <w:rsid w:val="00841619"/>
    <w:rsid w:val="00842AB9"/>
    <w:rsid w:val="00843711"/>
    <w:rsid w:val="00843880"/>
    <w:rsid w:val="00843A8A"/>
    <w:rsid w:val="00844EC5"/>
    <w:rsid w:val="008450DB"/>
    <w:rsid w:val="00846CC9"/>
    <w:rsid w:val="00847060"/>
    <w:rsid w:val="00847198"/>
    <w:rsid w:val="008474D8"/>
    <w:rsid w:val="00851094"/>
    <w:rsid w:val="00851CD5"/>
    <w:rsid w:val="00851CE8"/>
    <w:rsid w:val="00852095"/>
    <w:rsid w:val="0085216B"/>
    <w:rsid w:val="00852993"/>
    <w:rsid w:val="00852FFD"/>
    <w:rsid w:val="00853DC2"/>
    <w:rsid w:val="008544D1"/>
    <w:rsid w:val="0085451D"/>
    <w:rsid w:val="00854FE0"/>
    <w:rsid w:val="008553BA"/>
    <w:rsid w:val="00855412"/>
    <w:rsid w:val="008557A0"/>
    <w:rsid w:val="00855A5C"/>
    <w:rsid w:val="008607E8"/>
    <w:rsid w:val="00863529"/>
    <w:rsid w:val="008659F2"/>
    <w:rsid w:val="00865D04"/>
    <w:rsid w:val="00866664"/>
    <w:rsid w:val="008677DD"/>
    <w:rsid w:val="00867883"/>
    <w:rsid w:val="00867C46"/>
    <w:rsid w:val="008700C1"/>
    <w:rsid w:val="008712A5"/>
    <w:rsid w:val="0087175C"/>
    <w:rsid w:val="008727C6"/>
    <w:rsid w:val="00874CBF"/>
    <w:rsid w:val="00876788"/>
    <w:rsid w:val="00876CA0"/>
    <w:rsid w:val="00876CB7"/>
    <w:rsid w:val="00877867"/>
    <w:rsid w:val="00877A1D"/>
    <w:rsid w:val="00877FA2"/>
    <w:rsid w:val="00880A8E"/>
    <w:rsid w:val="00880E89"/>
    <w:rsid w:val="00881217"/>
    <w:rsid w:val="0088149D"/>
    <w:rsid w:val="00881681"/>
    <w:rsid w:val="00881811"/>
    <w:rsid w:val="0088195A"/>
    <w:rsid w:val="0088235A"/>
    <w:rsid w:val="008823BC"/>
    <w:rsid w:val="00882546"/>
    <w:rsid w:val="00882841"/>
    <w:rsid w:val="0088333C"/>
    <w:rsid w:val="00883F9C"/>
    <w:rsid w:val="00885069"/>
    <w:rsid w:val="008851D5"/>
    <w:rsid w:val="00885BD4"/>
    <w:rsid w:val="00885FF4"/>
    <w:rsid w:val="00886C60"/>
    <w:rsid w:val="00890711"/>
    <w:rsid w:val="00891A32"/>
    <w:rsid w:val="008924F6"/>
    <w:rsid w:val="00892E95"/>
    <w:rsid w:val="0089362A"/>
    <w:rsid w:val="00894DE5"/>
    <w:rsid w:val="00895514"/>
    <w:rsid w:val="00895579"/>
    <w:rsid w:val="00895946"/>
    <w:rsid w:val="00896148"/>
    <w:rsid w:val="0089707D"/>
    <w:rsid w:val="008972B9"/>
    <w:rsid w:val="008A19C2"/>
    <w:rsid w:val="008A2D3D"/>
    <w:rsid w:val="008A3B55"/>
    <w:rsid w:val="008A3CCD"/>
    <w:rsid w:val="008A3DE4"/>
    <w:rsid w:val="008A5672"/>
    <w:rsid w:val="008A6840"/>
    <w:rsid w:val="008A6E5B"/>
    <w:rsid w:val="008A6EC5"/>
    <w:rsid w:val="008B0522"/>
    <w:rsid w:val="008B21A1"/>
    <w:rsid w:val="008B21E9"/>
    <w:rsid w:val="008B3931"/>
    <w:rsid w:val="008B3B33"/>
    <w:rsid w:val="008B4967"/>
    <w:rsid w:val="008B4C9C"/>
    <w:rsid w:val="008B6923"/>
    <w:rsid w:val="008B7D44"/>
    <w:rsid w:val="008C1377"/>
    <w:rsid w:val="008C1B55"/>
    <w:rsid w:val="008C2779"/>
    <w:rsid w:val="008C2C02"/>
    <w:rsid w:val="008C2E58"/>
    <w:rsid w:val="008C3AEC"/>
    <w:rsid w:val="008C45E6"/>
    <w:rsid w:val="008D1BFD"/>
    <w:rsid w:val="008D37FC"/>
    <w:rsid w:val="008D41EA"/>
    <w:rsid w:val="008D44CC"/>
    <w:rsid w:val="008D4A27"/>
    <w:rsid w:val="008D50AA"/>
    <w:rsid w:val="008D66DB"/>
    <w:rsid w:val="008D6CD5"/>
    <w:rsid w:val="008D7155"/>
    <w:rsid w:val="008D78F1"/>
    <w:rsid w:val="008E0BAF"/>
    <w:rsid w:val="008E1C42"/>
    <w:rsid w:val="008E2BB7"/>
    <w:rsid w:val="008E2CD3"/>
    <w:rsid w:val="008E2E05"/>
    <w:rsid w:val="008E3411"/>
    <w:rsid w:val="008E4769"/>
    <w:rsid w:val="008E4AFD"/>
    <w:rsid w:val="008E5673"/>
    <w:rsid w:val="008E59DE"/>
    <w:rsid w:val="008E5E79"/>
    <w:rsid w:val="008E6131"/>
    <w:rsid w:val="008E7880"/>
    <w:rsid w:val="008F0BD8"/>
    <w:rsid w:val="008F1587"/>
    <w:rsid w:val="008F1A73"/>
    <w:rsid w:val="008F387E"/>
    <w:rsid w:val="008F5B3E"/>
    <w:rsid w:val="008F5CF3"/>
    <w:rsid w:val="008F60D1"/>
    <w:rsid w:val="008F6AAE"/>
    <w:rsid w:val="008F6F3B"/>
    <w:rsid w:val="008F78CE"/>
    <w:rsid w:val="008F7B49"/>
    <w:rsid w:val="008F7BAF"/>
    <w:rsid w:val="00900038"/>
    <w:rsid w:val="0090017A"/>
    <w:rsid w:val="00900190"/>
    <w:rsid w:val="0090143B"/>
    <w:rsid w:val="009040C8"/>
    <w:rsid w:val="00904B63"/>
    <w:rsid w:val="00905D07"/>
    <w:rsid w:val="00907FAA"/>
    <w:rsid w:val="0091056C"/>
    <w:rsid w:val="00910B1E"/>
    <w:rsid w:val="00910E12"/>
    <w:rsid w:val="009111B5"/>
    <w:rsid w:val="009111F2"/>
    <w:rsid w:val="00911449"/>
    <w:rsid w:val="00911CE2"/>
    <w:rsid w:val="00912517"/>
    <w:rsid w:val="009125FC"/>
    <w:rsid w:val="009151DE"/>
    <w:rsid w:val="00916A55"/>
    <w:rsid w:val="00916C0D"/>
    <w:rsid w:val="009175DC"/>
    <w:rsid w:val="00921AC6"/>
    <w:rsid w:val="009221B6"/>
    <w:rsid w:val="00923C7F"/>
    <w:rsid w:val="009241BC"/>
    <w:rsid w:val="009242E9"/>
    <w:rsid w:val="00925D15"/>
    <w:rsid w:val="00926230"/>
    <w:rsid w:val="00926D65"/>
    <w:rsid w:val="00927A6B"/>
    <w:rsid w:val="00931ABC"/>
    <w:rsid w:val="00931F60"/>
    <w:rsid w:val="0093242E"/>
    <w:rsid w:val="009325D5"/>
    <w:rsid w:val="00933B75"/>
    <w:rsid w:val="00934902"/>
    <w:rsid w:val="009354DC"/>
    <w:rsid w:val="00935939"/>
    <w:rsid w:val="00935C9A"/>
    <w:rsid w:val="00937B45"/>
    <w:rsid w:val="0094069A"/>
    <w:rsid w:val="009406CD"/>
    <w:rsid w:val="00941043"/>
    <w:rsid w:val="00942CF9"/>
    <w:rsid w:val="009439CE"/>
    <w:rsid w:val="00944D45"/>
    <w:rsid w:val="0094512B"/>
    <w:rsid w:val="009461EA"/>
    <w:rsid w:val="009478C1"/>
    <w:rsid w:val="0095152D"/>
    <w:rsid w:val="00951570"/>
    <w:rsid w:val="009527A2"/>
    <w:rsid w:val="009536FF"/>
    <w:rsid w:val="00953844"/>
    <w:rsid w:val="00954D8D"/>
    <w:rsid w:val="00956AE1"/>
    <w:rsid w:val="00957D6F"/>
    <w:rsid w:val="009601F6"/>
    <w:rsid w:val="00960373"/>
    <w:rsid w:val="00960A32"/>
    <w:rsid w:val="00961AAF"/>
    <w:rsid w:val="009632E5"/>
    <w:rsid w:val="00964CEA"/>
    <w:rsid w:val="00965725"/>
    <w:rsid w:val="00965C3F"/>
    <w:rsid w:val="0096642B"/>
    <w:rsid w:val="00966431"/>
    <w:rsid w:val="00967C70"/>
    <w:rsid w:val="00967E84"/>
    <w:rsid w:val="00970149"/>
    <w:rsid w:val="009704E2"/>
    <w:rsid w:val="00972D05"/>
    <w:rsid w:val="00975A0E"/>
    <w:rsid w:val="00975DCA"/>
    <w:rsid w:val="00976456"/>
    <w:rsid w:val="00976B21"/>
    <w:rsid w:val="009779CC"/>
    <w:rsid w:val="00980401"/>
    <w:rsid w:val="009804CC"/>
    <w:rsid w:val="00980EA3"/>
    <w:rsid w:val="009825BE"/>
    <w:rsid w:val="00982769"/>
    <w:rsid w:val="009857E0"/>
    <w:rsid w:val="00986435"/>
    <w:rsid w:val="009876B9"/>
    <w:rsid w:val="00987923"/>
    <w:rsid w:val="009901D9"/>
    <w:rsid w:val="00990986"/>
    <w:rsid w:val="00992266"/>
    <w:rsid w:val="00992380"/>
    <w:rsid w:val="00993A40"/>
    <w:rsid w:val="00996090"/>
    <w:rsid w:val="00997496"/>
    <w:rsid w:val="009A0F23"/>
    <w:rsid w:val="009A1B86"/>
    <w:rsid w:val="009A1E48"/>
    <w:rsid w:val="009A39DE"/>
    <w:rsid w:val="009A5B2F"/>
    <w:rsid w:val="009A6B06"/>
    <w:rsid w:val="009A6D70"/>
    <w:rsid w:val="009A6F5F"/>
    <w:rsid w:val="009A78C3"/>
    <w:rsid w:val="009A7A46"/>
    <w:rsid w:val="009A7AE2"/>
    <w:rsid w:val="009B0450"/>
    <w:rsid w:val="009B086A"/>
    <w:rsid w:val="009B0CD9"/>
    <w:rsid w:val="009B0F1A"/>
    <w:rsid w:val="009B12B7"/>
    <w:rsid w:val="009B1594"/>
    <w:rsid w:val="009B1E31"/>
    <w:rsid w:val="009B2DB3"/>
    <w:rsid w:val="009B2E1F"/>
    <w:rsid w:val="009B4768"/>
    <w:rsid w:val="009B5A69"/>
    <w:rsid w:val="009B5B95"/>
    <w:rsid w:val="009B740C"/>
    <w:rsid w:val="009B760F"/>
    <w:rsid w:val="009C017E"/>
    <w:rsid w:val="009C0A6E"/>
    <w:rsid w:val="009C0F41"/>
    <w:rsid w:val="009C1D28"/>
    <w:rsid w:val="009C2297"/>
    <w:rsid w:val="009C3EAD"/>
    <w:rsid w:val="009C4A3D"/>
    <w:rsid w:val="009C4DE6"/>
    <w:rsid w:val="009C56A2"/>
    <w:rsid w:val="009C5F4C"/>
    <w:rsid w:val="009C6278"/>
    <w:rsid w:val="009C647D"/>
    <w:rsid w:val="009C6F13"/>
    <w:rsid w:val="009C7EC5"/>
    <w:rsid w:val="009D0082"/>
    <w:rsid w:val="009D067F"/>
    <w:rsid w:val="009D0A49"/>
    <w:rsid w:val="009D2B96"/>
    <w:rsid w:val="009D32A5"/>
    <w:rsid w:val="009D47CC"/>
    <w:rsid w:val="009D525A"/>
    <w:rsid w:val="009D5C4B"/>
    <w:rsid w:val="009E398E"/>
    <w:rsid w:val="009E3EFD"/>
    <w:rsid w:val="009E5282"/>
    <w:rsid w:val="009E6C75"/>
    <w:rsid w:val="009E6DA5"/>
    <w:rsid w:val="009E6EFE"/>
    <w:rsid w:val="009E767A"/>
    <w:rsid w:val="009E7AC5"/>
    <w:rsid w:val="009E7E5D"/>
    <w:rsid w:val="009F01AC"/>
    <w:rsid w:val="009F057D"/>
    <w:rsid w:val="009F0C31"/>
    <w:rsid w:val="009F3DD8"/>
    <w:rsid w:val="009F4056"/>
    <w:rsid w:val="009F4134"/>
    <w:rsid w:val="009F41C4"/>
    <w:rsid w:val="009F60AD"/>
    <w:rsid w:val="009F6738"/>
    <w:rsid w:val="009F79A3"/>
    <w:rsid w:val="00A019FE"/>
    <w:rsid w:val="00A01B2E"/>
    <w:rsid w:val="00A033BD"/>
    <w:rsid w:val="00A0377F"/>
    <w:rsid w:val="00A03A26"/>
    <w:rsid w:val="00A04208"/>
    <w:rsid w:val="00A043F4"/>
    <w:rsid w:val="00A05675"/>
    <w:rsid w:val="00A075F5"/>
    <w:rsid w:val="00A077EB"/>
    <w:rsid w:val="00A10860"/>
    <w:rsid w:val="00A10D1E"/>
    <w:rsid w:val="00A10D50"/>
    <w:rsid w:val="00A11980"/>
    <w:rsid w:val="00A11A30"/>
    <w:rsid w:val="00A122DF"/>
    <w:rsid w:val="00A124FB"/>
    <w:rsid w:val="00A12A64"/>
    <w:rsid w:val="00A131AA"/>
    <w:rsid w:val="00A1374A"/>
    <w:rsid w:val="00A15A1D"/>
    <w:rsid w:val="00A178BC"/>
    <w:rsid w:val="00A21BF9"/>
    <w:rsid w:val="00A24294"/>
    <w:rsid w:val="00A2458F"/>
    <w:rsid w:val="00A24B94"/>
    <w:rsid w:val="00A25A2E"/>
    <w:rsid w:val="00A25F24"/>
    <w:rsid w:val="00A2679A"/>
    <w:rsid w:val="00A26CFD"/>
    <w:rsid w:val="00A2784D"/>
    <w:rsid w:val="00A32523"/>
    <w:rsid w:val="00A328B0"/>
    <w:rsid w:val="00A3298F"/>
    <w:rsid w:val="00A345B9"/>
    <w:rsid w:val="00A3479A"/>
    <w:rsid w:val="00A34E95"/>
    <w:rsid w:val="00A3691F"/>
    <w:rsid w:val="00A40160"/>
    <w:rsid w:val="00A409CE"/>
    <w:rsid w:val="00A416AA"/>
    <w:rsid w:val="00A43880"/>
    <w:rsid w:val="00A438DA"/>
    <w:rsid w:val="00A441FB"/>
    <w:rsid w:val="00A448B8"/>
    <w:rsid w:val="00A44A68"/>
    <w:rsid w:val="00A46ADB"/>
    <w:rsid w:val="00A46B8D"/>
    <w:rsid w:val="00A471FA"/>
    <w:rsid w:val="00A472F6"/>
    <w:rsid w:val="00A503BA"/>
    <w:rsid w:val="00A50A42"/>
    <w:rsid w:val="00A51C6D"/>
    <w:rsid w:val="00A52251"/>
    <w:rsid w:val="00A527F9"/>
    <w:rsid w:val="00A52D1C"/>
    <w:rsid w:val="00A53295"/>
    <w:rsid w:val="00A537B1"/>
    <w:rsid w:val="00A547AA"/>
    <w:rsid w:val="00A56250"/>
    <w:rsid w:val="00A5763A"/>
    <w:rsid w:val="00A61184"/>
    <w:rsid w:val="00A61500"/>
    <w:rsid w:val="00A62536"/>
    <w:rsid w:val="00A626AF"/>
    <w:rsid w:val="00A6396B"/>
    <w:rsid w:val="00A66DAE"/>
    <w:rsid w:val="00A67E98"/>
    <w:rsid w:val="00A67F95"/>
    <w:rsid w:val="00A702BF"/>
    <w:rsid w:val="00A735BD"/>
    <w:rsid w:val="00A738C5"/>
    <w:rsid w:val="00A74343"/>
    <w:rsid w:val="00A74BB6"/>
    <w:rsid w:val="00A7532B"/>
    <w:rsid w:val="00A76333"/>
    <w:rsid w:val="00A777F5"/>
    <w:rsid w:val="00A77BB1"/>
    <w:rsid w:val="00A816BB"/>
    <w:rsid w:val="00A821CE"/>
    <w:rsid w:val="00A826AE"/>
    <w:rsid w:val="00A826E8"/>
    <w:rsid w:val="00A836A8"/>
    <w:rsid w:val="00A838D2"/>
    <w:rsid w:val="00A83B80"/>
    <w:rsid w:val="00A8571E"/>
    <w:rsid w:val="00A869A3"/>
    <w:rsid w:val="00A870CD"/>
    <w:rsid w:val="00A871BE"/>
    <w:rsid w:val="00A87855"/>
    <w:rsid w:val="00A87A23"/>
    <w:rsid w:val="00A87C6C"/>
    <w:rsid w:val="00A906EE"/>
    <w:rsid w:val="00A9158C"/>
    <w:rsid w:val="00A9376A"/>
    <w:rsid w:val="00A93EE6"/>
    <w:rsid w:val="00A96A4D"/>
    <w:rsid w:val="00AA006D"/>
    <w:rsid w:val="00AA0385"/>
    <w:rsid w:val="00AA0731"/>
    <w:rsid w:val="00AA09E4"/>
    <w:rsid w:val="00AA1E39"/>
    <w:rsid w:val="00AA4B93"/>
    <w:rsid w:val="00AA4D16"/>
    <w:rsid w:val="00AA5444"/>
    <w:rsid w:val="00AA5E22"/>
    <w:rsid w:val="00AA62A9"/>
    <w:rsid w:val="00AA6588"/>
    <w:rsid w:val="00AA6674"/>
    <w:rsid w:val="00AA676F"/>
    <w:rsid w:val="00AA75C6"/>
    <w:rsid w:val="00AA78D1"/>
    <w:rsid w:val="00AB00BC"/>
    <w:rsid w:val="00AB03D8"/>
    <w:rsid w:val="00AB0F01"/>
    <w:rsid w:val="00AB2507"/>
    <w:rsid w:val="00AB25C6"/>
    <w:rsid w:val="00AB2C60"/>
    <w:rsid w:val="00AB317D"/>
    <w:rsid w:val="00AB339E"/>
    <w:rsid w:val="00AB36D9"/>
    <w:rsid w:val="00AB3A64"/>
    <w:rsid w:val="00AB4F00"/>
    <w:rsid w:val="00AB6D82"/>
    <w:rsid w:val="00AB6F2A"/>
    <w:rsid w:val="00AB7942"/>
    <w:rsid w:val="00AC2CDD"/>
    <w:rsid w:val="00AC2F6F"/>
    <w:rsid w:val="00AC314B"/>
    <w:rsid w:val="00AC31AF"/>
    <w:rsid w:val="00AC4F7D"/>
    <w:rsid w:val="00AC50DF"/>
    <w:rsid w:val="00AC5805"/>
    <w:rsid w:val="00AC6107"/>
    <w:rsid w:val="00AC610E"/>
    <w:rsid w:val="00AC6600"/>
    <w:rsid w:val="00AC6945"/>
    <w:rsid w:val="00AC7886"/>
    <w:rsid w:val="00AC7EF1"/>
    <w:rsid w:val="00AD0389"/>
    <w:rsid w:val="00AD061E"/>
    <w:rsid w:val="00AD148E"/>
    <w:rsid w:val="00AD2511"/>
    <w:rsid w:val="00AD43A1"/>
    <w:rsid w:val="00AD4576"/>
    <w:rsid w:val="00AD50C5"/>
    <w:rsid w:val="00AD602D"/>
    <w:rsid w:val="00AD6606"/>
    <w:rsid w:val="00AD72ED"/>
    <w:rsid w:val="00AD7F09"/>
    <w:rsid w:val="00AE0E6A"/>
    <w:rsid w:val="00AE1610"/>
    <w:rsid w:val="00AE17D0"/>
    <w:rsid w:val="00AE1B11"/>
    <w:rsid w:val="00AE1FF1"/>
    <w:rsid w:val="00AE3CF2"/>
    <w:rsid w:val="00AE502B"/>
    <w:rsid w:val="00AE6CFC"/>
    <w:rsid w:val="00AE74B5"/>
    <w:rsid w:val="00AF26E9"/>
    <w:rsid w:val="00AF2E12"/>
    <w:rsid w:val="00AF400A"/>
    <w:rsid w:val="00AF403E"/>
    <w:rsid w:val="00AF5B3B"/>
    <w:rsid w:val="00AF6E17"/>
    <w:rsid w:val="00AF7D67"/>
    <w:rsid w:val="00B00064"/>
    <w:rsid w:val="00B008C1"/>
    <w:rsid w:val="00B00D95"/>
    <w:rsid w:val="00B00DC0"/>
    <w:rsid w:val="00B01F7C"/>
    <w:rsid w:val="00B02AEE"/>
    <w:rsid w:val="00B0412E"/>
    <w:rsid w:val="00B04CF8"/>
    <w:rsid w:val="00B0589F"/>
    <w:rsid w:val="00B05A66"/>
    <w:rsid w:val="00B063C5"/>
    <w:rsid w:val="00B066C8"/>
    <w:rsid w:val="00B06ACC"/>
    <w:rsid w:val="00B15881"/>
    <w:rsid w:val="00B15930"/>
    <w:rsid w:val="00B16729"/>
    <w:rsid w:val="00B1685E"/>
    <w:rsid w:val="00B20BF5"/>
    <w:rsid w:val="00B21773"/>
    <w:rsid w:val="00B21995"/>
    <w:rsid w:val="00B21F21"/>
    <w:rsid w:val="00B233F2"/>
    <w:rsid w:val="00B25714"/>
    <w:rsid w:val="00B25CED"/>
    <w:rsid w:val="00B27846"/>
    <w:rsid w:val="00B27C47"/>
    <w:rsid w:val="00B27D7C"/>
    <w:rsid w:val="00B3182F"/>
    <w:rsid w:val="00B31FC5"/>
    <w:rsid w:val="00B321C7"/>
    <w:rsid w:val="00B32F94"/>
    <w:rsid w:val="00B3337D"/>
    <w:rsid w:val="00B3460A"/>
    <w:rsid w:val="00B34A61"/>
    <w:rsid w:val="00B35256"/>
    <w:rsid w:val="00B358DB"/>
    <w:rsid w:val="00B35DA3"/>
    <w:rsid w:val="00B36AF6"/>
    <w:rsid w:val="00B36E38"/>
    <w:rsid w:val="00B36FA1"/>
    <w:rsid w:val="00B4086F"/>
    <w:rsid w:val="00B40A7A"/>
    <w:rsid w:val="00B41FEF"/>
    <w:rsid w:val="00B43CB1"/>
    <w:rsid w:val="00B4500F"/>
    <w:rsid w:val="00B45A8E"/>
    <w:rsid w:val="00B46FE7"/>
    <w:rsid w:val="00B47F51"/>
    <w:rsid w:val="00B47FC8"/>
    <w:rsid w:val="00B50008"/>
    <w:rsid w:val="00B50E36"/>
    <w:rsid w:val="00B5145D"/>
    <w:rsid w:val="00B516B5"/>
    <w:rsid w:val="00B517E4"/>
    <w:rsid w:val="00B51EBA"/>
    <w:rsid w:val="00B521F3"/>
    <w:rsid w:val="00B528AE"/>
    <w:rsid w:val="00B546AA"/>
    <w:rsid w:val="00B54903"/>
    <w:rsid w:val="00B56027"/>
    <w:rsid w:val="00B57415"/>
    <w:rsid w:val="00B57704"/>
    <w:rsid w:val="00B609EE"/>
    <w:rsid w:val="00B60A40"/>
    <w:rsid w:val="00B6198E"/>
    <w:rsid w:val="00B61DF3"/>
    <w:rsid w:val="00B621D8"/>
    <w:rsid w:val="00B6261B"/>
    <w:rsid w:val="00B636CE"/>
    <w:rsid w:val="00B6584F"/>
    <w:rsid w:val="00B664C7"/>
    <w:rsid w:val="00B6689C"/>
    <w:rsid w:val="00B66C54"/>
    <w:rsid w:val="00B7021C"/>
    <w:rsid w:val="00B71004"/>
    <w:rsid w:val="00B713EF"/>
    <w:rsid w:val="00B71A11"/>
    <w:rsid w:val="00B72286"/>
    <w:rsid w:val="00B722DF"/>
    <w:rsid w:val="00B75065"/>
    <w:rsid w:val="00B753E2"/>
    <w:rsid w:val="00B7549D"/>
    <w:rsid w:val="00B75B14"/>
    <w:rsid w:val="00B76161"/>
    <w:rsid w:val="00B7646F"/>
    <w:rsid w:val="00B779B9"/>
    <w:rsid w:val="00B80AFD"/>
    <w:rsid w:val="00B8156A"/>
    <w:rsid w:val="00B8278C"/>
    <w:rsid w:val="00B8403E"/>
    <w:rsid w:val="00B847C9"/>
    <w:rsid w:val="00B8494C"/>
    <w:rsid w:val="00B86136"/>
    <w:rsid w:val="00B86366"/>
    <w:rsid w:val="00B86A7D"/>
    <w:rsid w:val="00B91009"/>
    <w:rsid w:val="00B914D1"/>
    <w:rsid w:val="00B91B01"/>
    <w:rsid w:val="00B921DF"/>
    <w:rsid w:val="00B926E6"/>
    <w:rsid w:val="00B937FF"/>
    <w:rsid w:val="00B959DB"/>
    <w:rsid w:val="00B95C35"/>
    <w:rsid w:val="00B962EE"/>
    <w:rsid w:val="00B9643C"/>
    <w:rsid w:val="00B96D7C"/>
    <w:rsid w:val="00B97651"/>
    <w:rsid w:val="00B97C5B"/>
    <w:rsid w:val="00BA0720"/>
    <w:rsid w:val="00BA12D5"/>
    <w:rsid w:val="00BA194D"/>
    <w:rsid w:val="00BA2DB3"/>
    <w:rsid w:val="00BA3DF9"/>
    <w:rsid w:val="00BA470D"/>
    <w:rsid w:val="00BA47CA"/>
    <w:rsid w:val="00BA4EE3"/>
    <w:rsid w:val="00BA56FB"/>
    <w:rsid w:val="00BA5725"/>
    <w:rsid w:val="00BA5875"/>
    <w:rsid w:val="00BA620E"/>
    <w:rsid w:val="00BA66BB"/>
    <w:rsid w:val="00BA6BD0"/>
    <w:rsid w:val="00BA6C1E"/>
    <w:rsid w:val="00BA6CC3"/>
    <w:rsid w:val="00BA6D28"/>
    <w:rsid w:val="00BA7E87"/>
    <w:rsid w:val="00BB0BBB"/>
    <w:rsid w:val="00BB15B3"/>
    <w:rsid w:val="00BB1C88"/>
    <w:rsid w:val="00BB1FB0"/>
    <w:rsid w:val="00BB25EB"/>
    <w:rsid w:val="00BB3C96"/>
    <w:rsid w:val="00BB59A0"/>
    <w:rsid w:val="00BB6422"/>
    <w:rsid w:val="00BC1606"/>
    <w:rsid w:val="00BC20CD"/>
    <w:rsid w:val="00BC290E"/>
    <w:rsid w:val="00BC3480"/>
    <w:rsid w:val="00BC34EC"/>
    <w:rsid w:val="00BC5479"/>
    <w:rsid w:val="00BC58F2"/>
    <w:rsid w:val="00BC6B74"/>
    <w:rsid w:val="00BD055A"/>
    <w:rsid w:val="00BD3371"/>
    <w:rsid w:val="00BD459D"/>
    <w:rsid w:val="00BD56EA"/>
    <w:rsid w:val="00BD64D1"/>
    <w:rsid w:val="00BD6895"/>
    <w:rsid w:val="00BD6BA6"/>
    <w:rsid w:val="00BD7CA4"/>
    <w:rsid w:val="00BE03A0"/>
    <w:rsid w:val="00BE089B"/>
    <w:rsid w:val="00BE1787"/>
    <w:rsid w:val="00BE1DEC"/>
    <w:rsid w:val="00BE2C82"/>
    <w:rsid w:val="00BE2D24"/>
    <w:rsid w:val="00BE4476"/>
    <w:rsid w:val="00BE5F98"/>
    <w:rsid w:val="00BF017A"/>
    <w:rsid w:val="00BF0E68"/>
    <w:rsid w:val="00BF15FC"/>
    <w:rsid w:val="00BF2FD3"/>
    <w:rsid w:val="00BF50B2"/>
    <w:rsid w:val="00BF5D74"/>
    <w:rsid w:val="00BF7A67"/>
    <w:rsid w:val="00C01198"/>
    <w:rsid w:val="00C031A7"/>
    <w:rsid w:val="00C03ADA"/>
    <w:rsid w:val="00C03AE2"/>
    <w:rsid w:val="00C04F17"/>
    <w:rsid w:val="00C06A2E"/>
    <w:rsid w:val="00C07301"/>
    <w:rsid w:val="00C07A79"/>
    <w:rsid w:val="00C07BF4"/>
    <w:rsid w:val="00C10348"/>
    <w:rsid w:val="00C11C50"/>
    <w:rsid w:val="00C126EA"/>
    <w:rsid w:val="00C13133"/>
    <w:rsid w:val="00C13663"/>
    <w:rsid w:val="00C14506"/>
    <w:rsid w:val="00C14B8B"/>
    <w:rsid w:val="00C15C5B"/>
    <w:rsid w:val="00C1729C"/>
    <w:rsid w:val="00C172FA"/>
    <w:rsid w:val="00C17B04"/>
    <w:rsid w:val="00C215A3"/>
    <w:rsid w:val="00C310E9"/>
    <w:rsid w:val="00C31271"/>
    <w:rsid w:val="00C31758"/>
    <w:rsid w:val="00C320C2"/>
    <w:rsid w:val="00C32384"/>
    <w:rsid w:val="00C33C1A"/>
    <w:rsid w:val="00C34854"/>
    <w:rsid w:val="00C348B2"/>
    <w:rsid w:val="00C3534C"/>
    <w:rsid w:val="00C3649B"/>
    <w:rsid w:val="00C41301"/>
    <w:rsid w:val="00C41444"/>
    <w:rsid w:val="00C416F7"/>
    <w:rsid w:val="00C4182D"/>
    <w:rsid w:val="00C439D4"/>
    <w:rsid w:val="00C43E2B"/>
    <w:rsid w:val="00C442F8"/>
    <w:rsid w:val="00C4548D"/>
    <w:rsid w:val="00C45FA5"/>
    <w:rsid w:val="00C46D42"/>
    <w:rsid w:val="00C5004D"/>
    <w:rsid w:val="00C501D8"/>
    <w:rsid w:val="00C50DFD"/>
    <w:rsid w:val="00C5118C"/>
    <w:rsid w:val="00C520DE"/>
    <w:rsid w:val="00C52647"/>
    <w:rsid w:val="00C5343B"/>
    <w:rsid w:val="00C53688"/>
    <w:rsid w:val="00C53D8E"/>
    <w:rsid w:val="00C54F1F"/>
    <w:rsid w:val="00C56463"/>
    <w:rsid w:val="00C5652F"/>
    <w:rsid w:val="00C56944"/>
    <w:rsid w:val="00C610E2"/>
    <w:rsid w:val="00C623F5"/>
    <w:rsid w:val="00C635E7"/>
    <w:rsid w:val="00C63C96"/>
    <w:rsid w:val="00C640E0"/>
    <w:rsid w:val="00C66259"/>
    <w:rsid w:val="00C666E7"/>
    <w:rsid w:val="00C67494"/>
    <w:rsid w:val="00C70199"/>
    <w:rsid w:val="00C71975"/>
    <w:rsid w:val="00C71DB6"/>
    <w:rsid w:val="00C7213D"/>
    <w:rsid w:val="00C73A56"/>
    <w:rsid w:val="00C73A89"/>
    <w:rsid w:val="00C7476C"/>
    <w:rsid w:val="00C748C7"/>
    <w:rsid w:val="00C75222"/>
    <w:rsid w:val="00C75258"/>
    <w:rsid w:val="00C80CD8"/>
    <w:rsid w:val="00C81483"/>
    <w:rsid w:val="00C81735"/>
    <w:rsid w:val="00C81831"/>
    <w:rsid w:val="00C82527"/>
    <w:rsid w:val="00C84428"/>
    <w:rsid w:val="00C844C0"/>
    <w:rsid w:val="00C844C8"/>
    <w:rsid w:val="00C8586F"/>
    <w:rsid w:val="00C86505"/>
    <w:rsid w:val="00C865E7"/>
    <w:rsid w:val="00C86F57"/>
    <w:rsid w:val="00C87D38"/>
    <w:rsid w:val="00C87EE0"/>
    <w:rsid w:val="00C901EF"/>
    <w:rsid w:val="00C912A3"/>
    <w:rsid w:val="00C91A37"/>
    <w:rsid w:val="00C9386D"/>
    <w:rsid w:val="00C94E49"/>
    <w:rsid w:val="00C95547"/>
    <w:rsid w:val="00C95965"/>
    <w:rsid w:val="00C95BD4"/>
    <w:rsid w:val="00C95FA4"/>
    <w:rsid w:val="00C966C7"/>
    <w:rsid w:val="00C966F5"/>
    <w:rsid w:val="00C96CF6"/>
    <w:rsid w:val="00CA0F1B"/>
    <w:rsid w:val="00CA1072"/>
    <w:rsid w:val="00CA18B5"/>
    <w:rsid w:val="00CA2760"/>
    <w:rsid w:val="00CA43EE"/>
    <w:rsid w:val="00CA485A"/>
    <w:rsid w:val="00CA5F04"/>
    <w:rsid w:val="00CB030D"/>
    <w:rsid w:val="00CB0C74"/>
    <w:rsid w:val="00CB166F"/>
    <w:rsid w:val="00CB3A8C"/>
    <w:rsid w:val="00CB46B3"/>
    <w:rsid w:val="00CB4BB3"/>
    <w:rsid w:val="00CB566E"/>
    <w:rsid w:val="00CB584F"/>
    <w:rsid w:val="00CB5B30"/>
    <w:rsid w:val="00CB782F"/>
    <w:rsid w:val="00CC0089"/>
    <w:rsid w:val="00CC027D"/>
    <w:rsid w:val="00CC065A"/>
    <w:rsid w:val="00CC1289"/>
    <w:rsid w:val="00CC1786"/>
    <w:rsid w:val="00CC223A"/>
    <w:rsid w:val="00CC2A52"/>
    <w:rsid w:val="00CC2DE4"/>
    <w:rsid w:val="00CC30C9"/>
    <w:rsid w:val="00CC368C"/>
    <w:rsid w:val="00CC386F"/>
    <w:rsid w:val="00CC456D"/>
    <w:rsid w:val="00CC4EF9"/>
    <w:rsid w:val="00CC5F52"/>
    <w:rsid w:val="00CC6546"/>
    <w:rsid w:val="00CC797F"/>
    <w:rsid w:val="00CC7A58"/>
    <w:rsid w:val="00CD0A8C"/>
    <w:rsid w:val="00CD176C"/>
    <w:rsid w:val="00CD2E55"/>
    <w:rsid w:val="00CD49F0"/>
    <w:rsid w:val="00CD53D0"/>
    <w:rsid w:val="00CD6AC5"/>
    <w:rsid w:val="00CD77A4"/>
    <w:rsid w:val="00CE0166"/>
    <w:rsid w:val="00CE0451"/>
    <w:rsid w:val="00CE0CFF"/>
    <w:rsid w:val="00CE1F6F"/>
    <w:rsid w:val="00CE23AC"/>
    <w:rsid w:val="00CE4438"/>
    <w:rsid w:val="00CE6A57"/>
    <w:rsid w:val="00CE71F8"/>
    <w:rsid w:val="00CE7A92"/>
    <w:rsid w:val="00CE7B22"/>
    <w:rsid w:val="00CE7E29"/>
    <w:rsid w:val="00CF0F14"/>
    <w:rsid w:val="00CF11C2"/>
    <w:rsid w:val="00CF1C35"/>
    <w:rsid w:val="00CF1CB9"/>
    <w:rsid w:val="00CF1FB9"/>
    <w:rsid w:val="00CF2582"/>
    <w:rsid w:val="00CF2B4B"/>
    <w:rsid w:val="00CF3D24"/>
    <w:rsid w:val="00CF45D1"/>
    <w:rsid w:val="00CF46BE"/>
    <w:rsid w:val="00CF4F4B"/>
    <w:rsid w:val="00CF5300"/>
    <w:rsid w:val="00CF5B40"/>
    <w:rsid w:val="00CF5D2A"/>
    <w:rsid w:val="00D006FC"/>
    <w:rsid w:val="00D0117C"/>
    <w:rsid w:val="00D01D7E"/>
    <w:rsid w:val="00D02958"/>
    <w:rsid w:val="00D038EA"/>
    <w:rsid w:val="00D03F33"/>
    <w:rsid w:val="00D044CA"/>
    <w:rsid w:val="00D05E7E"/>
    <w:rsid w:val="00D100E0"/>
    <w:rsid w:val="00D1094B"/>
    <w:rsid w:val="00D11AF1"/>
    <w:rsid w:val="00D1286C"/>
    <w:rsid w:val="00D128A3"/>
    <w:rsid w:val="00D13383"/>
    <w:rsid w:val="00D136B2"/>
    <w:rsid w:val="00D142FF"/>
    <w:rsid w:val="00D1529F"/>
    <w:rsid w:val="00D1540B"/>
    <w:rsid w:val="00D15E81"/>
    <w:rsid w:val="00D15F51"/>
    <w:rsid w:val="00D169A7"/>
    <w:rsid w:val="00D169FF"/>
    <w:rsid w:val="00D172E1"/>
    <w:rsid w:val="00D177E1"/>
    <w:rsid w:val="00D17C39"/>
    <w:rsid w:val="00D20679"/>
    <w:rsid w:val="00D206BB"/>
    <w:rsid w:val="00D20A6C"/>
    <w:rsid w:val="00D22108"/>
    <w:rsid w:val="00D22181"/>
    <w:rsid w:val="00D228AB"/>
    <w:rsid w:val="00D22FD9"/>
    <w:rsid w:val="00D24DCC"/>
    <w:rsid w:val="00D251B9"/>
    <w:rsid w:val="00D2646E"/>
    <w:rsid w:val="00D27307"/>
    <w:rsid w:val="00D304A9"/>
    <w:rsid w:val="00D3102D"/>
    <w:rsid w:val="00D31890"/>
    <w:rsid w:val="00D336A9"/>
    <w:rsid w:val="00D34806"/>
    <w:rsid w:val="00D34EA7"/>
    <w:rsid w:val="00D35075"/>
    <w:rsid w:val="00D35C82"/>
    <w:rsid w:val="00D35F96"/>
    <w:rsid w:val="00D37004"/>
    <w:rsid w:val="00D37683"/>
    <w:rsid w:val="00D401A5"/>
    <w:rsid w:val="00D40E37"/>
    <w:rsid w:val="00D40EF1"/>
    <w:rsid w:val="00D44DD0"/>
    <w:rsid w:val="00D45467"/>
    <w:rsid w:val="00D45D67"/>
    <w:rsid w:val="00D46B59"/>
    <w:rsid w:val="00D46DAE"/>
    <w:rsid w:val="00D47211"/>
    <w:rsid w:val="00D51404"/>
    <w:rsid w:val="00D51804"/>
    <w:rsid w:val="00D522A4"/>
    <w:rsid w:val="00D52887"/>
    <w:rsid w:val="00D531DA"/>
    <w:rsid w:val="00D540BE"/>
    <w:rsid w:val="00D54ECC"/>
    <w:rsid w:val="00D550A1"/>
    <w:rsid w:val="00D55988"/>
    <w:rsid w:val="00D55B9B"/>
    <w:rsid w:val="00D55CDB"/>
    <w:rsid w:val="00D55D6E"/>
    <w:rsid w:val="00D56C4C"/>
    <w:rsid w:val="00D5729F"/>
    <w:rsid w:val="00D5736D"/>
    <w:rsid w:val="00D607C6"/>
    <w:rsid w:val="00D61FF6"/>
    <w:rsid w:val="00D62296"/>
    <w:rsid w:val="00D6270F"/>
    <w:rsid w:val="00D63163"/>
    <w:rsid w:val="00D636F1"/>
    <w:rsid w:val="00D64C9F"/>
    <w:rsid w:val="00D6557F"/>
    <w:rsid w:val="00D665E7"/>
    <w:rsid w:val="00D672A9"/>
    <w:rsid w:val="00D7097B"/>
    <w:rsid w:val="00D71EA8"/>
    <w:rsid w:val="00D72648"/>
    <w:rsid w:val="00D72820"/>
    <w:rsid w:val="00D7303E"/>
    <w:rsid w:val="00D73A21"/>
    <w:rsid w:val="00D73B85"/>
    <w:rsid w:val="00D745C1"/>
    <w:rsid w:val="00D74CE6"/>
    <w:rsid w:val="00D75A9A"/>
    <w:rsid w:val="00D77446"/>
    <w:rsid w:val="00D774A7"/>
    <w:rsid w:val="00D80635"/>
    <w:rsid w:val="00D81A57"/>
    <w:rsid w:val="00D82BA0"/>
    <w:rsid w:val="00D83261"/>
    <w:rsid w:val="00D83377"/>
    <w:rsid w:val="00D84227"/>
    <w:rsid w:val="00D851A6"/>
    <w:rsid w:val="00D8694D"/>
    <w:rsid w:val="00D87295"/>
    <w:rsid w:val="00D87F8E"/>
    <w:rsid w:val="00D90A6B"/>
    <w:rsid w:val="00D917D9"/>
    <w:rsid w:val="00D92073"/>
    <w:rsid w:val="00D920BE"/>
    <w:rsid w:val="00D922D9"/>
    <w:rsid w:val="00D927EE"/>
    <w:rsid w:val="00D929C7"/>
    <w:rsid w:val="00D92D58"/>
    <w:rsid w:val="00D94491"/>
    <w:rsid w:val="00D94910"/>
    <w:rsid w:val="00D96573"/>
    <w:rsid w:val="00D96ED3"/>
    <w:rsid w:val="00D97362"/>
    <w:rsid w:val="00D974AC"/>
    <w:rsid w:val="00DA101F"/>
    <w:rsid w:val="00DA1093"/>
    <w:rsid w:val="00DA1B5A"/>
    <w:rsid w:val="00DA1D41"/>
    <w:rsid w:val="00DA1F51"/>
    <w:rsid w:val="00DA2728"/>
    <w:rsid w:val="00DA464F"/>
    <w:rsid w:val="00DA4BF8"/>
    <w:rsid w:val="00DA60CB"/>
    <w:rsid w:val="00DB10B4"/>
    <w:rsid w:val="00DB19B8"/>
    <w:rsid w:val="00DB2E14"/>
    <w:rsid w:val="00DB3894"/>
    <w:rsid w:val="00DB38E0"/>
    <w:rsid w:val="00DB40FC"/>
    <w:rsid w:val="00DB4436"/>
    <w:rsid w:val="00DB4BB8"/>
    <w:rsid w:val="00DB552C"/>
    <w:rsid w:val="00DB5631"/>
    <w:rsid w:val="00DB589A"/>
    <w:rsid w:val="00DB5EEF"/>
    <w:rsid w:val="00DB673C"/>
    <w:rsid w:val="00DC0480"/>
    <w:rsid w:val="00DC0E41"/>
    <w:rsid w:val="00DC12D4"/>
    <w:rsid w:val="00DC16A7"/>
    <w:rsid w:val="00DC2E77"/>
    <w:rsid w:val="00DC3A20"/>
    <w:rsid w:val="00DC44A1"/>
    <w:rsid w:val="00DC47E0"/>
    <w:rsid w:val="00DC4CCD"/>
    <w:rsid w:val="00DC53BD"/>
    <w:rsid w:val="00DD0E31"/>
    <w:rsid w:val="00DD1125"/>
    <w:rsid w:val="00DD27DB"/>
    <w:rsid w:val="00DD36FF"/>
    <w:rsid w:val="00DD3E40"/>
    <w:rsid w:val="00DD42CA"/>
    <w:rsid w:val="00DD4962"/>
    <w:rsid w:val="00DD4D45"/>
    <w:rsid w:val="00DD5453"/>
    <w:rsid w:val="00DD7111"/>
    <w:rsid w:val="00DD7416"/>
    <w:rsid w:val="00DD7B33"/>
    <w:rsid w:val="00DD7FC3"/>
    <w:rsid w:val="00DE0214"/>
    <w:rsid w:val="00DE0972"/>
    <w:rsid w:val="00DE1C93"/>
    <w:rsid w:val="00DE30C6"/>
    <w:rsid w:val="00DE3B20"/>
    <w:rsid w:val="00DE3FF1"/>
    <w:rsid w:val="00DE611E"/>
    <w:rsid w:val="00DF0145"/>
    <w:rsid w:val="00DF0A1B"/>
    <w:rsid w:val="00DF11CF"/>
    <w:rsid w:val="00DF2618"/>
    <w:rsid w:val="00DF3DF4"/>
    <w:rsid w:val="00DF4F52"/>
    <w:rsid w:val="00DF6716"/>
    <w:rsid w:val="00DF7BBB"/>
    <w:rsid w:val="00DF7DAC"/>
    <w:rsid w:val="00E00171"/>
    <w:rsid w:val="00E00752"/>
    <w:rsid w:val="00E03572"/>
    <w:rsid w:val="00E04772"/>
    <w:rsid w:val="00E0614B"/>
    <w:rsid w:val="00E07D01"/>
    <w:rsid w:val="00E07DFE"/>
    <w:rsid w:val="00E07E1D"/>
    <w:rsid w:val="00E110E9"/>
    <w:rsid w:val="00E12B50"/>
    <w:rsid w:val="00E14D34"/>
    <w:rsid w:val="00E15186"/>
    <w:rsid w:val="00E152AB"/>
    <w:rsid w:val="00E156DF"/>
    <w:rsid w:val="00E174BB"/>
    <w:rsid w:val="00E2469A"/>
    <w:rsid w:val="00E24DE4"/>
    <w:rsid w:val="00E26172"/>
    <w:rsid w:val="00E27F1D"/>
    <w:rsid w:val="00E30B4C"/>
    <w:rsid w:val="00E30DD8"/>
    <w:rsid w:val="00E31C99"/>
    <w:rsid w:val="00E329B2"/>
    <w:rsid w:val="00E34DE4"/>
    <w:rsid w:val="00E352B7"/>
    <w:rsid w:val="00E35756"/>
    <w:rsid w:val="00E357F9"/>
    <w:rsid w:val="00E35AE8"/>
    <w:rsid w:val="00E37D93"/>
    <w:rsid w:val="00E41768"/>
    <w:rsid w:val="00E43ABD"/>
    <w:rsid w:val="00E43C62"/>
    <w:rsid w:val="00E43DA9"/>
    <w:rsid w:val="00E45433"/>
    <w:rsid w:val="00E46AA2"/>
    <w:rsid w:val="00E47144"/>
    <w:rsid w:val="00E502EB"/>
    <w:rsid w:val="00E50DBF"/>
    <w:rsid w:val="00E5146E"/>
    <w:rsid w:val="00E5153C"/>
    <w:rsid w:val="00E517AC"/>
    <w:rsid w:val="00E5432B"/>
    <w:rsid w:val="00E54A59"/>
    <w:rsid w:val="00E55091"/>
    <w:rsid w:val="00E56DDD"/>
    <w:rsid w:val="00E56F8D"/>
    <w:rsid w:val="00E57D68"/>
    <w:rsid w:val="00E57E06"/>
    <w:rsid w:val="00E60F77"/>
    <w:rsid w:val="00E6213F"/>
    <w:rsid w:val="00E62F08"/>
    <w:rsid w:val="00E630B8"/>
    <w:rsid w:val="00E6343A"/>
    <w:rsid w:val="00E63E5E"/>
    <w:rsid w:val="00E65F11"/>
    <w:rsid w:val="00E66FE4"/>
    <w:rsid w:val="00E67508"/>
    <w:rsid w:val="00E70FDD"/>
    <w:rsid w:val="00E71BF8"/>
    <w:rsid w:val="00E72878"/>
    <w:rsid w:val="00E72AFE"/>
    <w:rsid w:val="00E734E7"/>
    <w:rsid w:val="00E73B98"/>
    <w:rsid w:val="00E74E9B"/>
    <w:rsid w:val="00E75D1B"/>
    <w:rsid w:val="00E7687D"/>
    <w:rsid w:val="00E769DD"/>
    <w:rsid w:val="00E76C00"/>
    <w:rsid w:val="00E805B0"/>
    <w:rsid w:val="00E80796"/>
    <w:rsid w:val="00E80AB1"/>
    <w:rsid w:val="00E80BBE"/>
    <w:rsid w:val="00E81B5F"/>
    <w:rsid w:val="00E821B6"/>
    <w:rsid w:val="00E82C8B"/>
    <w:rsid w:val="00E8333A"/>
    <w:rsid w:val="00E85EC3"/>
    <w:rsid w:val="00E8609B"/>
    <w:rsid w:val="00E86660"/>
    <w:rsid w:val="00E87403"/>
    <w:rsid w:val="00E93E4B"/>
    <w:rsid w:val="00E93EAC"/>
    <w:rsid w:val="00E94BFC"/>
    <w:rsid w:val="00E94D8F"/>
    <w:rsid w:val="00E94FFE"/>
    <w:rsid w:val="00E9522E"/>
    <w:rsid w:val="00E956A6"/>
    <w:rsid w:val="00E95C0A"/>
    <w:rsid w:val="00E96539"/>
    <w:rsid w:val="00E965B5"/>
    <w:rsid w:val="00E979AC"/>
    <w:rsid w:val="00E97D2A"/>
    <w:rsid w:val="00E97FDA"/>
    <w:rsid w:val="00EA033E"/>
    <w:rsid w:val="00EA0852"/>
    <w:rsid w:val="00EA0926"/>
    <w:rsid w:val="00EA3580"/>
    <w:rsid w:val="00EA4219"/>
    <w:rsid w:val="00EA5F53"/>
    <w:rsid w:val="00EA6207"/>
    <w:rsid w:val="00EB0830"/>
    <w:rsid w:val="00EB2078"/>
    <w:rsid w:val="00EB2BAC"/>
    <w:rsid w:val="00EB2D9F"/>
    <w:rsid w:val="00EB3FB3"/>
    <w:rsid w:val="00EB5291"/>
    <w:rsid w:val="00EB5387"/>
    <w:rsid w:val="00EB5DCB"/>
    <w:rsid w:val="00EB75B6"/>
    <w:rsid w:val="00EB75E1"/>
    <w:rsid w:val="00EB79C9"/>
    <w:rsid w:val="00EC07F3"/>
    <w:rsid w:val="00EC15EB"/>
    <w:rsid w:val="00EC182F"/>
    <w:rsid w:val="00EC1DF0"/>
    <w:rsid w:val="00EC2C5C"/>
    <w:rsid w:val="00EC3A9E"/>
    <w:rsid w:val="00EC3C9C"/>
    <w:rsid w:val="00EC3EB6"/>
    <w:rsid w:val="00EC4AE2"/>
    <w:rsid w:val="00EC5352"/>
    <w:rsid w:val="00ED0227"/>
    <w:rsid w:val="00ED09D9"/>
    <w:rsid w:val="00ED0DC6"/>
    <w:rsid w:val="00ED13DD"/>
    <w:rsid w:val="00ED1878"/>
    <w:rsid w:val="00ED19C8"/>
    <w:rsid w:val="00ED28C8"/>
    <w:rsid w:val="00ED360E"/>
    <w:rsid w:val="00ED3B34"/>
    <w:rsid w:val="00ED46FD"/>
    <w:rsid w:val="00ED471C"/>
    <w:rsid w:val="00ED49AE"/>
    <w:rsid w:val="00ED7048"/>
    <w:rsid w:val="00ED7F02"/>
    <w:rsid w:val="00EE0C4C"/>
    <w:rsid w:val="00EE0E7A"/>
    <w:rsid w:val="00EE4AB8"/>
    <w:rsid w:val="00EE4EF2"/>
    <w:rsid w:val="00EE5243"/>
    <w:rsid w:val="00EE6F4D"/>
    <w:rsid w:val="00EE7C07"/>
    <w:rsid w:val="00EF1513"/>
    <w:rsid w:val="00EF170D"/>
    <w:rsid w:val="00EF17A8"/>
    <w:rsid w:val="00EF1853"/>
    <w:rsid w:val="00EF2746"/>
    <w:rsid w:val="00EF31D9"/>
    <w:rsid w:val="00EF3B23"/>
    <w:rsid w:val="00EF550C"/>
    <w:rsid w:val="00EF64CE"/>
    <w:rsid w:val="00EF712A"/>
    <w:rsid w:val="00F00596"/>
    <w:rsid w:val="00F00722"/>
    <w:rsid w:val="00F00F45"/>
    <w:rsid w:val="00F01598"/>
    <w:rsid w:val="00F01A85"/>
    <w:rsid w:val="00F04621"/>
    <w:rsid w:val="00F04E71"/>
    <w:rsid w:val="00F05356"/>
    <w:rsid w:val="00F05DC2"/>
    <w:rsid w:val="00F06748"/>
    <w:rsid w:val="00F06A79"/>
    <w:rsid w:val="00F071A6"/>
    <w:rsid w:val="00F07833"/>
    <w:rsid w:val="00F07C6E"/>
    <w:rsid w:val="00F11419"/>
    <w:rsid w:val="00F1146A"/>
    <w:rsid w:val="00F1207D"/>
    <w:rsid w:val="00F130AB"/>
    <w:rsid w:val="00F13E52"/>
    <w:rsid w:val="00F14206"/>
    <w:rsid w:val="00F1433C"/>
    <w:rsid w:val="00F15CE8"/>
    <w:rsid w:val="00F15D6A"/>
    <w:rsid w:val="00F16B0B"/>
    <w:rsid w:val="00F16E9D"/>
    <w:rsid w:val="00F22376"/>
    <w:rsid w:val="00F23EFA"/>
    <w:rsid w:val="00F30854"/>
    <w:rsid w:val="00F30BAA"/>
    <w:rsid w:val="00F31650"/>
    <w:rsid w:val="00F31C3D"/>
    <w:rsid w:val="00F32D0F"/>
    <w:rsid w:val="00F33515"/>
    <w:rsid w:val="00F34064"/>
    <w:rsid w:val="00F35C9F"/>
    <w:rsid w:val="00F36192"/>
    <w:rsid w:val="00F36518"/>
    <w:rsid w:val="00F36CD2"/>
    <w:rsid w:val="00F37060"/>
    <w:rsid w:val="00F3707E"/>
    <w:rsid w:val="00F3741B"/>
    <w:rsid w:val="00F37A9E"/>
    <w:rsid w:val="00F37CFE"/>
    <w:rsid w:val="00F37D85"/>
    <w:rsid w:val="00F40627"/>
    <w:rsid w:val="00F40CC8"/>
    <w:rsid w:val="00F40DCD"/>
    <w:rsid w:val="00F41025"/>
    <w:rsid w:val="00F41417"/>
    <w:rsid w:val="00F41522"/>
    <w:rsid w:val="00F41AAF"/>
    <w:rsid w:val="00F437C1"/>
    <w:rsid w:val="00F4464F"/>
    <w:rsid w:val="00F4473C"/>
    <w:rsid w:val="00F452E2"/>
    <w:rsid w:val="00F457C0"/>
    <w:rsid w:val="00F45E38"/>
    <w:rsid w:val="00F479E8"/>
    <w:rsid w:val="00F50776"/>
    <w:rsid w:val="00F50F94"/>
    <w:rsid w:val="00F52E21"/>
    <w:rsid w:val="00F53B2E"/>
    <w:rsid w:val="00F53BB1"/>
    <w:rsid w:val="00F53BF3"/>
    <w:rsid w:val="00F545F1"/>
    <w:rsid w:val="00F57D39"/>
    <w:rsid w:val="00F57E96"/>
    <w:rsid w:val="00F57ED0"/>
    <w:rsid w:val="00F6341F"/>
    <w:rsid w:val="00F639B2"/>
    <w:rsid w:val="00F63B56"/>
    <w:rsid w:val="00F645BB"/>
    <w:rsid w:val="00F64C6F"/>
    <w:rsid w:val="00F6515C"/>
    <w:rsid w:val="00F665EF"/>
    <w:rsid w:val="00F66DE5"/>
    <w:rsid w:val="00F6720F"/>
    <w:rsid w:val="00F67B43"/>
    <w:rsid w:val="00F7064D"/>
    <w:rsid w:val="00F72405"/>
    <w:rsid w:val="00F748B7"/>
    <w:rsid w:val="00F74BFF"/>
    <w:rsid w:val="00F74C6E"/>
    <w:rsid w:val="00F750DD"/>
    <w:rsid w:val="00F75151"/>
    <w:rsid w:val="00F7530C"/>
    <w:rsid w:val="00F758F5"/>
    <w:rsid w:val="00F77028"/>
    <w:rsid w:val="00F805D6"/>
    <w:rsid w:val="00F81370"/>
    <w:rsid w:val="00F83594"/>
    <w:rsid w:val="00F83C52"/>
    <w:rsid w:val="00F84ECE"/>
    <w:rsid w:val="00F85551"/>
    <w:rsid w:val="00F855BA"/>
    <w:rsid w:val="00F85C0A"/>
    <w:rsid w:val="00F85F30"/>
    <w:rsid w:val="00F86530"/>
    <w:rsid w:val="00F86E85"/>
    <w:rsid w:val="00F87CEC"/>
    <w:rsid w:val="00F9039A"/>
    <w:rsid w:val="00F91B28"/>
    <w:rsid w:val="00F91CE0"/>
    <w:rsid w:val="00F92405"/>
    <w:rsid w:val="00F93C84"/>
    <w:rsid w:val="00F94E25"/>
    <w:rsid w:val="00F95037"/>
    <w:rsid w:val="00F95ABC"/>
    <w:rsid w:val="00F97BDE"/>
    <w:rsid w:val="00FA0259"/>
    <w:rsid w:val="00FA3115"/>
    <w:rsid w:val="00FA40E0"/>
    <w:rsid w:val="00FA53F4"/>
    <w:rsid w:val="00FA6F5D"/>
    <w:rsid w:val="00FB4322"/>
    <w:rsid w:val="00FB4601"/>
    <w:rsid w:val="00FB53EE"/>
    <w:rsid w:val="00FB62DC"/>
    <w:rsid w:val="00FB6641"/>
    <w:rsid w:val="00FB7131"/>
    <w:rsid w:val="00FC0600"/>
    <w:rsid w:val="00FC0A68"/>
    <w:rsid w:val="00FC0C5E"/>
    <w:rsid w:val="00FC104B"/>
    <w:rsid w:val="00FC13B7"/>
    <w:rsid w:val="00FC2019"/>
    <w:rsid w:val="00FC34BA"/>
    <w:rsid w:val="00FC3F0F"/>
    <w:rsid w:val="00FC427F"/>
    <w:rsid w:val="00FC538E"/>
    <w:rsid w:val="00FC7134"/>
    <w:rsid w:val="00FC7452"/>
    <w:rsid w:val="00FC797B"/>
    <w:rsid w:val="00FC7A36"/>
    <w:rsid w:val="00FC7FDA"/>
    <w:rsid w:val="00FD2B00"/>
    <w:rsid w:val="00FD2B98"/>
    <w:rsid w:val="00FD30E6"/>
    <w:rsid w:val="00FD3B2F"/>
    <w:rsid w:val="00FD4450"/>
    <w:rsid w:val="00FD45B8"/>
    <w:rsid w:val="00FD70FF"/>
    <w:rsid w:val="00FD74D2"/>
    <w:rsid w:val="00FE00D0"/>
    <w:rsid w:val="00FE0148"/>
    <w:rsid w:val="00FE102E"/>
    <w:rsid w:val="00FE1266"/>
    <w:rsid w:val="00FE2EAC"/>
    <w:rsid w:val="00FE3862"/>
    <w:rsid w:val="00FE3E61"/>
    <w:rsid w:val="00FE425E"/>
    <w:rsid w:val="00FE494B"/>
    <w:rsid w:val="00FE5463"/>
    <w:rsid w:val="00FF2670"/>
    <w:rsid w:val="00FF2FAF"/>
    <w:rsid w:val="00FF5670"/>
    <w:rsid w:val="00FF5E79"/>
    <w:rsid w:val="00FF65F8"/>
    <w:rsid w:val="00FF7853"/>
    <w:rsid w:val="00FF7C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2A74F64D"/>
  <w15:docId w15:val="{0F903F8D-463C-47EE-8948-00EF359CD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C35"/>
    <w:rPr>
      <w:sz w:val="24"/>
      <w:szCs w:val="24"/>
    </w:rPr>
  </w:style>
  <w:style w:type="paragraph" w:styleId="Heading1">
    <w:name w:val="heading 1"/>
    <w:basedOn w:val="Normal"/>
    <w:next w:val="Normal"/>
    <w:link w:val="Heading1Char"/>
    <w:uiPriority w:val="9"/>
    <w:qFormat/>
    <w:rsid w:val="003D25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E4C1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527F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68197A"/>
    <w:pPr>
      <w:tabs>
        <w:tab w:val="center" w:pos="4320"/>
        <w:tab w:val="right" w:pos="8640"/>
      </w:tabs>
    </w:pPr>
  </w:style>
  <w:style w:type="character" w:styleId="PageNumber">
    <w:name w:val="page number"/>
    <w:basedOn w:val="DefaultParagraphFont"/>
    <w:rsid w:val="0068197A"/>
  </w:style>
  <w:style w:type="paragraph" w:customStyle="1" w:styleId="Default">
    <w:name w:val="Default"/>
    <w:rsid w:val="00F36192"/>
    <w:pPr>
      <w:widowControl w:val="0"/>
      <w:autoSpaceDE w:val="0"/>
      <w:autoSpaceDN w:val="0"/>
      <w:adjustRightInd w:val="0"/>
    </w:pPr>
    <w:rPr>
      <w:rFonts w:eastAsia="SimSun"/>
      <w:color w:val="000000"/>
      <w:sz w:val="24"/>
      <w:szCs w:val="24"/>
      <w:lang w:eastAsia="zh-CN"/>
    </w:rPr>
  </w:style>
  <w:style w:type="paragraph" w:customStyle="1" w:styleId="CM80">
    <w:name w:val="CM80"/>
    <w:basedOn w:val="Default"/>
    <w:next w:val="Default"/>
    <w:uiPriority w:val="99"/>
    <w:rsid w:val="008E7880"/>
    <w:pPr>
      <w:spacing w:after="275"/>
    </w:pPr>
    <w:rPr>
      <w:color w:val="auto"/>
    </w:rPr>
  </w:style>
  <w:style w:type="paragraph" w:customStyle="1" w:styleId="CM5">
    <w:name w:val="CM5"/>
    <w:basedOn w:val="Default"/>
    <w:next w:val="Default"/>
    <w:uiPriority w:val="99"/>
    <w:rsid w:val="008E7880"/>
    <w:pPr>
      <w:spacing w:line="280" w:lineRule="atLeast"/>
    </w:pPr>
    <w:rPr>
      <w:color w:val="auto"/>
    </w:rPr>
  </w:style>
  <w:style w:type="paragraph" w:customStyle="1" w:styleId="CM12">
    <w:name w:val="CM12"/>
    <w:basedOn w:val="Default"/>
    <w:next w:val="Default"/>
    <w:rsid w:val="005F5787"/>
    <w:pPr>
      <w:spacing w:line="260" w:lineRule="atLeast"/>
    </w:pPr>
    <w:rPr>
      <w:color w:val="auto"/>
    </w:rPr>
  </w:style>
  <w:style w:type="paragraph" w:customStyle="1" w:styleId="CM15">
    <w:name w:val="CM15"/>
    <w:basedOn w:val="Default"/>
    <w:next w:val="Default"/>
    <w:rsid w:val="00B05A66"/>
    <w:pPr>
      <w:spacing w:line="278" w:lineRule="atLeast"/>
    </w:pPr>
    <w:rPr>
      <w:color w:val="auto"/>
    </w:rPr>
  </w:style>
  <w:style w:type="paragraph" w:customStyle="1" w:styleId="CM85">
    <w:name w:val="CM85"/>
    <w:basedOn w:val="Default"/>
    <w:next w:val="Default"/>
    <w:rsid w:val="00C666E7"/>
    <w:pPr>
      <w:spacing w:after="103"/>
    </w:pPr>
    <w:rPr>
      <w:color w:val="auto"/>
    </w:rPr>
  </w:style>
  <w:style w:type="paragraph" w:customStyle="1" w:styleId="C2-CtrSglSp">
    <w:name w:val="C2-Ctr Sgl Sp"/>
    <w:rsid w:val="00C666E7"/>
    <w:pPr>
      <w:keepLines/>
      <w:spacing w:line="240" w:lineRule="atLeast"/>
      <w:jc w:val="center"/>
    </w:pPr>
    <w:rPr>
      <w:sz w:val="22"/>
    </w:rPr>
  </w:style>
  <w:style w:type="character" w:styleId="Hyperlink">
    <w:name w:val="Hyperlink"/>
    <w:basedOn w:val="DefaultParagraphFont"/>
    <w:uiPriority w:val="99"/>
    <w:unhideWhenUsed/>
    <w:rsid w:val="0071388D"/>
    <w:rPr>
      <w:color w:val="0000FF" w:themeColor="hyperlink"/>
      <w:u w:val="single"/>
    </w:rPr>
  </w:style>
  <w:style w:type="paragraph" w:customStyle="1" w:styleId="CM87">
    <w:name w:val="CM87"/>
    <w:basedOn w:val="Default"/>
    <w:next w:val="Default"/>
    <w:rsid w:val="008E2E05"/>
    <w:pPr>
      <w:spacing w:after="560"/>
    </w:pPr>
    <w:rPr>
      <w:color w:val="auto"/>
    </w:rPr>
  </w:style>
  <w:style w:type="paragraph" w:styleId="CommentText">
    <w:name w:val="annotation text"/>
    <w:basedOn w:val="Normal"/>
    <w:link w:val="CommentTextChar"/>
    <w:uiPriority w:val="99"/>
    <w:rsid w:val="008E2E05"/>
    <w:rPr>
      <w:rFonts w:eastAsia="SimSun"/>
      <w:sz w:val="20"/>
      <w:szCs w:val="20"/>
    </w:rPr>
  </w:style>
  <w:style w:type="character" w:customStyle="1" w:styleId="CommentTextChar">
    <w:name w:val="Comment Text Char"/>
    <w:basedOn w:val="DefaultParagraphFont"/>
    <w:link w:val="CommentText"/>
    <w:uiPriority w:val="99"/>
    <w:rsid w:val="008E2E05"/>
    <w:rPr>
      <w:rFonts w:eastAsia="SimSun"/>
    </w:rPr>
  </w:style>
  <w:style w:type="paragraph" w:customStyle="1" w:styleId="CM1">
    <w:name w:val="CM1"/>
    <w:basedOn w:val="Default"/>
    <w:next w:val="Default"/>
    <w:rsid w:val="00D03F33"/>
    <w:pPr>
      <w:spacing w:line="280" w:lineRule="atLeast"/>
    </w:pPr>
    <w:rPr>
      <w:color w:val="auto"/>
    </w:rPr>
  </w:style>
  <w:style w:type="paragraph" w:customStyle="1" w:styleId="CM8">
    <w:name w:val="CM8"/>
    <w:basedOn w:val="Default"/>
    <w:next w:val="Default"/>
    <w:uiPriority w:val="99"/>
    <w:rsid w:val="00D03F33"/>
    <w:pPr>
      <w:spacing w:line="280" w:lineRule="atLeast"/>
    </w:pPr>
    <w:rPr>
      <w:color w:val="auto"/>
    </w:rPr>
  </w:style>
  <w:style w:type="paragraph" w:styleId="Header">
    <w:name w:val="header"/>
    <w:basedOn w:val="Normal"/>
    <w:link w:val="HeaderChar"/>
    <w:uiPriority w:val="99"/>
    <w:unhideWhenUsed/>
    <w:rsid w:val="00C320C2"/>
    <w:pPr>
      <w:tabs>
        <w:tab w:val="center" w:pos="4680"/>
        <w:tab w:val="right" w:pos="9360"/>
      </w:tabs>
    </w:pPr>
  </w:style>
  <w:style w:type="character" w:customStyle="1" w:styleId="HeaderChar">
    <w:name w:val="Header Char"/>
    <w:basedOn w:val="DefaultParagraphFont"/>
    <w:link w:val="Header"/>
    <w:uiPriority w:val="99"/>
    <w:rsid w:val="00C320C2"/>
    <w:rPr>
      <w:sz w:val="24"/>
      <w:szCs w:val="24"/>
    </w:rPr>
  </w:style>
  <w:style w:type="paragraph" w:styleId="BalloonText">
    <w:name w:val="Balloon Text"/>
    <w:basedOn w:val="Normal"/>
    <w:link w:val="BalloonTextChar"/>
    <w:uiPriority w:val="99"/>
    <w:semiHidden/>
    <w:unhideWhenUsed/>
    <w:rsid w:val="008544D1"/>
    <w:rPr>
      <w:rFonts w:ascii="Tahoma" w:hAnsi="Tahoma" w:cs="Tahoma"/>
      <w:sz w:val="16"/>
      <w:szCs w:val="16"/>
    </w:rPr>
  </w:style>
  <w:style w:type="character" w:customStyle="1" w:styleId="BalloonTextChar">
    <w:name w:val="Balloon Text Char"/>
    <w:basedOn w:val="DefaultParagraphFont"/>
    <w:link w:val="BalloonText"/>
    <w:uiPriority w:val="99"/>
    <w:semiHidden/>
    <w:rsid w:val="008544D1"/>
    <w:rPr>
      <w:rFonts w:ascii="Tahoma" w:hAnsi="Tahoma" w:cs="Tahoma"/>
      <w:sz w:val="16"/>
      <w:szCs w:val="16"/>
    </w:rPr>
  </w:style>
  <w:style w:type="paragraph" w:styleId="ListParagraph">
    <w:name w:val="List Paragraph"/>
    <w:basedOn w:val="Normal"/>
    <w:uiPriority w:val="34"/>
    <w:qFormat/>
    <w:rsid w:val="005C27F5"/>
    <w:pPr>
      <w:ind w:left="720"/>
      <w:contextualSpacing/>
    </w:pPr>
  </w:style>
  <w:style w:type="character" w:styleId="FollowedHyperlink">
    <w:name w:val="FollowedHyperlink"/>
    <w:basedOn w:val="DefaultParagraphFont"/>
    <w:uiPriority w:val="99"/>
    <w:semiHidden/>
    <w:unhideWhenUsed/>
    <w:rsid w:val="003453F4"/>
    <w:rPr>
      <w:color w:val="800080" w:themeColor="followedHyperlink"/>
      <w:u w:val="single"/>
    </w:rPr>
  </w:style>
  <w:style w:type="paragraph" w:customStyle="1" w:styleId="CM4">
    <w:name w:val="CM4"/>
    <w:basedOn w:val="Default"/>
    <w:next w:val="Default"/>
    <w:uiPriority w:val="99"/>
    <w:rsid w:val="00500461"/>
    <w:pPr>
      <w:spacing w:line="280" w:lineRule="atLeast"/>
    </w:pPr>
    <w:rPr>
      <w:color w:val="auto"/>
    </w:rPr>
  </w:style>
  <w:style w:type="character" w:customStyle="1" w:styleId="Heading1Char">
    <w:name w:val="Heading 1 Char"/>
    <w:basedOn w:val="DefaultParagraphFont"/>
    <w:link w:val="Heading1"/>
    <w:uiPriority w:val="9"/>
    <w:rsid w:val="003D25F3"/>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3D25F3"/>
    <w:pPr>
      <w:spacing w:line="276" w:lineRule="auto"/>
      <w:outlineLvl w:val="9"/>
    </w:pPr>
  </w:style>
  <w:style w:type="paragraph" w:styleId="TOC1">
    <w:name w:val="toc 1"/>
    <w:basedOn w:val="Normal"/>
    <w:next w:val="Normal"/>
    <w:autoRedefine/>
    <w:uiPriority w:val="39"/>
    <w:unhideWhenUsed/>
    <w:qFormat/>
    <w:rsid w:val="008E4769"/>
    <w:pPr>
      <w:tabs>
        <w:tab w:val="left" w:pos="660"/>
        <w:tab w:val="right" w:leader="dot" w:pos="9350"/>
      </w:tabs>
      <w:outlineLvl w:val="0"/>
    </w:pPr>
  </w:style>
  <w:style w:type="character" w:styleId="Strong">
    <w:name w:val="Strong"/>
    <w:basedOn w:val="DefaultParagraphFont"/>
    <w:uiPriority w:val="22"/>
    <w:qFormat/>
    <w:rsid w:val="003D25F3"/>
    <w:rPr>
      <w:b/>
      <w:bCs/>
    </w:rPr>
  </w:style>
  <w:style w:type="paragraph" w:styleId="TOC2">
    <w:name w:val="toc 2"/>
    <w:basedOn w:val="Normal"/>
    <w:next w:val="Normal"/>
    <w:autoRedefine/>
    <w:uiPriority w:val="39"/>
    <w:unhideWhenUsed/>
    <w:qFormat/>
    <w:rsid w:val="008E4769"/>
    <w:pPr>
      <w:tabs>
        <w:tab w:val="right" w:leader="dot" w:pos="9350"/>
      </w:tabs>
      <w:spacing w:after="100" w:line="276" w:lineRule="auto"/>
      <w:ind w:left="216"/>
    </w:pPr>
    <w:rPr>
      <w:rFonts w:eastAsiaTheme="minorEastAsia"/>
      <w:bCs/>
      <w:noProof/>
    </w:rPr>
  </w:style>
  <w:style w:type="paragraph" w:styleId="TOC3">
    <w:name w:val="toc 3"/>
    <w:basedOn w:val="Normal"/>
    <w:next w:val="Normal"/>
    <w:autoRedefine/>
    <w:uiPriority w:val="39"/>
    <w:unhideWhenUsed/>
    <w:qFormat/>
    <w:rsid w:val="00120226"/>
    <w:pPr>
      <w:spacing w:after="100" w:line="276" w:lineRule="auto"/>
      <w:ind w:left="440"/>
    </w:pPr>
    <w:rPr>
      <w:rFonts w:asciiTheme="minorHAnsi" w:eastAsiaTheme="minorEastAsia" w:hAnsiTheme="minorHAnsi" w:cstheme="minorBidi"/>
      <w:sz w:val="22"/>
      <w:szCs w:val="22"/>
    </w:rPr>
  </w:style>
  <w:style w:type="character" w:customStyle="1" w:styleId="Heading2Char">
    <w:name w:val="Heading 2 Char"/>
    <w:basedOn w:val="DefaultParagraphFont"/>
    <w:link w:val="Heading2"/>
    <w:uiPriority w:val="9"/>
    <w:rsid w:val="003E4C1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527F9"/>
    <w:rPr>
      <w:rFonts w:asciiTheme="majorHAnsi" w:eastAsiaTheme="majorEastAsia" w:hAnsiTheme="majorHAnsi" w:cstheme="majorBidi"/>
      <w:b/>
      <w:bCs/>
      <w:color w:val="4F81BD" w:themeColor="accent1"/>
      <w:sz w:val="24"/>
      <w:szCs w:val="24"/>
    </w:rPr>
  </w:style>
  <w:style w:type="character" w:styleId="CommentReference">
    <w:name w:val="annotation reference"/>
    <w:basedOn w:val="DefaultParagraphFont"/>
    <w:semiHidden/>
    <w:rsid w:val="00D15E81"/>
    <w:rPr>
      <w:sz w:val="16"/>
      <w:szCs w:val="16"/>
    </w:rPr>
  </w:style>
  <w:style w:type="paragraph" w:styleId="CommentSubject">
    <w:name w:val="annotation subject"/>
    <w:basedOn w:val="CommentText"/>
    <w:next w:val="CommentText"/>
    <w:link w:val="CommentSubjectChar"/>
    <w:uiPriority w:val="99"/>
    <w:semiHidden/>
    <w:unhideWhenUsed/>
    <w:rsid w:val="00BA6CC3"/>
    <w:rPr>
      <w:rFonts w:eastAsia="Times New Roman"/>
      <w:b/>
      <w:bCs/>
    </w:rPr>
  </w:style>
  <w:style w:type="character" w:customStyle="1" w:styleId="CommentSubjectChar">
    <w:name w:val="Comment Subject Char"/>
    <w:basedOn w:val="CommentTextChar"/>
    <w:link w:val="CommentSubject"/>
    <w:uiPriority w:val="99"/>
    <w:semiHidden/>
    <w:rsid w:val="00BA6CC3"/>
    <w:rPr>
      <w:rFonts w:eastAsia="SimSun"/>
      <w:b/>
      <w:bCs/>
    </w:rPr>
  </w:style>
  <w:style w:type="table" w:styleId="TableGrid">
    <w:name w:val="Table Grid"/>
    <w:basedOn w:val="TableNormal"/>
    <w:uiPriority w:val="39"/>
    <w:rsid w:val="004E22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source">
    <w:name w:val="exhibit source"/>
    <w:basedOn w:val="Normal"/>
    <w:uiPriority w:val="99"/>
    <w:rsid w:val="00563588"/>
    <w:pPr>
      <w:keepLines/>
      <w:spacing w:before="40" w:after="40" w:line="200" w:lineRule="exact"/>
      <w:ind w:left="187" w:hanging="187"/>
    </w:pPr>
    <w:rPr>
      <w:rFonts w:ascii="Arial" w:eastAsia="Calibri" w:hAnsi="Arial" w:cs="Arial"/>
      <w:sz w:val="18"/>
      <w:szCs w:val="18"/>
    </w:rPr>
  </w:style>
  <w:style w:type="paragraph" w:customStyle="1" w:styleId="TableHeaders">
    <w:name w:val="Table Headers"/>
    <w:basedOn w:val="Normal"/>
    <w:uiPriority w:val="99"/>
    <w:rsid w:val="00563588"/>
    <w:pPr>
      <w:keepNext/>
      <w:spacing w:before="40" w:after="40"/>
      <w:jc w:val="center"/>
    </w:pPr>
    <w:rPr>
      <w:rFonts w:ascii="Arial" w:eastAsia="Calibri" w:hAnsi="Arial" w:cs="Arial"/>
      <w:b/>
      <w:bCs/>
      <w:color w:val="FFFFFF"/>
      <w:sz w:val="20"/>
      <w:szCs w:val="20"/>
    </w:rPr>
  </w:style>
  <w:style w:type="paragraph" w:customStyle="1" w:styleId="BodyText1">
    <w:name w:val="Body Text1"/>
    <w:aliases w:val="bt,body tx,indent,flush,memo body text,body text"/>
    <w:basedOn w:val="Normal"/>
    <w:link w:val="bodytextChar"/>
    <w:uiPriority w:val="99"/>
    <w:rsid w:val="00563588"/>
    <w:pPr>
      <w:spacing w:before="120" w:after="120"/>
      <w:ind w:firstLine="720"/>
    </w:pPr>
    <w:rPr>
      <w:rFonts w:ascii="Calibri" w:eastAsia="Calibri" w:hAnsi="Calibri" w:cs="Calibri"/>
    </w:rPr>
  </w:style>
  <w:style w:type="character" w:customStyle="1" w:styleId="bodytextChar">
    <w:name w:val="body text Char"/>
    <w:aliases w:val="bt Char,body tx Char,indent Char,flush Char,memo body text Char"/>
    <w:basedOn w:val="DefaultParagraphFont"/>
    <w:link w:val="BodyText1"/>
    <w:uiPriority w:val="99"/>
    <w:locked/>
    <w:rsid w:val="00563588"/>
    <w:rPr>
      <w:rFonts w:ascii="Calibri" w:eastAsia="Calibri" w:hAnsi="Calibri" w:cs="Calibri"/>
      <w:sz w:val="24"/>
      <w:szCs w:val="24"/>
    </w:rPr>
  </w:style>
  <w:style w:type="character" w:styleId="FootnoteReference">
    <w:name w:val="footnote reference"/>
    <w:aliases w:val="fr"/>
    <w:basedOn w:val="DefaultParagraphFont"/>
    <w:uiPriority w:val="99"/>
    <w:rsid w:val="001C7136"/>
    <w:rPr>
      <w:rFonts w:cs="Times New Roman"/>
      <w:vertAlign w:val="superscript"/>
    </w:rPr>
  </w:style>
  <w:style w:type="paragraph" w:styleId="FootnoteText">
    <w:name w:val="footnote text"/>
    <w:basedOn w:val="Normal"/>
    <w:link w:val="FootnoteTextChar"/>
    <w:uiPriority w:val="99"/>
    <w:semiHidden/>
    <w:rsid w:val="001C7136"/>
    <w:rPr>
      <w:sz w:val="20"/>
      <w:szCs w:val="20"/>
    </w:rPr>
  </w:style>
  <w:style w:type="character" w:customStyle="1" w:styleId="FootnoteTextChar">
    <w:name w:val="Footnote Text Char"/>
    <w:basedOn w:val="DefaultParagraphFont"/>
    <w:link w:val="FootnoteText"/>
    <w:uiPriority w:val="99"/>
    <w:semiHidden/>
    <w:rsid w:val="001C7136"/>
  </w:style>
  <w:style w:type="paragraph" w:styleId="NoSpacing">
    <w:name w:val="No Spacing"/>
    <w:uiPriority w:val="1"/>
    <w:qFormat/>
    <w:rsid w:val="001C7136"/>
    <w:rPr>
      <w:rFonts w:ascii="Calibri" w:eastAsia="Calibri" w:hAnsi="Calibri" w:cs="Calibri"/>
      <w:sz w:val="22"/>
      <w:szCs w:val="22"/>
    </w:rPr>
  </w:style>
  <w:style w:type="paragraph" w:styleId="Revision">
    <w:name w:val="Revision"/>
    <w:hidden/>
    <w:uiPriority w:val="99"/>
    <w:semiHidden/>
    <w:rsid w:val="00737C4B"/>
    <w:rPr>
      <w:sz w:val="24"/>
      <w:szCs w:val="24"/>
    </w:rPr>
  </w:style>
  <w:style w:type="paragraph" w:styleId="NormalWeb">
    <w:name w:val="Normal (Web)"/>
    <w:basedOn w:val="Normal"/>
    <w:uiPriority w:val="99"/>
    <w:unhideWhenUsed/>
    <w:rsid w:val="0076675A"/>
    <w:pPr>
      <w:spacing w:after="180"/>
    </w:pPr>
  </w:style>
  <w:style w:type="paragraph" w:customStyle="1" w:styleId="BulletText1">
    <w:name w:val="Bullet Text 1"/>
    <w:basedOn w:val="Normal"/>
    <w:qFormat/>
    <w:rsid w:val="00FB53EE"/>
    <w:pPr>
      <w:numPr>
        <w:numId w:val="2"/>
      </w:numPr>
    </w:pPr>
    <w:rPr>
      <w:color w:val="000000"/>
      <w:szCs w:val="20"/>
    </w:rPr>
  </w:style>
  <w:style w:type="table" w:customStyle="1" w:styleId="TableGrid1">
    <w:name w:val="Table Grid1"/>
    <w:basedOn w:val="TableNormal"/>
    <w:next w:val="TableGrid"/>
    <w:uiPriority w:val="59"/>
    <w:rsid w:val="00540BD7"/>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DB2E1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GridTable1Light">
    <w:name w:val="Grid Table 1 Light"/>
    <w:basedOn w:val="TableNormal"/>
    <w:uiPriority w:val="46"/>
    <w:rsid w:val="00FC0A68"/>
    <w:rPr>
      <w:rFonts w:asciiTheme="minorHAnsi" w:eastAsiaTheme="minorHAnsi" w:hAnsiTheme="minorHAnsi" w:cstheme="minorBidi"/>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unhideWhenUsed/>
    <w:rsid w:val="00183ACA"/>
    <w:rPr>
      <w:color w:val="605E5C"/>
      <w:shd w:val="clear" w:color="auto" w:fill="E1DFDD"/>
    </w:rPr>
  </w:style>
  <w:style w:type="character" w:customStyle="1" w:styleId="sr-only">
    <w:name w:val="sr-only"/>
    <w:basedOn w:val="DefaultParagraphFont"/>
    <w:rsid w:val="00F16E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7757">
      <w:bodyDiv w:val="1"/>
      <w:marLeft w:val="4"/>
      <w:marRight w:val="4"/>
      <w:marTop w:val="4"/>
      <w:marBottom w:val="4"/>
      <w:divBdr>
        <w:top w:val="none" w:sz="0" w:space="0" w:color="auto"/>
        <w:left w:val="none" w:sz="0" w:space="0" w:color="auto"/>
        <w:bottom w:val="none" w:sz="0" w:space="0" w:color="auto"/>
        <w:right w:val="none" w:sz="0" w:space="0" w:color="auto"/>
      </w:divBdr>
      <w:divsChild>
        <w:div w:id="361322222">
          <w:marLeft w:val="0"/>
          <w:marRight w:val="0"/>
          <w:marTop w:val="0"/>
          <w:marBottom w:val="0"/>
          <w:divBdr>
            <w:top w:val="none" w:sz="0" w:space="0" w:color="auto"/>
            <w:left w:val="none" w:sz="0" w:space="0" w:color="auto"/>
            <w:bottom w:val="none" w:sz="0" w:space="0" w:color="auto"/>
            <w:right w:val="none" w:sz="0" w:space="0" w:color="auto"/>
          </w:divBdr>
          <w:divsChild>
            <w:div w:id="917522548">
              <w:marLeft w:val="0"/>
              <w:marRight w:val="0"/>
              <w:marTop w:val="0"/>
              <w:marBottom w:val="180"/>
              <w:divBdr>
                <w:top w:val="none" w:sz="0" w:space="0" w:color="auto"/>
                <w:left w:val="none" w:sz="0" w:space="0" w:color="auto"/>
                <w:bottom w:val="none" w:sz="0" w:space="0" w:color="auto"/>
                <w:right w:val="none" w:sz="0" w:space="0" w:color="auto"/>
              </w:divBdr>
              <w:divsChild>
                <w:div w:id="1183740811">
                  <w:marLeft w:val="0"/>
                  <w:marRight w:val="0"/>
                  <w:marTop w:val="0"/>
                  <w:marBottom w:val="0"/>
                  <w:divBdr>
                    <w:top w:val="none" w:sz="0" w:space="0" w:color="auto"/>
                    <w:left w:val="none" w:sz="0" w:space="0" w:color="auto"/>
                    <w:bottom w:val="none" w:sz="0" w:space="0" w:color="auto"/>
                    <w:right w:val="none" w:sz="0" w:space="0" w:color="auto"/>
                  </w:divBdr>
                  <w:divsChild>
                    <w:div w:id="1792748479">
                      <w:marLeft w:val="0"/>
                      <w:marRight w:val="0"/>
                      <w:marTop w:val="0"/>
                      <w:marBottom w:val="0"/>
                      <w:divBdr>
                        <w:top w:val="none" w:sz="0" w:space="0" w:color="auto"/>
                        <w:left w:val="none" w:sz="0" w:space="0" w:color="auto"/>
                        <w:bottom w:val="none" w:sz="0" w:space="0" w:color="auto"/>
                        <w:right w:val="none" w:sz="0" w:space="0" w:color="auto"/>
                      </w:divBdr>
                      <w:divsChild>
                        <w:div w:id="116655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125222">
      <w:bodyDiv w:val="1"/>
      <w:marLeft w:val="0"/>
      <w:marRight w:val="0"/>
      <w:marTop w:val="0"/>
      <w:marBottom w:val="0"/>
      <w:divBdr>
        <w:top w:val="none" w:sz="0" w:space="0" w:color="auto"/>
        <w:left w:val="none" w:sz="0" w:space="0" w:color="auto"/>
        <w:bottom w:val="none" w:sz="0" w:space="0" w:color="auto"/>
        <w:right w:val="none" w:sz="0" w:space="0" w:color="auto"/>
      </w:divBdr>
    </w:div>
    <w:div w:id="171914156">
      <w:bodyDiv w:val="1"/>
      <w:marLeft w:val="0"/>
      <w:marRight w:val="0"/>
      <w:marTop w:val="0"/>
      <w:marBottom w:val="0"/>
      <w:divBdr>
        <w:top w:val="none" w:sz="0" w:space="0" w:color="auto"/>
        <w:left w:val="none" w:sz="0" w:space="0" w:color="auto"/>
        <w:bottom w:val="none" w:sz="0" w:space="0" w:color="auto"/>
        <w:right w:val="none" w:sz="0" w:space="0" w:color="auto"/>
      </w:divBdr>
    </w:div>
    <w:div w:id="182984337">
      <w:bodyDiv w:val="1"/>
      <w:marLeft w:val="4"/>
      <w:marRight w:val="4"/>
      <w:marTop w:val="4"/>
      <w:marBottom w:val="4"/>
      <w:divBdr>
        <w:top w:val="none" w:sz="0" w:space="0" w:color="auto"/>
        <w:left w:val="none" w:sz="0" w:space="0" w:color="auto"/>
        <w:bottom w:val="none" w:sz="0" w:space="0" w:color="auto"/>
        <w:right w:val="none" w:sz="0" w:space="0" w:color="auto"/>
      </w:divBdr>
      <w:divsChild>
        <w:div w:id="1207450431">
          <w:marLeft w:val="0"/>
          <w:marRight w:val="0"/>
          <w:marTop w:val="0"/>
          <w:marBottom w:val="0"/>
          <w:divBdr>
            <w:top w:val="none" w:sz="0" w:space="0" w:color="auto"/>
            <w:left w:val="none" w:sz="0" w:space="0" w:color="auto"/>
            <w:bottom w:val="none" w:sz="0" w:space="0" w:color="auto"/>
            <w:right w:val="none" w:sz="0" w:space="0" w:color="auto"/>
          </w:divBdr>
          <w:divsChild>
            <w:div w:id="1750350520">
              <w:marLeft w:val="0"/>
              <w:marRight w:val="0"/>
              <w:marTop w:val="0"/>
              <w:marBottom w:val="180"/>
              <w:divBdr>
                <w:top w:val="none" w:sz="0" w:space="0" w:color="auto"/>
                <w:left w:val="none" w:sz="0" w:space="0" w:color="auto"/>
                <w:bottom w:val="none" w:sz="0" w:space="0" w:color="auto"/>
                <w:right w:val="none" w:sz="0" w:space="0" w:color="auto"/>
              </w:divBdr>
              <w:divsChild>
                <w:div w:id="92290392">
                  <w:marLeft w:val="0"/>
                  <w:marRight w:val="0"/>
                  <w:marTop w:val="0"/>
                  <w:marBottom w:val="0"/>
                  <w:divBdr>
                    <w:top w:val="none" w:sz="0" w:space="0" w:color="auto"/>
                    <w:left w:val="none" w:sz="0" w:space="0" w:color="auto"/>
                    <w:bottom w:val="none" w:sz="0" w:space="0" w:color="auto"/>
                    <w:right w:val="none" w:sz="0" w:space="0" w:color="auto"/>
                  </w:divBdr>
                  <w:divsChild>
                    <w:div w:id="573466871">
                      <w:marLeft w:val="0"/>
                      <w:marRight w:val="0"/>
                      <w:marTop w:val="0"/>
                      <w:marBottom w:val="0"/>
                      <w:divBdr>
                        <w:top w:val="none" w:sz="0" w:space="0" w:color="auto"/>
                        <w:left w:val="none" w:sz="0" w:space="0" w:color="auto"/>
                        <w:bottom w:val="none" w:sz="0" w:space="0" w:color="auto"/>
                        <w:right w:val="none" w:sz="0" w:space="0" w:color="auto"/>
                      </w:divBdr>
                      <w:divsChild>
                        <w:div w:id="207673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4085241">
      <w:bodyDiv w:val="1"/>
      <w:marLeft w:val="0"/>
      <w:marRight w:val="0"/>
      <w:marTop w:val="0"/>
      <w:marBottom w:val="0"/>
      <w:divBdr>
        <w:top w:val="none" w:sz="0" w:space="0" w:color="auto"/>
        <w:left w:val="none" w:sz="0" w:space="0" w:color="auto"/>
        <w:bottom w:val="none" w:sz="0" w:space="0" w:color="auto"/>
        <w:right w:val="none" w:sz="0" w:space="0" w:color="auto"/>
      </w:divBdr>
    </w:div>
    <w:div w:id="393746743">
      <w:bodyDiv w:val="1"/>
      <w:marLeft w:val="4"/>
      <w:marRight w:val="4"/>
      <w:marTop w:val="4"/>
      <w:marBottom w:val="4"/>
      <w:divBdr>
        <w:top w:val="none" w:sz="0" w:space="0" w:color="auto"/>
        <w:left w:val="none" w:sz="0" w:space="0" w:color="auto"/>
        <w:bottom w:val="none" w:sz="0" w:space="0" w:color="auto"/>
        <w:right w:val="none" w:sz="0" w:space="0" w:color="auto"/>
      </w:divBdr>
      <w:divsChild>
        <w:div w:id="1613786907">
          <w:marLeft w:val="0"/>
          <w:marRight w:val="0"/>
          <w:marTop w:val="0"/>
          <w:marBottom w:val="0"/>
          <w:divBdr>
            <w:top w:val="none" w:sz="0" w:space="0" w:color="auto"/>
            <w:left w:val="none" w:sz="0" w:space="0" w:color="auto"/>
            <w:bottom w:val="none" w:sz="0" w:space="0" w:color="auto"/>
            <w:right w:val="none" w:sz="0" w:space="0" w:color="auto"/>
          </w:divBdr>
          <w:divsChild>
            <w:div w:id="1302806668">
              <w:marLeft w:val="0"/>
              <w:marRight w:val="0"/>
              <w:marTop w:val="0"/>
              <w:marBottom w:val="180"/>
              <w:divBdr>
                <w:top w:val="none" w:sz="0" w:space="0" w:color="auto"/>
                <w:left w:val="none" w:sz="0" w:space="0" w:color="auto"/>
                <w:bottom w:val="none" w:sz="0" w:space="0" w:color="auto"/>
                <w:right w:val="none" w:sz="0" w:space="0" w:color="auto"/>
              </w:divBdr>
              <w:divsChild>
                <w:div w:id="2091343103">
                  <w:marLeft w:val="0"/>
                  <w:marRight w:val="0"/>
                  <w:marTop w:val="0"/>
                  <w:marBottom w:val="0"/>
                  <w:divBdr>
                    <w:top w:val="none" w:sz="0" w:space="0" w:color="auto"/>
                    <w:left w:val="none" w:sz="0" w:space="0" w:color="auto"/>
                    <w:bottom w:val="none" w:sz="0" w:space="0" w:color="auto"/>
                    <w:right w:val="none" w:sz="0" w:space="0" w:color="auto"/>
                  </w:divBdr>
                  <w:divsChild>
                    <w:div w:id="26223955">
                      <w:marLeft w:val="0"/>
                      <w:marRight w:val="0"/>
                      <w:marTop w:val="0"/>
                      <w:marBottom w:val="0"/>
                      <w:divBdr>
                        <w:top w:val="none" w:sz="0" w:space="0" w:color="auto"/>
                        <w:left w:val="none" w:sz="0" w:space="0" w:color="auto"/>
                        <w:bottom w:val="none" w:sz="0" w:space="0" w:color="auto"/>
                        <w:right w:val="none" w:sz="0" w:space="0" w:color="auto"/>
                      </w:divBdr>
                      <w:divsChild>
                        <w:div w:id="167124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8702087">
      <w:bodyDiv w:val="1"/>
      <w:marLeft w:val="0"/>
      <w:marRight w:val="0"/>
      <w:marTop w:val="0"/>
      <w:marBottom w:val="0"/>
      <w:divBdr>
        <w:top w:val="none" w:sz="0" w:space="0" w:color="auto"/>
        <w:left w:val="none" w:sz="0" w:space="0" w:color="auto"/>
        <w:bottom w:val="none" w:sz="0" w:space="0" w:color="auto"/>
        <w:right w:val="none" w:sz="0" w:space="0" w:color="auto"/>
      </w:divBdr>
    </w:div>
    <w:div w:id="881477101">
      <w:bodyDiv w:val="1"/>
      <w:marLeft w:val="4"/>
      <w:marRight w:val="4"/>
      <w:marTop w:val="4"/>
      <w:marBottom w:val="4"/>
      <w:divBdr>
        <w:top w:val="none" w:sz="0" w:space="0" w:color="auto"/>
        <w:left w:val="none" w:sz="0" w:space="0" w:color="auto"/>
        <w:bottom w:val="none" w:sz="0" w:space="0" w:color="auto"/>
        <w:right w:val="none" w:sz="0" w:space="0" w:color="auto"/>
      </w:divBdr>
      <w:divsChild>
        <w:div w:id="1067454350">
          <w:marLeft w:val="0"/>
          <w:marRight w:val="0"/>
          <w:marTop w:val="0"/>
          <w:marBottom w:val="0"/>
          <w:divBdr>
            <w:top w:val="none" w:sz="0" w:space="0" w:color="auto"/>
            <w:left w:val="none" w:sz="0" w:space="0" w:color="auto"/>
            <w:bottom w:val="none" w:sz="0" w:space="0" w:color="auto"/>
            <w:right w:val="none" w:sz="0" w:space="0" w:color="auto"/>
          </w:divBdr>
          <w:divsChild>
            <w:div w:id="1422070567">
              <w:marLeft w:val="0"/>
              <w:marRight w:val="0"/>
              <w:marTop w:val="0"/>
              <w:marBottom w:val="180"/>
              <w:divBdr>
                <w:top w:val="none" w:sz="0" w:space="0" w:color="auto"/>
                <w:left w:val="none" w:sz="0" w:space="0" w:color="auto"/>
                <w:bottom w:val="none" w:sz="0" w:space="0" w:color="auto"/>
                <w:right w:val="none" w:sz="0" w:space="0" w:color="auto"/>
              </w:divBdr>
              <w:divsChild>
                <w:div w:id="247007722">
                  <w:marLeft w:val="0"/>
                  <w:marRight w:val="0"/>
                  <w:marTop w:val="0"/>
                  <w:marBottom w:val="0"/>
                  <w:divBdr>
                    <w:top w:val="none" w:sz="0" w:space="0" w:color="auto"/>
                    <w:left w:val="none" w:sz="0" w:space="0" w:color="auto"/>
                    <w:bottom w:val="none" w:sz="0" w:space="0" w:color="auto"/>
                    <w:right w:val="none" w:sz="0" w:space="0" w:color="auto"/>
                  </w:divBdr>
                  <w:divsChild>
                    <w:div w:id="578290829">
                      <w:marLeft w:val="0"/>
                      <w:marRight w:val="0"/>
                      <w:marTop w:val="0"/>
                      <w:marBottom w:val="0"/>
                      <w:divBdr>
                        <w:top w:val="none" w:sz="0" w:space="0" w:color="auto"/>
                        <w:left w:val="none" w:sz="0" w:space="0" w:color="auto"/>
                        <w:bottom w:val="none" w:sz="0" w:space="0" w:color="auto"/>
                        <w:right w:val="none" w:sz="0" w:space="0" w:color="auto"/>
                      </w:divBdr>
                      <w:divsChild>
                        <w:div w:id="63360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7930631">
      <w:bodyDiv w:val="1"/>
      <w:marLeft w:val="0"/>
      <w:marRight w:val="0"/>
      <w:marTop w:val="0"/>
      <w:marBottom w:val="0"/>
      <w:divBdr>
        <w:top w:val="none" w:sz="0" w:space="0" w:color="auto"/>
        <w:left w:val="none" w:sz="0" w:space="0" w:color="auto"/>
        <w:bottom w:val="none" w:sz="0" w:space="0" w:color="auto"/>
        <w:right w:val="none" w:sz="0" w:space="0" w:color="auto"/>
      </w:divBdr>
    </w:div>
    <w:div w:id="1015578476">
      <w:bodyDiv w:val="1"/>
      <w:marLeft w:val="4"/>
      <w:marRight w:val="4"/>
      <w:marTop w:val="4"/>
      <w:marBottom w:val="4"/>
      <w:divBdr>
        <w:top w:val="none" w:sz="0" w:space="0" w:color="auto"/>
        <w:left w:val="none" w:sz="0" w:space="0" w:color="auto"/>
        <w:bottom w:val="none" w:sz="0" w:space="0" w:color="auto"/>
        <w:right w:val="none" w:sz="0" w:space="0" w:color="auto"/>
      </w:divBdr>
      <w:divsChild>
        <w:div w:id="1901746093">
          <w:marLeft w:val="0"/>
          <w:marRight w:val="0"/>
          <w:marTop w:val="0"/>
          <w:marBottom w:val="0"/>
          <w:divBdr>
            <w:top w:val="none" w:sz="0" w:space="0" w:color="auto"/>
            <w:left w:val="none" w:sz="0" w:space="0" w:color="auto"/>
            <w:bottom w:val="none" w:sz="0" w:space="0" w:color="auto"/>
            <w:right w:val="none" w:sz="0" w:space="0" w:color="auto"/>
          </w:divBdr>
          <w:divsChild>
            <w:div w:id="1569265822">
              <w:marLeft w:val="0"/>
              <w:marRight w:val="0"/>
              <w:marTop w:val="0"/>
              <w:marBottom w:val="180"/>
              <w:divBdr>
                <w:top w:val="none" w:sz="0" w:space="0" w:color="auto"/>
                <w:left w:val="none" w:sz="0" w:space="0" w:color="auto"/>
                <w:bottom w:val="none" w:sz="0" w:space="0" w:color="auto"/>
                <w:right w:val="none" w:sz="0" w:space="0" w:color="auto"/>
              </w:divBdr>
              <w:divsChild>
                <w:div w:id="386345976">
                  <w:marLeft w:val="0"/>
                  <w:marRight w:val="0"/>
                  <w:marTop w:val="0"/>
                  <w:marBottom w:val="0"/>
                  <w:divBdr>
                    <w:top w:val="none" w:sz="0" w:space="0" w:color="auto"/>
                    <w:left w:val="none" w:sz="0" w:space="0" w:color="auto"/>
                    <w:bottom w:val="none" w:sz="0" w:space="0" w:color="auto"/>
                    <w:right w:val="none" w:sz="0" w:space="0" w:color="auto"/>
                  </w:divBdr>
                  <w:divsChild>
                    <w:div w:id="1994095812">
                      <w:marLeft w:val="0"/>
                      <w:marRight w:val="0"/>
                      <w:marTop w:val="0"/>
                      <w:marBottom w:val="0"/>
                      <w:divBdr>
                        <w:top w:val="none" w:sz="0" w:space="0" w:color="auto"/>
                        <w:left w:val="none" w:sz="0" w:space="0" w:color="auto"/>
                        <w:bottom w:val="none" w:sz="0" w:space="0" w:color="auto"/>
                        <w:right w:val="none" w:sz="0" w:space="0" w:color="auto"/>
                      </w:divBdr>
                      <w:divsChild>
                        <w:div w:id="11904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7337783">
      <w:bodyDiv w:val="1"/>
      <w:marLeft w:val="4"/>
      <w:marRight w:val="4"/>
      <w:marTop w:val="4"/>
      <w:marBottom w:val="4"/>
      <w:divBdr>
        <w:top w:val="none" w:sz="0" w:space="0" w:color="auto"/>
        <w:left w:val="none" w:sz="0" w:space="0" w:color="auto"/>
        <w:bottom w:val="none" w:sz="0" w:space="0" w:color="auto"/>
        <w:right w:val="none" w:sz="0" w:space="0" w:color="auto"/>
      </w:divBdr>
      <w:divsChild>
        <w:div w:id="119686677">
          <w:marLeft w:val="0"/>
          <w:marRight w:val="0"/>
          <w:marTop w:val="0"/>
          <w:marBottom w:val="0"/>
          <w:divBdr>
            <w:top w:val="none" w:sz="0" w:space="0" w:color="auto"/>
            <w:left w:val="none" w:sz="0" w:space="0" w:color="auto"/>
            <w:bottom w:val="none" w:sz="0" w:space="0" w:color="auto"/>
            <w:right w:val="none" w:sz="0" w:space="0" w:color="auto"/>
          </w:divBdr>
          <w:divsChild>
            <w:div w:id="1211184068">
              <w:marLeft w:val="0"/>
              <w:marRight w:val="0"/>
              <w:marTop w:val="0"/>
              <w:marBottom w:val="180"/>
              <w:divBdr>
                <w:top w:val="none" w:sz="0" w:space="0" w:color="auto"/>
                <w:left w:val="none" w:sz="0" w:space="0" w:color="auto"/>
                <w:bottom w:val="none" w:sz="0" w:space="0" w:color="auto"/>
                <w:right w:val="none" w:sz="0" w:space="0" w:color="auto"/>
              </w:divBdr>
              <w:divsChild>
                <w:div w:id="1173688973">
                  <w:marLeft w:val="0"/>
                  <w:marRight w:val="0"/>
                  <w:marTop w:val="0"/>
                  <w:marBottom w:val="0"/>
                  <w:divBdr>
                    <w:top w:val="none" w:sz="0" w:space="0" w:color="auto"/>
                    <w:left w:val="none" w:sz="0" w:space="0" w:color="auto"/>
                    <w:bottom w:val="none" w:sz="0" w:space="0" w:color="auto"/>
                    <w:right w:val="none" w:sz="0" w:space="0" w:color="auto"/>
                  </w:divBdr>
                  <w:divsChild>
                    <w:div w:id="1213540653">
                      <w:marLeft w:val="0"/>
                      <w:marRight w:val="0"/>
                      <w:marTop w:val="0"/>
                      <w:marBottom w:val="0"/>
                      <w:divBdr>
                        <w:top w:val="none" w:sz="0" w:space="0" w:color="auto"/>
                        <w:left w:val="none" w:sz="0" w:space="0" w:color="auto"/>
                        <w:bottom w:val="none" w:sz="0" w:space="0" w:color="auto"/>
                        <w:right w:val="none" w:sz="0" w:space="0" w:color="auto"/>
                      </w:divBdr>
                      <w:divsChild>
                        <w:div w:id="103855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4125513">
      <w:bodyDiv w:val="1"/>
      <w:marLeft w:val="0"/>
      <w:marRight w:val="0"/>
      <w:marTop w:val="0"/>
      <w:marBottom w:val="0"/>
      <w:divBdr>
        <w:top w:val="none" w:sz="0" w:space="0" w:color="auto"/>
        <w:left w:val="none" w:sz="0" w:space="0" w:color="auto"/>
        <w:bottom w:val="none" w:sz="0" w:space="0" w:color="auto"/>
        <w:right w:val="none" w:sz="0" w:space="0" w:color="auto"/>
      </w:divBdr>
    </w:div>
    <w:div w:id="1259674249">
      <w:bodyDiv w:val="1"/>
      <w:marLeft w:val="4"/>
      <w:marRight w:val="4"/>
      <w:marTop w:val="4"/>
      <w:marBottom w:val="4"/>
      <w:divBdr>
        <w:top w:val="none" w:sz="0" w:space="0" w:color="auto"/>
        <w:left w:val="none" w:sz="0" w:space="0" w:color="auto"/>
        <w:bottom w:val="none" w:sz="0" w:space="0" w:color="auto"/>
        <w:right w:val="none" w:sz="0" w:space="0" w:color="auto"/>
      </w:divBdr>
      <w:divsChild>
        <w:div w:id="424421391">
          <w:marLeft w:val="0"/>
          <w:marRight w:val="0"/>
          <w:marTop w:val="0"/>
          <w:marBottom w:val="0"/>
          <w:divBdr>
            <w:top w:val="none" w:sz="0" w:space="0" w:color="auto"/>
            <w:left w:val="none" w:sz="0" w:space="0" w:color="auto"/>
            <w:bottom w:val="none" w:sz="0" w:space="0" w:color="auto"/>
            <w:right w:val="none" w:sz="0" w:space="0" w:color="auto"/>
          </w:divBdr>
          <w:divsChild>
            <w:div w:id="1061945431">
              <w:marLeft w:val="0"/>
              <w:marRight w:val="0"/>
              <w:marTop w:val="0"/>
              <w:marBottom w:val="180"/>
              <w:divBdr>
                <w:top w:val="none" w:sz="0" w:space="0" w:color="auto"/>
                <w:left w:val="none" w:sz="0" w:space="0" w:color="auto"/>
                <w:bottom w:val="none" w:sz="0" w:space="0" w:color="auto"/>
                <w:right w:val="none" w:sz="0" w:space="0" w:color="auto"/>
              </w:divBdr>
              <w:divsChild>
                <w:div w:id="920065964">
                  <w:marLeft w:val="0"/>
                  <w:marRight w:val="0"/>
                  <w:marTop w:val="0"/>
                  <w:marBottom w:val="0"/>
                  <w:divBdr>
                    <w:top w:val="none" w:sz="0" w:space="0" w:color="auto"/>
                    <w:left w:val="none" w:sz="0" w:space="0" w:color="auto"/>
                    <w:bottom w:val="none" w:sz="0" w:space="0" w:color="auto"/>
                    <w:right w:val="none" w:sz="0" w:space="0" w:color="auto"/>
                  </w:divBdr>
                  <w:divsChild>
                    <w:div w:id="1856848465">
                      <w:marLeft w:val="0"/>
                      <w:marRight w:val="0"/>
                      <w:marTop w:val="0"/>
                      <w:marBottom w:val="0"/>
                      <w:divBdr>
                        <w:top w:val="none" w:sz="0" w:space="0" w:color="auto"/>
                        <w:left w:val="none" w:sz="0" w:space="0" w:color="auto"/>
                        <w:bottom w:val="none" w:sz="0" w:space="0" w:color="auto"/>
                        <w:right w:val="none" w:sz="0" w:space="0" w:color="auto"/>
                      </w:divBdr>
                      <w:divsChild>
                        <w:div w:id="24877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7101752">
      <w:bodyDiv w:val="1"/>
      <w:marLeft w:val="0"/>
      <w:marRight w:val="0"/>
      <w:marTop w:val="0"/>
      <w:marBottom w:val="0"/>
      <w:divBdr>
        <w:top w:val="none" w:sz="0" w:space="0" w:color="auto"/>
        <w:left w:val="none" w:sz="0" w:space="0" w:color="auto"/>
        <w:bottom w:val="none" w:sz="0" w:space="0" w:color="auto"/>
        <w:right w:val="none" w:sz="0" w:space="0" w:color="auto"/>
      </w:divBdr>
    </w:div>
    <w:div w:id="1405103730">
      <w:bodyDiv w:val="1"/>
      <w:marLeft w:val="0"/>
      <w:marRight w:val="0"/>
      <w:marTop w:val="0"/>
      <w:marBottom w:val="0"/>
      <w:divBdr>
        <w:top w:val="none" w:sz="0" w:space="0" w:color="auto"/>
        <w:left w:val="none" w:sz="0" w:space="0" w:color="auto"/>
        <w:bottom w:val="none" w:sz="0" w:space="0" w:color="auto"/>
        <w:right w:val="none" w:sz="0" w:space="0" w:color="auto"/>
      </w:divBdr>
    </w:div>
    <w:div w:id="1514220139">
      <w:bodyDiv w:val="1"/>
      <w:marLeft w:val="0"/>
      <w:marRight w:val="0"/>
      <w:marTop w:val="0"/>
      <w:marBottom w:val="0"/>
      <w:divBdr>
        <w:top w:val="none" w:sz="0" w:space="0" w:color="auto"/>
        <w:left w:val="none" w:sz="0" w:space="0" w:color="auto"/>
        <w:bottom w:val="none" w:sz="0" w:space="0" w:color="auto"/>
        <w:right w:val="none" w:sz="0" w:space="0" w:color="auto"/>
      </w:divBdr>
    </w:div>
    <w:div w:id="1529677844">
      <w:bodyDiv w:val="1"/>
      <w:marLeft w:val="4"/>
      <w:marRight w:val="4"/>
      <w:marTop w:val="4"/>
      <w:marBottom w:val="4"/>
      <w:divBdr>
        <w:top w:val="none" w:sz="0" w:space="0" w:color="auto"/>
        <w:left w:val="none" w:sz="0" w:space="0" w:color="auto"/>
        <w:bottom w:val="none" w:sz="0" w:space="0" w:color="auto"/>
        <w:right w:val="none" w:sz="0" w:space="0" w:color="auto"/>
      </w:divBdr>
      <w:divsChild>
        <w:div w:id="430244653">
          <w:marLeft w:val="0"/>
          <w:marRight w:val="0"/>
          <w:marTop w:val="0"/>
          <w:marBottom w:val="0"/>
          <w:divBdr>
            <w:top w:val="none" w:sz="0" w:space="0" w:color="auto"/>
            <w:left w:val="none" w:sz="0" w:space="0" w:color="auto"/>
            <w:bottom w:val="none" w:sz="0" w:space="0" w:color="auto"/>
            <w:right w:val="none" w:sz="0" w:space="0" w:color="auto"/>
          </w:divBdr>
          <w:divsChild>
            <w:div w:id="122575348">
              <w:marLeft w:val="0"/>
              <w:marRight w:val="0"/>
              <w:marTop w:val="0"/>
              <w:marBottom w:val="180"/>
              <w:divBdr>
                <w:top w:val="none" w:sz="0" w:space="0" w:color="auto"/>
                <w:left w:val="none" w:sz="0" w:space="0" w:color="auto"/>
                <w:bottom w:val="none" w:sz="0" w:space="0" w:color="auto"/>
                <w:right w:val="none" w:sz="0" w:space="0" w:color="auto"/>
              </w:divBdr>
              <w:divsChild>
                <w:div w:id="187378174">
                  <w:marLeft w:val="0"/>
                  <w:marRight w:val="0"/>
                  <w:marTop w:val="0"/>
                  <w:marBottom w:val="0"/>
                  <w:divBdr>
                    <w:top w:val="none" w:sz="0" w:space="0" w:color="auto"/>
                    <w:left w:val="none" w:sz="0" w:space="0" w:color="auto"/>
                    <w:bottom w:val="none" w:sz="0" w:space="0" w:color="auto"/>
                    <w:right w:val="none" w:sz="0" w:space="0" w:color="auto"/>
                  </w:divBdr>
                  <w:divsChild>
                    <w:div w:id="1434401576">
                      <w:marLeft w:val="0"/>
                      <w:marRight w:val="0"/>
                      <w:marTop w:val="0"/>
                      <w:marBottom w:val="0"/>
                      <w:divBdr>
                        <w:top w:val="none" w:sz="0" w:space="0" w:color="auto"/>
                        <w:left w:val="none" w:sz="0" w:space="0" w:color="auto"/>
                        <w:bottom w:val="none" w:sz="0" w:space="0" w:color="auto"/>
                        <w:right w:val="none" w:sz="0" w:space="0" w:color="auto"/>
                      </w:divBdr>
                      <w:divsChild>
                        <w:div w:id="168994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2228297">
      <w:bodyDiv w:val="1"/>
      <w:marLeft w:val="0"/>
      <w:marRight w:val="0"/>
      <w:marTop w:val="0"/>
      <w:marBottom w:val="0"/>
      <w:divBdr>
        <w:top w:val="none" w:sz="0" w:space="0" w:color="auto"/>
        <w:left w:val="none" w:sz="0" w:space="0" w:color="auto"/>
        <w:bottom w:val="none" w:sz="0" w:space="0" w:color="auto"/>
        <w:right w:val="none" w:sz="0" w:space="0" w:color="auto"/>
      </w:divBdr>
    </w:div>
    <w:div w:id="2086563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Kowalski@cdc.gov"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c.gov/nceh/lead/data/blood-lead-reference-value.ht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hindawi.com/journals/jeph/2013/278042/"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bls.gov/oes/current/oes_nat.ht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A62DBB-2DCD-4EFA-B9D6-B761ED36B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5352</Words>
  <Characters>32115</Characters>
  <Application>Microsoft Office Word</Application>
  <DocSecurity>0</DocSecurity>
  <Lines>267</Lines>
  <Paragraphs>74</Paragraphs>
  <ScaleCrop>false</ScaleCrop>
  <HeadingPairs>
    <vt:vector size="2" baseType="variant">
      <vt:variant>
        <vt:lpstr>Title</vt:lpstr>
      </vt:variant>
      <vt:variant>
        <vt:i4>1</vt:i4>
      </vt:variant>
    </vt:vector>
  </HeadingPairs>
  <TitlesOfParts>
    <vt:vector size="1" baseType="lpstr">
      <vt:lpstr>Attachment 1. Blood Lead Levels in JNC EI:  Supporting Statement A</vt:lpstr>
    </vt:vector>
  </TitlesOfParts>
  <Company>Centers for Disease Control and Prevention</Company>
  <LinksUpToDate>false</LinksUpToDate>
  <CharactersWithSpaces>37393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1. Blood Lead Levels in JNC EI:  Supporting Statement A</dc:title>
  <dc:subject/>
  <dc:creator>CDC User</dc:creator>
  <cp:keywords/>
  <dc:description/>
  <cp:lastModifiedBy>Joyce, Kevin J. (CDC/DDPHSS/OS/OSI)</cp:lastModifiedBy>
  <cp:revision>3</cp:revision>
  <cp:lastPrinted>2016-11-09T19:07:00Z</cp:lastPrinted>
  <dcterms:created xsi:type="dcterms:W3CDTF">2022-06-15T20:18:00Z</dcterms:created>
  <dcterms:modified xsi:type="dcterms:W3CDTF">2022-06-15T20:19:00Z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2022-04-14T15:38:50Z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579e191a-fea9-428c-b911-2f0452a3c52a</vt:lpwstr>
  </property>
  <property fmtid="{D5CDD505-2E9C-101B-9397-08002B2CF9AE}" pid="8" name="MSIP_Label_8af03ff0-41c5-4c41-b55e-fabb8fae94be_ContentBits">
    <vt:lpwstr>0</vt:lpwstr>
  </property>
</Properties>
</file>