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B701E8" w:rsidR="004A76F5" w:rsidP="00493868" w:rsidRDefault="004A76F5" w14:paraId="74240C62" w14:textId="77777777">
      <w:pPr>
        <w:tabs>
          <w:tab w:val="left" w:pos="540"/>
        </w:tabs>
        <w:ind w:left="540" w:hanging="540"/>
        <w:jc w:val="center"/>
        <w:rPr>
          <w:b/>
          <w:sz w:val="24"/>
          <w:szCs w:val="24"/>
        </w:rPr>
      </w:pPr>
      <w:r w:rsidRPr="00B701E8">
        <w:rPr>
          <w:b/>
          <w:sz w:val="24"/>
          <w:szCs w:val="24"/>
        </w:rPr>
        <w:t>SUPPORTING STATEMENT</w:t>
      </w:r>
    </w:p>
    <w:p w:rsidRPr="00B701E8" w:rsidR="004A76F5" w:rsidP="00493868" w:rsidRDefault="004A76F5" w14:paraId="25FC0CB4" w14:textId="77777777">
      <w:pPr>
        <w:tabs>
          <w:tab w:val="left" w:pos="540"/>
        </w:tabs>
        <w:ind w:left="540" w:hanging="540"/>
        <w:jc w:val="center"/>
        <w:rPr>
          <w:b/>
          <w:sz w:val="24"/>
          <w:szCs w:val="24"/>
        </w:rPr>
      </w:pPr>
      <w:r w:rsidRPr="00B701E8">
        <w:rPr>
          <w:b/>
          <w:sz w:val="24"/>
          <w:szCs w:val="24"/>
        </w:rPr>
        <w:t>U.S. Department of Commerce</w:t>
      </w:r>
    </w:p>
    <w:p w:rsidRPr="00B701E8" w:rsidR="004A76F5" w:rsidP="00493868" w:rsidRDefault="004A76F5" w14:paraId="51802E08" w14:textId="77777777">
      <w:pPr>
        <w:tabs>
          <w:tab w:val="left" w:pos="540"/>
        </w:tabs>
        <w:ind w:left="540" w:hanging="540"/>
        <w:jc w:val="center"/>
        <w:rPr>
          <w:b/>
          <w:sz w:val="24"/>
          <w:szCs w:val="24"/>
        </w:rPr>
      </w:pPr>
      <w:r w:rsidRPr="00B701E8">
        <w:rPr>
          <w:b/>
          <w:sz w:val="24"/>
          <w:szCs w:val="24"/>
        </w:rPr>
        <w:t>National Oceanic &amp; Atmospheric Administration</w:t>
      </w:r>
    </w:p>
    <w:p w:rsidRPr="00B701E8" w:rsidR="004A76F5" w:rsidP="00493868" w:rsidRDefault="00E91F6C" w14:paraId="3D72BE2D" w14:textId="15DA991F">
      <w:pPr>
        <w:tabs>
          <w:tab w:val="left" w:pos="540"/>
        </w:tabs>
        <w:ind w:left="540" w:hanging="540"/>
        <w:jc w:val="center"/>
        <w:rPr>
          <w:b/>
          <w:sz w:val="24"/>
          <w:szCs w:val="24"/>
        </w:rPr>
      </w:pPr>
      <w:r>
        <w:rPr>
          <w:b/>
          <w:sz w:val="24"/>
          <w:szCs w:val="24"/>
        </w:rPr>
        <w:t xml:space="preserve">Pacific Islands </w:t>
      </w:r>
      <w:r w:rsidR="00544150">
        <w:rPr>
          <w:b/>
          <w:sz w:val="24"/>
          <w:szCs w:val="24"/>
        </w:rPr>
        <w:t xml:space="preserve">Region </w:t>
      </w:r>
      <w:r>
        <w:rPr>
          <w:b/>
          <w:sz w:val="24"/>
          <w:szCs w:val="24"/>
        </w:rPr>
        <w:t>Permit Family of Forms</w:t>
      </w:r>
    </w:p>
    <w:p w:rsidRPr="00B701E8" w:rsidR="004A76F5" w:rsidP="00493868" w:rsidRDefault="00E91F6C" w14:paraId="75F692F2" w14:textId="66981E9F">
      <w:pPr>
        <w:tabs>
          <w:tab w:val="left" w:pos="540"/>
        </w:tabs>
        <w:ind w:left="540" w:hanging="540"/>
        <w:jc w:val="center"/>
        <w:rPr>
          <w:b/>
          <w:sz w:val="24"/>
          <w:szCs w:val="24"/>
        </w:rPr>
      </w:pPr>
      <w:r>
        <w:rPr>
          <w:b/>
          <w:sz w:val="24"/>
          <w:szCs w:val="24"/>
        </w:rPr>
        <w:t>OMB Control No. 0648-0490</w:t>
      </w:r>
    </w:p>
    <w:p w:rsidR="004F26E9" w:rsidP="00493868" w:rsidRDefault="004F26E9" w14:paraId="0F703C83" w14:textId="77777777">
      <w:pPr>
        <w:tabs>
          <w:tab w:val="left" w:pos="540"/>
        </w:tabs>
        <w:ind w:left="540" w:hanging="540"/>
        <w:rPr>
          <w:sz w:val="24"/>
          <w:szCs w:val="24"/>
        </w:rPr>
      </w:pPr>
    </w:p>
    <w:p w:rsidR="004F26E9" w:rsidP="00493868" w:rsidRDefault="004F26E9" w14:paraId="5FCE24F6" w14:textId="77777777">
      <w:pPr>
        <w:tabs>
          <w:tab w:val="left" w:pos="540"/>
        </w:tabs>
        <w:ind w:left="540" w:hanging="540"/>
        <w:rPr>
          <w:sz w:val="24"/>
          <w:szCs w:val="24"/>
        </w:rPr>
      </w:pPr>
    </w:p>
    <w:p w:rsidRPr="00283F01" w:rsidR="00A20388" w:rsidP="00A20388" w:rsidRDefault="00283F01" w14:paraId="026CD420" w14:textId="77777777">
      <w:pPr>
        <w:tabs>
          <w:tab w:val="left" w:pos="540"/>
          <w:tab w:val="left" w:pos="720"/>
        </w:tabs>
        <w:rPr>
          <w:b/>
          <w:sz w:val="24"/>
          <w:szCs w:val="24"/>
        </w:rPr>
      </w:pPr>
      <w:r w:rsidRPr="00283F01">
        <w:rPr>
          <w:b/>
          <w:sz w:val="24"/>
          <w:szCs w:val="24"/>
        </w:rPr>
        <w:t>Abstract</w:t>
      </w:r>
    </w:p>
    <w:p w:rsidR="00283F01" w:rsidP="00A20388" w:rsidRDefault="00283F01" w14:paraId="2412928A" w14:textId="77777777">
      <w:pPr>
        <w:tabs>
          <w:tab w:val="left" w:pos="540"/>
          <w:tab w:val="left" w:pos="720"/>
        </w:tabs>
        <w:rPr>
          <w:sz w:val="24"/>
          <w:szCs w:val="24"/>
        </w:rPr>
      </w:pPr>
    </w:p>
    <w:p w:rsidRPr="009D4B79" w:rsidR="00347E85" w:rsidP="009D4B79" w:rsidRDefault="00347E85" w14:paraId="02081A2A" w14:textId="4C28A2FC">
      <w:pPr>
        <w:rPr>
          <w:sz w:val="24"/>
          <w:szCs w:val="24"/>
        </w:rPr>
      </w:pPr>
      <w:r w:rsidRPr="00347E85">
        <w:rPr>
          <w:sz w:val="24"/>
          <w:szCs w:val="24"/>
        </w:rPr>
        <w:t>This request is for a revision to merge the permit application forms from two currently approved information collections</w:t>
      </w:r>
      <w:r w:rsidR="00B70A4E">
        <w:rPr>
          <w:sz w:val="24"/>
          <w:szCs w:val="24"/>
        </w:rPr>
        <w:t xml:space="preserve"> –</w:t>
      </w:r>
      <w:r w:rsidRPr="00347E85">
        <w:rPr>
          <w:sz w:val="24"/>
          <w:szCs w:val="24"/>
        </w:rPr>
        <w:t xml:space="preserve"> </w:t>
      </w:r>
      <w:r w:rsidRPr="009D4B79">
        <w:rPr>
          <w:sz w:val="24"/>
          <w:szCs w:val="24"/>
        </w:rPr>
        <w:t>Pacific Islands Region Coral Reef Ecosystem Permit Form</w:t>
      </w:r>
      <w:r w:rsidR="009D4B79">
        <w:rPr>
          <w:sz w:val="24"/>
          <w:szCs w:val="24"/>
        </w:rPr>
        <w:t xml:space="preserve"> (OMB Control No. </w:t>
      </w:r>
      <w:r w:rsidRPr="009D4B79" w:rsidR="009D4B79">
        <w:rPr>
          <w:sz w:val="24"/>
          <w:szCs w:val="24"/>
        </w:rPr>
        <w:t>0648-0463</w:t>
      </w:r>
      <w:r w:rsidR="009D4B79">
        <w:rPr>
          <w:sz w:val="24"/>
          <w:szCs w:val="24"/>
        </w:rPr>
        <w:t>)</w:t>
      </w:r>
      <w:r w:rsidRPr="009D4B79">
        <w:rPr>
          <w:sz w:val="24"/>
          <w:szCs w:val="24"/>
        </w:rPr>
        <w:t xml:space="preserve"> and Non-commercial Permit and Reporting Requirements in the Main Hawaiian Islands Bottomfish Fishery</w:t>
      </w:r>
      <w:r w:rsidR="009D4B79">
        <w:rPr>
          <w:sz w:val="24"/>
          <w:szCs w:val="24"/>
        </w:rPr>
        <w:t xml:space="preserve"> (OMB Control No. </w:t>
      </w:r>
      <w:r w:rsidRPr="009D4B79" w:rsidR="009D4B79">
        <w:rPr>
          <w:sz w:val="24"/>
          <w:szCs w:val="24"/>
        </w:rPr>
        <w:t>0648-0577</w:t>
      </w:r>
      <w:r w:rsidR="009D4B79">
        <w:rPr>
          <w:sz w:val="24"/>
          <w:szCs w:val="24"/>
        </w:rPr>
        <w:t>)</w:t>
      </w:r>
      <w:r w:rsidR="00B70A4E">
        <w:rPr>
          <w:sz w:val="24"/>
          <w:szCs w:val="24"/>
        </w:rPr>
        <w:t xml:space="preserve"> –</w:t>
      </w:r>
      <w:r w:rsidRPr="009D4B79">
        <w:rPr>
          <w:sz w:val="24"/>
          <w:szCs w:val="24"/>
        </w:rPr>
        <w:t xml:space="preserve"> into the currently approved Pacific Islands Region Permit Family of Forms</w:t>
      </w:r>
      <w:r w:rsidR="00B70A4E">
        <w:rPr>
          <w:sz w:val="24"/>
          <w:szCs w:val="24"/>
        </w:rPr>
        <w:t xml:space="preserve"> (OMB Control No. </w:t>
      </w:r>
      <w:r w:rsidRPr="00B70A4E" w:rsidR="00B70A4E">
        <w:rPr>
          <w:sz w:val="24"/>
          <w:szCs w:val="24"/>
        </w:rPr>
        <w:t>0648-0490</w:t>
      </w:r>
      <w:r w:rsidR="00B70A4E">
        <w:rPr>
          <w:sz w:val="24"/>
          <w:szCs w:val="24"/>
        </w:rPr>
        <w:t>).</w:t>
      </w:r>
      <w:r w:rsidRPr="009D4B79">
        <w:rPr>
          <w:sz w:val="24"/>
          <w:szCs w:val="24"/>
        </w:rPr>
        <w:t xml:space="preserve"> </w:t>
      </w:r>
      <w:r w:rsidR="00B70A4E">
        <w:rPr>
          <w:sz w:val="24"/>
          <w:szCs w:val="24"/>
        </w:rPr>
        <w:t>This request would also</w:t>
      </w:r>
      <w:r w:rsidRPr="009D4B79">
        <w:rPr>
          <w:sz w:val="24"/>
          <w:szCs w:val="24"/>
        </w:rPr>
        <w:t xml:space="preserve"> extend all included collections to the </w:t>
      </w:r>
      <w:r w:rsidR="00F0783F">
        <w:rPr>
          <w:sz w:val="24"/>
          <w:szCs w:val="24"/>
        </w:rPr>
        <w:t>March 31, 2024</w:t>
      </w:r>
      <w:r w:rsidR="00B70A4E">
        <w:rPr>
          <w:sz w:val="24"/>
          <w:szCs w:val="24"/>
        </w:rPr>
        <w:t xml:space="preserve"> </w:t>
      </w:r>
      <w:r w:rsidRPr="009D4B79">
        <w:rPr>
          <w:sz w:val="24"/>
          <w:szCs w:val="24"/>
        </w:rPr>
        <w:t xml:space="preserve">expiration date </w:t>
      </w:r>
      <w:r w:rsidR="00B70A4E">
        <w:rPr>
          <w:sz w:val="24"/>
          <w:szCs w:val="24"/>
        </w:rPr>
        <w:t>for OMB Control No. 0648-0490</w:t>
      </w:r>
      <w:r w:rsidRPr="009D4B79">
        <w:rPr>
          <w:sz w:val="24"/>
          <w:szCs w:val="24"/>
        </w:rPr>
        <w:t xml:space="preserve">. </w:t>
      </w:r>
      <w:r w:rsidR="00B70A4E">
        <w:rPr>
          <w:sz w:val="24"/>
          <w:szCs w:val="24"/>
        </w:rPr>
        <w:t xml:space="preserve">OMB Control No. </w:t>
      </w:r>
      <w:r w:rsidRPr="009D4B79">
        <w:rPr>
          <w:sz w:val="24"/>
          <w:szCs w:val="24"/>
        </w:rPr>
        <w:t xml:space="preserve">0648-0463 and the permit portion of </w:t>
      </w:r>
      <w:r w:rsidR="00B70A4E">
        <w:rPr>
          <w:sz w:val="24"/>
          <w:szCs w:val="24"/>
        </w:rPr>
        <w:t xml:space="preserve">OMB Control No. </w:t>
      </w:r>
      <w:r w:rsidRPr="009D4B79">
        <w:rPr>
          <w:sz w:val="24"/>
          <w:szCs w:val="24"/>
        </w:rPr>
        <w:t xml:space="preserve">0648-0577 will be discontinued after the revision is approved. The reporting portion of </w:t>
      </w:r>
      <w:r w:rsidR="00B70A4E">
        <w:rPr>
          <w:sz w:val="24"/>
          <w:szCs w:val="24"/>
        </w:rPr>
        <w:t xml:space="preserve">OMB Control No. </w:t>
      </w:r>
      <w:r w:rsidRPr="009D4B79">
        <w:rPr>
          <w:sz w:val="24"/>
          <w:szCs w:val="24"/>
        </w:rPr>
        <w:t xml:space="preserve">0648-0577 will eventually be merged into </w:t>
      </w:r>
      <w:r w:rsidR="00B70A4E">
        <w:rPr>
          <w:sz w:val="24"/>
          <w:szCs w:val="24"/>
        </w:rPr>
        <w:t>P</w:t>
      </w:r>
      <w:r w:rsidRPr="00B70A4E" w:rsidR="00B70A4E">
        <w:rPr>
          <w:sz w:val="24"/>
          <w:szCs w:val="24"/>
        </w:rPr>
        <w:t>acific Islands Logbook Family of Forms</w:t>
      </w:r>
      <w:r w:rsidR="00F0783F">
        <w:rPr>
          <w:sz w:val="24"/>
          <w:szCs w:val="24"/>
        </w:rPr>
        <w:t xml:space="preserve"> (OMB Control No. </w:t>
      </w:r>
      <w:r w:rsidRPr="009D4B79" w:rsidR="00F0783F">
        <w:rPr>
          <w:sz w:val="24"/>
          <w:szCs w:val="24"/>
        </w:rPr>
        <w:t>0648-0214</w:t>
      </w:r>
      <w:r w:rsidR="00F0783F">
        <w:rPr>
          <w:sz w:val="24"/>
          <w:szCs w:val="24"/>
        </w:rPr>
        <w:t>)</w:t>
      </w:r>
      <w:r w:rsidRPr="009D4B79">
        <w:rPr>
          <w:sz w:val="24"/>
          <w:szCs w:val="24"/>
        </w:rPr>
        <w:t>.</w:t>
      </w:r>
    </w:p>
    <w:p w:rsidR="00347E85" w:rsidP="00A20388" w:rsidRDefault="00347E85" w14:paraId="7F408E81" w14:textId="77777777">
      <w:pPr>
        <w:tabs>
          <w:tab w:val="left" w:pos="540"/>
          <w:tab w:val="left" w:pos="720"/>
        </w:tabs>
        <w:rPr>
          <w:sz w:val="24"/>
          <w:szCs w:val="24"/>
        </w:rPr>
      </w:pPr>
    </w:p>
    <w:p w:rsidRPr="00A20388" w:rsidR="00934A84" w:rsidP="00A20388" w:rsidRDefault="00283334" w14:paraId="7A54D71C" w14:textId="58CB635B">
      <w:pPr>
        <w:tabs>
          <w:tab w:val="left" w:pos="540"/>
          <w:tab w:val="left" w:pos="720"/>
        </w:tabs>
        <w:rPr>
          <w:sz w:val="24"/>
          <w:szCs w:val="24"/>
        </w:rPr>
      </w:pPr>
      <w:r w:rsidRPr="00283334">
        <w:rPr>
          <w:sz w:val="24"/>
          <w:szCs w:val="24"/>
        </w:rPr>
        <w:t xml:space="preserve">Fishermen in </w:t>
      </w:r>
      <w:r w:rsidR="00B70A4E">
        <w:rPr>
          <w:sz w:val="24"/>
          <w:szCs w:val="24"/>
        </w:rPr>
        <w:t>f</w:t>
      </w:r>
      <w:r w:rsidRPr="00283334">
        <w:rPr>
          <w:sz w:val="24"/>
          <w:szCs w:val="24"/>
        </w:rPr>
        <w:t>ederally</w:t>
      </w:r>
      <w:r w:rsidR="00B70A4E">
        <w:rPr>
          <w:sz w:val="24"/>
          <w:szCs w:val="24"/>
        </w:rPr>
        <w:t xml:space="preserve"> </w:t>
      </w:r>
      <w:r w:rsidRPr="00283334">
        <w:rPr>
          <w:sz w:val="24"/>
          <w:szCs w:val="24"/>
        </w:rPr>
        <w:t>managed fisheries in the Pacific Isla</w:t>
      </w:r>
      <w:r>
        <w:rPr>
          <w:sz w:val="24"/>
          <w:szCs w:val="24"/>
        </w:rPr>
        <w:t xml:space="preserve">nds Region (central and western </w:t>
      </w:r>
      <w:r w:rsidRPr="00283334">
        <w:rPr>
          <w:sz w:val="24"/>
          <w:szCs w:val="24"/>
        </w:rPr>
        <w:t xml:space="preserve">Pacific) are required to maintain valid fishing permits onboard their vessels at all times. The permits </w:t>
      </w:r>
      <w:r w:rsidR="007844C6">
        <w:rPr>
          <w:sz w:val="24"/>
          <w:szCs w:val="24"/>
        </w:rPr>
        <w:t xml:space="preserve">currently </w:t>
      </w:r>
      <w:r w:rsidRPr="00283334">
        <w:rPr>
          <w:sz w:val="24"/>
          <w:szCs w:val="24"/>
        </w:rPr>
        <w:t xml:space="preserve">included in this collection are: Hawaii longline limited entry, American Samoa longline limited entry, Western Pacific (WP) general longline, WP receiving vessel, Pacific Remote Island Areas troll and handline, pelagic squid jig, WP bottomfish (various areas), CNMI bottomfish, </w:t>
      </w:r>
      <w:r w:rsidR="009F3C10">
        <w:rPr>
          <w:sz w:val="24"/>
          <w:szCs w:val="24"/>
        </w:rPr>
        <w:t xml:space="preserve">Main Hawaiian Islands non-commercial bottomfish, </w:t>
      </w:r>
      <w:r w:rsidRPr="00283334">
        <w:rPr>
          <w:sz w:val="24"/>
          <w:szCs w:val="24"/>
        </w:rPr>
        <w:t xml:space="preserve">Pacific Islands crustaceans, </w:t>
      </w:r>
      <w:r w:rsidR="00A35D86">
        <w:rPr>
          <w:sz w:val="24"/>
          <w:szCs w:val="24"/>
        </w:rPr>
        <w:t>cora</w:t>
      </w:r>
      <w:r w:rsidR="00890FA8">
        <w:rPr>
          <w:sz w:val="24"/>
          <w:szCs w:val="24"/>
        </w:rPr>
        <w:t>l reef fishing and transshipment</w:t>
      </w:r>
      <w:r w:rsidR="00A35D86">
        <w:rPr>
          <w:sz w:val="24"/>
          <w:szCs w:val="24"/>
        </w:rPr>
        <w:t xml:space="preserve">, </w:t>
      </w:r>
      <w:r w:rsidR="00890FA8">
        <w:rPr>
          <w:sz w:val="24"/>
          <w:szCs w:val="24"/>
        </w:rPr>
        <w:t>and WP precious coral</w:t>
      </w:r>
      <w:r w:rsidRPr="00283334">
        <w:rPr>
          <w:sz w:val="24"/>
          <w:szCs w:val="24"/>
        </w:rPr>
        <w:t>. Permits are generally renewed annually and are needed to identify participants in the fisheries. Permits also are important to help measure impacts of management controls on the participants in the fisheries. Appeals of permit denials, revocations, or suspensions are included.</w:t>
      </w:r>
    </w:p>
    <w:p w:rsidR="004F26E9" w:rsidP="00283F01" w:rsidRDefault="004F26E9" w14:paraId="23CD44FC" w14:textId="77777777">
      <w:pPr>
        <w:tabs>
          <w:tab w:val="left" w:pos="540"/>
        </w:tabs>
        <w:rPr>
          <w:sz w:val="24"/>
          <w:szCs w:val="24"/>
        </w:rPr>
      </w:pPr>
    </w:p>
    <w:p w:rsidRPr="00283F01" w:rsidR="00283F01" w:rsidP="00283F01" w:rsidRDefault="00283F01" w14:paraId="14DC3C1C" w14:textId="77777777">
      <w:pPr>
        <w:tabs>
          <w:tab w:val="left" w:pos="540"/>
        </w:tabs>
        <w:rPr>
          <w:b/>
          <w:sz w:val="24"/>
          <w:szCs w:val="24"/>
        </w:rPr>
        <w:sectPr w:rsidRPr="00283F01" w:rsidR="00283F01" w:rsidSect="00493868">
          <w:footerReference w:type="default" r:id="rId8"/>
          <w:footnotePr>
            <w:numRestart w:val="eachSect"/>
          </w:footnotePr>
          <w:endnotePr>
            <w:numFmt w:val="decimal"/>
          </w:endnotePr>
          <w:type w:val="continuous"/>
          <w:pgSz w:w="12240" w:h="15840"/>
          <w:pgMar w:top="900" w:right="1440" w:bottom="1080" w:left="1440" w:header="720" w:footer="720" w:gutter="0"/>
          <w:cols w:space="720"/>
        </w:sectPr>
      </w:pPr>
      <w:r w:rsidRPr="00283F01">
        <w:rPr>
          <w:b/>
          <w:sz w:val="24"/>
          <w:szCs w:val="24"/>
        </w:rPr>
        <w:t>Justification</w:t>
      </w:r>
    </w:p>
    <w:p w:rsidRPr="00BD7237" w:rsidR="00283F01" w:rsidP="00283F01" w:rsidRDefault="00493868" w14:paraId="5FFAB95D" w14:textId="77777777">
      <w:pPr>
        <w:pStyle w:val="ListParagraph"/>
        <w:tabs>
          <w:tab w:val="left" w:pos="360"/>
        </w:tabs>
        <w:adjustRightInd/>
        <w:spacing w:before="182" w:line="259" w:lineRule="auto"/>
        <w:ind w:left="0"/>
        <w:contextualSpacing w:val="0"/>
        <w:rPr>
          <w:b/>
          <w:sz w:val="24"/>
          <w:szCs w:val="24"/>
        </w:rPr>
      </w:pPr>
      <w:r>
        <w:rPr>
          <w:b/>
          <w:bCs/>
          <w:sz w:val="24"/>
          <w:szCs w:val="24"/>
        </w:rPr>
        <w:t>1.</w:t>
      </w:r>
      <w:r>
        <w:rPr>
          <w:b/>
          <w:bCs/>
          <w:sz w:val="24"/>
          <w:szCs w:val="24"/>
        </w:rPr>
        <w:tab/>
      </w:r>
      <w:r w:rsidRPr="00BD7237" w:rsidR="00283F01">
        <w:rPr>
          <w:b/>
          <w:sz w:val="24"/>
          <w:szCs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Pr="00E6174B" w:rsidR="00A20388" w:rsidP="00283F01" w:rsidRDefault="00A20388" w14:paraId="30A611A8" w14:textId="77777777">
      <w:pPr>
        <w:tabs>
          <w:tab w:val="left" w:pos="540"/>
        </w:tabs>
        <w:ind w:left="540" w:hanging="540"/>
        <w:rPr>
          <w:sz w:val="24"/>
          <w:szCs w:val="24"/>
        </w:rPr>
      </w:pPr>
    </w:p>
    <w:p w:rsidRPr="00F0031A" w:rsidR="00E91F6C" w:rsidP="00E91F6C" w:rsidRDefault="00E91F6C" w14:paraId="6E0030F2" w14:textId="05699D79">
      <w:pPr>
        <w:rPr>
          <w:rFonts w:ascii="TimesNewRoman" w:hAnsi="TimesNewRoman" w:cs="TimesNewRoman"/>
          <w:sz w:val="24"/>
          <w:szCs w:val="24"/>
        </w:rPr>
      </w:pPr>
      <w:r w:rsidRPr="00F0031A">
        <w:rPr>
          <w:rFonts w:ascii="TimesNewRoman" w:hAnsi="TimesNewRoman" w:cs="TimesNewRoman"/>
          <w:sz w:val="24"/>
          <w:szCs w:val="24"/>
        </w:rPr>
        <w:t>The Magnuson-Stevens Fishery Conservation and Manag</w:t>
      </w:r>
      <w:r>
        <w:rPr>
          <w:rFonts w:ascii="TimesNewRoman" w:hAnsi="TimesNewRoman" w:cs="TimesNewRoman"/>
          <w:sz w:val="24"/>
          <w:szCs w:val="24"/>
        </w:rPr>
        <w:t xml:space="preserve">ement Act </w:t>
      </w:r>
      <w:r w:rsidRPr="00F0031A">
        <w:rPr>
          <w:rFonts w:ascii="TimesNewRoman" w:hAnsi="TimesNewRoman" w:cs="TimesNewRoman"/>
          <w:sz w:val="24"/>
          <w:szCs w:val="24"/>
        </w:rPr>
        <w:t xml:space="preserve">established regional fishery management councils, including the Western Pacific Fishery Management Council (Council), to </w:t>
      </w:r>
      <w:proofErr w:type="gramStart"/>
      <w:r w:rsidRPr="00F0031A">
        <w:rPr>
          <w:rFonts w:ascii="TimesNewRoman" w:hAnsi="TimesNewRoman" w:cs="TimesNewRoman"/>
          <w:sz w:val="24"/>
          <w:szCs w:val="24"/>
        </w:rPr>
        <w:t>develop</w:t>
      </w:r>
      <w:proofErr w:type="gramEnd"/>
      <w:r w:rsidRPr="00F0031A">
        <w:rPr>
          <w:rFonts w:ascii="TimesNewRoman" w:hAnsi="TimesNewRoman" w:cs="TimesNewRoman"/>
          <w:sz w:val="24"/>
          <w:szCs w:val="24"/>
        </w:rPr>
        <w:t xml:space="preserve"> fishery management plans for fisheries in the U.S. Exclusive Economic Zone (EEZ). If approved by the Secretary of Commerce, the National Oceanic and Atmospheric Administration’s (NOAA) National Marine Fisheries Service (NMFS) implements these plans by Federal regulations, which are enforced by NMFS</w:t>
      </w:r>
      <w:r w:rsidR="007844C6">
        <w:rPr>
          <w:rFonts w:ascii="TimesNewRoman" w:hAnsi="TimesNewRoman" w:cs="TimesNewRoman"/>
          <w:sz w:val="24"/>
          <w:szCs w:val="24"/>
        </w:rPr>
        <w:t>, NOAA Office of Law Enforcement (OLE),</w:t>
      </w:r>
      <w:r w:rsidRPr="00F0031A">
        <w:rPr>
          <w:rFonts w:ascii="TimesNewRoman" w:hAnsi="TimesNewRoman" w:cs="TimesNewRoman"/>
          <w:sz w:val="24"/>
          <w:szCs w:val="24"/>
        </w:rPr>
        <w:t xml:space="preserve"> and the U.S. Coast Guard (USCG), in cooperation with State agencies to the extent possible. The Council and NMFS use the fishery management plans to manage fishing to ensure sustained productivity and achievement of optimum yield from the resources for the benefit of the United States. The Council established fishery ecosystem plans</w:t>
      </w:r>
      <w:r>
        <w:rPr>
          <w:rFonts w:ascii="TimesNewRoman" w:hAnsi="TimesNewRoman" w:cs="TimesNewRoman"/>
          <w:sz w:val="24"/>
          <w:szCs w:val="24"/>
        </w:rPr>
        <w:t xml:space="preserve"> (FEP)</w:t>
      </w:r>
      <w:r w:rsidRPr="00F0031A">
        <w:rPr>
          <w:rFonts w:ascii="TimesNewRoman" w:hAnsi="TimesNewRoman" w:cs="TimesNewRoman"/>
          <w:sz w:val="24"/>
          <w:szCs w:val="24"/>
        </w:rPr>
        <w:t xml:space="preserve"> as fishery management plans for </w:t>
      </w:r>
      <w:r w:rsidR="007844C6">
        <w:rPr>
          <w:rFonts w:ascii="TimesNewRoman" w:hAnsi="TimesNewRoman" w:cs="TimesNewRoman"/>
          <w:sz w:val="24"/>
          <w:szCs w:val="24"/>
        </w:rPr>
        <w:t>F</w:t>
      </w:r>
      <w:r w:rsidRPr="00F0031A">
        <w:rPr>
          <w:rFonts w:ascii="TimesNewRoman" w:hAnsi="TimesNewRoman" w:cs="TimesNewRoman"/>
          <w:sz w:val="24"/>
          <w:szCs w:val="24"/>
        </w:rPr>
        <w:t>ederal fisheries management.</w:t>
      </w:r>
      <w:r>
        <w:rPr>
          <w:rFonts w:ascii="TimesNewRoman" w:hAnsi="TimesNewRoman" w:cs="TimesNewRoman"/>
          <w:sz w:val="24"/>
          <w:szCs w:val="24"/>
        </w:rPr>
        <w:t xml:space="preserve"> </w:t>
      </w:r>
    </w:p>
    <w:p w:rsidRPr="00A20388" w:rsidR="00A20388" w:rsidP="00A20388" w:rsidRDefault="00A20388" w14:paraId="1862A8BB" w14:textId="77777777">
      <w:pPr>
        <w:suppressLineNumbers/>
        <w:suppressAutoHyphens/>
        <w:rPr>
          <w:sz w:val="24"/>
          <w:szCs w:val="24"/>
        </w:rPr>
      </w:pPr>
    </w:p>
    <w:p w:rsidRPr="00A20388" w:rsidR="00A20388" w:rsidP="00A20388" w:rsidRDefault="00A20388" w14:paraId="1BEFC84E" w14:textId="62AA5F67">
      <w:pPr>
        <w:suppressLineNumbers/>
        <w:suppressAutoHyphens/>
        <w:rPr>
          <w:sz w:val="24"/>
          <w:szCs w:val="24"/>
        </w:rPr>
      </w:pPr>
      <w:r w:rsidRPr="00A20388">
        <w:rPr>
          <w:sz w:val="24"/>
          <w:szCs w:val="24"/>
        </w:rPr>
        <w:lastRenderedPageBreak/>
        <w:t>NMFS has jurisdiction over fisheries in Federal waters of the Pacific Ocean seaward of American Samoa, Guam, Hawaii, the Northern Mariana Islands (NMI), and the Pacific Remote Island Areas (PRIA)</w:t>
      </w:r>
      <w:r w:rsidRPr="00A20388">
        <w:rPr>
          <w:rStyle w:val="FootnoteReference"/>
          <w:sz w:val="24"/>
          <w:szCs w:val="24"/>
          <w:vertAlign w:val="superscript"/>
        </w:rPr>
        <w:footnoteReference w:id="1"/>
      </w:r>
      <w:r w:rsidRPr="00A20388">
        <w:rPr>
          <w:sz w:val="24"/>
          <w:szCs w:val="24"/>
        </w:rPr>
        <w:t>. The Council prepares, and the Secretary approves and implements through regulations, FEPs for Ameri</w:t>
      </w:r>
      <w:r w:rsidR="001609FB">
        <w:rPr>
          <w:sz w:val="24"/>
          <w:szCs w:val="24"/>
        </w:rPr>
        <w:t xml:space="preserve">can Samoa, Hawaii, and </w:t>
      </w:r>
      <w:r w:rsidRPr="00A20388">
        <w:rPr>
          <w:sz w:val="24"/>
          <w:szCs w:val="24"/>
        </w:rPr>
        <w:t>Mariana Islands (Guam and NMI) archipelagos, PRIA, and pelagic fisheries in the Pacific Islands region. Each of these FEPs conta</w:t>
      </w:r>
      <w:r w:rsidR="009F3C10">
        <w:rPr>
          <w:sz w:val="24"/>
          <w:szCs w:val="24"/>
        </w:rPr>
        <w:t>ins requirements that</w:t>
      </w:r>
      <w:r w:rsidRPr="00A20388">
        <w:rPr>
          <w:sz w:val="24"/>
          <w:szCs w:val="24"/>
        </w:rPr>
        <w:t xml:space="preserve"> fishery participants obtain Federal permits for federally managed fisheries in their area.</w:t>
      </w:r>
      <w:r w:rsidR="00E91F6C">
        <w:rPr>
          <w:sz w:val="24"/>
          <w:szCs w:val="24"/>
        </w:rPr>
        <w:t xml:space="preserve"> </w:t>
      </w:r>
      <w:r w:rsidR="003E4D74">
        <w:rPr>
          <w:rFonts w:ascii="TimesNewRoman" w:hAnsi="TimesNewRoman" w:cs="TimesNewRoman"/>
          <w:sz w:val="24"/>
          <w:szCs w:val="24"/>
        </w:rPr>
        <w:t>Implementing regulations</w:t>
      </w:r>
      <w:r w:rsidR="00E91F6C">
        <w:rPr>
          <w:rFonts w:ascii="TimesNewRoman" w:hAnsi="TimesNewRoman" w:cs="TimesNewRoman"/>
          <w:sz w:val="24"/>
          <w:szCs w:val="24"/>
        </w:rPr>
        <w:t xml:space="preserve"> are at </w:t>
      </w:r>
      <w:hyperlink w:history="1" r:id="rId9">
        <w:r w:rsidRPr="009F3C10" w:rsidR="00E91F6C">
          <w:rPr>
            <w:rStyle w:val="Hyperlink"/>
            <w:rFonts w:ascii="TimesNewRoman" w:hAnsi="TimesNewRoman" w:cs="TimesNewRoman"/>
            <w:sz w:val="24"/>
            <w:szCs w:val="24"/>
          </w:rPr>
          <w:t>50 CFR 665</w:t>
        </w:r>
      </w:hyperlink>
      <w:r w:rsidR="00E91F6C">
        <w:rPr>
          <w:rFonts w:ascii="TimesNewRoman" w:hAnsi="TimesNewRoman" w:cs="TimesNewRoman"/>
          <w:sz w:val="24"/>
          <w:szCs w:val="24"/>
        </w:rPr>
        <w:t>.</w:t>
      </w:r>
    </w:p>
    <w:p w:rsidRPr="00A20388" w:rsidR="00A20388" w:rsidP="00A20388" w:rsidRDefault="00A20388" w14:paraId="58E41EEB" w14:textId="77777777">
      <w:pPr>
        <w:suppressLineNumbers/>
        <w:suppressAutoHyphens/>
        <w:rPr>
          <w:sz w:val="24"/>
          <w:szCs w:val="24"/>
        </w:rPr>
      </w:pPr>
    </w:p>
    <w:p w:rsidR="004F26E9" w:rsidP="00283334" w:rsidRDefault="00A20388" w14:paraId="4282FB42" w14:textId="77777777">
      <w:pPr>
        <w:suppressLineNumbers/>
        <w:suppressAutoHyphens/>
        <w:rPr>
          <w:sz w:val="24"/>
          <w:szCs w:val="24"/>
        </w:rPr>
      </w:pPr>
      <w:r w:rsidRPr="00A20388">
        <w:rPr>
          <w:sz w:val="24"/>
          <w:szCs w:val="24"/>
        </w:rPr>
        <w:t>This collection of information is needed for permit issuance, to identify actual or potential participants in the fishery, determine qualifications for permits, and to help measure the impacts of management controls on the participants in the fishery. The permit program is also an effective tool in the enforcement of fishery regulations and facilitates communication between NMFS and fishermen.</w:t>
      </w:r>
    </w:p>
    <w:p w:rsidRPr="00BD7237" w:rsidR="00283F01" w:rsidP="00283F01" w:rsidRDefault="00493868" w14:paraId="35EDDD4E" w14:textId="172BA6B6">
      <w:pPr>
        <w:pStyle w:val="Heading1"/>
        <w:tabs>
          <w:tab w:val="left" w:pos="360"/>
        </w:tabs>
        <w:spacing w:before="197"/>
        <w:ind w:left="0"/>
        <w:rPr>
          <w:rFonts w:ascii="Times New Roman" w:hAnsi="Times New Roman" w:cs="Times New Roman"/>
        </w:rPr>
      </w:pPr>
      <w:r w:rsidRPr="00F0783F">
        <w:rPr>
          <w:rFonts w:ascii="Times New Roman" w:hAnsi="Times New Roman" w:cs="Times New Roman"/>
        </w:rPr>
        <w:t>2.</w:t>
      </w:r>
      <w:r>
        <w:tab/>
      </w:r>
      <w:r w:rsidRPr="000A0540" w:rsidR="004F26E9">
        <w:rPr>
          <w:lang w:val="en-CA"/>
        </w:rPr>
        <w:fldChar w:fldCharType="begin"/>
      </w:r>
      <w:r w:rsidRPr="000A0540" w:rsidR="004F26E9">
        <w:rPr>
          <w:lang w:val="en-CA"/>
        </w:rPr>
        <w:instrText xml:space="preserve"> SEQ CHAPTER \h \r 1</w:instrText>
      </w:r>
      <w:r w:rsidRPr="000A0540" w:rsidR="004F26E9">
        <w:rPr>
          <w:lang w:val="en-CA"/>
        </w:rPr>
        <w:fldChar w:fldCharType="end"/>
      </w:r>
      <w:r w:rsidRPr="00283F01" w:rsidR="00283F01">
        <w:rPr>
          <w:rFonts w:ascii="Times New Roman" w:hAnsi="Times New Roman" w:cs="Times New Roman"/>
        </w:rPr>
        <w:t xml:space="preserve"> </w:t>
      </w:r>
      <w:r w:rsidRPr="00BD7237" w:rsidR="00283F01">
        <w:rPr>
          <w:rFonts w:ascii="Times New Roman" w:hAnsi="Times New Roman" w:cs="Times New Roman"/>
          <w:bCs w:val="0"/>
        </w:rPr>
        <w:t>Indicate how, by whom, and for what purpose the information is to be used. Except for a</w:t>
      </w:r>
      <w:r w:rsidRPr="00BD7237" w:rsidR="00283F01">
        <w:rPr>
          <w:rFonts w:ascii="Times New Roman" w:hAnsi="Times New Roman" w:cs="Times New Roman"/>
        </w:rPr>
        <w:t xml:space="preserve"> </w:t>
      </w:r>
      <w:r w:rsidRPr="00BD7237" w:rsidR="00283F01">
        <w:rPr>
          <w:rFonts w:ascii="Times New Roman" w:hAnsi="Times New Roman" w:cs="Times New Roman"/>
          <w:bCs w:val="0"/>
        </w:rPr>
        <w:t>new collection, indicate the actual use the agency has made of the information received from the</w:t>
      </w:r>
      <w:r w:rsidRPr="00BD7237" w:rsidR="00283F01">
        <w:rPr>
          <w:rFonts w:ascii="Times New Roman" w:hAnsi="Times New Roman" w:cs="Times New Roman"/>
        </w:rPr>
        <w:t xml:space="preserve"> current</w:t>
      </w:r>
      <w:r w:rsidRPr="00BD7237" w:rsidR="00283F01">
        <w:rPr>
          <w:rFonts w:ascii="Times New Roman" w:hAnsi="Times New Roman" w:cs="Times New Roman"/>
          <w:spacing w:val="-1"/>
        </w:rPr>
        <w:t xml:space="preserve"> </w:t>
      </w:r>
      <w:r w:rsidRPr="00BD7237" w:rsidR="00283F01">
        <w:rPr>
          <w:rFonts w:ascii="Times New Roman" w:hAnsi="Times New Roman" w:cs="Times New Roman"/>
        </w:rPr>
        <w:t>collection.</w:t>
      </w:r>
    </w:p>
    <w:p w:rsidR="004F26E9" w:rsidP="00283F01" w:rsidRDefault="004F26E9" w14:paraId="014FDA5F" w14:textId="77777777">
      <w:pPr>
        <w:tabs>
          <w:tab w:val="left" w:pos="540"/>
        </w:tabs>
        <w:ind w:left="540" w:hanging="540"/>
        <w:rPr>
          <w:sz w:val="24"/>
          <w:szCs w:val="24"/>
        </w:rPr>
      </w:pPr>
    </w:p>
    <w:p w:rsidRPr="003E4D74" w:rsidR="003E4D74" w:rsidP="003E4D74" w:rsidRDefault="003E4D74" w14:paraId="6F792A9A" w14:textId="5CF40C88">
      <w:pPr>
        <w:suppressLineNumbers/>
        <w:suppressAutoHyphens/>
        <w:rPr>
          <w:sz w:val="24"/>
          <w:szCs w:val="24"/>
        </w:rPr>
      </w:pPr>
      <w:r w:rsidRPr="003E4D74">
        <w:rPr>
          <w:sz w:val="24"/>
          <w:szCs w:val="24"/>
        </w:rPr>
        <w:t>NMFS collects information via a permit application process. Permits are valid for one calendar year and fishermen may renew the permit annually, except for the American Samoa longline limited entry permit, which is effective for thr</w:t>
      </w:r>
      <w:r w:rsidR="001F18BD">
        <w:rPr>
          <w:sz w:val="24"/>
          <w:szCs w:val="24"/>
        </w:rPr>
        <w:t>ee years. NMFS uses i</w:t>
      </w:r>
      <w:r w:rsidRPr="003E4D74">
        <w:rPr>
          <w:sz w:val="24"/>
          <w:szCs w:val="24"/>
        </w:rPr>
        <w:t>nformation from the permit a</w:t>
      </w:r>
      <w:r w:rsidR="001F18BD">
        <w:rPr>
          <w:sz w:val="24"/>
          <w:szCs w:val="24"/>
        </w:rPr>
        <w:t xml:space="preserve">pplication form </w:t>
      </w:r>
      <w:r w:rsidRPr="003E4D74">
        <w:rPr>
          <w:sz w:val="24"/>
          <w:szCs w:val="24"/>
        </w:rPr>
        <w:t>to confirm the identity of the permit holder and applicant, and to determine whether the appli</w:t>
      </w:r>
      <w:r w:rsidR="001F18BD">
        <w:rPr>
          <w:sz w:val="24"/>
          <w:szCs w:val="24"/>
        </w:rPr>
        <w:t>cant qualifies for the permit. NMFS uses v</w:t>
      </w:r>
      <w:r w:rsidRPr="003E4D74">
        <w:rPr>
          <w:sz w:val="24"/>
          <w:szCs w:val="24"/>
        </w:rPr>
        <w:t>essel-related information such as vessel documentat</w:t>
      </w:r>
      <w:r w:rsidR="001609FB">
        <w:rPr>
          <w:sz w:val="24"/>
          <w:szCs w:val="24"/>
        </w:rPr>
        <w:t>ion or registration, and ownership</w:t>
      </w:r>
      <w:r w:rsidR="001F18BD">
        <w:rPr>
          <w:sz w:val="24"/>
          <w:szCs w:val="24"/>
        </w:rPr>
        <w:t xml:space="preserve"> </w:t>
      </w:r>
      <w:r w:rsidRPr="003E4D74">
        <w:rPr>
          <w:sz w:val="24"/>
          <w:szCs w:val="24"/>
        </w:rPr>
        <w:t xml:space="preserve">to determine whether the applicant is an owner of a U.S. documented/registered vessel. </w:t>
      </w:r>
      <w:r w:rsidR="001F18BD">
        <w:rPr>
          <w:sz w:val="24"/>
          <w:szCs w:val="24"/>
        </w:rPr>
        <w:t>OLE, the USCG, and the Council also use the information</w:t>
      </w:r>
      <w:r w:rsidRPr="003E4D74">
        <w:rPr>
          <w:sz w:val="24"/>
          <w:szCs w:val="24"/>
        </w:rPr>
        <w:t>.</w:t>
      </w:r>
    </w:p>
    <w:p w:rsidRPr="003E4D74" w:rsidR="003E4D74" w:rsidP="003E4D74" w:rsidRDefault="003E4D74" w14:paraId="166449B7" w14:textId="77777777">
      <w:pPr>
        <w:suppressLineNumbers/>
        <w:suppressAutoHyphens/>
        <w:rPr>
          <w:sz w:val="24"/>
          <w:szCs w:val="24"/>
        </w:rPr>
      </w:pPr>
    </w:p>
    <w:p w:rsidRPr="003E4D74" w:rsidR="003E4D74" w:rsidP="003E4D74" w:rsidRDefault="003E4D74" w14:paraId="206CA290" w14:textId="77777777">
      <w:pPr>
        <w:suppressLineNumbers/>
        <w:suppressAutoHyphens/>
        <w:rPr>
          <w:sz w:val="24"/>
          <w:szCs w:val="24"/>
        </w:rPr>
      </w:pPr>
      <w:r w:rsidRPr="003E4D74">
        <w:rPr>
          <w:sz w:val="24"/>
          <w:szCs w:val="24"/>
        </w:rPr>
        <w:t>This collection also includes information involving appeals of permit and permit transfer denials. The appellant must provide documentation to show why a permit should have been granted. The NMFS Pacific Islands Regional Administrator uses the information to make a final determination on permit issuance under th</w:t>
      </w:r>
      <w:r w:rsidR="001F18BD">
        <w:rPr>
          <w:sz w:val="24"/>
          <w:szCs w:val="24"/>
        </w:rPr>
        <w:t>e FEP. NMFS expects a maximum of four permit denials</w:t>
      </w:r>
      <w:r w:rsidRPr="003E4D74">
        <w:rPr>
          <w:sz w:val="24"/>
          <w:szCs w:val="24"/>
        </w:rPr>
        <w:t xml:space="preserve"> per year, if any. Appeal procedures are detailed in 50 CFR 665.13(m) and 50 CFR 665.801(o).</w:t>
      </w:r>
    </w:p>
    <w:p w:rsidRPr="003E4D74" w:rsidR="003E4D74" w:rsidP="003E4D74" w:rsidRDefault="003E4D74" w14:paraId="02A520D1" w14:textId="77777777">
      <w:pPr>
        <w:suppressLineNumbers/>
        <w:suppressAutoHyphens/>
        <w:rPr>
          <w:sz w:val="24"/>
          <w:szCs w:val="24"/>
        </w:rPr>
      </w:pPr>
    </w:p>
    <w:p w:rsidR="004F26E9" w:rsidP="00283F01" w:rsidRDefault="003E4D74" w14:paraId="13E8B5BD" w14:textId="0546B0D1">
      <w:pPr>
        <w:suppressLineNumbers/>
        <w:suppressAutoHyphens/>
        <w:rPr>
          <w:sz w:val="24"/>
          <w:szCs w:val="24"/>
        </w:rPr>
      </w:pPr>
      <w:r w:rsidRPr="003E4D74">
        <w:rPr>
          <w:sz w:val="24"/>
          <w:szCs w:val="24"/>
        </w:rPr>
        <w:t xml:space="preserve">NMFS retains control over the information and safeguards it from improper access, modification, and destruction, consistent with Federal law and regulations, and NOAA policies for confidentiality, privacy, and electronic information. See response to Question 10 of this </w:t>
      </w:r>
      <w:r w:rsidR="007844C6">
        <w:rPr>
          <w:sz w:val="24"/>
          <w:szCs w:val="24"/>
        </w:rPr>
        <w:t>s</w:t>
      </w:r>
      <w:r w:rsidRPr="003E4D74">
        <w:rPr>
          <w:sz w:val="24"/>
          <w:szCs w:val="24"/>
        </w:rPr>
        <w:t xml:space="preserve">upporting </w:t>
      </w:r>
      <w:r w:rsidR="007844C6">
        <w:rPr>
          <w:sz w:val="24"/>
          <w:szCs w:val="24"/>
        </w:rPr>
        <w:t>s</w:t>
      </w:r>
      <w:r w:rsidRPr="003E4D74">
        <w:rPr>
          <w:sz w:val="24"/>
          <w:szCs w:val="24"/>
        </w:rPr>
        <w:t xml:space="preserve">tatement for more information on confidentiality and privacy. NMFS designed the information collection to yield data that meet all applicable information quality guidelines. Prior to dissemination, NMFS applies to the information quality control measures and a pre-dissemination review pursuant to </w:t>
      </w:r>
      <w:hyperlink w:history="1" r:id="rId10">
        <w:r w:rsidRPr="003E4D74">
          <w:rPr>
            <w:rStyle w:val="Hyperlink"/>
            <w:color w:val="auto"/>
            <w:sz w:val="24"/>
            <w:szCs w:val="24"/>
          </w:rPr>
          <w:t>Section 515 of Public Law 106-554</w:t>
        </w:r>
      </w:hyperlink>
      <w:r w:rsidRPr="003E4D74">
        <w:rPr>
          <w:sz w:val="24"/>
          <w:szCs w:val="24"/>
        </w:rPr>
        <w:t>.</w:t>
      </w:r>
    </w:p>
    <w:p w:rsidR="00F0783F" w:rsidP="00283F01" w:rsidRDefault="00F0783F" w14:paraId="6532B4D1" w14:textId="77777777">
      <w:pPr>
        <w:pStyle w:val="ListParagraph"/>
        <w:tabs>
          <w:tab w:val="left" w:pos="360"/>
        </w:tabs>
        <w:adjustRightInd/>
        <w:spacing w:before="199"/>
        <w:ind w:left="0"/>
        <w:contextualSpacing w:val="0"/>
        <w:rPr>
          <w:b/>
          <w:bCs/>
          <w:sz w:val="24"/>
          <w:szCs w:val="24"/>
        </w:rPr>
      </w:pPr>
    </w:p>
    <w:p w:rsidR="00F0783F" w:rsidP="00283F01" w:rsidRDefault="00F0783F" w14:paraId="77E936F9" w14:textId="77777777">
      <w:pPr>
        <w:pStyle w:val="ListParagraph"/>
        <w:tabs>
          <w:tab w:val="left" w:pos="360"/>
        </w:tabs>
        <w:adjustRightInd/>
        <w:spacing w:before="199"/>
        <w:ind w:left="0"/>
        <w:contextualSpacing w:val="0"/>
        <w:rPr>
          <w:b/>
          <w:bCs/>
          <w:sz w:val="24"/>
          <w:szCs w:val="24"/>
        </w:rPr>
      </w:pPr>
    </w:p>
    <w:p w:rsidRPr="00BD7237" w:rsidR="00283F01" w:rsidP="00283F01" w:rsidRDefault="00493868" w14:paraId="6190D5E6" w14:textId="6D5884BD">
      <w:pPr>
        <w:pStyle w:val="ListParagraph"/>
        <w:tabs>
          <w:tab w:val="left" w:pos="360"/>
        </w:tabs>
        <w:adjustRightInd/>
        <w:spacing w:before="199"/>
        <w:ind w:left="0"/>
        <w:contextualSpacing w:val="0"/>
        <w:rPr>
          <w:b/>
          <w:sz w:val="24"/>
          <w:szCs w:val="24"/>
        </w:rPr>
      </w:pPr>
      <w:r>
        <w:rPr>
          <w:b/>
          <w:bCs/>
          <w:sz w:val="24"/>
          <w:szCs w:val="24"/>
        </w:rPr>
        <w:lastRenderedPageBreak/>
        <w:t>3.</w:t>
      </w:r>
      <w:r>
        <w:rPr>
          <w:b/>
          <w:bCs/>
          <w:sz w:val="24"/>
          <w:szCs w:val="24"/>
        </w:rPr>
        <w:tab/>
      </w:r>
      <w:r w:rsidRPr="00BD7237" w:rsidR="00283F01">
        <w:rPr>
          <w:b/>
          <w:sz w:val="24"/>
          <w:szCs w:val="24"/>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w:t>
      </w:r>
      <w:r w:rsidRPr="00BD7237" w:rsidR="00283F01">
        <w:rPr>
          <w:b/>
          <w:spacing w:val="-6"/>
          <w:sz w:val="24"/>
          <w:szCs w:val="24"/>
        </w:rPr>
        <w:t xml:space="preserve"> </w:t>
      </w:r>
      <w:r w:rsidRPr="00BD7237" w:rsidR="00283F01">
        <w:rPr>
          <w:b/>
          <w:sz w:val="24"/>
          <w:szCs w:val="24"/>
        </w:rPr>
        <w:t>burden.</w:t>
      </w:r>
    </w:p>
    <w:p w:rsidR="004F26E9" w:rsidP="0020448B" w:rsidRDefault="004F26E9" w14:paraId="0C6AB8EA" w14:textId="77777777">
      <w:pPr>
        <w:rPr>
          <w:sz w:val="24"/>
          <w:szCs w:val="24"/>
        </w:rPr>
      </w:pPr>
    </w:p>
    <w:p w:rsidRPr="001609FB" w:rsidR="003E4D74" w:rsidP="003E4D74" w:rsidRDefault="006329C0" w14:paraId="7544B31C" w14:textId="28645DCE">
      <w:pPr>
        <w:suppressLineNumbers/>
        <w:suppressAutoHyphens/>
        <w:rPr>
          <w:sz w:val="24"/>
          <w:szCs w:val="24"/>
          <w:u w:val="single"/>
        </w:rPr>
      </w:pPr>
      <w:r>
        <w:rPr>
          <w:sz w:val="24"/>
          <w:szCs w:val="24"/>
        </w:rPr>
        <w:t xml:space="preserve">For efficiency and security, </w:t>
      </w:r>
      <w:r w:rsidR="004C00AA">
        <w:rPr>
          <w:sz w:val="24"/>
          <w:szCs w:val="24"/>
        </w:rPr>
        <w:t xml:space="preserve">all </w:t>
      </w:r>
      <w:r>
        <w:rPr>
          <w:sz w:val="24"/>
          <w:szCs w:val="24"/>
        </w:rPr>
        <w:t xml:space="preserve">applications and payments for </w:t>
      </w:r>
      <w:proofErr w:type="gramStart"/>
      <w:r>
        <w:rPr>
          <w:sz w:val="24"/>
          <w:szCs w:val="24"/>
        </w:rPr>
        <w:t>Pacific Islands</w:t>
      </w:r>
      <w:proofErr w:type="gramEnd"/>
      <w:r>
        <w:rPr>
          <w:sz w:val="24"/>
          <w:szCs w:val="24"/>
        </w:rPr>
        <w:t xml:space="preserve"> permits </w:t>
      </w:r>
      <w:r w:rsidR="004C00AA">
        <w:rPr>
          <w:sz w:val="24"/>
          <w:szCs w:val="24"/>
        </w:rPr>
        <w:t>are</w:t>
      </w:r>
      <w:r>
        <w:rPr>
          <w:sz w:val="24"/>
          <w:szCs w:val="24"/>
        </w:rPr>
        <w:t xml:space="preserve"> submitted electronically. </w:t>
      </w:r>
      <w:r w:rsidR="0084752E">
        <w:rPr>
          <w:sz w:val="24"/>
          <w:szCs w:val="24"/>
        </w:rPr>
        <w:t>Hawaii longline limited entry permit renew</w:t>
      </w:r>
      <w:r>
        <w:rPr>
          <w:sz w:val="24"/>
          <w:szCs w:val="24"/>
        </w:rPr>
        <w:t xml:space="preserve">als and payments are </w:t>
      </w:r>
      <w:r w:rsidR="004C00AA">
        <w:rPr>
          <w:sz w:val="24"/>
          <w:szCs w:val="24"/>
        </w:rPr>
        <w:t>completed</w:t>
      </w:r>
      <w:r w:rsidR="0084752E">
        <w:rPr>
          <w:sz w:val="24"/>
          <w:szCs w:val="24"/>
        </w:rPr>
        <w:t xml:space="preserve"> online via the NMFS National Permit System</w:t>
      </w:r>
      <w:r w:rsidR="001D6F92">
        <w:rPr>
          <w:sz w:val="24"/>
          <w:szCs w:val="24"/>
        </w:rPr>
        <w:t xml:space="preserve"> (NPS)</w:t>
      </w:r>
      <w:r w:rsidR="0084752E">
        <w:rPr>
          <w:sz w:val="24"/>
          <w:szCs w:val="24"/>
        </w:rPr>
        <w:t xml:space="preserve"> at </w:t>
      </w:r>
      <w:hyperlink w:history="1" r:id="rId11">
        <w:r w:rsidRPr="002C4E6F" w:rsidR="002C4E6F">
          <w:rPr>
            <w:rStyle w:val="Hyperlink"/>
            <w:sz w:val="24"/>
            <w:szCs w:val="24"/>
          </w:rPr>
          <w:t>https://fisheriespermits.noaa.gov/npspub/pub_cmn_login/index_live.jsp</w:t>
        </w:r>
      </w:hyperlink>
      <w:hyperlink w:history="1" r:id="rId12"/>
      <w:r w:rsidR="0084752E">
        <w:rPr>
          <w:sz w:val="24"/>
          <w:szCs w:val="24"/>
        </w:rPr>
        <w:t>. A</w:t>
      </w:r>
      <w:r>
        <w:rPr>
          <w:sz w:val="24"/>
          <w:szCs w:val="24"/>
        </w:rPr>
        <w:t>ll other a</w:t>
      </w:r>
      <w:r w:rsidR="0084752E">
        <w:rPr>
          <w:sz w:val="24"/>
          <w:szCs w:val="24"/>
        </w:rPr>
        <w:t>pplica</w:t>
      </w:r>
      <w:r>
        <w:rPr>
          <w:sz w:val="24"/>
          <w:szCs w:val="24"/>
        </w:rPr>
        <w:t xml:space="preserve">tions and payments are submitted electronically </w:t>
      </w:r>
      <w:r w:rsidR="001609FB">
        <w:rPr>
          <w:sz w:val="24"/>
          <w:szCs w:val="24"/>
        </w:rPr>
        <w:t>by</w:t>
      </w:r>
      <w:r w:rsidRPr="001609FB" w:rsidR="003E4D74">
        <w:rPr>
          <w:sz w:val="24"/>
          <w:szCs w:val="24"/>
        </w:rPr>
        <w:t xml:space="preserve"> </w:t>
      </w:r>
      <w:r w:rsidR="001609FB">
        <w:rPr>
          <w:sz w:val="24"/>
          <w:szCs w:val="24"/>
        </w:rPr>
        <w:t>following instructions at</w:t>
      </w:r>
      <w:r w:rsidR="002C4E6F">
        <w:t xml:space="preserve"> </w:t>
      </w:r>
      <w:hyperlink w:history="1" r:id="rId13">
        <w:r w:rsidRPr="002C4E6F" w:rsidR="002C4E6F">
          <w:rPr>
            <w:rStyle w:val="Hyperlink"/>
            <w:sz w:val="24"/>
            <w:szCs w:val="24"/>
          </w:rPr>
          <w:t>https://www.fisheries.noaa.gov/pacific-islands/commercial-fishing/apply-pacific-islands-fishing-permit</w:t>
        </w:r>
      </w:hyperlink>
      <w:r w:rsidRPr="002C4E6F" w:rsidR="001609FB">
        <w:rPr>
          <w:sz w:val="24"/>
          <w:szCs w:val="24"/>
        </w:rPr>
        <w:t>.</w:t>
      </w:r>
      <w:r w:rsidRPr="001609FB" w:rsidR="003E4D74">
        <w:rPr>
          <w:sz w:val="24"/>
          <w:szCs w:val="24"/>
        </w:rPr>
        <w:t xml:space="preserve"> </w:t>
      </w:r>
      <w:r w:rsidR="001D6F92">
        <w:rPr>
          <w:sz w:val="24"/>
          <w:szCs w:val="24"/>
        </w:rPr>
        <w:t xml:space="preserve">Hawaii longline permit renewals may be submitted through this latter process if </w:t>
      </w:r>
      <w:r w:rsidRPr="00312739" w:rsidR="001D6F92">
        <w:rPr>
          <w:sz w:val="24"/>
          <w:szCs w:val="24"/>
        </w:rPr>
        <w:t>a</w:t>
      </w:r>
      <w:r w:rsidR="001D6F92">
        <w:rPr>
          <w:sz w:val="24"/>
          <w:szCs w:val="24"/>
        </w:rPr>
        <w:t xml:space="preserve"> permit holder is having difficulty with NPS. </w:t>
      </w:r>
      <w:r>
        <w:rPr>
          <w:sz w:val="24"/>
          <w:szCs w:val="24"/>
        </w:rPr>
        <w:t>A</w:t>
      </w:r>
      <w:r w:rsidR="00A35D86">
        <w:rPr>
          <w:sz w:val="24"/>
          <w:szCs w:val="24"/>
        </w:rPr>
        <w:t xml:space="preserve">ll applicants </w:t>
      </w:r>
      <w:r>
        <w:rPr>
          <w:sz w:val="24"/>
          <w:szCs w:val="24"/>
        </w:rPr>
        <w:t xml:space="preserve">are instructed </w:t>
      </w:r>
      <w:r w:rsidR="00A35D86">
        <w:rPr>
          <w:sz w:val="24"/>
          <w:szCs w:val="24"/>
        </w:rPr>
        <w:t xml:space="preserve">to submit applications securely via </w:t>
      </w:r>
      <w:proofErr w:type="spellStart"/>
      <w:r w:rsidR="00A35D86">
        <w:rPr>
          <w:sz w:val="24"/>
          <w:szCs w:val="24"/>
        </w:rPr>
        <w:t>Kiteworks</w:t>
      </w:r>
      <w:proofErr w:type="spellEnd"/>
      <w:r w:rsidR="00A35D86">
        <w:rPr>
          <w:sz w:val="24"/>
          <w:szCs w:val="24"/>
        </w:rPr>
        <w:t>.</w:t>
      </w:r>
    </w:p>
    <w:p w:rsidR="0084752E" w:rsidP="0020448B" w:rsidRDefault="0084752E" w14:paraId="67982BA9" w14:textId="77777777">
      <w:pPr>
        <w:rPr>
          <w:sz w:val="24"/>
          <w:szCs w:val="24"/>
        </w:rPr>
      </w:pPr>
    </w:p>
    <w:p w:rsidRPr="00BD7237" w:rsidR="00283F01" w:rsidP="00283F01" w:rsidRDefault="00493868" w14:paraId="53CFE136" w14:textId="77777777">
      <w:pPr>
        <w:pStyle w:val="ListParagraph"/>
        <w:tabs>
          <w:tab w:val="left" w:pos="360"/>
        </w:tabs>
        <w:adjustRightInd/>
        <w:spacing w:before="80"/>
        <w:ind w:left="0"/>
        <w:contextualSpacing w:val="0"/>
        <w:rPr>
          <w:b/>
          <w:sz w:val="24"/>
          <w:szCs w:val="24"/>
        </w:rPr>
      </w:pPr>
      <w:r>
        <w:rPr>
          <w:b/>
          <w:bCs/>
          <w:sz w:val="24"/>
          <w:szCs w:val="24"/>
        </w:rPr>
        <w:t>4.</w:t>
      </w:r>
      <w:r>
        <w:rPr>
          <w:b/>
          <w:bCs/>
          <w:sz w:val="24"/>
          <w:szCs w:val="24"/>
        </w:rPr>
        <w:tab/>
      </w:r>
      <w:r w:rsidRPr="00BD7237" w:rsidR="00283F01">
        <w:rPr>
          <w:b/>
          <w:sz w:val="24"/>
          <w:szCs w:val="24"/>
        </w:rPr>
        <w:t>Describe efforts to identify duplication. Show specifically why any similar information already available cannot be used or modified for use for the purposes described in Question</w:t>
      </w:r>
      <w:r w:rsidRPr="00BD7237" w:rsidR="00283F01">
        <w:rPr>
          <w:b/>
          <w:spacing w:val="-42"/>
          <w:sz w:val="24"/>
          <w:szCs w:val="24"/>
        </w:rPr>
        <w:t xml:space="preserve"> </w:t>
      </w:r>
      <w:r w:rsidRPr="00BD7237" w:rsidR="00283F01">
        <w:rPr>
          <w:b/>
          <w:sz w:val="24"/>
          <w:szCs w:val="24"/>
        </w:rPr>
        <w:t>2</w:t>
      </w:r>
    </w:p>
    <w:p w:rsidR="001609FB" w:rsidP="00283F01" w:rsidRDefault="001609FB" w14:paraId="68FFC741" w14:textId="77777777">
      <w:pPr>
        <w:tabs>
          <w:tab w:val="left" w:pos="540"/>
        </w:tabs>
        <w:ind w:left="540" w:hanging="540"/>
        <w:rPr>
          <w:sz w:val="24"/>
          <w:szCs w:val="24"/>
        </w:rPr>
      </w:pPr>
    </w:p>
    <w:p w:rsidR="004F26E9" w:rsidP="0084752E" w:rsidRDefault="003E4D74" w14:paraId="378C055F" w14:textId="77777777">
      <w:pPr>
        <w:suppressLineNumbers/>
        <w:suppressAutoHyphens/>
        <w:rPr>
          <w:sz w:val="24"/>
          <w:szCs w:val="24"/>
        </w:rPr>
      </w:pPr>
      <w:r w:rsidRPr="001609FB">
        <w:rPr>
          <w:sz w:val="24"/>
          <w:szCs w:val="24"/>
        </w:rPr>
        <w:t>NMFS carefully considered whether there were collections by other Federal agencies or state or territorial agencies that might meet the information needs presented above. No other collections, besides the requested information, would meet the agency’s reporting requirements.</w:t>
      </w:r>
    </w:p>
    <w:p w:rsidR="001F18BD" w:rsidP="0084752E" w:rsidRDefault="001F18BD" w14:paraId="11B6D18D" w14:textId="77777777">
      <w:pPr>
        <w:suppressLineNumbers/>
        <w:suppressAutoHyphens/>
        <w:rPr>
          <w:sz w:val="24"/>
          <w:szCs w:val="24"/>
        </w:rPr>
      </w:pPr>
    </w:p>
    <w:p w:rsidRPr="00283F01" w:rsidR="004F26E9" w:rsidP="00283F01" w:rsidRDefault="00493868" w14:paraId="2D91BF01" w14:textId="77777777">
      <w:pPr>
        <w:pStyle w:val="ListParagraph"/>
        <w:tabs>
          <w:tab w:val="left" w:pos="360"/>
        </w:tabs>
        <w:adjustRightInd/>
        <w:spacing w:before="80"/>
        <w:ind w:left="0"/>
        <w:contextualSpacing w:val="0"/>
        <w:rPr>
          <w:b/>
          <w:sz w:val="24"/>
          <w:szCs w:val="24"/>
        </w:rPr>
      </w:pPr>
      <w:r>
        <w:rPr>
          <w:b/>
          <w:bCs/>
          <w:sz w:val="24"/>
          <w:szCs w:val="24"/>
        </w:rPr>
        <w:t>5.</w:t>
      </w:r>
      <w:r>
        <w:rPr>
          <w:b/>
          <w:bCs/>
          <w:sz w:val="24"/>
          <w:szCs w:val="24"/>
        </w:rPr>
        <w:tab/>
      </w:r>
      <w:r w:rsidRPr="00BD7237" w:rsidR="00283F01">
        <w:rPr>
          <w:b/>
          <w:sz w:val="24"/>
          <w:szCs w:val="24"/>
        </w:rPr>
        <w:t>If the collection of information impacts small businesses or other small entities, describe any methods used to minimize burden.</w:t>
      </w:r>
    </w:p>
    <w:p w:rsidR="004F26E9" w:rsidP="0020448B" w:rsidRDefault="004F26E9" w14:paraId="4B59465B" w14:textId="77777777">
      <w:pPr>
        <w:rPr>
          <w:sz w:val="24"/>
          <w:szCs w:val="24"/>
        </w:rPr>
      </w:pPr>
    </w:p>
    <w:p w:rsidRPr="001609FB" w:rsidR="003E4D74" w:rsidP="003E4D74" w:rsidRDefault="003E4D74" w14:paraId="3AECE55B" w14:textId="2C607B2A">
      <w:pPr>
        <w:suppressLineNumbers/>
        <w:suppressAutoHyphens/>
        <w:rPr>
          <w:sz w:val="24"/>
          <w:szCs w:val="24"/>
        </w:rPr>
      </w:pPr>
      <w:r w:rsidRPr="001609FB">
        <w:rPr>
          <w:sz w:val="24"/>
          <w:szCs w:val="24"/>
        </w:rPr>
        <w:t xml:space="preserve">All of the vessels in the </w:t>
      </w:r>
      <w:r w:rsidR="00271CF8">
        <w:rPr>
          <w:sz w:val="24"/>
          <w:szCs w:val="24"/>
        </w:rPr>
        <w:t>f</w:t>
      </w:r>
      <w:r w:rsidRPr="001609FB">
        <w:rPr>
          <w:sz w:val="24"/>
          <w:szCs w:val="24"/>
        </w:rPr>
        <w:t>ederally</w:t>
      </w:r>
      <w:r w:rsidR="00271CF8">
        <w:rPr>
          <w:sz w:val="24"/>
          <w:szCs w:val="24"/>
        </w:rPr>
        <w:t xml:space="preserve"> </w:t>
      </w:r>
      <w:r w:rsidRPr="001609FB">
        <w:rPr>
          <w:sz w:val="24"/>
          <w:szCs w:val="24"/>
        </w:rPr>
        <w:t>managed fisheries in the Pacific Islands region are small business entities of similar size and are affected comparably. No special measures are needed to accommodate different sized businesses. NMFS seeks the minimum amount of data needed for permit issuance and consistent with this collection in the permit application process.</w:t>
      </w:r>
    </w:p>
    <w:p w:rsidR="004F26E9" w:rsidP="0020448B" w:rsidRDefault="004F26E9" w14:paraId="2D2794CC" w14:textId="77777777">
      <w:pPr>
        <w:rPr>
          <w:sz w:val="24"/>
          <w:szCs w:val="24"/>
        </w:rPr>
      </w:pPr>
    </w:p>
    <w:p w:rsidRPr="00BD7237" w:rsidR="00283F01" w:rsidP="00283F01" w:rsidRDefault="00493868" w14:paraId="62842D8D" w14:textId="77777777">
      <w:pPr>
        <w:pStyle w:val="ListParagraph"/>
        <w:tabs>
          <w:tab w:val="left" w:pos="360"/>
        </w:tabs>
        <w:adjustRightInd/>
        <w:spacing w:before="80"/>
        <w:ind w:left="0"/>
        <w:contextualSpacing w:val="0"/>
        <w:rPr>
          <w:b/>
          <w:sz w:val="24"/>
          <w:szCs w:val="24"/>
        </w:rPr>
      </w:pPr>
      <w:r>
        <w:rPr>
          <w:b/>
          <w:bCs/>
          <w:sz w:val="24"/>
          <w:szCs w:val="24"/>
        </w:rPr>
        <w:t>6.</w:t>
      </w:r>
      <w:r>
        <w:rPr>
          <w:b/>
          <w:bCs/>
          <w:sz w:val="24"/>
          <w:szCs w:val="24"/>
        </w:rPr>
        <w:tab/>
      </w:r>
      <w:r w:rsidRPr="00BD7237" w:rsidR="00283F01">
        <w:rPr>
          <w:b/>
          <w:sz w:val="24"/>
          <w:szCs w:val="24"/>
        </w:rPr>
        <w:t>Describe the consequence to Federal program or policy activities if the collection is not conducted or is conducted less frequently, as well as any technical or legal obstacles to reducing burden.</w:t>
      </w:r>
    </w:p>
    <w:p w:rsidR="004F26E9" w:rsidP="0020448B" w:rsidRDefault="004F26E9" w14:paraId="03D45317" w14:textId="77777777">
      <w:pPr>
        <w:rPr>
          <w:sz w:val="24"/>
          <w:szCs w:val="24"/>
        </w:rPr>
      </w:pPr>
    </w:p>
    <w:p w:rsidRPr="001609FB" w:rsidR="003E4D74" w:rsidP="003E4D74" w:rsidRDefault="003E4D74" w14:paraId="03845D2B" w14:textId="77777777">
      <w:pPr>
        <w:suppressLineNumbers/>
        <w:suppressAutoHyphens/>
        <w:rPr>
          <w:sz w:val="24"/>
          <w:szCs w:val="24"/>
        </w:rPr>
      </w:pPr>
      <w:r w:rsidRPr="001609FB">
        <w:rPr>
          <w:sz w:val="24"/>
          <w:szCs w:val="24"/>
        </w:rPr>
        <w:t xml:space="preserve">Without this collection or if it is collected less frequently, NMFS will be unable to properly evaluate permit applications issued under the Pacific Islands FEPs. Also, it will be difficult to monitor the fisheries and their participants, determine entry and exit patterns, assess catch history to determine appropriate allocations for potential catch share programs, and provide information needed to ensure full impact analysis for fisheries management programs. Without this information, enforcement agents will not be able to identify current fishery participants for compliance monitoring purposes and NMFS would be unable to consult with permit holders on regulatory changes. </w:t>
      </w:r>
    </w:p>
    <w:p w:rsidR="004F26E9" w:rsidP="0020448B" w:rsidRDefault="004F26E9" w14:paraId="07F6FCDD" w14:textId="77777777">
      <w:pPr>
        <w:rPr>
          <w:sz w:val="24"/>
          <w:szCs w:val="24"/>
        </w:rPr>
      </w:pPr>
    </w:p>
    <w:p w:rsidRPr="00BD7237" w:rsidR="00283F01" w:rsidP="00283F01" w:rsidRDefault="00493868" w14:paraId="294F4D47" w14:textId="404770C2">
      <w:pPr>
        <w:pStyle w:val="ListParagraph"/>
        <w:tabs>
          <w:tab w:val="left" w:pos="360"/>
        </w:tabs>
        <w:adjustRightInd/>
        <w:spacing w:before="80"/>
        <w:ind w:left="0"/>
        <w:contextualSpacing w:val="0"/>
        <w:rPr>
          <w:b/>
          <w:sz w:val="24"/>
          <w:szCs w:val="24"/>
        </w:rPr>
      </w:pPr>
      <w:r>
        <w:rPr>
          <w:b/>
          <w:bCs/>
          <w:sz w:val="24"/>
          <w:szCs w:val="24"/>
        </w:rPr>
        <w:lastRenderedPageBreak/>
        <w:t>7.</w:t>
      </w:r>
      <w:r>
        <w:rPr>
          <w:b/>
          <w:bCs/>
          <w:sz w:val="24"/>
          <w:szCs w:val="24"/>
        </w:rPr>
        <w:tab/>
      </w:r>
      <w:r w:rsidRPr="00BD7237" w:rsidR="00283F01">
        <w:rPr>
          <w:b/>
          <w:sz w:val="24"/>
          <w:szCs w:val="24"/>
        </w:rPr>
        <w:t>Explain any special circumstances that would cause an information collect</w:t>
      </w:r>
      <w:r w:rsidR="00283F01">
        <w:rPr>
          <w:b/>
          <w:sz w:val="24"/>
          <w:szCs w:val="24"/>
        </w:rPr>
        <w:t>ion to be conducted in a manner inconsistent with OMB guidelines.</w:t>
      </w:r>
    </w:p>
    <w:p w:rsidR="004F26E9" w:rsidP="00CD5390" w:rsidRDefault="004F26E9" w14:paraId="62546FF6" w14:textId="77777777">
      <w:pPr>
        <w:rPr>
          <w:sz w:val="24"/>
          <w:szCs w:val="24"/>
        </w:rPr>
      </w:pPr>
    </w:p>
    <w:p w:rsidR="004F26E9" w:rsidP="00CD5390" w:rsidRDefault="00283F01" w14:paraId="5C582208" w14:textId="77777777">
      <w:pPr>
        <w:rPr>
          <w:sz w:val="24"/>
          <w:szCs w:val="24"/>
        </w:rPr>
      </w:pPr>
      <w:r>
        <w:rPr>
          <w:sz w:val="24"/>
          <w:szCs w:val="24"/>
        </w:rPr>
        <w:t>This collection will be conducted in a manner that is consistent with OMB guidelines.</w:t>
      </w:r>
    </w:p>
    <w:p w:rsidR="00A35D86" w:rsidP="00283F01" w:rsidRDefault="00A35D86" w14:paraId="1E5DFCA4" w14:textId="58B92702">
      <w:pPr>
        <w:pStyle w:val="ListParagraph"/>
        <w:tabs>
          <w:tab w:val="left" w:pos="360"/>
        </w:tabs>
        <w:adjustRightInd/>
        <w:spacing w:before="80"/>
        <w:ind w:left="0"/>
        <w:contextualSpacing w:val="0"/>
        <w:rPr>
          <w:b/>
          <w:bCs/>
          <w:sz w:val="24"/>
          <w:szCs w:val="24"/>
        </w:rPr>
      </w:pPr>
    </w:p>
    <w:p w:rsidRPr="00BD7237" w:rsidR="00283F01" w:rsidP="00283F01" w:rsidRDefault="00493868" w14:paraId="78803AB7" w14:textId="28D8C082">
      <w:pPr>
        <w:pStyle w:val="ListParagraph"/>
        <w:tabs>
          <w:tab w:val="left" w:pos="360"/>
        </w:tabs>
        <w:adjustRightInd/>
        <w:spacing w:before="80"/>
        <w:ind w:left="0"/>
        <w:contextualSpacing w:val="0"/>
        <w:rPr>
          <w:b/>
          <w:sz w:val="24"/>
          <w:szCs w:val="24"/>
        </w:rPr>
      </w:pPr>
      <w:r>
        <w:rPr>
          <w:b/>
          <w:bCs/>
          <w:sz w:val="24"/>
          <w:szCs w:val="24"/>
        </w:rPr>
        <w:t>8.</w:t>
      </w:r>
      <w:r>
        <w:rPr>
          <w:b/>
          <w:bCs/>
          <w:sz w:val="24"/>
          <w:szCs w:val="24"/>
        </w:rPr>
        <w:tab/>
      </w:r>
      <w:r w:rsidRPr="00BD7237" w:rsidR="00283F01">
        <w:rPr>
          <w:b/>
          <w:sz w:val="24"/>
          <w:szCs w:val="24"/>
        </w:rP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4F26E9" w:rsidP="00283F01" w:rsidRDefault="004F26E9" w14:paraId="6A59771D" w14:textId="77777777">
      <w:pPr>
        <w:tabs>
          <w:tab w:val="left" w:pos="540"/>
        </w:tabs>
        <w:ind w:left="540" w:hanging="540"/>
        <w:rPr>
          <w:sz w:val="24"/>
          <w:szCs w:val="24"/>
        </w:rPr>
      </w:pPr>
    </w:p>
    <w:p w:rsidR="001C5758" w:rsidP="001D6F92" w:rsidRDefault="004D16D6" w14:paraId="5B3A0412" w14:textId="3B4F5CA7">
      <w:pPr>
        <w:rPr>
          <w:sz w:val="24"/>
          <w:szCs w:val="24"/>
        </w:rPr>
      </w:pPr>
      <w:r>
        <w:rPr>
          <w:sz w:val="24"/>
          <w:szCs w:val="24"/>
        </w:rPr>
        <w:t>NMFS published a</w:t>
      </w:r>
      <w:r w:rsidR="001E6F72">
        <w:rPr>
          <w:sz w:val="24"/>
          <w:szCs w:val="24"/>
        </w:rPr>
        <w:t xml:space="preserve"> </w:t>
      </w:r>
      <w:r w:rsidRPr="002C4E6F" w:rsidR="001E6F72">
        <w:rPr>
          <w:sz w:val="24"/>
          <w:szCs w:val="24"/>
        </w:rPr>
        <w:t>Federal Register</w:t>
      </w:r>
      <w:r w:rsidRPr="00F01735" w:rsidR="001E6F72">
        <w:rPr>
          <w:sz w:val="24"/>
          <w:szCs w:val="24"/>
        </w:rPr>
        <w:t xml:space="preserve"> </w:t>
      </w:r>
      <w:r w:rsidR="00C95A38">
        <w:rPr>
          <w:sz w:val="24"/>
          <w:szCs w:val="24"/>
        </w:rPr>
        <w:t>n</w:t>
      </w:r>
      <w:r w:rsidRPr="00F01735" w:rsidR="001E6F72">
        <w:rPr>
          <w:sz w:val="24"/>
          <w:szCs w:val="24"/>
        </w:rPr>
        <w:t>otice</w:t>
      </w:r>
      <w:r w:rsidR="001E6F72">
        <w:rPr>
          <w:sz w:val="24"/>
          <w:szCs w:val="24"/>
        </w:rPr>
        <w:t xml:space="preserve"> on</w:t>
      </w:r>
      <w:r w:rsidR="009651E6">
        <w:rPr>
          <w:sz w:val="24"/>
          <w:szCs w:val="24"/>
        </w:rPr>
        <w:t xml:space="preserve"> September 15, 2021 (</w:t>
      </w:r>
      <w:hyperlink w:history="1" r:id="rId14">
        <w:r w:rsidRPr="00242F72" w:rsidR="009651E6">
          <w:rPr>
            <w:rStyle w:val="Hyperlink"/>
            <w:sz w:val="24"/>
            <w:szCs w:val="24"/>
          </w:rPr>
          <w:t>86 FR 51345</w:t>
        </w:r>
      </w:hyperlink>
      <w:r w:rsidR="00F01735">
        <w:rPr>
          <w:sz w:val="24"/>
          <w:szCs w:val="24"/>
        </w:rPr>
        <w:t>) solicit</w:t>
      </w:r>
      <w:r>
        <w:rPr>
          <w:sz w:val="24"/>
          <w:szCs w:val="24"/>
        </w:rPr>
        <w:t>ing</w:t>
      </w:r>
      <w:r w:rsidR="00F01735">
        <w:rPr>
          <w:sz w:val="24"/>
          <w:szCs w:val="24"/>
        </w:rPr>
        <w:t xml:space="preserve"> public comm</w:t>
      </w:r>
      <w:r w:rsidR="00357A8C">
        <w:rPr>
          <w:sz w:val="24"/>
          <w:szCs w:val="24"/>
        </w:rPr>
        <w:t xml:space="preserve">ents. </w:t>
      </w:r>
      <w:r w:rsidR="001F18BD">
        <w:rPr>
          <w:sz w:val="24"/>
          <w:szCs w:val="24"/>
        </w:rPr>
        <w:t>NMFS</w:t>
      </w:r>
      <w:r>
        <w:rPr>
          <w:sz w:val="24"/>
          <w:szCs w:val="24"/>
        </w:rPr>
        <w:t xml:space="preserve"> received n</w:t>
      </w:r>
      <w:r w:rsidR="00357A8C">
        <w:rPr>
          <w:sz w:val="24"/>
          <w:szCs w:val="24"/>
        </w:rPr>
        <w:t xml:space="preserve">o comments from the notice. </w:t>
      </w:r>
      <w:r w:rsidR="00C95A38">
        <w:rPr>
          <w:sz w:val="24"/>
          <w:szCs w:val="24"/>
        </w:rPr>
        <w:t xml:space="preserve">We also directly </w:t>
      </w:r>
      <w:r w:rsidR="001C5758">
        <w:rPr>
          <w:sz w:val="24"/>
          <w:szCs w:val="24"/>
        </w:rPr>
        <w:t>solicit</w:t>
      </w:r>
      <w:r w:rsidR="0011443A">
        <w:rPr>
          <w:sz w:val="24"/>
          <w:szCs w:val="24"/>
        </w:rPr>
        <w:t>ed</w:t>
      </w:r>
      <w:r w:rsidR="001C5758">
        <w:rPr>
          <w:sz w:val="24"/>
          <w:szCs w:val="24"/>
        </w:rPr>
        <w:t xml:space="preserve"> comment</w:t>
      </w:r>
      <w:r w:rsidR="0011443A">
        <w:rPr>
          <w:sz w:val="24"/>
          <w:szCs w:val="24"/>
        </w:rPr>
        <w:t>s</w:t>
      </w:r>
      <w:r w:rsidR="001C5758">
        <w:rPr>
          <w:sz w:val="24"/>
          <w:szCs w:val="24"/>
        </w:rPr>
        <w:t xml:space="preserve"> </w:t>
      </w:r>
      <w:r w:rsidR="0011443A">
        <w:rPr>
          <w:sz w:val="24"/>
          <w:szCs w:val="24"/>
        </w:rPr>
        <w:t>from</w:t>
      </w:r>
      <w:r w:rsidR="001C5758">
        <w:rPr>
          <w:sz w:val="24"/>
          <w:szCs w:val="24"/>
        </w:rPr>
        <w:t xml:space="preserve"> permit-related government and </w:t>
      </w:r>
      <w:r w:rsidR="0011443A">
        <w:rPr>
          <w:sz w:val="24"/>
          <w:szCs w:val="24"/>
        </w:rPr>
        <w:t xml:space="preserve">fishing </w:t>
      </w:r>
      <w:r w:rsidR="001C5758">
        <w:rPr>
          <w:sz w:val="24"/>
          <w:szCs w:val="24"/>
        </w:rPr>
        <w:t xml:space="preserve">industry contacts. </w:t>
      </w:r>
      <w:r w:rsidR="00271CF8">
        <w:rPr>
          <w:sz w:val="24"/>
          <w:szCs w:val="24"/>
        </w:rPr>
        <w:t>We received one response from OLE stating that it had no comments</w:t>
      </w:r>
      <w:r w:rsidR="001C5758">
        <w:rPr>
          <w:sz w:val="24"/>
          <w:szCs w:val="24"/>
        </w:rPr>
        <w:t>.</w:t>
      </w:r>
    </w:p>
    <w:p w:rsidR="00493868" w:rsidP="00CD5390" w:rsidRDefault="00493868" w14:paraId="129DEE30" w14:textId="77777777">
      <w:pPr>
        <w:rPr>
          <w:sz w:val="24"/>
          <w:szCs w:val="24"/>
        </w:rPr>
      </w:pPr>
    </w:p>
    <w:p w:rsidRPr="00BD7237" w:rsidR="00283F01" w:rsidP="00283F01" w:rsidRDefault="00493868" w14:paraId="4FC77583" w14:textId="77777777">
      <w:pPr>
        <w:pStyle w:val="ListParagraph"/>
        <w:tabs>
          <w:tab w:val="left" w:pos="360"/>
        </w:tabs>
        <w:adjustRightInd/>
        <w:spacing w:before="80"/>
        <w:ind w:left="0"/>
        <w:contextualSpacing w:val="0"/>
        <w:rPr>
          <w:b/>
          <w:sz w:val="24"/>
          <w:szCs w:val="24"/>
        </w:rPr>
      </w:pPr>
      <w:r>
        <w:rPr>
          <w:b/>
          <w:bCs/>
          <w:sz w:val="24"/>
          <w:szCs w:val="24"/>
        </w:rPr>
        <w:t>9.</w:t>
      </w:r>
      <w:r>
        <w:rPr>
          <w:b/>
          <w:bCs/>
          <w:sz w:val="24"/>
          <w:szCs w:val="24"/>
        </w:rPr>
        <w:tab/>
      </w:r>
      <w:r w:rsidRPr="00BD7237" w:rsidR="00283F01">
        <w:rPr>
          <w:b/>
          <w:sz w:val="24"/>
          <w:szCs w:val="24"/>
        </w:rPr>
        <w:t>Explain any decision to provide any payment or gift to respondents, other than remuneration of contractors or grantees.</w:t>
      </w:r>
    </w:p>
    <w:p w:rsidR="004F26E9" w:rsidP="00283F01" w:rsidRDefault="004F26E9" w14:paraId="31F406C5" w14:textId="77777777">
      <w:pPr>
        <w:tabs>
          <w:tab w:val="left" w:pos="540"/>
        </w:tabs>
        <w:ind w:left="540" w:hanging="540"/>
        <w:rPr>
          <w:sz w:val="24"/>
          <w:szCs w:val="24"/>
        </w:rPr>
      </w:pPr>
    </w:p>
    <w:p w:rsidRPr="001609FB" w:rsidR="003E4D74" w:rsidP="003E4D74" w:rsidRDefault="003E4D74" w14:paraId="79B487C8" w14:textId="77777777">
      <w:pPr>
        <w:suppressLineNumbers/>
        <w:suppressAutoHyphens/>
        <w:rPr>
          <w:sz w:val="24"/>
          <w:szCs w:val="24"/>
        </w:rPr>
      </w:pPr>
      <w:r w:rsidRPr="001609FB">
        <w:rPr>
          <w:sz w:val="24"/>
          <w:szCs w:val="24"/>
        </w:rPr>
        <w:t>No payments or gifts are involved in this collection.</w:t>
      </w:r>
    </w:p>
    <w:p w:rsidR="004F26E9" w:rsidP="00CD5390" w:rsidRDefault="004F26E9" w14:paraId="1DCA0A28" w14:textId="77777777">
      <w:pPr>
        <w:rPr>
          <w:sz w:val="24"/>
          <w:szCs w:val="24"/>
        </w:rPr>
      </w:pPr>
    </w:p>
    <w:p w:rsidRPr="00BD7237" w:rsidR="00283F01" w:rsidP="00283F01" w:rsidRDefault="00493868" w14:paraId="6AF455CE" w14:textId="77777777">
      <w:pPr>
        <w:pStyle w:val="ListParagraph"/>
        <w:tabs>
          <w:tab w:val="left" w:pos="360"/>
        </w:tabs>
        <w:adjustRightInd/>
        <w:spacing w:before="80"/>
        <w:ind w:left="0"/>
        <w:contextualSpacing w:val="0"/>
        <w:rPr>
          <w:b/>
          <w:sz w:val="24"/>
          <w:szCs w:val="24"/>
        </w:rPr>
      </w:pPr>
      <w:r>
        <w:rPr>
          <w:b/>
          <w:bCs/>
          <w:sz w:val="24"/>
          <w:szCs w:val="24"/>
        </w:rPr>
        <w:t>10.</w:t>
      </w:r>
      <w:r>
        <w:rPr>
          <w:b/>
          <w:bCs/>
          <w:sz w:val="24"/>
          <w:szCs w:val="24"/>
        </w:rPr>
        <w:tab/>
      </w:r>
      <w:r w:rsidRPr="00BD7237" w:rsidR="00283F01">
        <w:rPr>
          <w:b/>
          <w:sz w:val="24"/>
          <w:szCs w:val="24"/>
        </w:rPr>
        <w:t>Describe any assurance of confidentiality provided to respondents and the basis for the assurance in statute, regulation, or agency policy. If the collection requires a systems of records notice (SORN) or privacy impact assessment (PIA), those should be cited and described here.</w:t>
      </w:r>
    </w:p>
    <w:p w:rsidR="004F26E9" w:rsidP="00CD5390" w:rsidRDefault="004F26E9" w14:paraId="3A8C9F4C" w14:textId="77777777">
      <w:pPr>
        <w:rPr>
          <w:sz w:val="24"/>
          <w:szCs w:val="24"/>
        </w:rPr>
      </w:pPr>
    </w:p>
    <w:p w:rsidRPr="001609FB" w:rsidR="003E4D74" w:rsidP="003E4D74" w:rsidRDefault="003E4D74" w14:paraId="3FC7E9F8" w14:textId="77777777">
      <w:pPr>
        <w:suppressLineNumbers/>
        <w:suppressAutoHyphens/>
        <w:rPr>
          <w:sz w:val="24"/>
          <w:szCs w:val="24"/>
        </w:rPr>
      </w:pPr>
      <w:r w:rsidRPr="001609FB">
        <w:rPr>
          <w:sz w:val="24"/>
          <w:szCs w:val="24"/>
        </w:rPr>
        <w:t xml:space="preserve">As stated on all forms, the information collected is confidential under section 402(b) of the Magnuson-Stevens Act, as amended in 2006. It is also confidential under </w:t>
      </w:r>
      <w:hyperlink w:history="1" r:id="rId15">
        <w:r w:rsidRPr="00F0783F">
          <w:rPr>
            <w:rStyle w:val="Hyperlink"/>
            <w:color w:val="0070C0"/>
            <w:sz w:val="24"/>
            <w:szCs w:val="24"/>
          </w:rPr>
          <w:t>NOAA Administrative Order 216.100</w:t>
        </w:r>
      </w:hyperlink>
      <w:r w:rsidRPr="001609FB">
        <w:rPr>
          <w:sz w:val="24"/>
          <w:szCs w:val="24"/>
        </w:rPr>
        <w:t xml:space="preserve">, which sets forth procedures to protect confidentiality of fishery statistics. </w:t>
      </w:r>
    </w:p>
    <w:p w:rsidR="006C3573" w:rsidP="003E4D74" w:rsidRDefault="006C3573" w14:paraId="2438FB87" w14:textId="77777777">
      <w:pPr>
        <w:suppressLineNumbers/>
        <w:suppressAutoHyphens/>
        <w:rPr>
          <w:sz w:val="24"/>
          <w:szCs w:val="24"/>
        </w:rPr>
      </w:pPr>
    </w:p>
    <w:p w:rsidRPr="001609FB" w:rsidR="003E4D74" w:rsidP="003E4D74" w:rsidRDefault="003E4D74" w14:paraId="7367B43E" w14:textId="20136C93">
      <w:pPr>
        <w:suppressLineNumbers/>
        <w:suppressAutoHyphens/>
        <w:rPr>
          <w:sz w:val="24"/>
          <w:szCs w:val="24"/>
        </w:rPr>
      </w:pPr>
      <w:r w:rsidRPr="001609FB">
        <w:rPr>
          <w:sz w:val="24"/>
          <w:szCs w:val="24"/>
        </w:rPr>
        <w:t>NMFS published a Privacy Act S</w:t>
      </w:r>
      <w:r w:rsidR="00665AFA">
        <w:rPr>
          <w:sz w:val="24"/>
          <w:szCs w:val="24"/>
        </w:rPr>
        <w:t xml:space="preserve">ystem of Records Notice for Permits and Registrations for United States Federally Regulated Fisheries at </w:t>
      </w:r>
      <w:hyperlink w:history="1" r:id="rId16">
        <w:r w:rsidRPr="00FC1B44" w:rsidR="00665AFA">
          <w:rPr>
            <w:rStyle w:val="Hyperlink"/>
            <w:sz w:val="24"/>
            <w:szCs w:val="24"/>
          </w:rPr>
          <w:t>https://www.osec.doc.gov/opog/</w:t>
        </w:r>
        <w:r w:rsidR="00271CF8">
          <w:rPr>
            <w:rStyle w:val="Hyperlink"/>
            <w:sz w:val="24"/>
            <w:szCs w:val="24"/>
          </w:rPr>
          <w:t>‌</w:t>
        </w:r>
        <w:r w:rsidRPr="00FC1B44" w:rsidR="00665AFA">
          <w:rPr>
            <w:rStyle w:val="Hyperlink"/>
            <w:sz w:val="24"/>
            <w:szCs w:val="24"/>
          </w:rPr>
          <w:t>PrivacyAct/</w:t>
        </w:r>
        <w:r w:rsidR="00271CF8">
          <w:rPr>
            <w:rStyle w:val="Hyperlink"/>
            <w:sz w:val="24"/>
            <w:szCs w:val="24"/>
          </w:rPr>
          <w:t>‌</w:t>
        </w:r>
        <w:r w:rsidRPr="00FC1B44" w:rsidR="00665AFA">
          <w:rPr>
            <w:rStyle w:val="Hyperlink"/>
            <w:sz w:val="24"/>
            <w:szCs w:val="24"/>
          </w:rPr>
          <w:t>SORNs/noaa-19.html</w:t>
        </w:r>
      </w:hyperlink>
      <w:r w:rsidR="005F7654">
        <w:rPr>
          <w:sz w:val="24"/>
          <w:szCs w:val="24"/>
        </w:rPr>
        <w:t xml:space="preserve"> that provides details on information collected by NMFS and its use.</w:t>
      </w:r>
      <w:r w:rsidRPr="001609FB">
        <w:rPr>
          <w:i/>
          <w:sz w:val="24"/>
          <w:szCs w:val="24"/>
        </w:rPr>
        <w:t xml:space="preserve"> </w:t>
      </w:r>
      <w:r w:rsidR="00665AFA">
        <w:rPr>
          <w:sz w:val="24"/>
          <w:szCs w:val="24"/>
        </w:rPr>
        <w:t>A Privacy Act Statement is provided on all application forms.</w:t>
      </w:r>
    </w:p>
    <w:p w:rsidR="004F26E9" w:rsidP="00CD5390" w:rsidRDefault="004F26E9" w14:paraId="6C7AB6F7" w14:textId="77777777">
      <w:pPr>
        <w:rPr>
          <w:sz w:val="24"/>
          <w:szCs w:val="24"/>
        </w:rPr>
      </w:pPr>
    </w:p>
    <w:p w:rsidR="004F26E9" w:rsidP="00283334" w:rsidRDefault="00493868" w14:paraId="3ACA1918" w14:textId="6D786D8B">
      <w:pPr>
        <w:pStyle w:val="ListParagraph"/>
        <w:tabs>
          <w:tab w:val="left" w:pos="360"/>
        </w:tabs>
        <w:adjustRightInd/>
        <w:spacing w:before="80"/>
        <w:ind w:left="0"/>
        <w:contextualSpacing w:val="0"/>
        <w:rPr>
          <w:b/>
          <w:sz w:val="24"/>
          <w:szCs w:val="24"/>
        </w:rPr>
      </w:pPr>
      <w:r>
        <w:rPr>
          <w:b/>
          <w:bCs/>
          <w:sz w:val="24"/>
          <w:szCs w:val="24"/>
        </w:rPr>
        <w:t>11.</w:t>
      </w:r>
      <w:r>
        <w:rPr>
          <w:b/>
          <w:bCs/>
          <w:sz w:val="24"/>
          <w:szCs w:val="24"/>
        </w:rPr>
        <w:tab/>
      </w:r>
      <w:r w:rsidRPr="00BD7237" w:rsidR="00283F01">
        <w:rPr>
          <w:b/>
          <w:sz w:val="24"/>
          <w:szCs w:val="24"/>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Pr="00283334" w:rsidR="009651E6" w:rsidP="00283334" w:rsidRDefault="009651E6" w14:paraId="400F57D2" w14:textId="77777777">
      <w:pPr>
        <w:pStyle w:val="ListParagraph"/>
        <w:tabs>
          <w:tab w:val="left" w:pos="360"/>
        </w:tabs>
        <w:adjustRightInd/>
        <w:spacing w:before="80"/>
        <w:ind w:left="0"/>
        <w:contextualSpacing w:val="0"/>
        <w:rPr>
          <w:b/>
          <w:sz w:val="24"/>
          <w:szCs w:val="24"/>
        </w:rPr>
      </w:pPr>
    </w:p>
    <w:p w:rsidRPr="00665AFA" w:rsidR="003E4D74" w:rsidP="003E4D74" w:rsidRDefault="003E4D74" w14:paraId="76316ED4" w14:textId="77777777">
      <w:pPr>
        <w:suppressLineNumbers/>
        <w:suppressAutoHyphens/>
        <w:rPr>
          <w:sz w:val="24"/>
          <w:szCs w:val="24"/>
        </w:rPr>
      </w:pPr>
      <w:r w:rsidRPr="00665AFA">
        <w:rPr>
          <w:sz w:val="24"/>
          <w:szCs w:val="24"/>
        </w:rPr>
        <w:t>NMFS asked no questions of a sensitive nature.</w:t>
      </w:r>
    </w:p>
    <w:p w:rsidR="00CA2B37" w:rsidP="00CD5390" w:rsidRDefault="00CA2B37" w14:paraId="6175B54C" w14:textId="77777777">
      <w:pPr>
        <w:rPr>
          <w:sz w:val="24"/>
          <w:szCs w:val="24"/>
        </w:rPr>
        <w:sectPr w:rsidR="00CA2B37" w:rsidSect="00493868">
          <w:footnotePr>
            <w:numRestart w:val="eachSect"/>
          </w:footnotePr>
          <w:endnotePr>
            <w:numFmt w:val="decimal"/>
          </w:endnotePr>
          <w:type w:val="continuous"/>
          <w:pgSz w:w="12240" w:h="15840"/>
          <w:pgMar w:top="1440" w:right="1440" w:bottom="1440" w:left="1440" w:header="720" w:footer="720" w:gutter="0"/>
          <w:cols w:space="720"/>
        </w:sectPr>
      </w:pPr>
    </w:p>
    <w:p w:rsidR="00283F01" w:rsidP="00283F01" w:rsidRDefault="00493868" w14:paraId="7BB90F3B" w14:textId="33FEEC73">
      <w:pPr>
        <w:pStyle w:val="ListParagraph"/>
        <w:tabs>
          <w:tab w:val="left" w:pos="360"/>
        </w:tabs>
        <w:adjustRightInd/>
        <w:spacing w:before="80"/>
        <w:ind w:left="0"/>
        <w:contextualSpacing w:val="0"/>
        <w:rPr>
          <w:b/>
          <w:sz w:val="24"/>
          <w:szCs w:val="24"/>
        </w:rPr>
      </w:pPr>
      <w:r>
        <w:rPr>
          <w:b/>
          <w:bCs/>
          <w:sz w:val="24"/>
          <w:szCs w:val="24"/>
        </w:rPr>
        <w:lastRenderedPageBreak/>
        <w:t>12.</w:t>
      </w:r>
      <w:r>
        <w:rPr>
          <w:b/>
          <w:bCs/>
          <w:sz w:val="24"/>
          <w:szCs w:val="24"/>
        </w:rPr>
        <w:tab/>
      </w:r>
      <w:r w:rsidRPr="00BD7237" w:rsidR="00283F01">
        <w:rPr>
          <w:b/>
          <w:sz w:val="24"/>
          <w:szCs w:val="24"/>
        </w:rPr>
        <w:t>Provide estimates of the hour burden of the collection of information.</w:t>
      </w:r>
    </w:p>
    <w:p w:rsidR="0011443A" w:rsidP="00283F01" w:rsidRDefault="0011443A" w14:paraId="1DB82985" w14:textId="77777777">
      <w:pPr>
        <w:pStyle w:val="ListParagraph"/>
        <w:tabs>
          <w:tab w:val="left" w:pos="360"/>
        </w:tabs>
        <w:adjustRightInd/>
        <w:spacing w:before="80"/>
        <w:ind w:left="0"/>
        <w:contextualSpacing w:val="0"/>
        <w:rPr>
          <w:sz w:val="24"/>
          <w:szCs w:val="24"/>
        </w:rPr>
      </w:pPr>
    </w:p>
    <w:p w:rsidRPr="00BD7237" w:rsidR="00A17216" w:rsidP="00283F01" w:rsidRDefault="00101394" w14:paraId="3AFBED00" w14:textId="646C1CBD">
      <w:pPr>
        <w:pStyle w:val="ListParagraph"/>
        <w:tabs>
          <w:tab w:val="left" w:pos="360"/>
        </w:tabs>
        <w:adjustRightInd/>
        <w:spacing w:before="80"/>
        <w:ind w:left="0"/>
        <w:contextualSpacing w:val="0"/>
        <w:rPr>
          <w:b/>
          <w:sz w:val="24"/>
          <w:szCs w:val="24"/>
        </w:rPr>
      </w:pPr>
      <w:r>
        <w:rPr>
          <w:sz w:val="24"/>
          <w:szCs w:val="24"/>
        </w:rPr>
        <w:t xml:space="preserve">We used the May 2020 Occupational Employment and Wages for First-Line Supervisors of Farming, Fishing, and Forestry Workers in Hawaii, considering </w:t>
      </w:r>
      <w:r w:rsidR="006F5F06">
        <w:rPr>
          <w:sz w:val="24"/>
          <w:szCs w:val="24"/>
        </w:rPr>
        <w:t xml:space="preserve">permit holders could be business owners, vessel owners, or vessel operators. </w:t>
      </w:r>
      <w:r>
        <w:rPr>
          <w:sz w:val="24"/>
          <w:szCs w:val="24"/>
        </w:rPr>
        <w:t xml:space="preserve">The hourly wage rate is considerably higher than in the supporting statement for the previous </w:t>
      </w:r>
      <w:r w:rsidRPr="0011443A" w:rsidR="0011443A">
        <w:rPr>
          <w:sz w:val="24"/>
          <w:szCs w:val="24"/>
        </w:rPr>
        <w:t xml:space="preserve">OMB Control No. </w:t>
      </w:r>
      <w:r>
        <w:rPr>
          <w:sz w:val="24"/>
          <w:szCs w:val="24"/>
        </w:rPr>
        <w:t xml:space="preserve">0490 revision and extension because the tables were updated and the Hawaii specific rate is the highest state rate listed in the table at </w:t>
      </w:r>
      <w:hyperlink w:history="1" r:id="rId17">
        <w:r w:rsidRPr="00787F68">
          <w:rPr>
            <w:rStyle w:val="Hyperlink"/>
            <w:sz w:val="24"/>
            <w:szCs w:val="24"/>
          </w:rPr>
          <w:t>https://www.bls.gov/oes/current/oes451011.htm</w:t>
        </w:r>
      </w:hyperlink>
      <w:r>
        <w:rPr>
          <w:sz w:val="24"/>
          <w:szCs w:val="24"/>
        </w:rPr>
        <w:t>.</w:t>
      </w:r>
    </w:p>
    <w:p w:rsidR="004F26E9" w:rsidP="00101394" w:rsidRDefault="004F26E9" w14:paraId="058A367C" w14:textId="77777777">
      <w:pPr>
        <w:tabs>
          <w:tab w:val="left" w:pos="540"/>
        </w:tabs>
        <w:rPr>
          <w:sz w:val="24"/>
          <w:szCs w:val="24"/>
        </w:rPr>
      </w:pPr>
    </w:p>
    <w:tbl>
      <w:tblPr>
        <w:tblW w:w="14066" w:type="dxa"/>
        <w:tblLook w:val="04A0" w:firstRow="1" w:lastRow="0" w:firstColumn="1" w:lastColumn="0" w:noHBand="0" w:noVBand="1"/>
      </w:tblPr>
      <w:tblGrid>
        <w:gridCol w:w="3680"/>
        <w:gridCol w:w="1710"/>
        <w:gridCol w:w="1188"/>
        <w:gridCol w:w="1152"/>
        <w:gridCol w:w="1260"/>
        <w:gridCol w:w="1206"/>
        <w:gridCol w:w="1170"/>
        <w:gridCol w:w="1350"/>
        <w:gridCol w:w="1350"/>
      </w:tblGrid>
      <w:tr w:rsidRPr="000D49BA" w:rsidR="000D49BA" w:rsidTr="00AB643A" w14:paraId="797FB1FE" w14:textId="77777777">
        <w:trPr>
          <w:trHeight w:val="1140"/>
        </w:trPr>
        <w:tc>
          <w:tcPr>
            <w:tcW w:w="3680" w:type="dxa"/>
            <w:tcBorders>
              <w:top w:val="single" w:color="auto" w:sz="8" w:space="0"/>
              <w:left w:val="single" w:color="auto" w:sz="8" w:space="0"/>
              <w:bottom w:val="single" w:color="auto" w:sz="8" w:space="0"/>
              <w:right w:val="single" w:color="000000" w:sz="8" w:space="0"/>
            </w:tcBorders>
            <w:shd w:val="clear" w:color="auto" w:fill="5B9BD5" w:themeFill="accent1"/>
            <w:vAlign w:val="center"/>
            <w:hideMark/>
          </w:tcPr>
          <w:p w:rsidRPr="00CA2B37" w:rsidR="00CA2B37" w:rsidP="00CA2B37" w:rsidRDefault="00CA2B37" w14:paraId="2258E3D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Information Collection</w:t>
            </w:r>
          </w:p>
        </w:tc>
        <w:tc>
          <w:tcPr>
            <w:tcW w:w="1710" w:type="dxa"/>
            <w:tcBorders>
              <w:top w:val="single" w:color="auto" w:sz="8" w:space="0"/>
              <w:left w:val="nil"/>
              <w:bottom w:val="single" w:color="auto" w:sz="8" w:space="0"/>
              <w:right w:val="single" w:color="000000" w:sz="8" w:space="0"/>
            </w:tcBorders>
            <w:shd w:val="clear" w:color="auto" w:fill="5B9BD5" w:themeFill="accent1"/>
            <w:vAlign w:val="center"/>
            <w:hideMark/>
          </w:tcPr>
          <w:p w:rsidRPr="00CA2B37" w:rsidR="00CA2B37" w:rsidP="00580714" w:rsidRDefault="00CA2B37" w14:paraId="4728F902"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Type of Respondent (</w:t>
            </w:r>
            <w:r w:rsidR="00580714">
              <w:rPr>
                <w:rFonts w:ascii="Calibri" w:hAnsi="Calibri" w:cs="Calibri"/>
                <w:b/>
                <w:bCs/>
                <w:color w:val="000000"/>
                <w:sz w:val="18"/>
                <w:szCs w:val="18"/>
              </w:rPr>
              <w:t>Occupational Title</w:t>
            </w:r>
            <w:r w:rsidRPr="00CA2B37">
              <w:rPr>
                <w:rFonts w:ascii="Calibri" w:hAnsi="Calibri" w:cs="Calibri"/>
                <w:b/>
                <w:bCs/>
                <w:color w:val="000000"/>
                <w:sz w:val="18"/>
                <w:szCs w:val="18"/>
              </w:rPr>
              <w:t>)</w:t>
            </w:r>
          </w:p>
        </w:tc>
        <w:tc>
          <w:tcPr>
            <w:tcW w:w="1188" w:type="dxa"/>
            <w:tcBorders>
              <w:top w:val="single" w:color="auto" w:sz="8" w:space="0"/>
              <w:left w:val="nil"/>
              <w:bottom w:val="single" w:color="auto" w:sz="8" w:space="0"/>
              <w:right w:val="single" w:color="000000" w:sz="8" w:space="0"/>
            </w:tcBorders>
            <w:shd w:val="clear" w:color="auto" w:fill="5B9BD5" w:themeFill="accent1"/>
            <w:vAlign w:val="center"/>
            <w:hideMark/>
          </w:tcPr>
          <w:p w:rsidR="00CA2B37" w:rsidP="00CA2B37" w:rsidRDefault="00CA2B37" w14:paraId="09E5960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of Respondents</w:t>
            </w:r>
          </w:p>
          <w:p w:rsidRPr="00CA2B37" w:rsidR="00F160E2" w:rsidP="00CA2B37" w:rsidRDefault="00F160E2" w14:paraId="47B924EB"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152"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24CA22D0"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Annual # of Responses / Respondent</w:t>
            </w:r>
          </w:p>
          <w:p w:rsidRPr="00CA2B37" w:rsidR="00F160E2" w:rsidP="00CA2B37" w:rsidRDefault="00F160E2" w14:paraId="79A65E6D"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F160E2" w:rsidP="00CA2B37" w:rsidRDefault="00CA2B37" w14:paraId="7E8165C4"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 Total # of Annual Response</w:t>
            </w:r>
            <w:r w:rsidR="00F160E2">
              <w:rPr>
                <w:rFonts w:ascii="Calibri" w:hAnsi="Calibri" w:cs="Calibri"/>
                <w:b/>
                <w:bCs/>
                <w:color w:val="000000"/>
                <w:sz w:val="18"/>
                <w:szCs w:val="18"/>
              </w:rPr>
              <w:t>s</w:t>
            </w:r>
          </w:p>
          <w:p w:rsidRPr="00CA2B37" w:rsidR="00CA2B37" w:rsidP="00F160E2" w:rsidRDefault="00F160E2" w14:paraId="452A1F3E"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 = (a) x (b)</w:t>
            </w:r>
          </w:p>
        </w:tc>
        <w:tc>
          <w:tcPr>
            <w:tcW w:w="1206"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7BFD5DE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Burden </w:t>
            </w:r>
            <w:proofErr w:type="spellStart"/>
            <w:r w:rsidRPr="00CA2B37">
              <w:rPr>
                <w:rFonts w:ascii="Calibri" w:hAnsi="Calibri" w:cs="Calibri"/>
                <w:b/>
                <w:bCs/>
                <w:color w:val="000000"/>
                <w:sz w:val="18"/>
                <w:szCs w:val="18"/>
              </w:rPr>
              <w:t>Hrs</w:t>
            </w:r>
            <w:proofErr w:type="spellEnd"/>
            <w:r w:rsidRPr="00CA2B37">
              <w:rPr>
                <w:rFonts w:ascii="Calibri" w:hAnsi="Calibri" w:cs="Calibri"/>
                <w:b/>
                <w:bCs/>
                <w:color w:val="000000"/>
                <w:sz w:val="18"/>
                <w:szCs w:val="18"/>
              </w:rPr>
              <w:t xml:space="preserve"> / Response</w:t>
            </w:r>
          </w:p>
          <w:p w:rsidRPr="00CA2B37" w:rsidR="00F160E2" w:rsidP="00CA2B37" w:rsidRDefault="00F160E2" w14:paraId="4208FCC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(d)</w:t>
            </w:r>
          </w:p>
        </w:tc>
        <w:tc>
          <w:tcPr>
            <w:tcW w:w="117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F160E2" w:rsidRDefault="00CA2B37" w14:paraId="6DD53FAB"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 xml:space="preserve">Total Annual Burden </w:t>
            </w:r>
            <w:proofErr w:type="spellStart"/>
            <w:r w:rsidRPr="00CA2B37">
              <w:rPr>
                <w:rFonts w:ascii="Calibri" w:hAnsi="Calibri" w:cs="Calibri"/>
                <w:b/>
                <w:bCs/>
                <w:color w:val="000000"/>
                <w:sz w:val="18"/>
                <w:szCs w:val="18"/>
              </w:rPr>
              <w:t>Hrs</w:t>
            </w:r>
            <w:proofErr w:type="spellEnd"/>
          </w:p>
          <w:p w:rsidRPr="00CA2B37" w:rsidR="00F160E2" w:rsidP="00F160E2" w:rsidRDefault="00F160E2" w14:paraId="28F86EDF"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(e) = (c) x (d)</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D9308B" w14:paraId="5DC21C47"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 xml:space="preserve">Mean </w:t>
            </w:r>
            <w:r w:rsidRPr="00CA2B37" w:rsidR="00CA2B37">
              <w:rPr>
                <w:rFonts w:ascii="Calibri" w:hAnsi="Calibri" w:cs="Calibri"/>
                <w:b/>
                <w:bCs/>
                <w:color w:val="000000"/>
                <w:sz w:val="18"/>
                <w:szCs w:val="18"/>
              </w:rPr>
              <w:t>Hourly Wage Rate  (for Type of Respondent)</w:t>
            </w:r>
          </w:p>
          <w:p w:rsidRPr="00CA2B37" w:rsidR="00F160E2" w:rsidP="00CA2B37" w:rsidRDefault="00F160E2" w14:paraId="7AC3C3A1"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(f)</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CA2B37" w:rsidP="00CA2B37" w:rsidRDefault="00CA2B37" w14:paraId="4334F0A6" w14:textId="77777777">
            <w:pPr>
              <w:widowControl/>
              <w:autoSpaceDE/>
              <w:autoSpaceDN/>
              <w:adjustRightInd/>
              <w:jc w:val="center"/>
              <w:rPr>
                <w:rFonts w:ascii="Calibri" w:hAnsi="Calibri" w:cs="Calibri"/>
                <w:b/>
                <w:bCs/>
                <w:color w:val="000000"/>
                <w:sz w:val="18"/>
                <w:szCs w:val="18"/>
              </w:rPr>
            </w:pPr>
            <w:r w:rsidRPr="00CA2B37">
              <w:rPr>
                <w:rFonts w:ascii="Calibri" w:hAnsi="Calibri" w:cs="Calibri"/>
                <w:b/>
                <w:bCs/>
                <w:color w:val="000000"/>
                <w:sz w:val="18"/>
                <w:szCs w:val="18"/>
              </w:rPr>
              <w:t>Total Annual Wage Burden Costs</w:t>
            </w:r>
          </w:p>
          <w:p w:rsidRPr="00CA2B37" w:rsidR="00F160E2" w:rsidP="00CA2B37" w:rsidRDefault="00F160E2" w14:paraId="6100DF3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(g) = (e) x (f)</w:t>
            </w:r>
          </w:p>
        </w:tc>
      </w:tr>
      <w:tr w:rsidRPr="00CA2B37" w:rsidR="00CA2B37" w:rsidTr="00F0783F" w14:paraId="3517FF0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hideMark/>
          </w:tcPr>
          <w:p w:rsidRPr="00CA2B37" w:rsidR="00CA2B37" w:rsidP="00CA2B37" w:rsidRDefault="000F0AE4" w14:paraId="32DC50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710" w:type="dxa"/>
            <w:tcBorders>
              <w:top w:val="nil"/>
              <w:left w:val="nil"/>
              <w:bottom w:val="single" w:color="auto" w:sz="4" w:space="0"/>
              <w:right w:val="single" w:color="auto" w:sz="4" w:space="0"/>
            </w:tcBorders>
            <w:shd w:val="clear" w:color="auto" w:fill="auto"/>
            <w:vAlign w:val="center"/>
            <w:hideMark/>
          </w:tcPr>
          <w:p w:rsidRPr="00CA2B37" w:rsidR="00CA2B37" w:rsidP="00F0783F" w:rsidRDefault="00F0783F" w14:paraId="4917F8CB" w14:textId="5740377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hideMark/>
          </w:tcPr>
          <w:p w:rsidRPr="00CA2B37" w:rsidR="00CA2B37" w:rsidP="00CA2B37" w:rsidRDefault="000F0AE4" w14:paraId="37B065E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center"/>
            <w:hideMark/>
          </w:tcPr>
          <w:p w:rsidRPr="00CA2B37" w:rsidR="00CA2B37" w:rsidP="00F34D1E" w:rsidRDefault="00D0046C" w14:paraId="054226D0" w14:textId="4B8C05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hideMark/>
          </w:tcPr>
          <w:p w:rsidRPr="00CA2B37" w:rsidR="00CA2B37" w:rsidP="00F34D1E" w:rsidRDefault="00D0046C" w14:paraId="55D7AF83" w14:textId="55BE30C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color="auto" w:sz="4" w:space="0"/>
              <w:right w:val="single" w:color="auto" w:sz="4" w:space="0"/>
            </w:tcBorders>
            <w:shd w:val="clear" w:color="auto" w:fill="auto"/>
            <w:vAlign w:val="center"/>
            <w:hideMark/>
          </w:tcPr>
          <w:p w:rsidRPr="00023A3D" w:rsidR="00CA2B37" w:rsidP="00F34D1E" w:rsidRDefault="00D0046C" w14:paraId="4E750609" w14:textId="7C61A5AB">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hideMark/>
          </w:tcPr>
          <w:p w:rsidRPr="00CA2B37" w:rsidR="00CA2B37" w:rsidP="00CA2B37" w:rsidRDefault="003309DD" w14:paraId="7A75721D" w14:textId="491D827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center"/>
            <w:hideMark/>
          </w:tcPr>
          <w:p w:rsidRPr="00CA2B37" w:rsidR="00CA2B37" w:rsidP="00271564" w:rsidRDefault="00DA2A0E" w14:paraId="06A7C37E" w14:textId="138F0B2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271564">
              <w:rPr>
                <w:rFonts w:ascii="Calibri" w:hAnsi="Calibri" w:cs="Calibri"/>
                <w:color w:val="000000"/>
                <w:sz w:val="16"/>
                <w:szCs w:val="16"/>
              </w:rPr>
              <w:t>32.96</w:t>
            </w:r>
            <w:r w:rsidRPr="00CA2B37" w:rsid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CA2B37" w:rsidP="00CA2B37" w:rsidRDefault="00B068D8" w14:paraId="6D035D1C" w14:textId="06D1845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$164.80</w:t>
            </w:r>
            <w:r w:rsidRPr="00CA2B37" w:rsidR="00CA2B37">
              <w:rPr>
                <w:rFonts w:ascii="Calibri" w:hAnsi="Calibri" w:cs="Calibri"/>
                <w:color w:val="000000"/>
                <w:sz w:val="16"/>
                <w:szCs w:val="16"/>
              </w:rPr>
              <w:t> </w:t>
            </w:r>
          </w:p>
        </w:tc>
      </w:tr>
      <w:tr w:rsidRPr="00CA2B37" w:rsidR="00DA2A0E" w:rsidTr="00F0783F" w14:paraId="7679256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74A03D3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710" w:type="dxa"/>
            <w:tcBorders>
              <w:top w:val="nil"/>
              <w:left w:val="nil"/>
              <w:bottom w:val="single" w:color="auto" w:sz="4" w:space="0"/>
              <w:right w:val="single" w:color="auto" w:sz="4" w:space="0"/>
            </w:tcBorders>
            <w:shd w:val="clear" w:color="auto" w:fill="auto"/>
            <w:vAlign w:val="center"/>
            <w:hideMark/>
          </w:tcPr>
          <w:p w:rsidRPr="00CA2B37" w:rsidR="00DA2A0E" w:rsidP="00F0783F" w:rsidRDefault="00F0783F" w14:paraId="42590FE4" w14:textId="494C5DC5">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hideMark/>
          </w:tcPr>
          <w:p w:rsidRPr="00CA2B37" w:rsidR="00DA2A0E" w:rsidP="00DA2A0E" w:rsidRDefault="00DA2A0E" w14:paraId="6DC37E8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152" w:type="dxa"/>
            <w:tcBorders>
              <w:top w:val="nil"/>
              <w:left w:val="nil"/>
              <w:bottom w:val="single" w:color="auto" w:sz="4" w:space="0"/>
              <w:right w:val="single" w:color="auto" w:sz="4" w:space="0"/>
            </w:tcBorders>
            <w:shd w:val="clear" w:color="auto" w:fill="auto"/>
            <w:vAlign w:val="center"/>
            <w:hideMark/>
          </w:tcPr>
          <w:p w:rsidRPr="00CA2B37" w:rsidR="00DA2A0E" w:rsidP="00F34D1E" w:rsidRDefault="00DA2A0E" w14:paraId="7FDB20E4" w14:textId="0C23C88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hideMark/>
          </w:tcPr>
          <w:p w:rsidRPr="00CA2B37" w:rsidR="00DA2A0E" w:rsidP="00DA2A0E" w:rsidRDefault="00DA2A0E" w14:paraId="1489CF3B" w14:textId="53CFE78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206" w:type="dxa"/>
            <w:tcBorders>
              <w:top w:val="nil"/>
              <w:left w:val="nil"/>
              <w:bottom w:val="single" w:color="auto" w:sz="4" w:space="0"/>
              <w:right w:val="single" w:color="auto" w:sz="4" w:space="0"/>
            </w:tcBorders>
            <w:shd w:val="clear" w:color="auto" w:fill="auto"/>
            <w:vAlign w:val="center"/>
            <w:hideMark/>
          </w:tcPr>
          <w:p w:rsidRPr="00023A3D" w:rsidR="00DA2A0E" w:rsidP="00F34D1E" w:rsidRDefault="000B6091" w14:paraId="05DFBC6A" w14:textId="69F34BF6">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w:t>
            </w:r>
            <w:r w:rsidRPr="00023A3D" w:rsidR="00DA2A0E">
              <w:rPr>
                <w:rFonts w:ascii="Calibri" w:hAnsi="Calibri" w:cs="Calibri"/>
                <w:color w:val="000000"/>
                <w:sz w:val="16"/>
                <w:szCs w:val="16"/>
              </w:rPr>
              <w:t>.25</w:t>
            </w:r>
          </w:p>
        </w:tc>
        <w:tc>
          <w:tcPr>
            <w:tcW w:w="1170" w:type="dxa"/>
            <w:tcBorders>
              <w:top w:val="nil"/>
              <w:left w:val="nil"/>
              <w:bottom w:val="single" w:color="auto" w:sz="4" w:space="0"/>
              <w:right w:val="single" w:color="auto" w:sz="4" w:space="0"/>
            </w:tcBorders>
            <w:shd w:val="clear" w:color="auto" w:fill="auto"/>
            <w:vAlign w:val="center"/>
            <w:hideMark/>
          </w:tcPr>
          <w:p w:rsidRPr="00CA2B37" w:rsidR="00DA2A0E" w:rsidP="00DA2A0E" w:rsidRDefault="00AB038E" w14:paraId="734BE7E6" w14:textId="2685DC3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33.75</w:t>
            </w:r>
          </w:p>
        </w:tc>
        <w:tc>
          <w:tcPr>
            <w:tcW w:w="1350" w:type="dxa"/>
            <w:tcBorders>
              <w:top w:val="nil"/>
              <w:left w:val="nil"/>
              <w:bottom w:val="single" w:color="auto" w:sz="4" w:space="0"/>
              <w:right w:val="single" w:color="auto" w:sz="4" w:space="0"/>
            </w:tcBorders>
            <w:shd w:val="clear" w:color="auto" w:fill="auto"/>
            <w:noWrap/>
            <w:vAlign w:val="center"/>
            <w:hideMark/>
          </w:tcPr>
          <w:p w:rsidRPr="00CA2B37" w:rsidR="00DA2A0E" w:rsidP="00DA2A0E" w:rsidRDefault="00271564" w14:paraId="420C6801" w14:textId="7B96DFF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DA2A0E" w:rsidP="00DA2A0E" w:rsidRDefault="00B068D8" w14:paraId="70FEB52B" w14:textId="5B607A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$1112.40</w:t>
            </w:r>
            <w:r w:rsidRPr="00CA2B37" w:rsidR="00DA2A0E">
              <w:rPr>
                <w:rFonts w:ascii="Calibri" w:hAnsi="Calibri" w:cs="Calibri"/>
                <w:color w:val="000000"/>
                <w:sz w:val="16"/>
                <w:szCs w:val="16"/>
              </w:rPr>
              <w:t> </w:t>
            </w:r>
          </w:p>
        </w:tc>
      </w:tr>
      <w:tr w:rsidRPr="00CA2B37" w:rsidR="00DA2A0E" w:rsidTr="00F0783F" w14:paraId="3157F5F3"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09D117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710" w:type="dxa"/>
            <w:tcBorders>
              <w:top w:val="nil"/>
              <w:left w:val="nil"/>
              <w:bottom w:val="single" w:color="auto" w:sz="4" w:space="0"/>
              <w:right w:val="single" w:color="auto" w:sz="4" w:space="0"/>
            </w:tcBorders>
            <w:shd w:val="clear" w:color="auto" w:fill="auto"/>
            <w:vAlign w:val="center"/>
            <w:hideMark/>
          </w:tcPr>
          <w:p w:rsidRPr="00CA2B37" w:rsidR="00DA2A0E" w:rsidP="00F0783F" w:rsidRDefault="00F0783F" w14:paraId="44B43130" w14:textId="3F638FE7">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hideMark/>
          </w:tcPr>
          <w:p w:rsidRPr="00CA2B37" w:rsidR="00DA2A0E" w:rsidP="00DA2A0E" w:rsidRDefault="00DA2A0E" w14:paraId="4FCFDD4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color="auto" w:sz="4" w:space="0"/>
              <w:right w:val="single" w:color="auto" w:sz="4" w:space="0"/>
            </w:tcBorders>
            <w:shd w:val="clear" w:color="auto" w:fill="auto"/>
            <w:vAlign w:val="center"/>
            <w:hideMark/>
          </w:tcPr>
          <w:p w:rsidRPr="00CA2B37" w:rsidR="00DA2A0E" w:rsidP="00F34D1E" w:rsidRDefault="00DA2A0E" w14:paraId="746984CC" w14:textId="35B6159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hideMark/>
          </w:tcPr>
          <w:p w:rsidRPr="00CA2B37" w:rsidR="00DA2A0E" w:rsidP="00F34D1E" w:rsidRDefault="00DA2A0E" w14:paraId="0F187E4C" w14:textId="25678AB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06" w:type="dxa"/>
            <w:tcBorders>
              <w:top w:val="nil"/>
              <w:left w:val="nil"/>
              <w:bottom w:val="single" w:color="auto" w:sz="4" w:space="0"/>
              <w:right w:val="single" w:color="auto" w:sz="4" w:space="0"/>
            </w:tcBorders>
            <w:shd w:val="clear" w:color="auto" w:fill="auto"/>
            <w:vAlign w:val="center"/>
            <w:hideMark/>
          </w:tcPr>
          <w:p w:rsidRPr="00023A3D" w:rsidR="00DA2A0E" w:rsidP="00F34D1E" w:rsidRDefault="00DA2A0E" w14:paraId="39B1EA93" w14:textId="10424DAE">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w:t>
            </w:r>
          </w:p>
        </w:tc>
        <w:tc>
          <w:tcPr>
            <w:tcW w:w="1170" w:type="dxa"/>
            <w:tcBorders>
              <w:top w:val="nil"/>
              <w:left w:val="nil"/>
              <w:bottom w:val="single" w:color="auto" w:sz="4" w:space="0"/>
              <w:right w:val="single" w:color="auto" w:sz="4" w:space="0"/>
            </w:tcBorders>
            <w:shd w:val="clear" w:color="auto" w:fill="auto"/>
            <w:vAlign w:val="center"/>
            <w:hideMark/>
          </w:tcPr>
          <w:p w:rsidRPr="00CA2B37" w:rsidR="00DA2A0E" w:rsidP="00F34D1E" w:rsidRDefault="00DA2A0E" w14:paraId="7980CF62" w14:textId="5AAAB7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350" w:type="dxa"/>
            <w:tcBorders>
              <w:top w:val="nil"/>
              <w:left w:val="nil"/>
              <w:bottom w:val="single" w:color="auto" w:sz="4" w:space="0"/>
              <w:right w:val="single" w:color="auto" w:sz="4" w:space="0"/>
            </w:tcBorders>
            <w:shd w:val="clear" w:color="auto" w:fill="auto"/>
            <w:noWrap/>
            <w:vAlign w:val="center"/>
            <w:hideMark/>
          </w:tcPr>
          <w:p w:rsidRPr="00CA2B37" w:rsidR="00DA2A0E" w:rsidP="00DA2A0E" w:rsidRDefault="00271564" w14:paraId="5DA0D577" w14:textId="4CA8C08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DA2A0E" w:rsidP="00DA2A0E" w:rsidRDefault="00B068D8" w14:paraId="7E2A2199" w14:textId="159851E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$659.20</w:t>
            </w:r>
            <w:r w:rsidRPr="00CA2B37" w:rsidR="00DA2A0E">
              <w:rPr>
                <w:rFonts w:ascii="Calibri" w:hAnsi="Calibri" w:cs="Calibri"/>
                <w:color w:val="000000"/>
                <w:sz w:val="16"/>
                <w:szCs w:val="16"/>
              </w:rPr>
              <w:t> </w:t>
            </w:r>
          </w:p>
        </w:tc>
      </w:tr>
      <w:tr w:rsidRPr="00CA2B37" w:rsidR="00DA2A0E" w:rsidTr="00F0783F" w14:paraId="74CA3031"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16833F6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4424EB66" w14:textId="5E28253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E9038F" w14:paraId="576787B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39CF35C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E9038F" w14:paraId="5D4EDE2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35AD1CE4"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E9038F" w14:paraId="4D3A1C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4961C4B6" w14:textId="41C9780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46C453A8" w14:textId="6159AF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$65.92</w:t>
            </w:r>
          </w:p>
        </w:tc>
      </w:tr>
      <w:tr w:rsidRPr="00CA2B37" w:rsidR="00DA2A0E" w:rsidTr="00F0783F" w14:paraId="2A17754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0BA7B1A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3B5806A6" w14:textId="2B2547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3B03EF1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20F8F91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0A789AC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4FD5CF2E"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AB038E" w14:paraId="5879F538" w14:textId="3C924B6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59C1598E" w14:textId="735F2AF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69959239" w14:textId="698DF1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r>
      <w:tr w:rsidRPr="00CA2B37" w:rsidR="00DA2A0E" w:rsidTr="00F0783F" w14:paraId="5D5BD0C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0FB76E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2A0CEEF5" w14:textId="220B227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4D37F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76FB9A3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2D57A23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15F621D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1E7C3DF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1F623447" w14:textId="357E4E3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157C51D3" w14:textId="2D70AAB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$164.80</w:t>
            </w:r>
          </w:p>
        </w:tc>
      </w:tr>
      <w:tr w:rsidRPr="00CA2B37" w:rsidR="00DA2A0E" w:rsidTr="00F0783F" w14:paraId="42A62A19"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666882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468198FB" w14:textId="05AE252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74D6AF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6B082AB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335BD08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645C86D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AB038E" w14:paraId="4CAEBDBA" w14:textId="6A3C804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66B1628F" w14:textId="0C74A7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3E1EE78F" w14:textId="25561B5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$49.44</w:t>
            </w:r>
          </w:p>
        </w:tc>
      </w:tr>
      <w:tr w:rsidRPr="00CA2B37" w:rsidR="00DA2A0E" w:rsidTr="00F0783F" w14:paraId="0ABF35FA"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7BA9D00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3C9F9429" w14:textId="4BF6DFF3">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5103B21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15D454A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0DC16AC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50295C4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0C0734" w:rsidRDefault="00AB038E" w14:paraId="5DC52A43" w14:textId="7C219A5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6FF347D2" w14:textId="1A165D7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63172A50" w14:textId="536483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r>
      <w:tr w:rsidRPr="00CA2B37" w:rsidR="00DA2A0E" w:rsidTr="00F0783F" w14:paraId="00EEFD3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48675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155322D3" w14:textId="1959C30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316BBEC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0D82FF7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758F0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0C2E62BD"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6A8E979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7B5A7F20" w14:textId="72BEBB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59CBF7D1" w14:textId="4F20C7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p>
        </w:tc>
      </w:tr>
      <w:tr w:rsidRPr="00CA2B37" w:rsidR="00DA2A0E" w:rsidTr="00F0783F" w14:paraId="06B5FE3B"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B76181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2C8687F7" w14:textId="54EACFD8">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401AE5D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62F17F5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65B00D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2E008F2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AB038E" w14:paraId="6680A29B" w14:textId="21C57E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6FEB1389" w14:textId="44294C8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285958F2" w14:textId="76C6C8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r>
      <w:tr w:rsidRPr="00CA2B37" w:rsidR="00DA2A0E" w:rsidTr="00F0783F" w14:paraId="40953E1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0EE6C76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w:t>
            </w:r>
            <w:r w:rsidR="009212F4">
              <w:rPr>
                <w:rFonts w:ascii="Calibri" w:hAnsi="Calibri" w:cs="Calibri"/>
                <w:color w:val="000000"/>
                <w:sz w:val="16"/>
                <w:szCs w:val="16"/>
              </w:rPr>
              <w:t xml:space="preserve"> Limited Entry</w:t>
            </w:r>
            <w:r>
              <w:rPr>
                <w:rFonts w:ascii="Calibri" w:hAnsi="Calibri" w:cs="Calibri"/>
                <w:color w:val="000000"/>
                <w:sz w:val="16"/>
                <w:szCs w:val="16"/>
              </w:rPr>
              <w:t xml:space="preserve"> application for renewal, transfer, or additional permit</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467C3CBE" w14:textId="2615A60C">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273310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6D148E6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48A7C40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67194797"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1.25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AB038E" w14:paraId="4FDC6B62" w14:textId="7982AB3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56106E49" w14:textId="464FE4B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4F63BEA2" w14:textId="4398F6D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$1236.00</w:t>
            </w:r>
          </w:p>
        </w:tc>
      </w:tr>
      <w:tr w:rsidRPr="00CA2B37" w:rsidR="00DA2A0E" w:rsidTr="00F0783F" w14:paraId="3436A680"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9212F4" w14:paraId="387AFDA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DA2A0E">
              <w:rPr>
                <w:rFonts w:ascii="Calibri" w:hAnsi="Calibri" w:cs="Calibri"/>
                <w:color w:val="000000"/>
                <w:sz w:val="16"/>
                <w:szCs w:val="16"/>
              </w:rPr>
              <w:t>ongline</w:t>
            </w:r>
            <w:r>
              <w:rPr>
                <w:rFonts w:ascii="Calibri" w:hAnsi="Calibri" w:cs="Calibri"/>
                <w:color w:val="000000"/>
                <w:sz w:val="16"/>
                <w:szCs w:val="16"/>
              </w:rPr>
              <w:t xml:space="preserve"> Limited Entry</w:t>
            </w:r>
            <w:r w:rsidR="00DA2A0E">
              <w:rPr>
                <w:rFonts w:ascii="Calibri" w:hAnsi="Calibri" w:cs="Calibri"/>
                <w:color w:val="000000"/>
                <w:sz w:val="16"/>
                <w:szCs w:val="16"/>
              </w:rPr>
              <w:t xml:space="preserve"> application for vessel registration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6160A8BB" w14:textId="163F266F">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5436045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3750975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29CA4DA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5112CFB8"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0.75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AB038E" w14:paraId="59B7B8EF" w14:textId="1B1A04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3.75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783E82A9" w14:textId="52D841B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1127856F" w14:textId="0E0E5E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$123.60</w:t>
            </w:r>
          </w:p>
        </w:tc>
      </w:tr>
      <w:tr w:rsidRPr="00CA2B37" w:rsidR="00DA2A0E" w:rsidTr="00F0783F" w14:paraId="1F4CE7E5"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2F9E58A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68BC3544" w14:textId="09DE4C0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175464C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1BAB99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212FE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44DDE1A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0F266B8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4FF80C28" w14:textId="6D2EB25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FF5D11" w14:paraId="79F74CDE" w14:textId="474C74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$263.6</w:t>
            </w:r>
            <w:r w:rsidR="00B068D8">
              <w:rPr>
                <w:rFonts w:ascii="Calibri" w:hAnsi="Calibri" w:cs="Calibri"/>
                <w:color w:val="000000"/>
                <w:sz w:val="16"/>
                <w:szCs w:val="16"/>
              </w:rPr>
              <w:t>8</w:t>
            </w:r>
          </w:p>
        </w:tc>
      </w:tr>
      <w:tr w:rsidRPr="00CA2B37" w:rsidR="00DA2A0E" w:rsidTr="00F0783F" w14:paraId="0CC0ED4F"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46910C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2DB5CBA2" w14:textId="355FD05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B068D8" w14:paraId="3251CCCF" w14:textId="69E980E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072AFB9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B068D8" w14:paraId="17019F67" w14:textId="21D0C9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344CEEF6"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AB038E" w14:paraId="06782438" w14:textId="0BCF785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4A122B72" w14:textId="37EC39D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3619899C" w14:textId="19A529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$329.60</w:t>
            </w:r>
          </w:p>
        </w:tc>
      </w:tr>
      <w:tr w:rsidRPr="00CA2B37" w:rsidR="00DA2A0E" w:rsidTr="00F0783F" w14:paraId="6F5FF41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605C95B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DA2A0E" w:rsidP="00F0783F" w:rsidRDefault="00F0783F" w14:paraId="5AE75E4C" w14:textId="516F4D7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DA2A0E" w:rsidP="00DA2A0E" w:rsidRDefault="00E9038F" w14:paraId="79196FE2"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52" w:type="dxa"/>
            <w:tcBorders>
              <w:top w:val="nil"/>
              <w:left w:val="nil"/>
              <w:bottom w:val="single" w:color="auto" w:sz="4" w:space="0"/>
              <w:right w:val="single" w:color="auto" w:sz="4" w:space="0"/>
            </w:tcBorders>
            <w:shd w:val="clear" w:color="auto" w:fill="auto"/>
            <w:vAlign w:val="center"/>
          </w:tcPr>
          <w:p w:rsidRPr="00CA2B37" w:rsidR="00DA2A0E" w:rsidP="00DA2A0E" w:rsidRDefault="00DA2A0E" w14:paraId="5FE62EF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Pr="00CA2B37" w:rsidR="00DA2A0E" w:rsidP="00DA2A0E" w:rsidRDefault="00E9038F" w14:paraId="1CA5330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06" w:type="dxa"/>
            <w:tcBorders>
              <w:top w:val="nil"/>
              <w:left w:val="nil"/>
              <w:bottom w:val="single" w:color="auto" w:sz="4" w:space="0"/>
              <w:right w:val="single" w:color="auto" w:sz="4" w:space="0"/>
            </w:tcBorders>
            <w:shd w:val="clear" w:color="auto" w:fill="auto"/>
            <w:vAlign w:val="center"/>
          </w:tcPr>
          <w:p w:rsidRPr="00023A3D" w:rsidR="00DA2A0E" w:rsidP="00DA2A0E" w:rsidRDefault="00DA2A0E" w14:paraId="08A30682" w14:textId="77777777">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Pr="00CA2B37" w:rsidR="00DA2A0E" w:rsidP="00DA2A0E" w:rsidRDefault="00B068D8" w14:paraId="713D6BD6" w14:textId="4F4168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350" w:type="dxa"/>
            <w:tcBorders>
              <w:top w:val="nil"/>
              <w:left w:val="nil"/>
              <w:bottom w:val="single" w:color="auto" w:sz="4" w:space="0"/>
              <w:right w:val="single" w:color="auto" w:sz="4" w:space="0"/>
            </w:tcBorders>
            <w:shd w:val="clear" w:color="auto" w:fill="auto"/>
            <w:noWrap/>
            <w:vAlign w:val="center"/>
          </w:tcPr>
          <w:p w:rsidRPr="00CA2B37" w:rsidR="00DA2A0E" w:rsidP="00DA2A0E" w:rsidRDefault="00271564" w14:paraId="5C5EDCF0" w14:textId="0878F13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Pr="00CA2B37" w:rsidR="00DA2A0E" w:rsidP="00DA2A0E" w:rsidRDefault="00B068D8" w14:paraId="3E4EC81E" w14:textId="7E73472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r>
      <w:tr w:rsidRPr="00CA2B37" w:rsidR="00DA2A0E" w:rsidTr="00F0783F" w14:paraId="6E6902FC"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Pr="00CA2B37" w:rsidR="00DA2A0E" w:rsidP="00DA2A0E" w:rsidRDefault="00DA2A0E" w14:paraId="4F235A30" w14:textId="4A462655">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w:t>
            </w:r>
            <w:r w:rsidR="0056587A">
              <w:rPr>
                <w:rFonts w:ascii="Calibri" w:hAnsi="Calibri" w:cs="Calibri"/>
                <w:color w:val="000000"/>
                <w:sz w:val="16"/>
                <w:szCs w:val="16"/>
              </w:rPr>
              <w:t xml:space="preserve"> (Lobster) </w:t>
            </w:r>
            <w:r>
              <w:rPr>
                <w:rFonts w:ascii="Calibri" w:hAnsi="Calibri" w:cs="Calibri"/>
                <w:color w:val="000000"/>
                <w:sz w:val="16"/>
                <w:szCs w:val="16"/>
              </w:rPr>
              <w:t xml:space="preserve"> permit application</w:t>
            </w:r>
          </w:p>
        </w:tc>
        <w:tc>
          <w:tcPr>
            <w:tcW w:w="1710" w:type="dxa"/>
            <w:tcBorders>
              <w:top w:val="nil"/>
              <w:left w:val="nil"/>
              <w:bottom w:val="single" w:color="auto" w:sz="4" w:space="0"/>
              <w:right w:val="single" w:color="auto" w:sz="4" w:space="0"/>
            </w:tcBorders>
            <w:shd w:val="clear" w:color="auto" w:fill="auto"/>
            <w:vAlign w:val="center"/>
            <w:hideMark/>
          </w:tcPr>
          <w:p w:rsidRPr="00CA2B37" w:rsidR="00DA2A0E" w:rsidP="00F0783F" w:rsidRDefault="00F0783F" w14:paraId="1A47C2D3" w14:textId="76B87B70">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hideMark/>
          </w:tcPr>
          <w:p w:rsidRPr="00CA2B37" w:rsidR="00DA2A0E" w:rsidP="00DA2A0E" w:rsidRDefault="0056587A" w14:paraId="4E09D4E5" w14:textId="6DC431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52" w:type="dxa"/>
            <w:tcBorders>
              <w:top w:val="nil"/>
              <w:left w:val="nil"/>
              <w:bottom w:val="single" w:color="auto" w:sz="4" w:space="0"/>
              <w:right w:val="single" w:color="auto" w:sz="4" w:space="0"/>
            </w:tcBorders>
            <w:shd w:val="clear" w:color="auto" w:fill="auto"/>
            <w:vAlign w:val="center"/>
            <w:hideMark/>
          </w:tcPr>
          <w:p w:rsidRPr="00CA2B37" w:rsidR="00DA2A0E" w:rsidP="00F34D1E" w:rsidRDefault="00DA2A0E" w14:paraId="6A393087" w14:textId="6252229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hideMark/>
          </w:tcPr>
          <w:p w:rsidRPr="00CA2B37" w:rsidR="00DA2A0E" w:rsidP="00DA2A0E" w:rsidRDefault="0056587A" w14:paraId="2F0794FE" w14:textId="50D5806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06" w:type="dxa"/>
            <w:tcBorders>
              <w:top w:val="nil"/>
              <w:left w:val="nil"/>
              <w:bottom w:val="single" w:color="auto" w:sz="4" w:space="0"/>
              <w:right w:val="single" w:color="auto" w:sz="4" w:space="0"/>
            </w:tcBorders>
            <w:shd w:val="clear" w:color="auto" w:fill="auto"/>
            <w:vAlign w:val="center"/>
            <w:hideMark/>
          </w:tcPr>
          <w:p w:rsidRPr="00023A3D" w:rsidR="00DA2A0E" w:rsidP="00DA2A0E" w:rsidRDefault="00DA2A0E" w14:paraId="50EBA7F8" w14:textId="040551E0">
            <w:pPr>
              <w:widowControl/>
              <w:autoSpaceDE/>
              <w:autoSpaceDN/>
              <w:adjustRightInd/>
              <w:jc w:val="right"/>
              <w:rPr>
                <w:rFonts w:ascii="Calibri" w:hAnsi="Calibri" w:cs="Calibri"/>
                <w:color w:val="000000"/>
                <w:sz w:val="16"/>
                <w:szCs w:val="16"/>
              </w:rPr>
            </w:pPr>
            <w:r w:rsidRPr="00023A3D">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hideMark/>
          </w:tcPr>
          <w:p w:rsidRPr="00CA2B37" w:rsidR="00DA2A0E" w:rsidP="0056587A" w:rsidRDefault="0056587A" w14:paraId="7B97AACF" w14:textId="15C4FA3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auto" w:fill="auto"/>
            <w:noWrap/>
            <w:vAlign w:val="center"/>
            <w:hideMark/>
          </w:tcPr>
          <w:p w:rsidRPr="00CA2B37" w:rsidR="00DA2A0E" w:rsidP="00DA2A0E" w:rsidRDefault="00271564" w14:paraId="0480BF9D" w14:textId="7B6A045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p>
        </w:tc>
        <w:tc>
          <w:tcPr>
            <w:tcW w:w="1350" w:type="dxa"/>
            <w:tcBorders>
              <w:top w:val="nil"/>
              <w:left w:val="nil"/>
              <w:bottom w:val="single" w:color="auto" w:sz="4" w:space="0"/>
              <w:right w:val="single" w:color="auto" w:sz="8" w:space="0"/>
            </w:tcBorders>
            <w:shd w:val="clear" w:color="auto" w:fill="auto"/>
            <w:noWrap/>
            <w:vAlign w:val="center"/>
            <w:hideMark/>
          </w:tcPr>
          <w:p w:rsidRPr="00CA2B37" w:rsidR="00DA2A0E" w:rsidP="0056587A" w:rsidRDefault="00B068D8" w14:paraId="5A43999D" w14:textId="6A33E6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56587A">
              <w:rPr>
                <w:rFonts w:ascii="Calibri" w:hAnsi="Calibri" w:cs="Calibri"/>
                <w:color w:val="000000"/>
                <w:sz w:val="16"/>
                <w:szCs w:val="16"/>
              </w:rPr>
              <w:t>65.92</w:t>
            </w:r>
            <w:r w:rsidRPr="00CA2B37" w:rsidR="00DA2A0E">
              <w:rPr>
                <w:rFonts w:ascii="Calibri" w:hAnsi="Calibri" w:cs="Calibri"/>
                <w:color w:val="000000"/>
                <w:sz w:val="16"/>
                <w:szCs w:val="16"/>
              </w:rPr>
              <w:t> </w:t>
            </w:r>
          </w:p>
        </w:tc>
      </w:tr>
      <w:tr w:rsidRPr="00CA2B37" w:rsidR="0056587A" w:rsidTr="00F0783F" w14:paraId="3EC795FE"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56587A" w:rsidP="0056587A" w:rsidRDefault="0056587A" w14:paraId="40648D1A" w14:textId="7CE38AC5">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(Shrimp)  permit application</w:t>
            </w:r>
          </w:p>
        </w:tc>
        <w:tc>
          <w:tcPr>
            <w:tcW w:w="1710" w:type="dxa"/>
            <w:tcBorders>
              <w:top w:val="nil"/>
              <w:left w:val="nil"/>
              <w:bottom w:val="single" w:color="auto" w:sz="4" w:space="0"/>
              <w:right w:val="single" w:color="auto" w:sz="4" w:space="0"/>
            </w:tcBorders>
            <w:shd w:val="clear" w:color="auto" w:fill="auto"/>
            <w:vAlign w:val="center"/>
          </w:tcPr>
          <w:p w:rsidR="0056587A" w:rsidP="0056587A" w:rsidRDefault="0056587A" w14:paraId="6C860625" w14:textId="5906EAC9">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0056587A" w:rsidP="0056587A" w:rsidRDefault="0056587A" w14:paraId="6CA6A244" w14:textId="1E242C8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52" w:type="dxa"/>
            <w:tcBorders>
              <w:top w:val="nil"/>
              <w:left w:val="nil"/>
              <w:bottom w:val="single" w:color="auto" w:sz="4" w:space="0"/>
              <w:right w:val="single" w:color="auto" w:sz="4" w:space="0"/>
            </w:tcBorders>
            <w:shd w:val="clear" w:color="auto" w:fill="auto"/>
            <w:vAlign w:val="center"/>
          </w:tcPr>
          <w:p w:rsidR="0056587A" w:rsidP="0056587A" w:rsidRDefault="0056587A" w14:paraId="4FABE90A" w14:textId="26CAD6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0056587A" w:rsidP="0056587A" w:rsidRDefault="0056587A" w14:paraId="1117F27D" w14:textId="0DBA91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06" w:type="dxa"/>
            <w:tcBorders>
              <w:top w:val="nil"/>
              <w:left w:val="nil"/>
              <w:bottom w:val="single" w:color="auto" w:sz="4" w:space="0"/>
              <w:right w:val="single" w:color="auto" w:sz="4" w:space="0"/>
            </w:tcBorders>
            <w:shd w:val="clear" w:color="auto" w:fill="auto"/>
            <w:vAlign w:val="center"/>
          </w:tcPr>
          <w:p w:rsidR="0056587A" w:rsidP="0056587A" w:rsidRDefault="0056587A" w14:paraId="5EBE4E52" w14:textId="5DBF539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0.5</w:t>
            </w:r>
          </w:p>
        </w:tc>
        <w:tc>
          <w:tcPr>
            <w:tcW w:w="1170" w:type="dxa"/>
            <w:tcBorders>
              <w:top w:val="nil"/>
              <w:left w:val="nil"/>
              <w:bottom w:val="single" w:color="auto" w:sz="4" w:space="0"/>
              <w:right w:val="single" w:color="auto" w:sz="4" w:space="0"/>
            </w:tcBorders>
            <w:shd w:val="clear" w:color="auto" w:fill="auto"/>
            <w:vAlign w:val="center"/>
          </w:tcPr>
          <w:p w:rsidR="0056587A" w:rsidP="0056587A" w:rsidRDefault="0056587A" w14:paraId="45CF805F" w14:textId="499F76C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1.5</w:t>
            </w:r>
          </w:p>
        </w:tc>
        <w:tc>
          <w:tcPr>
            <w:tcW w:w="1350" w:type="dxa"/>
            <w:tcBorders>
              <w:top w:val="nil"/>
              <w:left w:val="nil"/>
              <w:bottom w:val="single" w:color="auto" w:sz="4" w:space="0"/>
              <w:right w:val="single" w:color="auto" w:sz="4" w:space="0"/>
            </w:tcBorders>
            <w:shd w:val="clear" w:color="auto" w:fill="auto"/>
            <w:noWrap/>
            <w:vAlign w:val="center"/>
          </w:tcPr>
          <w:p w:rsidR="0056587A" w:rsidP="0056587A" w:rsidRDefault="0056587A" w14:paraId="447C9B85" w14:textId="33530B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p>
        </w:tc>
        <w:tc>
          <w:tcPr>
            <w:tcW w:w="1350" w:type="dxa"/>
            <w:tcBorders>
              <w:top w:val="nil"/>
              <w:left w:val="nil"/>
              <w:bottom w:val="single" w:color="auto" w:sz="4" w:space="0"/>
              <w:right w:val="single" w:color="auto" w:sz="8" w:space="0"/>
            </w:tcBorders>
            <w:shd w:val="clear" w:color="auto" w:fill="auto"/>
            <w:noWrap/>
            <w:vAlign w:val="center"/>
          </w:tcPr>
          <w:p w:rsidR="0056587A" w:rsidP="0056587A" w:rsidRDefault="00CF59D9" w14:paraId="7B672371" w14:textId="05EA33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$98.88</w:t>
            </w:r>
          </w:p>
        </w:tc>
      </w:tr>
      <w:tr w:rsidRPr="00CA2B37" w:rsidR="004E6A1D" w:rsidTr="00F0783F" w14:paraId="39DDD8C2"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4E6A1D" w:rsidP="004E6A1D" w:rsidRDefault="004E6A1D" w14:paraId="6258725A" w14:textId="525DD19A">
            <w:pPr>
              <w:widowControl/>
              <w:autoSpaceDE/>
              <w:autoSpaceDN/>
              <w:adjustRightInd/>
              <w:rPr>
                <w:rFonts w:ascii="Calibri" w:hAnsi="Calibri" w:cs="Calibri"/>
                <w:color w:val="000000"/>
                <w:sz w:val="16"/>
                <w:szCs w:val="16"/>
              </w:rPr>
            </w:pPr>
            <w:r>
              <w:rPr>
                <w:rFonts w:ascii="Calibri" w:hAnsi="Calibri" w:cs="Calibri"/>
                <w:color w:val="000000"/>
                <w:sz w:val="16"/>
                <w:szCs w:val="16"/>
              </w:rPr>
              <w:t>Coral Reef Fishing Special/Transshipment application</w:t>
            </w:r>
          </w:p>
        </w:tc>
        <w:tc>
          <w:tcPr>
            <w:tcW w:w="1710" w:type="dxa"/>
            <w:tcBorders>
              <w:top w:val="nil"/>
              <w:left w:val="nil"/>
              <w:bottom w:val="single" w:color="auto" w:sz="4" w:space="0"/>
              <w:right w:val="single" w:color="auto" w:sz="4" w:space="0"/>
            </w:tcBorders>
            <w:shd w:val="clear" w:color="auto" w:fill="auto"/>
            <w:vAlign w:val="center"/>
          </w:tcPr>
          <w:p w:rsidRPr="00CA2B37" w:rsidR="004E6A1D" w:rsidP="00F0783F" w:rsidRDefault="00F0783F" w14:paraId="7627CA7F" w14:textId="7A11EABA">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4E6A1D" w:rsidP="004E6A1D" w:rsidRDefault="004E6A1D" w14:paraId="6F90683D" w14:textId="2B2B196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52" w:type="dxa"/>
            <w:tcBorders>
              <w:top w:val="nil"/>
              <w:left w:val="nil"/>
              <w:bottom w:val="single" w:color="auto" w:sz="4" w:space="0"/>
              <w:right w:val="single" w:color="auto" w:sz="4" w:space="0"/>
            </w:tcBorders>
            <w:shd w:val="clear" w:color="auto" w:fill="auto"/>
            <w:vAlign w:val="center"/>
          </w:tcPr>
          <w:p w:rsidR="004E6A1D" w:rsidP="004E6A1D" w:rsidRDefault="004E6A1D" w14:paraId="11FBE0FA" w14:textId="2F7981F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004E6A1D" w:rsidP="004E6A1D" w:rsidRDefault="004E6A1D" w14:paraId="06F29131" w14:textId="637BD7D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06" w:type="dxa"/>
            <w:tcBorders>
              <w:top w:val="nil"/>
              <w:left w:val="nil"/>
              <w:bottom w:val="single" w:color="auto" w:sz="4" w:space="0"/>
              <w:right w:val="single" w:color="auto" w:sz="4" w:space="0"/>
            </w:tcBorders>
            <w:shd w:val="clear" w:color="auto" w:fill="auto"/>
            <w:vAlign w:val="center"/>
          </w:tcPr>
          <w:p w:rsidRPr="00023A3D" w:rsidR="004E6A1D" w:rsidP="004E6A1D" w:rsidRDefault="004E6A1D" w14:paraId="22B8CB63" w14:textId="2115322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70" w:type="dxa"/>
            <w:tcBorders>
              <w:top w:val="nil"/>
              <w:left w:val="nil"/>
              <w:bottom w:val="single" w:color="auto" w:sz="4" w:space="0"/>
              <w:right w:val="single" w:color="auto" w:sz="4" w:space="0"/>
            </w:tcBorders>
            <w:shd w:val="clear" w:color="auto" w:fill="auto"/>
            <w:vAlign w:val="center"/>
          </w:tcPr>
          <w:p w:rsidR="004E6A1D" w:rsidP="004E6A1D" w:rsidRDefault="004E6A1D" w14:paraId="265F4C7D" w14:textId="45318EC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350" w:type="dxa"/>
            <w:tcBorders>
              <w:top w:val="nil"/>
              <w:left w:val="nil"/>
              <w:bottom w:val="single" w:color="auto" w:sz="4" w:space="0"/>
              <w:right w:val="single" w:color="auto" w:sz="4" w:space="0"/>
            </w:tcBorders>
            <w:shd w:val="clear" w:color="auto" w:fill="auto"/>
            <w:noWrap/>
            <w:vAlign w:val="center"/>
          </w:tcPr>
          <w:p w:rsidR="004E6A1D" w:rsidP="004E6A1D" w:rsidRDefault="004E6A1D" w14:paraId="310621BE" w14:textId="193E6FB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004E6A1D" w:rsidP="004E6A1D" w:rsidRDefault="004E6A1D" w14:paraId="534930B1" w14:textId="0B514F2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$329.60</w:t>
            </w:r>
          </w:p>
        </w:tc>
      </w:tr>
      <w:tr w:rsidRPr="00CA2B37" w:rsidR="004E6A1D" w:rsidTr="00F0783F" w14:paraId="4FDEC7BA" w14:textId="77777777">
        <w:trPr>
          <w:trHeight w:val="300"/>
        </w:trPr>
        <w:tc>
          <w:tcPr>
            <w:tcW w:w="3680" w:type="dxa"/>
            <w:tcBorders>
              <w:top w:val="nil"/>
              <w:left w:val="single" w:color="auto" w:sz="8" w:space="0"/>
              <w:bottom w:val="single" w:color="auto" w:sz="4" w:space="0"/>
              <w:right w:val="single" w:color="auto" w:sz="4" w:space="0"/>
            </w:tcBorders>
            <w:shd w:val="clear" w:color="auto" w:fill="auto"/>
            <w:vAlign w:val="bottom"/>
          </w:tcPr>
          <w:p w:rsidR="004E6A1D" w:rsidP="004E6A1D" w:rsidRDefault="004E6A1D" w14:paraId="46323451" w14:textId="49571696">
            <w:pPr>
              <w:widowControl/>
              <w:autoSpaceDE/>
              <w:autoSpaceDN/>
              <w:adjustRightInd/>
              <w:rPr>
                <w:rFonts w:ascii="Calibri" w:hAnsi="Calibri" w:cs="Calibri"/>
                <w:color w:val="000000"/>
                <w:sz w:val="16"/>
                <w:szCs w:val="16"/>
              </w:rPr>
            </w:pPr>
            <w:r>
              <w:rPr>
                <w:rFonts w:ascii="Calibri" w:hAnsi="Calibri" w:cs="Calibri"/>
                <w:color w:val="000000"/>
                <w:sz w:val="16"/>
                <w:szCs w:val="16"/>
              </w:rPr>
              <w:t>Main Hawaiian Islands Non-commercial bottomfish application</w:t>
            </w:r>
          </w:p>
        </w:tc>
        <w:tc>
          <w:tcPr>
            <w:tcW w:w="1710" w:type="dxa"/>
            <w:tcBorders>
              <w:top w:val="nil"/>
              <w:left w:val="nil"/>
              <w:bottom w:val="single" w:color="auto" w:sz="4" w:space="0"/>
              <w:right w:val="single" w:color="auto" w:sz="4" w:space="0"/>
            </w:tcBorders>
            <w:shd w:val="clear" w:color="auto" w:fill="auto"/>
            <w:vAlign w:val="center"/>
          </w:tcPr>
          <w:p w:rsidRPr="00CA2B37" w:rsidR="004E6A1D" w:rsidP="00F0783F" w:rsidRDefault="00F0783F" w14:paraId="0F0DD594" w14:textId="3FB13D3B">
            <w:pPr>
              <w:widowControl/>
              <w:autoSpaceDE/>
              <w:autoSpaceDN/>
              <w:adjustRightInd/>
              <w:jc w:val="center"/>
              <w:rPr>
                <w:rFonts w:ascii="Calibri" w:hAnsi="Calibri" w:cs="Calibri"/>
                <w:color w:val="000000"/>
                <w:sz w:val="16"/>
                <w:szCs w:val="16"/>
              </w:rPr>
            </w:pPr>
            <w:r>
              <w:rPr>
                <w:rFonts w:ascii="Calibri" w:hAnsi="Calibri" w:cs="Calibri"/>
                <w:color w:val="000000"/>
                <w:sz w:val="16"/>
                <w:szCs w:val="16"/>
              </w:rPr>
              <w:t>Permit Holder</w:t>
            </w:r>
          </w:p>
        </w:tc>
        <w:tc>
          <w:tcPr>
            <w:tcW w:w="1188" w:type="dxa"/>
            <w:tcBorders>
              <w:top w:val="nil"/>
              <w:left w:val="nil"/>
              <w:bottom w:val="single" w:color="auto" w:sz="4" w:space="0"/>
              <w:right w:val="single" w:color="auto" w:sz="4" w:space="0"/>
            </w:tcBorders>
            <w:shd w:val="clear" w:color="auto" w:fill="auto"/>
            <w:vAlign w:val="center"/>
          </w:tcPr>
          <w:p w:rsidRPr="00CA2B37" w:rsidR="004E6A1D" w:rsidP="004E6A1D" w:rsidRDefault="004E6A1D" w14:paraId="20C7538D" w14:textId="019AA6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152" w:type="dxa"/>
            <w:tcBorders>
              <w:top w:val="nil"/>
              <w:left w:val="nil"/>
              <w:bottom w:val="single" w:color="auto" w:sz="4" w:space="0"/>
              <w:right w:val="single" w:color="auto" w:sz="4" w:space="0"/>
            </w:tcBorders>
            <w:shd w:val="clear" w:color="auto" w:fill="auto"/>
            <w:vAlign w:val="center"/>
          </w:tcPr>
          <w:p w:rsidR="004E6A1D" w:rsidP="004E6A1D" w:rsidRDefault="004E6A1D" w14:paraId="19DD1853" w14:textId="24EB453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0" w:type="dxa"/>
            <w:tcBorders>
              <w:top w:val="nil"/>
              <w:left w:val="nil"/>
              <w:bottom w:val="single" w:color="auto" w:sz="4" w:space="0"/>
              <w:right w:val="single" w:color="auto" w:sz="4" w:space="0"/>
            </w:tcBorders>
            <w:shd w:val="clear" w:color="auto" w:fill="auto"/>
            <w:vAlign w:val="center"/>
          </w:tcPr>
          <w:p w:rsidR="004E6A1D" w:rsidP="004E6A1D" w:rsidRDefault="004E6A1D" w14:paraId="51FAE24C" w14:textId="70CA6BD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06" w:type="dxa"/>
            <w:tcBorders>
              <w:top w:val="nil"/>
              <w:left w:val="nil"/>
              <w:bottom w:val="single" w:color="auto" w:sz="4" w:space="0"/>
              <w:right w:val="single" w:color="auto" w:sz="4" w:space="0"/>
            </w:tcBorders>
            <w:shd w:val="clear" w:color="auto" w:fill="auto"/>
            <w:vAlign w:val="center"/>
          </w:tcPr>
          <w:p w:rsidRPr="00023A3D" w:rsidR="004E6A1D" w:rsidP="004E6A1D" w:rsidRDefault="004E6A1D" w14:paraId="20C855A7" w14:textId="209863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0.25</w:t>
            </w:r>
          </w:p>
        </w:tc>
        <w:tc>
          <w:tcPr>
            <w:tcW w:w="1170" w:type="dxa"/>
            <w:tcBorders>
              <w:top w:val="nil"/>
              <w:left w:val="nil"/>
              <w:bottom w:val="single" w:color="auto" w:sz="4" w:space="0"/>
              <w:right w:val="single" w:color="auto" w:sz="4" w:space="0"/>
            </w:tcBorders>
            <w:shd w:val="clear" w:color="auto" w:fill="auto"/>
            <w:vAlign w:val="center"/>
          </w:tcPr>
          <w:p w:rsidR="004E6A1D" w:rsidP="004E6A1D" w:rsidRDefault="004E6A1D" w14:paraId="408AAB8E" w14:textId="1132AFB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6.25</w:t>
            </w:r>
          </w:p>
        </w:tc>
        <w:tc>
          <w:tcPr>
            <w:tcW w:w="1350" w:type="dxa"/>
            <w:tcBorders>
              <w:top w:val="nil"/>
              <w:left w:val="nil"/>
              <w:bottom w:val="single" w:color="auto" w:sz="4" w:space="0"/>
              <w:right w:val="single" w:color="auto" w:sz="4" w:space="0"/>
            </w:tcBorders>
            <w:shd w:val="clear" w:color="auto" w:fill="auto"/>
            <w:noWrap/>
            <w:vAlign w:val="center"/>
          </w:tcPr>
          <w:p w:rsidR="004E6A1D" w:rsidP="004E6A1D" w:rsidRDefault="004E6A1D" w14:paraId="22E42FCB" w14:textId="608AE67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r w:rsidRPr="00CA2B37">
              <w:rPr>
                <w:rFonts w:ascii="Calibri" w:hAnsi="Calibri" w:cs="Calibri"/>
                <w:color w:val="000000"/>
                <w:sz w:val="16"/>
                <w:szCs w:val="16"/>
              </w:rPr>
              <w:t> </w:t>
            </w:r>
          </w:p>
        </w:tc>
        <w:tc>
          <w:tcPr>
            <w:tcW w:w="1350" w:type="dxa"/>
            <w:tcBorders>
              <w:top w:val="nil"/>
              <w:left w:val="nil"/>
              <w:bottom w:val="single" w:color="auto" w:sz="4" w:space="0"/>
              <w:right w:val="single" w:color="auto" w:sz="8" w:space="0"/>
            </w:tcBorders>
            <w:shd w:val="clear" w:color="auto" w:fill="auto"/>
            <w:noWrap/>
            <w:vAlign w:val="center"/>
          </w:tcPr>
          <w:p w:rsidR="004E6A1D" w:rsidP="004E6A1D" w:rsidRDefault="004E6A1D" w14:paraId="270A43FB" w14:textId="4BB8B39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$206.00</w:t>
            </w:r>
          </w:p>
        </w:tc>
      </w:tr>
      <w:tr w:rsidRPr="00CA2B37" w:rsidR="004E6A1D" w:rsidTr="00AB643A" w14:paraId="488A8195" w14:textId="77777777">
        <w:trPr>
          <w:trHeight w:val="315"/>
        </w:trPr>
        <w:tc>
          <w:tcPr>
            <w:tcW w:w="3680" w:type="dxa"/>
            <w:tcBorders>
              <w:top w:val="nil"/>
              <w:left w:val="single" w:color="auto" w:sz="8" w:space="0"/>
              <w:bottom w:val="single" w:color="auto" w:sz="8" w:space="0"/>
              <w:right w:val="single" w:color="auto" w:sz="8" w:space="0"/>
            </w:tcBorders>
            <w:shd w:val="clear" w:color="000000" w:fill="BDD7EE"/>
            <w:noWrap/>
            <w:vAlign w:val="bottom"/>
            <w:hideMark/>
          </w:tcPr>
          <w:p w:rsidRPr="00CA2B37" w:rsidR="004E6A1D" w:rsidP="00F0783F" w:rsidRDefault="004E6A1D" w14:paraId="4DA46D6A"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Totals</w:t>
            </w:r>
          </w:p>
        </w:tc>
        <w:tc>
          <w:tcPr>
            <w:tcW w:w="1710" w:type="dxa"/>
            <w:tcBorders>
              <w:top w:val="nil"/>
              <w:left w:val="nil"/>
              <w:bottom w:val="single" w:color="auto" w:sz="8" w:space="0"/>
              <w:right w:val="single" w:color="auto" w:sz="8" w:space="0"/>
            </w:tcBorders>
            <w:shd w:val="clear" w:color="000000" w:fill="000000"/>
            <w:noWrap/>
            <w:vAlign w:val="bottom"/>
            <w:hideMark/>
          </w:tcPr>
          <w:p w:rsidRPr="00CA2B37" w:rsidR="004E6A1D" w:rsidP="00F0783F" w:rsidRDefault="004E6A1D" w14:paraId="38065CB1"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88" w:type="dxa"/>
            <w:tcBorders>
              <w:top w:val="nil"/>
              <w:left w:val="nil"/>
              <w:bottom w:val="single" w:color="auto" w:sz="8" w:space="0"/>
              <w:right w:val="single" w:color="auto" w:sz="8" w:space="0"/>
            </w:tcBorders>
            <w:shd w:val="clear" w:color="000000" w:fill="000000"/>
            <w:noWrap/>
            <w:vAlign w:val="bottom"/>
            <w:hideMark/>
          </w:tcPr>
          <w:p w:rsidRPr="00CA2B37" w:rsidR="004E6A1D" w:rsidP="00F0783F" w:rsidRDefault="004E6A1D" w14:paraId="671EBC54"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52" w:type="dxa"/>
            <w:tcBorders>
              <w:top w:val="nil"/>
              <w:left w:val="nil"/>
              <w:bottom w:val="single" w:color="auto" w:sz="8" w:space="0"/>
              <w:right w:val="single" w:color="auto" w:sz="8" w:space="0"/>
            </w:tcBorders>
            <w:shd w:val="clear" w:color="000000" w:fill="000000"/>
            <w:noWrap/>
            <w:vAlign w:val="bottom"/>
            <w:hideMark/>
          </w:tcPr>
          <w:p w:rsidRPr="00CA2B37" w:rsidR="004E6A1D" w:rsidP="00F0783F" w:rsidRDefault="004E6A1D" w14:paraId="212BCE0A"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260" w:type="dxa"/>
            <w:tcBorders>
              <w:top w:val="nil"/>
              <w:left w:val="nil"/>
              <w:bottom w:val="single" w:color="auto" w:sz="8" w:space="0"/>
              <w:right w:val="single" w:color="auto" w:sz="8" w:space="0"/>
            </w:tcBorders>
            <w:shd w:val="clear" w:color="000000" w:fill="BDD7EE"/>
            <w:noWrap/>
            <w:vAlign w:val="bottom"/>
            <w:hideMark/>
          </w:tcPr>
          <w:p w:rsidRPr="00CA2B37" w:rsidR="004E6A1D" w:rsidP="00703F2B" w:rsidRDefault="004E6A1D" w14:paraId="288C2236" w14:textId="1E5E7204">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r w:rsidR="0010662B">
              <w:rPr>
                <w:rFonts w:ascii="Calibri" w:hAnsi="Calibri" w:cs="Calibri"/>
                <w:b/>
                <w:bCs/>
                <w:color w:val="000000"/>
                <w:sz w:val="22"/>
                <w:szCs w:val="22"/>
              </w:rPr>
              <w:t>2</w:t>
            </w:r>
            <w:r w:rsidR="00703F2B">
              <w:rPr>
                <w:rFonts w:ascii="Calibri" w:hAnsi="Calibri" w:cs="Calibri"/>
                <w:b/>
                <w:bCs/>
                <w:color w:val="000000"/>
                <w:sz w:val="22"/>
                <w:szCs w:val="22"/>
              </w:rPr>
              <w:t>79</w:t>
            </w:r>
          </w:p>
        </w:tc>
        <w:tc>
          <w:tcPr>
            <w:tcW w:w="1206" w:type="dxa"/>
            <w:tcBorders>
              <w:top w:val="nil"/>
              <w:left w:val="nil"/>
              <w:bottom w:val="single" w:color="auto" w:sz="8" w:space="0"/>
              <w:right w:val="single" w:color="auto" w:sz="8" w:space="0"/>
            </w:tcBorders>
            <w:shd w:val="clear" w:color="000000" w:fill="000000"/>
            <w:noWrap/>
            <w:vAlign w:val="bottom"/>
            <w:hideMark/>
          </w:tcPr>
          <w:p w:rsidRPr="00CA2B37" w:rsidR="004E6A1D" w:rsidP="00F0783F" w:rsidRDefault="004E6A1D" w14:paraId="23093D86"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170" w:type="dxa"/>
            <w:tcBorders>
              <w:top w:val="nil"/>
              <w:left w:val="nil"/>
              <w:bottom w:val="single" w:color="auto" w:sz="8" w:space="0"/>
              <w:right w:val="single" w:color="auto" w:sz="8" w:space="0"/>
            </w:tcBorders>
            <w:shd w:val="clear" w:color="000000" w:fill="BDD7EE"/>
            <w:noWrap/>
            <w:vAlign w:val="bottom"/>
            <w:hideMark/>
          </w:tcPr>
          <w:p w:rsidRPr="00CA2B37" w:rsidR="004E6A1D" w:rsidP="00F0783F" w:rsidRDefault="00447A50" w14:paraId="3489F13B" w14:textId="6BD0ED73">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152</w:t>
            </w:r>
          </w:p>
        </w:tc>
        <w:tc>
          <w:tcPr>
            <w:tcW w:w="1350" w:type="dxa"/>
            <w:tcBorders>
              <w:top w:val="nil"/>
              <w:left w:val="nil"/>
              <w:bottom w:val="single" w:color="auto" w:sz="8" w:space="0"/>
              <w:right w:val="single" w:color="auto" w:sz="8" w:space="0"/>
            </w:tcBorders>
            <w:shd w:val="clear" w:color="000000" w:fill="000000"/>
            <w:noWrap/>
            <w:vAlign w:val="bottom"/>
            <w:hideMark/>
          </w:tcPr>
          <w:p w:rsidRPr="00CA2B37" w:rsidR="004E6A1D" w:rsidP="00F0783F" w:rsidRDefault="004E6A1D" w14:paraId="2AF83D13" w14:textId="77777777">
            <w:pPr>
              <w:widowControl/>
              <w:autoSpaceDE/>
              <w:autoSpaceDN/>
              <w:adjustRightInd/>
              <w:jc w:val="right"/>
              <w:rPr>
                <w:rFonts w:ascii="Calibri" w:hAnsi="Calibri" w:cs="Calibri"/>
                <w:b/>
                <w:bCs/>
                <w:color w:val="000000"/>
                <w:sz w:val="22"/>
                <w:szCs w:val="22"/>
              </w:rPr>
            </w:pPr>
            <w:r w:rsidRPr="00CA2B37">
              <w:rPr>
                <w:rFonts w:ascii="Calibri" w:hAnsi="Calibri" w:cs="Calibri"/>
                <w:b/>
                <w:bCs/>
                <w:color w:val="000000"/>
                <w:sz w:val="22"/>
                <w:szCs w:val="22"/>
              </w:rPr>
              <w:t> </w:t>
            </w:r>
          </w:p>
        </w:tc>
        <w:tc>
          <w:tcPr>
            <w:tcW w:w="1350" w:type="dxa"/>
            <w:tcBorders>
              <w:top w:val="nil"/>
              <w:left w:val="nil"/>
              <w:bottom w:val="single" w:color="auto" w:sz="8" w:space="0"/>
              <w:right w:val="single" w:color="auto" w:sz="8" w:space="0"/>
            </w:tcBorders>
            <w:shd w:val="clear" w:color="000000" w:fill="BDD7EE"/>
            <w:noWrap/>
            <w:vAlign w:val="bottom"/>
            <w:hideMark/>
          </w:tcPr>
          <w:p w:rsidRPr="00CA2B37" w:rsidR="004E6A1D" w:rsidP="00F64FF1" w:rsidRDefault="00F34D1E" w14:paraId="104BD72D" w14:textId="6CEBDF4C">
            <w:pPr>
              <w:widowControl/>
              <w:autoSpaceDE/>
              <w:autoSpaceDN/>
              <w:adjustRightInd/>
              <w:jc w:val="right"/>
              <w:rPr>
                <w:rFonts w:ascii="Calibri" w:hAnsi="Calibri" w:cs="Calibri"/>
                <w:b/>
                <w:bCs/>
                <w:color w:val="000000"/>
                <w:sz w:val="22"/>
                <w:szCs w:val="22"/>
              </w:rPr>
            </w:pPr>
            <w:r>
              <w:rPr>
                <w:rFonts w:ascii="Calibri" w:hAnsi="Calibri" w:cs="Calibri"/>
                <w:b/>
                <w:bCs/>
                <w:color w:val="000000"/>
                <w:sz w:val="22"/>
                <w:szCs w:val="22"/>
              </w:rPr>
              <w:t>$</w:t>
            </w:r>
            <w:r w:rsidR="00F64FF1">
              <w:rPr>
                <w:rFonts w:ascii="Calibri" w:hAnsi="Calibri" w:cs="Calibri"/>
                <w:b/>
                <w:bCs/>
                <w:color w:val="000000"/>
                <w:sz w:val="22"/>
                <w:szCs w:val="22"/>
              </w:rPr>
              <w:t>5017.87</w:t>
            </w:r>
          </w:p>
        </w:tc>
      </w:tr>
    </w:tbl>
    <w:p w:rsidR="00CA2B37" w:rsidP="00343E7E" w:rsidRDefault="00CA2B37" w14:paraId="049A1FBA" w14:textId="77777777">
      <w:pPr>
        <w:rPr>
          <w:sz w:val="24"/>
          <w:szCs w:val="24"/>
        </w:rPr>
        <w:sectPr w:rsidR="00CA2B37" w:rsidSect="0056587A">
          <w:footnotePr>
            <w:numRestart w:val="eachSect"/>
          </w:footnotePr>
          <w:endnotePr>
            <w:numFmt w:val="decimal"/>
          </w:endnotePr>
          <w:pgSz w:w="15840" w:h="12240" w:orient="landscape"/>
          <w:pgMar w:top="720" w:right="720" w:bottom="810" w:left="990" w:header="720" w:footer="720" w:gutter="0"/>
          <w:cols w:space="720"/>
          <w:docGrid w:linePitch="272"/>
        </w:sectPr>
      </w:pPr>
    </w:p>
    <w:p w:rsidR="004F26E9" w:rsidP="00343E7E" w:rsidRDefault="004F26E9" w14:paraId="27BFD9F2" w14:textId="77777777">
      <w:pPr>
        <w:tabs>
          <w:tab w:val="left" w:pos="540"/>
        </w:tabs>
        <w:rPr>
          <w:sz w:val="24"/>
          <w:szCs w:val="24"/>
        </w:rPr>
      </w:pPr>
    </w:p>
    <w:p w:rsidRPr="00283F01" w:rsidR="004F26E9" w:rsidP="00283F01" w:rsidRDefault="00493868" w14:paraId="0618D54F" w14:textId="77777777">
      <w:pPr>
        <w:pStyle w:val="ListParagraph"/>
        <w:tabs>
          <w:tab w:val="left" w:pos="360"/>
        </w:tabs>
        <w:adjustRightInd/>
        <w:spacing w:before="80"/>
        <w:ind w:left="0"/>
        <w:contextualSpacing w:val="0"/>
        <w:rPr>
          <w:b/>
          <w:sz w:val="24"/>
          <w:szCs w:val="24"/>
        </w:rPr>
      </w:pPr>
      <w:r>
        <w:rPr>
          <w:b/>
          <w:bCs/>
          <w:sz w:val="24"/>
          <w:szCs w:val="24"/>
        </w:rPr>
        <w:t>13.</w:t>
      </w:r>
      <w:r>
        <w:rPr>
          <w:b/>
          <w:bCs/>
          <w:sz w:val="24"/>
          <w:szCs w:val="24"/>
        </w:rPr>
        <w:tab/>
      </w:r>
      <w:r w:rsidRPr="00BD7237" w:rsidR="00283F01">
        <w:rPr>
          <w:b/>
          <w:sz w:val="24"/>
          <w:szCs w:val="24"/>
        </w:rPr>
        <w:t>Provide an estimate for the total annual cost burden to respondents or record keepers resulting from the collection of information. (Do not include the cost of any hour burden already reflected on the burden worksheet).</w:t>
      </w:r>
    </w:p>
    <w:p w:rsidR="004F26E9" w:rsidP="00493868" w:rsidRDefault="004F26E9" w14:paraId="01BBFA9D" w14:textId="77777777">
      <w:pPr>
        <w:tabs>
          <w:tab w:val="left" w:pos="540"/>
        </w:tabs>
        <w:ind w:left="540"/>
        <w:rPr>
          <w:sz w:val="24"/>
          <w:szCs w:val="24"/>
        </w:rPr>
      </w:pPr>
    </w:p>
    <w:tbl>
      <w:tblPr>
        <w:tblW w:w="9980" w:type="dxa"/>
        <w:tblLook w:val="04A0" w:firstRow="1" w:lastRow="0" w:firstColumn="1" w:lastColumn="0" w:noHBand="0" w:noVBand="1"/>
      </w:tblPr>
      <w:tblGrid>
        <w:gridCol w:w="3230"/>
        <w:gridCol w:w="1260"/>
        <w:gridCol w:w="1530"/>
        <w:gridCol w:w="1350"/>
        <w:gridCol w:w="1263"/>
        <w:gridCol w:w="1347"/>
      </w:tblGrid>
      <w:tr w:rsidRPr="000D49BA" w:rsidR="00185785" w:rsidTr="000741CA" w14:paraId="40ED5AF1" w14:textId="77777777">
        <w:trPr>
          <w:trHeight w:val="690"/>
        </w:trPr>
        <w:tc>
          <w:tcPr>
            <w:tcW w:w="3230" w:type="dxa"/>
            <w:tcBorders>
              <w:top w:val="single" w:color="auto" w:sz="8" w:space="0"/>
              <w:left w:val="single" w:color="auto" w:sz="8" w:space="0"/>
              <w:bottom w:val="single" w:color="auto" w:sz="8" w:space="0"/>
              <w:right w:val="single" w:color="auto" w:sz="8" w:space="0"/>
            </w:tcBorders>
            <w:shd w:val="clear" w:color="auto" w:fill="5B9BD5" w:themeFill="accent1"/>
            <w:vAlign w:val="center"/>
            <w:hideMark/>
          </w:tcPr>
          <w:p w:rsidRPr="00185785" w:rsidR="00185785" w:rsidP="00185785" w:rsidRDefault="00185785" w14:paraId="238A1461"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Information Collection</w:t>
            </w:r>
          </w:p>
        </w:tc>
        <w:tc>
          <w:tcPr>
            <w:tcW w:w="126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033CA1B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of Respondents</w:t>
            </w:r>
          </w:p>
          <w:p w:rsidRPr="00185785" w:rsidR="00D37919" w:rsidP="00185785" w:rsidRDefault="00D37919" w14:paraId="48139C4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(a)</w:t>
            </w:r>
          </w:p>
        </w:tc>
        <w:tc>
          <w:tcPr>
            <w:tcW w:w="153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335E2FC0"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Annual # of Responses / Respondent</w:t>
            </w:r>
          </w:p>
          <w:p w:rsidRPr="00185785" w:rsidR="00D37919" w:rsidP="00185785" w:rsidRDefault="00D37919" w14:paraId="3F5AA3D4"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(b)</w:t>
            </w:r>
          </w:p>
        </w:tc>
        <w:tc>
          <w:tcPr>
            <w:tcW w:w="1350"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134BD602"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 xml:space="preserve"> Total # of Annual Responses</w:t>
            </w:r>
          </w:p>
          <w:p w:rsidRPr="00185785" w:rsidR="00D37919" w:rsidP="00185785" w:rsidRDefault="00D37919" w14:paraId="5F5DC3F8"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(c)=(a) x (b)</w:t>
            </w:r>
          </w:p>
        </w:tc>
        <w:tc>
          <w:tcPr>
            <w:tcW w:w="1263"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B33F89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Cost Burden / Respondent</w:t>
            </w:r>
          </w:p>
          <w:p w:rsidRPr="00185785" w:rsidR="00D37919" w:rsidP="00185785" w:rsidRDefault="00D37919" w14:paraId="03D52149"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(h)</w:t>
            </w:r>
          </w:p>
        </w:tc>
        <w:tc>
          <w:tcPr>
            <w:tcW w:w="1347" w:type="dxa"/>
            <w:tcBorders>
              <w:top w:val="single" w:color="auto" w:sz="8" w:space="0"/>
              <w:left w:val="nil"/>
              <w:bottom w:val="single" w:color="auto" w:sz="8" w:space="0"/>
              <w:right w:val="single" w:color="auto" w:sz="8" w:space="0"/>
            </w:tcBorders>
            <w:shd w:val="clear" w:color="auto" w:fill="5B9BD5" w:themeFill="accent1"/>
            <w:vAlign w:val="center"/>
            <w:hideMark/>
          </w:tcPr>
          <w:p w:rsidR="00185785" w:rsidP="00185785" w:rsidRDefault="00185785" w14:paraId="226AB23B" w14:textId="77777777">
            <w:pPr>
              <w:widowControl/>
              <w:autoSpaceDE/>
              <w:autoSpaceDN/>
              <w:adjustRightInd/>
              <w:jc w:val="center"/>
              <w:rPr>
                <w:rFonts w:ascii="Calibri" w:hAnsi="Calibri" w:cs="Calibri"/>
                <w:b/>
                <w:bCs/>
                <w:color w:val="000000"/>
                <w:sz w:val="18"/>
                <w:szCs w:val="18"/>
              </w:rPr>
            </w:pPr>
            <w:r w:rsidRPr="00185785">
              <w:rPr>
                <w:rFonts w:ascii="Calibri" w:hAnsi="Calibri" w:cs="Calibri"/>
                <w:b/>
                <w:bCs/>
                <w:color w:val="000000"/>
                <w:sz w:val="18"/>
                <w:szCs w:val="18"/>
              </w:rPr>
              <w:t>Total Annual Cost Burden</w:t>
            </w:r>
          </w:p>
          <w:p w:rsidRPr="00185785" w:rsidR="00D37919" w:rsidP="00185785" w:rsidRDefault="00D37919" w14:paraId="72444A90" w14:textId="77777777">
            <w:pPr>
              <w:widowControl/>
              <w:autoSpaceDE/>
              <w:autoSpaceDN/>
              <w:adjustRightInd/>
              <w:jc w:val="center"/>
              <w:rPr>
                <w:rFonts w:ascii="Calibri" w:hAnsi="Calibri" w:cs="Calibri"/>
                <w:b/>
                <w:bCs/>
                <w:color w:val="000000"/>
                <w:sz w:val="18"/>
                <w:szCs w:val="18"/>
              </w:rPr>
            </w:pPr>
            <w:r>
              <w:rPr>
                <w:rFonts w:ascii="Calibri" w:hAnsi="Calibri" w:cs="Calibri"/>
                <w:b/>
                <w:bCs/>
                <w:color w:val="000000"/>
                <w:sz w:val="18"/>
                <w:szCs w:val="18"/>
              </w:rPr>
              <w:t>(</w:t>
            </w:r>
            <w:proofErr w:type="spellStart"/>
            <w:r>
              <w:rPr>
                <w:rFonts w:ascii="Calibri" w:hAnsi="Calibri" w:cs="Calibri"/>
                <w:b/>
                <w:bCs/>
                <w:color w:val="000000"/>
                <w:sz w:val="18"/>
                <w:szCs w:val="18"/>
              </w:rPr>
              <w:t>i</w:t>
            </w:r>
            <w:proofErr w:type="spellEnd"/>
            <w:r>
              <w:rPr>
                <w:rFonts w:ascii="Calibri" w:hAnsi="Calibri" w:cs="Calibri"/>
                <w:b/>
                <w:bCs/>
                <w:color w:val="000000"/>
                <w:sz w:val="18"/>
                <w:szCs w:val="18"/>
              </w:rPr>
              <w:t>) = (c) x (h)</w:t>
            </w:r>
          </w:p>
        </w:tc>
      </w:tr>
      <w:tr w:rsidRPr="00185785" w:rsidR="00343E7E" w:rsidTr="00F0783F" w14:paraId="7CCB7D6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hideMark/>
          </w:tcPr>
          <w:p w:rsidRPr="00CA2B37" w:rsidR="00343E7E" w:rsidP="00343E7E" w:rsidRDefault="00343E7E" w14:paraId="6CC6A7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60" w:type="dxa"/>
            <w:tcBorders>
              <w:top w:val="nil"/>
              <w:left w:val="nil"/>
              <w:bottom w:val="single" w:color="auto" w:sz="4" w:space="0"/>
              <w:right w:val="single" w:color="auto" w:sz="4" w:space="0"/>
            </w:tcBorders>
            <w:shd w:val="clear" w:color="000000" w:fill="FFFFFF"/>
            <w:vAlign w:val="center"/>
            <w:hideMark/>
          </w:tcPr>
          <w:p w:rsidRPr="00CA2B37" w:rsidR="00343E7E" w:rsidP="00343E7E" w:rsidRDefault="00343E7E" w14:paraId="1C0CB6A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center"/>
            <w:hideMark/>
          </w:tcPr>
          <w:p w:rsidRPr="00CA2B37" w:rsidR="00343E7E" w:rsidP="00F34D1E" w:rsidRDefault="00343E7E" w14:paraId="2EC6CB9A" w14:textId="5AFFC18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hideMark/>
          </w:tcPr>
          <w:p w:rsidRPr="00CA2B37" w:rsidR="00343E7E" w:rsidP="00F34D1E" w:rsidRDefault="00343E7E" w14:paraId="1B7DA49F" w14:textId="20B071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color="auto" w:sz="4" w:space="0"/>
              <w:right w:val="single" w:color="auto" w:sz="4" w:space="0"/>
            </w:tcBorders>
            <w:shd w:val="clear" w:color="000000" w:fill="FFFFFF"/>
            <w:vAlign w:val="center"/>
            <w:hideMark/>
          </w:tcPr>
          <w:p w:rsidRPr="00185785" w:rsidR="00343E7E" w:rsidP="00343E7E" w:rsidRDefault="00166B85" w14:paraId="3E211ACA" w14:textId="0705831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w:t>
            </w:r>
          </w:p>
        </w:tc>
        <w:tc>
          <w:tcPr>
            <w:tcW w:w="1347" w:type="dxa"/>
            <w:tcBorders>
              <w:top w:val="nil"/>
              <w:left w:val="nil"/>
              <w:bottom w:val="single" w:color="auto" w:sz="4" w:space="0"/>
              <w:right w:val="single" w:color="auto" w:sz="8" w:space="0"/>
            </w:tcBorders>
            <w:shd w:val="clear" w:color="000000" w:fill="FFFFFF"/>
            <w:vAlign w:val="center"/>
            <w:hideMark/>
          </w:tcPr>
          <w:p w:rsidRPr="00185785" w:rsidR="00343E7E" w:rsidP="00343E7E" w:rsidRDefault="00166B85" w14:paraId="170D859C" w14:textId="01B739F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$590</w:t>
            </w:r>
          </w:p>
        </w:tc>
      </w:tr>
      <w:tr w:rsidRPr="00185785" w:rsidR="00343E7E" w:rsidTr="00F0783F" w14:paraId="1684BCE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5978A9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41AC0A6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001926C9" w14:textId="2BEDAF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F34D1E" w:rsidRDefault="00343E7E" w14:paraId="5FF1940E" w14:textId="587C432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166B85" w14:paraId="51C9CF47" w14:textId="35F6919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$46</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166B85" w14:paraId="4621B760" w14:textId="1EF4A63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$6,210</w:t>
            </w:r>
          </w:p>
        </w:tc>
      </w:tr>
      <w:tr w:rsidRPr="00185785" w:rsidR="00343E7E" w:rsidTr="00F0783F" w14:paraId="1A8002D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D4F103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5D2E710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F34D1E" w:rsidRDefault="00343E7E" w14:paraId="59B26850" w14:textId="3228DF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2C58B84E" w14:textId="65242A4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343E7E" w14:paraId="62A349BF" w14:textId="58D8987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00166B85">
              <w:rPr>
                <w:rFonts w:ascii="Calibri" w:hAnsi="Calibri" w:cs="Calibri"/>
                <w:color w:val="000000"/>
                <w:sz w:val="16"/>
                <w:szCs w:val="16"/>
              </w:rPr>
              <w:t>9</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166B85" w14:paraId="2D51142E" w14:textId="33DD4DB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$1,180</w:t>
            </w:r>
          </w:p>
        </w:tc>
      </w:tr>
      <w:tr w:rsidRPr="00185785" w:rsidR="00343E7E" w:rsidTr="00F0783F" w14:paraId="0EF899AB"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3BFA2C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E9038F" w14:paraId="07854E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2013B12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E9038F" w14:paraId="2E807C4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122CE92B" w14:textId="128900D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5FF9D8A2" w14:textId="5C2EDCB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5A00C9AA"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22BEE4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1A617D6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291591D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3B88DDB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0CAF8670" w14:textId="2D60A92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44C523F2" w14:textId="00FE63D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68BA0F23"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B4554E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5DD7DD9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3D5CCD7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2C42048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7BB4636A" w14:textId="02C76E9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5256D870" w14:textId="4C33B1D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3407CF7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44E3925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69732C7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027E996C"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4DD067D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4F2BEE35" w14:textId="7B018E2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635E4EF4" w14:textId="63A6690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17B8051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AAEE67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12CD369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65B3BE8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3BA231E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5861C02A" w14:textId="596720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3915E326" w14:textId="6491D8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015EA5F2"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09A9215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387117D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65AB878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007A9D9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7AFC33AB" w14:textId="5CBFA40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38571F75" w14:textId="3BA9CF1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0002480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710F19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5011A618"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501DC37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20DFAA9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A17216" w14:paraId="3FA0CD02" w14:textId="1472893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F34D1E" w14:paraId="16E59142" w14:textId="38959DE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386E865E"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292E19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American Samoa Longline </w:t>
            </w:r>
            <w:r w:rsidR="009212F4">
              <w:rPr>
                <w:rFonts w:ascii="Calibri" w:hAnsi="Calibri" w:cs="Calibri"/>
                <w:color w:val="000000"/>
                <w:sz w:val="16"/>
                <w:szCs w:val="16"/>
              </w:rPr>
              <w:t xml:space="preserve">Limited Entry </w:t>
            </w:r>
            <w:r>
              <w:rPr>
                <w:rFonts w:ascii="Calibri" w:hAnsi="Calibri" w:cs="Calibri"/>
                <w:color w:val="000000"/>
                <w:sz w:val="16"/>
                <w:szCs w:val="16"/>
              </w:rPr>
              <w:t>application for renewal, transfer, or additional permit</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07E5CAB5"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159E497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7475072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166B85" w14:paraId="48A195AD" w14:textId="051CA81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$92</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166B85" w14:paraId="79F7F492" w14:textId="55F2514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$2,760</w:t>
            </w:r>
          </w:p>
        </w:tc>
      </w:tr>
      <w:tr w:rsidRPr="00185785" w:rsidR="00343E7E" w:rsidTr="00F0783F" w14:paraId="73B80DE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9212F4" w14:paraId="03258B6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w:t>
            </w:r>
            <w:r w:rsidR="00343E7E">
              <w:rPr>
                <w:rFonts w:ascii="Calibri" w:hAnsi="Calibri" w:cs="Calibri"/>
                <w:color w:val="000000"/>
                <w:sz w:val="16"/>
                <w:szCs w:val="16"/>
              </w:rPr>
              <w:t>ongline</w:t>
            </w:r>
            <w:r>
              <w:rPr>
                <w:rFonts w:ascii="Calibri" w:hAnsi="Calibri" w:cs="Calibri"/>
                <w:color w:val="000000"/>
                <w:sz w:val="16"/>
                <w:szCs w:val="16"/>
              </w:rPr>
              <w:t xml:space="preserve"> Limited Entry</w:t>
            </w:r>
            <w:r w:rsidR="00343E7E">
              <w:rPr>
                <w:rFonts w:ascii="Calibri" w:hAnsi="Calibri" w:cs="Calibri"/>
                <w:color w:val="000000"/>
                <w:sz w:val="16"/>
                <w:szCs w:val="16"/>
              </w:rPr>
              <w:t xml:space="preserve"> application for vessel registration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5261E4A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108DCCA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2AF05E4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166B85" w14:paraId="625CEA08" w14:textId="105F361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166B85" w14:paraId="218B2FDE" w14:textId="2CFFA5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343E7E" w:rsidTr="00F0783F" w14:paraId="7F151F67"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76F9F782"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6E993707"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06E0EA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7D97AE4F"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166B85" w14:paraId="3F070722" w14:textId="638B811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166B85" w14:paraId="0BA975B4" w14:textId="2882B84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343E7E">
              <w:rPr>
                <w:rFonts w:ascii="Calibri" w:hAnsi="Calibri" w:cs="Calibri"/>
                <w:color w:val="000000"/>
                <w:sz w:val="16"/>
                <w:szCs w:val="16"/>
              </w:rPr>
              <w:t>0</w:t>
            </w:r>
          </w:p>
        </w:tc>
      </w:tr>
      <w:tr w:rsidRPr="00185785" w:rsidR="00343E7E" w:rsidTr="00F0783F" w14:paraId="7E69575C"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6862A84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166B85" w14:paraId="2BDEA15B" w14:textId="2DBD493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16E0F9AD"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166B85" w14:paraId="4FD71E9D" w14:textId="0C407EA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166B85" w14:paraId="0ABE52CB" w14:textId="6DC4510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166B85" w14:paraId="427ADC7C" w14:textId="0281A32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$1,420</w:t>
            </w:r>
          </w:p>
        </w:tc>
      </w:tr>
      <w:tr w:rsidRPr="00185785" w:rsidR="00343E7E" w:rsidTr="00F0783F" w14:paraId="08A6328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Pr="00CA2B37" w:rsidR="00343E7E" w:rsidP="00343E7E" w:rsidRDefault="00343E7E" w14:paraId="2A496E3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343E7E" w:rsidP="00343E7E" w:rsidRDefault="00E9038F" w14:paraId="5E160F5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530" w:type="dxa"/>
            <w:tcBorders>
              <w:top w:val="nil"/>
              <w:left w:val="nil"/>
              <w:bottom w:val="single" w:color="auto" w:sz="4" w:space="0"/>
              <w:right w:val="single" w:color="auto" w:sz="4" w:space="0"/>
            </w:tcBorders>
            <w:shd w:val="clear" w:color="000000" w:fill="FFFFFF"/>
            <w:vAlign w:val="center"/>
          </w:tcPr>
          <w:p w:rsidRPr="00CA2B37" w:rsidR="00343E7E" w:rsidP="00343E7E" w:rsidRDefault="00343E7E" w14:paraId="0F56806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Pr="00CA2B37" w:rsidR="00343E7E" w:rsidP="00343E7E" w:rsidRDefault="00E9038F" w14:paraId="0487B693"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263" w:type="dxa"/>
            <w:tcBorders>
              <w:top w:val="nil"/>
              <w:left w:val="nil"/>
              <w:bottom w:val="single" w:color="auto" w:sz="4" w:space="0"/>
              <w:right w:val="single" w:color="auto" w:sz="4" w:space="0"/>
            </w:tcBorders>
            <w:shd w:val="clear" w:color="000000" w:fill="FFFFFF"/>
            <w:vAlign w:val="center"/>
          </w:tcPr>
          <w:p w:rsidRPr="00185785" w:rsidR="00343E7E" w:rsidP="00343E7E" w:rsidRDefault="00166B85" w14:paraId="6573D4C1" w14:textId="547C9E6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347" w:type="dxa"/>
            <w:tcBorders>
              <w:top w:val="nil"/>
              <w:left w:val="nil"/>
              <w:bottom w:val="single" w:color="auto" w:sz="4" w:space="0"/>
              <w:right w:val="single" w:color="auto" w:sz="8" w:space="0"/>
            </w:tcBorders>
            <w:shd w:val="clear" w:color="000000" w:fill="FFFFFF"/>
            <w:vAlign w:val="center"/>
          </w:tcPr>
          <w:p w:rsidRPr="00185785" w:rsidR="00343E7E" w:rsidP="00343E7E" w:rsidRDefault="00E405EC" w14:paraId="27B5E886" w14:textId="704CE9C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A17216">
              <w:rPr>
                <w:rFonts w:ascii="Calibri" w:hAnsi="Calibri" w:cs="Calibri"/>
                <w:color w:val="000000"/>
                <w:sz w:val="16"/>
                <w:szCs w:val="16"/>
              </w:rPr>
              <w:t>71</w:t>
            </w:r>
          </w:p>
        </w:tc>
      </w:tr>
      <w:tr w:rsidRPr="00185785" w:rsidR="00166B85" w:rsidTr="00F0783F" w14:paraId="3EBF7BF5"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166B85" w:rsidP="009B7F92" w:rsidRDefault="00166B85" w14:paraId="5BD3AFDF" w14:textId="6A8DE67B">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w:t>
            </w:r>
            <w:r w:rsidR="00E405EC">
              <w:rPr>
                <w:rFonts w:ascii="Calibri" w:hAnsi="Calibri" w:cs="Calibri"/>
                <w:color w:val="000000"/>
                <w:sz w:val="16"/>
                <w:szCs w:val="16"/>
              </w:rPr>
              <w:t xml:space="preserve"> (Lobster)</w:t>
            </w:r>
            <w:r>
              <w:rPr>
                <w:rFonts w:ascii="Calibri" w:hAnsi="Calibri" w:cs="Calibri"/>
                <w:color w:val="000000"/>
                <w:sz w:val="16"/>
                <w:szCs w:val="16"/>
              </w:rPr>
              <w:t xml:space="preserve"> permit application </w:t>
            </w:r>
          </w:p>
        </w:tc>
        <w:tc>
          <w:tcPr>
            <w:tcW w:w="1260" w:type="dxa"/>
            <w:tcBorders>
              <w:top w:val="nil"/>
              <w:left w:val="nil"/>
              <w:bottom w:val="single" w:color="auto" w:sz="4" w:space="0"/>
              <w:right w:val="single" w:color="auto" w:sz="4" w:space="0"/>
            </w:tcBorders>
            <w:shd w:val="clear" w:color="000000" w:fill="FFFFFF"/>
            <w:vAlign w:val="center"/>
          </w:tcPr>
          <w:p w:rsidRPr="00CA2B37" w:rsidR="00166B85" w:rsidP="00343E7E" w:rsidRDefault="00E405EC" w14:paraId="630EDD78" w14:textId="546A9D5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530" w:type="dxa"/>
            <w:tcBorders>
              <w:top w:val="nil"/>
              <w:left w:val="nil"/>
              <w:bottom w:val="single" w:color="auto" w:sz="4" w:space="0"/>
              <w:right w:val="single" w:color="auto" w:sz="4" w:space="0"/>
            </w:tcBorders>
            <w:shd w:val="clear" w:color="000000" w:fill="FFFFFF"/>
            <w:vAlign w:val="center"/>
          </w:tcPr>
          <w:p w:rsidR="00166B85" w:rsidP="00343E7E" w:rsidRDefault="00166B85" w14:paraId="4C532E2B" w14:textId="2CB10CB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00166B85" w:rsidP="00343E7E" w:rsidRDefault="00E405EC" w14:paraId="2E1EFED7" w14:textId="2F9A9EC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263" w:type="dxa"/>
            <w:tcBorders>
              <w:top w:val="nil"/>
              <w:left w:val="nil"/>
              <w:bottom w:val="single" w:color="auto" w:sz="4" w:space="0"/>
              <w:right w:val="single" w:color="auto" w:sz="4" w:space="0"/>
            </w:tcBorders>
            <w:shd w:val="clear" w:color="000000" w:fill="FFFFFF"/>
            <w:vAlign w:val="center"/>
          </w:tcPr>
          <w:p w:rsidR="00166B85" w:rsidP="00E405EC" w:rsidRDefault="00166B85" w14:paraId="76234210" w14:textId="76E6C2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405EC">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00166B85" w:rsidP="00E405EC" w:rsidRDefault="00166B85" w14:paraId="41AA5659" w14:textId="3A8DFB8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w:t>
            </w:r>
            <w:r w:rsidR="00E405EC">
              <w:rPr>
                <w:rFonts w:ascii="Calibri" w:hAnsi="Calibri" w:cs="Calibri"/>
                <w:color w:val="000000"/>
                <w:sz w:val="16"/>
                <w:szCs w:val="16"/>
              </w:rPr>
              <w:t>0</w:t>
            </w:r>
          </w:p>
        </w:tc>
      </w:tr>
      <w:tr w:rsidRPr="00185785" w:rsidR="00E405EC" w:rsidTr="00F0783F" w14:paraId="585FB9ED"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E405EC" w:rsidP="00E405EC" w:rsidRDefault="00E405EC" w14:paraId="6A9D5EFC" w14:textId="3A8A882F">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w:t>
            </w:r>
            <w:r>
              <w:rPr>
                <w:rFonts w:ascii="Calibri" w:hAnsi="Calibri" w:cs="Calibri"/>
                <w:color w:val="000000"/>
                <w:sz w:val="16"/>
                <w:szCs w:val="16"/>
              </w:rPr>
              <w:t>Shrimp</w:t>
            </w:r>
            <w:r>
              <w:rPr>
                <w:rFonts w:ascii="Calibri" w:hAnsi="Calibri" w:cs="Calibri"/>
                <w:color w:val="000000"/>
                <w:sz w:val="16"/>
                <w:szCs w:val="16"/>
              </w:rPr>
              <w:t xml:space="preserve">) permit application </w:t>
            </w:r>
          </w:p>
        </w:tc>
        <w:tc>
          <w:tcPr>
            <w:tcW w:w="1260" w:type="dxa"/>
            <w:tcBorders>
              <w:top w:val="nil"/>
              <w:left w:val="nil"/>
              <w:bottom w:val="single" w:color="auto" w:sz="4" w:space="0"/>
              <w:right w:val="single" w:color="auto" w:sz="4" w:space="0"/>
            </w:tcBorders>
            <w:shd w:val="clear" w:color="000000" w:fill="FFFFFF"/>
            <w:vAlign w:val="center"/>
          </w:tcPr>
          <w:p w:rsidR="00E405EC" w:rsidP="00E405EC" w:rsidRDefault="00E405EC" w14:paraId="3251CB2E" w14:textId="26B5029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530" w:type="dxa"/>
            <w:tcBorders>
              <w:top w:val="nil"/>
              <w:left w:val="nil"/>
              <w:bottom w:val="single" w:color="auto" w:sz="4" w:space="0"/>
              <w:right w:val="single" w:color="auto" w:sz="4" w:space="0"/>
            </w:tcBorders>
            <w:shd w:val="clear" w:color="000000" w:fill="FFFFFF"/>
            <w:vAlign w:val="center"/>
          </w:tcPr>
          <w:p w:rsidR="00E405EC" w:rsidP="00E405EC" w:rsidRDefault="00E405EC" w14:paraId="06EC7131" w14:textId="77B31D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00E405EC" w:rsidP="00E405EC" w:rsidRDefault="00E405EC" w14:paraId="37BF113C" w14:textId="1D8FDC2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263" w:type="dxa"/>
            <w:tcBorders>
              <w:top w:val="nil"/>
              <w:left w:val="nil"/>
              <w:bottom w:val="single" w:color="auto" w:sz="4" w:space="0"/>
              <w:right w:val="single" w:color="auto" w:sz="4" w:space="0"/>
            </w:tcBorders>
            <w:shd w:val="clear" w:color="000000" w:fill="FFFFFF"/>
            <w:vAlign w:val="center"/>
          </w:tcPr>
          <w:p w:rsidR="00E405EC" w:rsidP="00E405EC" w:rsidRDefault="00E405EC" w14:paraId="3804F99F" w14:textId="4115B56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347" w:type="dxa"/>
            <w:tcBorders>
              <w:top w:val="nil"/>
              <w:left w:val="nil"/>
              <w:bottom w:val="single" w:color="auto" w:sz="4" w:space="0"/>
              <w:right w:val="single" w:color="auto" w:sz="8" w:space="0"/>
            </w:tcBorders>
            <w:shd w:val="clear" w:color="000000" w:fill="FFFFFF"/>
            <w:vAlign w:val="center"/>
          </w:tcPr>
          <w:p w:rsidR="00E405EC" w:rsidP="00E405EC" w:rsidRDefault="00E405EC" w14:paraId="31E925E6" w14:textId="54F46B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$213</w:t>
            </w:r>
          </w:p>
        </w:tc>
      </w:tr>
      <w:tr w:rsidRPr="00185785" w:rsidR="00166B85" w:rsidTr="00F0783F" w14:paraId="624631D1"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166B85" w:rsidP="00343E7E" w:rsidRDefault="00166B85" w14:paraId="18816D77" w14:textId="277C8D21">
            <w:pPr>
              <w:widowControl/>
              <w:autoSpaceDE/>
              <w:autoSpaceDN/>
              <w:adjustRightInd/>
              <w:rPr>
                <w:rFonts w:ascii="Calibri" w:hAnsi="Calibri" w:cs="Calibri"/>
                <w:color w:val="000000"/>
                <w:sz w:val="16"/>
                <w:szCs w:val="16"/>
              </w:rPr>
            </w:pPr>
            <w:r>
              <w:rPr>
                <w:rFonts w:ascii="Calibri" w:hAnsi="Calibri" w:cs="Calibri"/>
                <w:color w:val="000000"/>
                <w:sz w:val="16"/>
                <w:szCs w:val="16"/>
              </w:rPr>
              <w:t>Coral Reef Fishing Special/Transshipment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166B85" w:rsidP="00343E7E" w:rsidRDefault="00166B85" w14:paraId="38513989" w14:textId="667184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530" w:type="dxa"/>
            <w:tcBorders>
              <w:top w:val="nil"/>
              <w:left w:val="nil"/>
              <w:bottom w:val="single" w:color="auto" w:sz="4" w:space="0"/>
              <w:right w:val="single" w:color="auto" w:sz="4" w:space="0"/>
            </w:tcBorders>
            <w:shd w:val="clear" w:color="000000" w:fill="FFFFFF"/>
            <w:vAlign w:val="center"/>
          </w:tcPr>
          <w:p w:rsidR="00166B85" w:rsidP="00343E7E" w:rsidRDefault="00166B85" w14:paraId="1F19054D" w14:textId="3FF1363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00166B85" w:rsidP="00343E7E" w:rsidRDefault="00166B85" w14:paraId="1DED2E38" w14:textId="578ECB4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263" w:type="dxa"/>
            <w:tcBorders>
              <w:top w:val="nil"/>
              <w:left w:val="nil"/>
              <w:bottom w:val="single" w:color="auto" w:sz="4" w:space="0"/>
              <w:right w:val="single" w:color="auto" w:sz="4" w:space="0"/>
            </w:tcBorders>
            <w:shd w:val="clear" w:color="000000" w:fill="FFFFFF"/>
            <w:vAlign w:val="center"/>
          </w:tcPr>
          <w:p w:rsidR="00166B85" w:rsidP="00343E7E" w:rsidRDefault="00166B85" w14:paraId="2F12EC9E" w14:textId="255DB66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347" w:type="dxa"/>
            <w:tcBorders>
              <w:top w:val="nil"/>
              <w:left w:val="nil"/>
              <w:bottom w:val="single" w:color="auto" w:sz="4" w:space="0"/>
              <w:right w:val="single" w:color="auto" w:sz="8" w:space="0"/>
            </w:tcBorders>
            <w:shd w:val="clear" w:color="000000" w:fill="FFFFFF"/>
            <w:vAlign w:val="center"/>
          </w:tcPr>
          <w:p w:rsidR="00166B85" w:rsidP="00343E7E" w:rsidRDefault="00166B85" w14:paraId="040C2DD0" w14:textId="51997E9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r>
      <w:tr w:rsidRPr="00185785" w:rsidR="00166B85" w:rsidTr="00F0783F" w14:paraId="7F65159F" w14:textId="77777777">
        <w:trPr>
          <w:trHeight w:val="300"/>
        </w:trPr>
        <w:tc>
          <w:tcPr>
            <w:tcW w:w="3230" w:type="dxa"/>
            <w:tcBorders>
              <w:top w:val="nil"/>
              <w:left w:val="single" w:color="auto" w:sz="4" w:space="0"/>
              <w:bottom w:val="single" w:color="auto" w:sz="4" w:space="0"/>
              <w:right w:val="single" w:color="auto" w:sz="4" w:space="0"/>
            </w:tcBorders>
            <w:shd w:val="clear" w:color="auto" w:fill="auto"/>
            <w:vAlign w:val="bottom"/>
          </w:tcPr>
          <w:p w:rsidR="00166B85" w:rsidP="00343E7E" w:rsidRDefault="00166B85" w14:paraId="671A3837" w14:textId="2AB1B4C7">
            <w:pPr>
              <w:widowControl/>
              <w:autoSpaceDE/>
              <w:autoSpaceDN/>
              <w:adjustRightInd/>
              <w:rPr>
                <w:rFonts w:ascii="Calibri" w:hAnsi="Calibri" w:cs="Calibri"/>
                <w:color w:val="000000"/>
                <w:sz w:val="16"/>
                <w:szCs w:val="16"/>
              </w:rPr>
            </w:pPr>
            <w:r>
              <w:rPr>
                <w:rFonts w:ascii="Calibri" w:hAnsi="Calibri" w:cs="Calibri"/>
                <w:color w:val="000000"/>
                <w:sz w:val="16"/>
                <w:szCs w:val="16"/>
              </w:rPr>
              <w:t>Main Hawaiian Islands non-commercial bottomfish application</w:t>
            </w:r>
          </w:p>
        </w:tc>
        <w:tc>
          <w:tcPr>
            <w:tcW w:w="1260" w:type="dxa"/>
            <w:tcBorders>
              <w:top w:val="nil"/>
              <w:left w:val="nil"/>
              <w:bottom w:val="single" w:color="auto" w:sz="4" w:space="0"/>
              <w:right w:val="single" w:color="auto" w:sz="4" w:space="0"/>
            </w:tcBorders>
            <w:shd w:val="clear" w:color="000000" w:fill="FFFFFF"/>
            <w:vAlign w:val="center"/>
          </w:tcPr>
          <w:p w:rsidRPr="00CA2B37" w:rsidR="00166B85" w:rsidP="00343E7E" w:rsidRDefault="00166B85" w14:paraId="73EB9641" w14:textId="68EC5E4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530" w:type="dxa"/>
            <w:tcBorders>
              <w:top w:val="nil"/>
              <w:left w:val="nil"/>
              <w:bottom w:val="single" w:color="auto" w:sz="4" w:space="0"/>
              <w:right w:val="single" w:color="auto" w:sz="4" w:space="0"/>
            </w:tcBorders>
            <w:shd w:val="clear" w:color="000000" w:fill="FFFFFF"/>
            <w:vAlign w:val="center"/>
          </w:tcPr>
          <w:p w:rsidR="00166B85" w:rsidP="00343E7E" w:rsidRDefault="00166B85" w14:paraId="2FF03A9E" w14:textId="2482551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350" w:type="dxa"/>
            <w:tcBorders>
              <w:top w:val="nil"/>
              <w:left w:val="nil"/>
              <w:bottom w:val="single" w:color="auto" w:sz="4" w:space="0"/>
              <w:right w:val="single" w:color="auto" w:sz="4" w:space="0"/>
            </w:tcBorders>
            <w:shd w:val="clear" w:color="000000" w:fill="FFFFFF"/>
            <w:vAlign w:val="center"/>
          </w:tcPr>
          <w:p w:rsidR="00166B85" w:rsidP="00343E7E" w:rsidRDefault="00166B85" w14:paraId="2E0594BE" w14:textId="61B3730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263" w:type="dxa"/>
            <w:tcBorders>
              <w:top w:val="nil"/>
              <w:left w:val="nil"/>
              <w:bottom w:val="single" w:color="auto" w:sz="4" w:space="0"/>
              <w:right w:val="single" w:color="auto" w:sz="4" w:space="0"/>
            </w:tcBorders>
            <w:shd w:val="clear" w:color="000000" w:fill="FFFFFF"/>
            <w:vAlign w:val="center"/>
          </w:tcPr>
          <w:p w:rsidR="00166B85" w:rsidP="00343E7E" w:rsidRDefault="00166B85" w14:paraId="27281298" w14:textId="323BAAF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$70</w:t>
            </w:r>
          </w:p>
        </w:tc>
        <w:tc>
          <w:tcPr>
            <w:tcW w:w="1347" w:type="dxa"/>
            <w:tcBorders>
              <w:top w:val="nil"/>
              <w:left w:val="nil"/>
              <w:bottom w:val="single" w:color="auto" w:sz="4" w:space="0"/>
              <w:right w:val="single" w:color="auto" w:sz="8" w:space="0"/>
            </w:tcBorders>
            <w:shd w:val="clear" w:color="000000" w:fill="FFFFFF"/>
            <w:vAlign w:val="center"/>
          </w:tcPr>
          <w:p w:rsidR="00166B85" w:rsidP="00343E7E" w:rsidRDefault="00166B85" w14:paraId="475E1554" w14:textId="5CD42B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$1,750</w:t>
            </w:r>
          </w:p>
        </w:tc>
      </w:tr>
      <w:tr w:rsidRPr="00185785" w:rsidR="00343E7E" w:rsidTr="000741CA" w14:paraId="1EB66082" w14:textId="77777777">
        <w:trPr>
          <w:trHeight w:val="315"/>
        </w:trPr>
        <w:tc>
          <w:tcPr>
            <w:tcW w:w="3230" w:type="dxa"/>
            <w:tcBorders>
              <w:top w:val="single" w:color="auto" w:sz="8" w:space="0"/>
              <w:left w:val="single" w:color="auto" w:sz="8" w:space="0"/>
              <w:bottom w:val="single" w:color="auto" w:sz="8" w:space="0"/>
              <w:right w:val="single" w:color="auto" w:sz="4" w:space="0"/>
            </w:tcBorders>
            <w:shd w:val="clear" w:color="auto" w:fill="BDD6EE" w:themeFill="accent1" w:themeFillTint="66"/>
            <w:vAlign w:val="center"/>
            <w:hideMark/>
          </w:tcPr>
          <w:p w:rsidRPr="00185785" w:rsidR="00343E7E" w:rsidP="00343E7E" w:rsidRDefault="00343E7E" w14:paraId="2094B2C9" w14:textId="77777777">
            <w:pPr>
              <w:widowControl/>
              <w:autoSpaceDE/>
              <w:autoSpaceDN/>
              <w:adjustRightInd/>
              <w:rPr>
                <w:rFonts w:ascii="Calibri" w:hAnsi="Calibri" w:cs="Calibri"/>
                <w:b/>
                <w:bCs/>
                <w:color w:val="000000"/>
                <w:sz w:val="16"/>
                <w:szCs w:val="16"/>
              </w:rPr>
            </w:pPr>
            <w:r w:rsidRPr="00185785">
              <w:rPr>
                <w:rFonts w:ascii="Calibri" w:hAnsi="Calibri" w:cs="Calibri"/>
                <w:b/>
                <w:bCs/>
                <w:color w:val="000000"/>
                <w:sz w:val="16"/>
                <w:szCs w:val="16"/>
              </w:rPr>
              <w:t>TOTALS</w:t>
            </w:r>
          </w:p>
        </w:tc>
        <w:tc>
          <w:tcPr>
            <w:tcW w:w="126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039B966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530"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02E67911"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50" w:type="dxa"/>
            <w:tcBorders>
              <w:top w:val="single" w:color="auto" w:sz="8" w:space="0"/>
              <w:left w:val="nil"/>
              <w:bottom w:val="single" w:color="auto" w:sz="8" w:space="0"/>
              <w:right w:val="single" w:color="auto" w:sz="4" w:space="0"/>
            </w:tcBorders>
            <w:shd w:val="clear" w:color="auto" w:fill="BDD6EE" w:themeFill="accent1" w:themeFillTint="66"/>
            <w:vAlign w:val="center"/>
          </w:tcPr>
          <w:p w:rsidRPr="00185785" w:rsidR="00343E7E" w:rsidP="00703F2B" w:rsidRDefault="00166B85" w14:paraId="5EBF2DC2" w14:textId="79396B55">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2</w:t>
            </w:r>
            <w:r w:rsidR="00703F2B">
              <w:rPr>
                <w:rFonts w:ascii="Calibri" w:hAnsi="Calibri" w:cs="Calibri"/>
                <w:b/>
                <w:bCs/>
                <w:color w:val="000000"/>
                <w:sz w:val="16"/>
                <w:szCs w:val="16"/>
              </w:rPr>
              <w:t>79</w:t>
            </w:r>
          </w:p>
        </w:tc>
        <w:tc>
          <w:tcPr>
            <w:tcW w:w="1263" w:type="dxa"/>
            <w:tcBorders>
              <w:top w:val="single" w:color="auto" w:sz="8" w:space="0"/>
              <w:left w:val="nil"/>
              <w:bottom w:val="single" w:color="auto" w:sz="8" w:space="0"/>
              <w:right w:val="single" w:color="auto" w:sz="4" w:space="0"/>
            </w:tcBorders>
            <w:shd w:val="clear" w:color="auto" w:fill="000000" w:themeFill="text1"/>
            <w:vAlign w:val="center"/>
            <w:hideMark/>
          </w:tcPr>
          <w:p w:rsidRPr="00185785" w:rsidR="00343E7E" w:rsidP="00343E7E" w:rsidRDefault="00343E7E" w14:paraId="674B483D" w14:textId="77777777">
            <w:pPr>
              <w:widowControl/>
              <w:autoSpaceDE/>
              <w:autoSpaceDN/>
              <w:adjustRightInd/>
              <w:jc w:val="right"/>
              <w:rPr>
                <w:rFonts w:ascii="Calibri" w:hAnsi="Calibri" w:cs="Calibri"/>
                <w:b/>
                <w:bCs/>
                <w:color w:val="000000"/>
                <w:sz w:val="16"/>
                <w:szCs w:val="16"/>
              </w:rPr>
            </w:pPr>
            <w:r w:rsidRPr="00185785">
              <w:rPr>
                <w:rFonts w:ascii="Calibri" w:hAnsi="Calibri" w:cs="Calibri"/>
                <w:b/>
                <w:bCs/>
                <w:color w:val="000000"/>
                <w:sz w:val="16"/>
                <w:szCs w:val="16"/>
              </w:rPr>
              <w:t> </w:t>
            </w:r>
          </w:p>
        </w:tc>
        <w:tc>
          <w:tcPr>
            <w:tcW w:w="1347" w:type="dxa"/>
            <w:tcBorders>
              <w:top w:val="single" w:color="auto" w:sz="8" w:space="0"/>
              <w:left w:val="nil"/>
              <w:bottom w:val="single" w:color="auto" w:sz="8" w:space="0"/>
              <w:right w:val="single" w:color="auto" w:sz="8" w:space="0"/>
            </w:tcBorders>
            <w:shd w:val="clear" w:color="auto" w:fill="BDD6EE" w:themeFill="accent1" w:themeFillTint="66"/>
            <w:vAlign w:val="center"/>
            <w:hideMark/>
          </w:tcPr>
          <w:p w:rsidRPr="00185785" w:rsidR="00343E7E" w:rsidP="00E405EC" w:rsidRDefault="00253ABC" w14:paraId="4E1F380E" w14:textId="51969280">
            <w:pPr>
              <w:widowControl/>
              <w:autoSpaceDE/>
              <w:autoSpaceDN/>
              <w:adjustRightInd/>
              <w:jc w:val="right"/>
              <w:rPr>
                <w:rFonts w:ascii="Calibri" w:hAnsi="Calibri" w:cs="Calibri"/>
                <w:b/>
                <w:bCs/>
                <w:color w:val="000000"/>
                <w:sz w:val="16"/>
                <w:szCs w:val="16"/>
              </w:rPr>
            </w:pPr>
            <w:r>
              <w:rPr>
                <w:rFonts w:ascii="Calibri" w:hAnsi="Calibri" w:cs="Calibri"/>
                <w:b/>
                <w:bCs/>
                <w:color w:val="000000"/>
                <w:sz w:val="16"/>
                <w:szCs w:val="16"/>
              </w:rPr>
              <w:t>$14,</w:t>
            </w:r>
            <w:r w:rsidR="00E405EC">
              <w:rPr>
                <w:rFonts w:ascii="Calibri" w:hAnsi="Calibri" w:cs="Calibri"/>
                <w:b/>
                <w:bCs/>
                <w:color w:val="000000"/>
                <w:sz w:val="16"/>
                <w:szCs w:val="16"/>
              </w:rPr>
              <w:t>194</w:t>
            </w:r>
          </w:p>
        </w:tc>
      </w:tr>
    </w:tbl>
    <w:p w:rsidR="008A0D1D" w:rsidP="00D14580" w:rsidRDefault="008A0D1D" w14:paraId="55A11286" w14:textId="77777777">
      <w:pPr>
        <w:tabs>
          <w:tab w:val="left" w:pos="540"/>
        </w:tabs>
        <w:rPr>
          <w:sz w:val="24"/>
          <w:szCs w:val="24"/>
        </w:rPr>
      </w:pPr>
    </w:p>
    <w:p w:rsidR="009E44FF" w:rsidRDefault="009E44FF" w14:paraId="15863117" w14:textId="78091E94">
      <w:pPr>
        <w:widowControl/>
        <w:autoSpaceDE/>
        <w:autoSpaceDN/>
        <w:adjustRightInd/>
        <w:rPr>
          <w:b/>
          <w:bCs/>
          <w:sz w:val="24"/>
          <w:szCs w:val="24"/>
        </w:rPr>
      </w:pPr>
    </w:p>
    <w:p w:rsidR="004F26E9" w:rsidP="00283F01" w:rsidRDefault="00493868" w14:paraId="6D7714A0" w14:textId="2CBDBA4D">
      <w:pPr>
        <w:pStyle w:val="ListParagraph"/>
        <w:tabs>
          <w:tab w:val="left" w:pos="360"/>
        </w:tabs>
        <w:adjustRightInd/>
        <w:spacing w:before="80"/>
        <w:ind w:left="0"/>
        <w:contextualSpacing w:val="0"/>
        <w:rPr>
          <w:sz w:val="24"/>
          <w:szCs w:val="24"/>
        </w:rPr>
      </w:pPr>
      <w:r>
        <w:rPr>
          <w:b/>
          <w:bCs/>
          <w:sz w:val="24"/>
          <w:szCs w:val="24"/>
        </w:rPr>
        <w:t>14.</w:t>
      </w:r>
      <w:r>
        <w:rPr>
          <w:b/>
          <w:bCs/>
          <w:sz w:val="24"/>
          <w:szCs w:val="24"/>
        </w:rPr>
        <w:tab/>
      </w:r>
      <w:r w:rsidRPr="00BD7237" w:rsidR="00283F01">
        <w:rPr>
          <w:b/>
          <w:sz w:val="24"/>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w:t>
      </w:r>
    </w:p>
    <w:p w:rsidR="0034719E" w:rsidP="0034719E" w:rsidRDefault="0034719E" w14:paraId="0276BA31" w14:textId="77777777">
      <w:pPr>
        <w:tabs>
          <w:tab w:val="left" w:pos="360"/>
        </w:tabs>
        <w:spacing w:before="80"/>
        <w:rPr>
          <w:sz w:val="24"/>
          <w:szCs w:val="24"/>
        </w:rPr>
      </w:pPr>
    </w:p>
    <w:p w:rsidRPr="0034719E" w:rsidR="0034719E" w:rsidP="0034719E" w:rsidRDefault="0034719E" w14:paraId="05A0D812" w14:textId="31AA9AF5">
      <w:pPr>
        <w:tabs>
          <w:tab w:val="left" w:pos="360"/>
        </w:tabs>
        <w:spacing w:before="80"/>
        <w:rPr>
          <w:sz w:val="24"/>
          <w:szCs w:val="24"/>
        </w:rPr>
      </w:pPr>
      <w:r w:rsidRPr="0034719E">
        <w:rPr>
          <w:sz w:val="24"/>
          <w:szCs w:val="24"/>
        </w:rPr>
        <w:t>The estimated annual cost to the Federal government to administer this collection of information is based on the FY20 PPS Standard Pay Tables and the percentage of time taken b</w:t>
      </w:r>
      <w:r w:rsidR="00270F48">
        <w:rPr>
          <w:sz w:val="24"/>
          <w:szCs w:val="24"/>
        </w:rPr>
        <w:t xml:space="preserve">y the relevant </w:t>
      </w:r>
      <w:r w:rsidR="00270F48">
        <w:rPr>
          <w:sz w:val="24"/>
          <w:szCs w:val="24"/>
        </w:rPr>
        <w:lastRenderedPageBreak/>
        <w:t>staff to</w:t>
      </w:r>
      <w:r w:rsidRPr="0034719E">
        <w:rPr>
          <w:sz w:val="24"/>
          <w:szCs w:val="24"/>
        </w:rPr>
        <w:t xml:space="preserve"> process applications and any appeals. </w:t>
      </w:r>
    </w:p>
    <w:p w:rsidR="004F26E9" w:rsidP="00493868" w:rsidRDefault="004F26E9" w14:paraId="0C5F1F76" w14:textId="77777777">
      <w:pPr>
        <w:tabs>
          <w:tab w:val="left" w:pos="540"/>
        </w:tabs>
        <w:ind w:left="540"/>
        <w:rPr>
          <w:sz w:val="24"/>
          <w:szCs w:val="24"/>
        </w:rPr>
      </w:pPr>
    </w:p>
    <w:tbl>
      <w:tblPr>
        <w:tblW w:w="9980" w:type="dxa"/>
        <w:tblLook w:val="04A0" w:firstRow="1" w:lastRow="0" w:firstColumn="1" w:lastColumn="0" w:noHBand="0" w:noVBand="1"/>
      </w:tblPr>
      <w:tblGrid>
        <w:gridCol w:w="1970"/>
        <w:gridCol w:w="1620"/>
        <w:gridCol w:w="1530"/>
        <w:gridCol w:w="1080"/>
        <w:gridCol w:w="1800"/>
        <w:gridCol w:w="1980"/>
      </w:tblGrid>
      <w:tr w:rsidRPr="00F37052" w:rsidR="000D49BA" w:rsidTr="000D49BA" w14:paraId="0DD6AA49" w14:textId="77777777">
        <w:trPr>
          <w:trHeight w:val="450"/>
        </w:trPr>
        <w:tc>
          <w:tcPr>
            <w:tcW w:w="1970" w:type="dxa"/>
            <w:tcBorders>
              <w:top w:val="single" w:color="auto" w:sz="8" w:space="0"/>
              <w:left w:val="single" w:color="auto" w:sz="8" w:space="0"/>
              <w:bottom w:val="nil"/>
              <w:right w:val="single" w:color="auto" w:sz="8" w:space="0"/>
            </w:tcBorders>
            <w:shd w:val="clear" w:color="auto" w:fill="5B9BD5" w:themeFill="accent1"/>
            <w:vAlign w:val="center"/>
            <w:hideMark/>
          </w:tcPr>
          <w:p w:rsidRPr="00F37052" w:rsidR="00F37052" w:rsidP="00F37052" w:rsidRDefault="00F37052" w14:paraId="3846A38C"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Cost Descriptions</w:t>
            </w:r>
          </w:p>
        </w:tc>
        <w:tc>
          <w:tcPr>
            <w:tcW w:w="162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08FCF5C0"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Grade/Step</w:t>
            </w:r>
          </w:p>
        </w:tc>
        <w:tc>
          <w:tcPr>
            <w:tcW w:w="153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6B6C6997"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Loaded Salary /Cost</w:t>
            </w:r>
          </w:p>
        </w:tc>
        <w:tc>
          <w:tcPr>
            <w:tcW w:w="10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391BB174"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 of Effort</w:t>
            </w:r>
          </w:p>
        </w:tc>
        <w:tc>
          <w:tcPr>
            <w:tcW w:w="180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767382AF"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Fringe (if Applicable)</w:t>
            </w:r>
          </w:p>
        </w:tc>
        <w:tc>
          <w:tcPr>
            <w:tcW w:w="1980" w:type="dxa"/>
            <w:tcBorders>
              <w:top w:val="single" w:color="auto" w:sz="8" w:space="0"/>
              <w:left w:val="nil"/>
              <w:bottom w:val="nil"/>
              <w:right w:val="single" w:color="auto" w:sz="8" w:space="0"/>
            </w:tcBorders>
            <w:shd w:val="clear" w:color="auto" w:fill="5B9BD5" w:themeFill="accent1"/>
            <w:vAlign w:val="center"/>
            <w:hideMark/>
          </w:tcPr>
          <w:p w:rsidRPr="00F37052" w:rsidR="00F37052" w:rsidP="00F37052" w:rsidRDefault="00F37052" w14:paraId="486961B8" w14:textId="77777777">
            <w:pPr>
              <w:widowControl/>
              <w:autoSpaceDE/>
              <w:autoSpaceDN/>
              <w:adjustRightInd/>
              <w:jc w:val="center"/>
              <w:rPr>
                <w:rFonts w:ascii="Calibri" w:hAnsi="Calibri" w:cs="Calibri"/>
                <w:b/>
                <w:bCs/>
                <w:color w:val="000000"/>
                <w:sz w:val="16"/>
                <w:szCs w:val="16"/>
              </w:rPr>
            </w:pPr>
            <w:r w:rsidRPr="00F37052">
              <w:rPr>
                <w:rFonts w:ascii="Calibri" w:hAnsi="Calibri" w:cs="Calibri"/>
                <w:b/>
                <w:bCs/>
                <w:color w:val="000000"/>
                <w:sz w:val="16"/>
                <w:szCs w:val="16"/>
              </w:rPr>
              <w:t>Total Cost to Government</w:t>
            </w:r>
          </w:p>
        </w:tc>
      </w:tr>
      <w:tr w:rsidRPr="00F37052" w:rsidR="00F37052" w:rsidTr="00F0783F" w14:paraId="788A3862" w14:textId="77777777">
        <w:trPr>
          <w:trHeight w:val="300"/>
        </w:trPr>
        <w:tc>
          <w:tcPr>
            <w:tcW w:w="1970" w:type="dxa"/>
            <w:tcBorders>
              <w:top w:val="single" w:color="auto" w:sz="4" w:space="0"/>
              <w:left w:val="single" w:color="auto" w:sz="8" w:space="0"/>
              <w:bottom w:val="single" w:color="auto" w:sz="4" w:space="0"/>
              <w:right w:val="single" w:color="auto" w:sz="8" w:space="0"/>
            </w:tcBorders>
            <w:shd w:val="clear" w:color="auto" w:fill="auto"/>
            <w:vAlign w:val="center"/>
            <w:hideMark/>
          </w:tcPr>
          <w:p w:rsidRPr="00F37052" w:rsidR="00F37052" w:rsidP="00F37052" w:rsidRDefault="00F37052" w14:paraId="7F4F6F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Federal Oversight</w:t>
            </w:r>
          </w:p>
        </w:tc>
        <w:tc>
          <w:tcPr>
            <w:tcW w:w="1620" w:type="dxa"/>
            <w:tcBorders>
              <w:top w:val="single" w:color="auto" w:sz="4" w:space="0"/>
              <w:left w:val="nil"/>
              <w:bottom w:val="single" w:color="auto" w:sz="4" w:space="0"/>
              <w:right w:val="single" w:color="auto" w:sz="4" w:space="0"/>
            </w:tcBorders>
            <w:shd w:val="clear" w:color="auto" w:fill="auto"/>
            <w:noWrap/>
            <w:vAlign w:val="center"/>
          </w:tcPr>
          <w:p w:rsidRPr="00F37052" w:rsidR="00F37052" w:rsidP="00F37052" w:rsidRDefault="00F37052" w14:paraId="256A4967" w14:textId="1B290457">
            <w:pPr>
              <w:widowControl/>
              <w:autoSpaceDE/>
              <w:autoSpaceDN/>
              <w:adjustRightInd/>
              <w:jc w:val="right"/>
              <w:rPr>
                <w:rFonts w:ascii="Calibri" w:hAnsi="Calibri" w:cs="Calibri"/>
                <w:color w:val="000000"/>
                <w:sz w:val="16"/>
                <w:szCs w:val="16"/>
              </w:rPr>
            </w:pPr>
          </w:p>
        </w:tc>
        <w:tc>
          <w:tcPr>
            <w:tcW w:w="1530" w:type="dxa"/>
            <w:tcBorders>
              <w:top w:val="single" w:color="auto" w:sz="4" w:space="0"/>
              <w:left w:val="nil"/>
              <w:bottom w:val="single" w:color="auto" w:sz="4" w:space="0"/>
              <w:right w:val="single" w:color="auto" w:sz="4" w:space="0"/>
            </w:tcBorders>
            <w:shd w:val="clear" w:color="auto" w:fill="auto"/>
            <w:noWrap/>
            <w:vAlign w:val="center"/>
          </w:tcPr>
          <w:p w:rsidRPr="00F37052" w:rsidR="00F37052" w:rsidP="00F37052" w:rsidRDefault="00F37052" w14:paraId="798EC5B6" w14:textId="4EA4965B">
            <w:pPr>
              <w:widowControl/>
              <w:autoSpaceDE/>
              <w:autoSpaceDN/>
              <w:adjustRightInd/>
              <w:jc w:val="right"/>
              <w:rPr>
                <w:rFonts w:ascii="Calibri" w:hAnsi="Calibri" w:cs="Calibri"/>
                <w:color w:val="000000"/>
                <w:sz w:val="16"/>
                <w:szCs w:val="16"/>
              </w:rPr>
            </w:pPr>
          </w:p>
        </w:tc>
        <w:tc>
          <w:tcPr>
            <w:tcW w:w="1080" w:type="dxa"/>
            <w:tcBorders>
              <w:top w:val="single" w:color="auto" w:sz="4" w:space="0"/>
              <w:left w:val="nil"/>
              <w:bottom w:val="single" w:color="auto" w:sz="4" w:space="0"/>
              <w:right w:val="single" w:color="auto" w:sz="4" w:space="0"/>
            </w:tcBorders>
            <w:shd w:val="clear" w:color="auto" w:fill="auto"/>
            <w:noWrap/>
            <w:vAlign w:val="center"/>
          </w:tcPr>
          <w:p w:rsidRPr="00F37052" w:rsidR="00F37052" w:rsidP="00F37052" w:rsidRDefault="00F37052" w14:paraId="7543DA63" w14:textId="7E4F98C4">
            <w:pPr>
              <w:widowControl/>
              <w:autoSpaceDE/>
              <w:autoSpaceDN/>
              <w:adjustRightInd/>
              <w:jc w:val="right"/>
              <w:rPr>
                <w:rFonts w:ascii="Calibri" w:hAnsi="Calibri" w:cs="Calibri"/>
                <w:color w:val="000000"/>
                <w:sz w:val="16"/>
                <w:szCs w:val="16"/>
              </w:rPr>
            </w:pPr>
          </w:p>
        </w:tc>
        <w:tc>
          <w:tcPr>
            <w:tcW w:w="1800" w:type="dxa"/>
            <w:tcBorders>
              <w:top w:val="single" w:color="auto" w:sz="4" w:space="0"/>
              <w:left w:val="nil"/>
              <w:bottom w:val="single" w:color="auto" w:sz="4" w:space="0"/>
              <w:right w:val="single" w:color="auto" w:sz="4" w:space="0"/>
            </w:tcBorders>
            <w:shd w:val="clear" w:color="000000" w:fill="808080"/>
            <w:noWrap/>
            <w:vAlign w:val="center"/>
            <w:hideMark/>
          </w:tcPr>
          <w:p w:rsidRPr="00F37052" w:rsidR="00F37052" w:rsidP="00F37052" w:rsidRDefault="00F37052" w14:paraId="471E112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single" w:color="auto" w:sz="4" w:space="0"/>
              <w:left w:val="nil"/>
              <w:bottom w:val="single" w:color="auto" w:sz="4" w:space="0"/>
              <w:right w:val="single" w:color="auto" w:sz="8" w:space="0"/>
            </w:tcBorders>
            <w:shd w:val="clear" w:color="auto" w:fill="auto"/>
            <w:noWrap/>
            <w:vAlign w:val="center"/>
            <w:hideMark/>
          </w:tcPr>
          <w:p w:rsidRPr="00F37052" w:rsidR="00F37052" w:rsidP="00F37052" w:rsidRDefault="00F37052" w14:paraId="67851BD9" w14:textId="423E9B6C">
            <w:pPr>
              <w:widowControl/>
              <w:autoSpaceDE/>
              <w:autoSpaceDN/>
              <w:adjustRightInd/>
              <w:jc w:val="right"/>
              <w:rPr>
                <w:rFonts w:ascii="Calibri" w:hAnsi="Calibri" w:cs="Calibri"/>
                <w:color w:val="000000"/>
                <w:sz w:val="16"/>
                <w:szCs w:val="16"/>
              </w:rPr>
            </w:pPr>
          </w:p>
        </w:tc>
      </w:tr>
      <w:tr w:rsidRPr="00F37052" w:rsidR="00AE05B9" w:rsidTr="00F0783F" w14:paraId="798B9B2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69A1FEA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Other Positions</w:t>
            </w: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center"/>
          </w:tcPr>
          <w:p w:rsidRPr="00F37052" w:rsidR="00AE05B9" w:rsidP="00AE05B9" w:rsidRDefault="00AE05B9" w14:paraId="06B38B5D" w14:textId="252FD09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ZA03-02</w:t>
            </w: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tcPr>
          <w:p w:rsidRPr="00F37052" w:rsidR="00AE05B9" w:rsidP="00AE05B9" w:rsidRDefault="00AE05B9" w14:paraId="30F62CD4" w14:textId="3661BCD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$88,519</w:t>
            </w: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center"/>
          </w:tcPr>
          <w:p w:rsidRPr="00F37052" w:rsidR="00AE05B9" w:rsidP="00AE05B9" w:rsidRDefault="00AE05B9" w14:paraId="6F2283C6" w14:textId="5E9686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1A263D1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tcPr>
          <w:p w:rsidRPr="00F37052" w:rsidR="00AE05B9" w:rsidP="00AE05B9" w:rsidRDefault="00AE05B9" w14:paraId="48016BA6" w14:textId="433E25C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$22,130</w:t>
            </w:r>
            <w:r w:rsidRPr="00F37052">
              <w:rPr>
                <w:rFonts w:ascii="Calibri" w:hAnsi="Calibri" w:cs="Calibri"/>
                <w:color w:val="000000"/>
                <w:sz w:val="16"/>
                <w:szCs w:val="16"/>
              </w:rPr>
              <w:t> </w:t>
            </w:r>
          </w:p>
        </w:tc>
      </w:tr>
      <w:tr w:rsidRPr="00F37052" w:rsidR="00AE05B9" w:rsidTr="00F0783F" w14:paraId="2320CFEC"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7BCC8E9E"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r>
              <w:rPr>
                <w:rFonts w:ascii="Calibri" w:hAnsi="Calibri" w:cs="Calibri"/>
                <w:color w:val="000000"/>
                <w:sz w:val="16"/>
                <w:szCs w:val="16"/>
              </w:rPr>
              <w:t>Supervisor</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7188470B" w14:textId="7D089BA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ZP04-03</w:t>
            </w: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141A76BF" w14:textId="718D80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$138,906</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564A39B4" w14:textId="20EDD7D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789490B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767FE27D" w14:textId="3FF28D1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$4,167</w:t>
            </w:r>
            <w:r w:rsidRPr="00F37052">
              <w:rPr>
                <w:rFonts w:ascii="Calibri" w:hAnsi="Calibri" w:cs="Calibri"/>
                <w:color w:val="000000"/>
                <w:sz w:val="16"/>
                <w:szCs w:val="16"/>
              </w:rPr>
              <w:t> </w:t>
            </w:r>
          </w:p>
        </w:tc>
      </w:tr>
      <w:tr w:rsidRPr="00F37052" w:rsidR="00AE05B9" w:rsidTr="00F0783F" w14:paraId="037A904A"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3CD5439C"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5C8F9E52"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0CB9AA2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49C13F0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159BFDD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1C65ABB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AE05B9" w:rsidTr="00F0783F" w14:paraId="4C343280" w14:textId="77777777">
        <w:trPr>
          <w:trHeight w:val="300"/>
        </w:trPr>
        <w:tc>
          <w:tcPr>
            <w:tcW w:w="1970" w:type="dxa"/>
            <w:tcBorders>
              <w:top w:val="nil"/>
              <w:left w:val="single" w:color="auto" w:sz="8" w:space="0"/>
              <w:bottom w:val="single" w:color="auto" w:sz="4" w:space="0"/>
              <w:right w:val="single" w:color="auto" w:sz="8" w:space="0"/>
            </w:tcBorders>
            <w:shd w:val="clear" w:color="auto" w:fill="auto"/>
            <w:vAlign w:val="center"/>
            <w:hideMark/>
          </w:tcPr>
          <w:p w:rsidRPr="00F37052" w:rsidR="00AE05B9" w:rsidP="00AE05B9" w:rsidRDefault="00AE05B9" w14:paraId="0FFE0874"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Contractor Cost</w:t>
            </w:r>
          </w:p>
        </w:tc>
        <w:tc>
          <w:tcPr>
            <w:tcW w:w="162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1F970C01"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00B44F3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2050BEF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54B9C69E"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76058109"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AE05B9" w:rsidTr="00F0783F" w14:paraId="4072AFB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098238A3"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63C37A6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5D3C0C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63CB805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110713B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578C67B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AE05B9" w:rsidTr="00F0783F" w14:paraId="15A1B982"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0ACBE516"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4B203C2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2EB0A91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4A53BA09"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auto" w:fill="auto"/>
            <w:noWrap/>
            <w:vAlign w:val="center"/>
            <w:hideMark/>
          </w:tcPr>
          <w:p w:rsidRPr="00F37052" w:rsidR="00AE05B9" w:rsidP="00AE05B9" w:rsidRDefault="00AE05B9" w14:paraId="0914CD9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7E1F663A"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AE05B9" w:rsidTr="00F0783F" w14:paraId="2F7C8366"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78565C35"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Travel</w:t>
            </w:r>
          </w:p>
        </w:tc>
        <w:tc>
          <w:tcPr>
            <w:tcW w:w="162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241C4EF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6D0F5C48"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01543996"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1731D3AF"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6D92B026"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r w:rsidRPr="00F37052">
              <w:rPr>
                <w:rFonts w:ascii="Calibri" w:hAnsi="Calibri" w:cs="Calibri"/>
                <w:color w:val="000000"/>
                <w:sz w:val="16"/>
                <w:szCs w:val="16"/>
              </w:rPr>
              <w:t> </w:t>
            </w:r>
          </w:p>
        </w:tc>
      </w:tr>
      <w:tr w:rsidRPr="00F37052" w:rsidR="00AE05B9" w:rsidTr="00F0783F" w14:paraId="3A43C6B7" w14:textId="77777777">
        <w:trPr>
          <w:trHeight w:val="300"/>
        </w:trPr>
        <w:tc>
          <w:tcPr>
            <w:tcW w:w="1970" w:type="dxa"/>
            <w:tcBorders>
              <w:top w:val="nil"/>
              <w:left w:val="single" w:color="auto" w:sz="8" w:space="0"/>
              <w:bottom w:val="single" w:color="auto" w:sz="4" w:space="0"/>
              <w:right w:val="single" w:color="auto" w:sz="8" w:space="0"/>
            </w:tcBorders>
            <w:shd w:val="clear" w:color="auto" w:fill="auto"/>
            <w:noWrap/>
            <w:vAlign w:val="center"/>
            <w:hideMark/>
          </w:tcPr>
          <w:p w:rsidRPr="00F37052" w:rsidR="00AE05B9" w:rsidP="00AE05B9" w:rsidRDefault="00AE05B9" w14:paraId="56C9BD57"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Other Costs</w:t>
            </w:r>
          </w:p>
        </w:tc>
        <w:tc>
          <w:tcPr>
            <w:tcW w:w="162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147191EB"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63F799A5"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2CCE2E67"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single" w:color="auto" w:sz="4" w:space="0"/>
              <w:right w:val="single" w:color="auto" w:sz="4" w:space="0"/>
            </w:tcBorders>
            <w:shd w:val="clear" w:color="000000" w:fill="808080"/>
            <w:noWrap/>
            <w:vAlign w:val="center"/>
            <w:hideMark/>
          </w:tcPr>
          <w:p w:rsidRPr="00F37052" w:rsidR="00AE05B9" w:rsidP="00AE05B9" w:rsidRDefault="00AE05B9" w14:paraId="7CD6E8A0"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single" w:color="auto" w:sz="4" w:space="0"/>
              <w:right w:val="single" w:color="auto" w:sz="8" w:space="0"/>
            </w:tcBorders>
            <w:shd w:val="clear" w:color="auto" w:fill="auto"/>
            <w:noWrap/>
            <w:vAlign w:val="center"/>
            <w:hideMark/>
          </w:tcPr>
          <w:p w:rsidRPr="00F37052" w:rsidR="00AE05B9" w:rsidP="00AE05B9" w:rsidRDefault="00AE05B9" w14:paraId="5BA73FB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$300</w:t>
            </w:r>
            <w:r w:rsidRPr="00F37052">
              <w:rPr>
                <w:rFonts w:ascii="Calibri" w:hAnsi="Calibri" w:cs="Calibri"/>
                <w:color w:val="000000"/>
                <w:sz w:val="16"/>
                <w:szCs w:val="16"/>
              </w:rPr>
              <w:t> </w:t>
            </w:r>
          </w:p>
        </w:tc>
      </w:tr>
      <w:tr w:rsidRPr="00F37052" w:rsidR="00AE05B9" w:rsidTr="00F0783F" w14:paraId="18B2F055" w14:textId="77777777">
        <w:trPr>
          <w:trHeight w:val="315"/>
        </w:trPr>
        <w:tc>
          <w:tcPr>
            <w:tcW w:w="1970" w:type="dxa"/>
            <w:tcBorders>
              <w:top w:val="nil"/>
              <w:left w:val="single" w:color="auto" w:sz="8" w:space="0"/>
              <w:bottom w:val="nil"/>
              <w:right w:val="single" w:color="auto" w:sz="8" w:space="0"/>
            </w:tcBorders>
            <w:shd w:val="clear" w:color="auto" w:fill="auto"/>
            <w:noWrap/>
            <w:vAlign w:val="center"/>
            <w:hideMark/>
          </w:tcPr>
          <w:p w:rsidRPr="00F37052" w:rsidR="00AE05B9" w:rsidP="00AE05B9" w:rsidRDefault="00AE05B9" w14:paraId="552B2AA7" w14:textId="77777777">
            <w:pPr>
              <w:widowControl/>
              <w:autoSpaceDE/>
              <w:autoSpaceDN/>
              <w:adjustRightInd/>
              <w:rPr>
                <w:rFonts w:ascii="Calibri" w:hAnsi="Calibri" w:cs="Calibri"/>
                <w:color w:val="000000"/>
                <w:sz w:val="16"/>
                <w:szCs w:val="16"/>
              </w:rPr>
            </w:pPr>
            <w:r w:rsidRPr="00F37052">
              <w:rPr>
                <w:rFonts w:ascii="Calibri" w:hAnsi="Calibri" w:cs="Calibri"/>
                <w:color w:val="000000"/>
                <w:sz w:val="16"/>
                <w:szCs w:val="16"/>
              </w:rPr>
              <w:t> </w:t>
            </w:r>
          </w:p>
        </w:tc>
        <w:tc>
          <w:tcPr>
            <w:tcW w:w="1620" w:type="dxa"/>
            <w:tcBorders>
              <w:top w:val="nil"/>
              <w:left w:val="nil"/>
              <w:bottom w:val="nil"/>
              <w:right w:val="single" w:color="auto" w:sz="4" w:space="0"/>
            </w:tcBorders>
            <w:shd w:val="clear" w:color="000000" w:fill="808080"/>
            <w:noWrap/>
            <w:vAlign w:val="center"/>
            <w:hideMark/>
          </w:tcPr>
          <w:p w:rsidRPr="00F37052" w:rsidR="00AE05B9" w:rsidP="00AE05B9" w:rsidRDefault="00AE05B9" w14:paraId="74103024"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530" w:type="dxa"/>
            <w:tcBorders>
              <w:top w:val="nil"/>
              <w:left w:val="nil"/>
              <w:bottom w:val="nil"/>
              <w:right w:val="single" w:color="auto" w:sz="4" w:space="0"/>
            </w:tcBorders>
            <w:shd w:val="clear" w:color="000000" w:fill="808080"/>
            <w:noWrap/>
            <w:vAlign w:val="center"/>
            <w:hideMark/>
          </w:tcPr>
          <w:p w:rsidRPr="00F37052" w:rsidR="00AE05B9" w:rsidP="00AE05B9" w:rsidRDefault="00AE05B9" w14:paraId="2C13CF5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080" w:type="dxa"/>
            <w:tcBorders>
              <w:top w:val="nil"/>
              <w:left w:val="nil"/>
              <w:bottom w:val="nil"/>
              <w:right w:val="single" w:color="auto" w:sz="4" w:space="0"/>
            </w:tcBorders>
            <w:shd w:val="clear" w:color="000000" w:fill="808080"/>
            <w:noWrap/>
            <w:vAlign w:val="center"/>
            <w:hideMark/>
          </w:tcPr>
          <w:p w:rsidRPr="00F37052" w:rsidR="00AE05B9" w:rsidP="00AE05B9" w:rsidRDefault="00AE05B9" w14:paraId="0F06E7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800" w:type="dxa"/>
            <w:tcBorders>
              <w:top w:val="nil"/>
              <w:left w:val="nil"/>
              <w:bottom w:val="nil"/>
              <w:right w:val="single" w:color="auto" w:sz="4" w:space="0"/>
            </w:tcBorders>
            <w:shd w:val="clear" w:color="000000" w:fill="808080"/>
            <w:noWrap/>
            <w:vAlign w:val="center"/>
            <w:hideMark/>
          </w:tcPr>
          <w:p w:rsidRPr="00F37052" w:rsidR="00AE05B9" w:rsidP="00AE05B9" w:rsidRDefault="00AE05B9" w14:paraId="16DA7D0C"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c>
          <w:tcPr>
            <w:tcW w:w="1980" w:type="dxa"/>
            <w:tcBorders>
              <w:top w:val="nil"/>
              <w:left w:val="nil"/>
              <w:bottom w:val="nil"/>
              <w:right w:val="single" w:color="auto" w:sz="8" w:space="0"/>
            </w:tcBorders>
            <w:shd w:val="clear" w:color="auto" w:fill="auto"/>
            <w:noWrap/>
            <w:vAlign w:val="center"/>
            <w:hideMark/>
          </w:tcPr>
          <w:p w:rsidRPr="00F37052" w:rsidR="00AE05B9" w:rsidP="00AE05B9" w:rsidRDefault="00AE05B9" w14:paraId="56FBE5FD" w14:textId="77777777">
            <w:pPr>
              <w:widowControl/>
              <w:autoSpaceDE/>
              <w:autoSpaceDN/>
              <w:adjustRightInd/>
              <w:jc w:val="right"/>
              <w:rPr>
                <w:rFonts w:ascii="Calibri" w:hAnsi="Calibri" w:cs="Calibri"/>
                <w:color w:val="000000"/>
                <w:sz w:val="16"/>
                <w:szCs w:val="16"/>
              </w:rPr>
            </w:pPr>
            <w:r w:rsidRPr="00F37052">
              <w:rPr>
                <w:rFonts w:ascii="Calibri" w:hAnsi="Calibri" w:cs="Calibri"/>
                <w:color w:val="000000"/>
                <w:sz w:val="16"/>
                <w:szCs w:val="16"/>
              </w:rPr>
              <w:t> </w:t>
            </w:r>
          </w:p>
        </w:tc>
      </w:tr>
      <w:tr w:rsidRPr="00F37052" w:rsidR="00AE05B9" w:rsidTr="00F0783F" w14:paraId="6D88A6B1" w14:textId="77777777">
        <w:trPr>
          <w:trHeight w:val="315"/>
        </w:trPr>
        <w:tc>
          <w:tcPr>
            <w:tcW w:w="1970" w:type="dxa"/>
            <w:tcBorders>
              <w:top w:val="single" w:color="auto" w:sz="8" w:space="0"/>
              <w:left w:val="single" w:color="auto" w:sz="8" w:space="0"/>
              <w:bottom w:val="single" w:color="auto" w:sz="8" w:space="0"/>
              <w:right w:val="single" w:color="auto" w:sz="8" w:space="0"/>
            </w:tcBorders>
            <w:shd w:val="clear" w:color="auto" w:fill="BDD6EE" w:themeFill="accent1" w:themeFillTint="66"/>
            <w:noWrap/>
            <w:vAlign w:val="center"/>
            <w:hideMark/>
          </w:tcPr>
          <w:p w:rsidRPr="00F37052" w:rsidR="00AE05B9" w:rsidP="00AE05B9" w:rsidRDefault="00AE05B9" w14:paraId="23BAA30E" w14:textId="77777777">
            <w:pPr>
              <w:widowControl/>
              <w:autoSpaceDE/>
              <w:autoSpaceDN/>
              <w:adjustRightInd/>
              <w:rPr>
                <w:rFonts w:ascii="Calibri" w:hAnsi="Calibri" w:cs="Calibri"/>
                <w:b/>
                <w:bCs/>
                <w:color w:val="000000"/>
                <w:sz w:val="16"/>
                <w:szCs w:val="16"/>
              </w:rPr>
            </w:pPr>
            <w:r w:rsidRPr="00F37052">
              <w:rPr>
                <w:rFonts w:ascii="Calibri" w:hAnsi="Calibri" w:cs="Calibri"/>
                <w:b/>
                <w:bCs/>
                <w:color w:val="000000"/>
                <w:sz w:val="16"/>
                <w:szCs w:val="16"/>
              </w:rPr>
              <w:t>TOTAL</w:t>
            </w:r>
          </w:p>
        </w:tc>
        <w:tc>
          <w:tcPr>
            <w:tcW w:w="1620" w:type="dxa"/>
            <w:tcBorders>
              <w:top w:val="single" w:color="auto" w:sz="8" w:space="0"/>
              <w:left w:val="nil"/>
              <w:bottom w:val="single" w:color="auto" w:sz="8" w:space="0"/>
              <w:right w:val="single" w:color="auto" w:sz="8" w:space="0"/>
            </w:tcBorders>
            <w:shd w:val="clear" w:color="000000" w:fill="808080"/>
            <w:noWrap/>
            <w:vAlign w:val="center"/>
            <w:hideMark/>
          </w:tcPr>
          <w:p w:rsidRPr="00F37052" w:rsidR="00AE05B9" w:rsidP="00AE05B9" w:rsidRDefault="00AE05B9" w14:paraId="4A0E1013"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53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AE05B9" w:rsidP="00AE05B9" w:rsidRDefault="00AE05B9" w14:paraId="188B8764"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$227,425</w:t>
            </w:r>
            <w:r w:rsidRPr="00F37052">
              <w:rPr>
                <w:rFonts w:ascii="Calibri" w:hAnsi="Calibri" w:cs="Calibri"/>
                <w:b/>
                <w:color w:val="000000"/>
                <w:sz w:val="16"/>
                <w:szCs w:val="16"/>
              </w:rPr>
              <w:t> </w:t>
            </w:r>
          </w:p>
        </w:tc>
        <w:tc>
          <w:tcPr>
            <w:tcW w:w="1080" w:type="dxa"/>
            <w:tcBorders>
              <w:top w:val="single" w:color="auto" w:sz="8" w:space="0"/>
              <w:left w:val="nil"/>
              <w:bottom w:val="single" w:color="auto" w:sz="8" w:space="0"/>
              <w:right w:val="single" w:color="auto" w:sz="8" w:space="0"/>
            </w:tcBorders>
            <w:shd w:val="clear" w:color="000000" w:fill="757171"/>
            <w:noWrap/>
            <w:vAlign w:val="center"/>
            <w:hideMark/>
          </w:tcPr>
          <w:p w:rsidRPr="00F37052" w:rsidR="00AE05B9" w:rsidP="00AE05B9" w:rsidRDefault="00AE05B9" w14:paraId="3BD5BCAD"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80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AE05B9" w:rsidP="00AE05B9" w:rsidRDefault="00AE05B9" w14:paraId="11B41F47" w14:textId="77777777">
            <w:pPr>
              <w:widowControl/>
              <w:autoSpaceDE/>
              <w:autoSpaceDN/>
              <w:adjustRightInd/>
              <w:jc w:val="right"/>
              <w:rPr>
                <w:rFonts w:ascii="Calibri" w:hAnsi="Calibri" w:cs="Calibri"/>
                <w:b/>
                <w:color w:val="000000"/>
                <w:sz w:val="16"/>
                <w:szCs w:val="16"/>
              </w:rPr>
            </w:pPr>
            <w:r w:rsidRPr="00F37052">
              <w:rPr>
                <w:rFonts w:ascii="Calibri" w:hAnsi="Calibri" w:cs="Calibri"/>
                <w:b/>
                <w:color w:val="000000"/>
                <w:sz w:val="16"/>
                <w:szCs w:val="16"/>
              </w:rPr>
              <w:t> </w:t>
            </w:r>
          </w:p>
        </w:tc>
        <w:tc>
          <w:tcPr>
            <w:tcW w:w="1980" w:type="dxa"/>
            <w:tcBorders>
              <w:top w:val="single" w:color="auto" w:sz="8" w:space="0"/>
              <w:left w:val="nil"/>
              <w:bottom w:val="single" w:color="auto" w:sz="8" w:space="0"/>
              <w:right w:val="single" w:color="auto" w:sz="8" w:space="0"/>
            </w:tcBorders>
            <w:shd w:val="clear" w:color="auto" w:fill="BDD6EE" w:themeFill="accent1" w:themeFillTint="66"/>
            <w:noWrap/>
            <w:vAlign w:val="center"/>
            <w:hideMark/>
          </w:tcPr>
          <w:p w:rsidRPr="00F37052" w:rsidR="00AE05B9" w:rsidP="00AE05B9" w:rsidRDefault="00AE05B9" w14:paraId="4620A5E2" w14:textId="77777777">
            <w:pPr>
              <w:widowControl/>
              <w:autoSpaceDE/>
              <w:autoSpaceDN/>
              <w:adjustRightInd/>
              <w:jc w:val="right"/>
              <w:rPr>
                <w:rFonts w:ascii="Calibri" w:hAnsi="Calibri" w:cs="Calibri"/>
                <w:b/>
                <w:color w:val="000000"/>
                <w:sz w:val="16"/>
                <w:szCs w:val="16"/>
              </w:rPr>
            </w:pPr>
            <w:r>
              <w:rPr>
                <w:rFonts w:ascii="Calibri" w:hAnsi="Calibri" w:cs="Calibri"/>
                <w:b/>
                <w:color w:val="000000"/>
                <w:sz w:val="16"/>
                <w:szCs w:val="16"/>
              </w:rPr>
              <w:t>$26,597</w:t>
            </w:r>
            <w:r w:rsidRPr="00F37052">
              <w:rPr>
                <w:rFonts w:ascii="Calibri" w:hAnsi="Calibri" w:cs="Calibri"/>
                <w:b/>
                <w:color w:val="000000"/>
                <w:sz w:val="16"/>
                <w:szCs w:val="16"/>
              </w:rPr>
              <w:t> </w:t>
            </w:r>
          </w:p>
        </w:tc>
      </w:tr>
    </w:tbl>
    <w:p w:rsidR="00D82B80" w:rsidRDefault="00D82B80" w14:paraId="2BA2B8F8" w14:textId="6BEAA833">
      <w:pPr>
        <w:widowControl/>
        <w:autoSpaceDE/>
        <w:autoSpaceDN/>
        <w:adjustRightInd/>
        <w:rPr>
          <w:b/>
          <w:bCs/>
          <w:sz w:val="24"/>
          <w:szCs w:val="24"/>
        </w:rPr>
      </w:pPr>
    </w:p>
    <w:p w:rsidRPr="00283F01" w:rsidR="004F26E9" w:rsidP="00283F01" w:rsidRDefault="00493868" w14:paraId="0F69B661" w14:textId="49D280C4">
      <w:pPr>
        <w:pStyle w:val="ListParagraph"/>
        <w:tabs>
          <w:tab w:val="left" w:pos="360"/>
        </w:tabs>
        <w:adjustRightInd/>
        <w:spacing w:before="80"/>
        <w:ind w:left="0"/>
        <w:contextualSpacing w:val="0"/>
        <w:rPr>
          <w:b/>
          <w:sz w:val="24"/>
          <w:szCs w:val="24"/>
        </w:rPr>
      </w:pPr>
      <w:r>
        <w:rPr>
          <w:b/>
          <w:bCs/>
          <w:sz w:val="24"/>
          <w:szCs w:val="24"/>
        </w:rPr>
        <w:t>15.</w:t>
      </w:r>
      <w:r>
        <w:rPr>
          <w:b/>
          <w:bCs/>
          <w:sz w:val="24"/>
          <w:szCs w:val="24"/>
        </w:rPr>
        <w:tab/>
      </w:r>
      <w:r w:rsidRPr="00BD7237" w:rsidR="00283F01">
        <w:rPr>
          <w:b/>
          <w:sz w:val="24"/>
          <w:szCs w:val="24"/>
        </w:rPr>
        <w:t>Explain the reasons for any program changes or adjustments reported in ROCIS.</w:t>
      </w:r>
    </w:p>
    <w:p w:rsidR="00A110F0" w:rsidP="00732713" w:rsidRDefault="00A110F0" w14:paraId="65866A39" w14:textId="77777777">
      <w:pPr>
        <w:rPr>
          <w:sz w:val="24"/>
          <w:szCs w:val="24"/>
        </w:rPr>
      </w:pPr>
    </w:p>
    <w:p w:rsidRPr="00732713" w:rsidR="00732713" w:rsidP="00732713" w:rsidRDefault="00732713" w14:paraId="70A5F561" w14:textId="3767711F">
      <w:pPr>
        <w:rPr>
          <w:sz w:val="24"/>
          <w:szCs w:val="24"/>
        </w:rPr>
      </w:pPr>
      <w:r w:rsidRPr="00732713">
        <w:rPr>
          <w:sz w:val="24"/>
          <w:szCs w:val="24"/>
        </w:rPr>
        <w:t xml:space="preserve">The following tables show the changes in the number of respondents, responses, time estimates, labor costs, and miscellaneous costs; and explain the reasons for these changes. </w:t>
      </w:r>
    </w:p>
    <w:p w:rsidR="004F26E9" w:rsidP="00493868" w:rsidRDefault="004F26E9" w14:paraId="29C380ED" w14:textId="77777777">
      <w:pPr>
        <w:tabs>
          <w:tab w:val="left" w:pos="540"/>
        </w:tabs>
        <w:ind w:left="540"/>
        <w:rPr>
          <w:sz w:val="24"/>
          <w:szCs w:val="24"/>
        </w:rPr>
      </w:pPr>
    </w:p>
    <w:tbl>
      <w:tblPr>
        <w:tblW w:w="11160" w:type="dxa"/>
        <w:tblInd w:w="-9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071"/>
        <w:gridCol w:w="1062"/>
        <w:gridCol w:w="1003"/>
        <w:gridCol w:w="1129"/>
        <w:gridCol w:w="1129"/>
        <w:gridCol w:w="1130"/>
        <w:gridCol w:w="2158"/>
      </w:tblGrid>
      <w:tr w:rsidRPr="00A110F0" w:rsidR="00732713" w:rsidTr="005F6CB1" w14:paraId="09D109AB" w14:textId="77777777">
        <w:tc>
          <w:tcPr>
            <w:tcW w:w="2478" w:type="dxa"/>
            <w:vMerge w:val="restart"/>
            <w:shd w:val="clear" w:color="auto" w:fill="5B9BD5" w:themeFill="accent1"/>
            <w:vAlign w:val="center"/>
          </w:tcPr>
          <w:p w:rsidRPr="00A110F0" w:rsidR="00732713" w:rsidP="00FD3D2A" w:rsidRDefault="00A110F0" w14:paraId="4C35D326"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133" w:type="dxa"/>
            <w:gridSpan w:val="2"/>
            <w:tcBorders>
              <w:bottom w:val="single" w:color="auto" w:sz="4" w:space="0"/>
            </w:tcBorders>
            <w:shd w:val="clear" w:color="auto" w:fill="5B9BD5" w:themeFill="accent1"/>
            <w:vAlign w:val="center"/>
          </w:tcPr>
          <w:p w:rsidRPr="00A110F0" w:rsidR="00732713" w:rsidP="00FD3D2A" w:rsidRDefault="00732713" w14:paraId="47F2247B"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Respondents</w:t>
            </w:r>
          </w:p>
        </w:tc>
        <w:tc>
          <w:tcPr>
            <w:tcW w:w="2132" w:type="dxa"/>
            <w:gridSpan w:val="2"/>
            <w:tcBorders>
              <w:bottom w:val="single" w:color="auto" w:sz="4" w:space="0"/>
            </w:tcBorders>
            <w:shd w:val="clear" w:color="auto" w:fill="5B9BD5" w:themeFill="accent1"/>
            <w:vAlign w:val="center"/>
          </w:tcPr>
          <w:p w:rsidRPr="00A110F0" w:rsidR="00732713" w:rsidP="00FD3D2A" w:rsidRDefault="00732713" w14:paraId="2F6E6E0F"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Responses</w:t>
            </w:r>
          </w:p>
        </w:tc>
        <w:tc>
          <w:tcPr>
            <w:tcW w:w="2259" w:type="dxa"/>
            <w:gridSpan w:val="2"/>
            <w:tcBorders>
              <w:bottom w:val="single" w:color="auto" w:sz="4" w:space="0"/>
            </w:tcBorders>
            <w:shd w:val="clear" w:color="auto" w:fill="5B9BD5" w:themeFill="accent1"/>
            <w:vAlign w:val="center"/>
          </w:tcPr>
          <w:p w:rsidRPr="00A110F0" w:rsidR="00732713" w:rsidP="00FD3D2A" w:rsidRDefault="00732713" w14:paraId="3A80F417"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Burden Hours</w:t>
            </w:r>
          </w:p>
        </w:tc>
        <w:tc>
          <w:tcPr>
            <w:tcW w:w="2158" w:type="dxa"/>
            <w:vMerge w:val="restart"/>
            <w:shd w:val="clear" w:color="auto" w:fill="5B9BD5" w:themeFill="accent1"/>
            <w:vAlign w:val="center"/>
          </w:tcPr>
          <w:p w:rsidRPr="00A110F0" w:rsidR="00732713" w:rsidP="00FD3D2A" w:rsidRDefault="00732713" w14:paraId="0020EA8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732713" w:rsidTr="005F6CB1" w14:paraId="64260B10" w14:textId="77777777">
        <w:tc>
          <w:tcPr>
            <w:tcW w:w="2478" w:type="dxa"/>
            <w:vMerge/>
            <w:shd w:val="clear" w:color="auto" w:fill="5B9BD5" w:themeFill="accent1"/>
            <w:vAlign w:val="center"/>
          </w:tcPr>
          <w:p w:rsidRPr="00A110F0" w:rsidR="00732713" w:rsidP="00FD3D2A" w:rsidRDefault="00732713" w14:paraId="336C9E72" w14:textId="77777777">
            <w:pPr>
              <w:keepNext/>
              <w:rPr>
                <w:rFonts w:eastAsia="Calibri" w:asciiTheme="minorHAnsi" w:hAnsiTheme="minorHAnsi"/>
                <w:sz w:val="16"/>
                <w:szCs w:val="16"/>
              </w:rPr>
            </w:pPr>
          </w:p>
        </w:tc>
        <w:tc>
          <w:tcPr>
            <w:tcW w:w="1071" w:type="dxa"/>
            <w:tcBorders>
              <w:bottom w:val="single" w:color="auto" w:sz="4" w:space="0"/>
              <w:right w:val="dashed" w:color="auto" w:sz="4" w:space="0"/>
            </w:tcBorders>
            <w:shd w:val="clear" w:color="auto" w:fill="FBE4D5"/>
            <w:vAlign w:val="center"/>
          </w:tcPr>
          <w:p w:rsidRPr="00A110F0" w:rsidR="00732713" w:rsidP="00FD3D2A" w:rsidRDefault="00732713" w14:paraId="69073B8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062" w:type="dxa"/>
            <w:tcBorders>
              <w:left w:val="dashed" w:color="auto" w:sz="4" w:space="0"/>
              <w:bottom w:val="single" w:color="auto" w:sz="4" w:space="0"/>
            </w:tcBorders>
            <w:shd w:val="clear" w:color="auto" w:fill="FBE4D5"/>
            <w:vAlign w:val="center"/>
          </w:tcPr>
          <w:p w:rsidRPr="00A110F0" w:rsidR="00732713" w:rsidP="00FD3D2A" w:rsidRDefault="00732713" w14:paraId="558420AB"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003" w:type="dxa"/>
            <w:tcBorders>
              <w:right w:val="dashed" w:color="auto" w:sz="4" w:space="0"/>
            </w:tcBorders>
            <w:shd w:val="clear" w:color="auto" w:fill="FBE4D5"/>
            <w:vAlign w:val="center"/>
          </w:tcPr>
          <w:p w:rsidRPr="00A110F0" w:rsidR="00732713" w:rsidP="00A110F0" w:rsidRDefault="00732713" w14:paraId="48E6281F"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w:t>
            </w:r>
            <w:r w:rsidRPr="00A110F0" w:rsidR="00A110F0">
              <w:rPr>
                <w:rFonts w:eastAsia="Calibri" w:asciiTheme="minorHAnsi" w:hAnsiTheme="minorHAnsi"/>
                <w:sz w:val="16"/>
                <w:szCs w:val="16"/>
              </w:rPr>
              <w:t>t Renewal / Revision</w:t>
            </w:r>
          </w:p>
        </w:tc>
        <w:tc>
          <w:tcPr>
            <w:tcW w:w="1129" w:type="dxa"/>
            <w:tcBorders>
              <w:left w:val="dashed" w:color="auto" w:sz="4" w:space="0"/>
            </w:tcBorders>
            <w:shd w:val="clear" w:color="auto" w:fill="FBE4D5"/>
            <w:vAlign w:val="center"/>
          </w:tcPr>
          <w:p w:rsidRPr="00A110F0" w:rsidR="00732713" w:rsidP="00FD3D2A" w:rsidRDefault="00732713" w14:paraId="409E0B99"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1129" w:type="dxa"/>
            <w:tcBorders>
              <w:bottom w:val="single" w:color="auto" w:sz="4" w:space="0"/>
              <w:right w:val="dashed" w:color="auto" w:sz="4" w:space="0"/>
            </w:tcBorders>
            <w:shd w:val="clear" w:color="auto" w:fill="FBE4D5"/>
            <w:vAlign w:val="center"/>
          </w:tcPr>
          <w:p w:rsidRPr="00A110F0" w:rsidR="00732713" w:rsidP="00FD3D2A" w:rsidRDefault="00732713" w14:paraId="0A2FBA5C"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r w:rsidRPr="00A110F0" w:rsidR="00A110F0">
              <w:rPr>
                <w:rFonts w:eastAsia="Calibri" w:asciiTheme="minorHAnsi" w:hAnsiTheme="minorHAnsi"/>
                <w:sz w:val="16"/>
                <w:szCs w:val="16"/>
              </w:rPr>
              <w:t xml:space="preserve"> Renewal / Revision</w:t>
            </w:r>
          </w:p>
        </w:tc>
        <w:tc>
          <w:tcPr>
            <w:tcW w:w="1130" w:type="dxa"/>
            <w:tcBorders>
              <w:left w:val="dashed" w:color="auto" w:sz="4" w:space="0"/>
            </w:tcBorders>
            <w:shd w:val="clear" w:color="auto" w:fill="FBE4D5"/>
            <w:vAlign w:val="center"/>
          </w:tcPr>
          <w:p w:rsidRPr="00A110F0" w:rsidR="00732713" w:rsidP="00FD3D2A" w:rsidRDefault="00732713" w14:paraId="640D23BA"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r w:rsidRPr="00A110F0" w:rsidR="00A110F0">
              <w:rPr>
                <w:rFonts w:eastAsia="Calibri" w:asciiTheme="minorHAnsi" w:hAnsiTheme="minorHAnsi"/>
                <w:sz w:val="16"/>
                <w:szCs w:val="16"/>
              </w:rPr>
              <w:t xml:space="preserve"> Renewal / Revision</w:t>
            </w:r>
          </w:p>
        </w:tc>
        <w:tc>
          <w:tcPr>
            <w:tcW w:w="2158" w:type="dxa"/>
            <w:vMerge/>
            <w:shd w:val="clear" w:color="auto" w:fill="FBE4D5"/>
            <w:vAlign w:val="center"/>
          </w:tcPr>
          <w:p w:rsidRPr="00A110F0" w:rsidR="00732713" w:rsidP="00FD3D2A" w:rsidRDefault="00732713" w14:paraId="67207B46" w14:textId="77777777">
            <w:pPr>
              <w:keepNext/>
              <w:rPr>
                <w:rFonts w:eastAsia="Calibri" w:asciiTheme="minorHAnsi" w:hAnsiTheme="minorHAnsi"/>
                <w:sz w:val="16"/>
                <w:szCs w:val="16"/>
              </w:rPr>
            </w:pPr>
          </w:p>
        </w:tc>
      </w:tr>
      <w:tr w:rsidRPr="00A110F0" w:rsidR="000D1B36" w:rsidTr="00A127E1" w14:paraId="0999077F" w14:textId="77777777">
        <w:tc>
          <w:tcPr>
            <w:tcW w:w="2478" w:type="dxa"/>
            <w:shd w:val="clear" w:color="auto" w:fill="auto"/>
            <w:vAlign w:val="center"/>
          </w:tcPr>
          <w:p w:rsidRPr="00CA2B37" w:rsidR="000D1B36" w:rsidP="00A127E1" w:rsidRDefault="000D1B36" w14:paraId="1FB5AFF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182C98A9" w14:textId="7A097C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01E93D87" w14:textId="460DCD05">
            <w:pPr>
              <w:keepNext/>
              <w:jc w:val="right"/>
              <w:rPr>
                <w:rFonts w:eastAsia="Calibri" w:asciiTheme="minorHAnsi" w:hAnsiTheme="minorHAnsi"/>
                <w:sz w:val="16"/>
                <w:szCs w:val="16"/>
              </w:rPr>
            </w:pPr>
            <w:r>
              <w:rPr>
                <w:rFonts w:ascii="Calibri" w:hAnsi="Calibri" w:cs="Calibri"/>
                <w:color w:val="000000"/>
                <w:sz w:val="16"/>
                <w:szCs w:val="16"/>
              </w:rPr>
              <w:t>10</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6BEA0502" w14:textId="27BF8FF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0BCF1AF0" w14:textId="6D0AFEB4">
            <w:pPr>
              <w:keepNext/>
              <w:jc w:val="right"/>
              <w:rPr>
                <w:rFonts w:eastAsia="Calibri" w:asciiTheme="minorHAnsi" w:hAnsiTheme="minorHAnsi"/>
                <w:sz w:val="16"/>
                <w:szCs w:val="16"/>
              </w:rPr>
            </w:pPr>
            <w:r>
              <w:rPr>
                <w:rFonts w:ascii="Calibri" w:hAnsi="Calibri" w:cs="Calibri"/>
                <w:color w:val="000000"/>
                <w:sz w:val="16"/>
                <w:szCs w:val="16"/>
              </w:rPr>
              <w:t>10</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23492150"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478FAF69" w14:textId="6E94ED05">
            <w:pPr>
              <w:keepNext/>
              <w:jc w:val="right"/>
              <w:rPr>
                <w:rFonts w:eastAsia="Calibri" w:asciiTheme="minorHAnsi" w:hAnsiTheme="minorHAnsi"/>
                <w:sz w:val="16"/>
                <w:szCs w:val="16"/>
              </w:rPr>
            </w:pPr>
            <w:r>
              <w:rPr>
                <w:rFonts w:ascii="Calibri" w:hAnsi="Calibri" w:cs="Calibri"/>
                <w:color w:val="000000"/>
                <w:sz w:val="16"/>
                <w:szCs w:val="16"/>
              </w:rPr>
              <w:t>5</w:t>
            </w:r>
            <w:r w:rsidRPr="00CA2B37">
              <w:rPr>
                <w:rFonts w:ascii="Calibri" w:hAnsi="Calibri" w:cs="Calibri"/>
                <w:color w:val="000000"/>
                <w:sz w:val="16"/>
                <w:szCs w:val="16"/>
              </w:rPr>
              <w:t> </w:t>
            </w:r>
          </w:p>
        </w:tc>
        <w:tc>
          <w:tcPr>
            <w:tcW w:w="2158" w:type="dxa"/>
            <w:tcBorders>
              <w:left w:val="dotted" w:color="auto" w:sz="4" w:space="0"/>
            </w:tcBorders>
            <w:shd w:val="clear" w:color="auto" w:fill="auto"/>
            <w:vAlign w:val="center"/>
          </w:tcPr>
          <w:p w:rsidRPr="00A110F0" w:rsidR="000D1B36" w:rsidP="00447A50" w:rsidRDefault="000D1B36" w14:paraId="6E493592" w14:textId="1C64BB4B">
            <w:pPr>
              <w:keepNext/>
              <w:rPr>
                <w:rFonts w:eastAsia="Calibri" w:asciiTheme="minorHAnsi" w:hAnsiTheme="minorHAnsi"/>
                <w:sz w:val="16"/>
                <w:szCs w:val="16"/>
              </w:rPr>
            </w:pPr>
          </w:p>
        </w:tc>
      </w:tr>
      <w:tr w:rsidRPr="00A110F0" w:rsidR="000D1B36" w:rsidTr="009F2B02" w14:paraId="6E9882D2" w14:textId="77777777">
        <w:tc>
          <w:tcPr>
            <w:tcW w:w="2478" w:type="dxa"/>
            <w:shd w:val="clear" w:color="auto" w:fill="auto"/>
            <w:vAlign w:val="bottom"/>
          </w:tcPr>
          <w:p w:rsidRPr="00CA2B37" w:rsidR="000D1B36" w:rsidP="009D2AF1" w:rsidRDefault="000D1B36" w14:paraId="4EC14484"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676E4A53" w14:textId="58F764B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0D265235" w14:textId="19153C08">
            <w:pPr>
              <w:keepNext/>
              <w:jc w:val="right"/>
              <w:rPr>
                <w:rFonts w:eastAsia="Calibri" w:asciiTheme="minorHAnsi" w:hAnsiTheme="minorHAnsi"/>
                <w:sz w:val="16"/>
                <w:szCs w:val="16"/>
              </w:rPr>
            </w:pPr>
            <w:r>
              <w:rPr>
                <w:rFonts w:ascii="Calibri" w:hAnsi="Calibri" w:cs="Calibri"/>
                <w:color w:val="000000"/>
                <w:sz w:val="16"/>
                <w:szCs w:val="16"/>
              </w:rPr>
              <w:t>135</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122C7EFE" w14:textId="7B03AE2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135</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5010918B" w14:textId="2142C486">
            <w:pPr>
              <w:keepNext/>
              <w:jc w:val="right"/>
              <w:rPr>
                <w:rFonts w:eastAsia="Calibri" w:asciiTheme="minorHAnsi" w:hAnsiTheme="minorHAnsi"/>
                <w:sz w:val="16"/>
                <w:szCs w:val="16"/>
              </w:rPr>
            </w:pPr>
            <w:r>
              <w:rPr>
                <w:rFonts w:ascii="Calibri" w:hAnsi="Calibri" w:cs="Calibri"/>
                <w:color w:val="000000"/>
                <w:sz w:val="16"/>
                <w:szCs w:val="16"/>
              </w:rPr>
              <w:t>135</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26AC4EF9" w14:textId="6498C40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34</w:t>
            </w:r>
            <w:r w:rsidRPr="00CA2B37" w:rsidR="000D1B36">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3B5E7941" w14:textId="527E69CB">
            <w:pPr>
              <w:keepNext/>
              <w:jc w:val="right"/>
              <w:rPr>
                <w:rFonts w:eastAsia="Calibri" w:asciiTheme="minorHAnsi" w:hAnsiTheme="minorHAnsi"/>
                <w:sz w:val="16"/>
                <w:szCs w:val="16"/>
              </w:rPr>
            </w:pPr>
            <w:r>
              <w:rPr>
                <w:rFonts w:ascii="Calibri" w:hAnsi="Calibri" w:cs="Calibri"/>
                <w:color w:val="000000"/>
                <w:sz w:val="16"/>
                <w:szCs w:val="16"/>
              </w:rPr>
              <w:t>34</w:t>
            </w:r>
            <w:r w:rsidRPr="00CA2B37" w:rsidR="000D1B36">
              <w:rPr>
                <w:rFonts w:ascii="Calibri" w:hAnsi="Calibri" w:cs="Calibri"/>
                <w:color w:val="000000"/>
                <w:sz w:val="16"/>
                <w:szCs w:val="16"/>
              </w:rPr>
              <w:t> </w:t>
            </w:r>
          </w:p>
        </w:tc>
        <w:tc>
          <w:tcPr>
            <w:tcW w:w="2158" w:type="dxa"/>
            <w:tcBorders>
              <w:left w:val="dotted" w:color="auto" w:sz="4" w:space="0"/>
            </w:tcBorders>
            <w:shd w:val="clear" w:color="auto" w:fill="auto"/>
            <w:vAlign w:val="center"/>
          </w:tcPr>
          <w:p w:rsidRPr="00A110F0" w:rsidR="000D1B36" w:rsidP="009D2AF1" w:rsidRDefault="000D1B36" w14:paraId="325E8170" w14:textId="77777777">
            <w:pPr>
              <w:keepNext/>
              <w:rPr>
                <w:rFonts w:eastAsia="Calibri" w:asciiTheme="minorHAnsi" w:hAnsiTheme="minorHAnsi"/>
                <w:sz w:val="16"/>
                <w:szCs w:val="16"/>
              </w:rPr>
            </w:pPr>
          </w:p>
        </w:tc>
      </w:tr>
      <w:tr w:rsidRPr="00A110F0" w:rsidR="000D1B36" w:rsidTr="009F2B02" w14:paraId="6CBB436B" w14:textId="77777777">
        <w:tc>
          <w:tcPr>
            <w:tcW w:w="2478" w:type="dxa"/>
            <w:shd w:val="clear" w:color="auto" w:fill="auto"/>
            <w:vAlign w:val="bottom"/>
          </w:tcPr>
          <w:p w:rsidRPr="00CA2B37" w:rsidR="000D1B36" w:rsidP="009D2AF1" w:rsidRDefault="000D1B36" w14:paraId="6BDFAA0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7E8A8C35" w14:textId="25DFE24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2431B9FA" w14:textId="24EA8CC1">
            <w:pPr>
              <w:keepNext/>
              <w:jc w:val="right"/>
              <w:rPr>
                <w:rFonts w:eastAsia="Calibri" w:asciiTheme="minorHAnsi" w:hAnsiTheme="minorHAnsi"/>
                <w:sz w:val="16"/>
                <w:szCs w:val="16"/>
              </w:rPr>
            </w:pPr>
            <w:r>
              <w:rPr>
                <w:rFonts w:ascii="Calibri" w:hAnsi="Calibri" w:cs="Calibri"/>
                <w:color w:val="000000"/>
                <w:sz w:val="16"/>
                <w:szCs w:val="16"/>
              </w:rPr>
              <w:t>20</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22B874E1" w14:textId="573C244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1968930A" w14:textId="77A5FDE2">
            <w:pPr>
              <w:keepNext/>
              <w:jc w:val="right"/>
              <w:rPr>
                <w:rFonts w:eastAsia="Calibri" w:asciiTheme="minorHAnsi" w:hAnsiTheme="minorHAnsi"/>
                <w:sz w:val="16"/>
                <w:szCs w:val="16"/>
              </w:rPr>
            </w:pPr>
            <w:r>
              <w:rPr>
                <w:rFonts w:ascii="Calibri" w:hAnsi="Calibri" w:cs="Calibri"/>
                <w:color w:val="000000"/>
                <w:sz w:val="16"/>
                <w:szCs w:val="16"/>
              </w:rPr>
              <w:t>20</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5BDD9C0E"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5FB8B27B" w14:textId="0DFAB70D">
            <w:pPr>
              <w:keepNext/>
              <w:jc w:val="right"/>
              <w:rPr>
                <w:rFonts w:eastAsia="Calibri" w:asciiTheme="minorHAnsi" w:hAnsiTheme="minorHAnsi"/>
                <w:sz w:val="16"/>
                <w:szCs w:val="16"/>
              </w:rPr>
            </w:pPr>
            <w:r>
              <w:rPr>
                <w:rFonts w:ascii="Calibri" w:hAnsi="Calibri" w:cs="Calibri"/>
                <w:color w:val="000000"/>
                <w:sz w:val="16"/>
                <w:szCs w:val="16"/>
              </w:rPr>
              <w:t>20</w:t>
            </w:r>
            <w:r w:rsidRPr="00CA2B37">
              <w:rPr>
                <w:rFonts w:ascii="Calibri" w:hAnsi="Calibri" w:cs="Calibri"/>
                <w:color w:val="000000"/>
                <w:sz w:val="16"/>
                <w:szCs w:val="16"/>
              </w:rPr>
              <w:t> </w:t>
            </w:r>
          </w:p>
        </w:tc>
        <w:tc>
          <w:tcPr>
            <w:tcW w:w="2158" w:type="dxa"/>
            <w:tcBorders>
              <w:left w:val="dotted" w:color="auto" w:sz="4" w:space="0"/>
            </w:tcBorders>
            <w:shd w:val="clear" w:color="auto" w:fill="auto"/>
            <w:vAlign w:val="center"/>
          </w:tcPr>
          <w:p w:rsidRPr="00A110F0" w:rsidR="000D1B36" w:rsidP="009D2AF1" w:rsidRDefault="000D1B36" w14:paraId="4BA3FA04" w14:textId="77777777">
            <w:pPr>
              <w:keepNext/>
              <w:rPr>
                <w:rFonts w:eastAsia="Calibri" w:asciiTheme="minorHAnsi" w:hAnsiTheme="minorHAnsi"/>
                <w:sz w:val="16"/>
                <w:szCs w:val="16"/>
              </w:rPr>
            </w:pPr>
          </w:p>
        </w:tc>
      </w:tr>
      <w:tr w:rsidRPr="00A110F0" w:rsidR="000D1B36" w:rsidTr="009F2B02" w14:paraId="66C56755" w14:textId="77777777">
        <w:tc>
          <w:tcPr>
            <w:tcW w:w="2478" w:type="dxa"/>
            <w:shd w:val="clear" w:color="auto" w:fill="auto"/>
            <w:vAlign w:val="bottom"/>
          </w:tcPr>
          <w:p w:rsidRPr="00CA2B37" w:rsidR="000D1B36" w:rsidP="009D2AF1" w:rsidRDefault="000D1B36" w14:paraId="6716432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5C1AFC91" w14:textId="18F7915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125838DF" w14:textId="4409375E">
            <w:pPr>
              <w:keepNext/>
              <w:jc w:val="right"/>
              <w:rPr>
                <w:rFonts w:eastAsia="Calibri" w:asciiTheme="minorHAnsi" w:hAnsiTheme="minorHAnsi"/>
                <w:sz w:val="16"/>
                <w:szCs w:val="16"/>
              </w:rPr>
            </w:pPr>
            <w:r>
              <w:rPr>
                <w:rFonts w:ascii="Calibri" w:hAnsi="Calibri" w:cs="Calibri"/>
                <w:color w:val="000000"/>
                <w:sz w:val="16"/>
                <w:szCs w:val="16"/>
              </w:rPr>
              <w:t>1</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5D8A6F98" w14:textId="3949384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22E7F6FB" w14:textId="2CA655BF">
            <w:pPr>
              <w:keepNext/>
              <w:jc w:val="right"/>
              <w:rPr>
                <w:rFonts w:eastAsia="Calibri" w:asciiTheme="minorHAnsi" w:hAnsiTheme="minorHAnsi"/>
                <w:sz w:val="16"/>
                <w:szCs w:val="16"/>
              </w:rPr>
            </w:pPr>
            <w:r>
              <w:rPr>
                <w:rFonts w:ascii="Calibri" w:hAnsi="Calibri" w:cs="Calibri"/>
                <w:color w:val="000000"/>
                <w:sz w:val="16"/>
                <w:szCs w:val="16"/>
              </w:rPr>
              <w:t>1</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37FAD014"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2C0D6163" w14:textId="3AAB946C">
            <w:pPr>
              <w:keepNext/>
              <w:jc w:val="right"/>
              <w:rPr>
                <w:rFonts w:eastAsia="Calibri" w:asciiTheme="minorHAnsi" w:hAnsiTheme="minorHAnsi"/>
                <w:sz w:val="16"/>
                <w:szCs w:val="16"/>
              </w:rPr>
            </w:pPr>
            <w:r>
              <w:rPr>
                <w:rFonts w:ascii="Calibri" w:hAnsi="Calibri" w:cs="Calibri"/>
                <w:color w:val="000000"/>
                <w:sz w:val="16"/>
                <w:szCs w:val="16"/>
              </w:rPr>
              <w:t>2</w:t>
            </w:r>
          </w:p>
        </w:tc>
        <w:tc>
          <w:tcPr>
            <w:tcW w:w="2158" w:type="dxa"/>
            <w:tcBorders>
              <w:left w:val="dotted" w:color="auto" w:sz="4" w:space="0"/>
            </w:tcBorders>
            <w:shd w:val="clear" w:color="auto" w:fill="auto"/>
            <w:vAlign w:val="center"/>
          </w:tcPr>
          <w:p w:rsidRPr="00A110F0" w:rsidR="000D1B36" w:rsidP="009D2AF1" w:rsidRDefault="000D1B36" w14:paraId="185DEFCE" w14:textId="77777777">
            <w:pPr>
              <w:keepNext/>
              <w:rPr>
                <w:rFonts w:eastAsia="Calibri" w:asciiTheme="minorHAnsi" w:hAnsiTheme="minorHAnsi"/>
                <w:sz w:val="16"/>
                <w:szCs w:val="16"/>
              </w:rPr>
            </w:pPr>
          </w:p>
        </w:tc>
      </w:tr>
      <w:tr w:rsidRPr="00A110F0" w:rsidR="000D1B36" w:rsidTr="009F2B02" w14:paraId="02932DC8" w14:textId="77777777">
        <w:tc>
          <w:tcPr>
            <w:tcW w:w="2478" w:type="dxa"/>
            <w:shd w:val="clear" w:color="auto" w:fill="auto"/>
            <w:vAlign w:val="bottom"/>
          </w:tcPr>
          <w:p w:rsidRPr="00CA2B37" w:rsidR="000D1B36" w:rsidP="009D2AF1" w:rsidRDefault="000D1B36" w14:paraId="3E1A1C3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0ABA53BD" w14:textId="6C8E584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292B2BA4" w14:textId="351EBFA7">
            <w:pPr>
              <w:keepNext/>
              <w:jc w:val="right"/>
              <w:rPr>
                <w:rFonts w:eastAsia="Calibri" w:asciiTheme="minorHAnsi" w:hAnsiTheme="minorHAnsi"/>
                <w:sz w:val="16"/>
                <w:szCs w:val="16"/>
              </w:rPr>
            </w:pPr>
            <w:r>
              <w:rPr>
                <w:rFonts w:ascii="Calibri" w:hAnsi="Calibri" w:cs="Calibri"/>
                <w:color w:val="000000"/>
                <w:sz w:val="16"/>
                <w:szCs w:val="16"/>
              </w:rPr>
              <w:t>1</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7835EBF8" w14:textId="4900A5E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47AA8E8A" w14:textId="66766040">
            <w:pPr>
              <w:keepNext/>
              <w:jc w:val="right"/>
              <w:rPr>
                <w:rFonts w:eastAsia="Calibri" w:asciiTheme="minorHAnsi" w:hAnsiTheme="minorHAnsi"/>
                <w:sz w:val="16"/>
                <w:szCs w:val="16"/>
              </w:rPr>
            </w:pPr>
            <w:r>
              <w:rPr>
                <w:rFonts w:ascii="Calibri" w:hAnsi="Calibri" w:cs="Calibri"/>
                <w:color w:val="000000"/>
                <w:sz w:val="16"/>
                <w:szCs w:val="16"/>
              </w:rPr>
              <w:t>1</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752B314D" w14:textId="5B374C7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150F49C4" w14:textId="39891558">
            <w:pPr>
              <w:keepNext/>
              <w:jc w:val="right"/>
              <w:rPr>
                <w:rFonts w:eastAsia="Calibri" w:asciiTheme="minorHAnsi" w:hAnsiTheme="minorHAnsi"/>
                <w:sz w:val="16"/>
                <w:szCs w:val="16"/>
              </w:rPr>
            </w:pPr>
            <w:r>
              <w:rPr>
                <w:rFonts w:ascii="Calibri" w:hAnsi="Calibri" w:cs="Calibri"/>
                <w:color w:val="000000"/>
                <w:sz w:val="16"/>
                <w:szCs w:val="16"/>
              </w:rPr>
              <w:t>1</w:t>
            </w:r>
          </w:p>
        </w:tc>
        <w:tc>
          <w:tcPr>
            <w:tcW w:w="2158" w:type="dxa"/>
            <w:tcBorders>
              <w:left w:val="dotted" w:color="auto" w:sz="4" w:space="0"/>
            </w:tcBorders>
            <w:shd w:val="clear" w:color="auto" w:fill="auto"/>
            <w:vAlign w:val="center"/>
          </w:tcPr>
          <w:p w:rsidRPr="00A110F0" w:rsidR="000D1B36" w:rsidP="009D2AF1" w:rsidRDefault="000D1B36" w14:paraId="068DA22C" w14:textId="77777777">
            <w:pPr>
              <w:keepNext/>
              <w:rPr>
                <w:rFonts w:eastAsia="Calibri" w:asciiTheme="minorHAnsi" w:hAnsiTheme="minorHAnsi"/>
                <w:sz w:val="16"/>
                <w:szCs w:val="16"/>
              </w:rPr>
            </w:pPr>
          </w:p>
        </w:tc>
      </w:tr>
      <w:tr w:rsidRPr="00A110F0" w:rsidR="000D1B36" w:rsidTr="009F2B02" w14:paraId="6EF7C77B" w14:textId="77777777">
        <w:tc>
          <w:tcPr>
            <w:tcW w:w="2478" w:type="dxa"/>
            <w:shd w:val="clear" w:color="auto" w:fill="auto"/>
            <w:vAlign w:val="bottom"/>
          </w:tcPr>
          <w:p w:rsidRPr="00CA2B37" w:rsidR="000D1B36" w:rsidP="009D2AF1" w:rsidRDefault="000D1B36" w14:paraId="6350032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0F96FE64" w14:textId="2BDE11D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2EAA046B" w14:textId="7E9A774B">
            <w:pPr>
              <w:keepNext/>
              <w:jc w:val="right"/>
              <w:rPr>
                <w:rFonts w:eastAsia="Calibri" w:asciiTheme="minorHAnsi" w:hAnsiTheme="minorHAnsi"/>
                <w:sz w:val="16"/>
                <w:szCs w:val="16"/>
              </w:rPr>
            </w:pPr>
            <w:r>
              <w:rPr>
                <w:rFonts w:ascii="Calibri" w:hAnsi="Calibri" w:cs="Calibri"/>
                <w:color w:val="000000"/>
                <w:sz w:val="16"/>
                <w:szCs w:val="16"/>
              </w:rPr>
              <w:t>10</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4B78384A" w14:textId="38E96BE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5E144A4B" w14:textId="41F66CB0">
            <w:pPr>
              <w:keepNext/>
              <w:jc w:val="right"/>
              <w:rPr>
                <w:rFonts w:eastAsia="Calibri" w:asciiTheme="minorHAnsi" w:hAnsiTheme="minorHAnsi"/>
                <w:sz w:val="16"/>
                <w:szCs w:val="16"/>
              </w:rPr>
            </w:pPr>
            <w:r>
              <w:rPr>
                <w:rFonts w:ascii="Calibri" w:hAnsi="Calibri" w:cs="Calibri"/>
                <w:color w:val="000000"/>
                <w:sz w:val="16"/>
                <w:szCs w:val="16"/>
              </w:rPr>
              <w:t>10</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4B73102A"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183FEAD6" w14:textId="09E158F5">
            <w:pPr>
              <w:keepNext/>
              <w:jc w:val="right"/>
              <w:rPr>
                <w:rFonts w:eastAsia="Calibri" w:asciiTheme="minorHAnsi" w:hAnsiTheme="minorHAnsi"/>
                <w:sz w:val="16"/>
                <w:szCs w:val="16"/>
              </w:rPr>
            </w:pPr>
            <w:r>
              <w:rPr>
                <w:rFonts w:ascii="Calibri" w:hAnsi="Calibri" w:cs="Calibri"/>
                <w:color w:val="000000"/>
                <w:sz w:val="16"/>
                <w:szCs w:val="16"/>
              </w:rPr>
              <w:t>5</w:t>
            </w:r>
          </w:p>
        </w:tc>
        <w:tc>
          <w:tcPr>
            <w:tcW w:w="2158" w:type="dxa"/>
            <w:tcBorders>
              <w:left w:val="dotted" w:color="auto" w:sz="4" w:space="0"/>
            </w:tcBorders>
            <w:shd w:val="clear" w:color="auto" w:fill="auto"/>
            <w:vAlign w:val="center"/>
          </w:tcPr>
          <w:p w:rsidRPr="00A110F0" w:rsidR="000D1B36" w:rsidP="009D2AF1" w:rsidRDefault="000D1B36" w14:paraId="6720C378" w14:textId="77777777">
            <w:pPr>
              <w:keepNext/>
              <w:rPr>
                <w:rFonts w:eastAsia="Calibri" w:asciiTheme="minorHAnsi" w:hAnsiTheme="minorHAnsi"/>
                <w:sz w:val="16"/>
                <w:szCs w:val="16"/>
              </w:rPr>
            </w:pPr>
          </w:p>
        </w:tc>
      </w:tr>
      <w:tr w:rsidRPr="00A110F0" w:rsidR="000D1B36" w:rsidTr="009F2B02" w14:paraId="41184AF1" w14:textId="77777777">
        <w:tc>
          <w:tcPr>
            <w:tcW w:w="2478" w:type="dxa"/>
            <w:shd w:val="clear" w:color="auto" w:fill="auto"/>
            <w:vAlign w:val="bottom"/>
          </w:tcPr>
          <w:p w:rsidRPr="00CA2B37" w:rsidR="000D1B36" w:rsidP="009D2AF1" w:rsidRDefault="000D1B36" w14:paraId="32ACA15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23B535A2" w14:textId="015FEB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79D74AD6" w14:textId="46B21ECD">
            <w:pPr>
              <w:keepNext/>
              <w:jc w:val="right"/>
              <w:rPr>
                <w:rFonts w:eastAsia="Calibri" w:asciiTheme="minorHAnsi" w:hAnsiTheme="minorHAnsi"/>
                <w:sz w:val="16"/>
                <w:szCs w:val="16"/>
              </w:rPr>
            </w:pPr>
            <w:r>
              <w:rPr>
                <w:rFonts w:ascii="Calibri" w:hAnsi="Calibri" w:cs="Calibri"/>
                <w:color w:val="000000"/>
                <w:sz w:val="16"/>
                <w:szCs w:val="16"/>
              </w:rPr>
              <w:t>3</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535EDC6B" w14:textId="6DDD66B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793AC544" w14:textId="15F4D208">
            <w:pPr>
              <w:keepNext/>
              <w:jc w:val="right"/>
              <w:rPr>
                <w:rFonts w:eastAsia="Calibri" w:asciiTheme="minorHAnsi" w:hAnsiTheme="minorHAnsi"/>
                <w:sz w:val="16"/>
                <w:szCs w:val="16"/>
              </w:rPr>
            </w:pPr>
            <w:r>
              <w:rPr>
                <w:rFonts w:ascii="Calibri" w:hAnsi="Calibri" w:cs="Calibri"/>
                <w:color w:val="000000"/>
                <w:sz w:val="16"/>
                <w:szCs w:val="16"/>
              </w:rPr>
              <w:t>3</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5EAEBE15" w14:textId="23340C2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70BF198C" w14:textId="08E6628C">
            <w:pPr>
              <w:keepNext/>
              <w:jc w:val="right"/>
              <w:rPr>
                <w:rFonts w:eastAsia="Calibri" w:asciiTheme="minorHAnsi" w:hAnsiTheme="minorHAnsi"/>
                <w:sz w:val="16"/>
                <w:szCs w:val="16"/>
              </w:rPr>
            </w:pPr>
            <w:r>
              <w:rPr>
                <w:rFonts w:ascii="Calibri" w:hAnsi="Calibri" w:cs="Calibri"/>
                <w:color w:val="000000"/>
                <w:sz w:val="16"/>
                <w:szCs w:val="16"/>
              </w:rPr>
              <w:t>2</w:t>
            </w:r>
          </w:p>
        </w:tc>
        <w:tc>
          <w:tcPr>
            <w:tcW w:w="2158" w:type="dxa"/>
            <w:tcBorders>
              <w:left w:val="dotted" w:color="auto" w:sz="4" w:space="0"/>
            </w:tcBorders>
            <w:shd w:val="clear" w:color="auto" w:fill="auto"/>
            <w:vAlign w:val="center"/>
          </w:tcPr>
          <w:p w:rsidRPr="00A110F0" w:rsidR="000D1B36" w:rsidP="009D2AF1" w:rsidRDefault="000D1B36" w14:paraId="6E43FB9B" w14:textId="77777777">
            <w:pPr>
              <w:keepNext/>
              <w:rPr>
                <w:rFonts w:eastAsia="Calibri" w:asciiTheme="minorHAnsi" w:hAnsiTheme="minorHAnsi"/>
                <w:sz w:val="16"/>
                <w:szCs w:val="16"/>
              </w:rPr>
            </w:pPr>
          </w:p>
        </w:tc>
      </w:tr>
      <w:tr w:rsidRPr="00A110F0" w:rsidR="000D1B36" w:rsidTr="009F2B02" w14:paraId="0CA6BFC0" w14:textId="77777777">
        <w:tc>
          <w:tcPr>
            <w:tcW w:w="2478" w:type="dxa"/>
            <w:shd w:val="clear" w:color="auto" w:fill="auto"/>
            <w:vAlign w:val="bottom"/>
          </w:tcPr>
          <w:p w:rsidRPr="00CA2B37" w:rsidR="000D1B36" w:rsidP="009D2AF1" w:rsidRDefault="000D1B36" w14:paraId="5BFFCD1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7F6C3835" w14:textId="57E8F11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75B53A51" w14:textId="53342248">
            <w:pPr>
              <w:keepNext/>
              <w:jc w:val="right"/>
              <w:rPr>
                <w:rFonts w:eastAsia="Calibri" w:asciiTheme="minorHAnsi" w:hAnsiTheme="minorHAnsi"/>
                <w:sz w:val="16"/>
                <w:szCs w:val="16"/>
              </w:rPr>
            </w:pPr>
            <w:r>
              <w:rPr>
                <w:rFonts w:ascii="Calibri" w:hAnsi="Calibri" w:cs="Calibri"/>
                <w:color w:val="000000"/>
                <w:sz w:val="16"/>
                <w:szCs w:val="16"/>
              </w:rPr>
              <w:t>1</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448B3960" w14:textId="61BA669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2C24ECC5" w14:textId="28A05C02">
            <w:pPr>
              <w:keepNext/>
              <w:jc w:val="right"/>
              <w:rPr>
                <w:rFonts w:eastAsia="Calibri" w:asciiTheme="minorHAnsi" w:hAnsiTheme="minorHAnsi"/>
                <w:sz w:val="16"/>
                <w:szCs w:val="16"/>
              </w:rPr>
            </w:pPr>
            <w:r>
              <w:rPr>
                <w:rFonts w:ascii="Calibri" w:hAnsi="Calibri" w:cs="Calibri"/>
                <w:color w:val="000000"/>
                <w:sz w:val="16"/>
                <w:szCs w:val="16"/>
              </w:rPr>
              <w:t>1</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1F9C13B1" w14:textId="55DABD7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41AC23C6" w14:textId="4C7035E1">
            <w:pPr>
              <w:keepNext/>
              <w:jc w:val="right"/>
              <w:rPr>
                <w:rFonts w:eastAsia="Calibri" w:asciiTheme="minorHAnsi" w:hAnsiTheme="minorHAnsi"/>
                <w:sz w:val="16"/>
                <w:szCs w:val="16"/>
              </w:rPr>
            </w:pPr>
            <w:r>
              <w:rPr>
                <w:rFonts w:ascii="Calibri" w:hAnsi="Calibri" w:cs="Calibri"/>
                <w:color w:val="000000"/>
                <w:sz w:val="16"/>
                <w:szCs w:val="16"/>
              </w:rPr>
              <w:t>1</w:t>
            </w:r>
          </w:p>
        </w:tc>
        <w:tc>
          <w:tcPr>
            <w:tcW w:w="2158" w:type="dxa"/>
            <w:tcBorders>
              <w:left w:val="dotted" w:color="auto" w:sz="4" w:space="0"/>
            </w:tcBorders>
            <w:shd w:val="clear" w:color="auto" w:fill="auto"/>
            <w:vAlign w:val="center"/>
          </w:tcPr>
          <w:p w:rsidRPr="00A110F0" w:rsidR="000D1B36" w:rsidP="009D2AF1" w:rsidRDefault="000D1B36" w14:paraId="03E53ECC" w14:textId="77777777">
            <w:pPr>
              <w:keepNext/>
              <w:rPr>
                <w:rFonts w:eastAsia="Calibri" w:asciiTheme="minorHAnsi" w:hAnsiTheme="minorHAnsi"/>
                <w:sz w:val="16"/>
                <w:szCs w:val="16"/>
              </w:rPr>
            </w:pPr>
          </w:p>
        </w:tc>
      </w:tr>
      <w:tr w:rsidRPr="00A110F0" w:rsidR="000D1B36" w:rsidTr="009F2B02" w14:paraId="13CF59F6" w14:textId="77777777">
        <w:tc>
          <w:tcPr>
            <w:tcW w:w="2478" w:type="dxa"/>
            <w:shd w:val="clear" w:color="auto" w:fill="auto"/>
            <w:vAlign w:val="bottom"/>
          </w:tcPr>
          <w:p w:rsidRPr="00CA2B37" w:rsidR="000D1B36" w:rsidP="009D2AF1" w:rsidRDefault="000D1B36" w14:paraId="7416DF9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2C8CC8ED" w14:textId="1E764E8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3004E592" w14:textId="234359FA">
            <w:pPr>
              <w:keepNext/>
              <w:jc w:val="right"/>
              <w:rPr>
                <w:rFonts w:eastAsia="Calibri" w:asciiTheme="minorHAnsi" w:hAnsiTheme="minorHAnsi"/>
                <w:sz w:val="16"/>
                <w:szCs w:val="16"/>
              </w:rPr>
            </w:pPr>
            <w:r>
              <w:rPr>
                <w:rFonts w:ascii="Calibri" w:hAnsi="Calibri" w:cs="Calibri"/>
                <w:color w:val="000000"/>
                <w:sz w:val="16"/>
                <w:szCs w:val="16"/>
              </w:rPr>
              <w:t>2</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46E7D1BA" w14:textId="46FEFFF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4665B58B" w14:textId="4FD79C8E">
            <w:pPr>
              <w:keepNext/>
              <w:jc w:val="right"/>
              <w:rPr>
                <w:rFonts w:eastAsia="Calibri" w:asciiTheme="minorHAnsi" w:hAnsiTheme="minorHAnsi"/>
                <w:sz w:val="16"/>
                <w:szCs w:val="16"/>
              </w:rPr>
            </w:pPr>
            <w:r>
              <w:rPr>
                <w:rFonts w:ascii="Calibri" w:hAnsi="Calibri" w:cs="Calibri"/>
                <w:color w:val="000000"/>
                <w:sz w:val="16"/>
                <w:szCs w:val="16"/>
              </w:rPr>
              <w:t>2</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46F281B1"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6066483A" w14:textId="6D77524E">
            <w:pPr>
              <w:keepNext/>
              <w:jc w:val="right"/>
              <w:rPr>
                <w:rFonts w:eastAsia="Calibri" w:asciiTheme="minorHAnsi" w:hAnsiTheme="minorHAnsi"/>
                <w:sz w:val="16"/>
                <w:szCs w:val="16"/>
              </w:rPr>
            </w:pPr>
            <w:r>
              <w:rPr>
                <w:rFonts w:ascii="Calibri" w:hAnsi="Calibri" w:cs="Calibri"/>
                <w:color w:val="000000"/>
                <w:sz w:val="16"/>
                <w:szCs w:val="16"/>
              </w:rPr>
              <w:t>1</w:t>
            </w:r>
          </w:p>
        </w:tc>
        <w:tc>
          <w:tcPr>
            <w:tcW w:w="2158" w:type="dxa"/>
            <w:tcBorders>
              <w:left w:val="dotted" w:color="auto" w:sz="4" w:space="0"/>
            </w:tcBorders>
            <w:shd w:val="clear" w:color="auto" w:fill="auto"/>
            <w:vAlign w:val="center"/>
          </w:tcPr>
          <w:p w:rsidRPr="00A110F0" w:rsidR="000D1B36" w:rsidP="009D2AF1" w:rsidRDefault="000D1B36" w14:paraId="4EEDCC9C" w14:textId="77777777">
            <w:pPr>
              <w:keepNext/>
              <w:rPr>
                <w:rFonts w:eastAsia="Calibri" w:asciiTheme="minorHAnsi" w:hAnsiTheme="minorHAnsi"/>
                <w:sz w:val="16"/>
                <w:szCs w:val="16"/>
              </w:rPr>
            </w:pPr>
          </w:p>
        </w:tc>
      </w:tr>
      <w:tr w:rsidRPr="00A110F0" w:rsidR="000D1B36" w:rsidTr="009F2B02" w14:paraId="2C191883" w14:textId="77777777">
        <w:tc>
          <w:tcPr>
            <w:tcW w:w="2478" w:type="dxa"/>
            <w:shd w:val="clear" w:color="auto" w:fill="auto"/>
            <w:vAlign w:val="bottom"/>
          </w:tcPr>
          <w:p w:rsidRPr="00CA2B37" w:rsidR="000D1B36" w:rsidP="009D2AF1" w:rsidRDefault="000D1B36" w14:paraId="14BAEB5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61E237B3" w14:textId="3BAFA5C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3E7FAD7D" w14:textId="3F346BFF">
            <w:pPr>
              <w:keepNext/>
              <w:jc w:val="right"/>
              <w:rPr>
                <w:rFonts w:eastAsia="Calibri" w:asciiTheme="minorHAnsi" w:hAnsiTheme="minorHAnsi"/>
                <w:sz w:val="16"/>
                <w:szCs w:val="16"/>
              </w:rPr>
            </w:pPr>
            <w:r>
              <w:rPr>
                <w:rFonts w:ascii="Calibri" w:hAnsi="Calibri" w:cs="Calibri"/>
                <w:color w:val="000000"/>
                <w:sz w:val="16"/>
                <w:szCs w:val="16"/>
              </w:rPr>
              <w:t>1</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432F579F" w14:textId="3FAF187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0A4145FB" w14:textId="4AB356B3">
            <w:pPr>
              <w:keepNext/>
              <w:jc w:val="right"/>
              <w:rPr>
                <w:rFonts w:eastAsia="Calibri" w:asciiTheme="minorHAnsi" w:hAnsiTheme="minorHAnsi"/>
                <w:sz w:val="16"/>
                <w:szCs w:val="16"/>
              </w:rPr>
            </w:pPr>
            <w:r>
              <w:rPr>
                <w:rFonts w:ascii="Calibri" w:hAnsi="Calibri" w:cs="Calibri"/>
                <w:color w:val="000000"/>
                <w:sz w:val="16"/>
                <w:szCs w:val="16"/>
              </w:rPr>
              <w:t>1</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05267226" w14:textId="55955D9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2EF5C59E" w14:textId="3E6CEB99">
            <w:pPr>
              <w:keepNext/>
              <w:jc w:val="right"/>
              <w:rPr>
                <w:rFonts w:eastAsia="Calibri" w:asciiTheme="minorHAnsi" w:hAnsiTheme="minorHAnsi"/>
                <w:sz w:val="16"/>
                <w:szCs w:val="16"/>
              </w:rPr>
            </w:pPr>
            <w:r>
              <w:rPr>
                <w:rFonts w:ascii="Calibri" w:hAnsi="Calibri" w:cs="Calibri"/>
                <w:color w:val="000000"/>
                <w:sz w:val="16"/>
                <w:szCs w:val="16"/>
              </w:rPr>
              <w:t>1</w:t>
            </w:r>
          </w:p>
        </w:tc>
        <w:tc>
          <w:tcPr>
            <w:tcW w:w="2158" w:type="dxa"/>
            <w:tcBorders>
              <w:left w:val="dotted" w:color="auto" w:sz="4" w:space="0"/>
            </w:tcBorders>
            <w:shd w:val="clear" w:color="auto" w:fill="auto"/>
            <w:vAlign w:val="center"/>
          </w:tcPr>
          <w:p w:rsidRPr="00A110F0" w:rsidR="000D1B36" w:rsidP="009D2AF1" w:rsidRDefault="000D1B36" w14:paraId="25AAFF83" w14:textId="77777777">
            <w:pPr>
              <w:keepNext/>
              <w:rPr>
                <w:rFonts w:eastAsia="Calibri" w:asciiTheme="minorHAnsi" w:hAnsiTheme="minorHAnsi"/>
                <w:sz w:val="16"/>
                <w:szCs w:val="16"/>
              </w:rPr>
            </w:pPr>
          </w:p>
        </w:tc>
      </w:tr>
      <w:tr w:rsidRPr="00A110F0" w:rsidR="000D1B36" w:rsidTr="009F2B02" w14:paraId="2ED966D5" w14:textId="77777777">
        <w:tc>
          <w:tcPr>
            <w:tcW w:w="2478" w:type="dxa"/>
            <w:shd w:val="clear" w:color="auto" w:fill="auto"/>
            <w:vAlign w:val="bottom"/>
          </w:tcPr>
          <w:p w:rsidRPr="00CA2B37" w:rsidR="000D1B36" w:rsidP="009D2AF1" w:rsidRDefault="000D1B36" w14:paraId="59CE1DD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535BF9E1" w14:textId="5C778C1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0A8E03BC" w14:textId="37F3DB59">
            <w:pPr>
              <w:keepNext/>
              <w:jc w:val="right"/>
              <w:rPr>
                <w:rFonts w:eastAsia="Calibri" w:asciiTheme="minorHAnsi" w:hAnsiTheme="minorHAnsi"/>
                <w:sz w:val="16"/>
                <w:szCs w:val="16"/>
              </w:rPr>
            </w:pPr>
            <w:r>
              <w:rPr>
                <w:rFonts w:ascii="Calibri" w:hAnsi="Calibri" w:cs="Calibri"/>
                <w:color w:val="000000"/>
                <w:sz w:val="16"/>
                <w:szCs w:val="16"/>
              </w:rPr>
              <w:t>30</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0531F25B" w14:textId="3B49CC9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30</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682B433B" w14:textId="13A595BD">
            <w:pPr>
              <w:keepNext/>
              <w:jc w:val="right"/>
              <w:rPr>
                <w:rFonts w:eastAsia="Calibri" w:asciiTheme="minorHAnsi" w:hAnsiTheme="minorHAnsi"/>
                <w:sz w:val="16"/>
                <w:szCs w:val="16"/>
              </w:rPr>
            </w:pPr>
            <w:r>
              <w:rPr>
                <w:rFonts w:ascii="Calibri" w:hAnsi="Calibri" w:cs="Calibri"/>
                <w:color w:val="000000"/>
                <w:sz w:val="16"/>
                <w:szCs w:val="16"/>
              </w:rPr>
              <w:t>30</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5EBF14C9" w14:textId="788CADB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38</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638D4181" w14:textId="01F55189">
            <w:pPr>
              <w:keepNext/>
              <w:jc w:val="right"/>
              <w:rPr>
                <w:rFonts w:eastAsia="Calibri" w:asciiTheme="minorHAnsi" w:hAnsiTheme="minorHAnsi"/>
                <w:sz w:val="16"/>
                <w:szCs w:val="16"/>
              </w:rPr>
            </w:pPr>
            <w:r>
              <w:rPr>
                <w:rFonts w:ascii="Calibri" w:hAnsi="Calibri" w:cs="Calibri"/>
                <w:color w:val="000000"/>
                <w:sz w:val="16"/>
                <w:szCs w:val="16"/>
              </w:rPr>
              <w:t>38</w:t>
            </w:r>
          </w:p>
        </w:tc>
        <w:tc>
          <w:tcPr>
            <w:tcW w:w="2158" w:type="dxa"/>
            <w:tcBorders>
              <w:left w:val="dotted" w:color="auto" w:sz="4" w:space="0"/>
            </w:tcBorders>
            <w:shd w:val="clear" w:color="auto" w:fill="auto"/>
            <w:vAlign w:val="center"/>
          </w:tcPr>
          <w:p w:rsidRPr="00A110F0" w:rsidR="000D1B36" w:rsidP="009D2AF1" w:rsidRDefault="000D1B36" w14:paraId="3D16CD93" w14:textId="77777777">
            <w:pPr>
              <w:keepNext/>
              <w:rPr>
                <w:rFonts w:eastAsia="Calibri" w:asciiTheme="minorHAnsi" w:hAnsiTheme="minorHAnsi"/>
                <w:sz w:val="16"/>
                <w:szCs w:val="16"/>
              </w:rPr>
            </w:pPr>
          </w:p>
        </w:tc>
      </w:tr>
      <w:tr w:rsidRPr="00A110F0" w:rsidR="000D1B36" w:rsidTr="009F2B02" w14:paraId="75C09311" w14:textId="77777777">
        <w:tc>
          <w:tcPr>
            <w:tcW w:w="2478" w:type="dxa"/>
            <w:shd w:val="clear" w:color="auto" w:fill="auto"/>
            <w:vAlign w:val="bottom"/>
          </w:tcPr>
          <w:p w:rsidRPr="00CA2B37" w:rsidR="000D1B36" w:rsidP="00662060" w:rsidRDefault="000D1B36" w14:paraId="654AB87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vessel registration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7E93AB2E" w14:textId="714770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021B10E1" w14:textId="325B727A">
            <w:pPr>
              <w:keepNext/>
              <w:jc w:val="right"/>
              <w:rPr>
                <w:rFonts w:eastAsia="Calibri" w:asciiTheme="minorHAnsi" w:hAnsiTheme="minorHAnsi"/>
                <w:sz w:val="16"/>
                <w:szCs w:val="16"/>
              </w:rPr>
            </w:pPr>
            <w:r>
              <w:rPr>
                <w:rFonts w:ascii="Calibri" w:hAnsi="Calibri" w:cs="Calibri"/>
                <w:color w:val="000000"/>
                <w:sz w:val="16"/>
                <w:szCs w:val="16"/>
              </w:rPr>
              <w:t>5</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6363434E" w14:textId="1939B9E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7219F0AF" w14:textId="65F485FD">
            <w:pPr>
              <w:keepNext/>
              <w:jc w:val="right"/>
              <w:rPr>
                <w:rFonts w:eastAsia="Calibri" w:asciiTheme="minorHAnsi" w:hAnsiTheme="minorHAnsi"/>
                <w:sz w:val="16"/>
                <w:szCs w:val="16"/>
              </w:rPr>
            </w:pPr>
            <w:r>
              <w:rPr>
                <w:rFonts w:ascii="Calibri" w:hAnsi="Calibri" w:cs="Calibri"/>
                <w:color w:val="000000"/>
                <w:sz w:val="16"/>
                <w:szCs w:val="16"/>
              </w:rPr>
              <w:t>5</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68336940" w14:textId="2E7D541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1759A9DF" w14:textId="78021986">
            <w:pPr>
              <w:keepNext/>
              <w:jc w:val="right"/>
              <w:rPr>
                <w:rFonts w:eastAsia="Calibri" w:asciiTheme="minorHAnsi" w:hAnsiTheme="minorHAnsi"/>
                <w:sz w:val="16"/>
                <w:szCs w:val="16"/>
              </w:rPr>
            </w:pPr>
            <w:r>
              <w:rPr>
                <w:rFonts w:ascii="Calibri" w:hAnsi="Calibri" w:cs="Calibri"/>
                <w:color w:val="000000"/>
                <w:sz w:val="16"/>
                <w:szCs w:val="16"/>
              </w:rPr>
              <w:t>4</w:t>
            </w:r>
          </w:p>
        </w:tc>
        <w:tc>
          <w:tcPr>
            <w:tcW w:w="2158" w:type="dxa"/>
            <w:tcBorders>
              <w:left w:val="dotted" w:color="auto" w:sz="4" w:space="0"/>
            </w:tcBorders>
            <w:shd w:val="clear" w:color="auto" w:fill="auto"/>
            <w:vAlign w:val="center"/>
          </w:tcPr>
          <w:p w:rsidRPr="00A110F0" w:rsidR="000D1B36" w:rsidP="00662060" w:rsidRDefault="000D1B36" w14:paraId="65D69FE2" w14:textId="77777777">
            <w:pPr>
              <w:keepNext/>
              <w:rPr>
                <w:rFonts w:eastAsia="Calibri" w:asciiTheme="minorHAnsi" w:hAnsiTheme="minorHAnsi"/>
                <w:sz w:val="16"/>
                <w:szCs w:val="16"/>
              </w:rPr>
            </w:pPr>
          </w:p>
        </w:tc>
      </w:tr>
      <w:tr w:rsidRPr="00A110F0" w:rsidR="000D1B36" w:rsidTr="0079663C" w14:paraId="23531FAF" w14:textId="77777777">
        <w:tc>
          <w:tcPr>
            <w:tcW w:w="2478" w:type="dxa"/>
            <w:shd w:val="clear" w:color="auto" w:fill="auto"/>
            <w:vAlign w:val="center"/>
          </w:tcPr>
          <w:p w:rsidRPr="00CA2B37" w:rsidR="000D1B36" w:rsidP="0079663C" w:rsidRDefault="000D1B36" w14:paraId="77D6D794" w14:textId="2A36C40D">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r w:rsidR="00A127E1">
              <w:rPr>
                <w:rFonts w:ascii="Calibri" w:hAnsi="Calibri" w:cs="Calibri"/>
                <w:color w:val="000000"/>
                <w:sz w:val="16"/>
                <w:szCs w:val="16"/>
              </w:rPr>
              <w:t>s</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081931E5" w14:textId="5CAF216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499BCBAC" w14:textId="2E5F3E56">
            <w:pPr>
              <w:keepNext/>
              <w:jc w:val="right"/>
              <w:rPr>
                <w:rFonts w:eastAsia="Calibri" w:asciiTheme="minorHAnsi" w:hAnsiTheme="minorHAnsi"/>
                <w:sz w:val="16"/>
                <w:szCs w:val="16"/>
              </w:rPr>
            </w:pPr>
            <w:r>
              <w:rPr>
                <w:rFonts w:ascii="Calibri" w:hAnsi="Calibri" w:cs="Calibri"/>
                <w:color w:val="000000"/>
                <w:sz w:val="16"/>
                <w:szCs w:val="16"/>
              </w:rPr>
              <w:t>4</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78E16923" w14:textId="569CD97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7A8B53E1" w14:textId="584EA6A8">
            <w:pPr>
              <w:keepNext/>
              <w:jc w:val="right"/>
              <w:rPr>
                <w:rFonts w:eastAsia="Calibri" w:asciiTheme="minorHAnsi" w:hAnsiTheme="minorHAnsi"/>
                <w:sz w:val="16"/>
                <w:szCs w:val="16"/>
              </w:rPr>
            </w:pPr>
            <w:r>
              <w:rPr>
                <w:rFonts w:ascii="Calibri" w:hAnsi="Calibri" w:cs="Calibri"/>
                <w:color w:val="000000"/>
                <w:sz w:val="16"/>
                <w:szCs w:val="16"/>
              </w:rPr>
              <w:t>4</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4E1DDBCB" w14:textId="7777777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8</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6A85DABA" w14:textId="4CB88FAD">
            <w:pPr>
              <w:keepNext/>
              <w:jc w:val="right"/>
              <w:rPr>
                <w:rFonts w:eastAsia="Calibri" w:asciiTheme="minorHAnsi" w:hAnsiTheme="minorHAnsi"/>
                <w:sz w:val="16"/>
                <w:szCs w:val="16"/>
              </w:rPr>
            </w:pPr>
            <w:r>
              <w:rPr>
                <w:rFonts w:ascii="Calibri" w:hAnsi="Calibri" w:cs="Calibri"/>
                <w:color w:val="000000"/>
                <w:sz w:val="16"/>
                <w:szCs w:val="16"/>
              </w:rPr>
              <w:t>8</w:t>
            </w:r>
          </w:p>
        </w:tc>
        <w:tc>
          <w:tcPr>
            <w:tcW w:w="2158" w:type="dxa"/>
            <w:tcBorders>
              <w:left w:val="dotted" w:color="auto" w:sz="4" w:space="0"/>
            </w:tcBorders>
            <w:shd w:val="clear" w:color="auto" w:fill="auto"/>
            <w:vAlign w:val="center"/>
          </w:tcPr>
          <w:p w:rsidRPr="00A110F0" w:rsidR="000D1B36" w:rsidP="00662060" w:rsidRDefault="00A127E1" w14:paraId="2C250590" w14:textId="51A442A7">
            <w:pPr>
              <w:keepNext/>
              <w:rPr>
                <w:rFonts w:eastAsia="Calibri" w:asciiTheme="minorHAnsi" w:hAnsiTheme="minorHAnsi"/>
                <w:sz w:val="16"/>
                <w:szCs w:val="16"/>
              </w:rPr>
            </w:pPr>
            <w:r>
              <w:rPr>
                <w:rFonts w:eastAsia="Calibri" w:asciiTheme="minorHAnsi" w:hAnsiTheme="minorHAnsi"/>
                <w:sz w:val="16"/>
                <w:szCs w:val="16"/>
              </w:rPr>
              <w:t xml:space="preserve">All Permit Appeals (including those from 0648-0463 and 0648-0577) are being </w:t>
            </w:r>
            <w:r>
              <w:rPr>
                <w:rFonts w:eastAsia="Calibri" w:asciiTheme="minorHAnsi" w:hAnsiTheme="minorHAnsi"/>
                <w:sz w:val="16"/>
                <w:szCs w:val="16"/>
              </w:rPr>
              <w:lastRenderedPageBreak/>
              <w:t>combined into a single IC since the process/procedure is the same for all appeals.</w:t>
            </w:r>
          </w:p>
        </w:tc>
      </w:tr>
      <w:tr w:rsidRPr="00A110F0" w:rsidR="000D1B36" w:rsidTr="000D1B36" w14:paraId="4994DB0C" w14:textId="77777777">
        <w:tc>
          <w:tcPr>
            <w:tcW w:w="2478" w:type="dxa"/>
            <w:shd w:val="clear" w:color="auto" w:fill="auto"/>
            <w:vAlign w:val="center"/>
          </w:tcPr>
          <w:p w:rsidRPr="00CA2B37" w:rsidR="000D1B36" w:rsidP="000D1B36" w:rsidRDefault="000D1B36" w14:paraId="46F3432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lastRenderedPageBreak/>
              <w:t>Northern Marianas Bottomfish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7D64336A" w14:textId="558575D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08155A34" w14:textId="3FAC5DD2">
            <w:pPr>
              <w:keepNext/>
              <w:jc w:val="right"/>
              <w:rPr>
                <w:rFonts w:eastAsia="Calibri" w:asciiTheme="minorHAnsi" w:hAnsiTheme="minorHAnsi"/>
                <w:sz w:val="16"/>
                <w:szCs w:val="16"/>
              </w:rPr>
            </w:pPr>
            <w:r>
              <w:rPr>
                <w:rFonts w:ascii="Calibri" w:hAnsi="Calibri" w:cs="Calibri"/>
                <w:color w:val="000000"/>
                <w:sz w:val="16"/>
                <w:szCs w:val="16"/>
              </w:rPr>
              <w:t>15</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3632378F" w14:textId="0DEFB44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3F8A4B68" w14:textId="5E2235D2">
            <w:pPr>
              <w:keepNext/>
              <w:jc w:val="right"/>
              <w:rPr>
                <w:rFonts w:eastAsia="Calibri" w:asciiTheme="minorHAnsi" w:hAnsiTheme="minorHAnsi"/>
                <w:sz w:val="16"/>
                <w:szCs w:val="16"/>
              </w:rPr>
            </w:pPr>
            <w:r>
              <w:rPr>
                <w:rFonts w:ascii="Calibri" w:hAnsi="Calibri" w:cs="Calibri"/>
                <w:color w:val="000000"/>
                <w:sz w:val="16"/>
                <w:szCs w:val="16"/>
              </w:rPr>
              <w:t>15</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377BA22F" w14:textId="6A3F46A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1D09B0E7" w14:textId="68618F03">
            <w:pPr>
              <w:keepNext/>
              <w:jc w:val="right"/>
              <w:rPr>
                <w:rFonts w:eastAsia="Calibri" w:asciiTheme="minorHAnsi" w:hAnsiTheme="minorHAnsi"/>
                <w:sz w:val="16"/>
                <w:szCs w:val="16"/>
              </w:rPr>
            </w:pPr>
            <w:r>
              <w:rPr>
                <w:rFonts w:ascii="Calibri" w:hAnsi="Calibri" w:cs="Calibri"/>
                <w:color w:val="000000"/>
                <w:sz w:val="16"/>
                <w:szCs w:val="16"/>
              </w:rPr>
              <w:t>8</w:t>
            </w:r>
          </w:p>
        </w:tc>
        <w:tc>
          <w:tcPr>
            <w:tcW w:w="2158" w:type="dxa"/>
            <w:tcBorders>
              <w:left w:val="dotted" w:color="auto" w:sz="4" w:space="0"/>
            </w:tcBorders>
            <w:shd w:val="clear" w:color="auto" w:fill="auto"/>
            <w:vAlign w:val="center"/>
          </w:tcPr>
          <w:p w:rsidRPr="00A110F0" w:rsidR="000D1B36" w:rsidP="00662060" w:rsidRDefault="000D1B36" w14:paraId="17D460DE" w14:textId="11664D4A">
            <w:pPr>
              <w:keepNext/>
              <w:rPr>
                <w:rFonts w:eastAsia="Calibri" w:asciiTheme="minorHAnsi" w:hAnsiTheme="minorHAnsi"/>
                <w:sz w:val="16"/>
                <w:szCs w:val="16"/>
              </w:rPr>
            </w:pPr>
            <w:r>
              <w:rPr>
                <w:rFonts w:eastAsia="Calibri" w:asciiTheme="minorHAnsi" w:hAnsiTheme="minorHAnsi"/>
                <w:sz w:val="16"/>
                <w:szCs w:val="16"/>
              </w:rPr>
              <w:t>Updated the number of respondents, responses, and burden hours based on most recent data.</w:t>
            </w:r>
          </w:p>
        </w:tc>
      </w:tr>
      <w:tr w:rsidRPr="00A110F0" w:rsidR="000D1B36" w:rsidTr="009F2B02" w14:paraId="73FB02FD" w14:textId="77777777">
        <w:tc>
          <w:tcPr>
            <w:tcW w:w="2478" w:type="dxa"/>
            <w:shd w:val="clear" w:color="auto" w:fill="auto"/>
            <w:vAlign w:val="bottom"/>
          </w:tcPr>
          <w:p w:rsidRPr="00CA2B37" w:rsidR="000D1B36" w:rsidP="00662060" w:rsidRDefault="000D1B36" w14:paraId="6EA43040"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2BDBFFBC" w14:textId="42DB0C6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062" w:type="dxa"/>
            <w:tcBorders>
              <w:left w:val="dashed" w:color="auto" w:sz="4" w:space="0"/>
              <w:bottom w:val="dotted" w:color="auto" w:sz="4" w:space="0"/>
            </w:tcBorders>
            <w:shd w:val="clear" w:color="auto" w:fill="auto"/>
            <w:vAlign w:val="center"/>
          </w:tcPr>
          <w:p w:rsidRPr="00A110F0" w:rsidR="000D1B36" w:rsidP="00420842" w:rsidRDefault="000D1B36" w14:paraId="31EEAC22" w14:textId="2FA35AAE">
            <w:pPr>
              <w:keepNext/>
              <w:jc w:val="right"/>
              <w:rPr>
                <w:rFonts w:eastAsia="Calibri" w:asciiTheme="minorHAnsi" w:hAnsiTheme="minorHAnsi"/>
                <w:sz w:val="16"/>
                <w:szCs w:val="16"/>
              </w:rPr>
            </w:pPr>
            <w:r>
              <w:rPr>
                <w:rFonts w:ascii="Calibri" w:hAnsi="Calibri" w:cs="Calibri"/>
                <w:color w:val="000000"/>
                <w:sz w:val="16"/>
                <w:szCs w:val="16"/>
              </w:rPr>
              <w:t>1</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2C4E7037" w14:textId="2F43F78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29" w:type="dxa"/>
            <w:tcBorders>
              <w:left w:val="dashed" w:color="auto" w:sz="4" w:space="0"/>
              <w:bottom w:val="dotted" w:color="auto" w:sz="4" w:space="0"/>
            </w:tcBorders>
            <w:shd w:val="clear" w:color="auto" w:fill="auto"/>
            <w:vAlign w:val="center"/>
          </w:tcPr>
          <w:p w:rsidRPr="00A110F0" w:rsidR="000D1B36" w:rsidP="00420842" w:rsidRDefault="000D1B36" w14:paraId="5833BBFB" w14:textId="43206CFD">
            <w:pPr>
              <w:keepNext/>
              <w:jc w:val="right"/>
              <w:rPr>
                <w:rFonts w:eastAsia="Calibri" w:asciiTheme="minorHAnsi" w:hAnsiTheme="minorHAnsi"/>
                <w:sz w:val="16"/>
                <w:szCs w:val="16"/>
              </w:rPr>
            </w:pPr>
            <w:r>
              <w:rPr>
                <w:rFonts w:ascii="Calibri" w:hAnsi="Calibri" w:cs="Calibri"/>
                <w:color w:val="000000"/>
                <w:sz w:val="16"/>
                <w:szCs w:val="16"/>
              </w:rPr>
              <w:t>1</w:t>
            </w:r>
          </w:p>
        </w:tc>
        <w:tc>
          <w:tcPr>
            <w:tcW w:w="1129" w:type="dxa"/>
            <w:tcBorders>
              <w:bottom w:val="dotted" w:color="auto" w:sz="4" w:space="0"/>
              <w:right w:val="dashed" w:color="auto" w:sz="4" w:space="0"/>
            </w:tcBorders>
            <w:shd w:val="clear" w:color="auto" w:fill="auto"/>
            <w:vAlign w:val="center"/>
          </w:tcPr>
          <w:p w:rsidRPr="00CA2B37" w:rsidR="000D1B36" w:rsidP="00420842" w:rsidRDefault="003F7F38" w14:paraId="53BF6965" w14:textId="136F620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0D1B36" w:rsidP="00420842" w:rsidRDefault="003F7F38" w14:paraId="713B2007" w14:textId="1D2F6974">
            <w:pPr>
              <w:keepNext/>
              <w:jc w:val="right"/>
              <w:rPr>
                <w:rFonts w:eastAsia="Calibri" w:asciiTheme="minorHAnsi" w:hAnsiTheme="minorHAnsi"/>
                <w:sz w:val="16"/>
                <w:szCs w:val="16"/>
              </w:rPr>
            </w:pPr>
            <w:r>
              <w:rPr>
                <w:rFonts w:ascii="Calibri" w:hAnsi="Calibri" w:cs="Calibri"/>
                <w:color w:val="000000"/>
                <w:sz w:val="16"/>
                <w:szCs w:val="16"/>
              </w:rPr>
              <w:t>1</w:t>
            </w:r>
          </w:p>
        </w:tc>
        <w:tc>
          <w:tcPr>
            <w:tcW w:w="2158" w:type="dxa"/>
            <w:tcBorders>
              <w:left w:val="dotted" w:color="auto" w:sz="4" w:space="0"/>
            </w:tcBorders>
            <w:shd w:val="clear" w:color="auto" w:fill="auto"/>
            <w:vAlign w:val="center"/>
          </w:tcPr>
          <w:p w:rsidRPr="00A110F0" w:rsidR="000D1B36" w:rsidP="00662060" w:rsidRDefault="000D1B36" w14:paraId="0448B2AB" w14:textId="77777777">
            <w:pPr>
              <w:keepNext/>
              <w:rPr>
                <w:rFonts w:eastAsia="Calibri" w:asciiTheme="minorHAnsi" w:hAnsiTheme="minorHAnsi"/>
                <w:sz w:val="16"/>
                <w:szCs w:val="16"/>
              </w:rPr>
            </w:pPr>
          </w:p>
        </w:tc>
      </w:tr>
      <w:tr w:rsidRPr="00A110F0" w:rsidR="000D1B36" w:rsidTr="000D1B36" w14:paraId="7D9D1330" w14:textId="77777777">
        <w:tc>
          <w:tcPr>
            <w:tcW w:w="2478" w:type="dxa"/>
            <w:shd w:val="clear" w:color="auto" w:fill="auto"/>
            <w:vAlign w:val="center"/>
          </w:tcPr>
          <w:p w:rsidR="000D1B36" w:rsidP="000D1B36" w:rsidRDefault="000D1B36" w14:paraId="79924A50" w14:textId="53701D34">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071" w:type="dxa"/>
            <w:tcBorders>
              <w:bottom w:val="dotted" w:color="auto" w:sz="4" w:space="0"/>
              <w:right w:val="dashed" w:color="auto" w:sz="4" w:space="0"/>
            </w:tcBorders>
            <w:shd w:val="clear" w:color="auto" w:fill="auto"/>
            <w:vAlign w:val="center"/>
          </w:tcPr>
          <w:p w:rsidR="000D1B36" w:rsidP="00420842" w:rsidRDefault="000D1B36" w14:paraId="7C39CD94" w14:textId="3D1278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062" w:type="dxa"/>
            <w:tcBorders>
              <w:left w:val="dashed" w:color="auto" w:sz="4" w:space="0"/>
              <w:bottom w:val="dotted" w:color="auto" w:sz="4" w:space="0"/>
            </w:tcBorders>
            <w:shd w:val="clear" w:color="auto" w:fill="auto"/>
            <w:vAlign w:val="center"/>
          </w:tcPr>
          <w:p w:rsidRPr="00CA2B37" w:rsidR="000D1B36" w:rsidP="00420842" w:rsidRDefault="000D1B36" w14:paraId="5090A3F8" w14:textId="6AC0D171">
            <w:pPr>
              <w:keepNext/>
              <w:jc w:val="right"/>
              <w:rPr>
                <w:rFonts w:ascii="Calibri" w:hAnsi="Calibri" w:cs="Calibri"/>
                <w:color w:val="000000"/>
                <w:sz w:val="16"/>
                <w:szCs w:val="16"/>
              </w:rPr>
            </w:pPr>
            <w:r>
              <w:rPr>
                <w:rFonts w:ascii="Calibri" w:hAnsi="Calibri" w:cs="Calibri"/>
                <w:color w:val="000000"/>
                <w:sz w:val="16"/>
                <w:szCs w:val="16"/>
              </w:rPr>
              <w:t>7</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57EF4F03" w14:textId="6CBA474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29" w:type="dxa"/>
            <w:tcBorders>
              <w:left w:val="dashed" w:color="auto" w:sz="4" w:space="0"/>
              <w:bottom w:val="dotted" w:color="auto" w:sz="4" w:space="0"/>
            </w:tcBorders>
            <w:shd w:val="clear" w:color="auto" w:fill="auto"/>
            <w:vAlign w:val="center"/>
          </w:tcPr>
          <w:p w:rsidRPr="00CA2B37" w:rsidR="000D1B36" w:rsidP="00420842" w:rsidRDefault="000D1B36" w14:paraId="12B711D7" w14:textId="2BA55D77">
            <w:pPr>
              <w:keepNext/>
              <w:jc w:val="right"/>
              <w:rPr>
                <w:rFonts w:ascii="Calibri" w:hAnsi="Calibri" w:cs="Calibri"/>
                <w:color w:val="000000"/>
                <w:sz w:val="16"/>
                <w:szCs w:val="16"/>
              </w:rPr>
            </w:pPr>
            <w:r>
              <w:rPr>
                <w:rFonts w:ascii="Calibri" w:hAnsi="Calibri" w:cs="Calibri"/>
                <w:color w:val="000000"/>
                <w:sz w:val="16"/>
                <w:szCs w:val="16"/>
              </w:rPr>
              <w:t>7</w:t>
            </w:r>
          </w:p>
        </w:tc>
        <w:tc>
          <w:tcPr>
            <w:tcW w:w="1129" w:type="dxa"/>
            <w:tcBorders>
              <w:bottom w:val="dotted" w:color="auto" w:sz="4" w:space="0"/>
              <w:right w:val="dashed" w:color="auto" w:sz="4" w:space="0"/>
            </w:tcBorders>
            <w:shd w:val="clear" w:color="auto" w:fill="auto"/>
            <w:vAlign w:val="center"/>
          </w:tcPr>
          <w:p w:rsidR="000D1B36" w:rsidP="00420842" w:rsidRDefault="000D1B36" w14:paraId="1434203A" w14:textId="17002552">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30" w:type="dxa"/>
            <w:tcBorders>
              <w:left w:val="dashed" w:color="auto" w:sz="4" w:space="0"/>
              <w:bottom w:val="dotted" w:color="auto" w:sz="4" w:space="0"/>
            </w:tcBorders>
            <w:shd w:val="clear" w:color="auto" w:fill="auto"/>
            <w:vAlign w:val="center"/>
          </w:tcPr>
          <w:p w:rsidR="000D1B36" w:rsidP="00420842" w:rsidRDefault="000D1B36" w14:paraId="2EC5109C" w14:textId="05274C22">
            <w:pPr>
              <w:keepNext/>
              <w:jc w:val="right"/>
              <w:rPr>
                <w:rFonts w:ascii="Calibri" w:hAnsi="Calibri" w:cs="Calibri"/>
                <w:color w:val="000000"/>
                <w:sz w:val="16"/>
                <w:szCs w:val="16"/>
              </w:rPr>
            </w:pPr>
            <w:r>
              <w:rPr>
                <w:rFonts w:ascii="Calibri" w:hAnsi="Calibri" w:cs="Calibri"/>
                <w:color w:val="000000"/>
                <w:sz w:val="16"/>
                <w:szCs w:val="16"/>
              </w:rPr>
              <w:t>4</w:t>
            </w:r>
          </w:p>
        </w:tc>
        <w:tc>
          <w:tcPr>
            <w:tcW w:w="2158" w:type="dxa"/>
            <w:tcBorders>
              <w:left w:val="dotted" w:color="auto" w:sz="4" w:space="0"/>
            </w:tcBorders>
            <w:shd w:val="clear" w:color="auto" w:fill="auto"/>
            <w:vAlign w:val="center"/>
          </w:tcPr>
          <w:p w:rsidRPr="00A110F0" w:rsidR="000D1B36" w:rsidP="00662060" w:rsidRDefault="000D1B36" w14:paraId="591B0BB5" w14:textId="0E14ECCA">
            <w:pPr>
              <w:keepNext/>
              <w:rPr>
                <w:rFonts w:eastAsia="Calibri" w:asciiTheme="minorHAnsi" w:hAnsiTheme="minorHAnsi"/>
                <w:sz w:val="16"/>
                <w:szCs w:val="16"/>
              </w:rPr>
            </w:pPr>
            <w:r>
              <w:rPr>
                <w:rFonts w:eastAsia="Calibri" w:asciiTheme="minorHAnsi" w:hAnsiTheme="minorHAnsi"/>
                <w:sz w:val="16"/>
                <w:szCs w:val="16"/>
              </w:rPr>
              <w:t>This IC was split into Lobster and Shrimp as there is a cost for one application and not the other.</w:t>
            </w:r>
          </w:p>
        </w:tc>
      </w:tr>
      <w:tr w:rsidRPr="00A110F0" w:rsidR="000D1B36" w:rsidTr="009F2B02" w14:paraId="26979C9D" w14:textId="77777777">
        <w:tc>
          <w:tcPr>
            <w:tcW w:w="2478" w:type="dxa"/>
            <w:shd w:val="clear" w:color="auto" w:fill="auto"/>
            <w:vAlign w:val="bottom"/>
          </w:tcPr>
          <w:p w:rsidRPr="00CA2B37" w:rsidR="000D1B36" w:rsidP="00662060" w:rsidRDefault="000D1B36" w14:paraId="7FAE9EF0" w14:textId="23F4C031">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 (lobster)</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69146747" w14:textId="0BFA1CA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062" w:type="dxa"/>
            <w:tcBorders>
              <w:left w:val="dashed" w:color="auto" w:sz="4" w:space="0"/>
              <w:bottom w:val="dotted" w:color="auto" w:sz="4" w:space="0"/>
            </w:tcBorders>
            <w:shd w:val="clear" w:color="auto" w:fill="auto"/>
            <w:vAlign w:val="center"/>
          </w:tcPr>
          <w:p w:rsidRPr="00A110F0" w:rsidR="000D1B36" w:rsidP="000D1B36" w:rsidRDefault="000D1B36" w14:paraId="4ECB0601" w14:textId="73122E8D">
            <w:pPr>
              <w:keepNext/>
              <w:jc w:val="right"/>
              <w:rPr>
                <w:rFonts w:eastAsia="Calibri" w:asciiTheme="minorHAns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0</w:t>
            </w:r>
          </w:p>
        </w:tc>
        <w:tc>
          <w:tcPr>
            <w:tcW w:w="1003" w:type="dxa"/>
            <w:tcBorders>
              <w:bottom w:val="dotted" w:color="auto" w:sz="4" w:space="0"/>
              <w:right w:val="dashed" w:color="auto" w:sz="4" w:space="0"/>
            </w:tcBorders>
            <w:shd w:val="clear" w:color="auto" w:fill="auto"/>
            <w:vAlign w:val="center"/>
          </w:tcPr>
          <w:p w:rsidRPr="00CA2B37" w:rsidR="000D1B36" w:rsidP="00420842" w:rsidRDefault="000D1B36" w14:paraId="5DB22DD4" w14:textId="597A3B2C">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2</w:t>
            </w:r>
          </w:p>
        </w:tc>
        <w:tc>
          <w:tcPr>
            <w:tcW w:w="1129" w:type="dxa"/>
            <w:tcBorders>
              <w:left w:val="dashed" w:color="auto" w:sz="4" w:space="0"/>
              <w:bottom w:val="dotted" w:color="auto" w:sz="4" w:space="0"/>
            </w:tcBorders>
            <w:shd w:val="clear" w:color="auto" w:fill="auto"/>
            <w:vAlign w:val="center"/>
          </w:tcPr>
          <w:p w:rsidRPr="00A110F0" w:rsidR="000D1B36" w:rsidP="000D1B36" w:rsidRDefault="000D1B36" w14:paraId="1794F336" w14:textId="677DE897">
            <w:pPr>
              <w:keepNext/>
              <w:jc w:val="right"/>
              <w:rPr>
                <w:rFonts w:eastAsia="Calibri" w:asciiTheme="minorHAns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0</w:t>
            </w:r>
          </w:p>
        </w:tc>
        <w:tc>
          <w:tcPr>
            <w:tcW w:w="1129" w:type="dxa"/>
            <w:tcBorders>
              <w:bottom w:val="dotted" w:color="auto" w:sz="4" w:space="0"/>
              <w:right w:val="dashed" w:color="auto" w:sz="4" w:space="0"/>
            </w:tcBorders>
            <w:shd w:val="clear" w:color="auto" w:fill="auto"/>
            <w:vAlign w:val="center"/>
          </w:tcPr>
          <w:p w:rsidRPr="00CA2B37" w:rsidR="000D1B36" w:rsidP="00420842" w:rsidRDefault="000D1B36" w14:paraId="48432640" w14:textId="2CB08D1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w:t>
            </w:r>
          </w:p>
        </w:tc>
        <w:tc>
          <w:tcPr>
            <w:tcW w:w="1130" w:type="dxa"/>
            <w:tcBorders>
              <w:left w:val="dashed" w:color="auto" w:sz="4" w:space="0"/>
              <w:bottom w:val="dotted" w:color="auto" w:sz="4" w:space="0"/>
            </w:tcBorders>
            <w:shd w:val="clear" w:color="auto" w:fill="auto"/>
            <w:vAlign w:val="center"/>
          </w:tcPr>
          <w:p w:rsidRPr="00A110F0" w:rsidR="000D1B36" w:rsidP="00420842" w:rsidRDefault="000D1B36" w14:paraId="531F319A" w14:textId="309CDCB9">
            <w:pPr>
              <w:keepNext/>
              <w:jc w:val="right"/>
              <w:rPr>
                <w:rFonts w:eastAsia="Calibri" w:asciiTheme="minorHAnsi" w:hAnsiTheme="minorHAnsi"/>
                <w:sz w:val="16"/>
                <w:szCs w:val="16"/>
              </w:rPr>
            </w:pPr>
            <w:r>
              <w:rPr>
                <w:rFonts w:ascii="Calibri" w:hAnsi="Calibri" w:cs="Calibri"/>
                <w:color w:val="000000"/>
                <w:sz w:val="16"/>
                <w:szCs w:val="16"/>
              </w:rPr>
              <w:t>0</w:t>
            </w:r>
            <w:r w:rsidRPr="00CA2B37">
              <w:rPr>
                <w:rFonts w:ascii="Calibri" w:hAnsi="Calibri" w:cs="Calibri"/>
                <w:color w:val="000000"/>
                <w:sz w:val="16"/>
                <w:szCs w:val="16"/>
              </w:rPr>
              <w:t> </w:t>
            </w:r>
          </w:p>
        </w:tc>
        <w:tc>
          <w:tcPr>
            <w:tcW w:w="2158" w:type="dxa"/>
            <w:tcBorders>
              <w:left w:val="dotted" w:color="auto" w:sz="4" w:space="0"/>
            </w:tcBorders>
            <w:shd w:val="clear" w:color="auto" w:fill="auto"/>
            <w:vAlign w:val="center"/>
          </w:tcPr>
          <w:p w:rsidRPr="00A110F0" w:rsidR="000D1B36" w:rsidP="00662060" w:rsidRDefault="000D1B36" w14:paraId="6EBEBE4E" w14:textId="577F17C5">
            <w:pPr>
              <w:keepNext/>
              <w:rPr>
                <w:rFonts w:eastAsia="Calibri" w:asciiTheme="minorHAnsi" w:hAnsiTheme="minorHAnsi"/>
                <w:sz w:val="16"/>
                <w:szCs w:val="16"/>
              </w:rPr>
            </w:pPr>
            <w:r>
              <w:rPr>
                <w:rFonts w:eastAsia="Calibri" w:asciiTheme="minorHAnsi" w:hAnsiTheme="minorHAnsi"/>
                <w:sz w:val="16"/>
                <w:szCs w:val="16"/>
              </w:rPr>
              <w:t>The Crustacean IC was broken out into Lobster and Shrimp to accurately reflect burden.</w:t>
            </w:r>
          </w:p>
        </w:tc>
      </w:tr>
      <w:tr w:rsidRPr="00A110F0" w:rsidR="000D1B36" w:rsidTr="009F2B02" w14:paraId="226A940F" w14:textId="77777777">
        <w:tc>
          <w:tcPr>
            <w:tcW w:w="2478" w:type="dxa"/>
            <w:shd w:val="clear" w:color="auto" w:fill="auto"/>
            <w:vAlign w:val="bottom"/>
          </w:tcPr>
          <w:p w:rsidR="000D1B36" w:rsidP="000D1B36" w:rsidRDefault="000D1B36" w14:paraId="21192CF8" w14:textId="06A8C52D">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 (shrimp)</w:t>
            </w:r>
          </w:p>
        </w:tc>
        <w:tc>
          <w:tcPr>
            <w:tcW w:w="1071" w:type="dxa"/>
            <w:tcBorders>
              <w:bottom w:val="dotted" w:color="auto" w:sz="4" w:space="0"/>
              <w:right w:val="dashed" w:color="auto" w:sz="4" w:space="0"/>
            </w:tcBorders>
            <w:shd w:val="clear" w:color="auto" w:fill="auto"/>
            <w:vAlign w:val="center"/>
          </w:tcPr>
          <w:p w:rsidRPr="00CA2B37" w:rsidR="000D1B36" w:rsidP="000D1B36" w:rsidRDefault="000D1B36" w14:paraId="5DDEFA50" w14:textId="1929E150">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3</w:t>
            </w:r>
          </w:p>
        </w:tc>
        <w:tc>
          <w:tcPr>
            <w:tcW w:w="1062" w:type="dxa"/>
            <w:tcBorders>
              <w:left w:val="dashed" w:color="auto" w:sz="4" w:space="0"/>
              <w:bottom w:val="dotted" w:color="auto" w:sz="4" w:space="0"/>
            </w:tcBorders>
            <w:shd w:val="clear" w:color="auto" w:fill="auto"/>
            <w:vAlign w:val="center"/>
          </w:tcPr>
          <w:p w:rsidRPr="00CA2B37" w:rsidR="000D1B36" w:rsidP="000D1B36" w:rsidRDefault="000D1B36" w14:paraId="4E35AF32" w14:textId="00585653">
            <w:pPr>
              <w:keepNext/>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0</w:t>
            </w:r>
          </w:p>
        </w:tc>
        <w:tc>
          <w:tcPr>
            <w:tcW w:w="1003" w:type="dxa"/>
            <w:tcBorders>
              <w:bottom w:val="dotted" w:color="auto" w:sz="4" w:space="0"/>
              <w:right w:val="dashed" w:color="auto" w:sz="4" w:space="0"/>
            </w:tcBorders>
            <w:shd w:val="clear" w:color="auto" w:fill="auto"/>
            <w:vAlign w:val="center"/>
          </w:tcPr>
          <w:p w:rsidRPr="00CA2B37" w:rsidR="000D1B36" w:rsidP="000D1B36" w:rsidRDefault="000D1B36" w14:paraId="7C8EECB9" w14:textId="4574C2FE">
            <w:pPr>
              <w:widowControl/>
              <w:autoSpaceDE/>
              <w:autoSpaceDN/>
              <w:adjustRightInd/>
              <w:jc w:val="right"/>
              <w:rPr>
                <w:rFonts w:ascii="Calibri" w:hAnsi="Calibri" w:cs="Calibri"/>
                <w:color w:val="000000"/>
                <w:sz w:val="16"/>
                <w:szCs w:val="16"/>
              </w:rPr>
            </w:pPr>
            <w:r w:rsidRPr="00CA2B37">
              <w:rPr>
                <w:rFonts w:ascii="Calibri" w:hAnsi="Calibri" w:cs="Calibri"/>
                <w:color w:val="000000"/>
                <w:sz w:val="16"/>
                <w:szCs w:val="16"/>
              </w:rPr>
              <w:t> </w:t>
            </w:r>
            <w:r>
              <w:rPr>
                <w:rFonts w:ascii="Calibri" w:hAnsi="Calibri" w:cs="Calibri"/>
                <w:color w:val="000000"/>
                <w:sz w:val="16"/>
                <w:szCs w:val="16"/>
              </w:rPr>
              <w:t>3</w:t>
            </w:r>
          </w:p>
        </w:tc>
        <w:tc>
          <w:tcPr>
            <w:tcW w:w="1129" w:type="dxa"/>
            <w:tcBorders>
              <w:left w:val="dashed" w:color="auto" w:sz="4" w:space="0"/>
              <w:bottom w:val="dotted" w:color="auto" w:sz="4" w:space="0"/>
            </w:tcBorders>
            <w:shd w:val="clear" w:color="auto" w:fill="auto"/>
            <w:vAlign w:val="center"/>
          </w:tcPr>
          <w:p w:rsidR="000D1B36" w:rsidP="000D1B36" w:rsidRDefault="000D1B36" w14:paraId="121C7410" w14:textId="1A980365">
            <w:pPr>
              <w:keepNext/>
              <w:jc w:val="right"/>
              <w:rPr>
                <w:rFonts w:eastAsia="Calibri" w:asciiTheme="minorHAnsi" w:hAnsiTheme="minorHAnsi"/>
                <w:sz w:val="16"/>
                <w:szCs w:val="16"/>
              </w:rPr>
            </w:pPr>
            <w:r w:rsidRPr="00CA2B37">
              <w:rPr>
                <w:rFonts w:ascii="Calibri" w:hAnsi="Calibri" w:cs="Calibri"/>
                <w:color w:val="000000"/>
                <w:sz w:val="16"/>
                <w:szCs w:val="16"/>
              </w:rPr>
              <w:t> </w:t>
            </w:r>
            <w:r>
              <w:rPr>
                <w:rFonts w:ascii="Calibri" w:hAnsi="Calibri" w:cs="Calibri"/>
                <w:color w:val="000000"/>
                <w:sz w:val="16"/>
                <w:szCs w:val="16"/>
              </w:rPr>
              <w:t>0</w:t>
            </w:r>
          </w:p>
        </w:tc>
        <w:tc>
          <w:tcPr>
            <w:tcW w:w="1129" w:type="dxa"/>
            <w:tcBorders>
              <w:bottom w:val="dotted" w:color="auto" w:sz="4" w:space="0"/>
              <w:right w:val="dashed" w:color="auto" w:sz="4" w:space="0"/>
            </w:tcBorders>
            <w:shd w:val="clear" w:color="auto" w:fill="auto"/>
            <w:vAlign w:val="center"/>
          </w:tcPr>
          <w:p w:rsidR="000D1B36" w:rsidP="000D1B36" w:rsidRDefault="003F7F38" w14:paraId="689D5138" w14:textId="2F2D363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w:t>
            </w:r>
          </w:p>
        </w:tc>
        <w:tc>
          <w:tcPr>
            <w:tcW w:w="1130" w:type="dxa"/>
            <w:tcBorders>
              <w:left w:val="dashed" w:color="auto" w:sz="4" w:space="0"/>
              <w:bottom w:val="dotted" w:color="auto" w:sz="4" w:space="0"/>
            </w:tcBorders>
            <w:shd w:val="clear" w:color="auto" w:fill="auto"/>
            <w:vAlign w:val="center"/>
          </w:tcPr>
          <w:p w:rsidR="000D1B36" w:rsidP="000D1B36" w:rsidRDefault="000D1B36" w14:paraId="7641AF27" w14:textId="4649135B">
            <w:pPr>
              <w:keepNext/>
              <w:jc w:val="right"/>
              <w:rPr>
                <w:rFonts w:eastAsia="Calibri" w:asciiTheme="minorHAnsi" w:hAnsiTheme="minorHAnsi"/>
                <w:sz w:val="16"/>
                <w:szCs w:val="16"/>
              </w:rPr>
            </w:pPr>
            <w:r>
              <w:rPr>
                <w:rFonts w:ascii="Calibri" w:hAnsi="Calibri" w:cs="Calibri"/>
                <w:color w:val="000000"/>
                <w:sz w:val="16"/>
                <w:szCs w:val="16"/>
              </w:rPr>
              <w:t>0</w:t>
            </w:r>
            <w:r w:rsidRPr="00CA2B37">
              <w:rPr>
                <w:rFonts w:ascii="Calibri" w:hAnsi="Calibri" w:cs="Calibri"/>
                <w:color w:val="000000"/>
                <w:sz w:val="16"/>
                <w:szCs w:val="16"/>
              </w:rPr>
              <w:t> </w:t>
            </w:r>
          </w:p>
        </w:tc>
        <w:tc>
          <w:tcPr>
            <w:tcW w:w="2158" w:type="dxa"/>
            <w:tcBorders>
              <w:left w:val="dotted" w:color="auto" w:sz="4" w:space="0"/>
            </w:tcBorders>
            <w:shd w:val="clear" w:color="auto" w:fill="auto"/>
            <w:vAlign w:val="center"/>
          </w:tcPr>
          <w:p w:rsidRPr="00A110F0" w:rsidR="000D1B36" w:rsidP="000D1B36" w:rsidRDefault="000D1B36" w14:paraId="50E954E4" w14:textId="4DC895A6">
            <w:pPr>
              <w:keepNext/>
              <w:rPr>
                <w:rFonts w:eastAsia="Calibri" w:asciiTheme="minorHAnsi" w:hAnsiTheme="minorHAnsi"/>
                <w:sz w:val="16"/>
                <w:szCs w:val="16"/>
              </w:rPr>
            </w:pPr>
            <w:r>
              <w:rPr>
                <w:rFonts w:eastAsia="Calibri" w:asciiTheme="minorHAnsi" w:hAnsiTheme="minorHAnsi"/>
                <w:sz w:val="16"/>
                <w:szCs w:val="16"/>
              </w:rPr>
              <w:t>The Crustacean IC was broken out into Lobster and Shrimp to accurately reflect burden.</w:t>
            </w:r>
          </w:p>
        </w:tc>
      </w:tr>
      <w:tr w:rsidRPr="00A110F0" w:rsidR="005835F4" w:rsidTr="005835F4" w14:paraId="764C9BA0" w14:textId="77777777">
        <w:tc>
          <w:tcPr>
            <w:tcW w:w="2478" w:type="dxa"/>
            <w:shd w:val="clear" w:color="auto" w:fill="auto"/>
            <w:vAlign w:val="center"/>
          </w:tcPr>
          <w:p w:rsidR="005835F4" w:rsidP="005835F4" w:rsidRDefault="005835F4" w14:paraId="281561DE" w14:textId="57A2C662">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Region Coral Reef Ecosystems Permit &amp; Transshipment Application (moved from 0648-0463)</w:t>
            </w:r>
          </w:p>
        </w:tc>
        <w:tc>
          <w:tcPr>
            <w:tcW w:w="1071" w:type="dxa"/>
            <w:tcBorders>
              <w:bottom w:val="dotted" w:color="auto" w:sz="4" w:space="0"/>
              <w:right w:val="dashed" w:color="auto" w:sz="4" w:space="0"/>
            </w:tcBorders>
            <w:shd w:val="clear" w:color="auto" w:fill="auto"/>
            <w:vAlign w:val="center"/>
          </w:tcPr>
          <w:p w:rsidRPr="00CA2B37" w:rsidR="005835F4" w:rsidP="00420842" w:rsidRDefault="005835F4" w14:paraId="57583DD1" w14:textId="2744400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w:t>
            </w:r>
          </w:p>
        </w:tc>
        <w:tc>
          <w:tcPr>
            <w:tcW w:w="1062" w:type="dxa"/>
            <w:tcBorders>
              <w:left w:val="dashed" w:color="auto" w:sz="4" w:space="0"/>
            </w:tcBorders>
            <w:shd w:val="clear" w:color="auto" w:fill="auto"/>
            <w:vAlign w:val="center"/>
          </w:tcPr>
          <w:p w:rsidR="005835F4" w:rsidP="00420842" w:rsidRDefault="005835F4" w14:paraId="6F484F4B" w14:textId="2B8AE112">
            <w:pPr>
              <w:keepNext/>
              <w:jc w:val="right"/>
              <w:rPr>
                <w:rFonts w:eastAsia="Calibri" w:asciiTheme="minorHAnsi" w:hAnsiTheme="minorHAnsi"/>
                <w:sz w:val="16"/>
                <w:szCs w:val="16"/>
              </w:rPr>
            </w:pPr>
            <w:r>
              <w:rPr>
                <w:rFonts w:eastAsia="Calibri" w:asciiTheme="minorHAnsi" w:hAnsiTheme="minorHAnsi"/>
                <w:sz w:val="16"/>
                <w:szCs w:val="16"/>
              </w:rPr>
              <w:t>5</w:t>
            </w:r>
          </w:p>
        </w:tc>
        <w:tc>
          <w:tcPr>
            <w:tcW w:w="1003" w:type="dxa"/>
            <w:tcBorders>
              <w:bottom w:val="dotted" w:color="auto" w:sz="4" w:space="0"/>
              <w:right w:val="dashed" w:color="auto" w:sz="4" w:space="0"/>
            </w:tcBorders>
            <w:shd w:val="clear" w:color="auto" w:fill="auto"/>
            <w:vAlign w:val="center"/>
          </w:tcPr>
          <w:p w:rsidR="005835F4" w:rsidP="00420842" w:rsidRDefault="005835F4" w14:paraId="4416DE51" w14:textId="7F965871">
            <w:pPr>
              <w:widowControl/>
              <w:autoSpaceDE/>
              <w:autoSpaceDN/>
              <w:adjustRightInd/>
              <w:jc w:val="right"/>
              <w:rPr>
                <w:rFonts w:ascii="Calibri" w:hAnsi="Calibri" w:cs="Calibri"/>
                <w:color w:val="000000"/>
                <w:sz w:val="16"/>
                <w:szCs w:val="16"/>
              </w:rPr>
            </w:pPr>
            <w:r>
              <w:rPr>
                <w:rFonts w:eastAsia="Calibri" w:asciiTheme="minorHAnsi" w:hAnsiTheme="minorHAnsi"/>
                <w:sz w:val="16"/>
                <w:szCs w:val="16"/>
              </w:rPr>
              <w:t>5</w:t>
            </w:r>
          </w:p>
        </w:tc>
        <w:tc>
          <w:tcPr>
            <w:tcW w:w="1129" w:type="dxa"/>
            <w:tcBorders>
              <w:left w:val="dashed" w:color="auto" w:sz="4" w:space="0"/>
            </w:tcBorders>
            <w:shd w:val="clear" w:color="auto" w:fill="auto"/>
            <w:vAlign w:val="center"/>
          </w:tcPr>
          <w:p w:rsidR="005835F4" w:rsidP="00420842" w:rsidRDefault="005835F4" w14:paraId="3C5B9CD2" w14:textId="6FB86053">
            <w:pPr>
              <w:keepNext/>
              <w:jc w:val="right"/>
              <w:rPr>
                <w:rFonts w:eastAsia="Calibri" w:asciiTheme="minorHAnsi" w:hAnsiTheme="minorHAnsi"/>
                <w:sz w:val="16"/>
                <w:szCs w:val="16"/>
              </w:rPr>
            </w:pPr>
            <w:r>
              <w:rPr>
                <w:rFonts w:eastAsia="Calibri" w:asciiTheme="minorHAnsi" w:hAnsiTheme="minorHAnsi"/>
                <w:sz w:val="16"/>
                <w:szCs w:val="16"/>
              </w:rPr>
              <w:t>6</w:t>
            </w:r>
          </w:p>
        </w:tc>
        <w:tc>
          <w:tcPr>
            <w:tcW w:w="1129" w:type="dxa"/>
            <w:tcBorders>
              <w:bottom w:val="dotted" w:color="auto" w:sz="4" w:space="0"/>
              <w:right w:val="dashed" w:color="auto" w:sz="4" w:space="0"/>
            </w:tcBorders>
            <w:shd w:val="clear" w:color="auto" w:fill="auto"/>
            <w:vAlign w:val="center"/>
          </w:tcPr>
          <w:p w:rsidR="005835F4" w:rsidP="00420842" w:rsidRDefault="005835F4" w14:paraId="219C0480" w14:textId="59D64EC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10</w:t>
            </w:r>
          </w:p>
        </w:tc>
        <w:tc>
          <w:tcPr>
            <w:tcW w:w="1130" w:type="dxa"/>
            <w:tcBorders>
              <w:left w:val="dashed" w:color="auto" w:sz="4" w:space="0"/>
            </w:tcBorders>
            <w:shd w:val="clear" w:color="auto" w:fill="auto"/>
            <w:vAlign w:val="center"/>
          </w:tcPr>
          <w:p w:rsidR="005835F4" w:rsidP="00420842" w:rsidRDefault="005835F4" w14:paraId="79655EAA" w14:textId="3FB51AB8">
            <w:pPr>
              <w:keepNext/>
              <w:jc w:val="right"/>
              <w:rPr>
                <w:rFonts w:eastAsia="Calibri" w:asciiTheme="minorHAnsi" w:hAnsiTheme="minorHAnsi"/>
                <w:sz w:val="16"/>
                <w:szCs w:val="16"/>
              </w:rPr>
            </w:pPr>
            <w:r>
              <w:rPr>
                <w:rFonts w:eastAsia="Calibri" w:asciiTheme="minorHAnsi" w:hAnsiTheme="minorHAnsi"/>
                <w:sz w:val="16"/>
                <w:szCs w:val="16"/>
              </w:rPr>
              <w:t>13</w:t>
            </w:r>
          </w:p>
        </w:tc>
        <w:tc>
          <w:tcPr>
            <w:tcW w:w="2158" w:type="dxa"/>
            <w:tcBorders>
              <w:left w:val="dotted" w:color="auto" w:sz="4" w:space="0"/>
            </w:tcBorders>
            <w:shd w:val="clear" w:color="auto" w:fill="auto"/>
            <w:vAlign w:val="center"/>
          </w:tcPr>
          <w:p w:rsidRPr="00A110F0" w:rsidR="005835F4" w:rsidP="00662060" w:rsidRDefault="005835F4" w14:paraId="40ED9A7E" w14:textId="529773D5">
            <w:pPr>
              <w:keepNext/>
              <w:rPr>
                <w:rFonts w:eastAsia="Calibri" w:asciiTheme="minorHAnsi" w:hAnsiTheme="minorHAnsi"/>
                <w:sz w:val="16"/>
                <w:szCs w:val="16"/>
              </w:rPr>
            </w:pPr>
            <w:r>
              <w:rPr>
                <w:rFonts w:eastAsia="Calibri" w:asciiTheme="minorHAnsi" w:hAnsiTheme="minorHAnsi"/>
                <w:sz w:val="16"/>
                <w:szCs w:val="16"/>
              </w:rPr>
              <w:t>ICs being added from 0648-0463.  0648-0463 only had one IC which is being broken out into 2 ICs for increased granularity (Permit &amp; Application, and Appeals (all appeals are being rolled into 1 IC since they have the same process/procedure)).</w:t>
            </w:r>
          </w:p>
        </w:tc>
      </w:tr>
      <w:tr w:rsidRPr="00A110F0" w:rsidR="000D1B36" w:rsidTr="009F2B02" w14:paraId="39F6061C" w14:textId="77777777">
        <w:tc>
          <w:tcPr>
            <w:tcW w:w="2478" w:type="dxa"/>
            <w:shd w:val="clear" w:color="auto" w:fill="auto"/>
            <w:vAlign w:val="bottom"/>
          </w:tcPr>
          <w:p w:rsidR="000D1B36" w:rsidP="00662060" w:rsidRDefault="005835F4" w14:paraId="13F25E00" w14:textId="73E88D8F">
            <w:pPr>
              <w:widowControl/>
              <w:autoSpaceDE/>
              <w:autoSpaceDN/>
              <w:adjustRightInd/>
              <w:rPr>
                <w:rFonts w:ascii="Calibri" w:hAnsi="Calibri" w:cs="Calibri"/>
                <w:color w:val="000000"/>
                <w:sz w:val="16"/>
                <w:szCs w:val="16"/>
              </w:rPr>
            </w:pPr>
            <w:r>
              <w:rPr>
                <w:rFonts w:ascii="Calibri" w:hAnsi="Calibri" w:cs="Calibri"/>
                <w:color w:val="000000"/>
                <w:sz w:val="16"/>
                <w:szCs w:val="16"/>
              </w:rPr>
              <w:t>Non-Commercial Permit Application for MHI Bottomfish Fishery (moved from 0648-0577)</w:t>
            </w:r>
          </w:p>
        </w:tc>
        <w:tc>
          <w:tcPr>
            <w:tcW w:w="1071" w:type="dxa"/>
            <w:tcBorders>
              <w:bottom w:val="dotted" w:color="auto" w:sz="4" w:space="0"/>
              <w:right w:val="dashed" w:color="auto" w:sz="4" w:space="0"/>
            </w:tcBorders>
            <w:shd w:val="clear" w:color="auto" w:fill="auto"/>
            <w:vAlign w:val="center"/>
          </w:tcPr>
          <w:p w:rsidRPr="00CA2B37" w:rsidR="000D1B36" w:rsidP="00420842" w:rsidRDefault="000D1B36" w14:paraId="540CD6DA" w14:textId="253691B8">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25</w:t>
            </w:r>
          </w:p>
        </w:tc>
        <w:tc>
          <w:tcPr>
            <w:tcW w:w="1062" w:type="dxa"/>
            <w:tcBorders>
              <w:left w:val="dashed" w:color="auto" w:sz="4" w:space="0"/>
              <w:bottom w:val="dotted" w:color="auto" w:sz="4" w:space="0"/>
            </w:tcBorders>
            <w:shd w:val="clear" w:color="auto" w:fill="auto"/>
            <w:vAlign w:val="center"/>
          </w:tcPr>
          <w:p w:rsidR="000D1B36" w:rsidP="00420842" w:rsidRDefault="005835F4" w14:paraId="0B9B5386" w14:textId="0CADE6B9">
            <w:pPr>
              <w:keepNext/>
              <w:jc w:val="right"/>
              <w:rPr>
                <w:rFonts w:eastAsia="Calibri" w:asciiTheme="minorHAnsi" w:hAnsiTheme="minorHAnsi"/>
                <w:sz w:val="16"/>
                <w:szCs w:val="16"/>
              </w:rPr>
            </w:pPr>
            <w:r>
              <w:rPr>
                <w:rFonts w:eastAsia="Calibri" w:asciiTheme="minorHAnsi" w:hAnsiTheme="minorHAnsi"/>
                <w:sz w:val="16"/>
                <w:szCs w:val="16"/>
              </w:rPr>
              <w:t>10</w:t>
            </w:r>
            <w:r w:rsidR="000D1B36">
              <w:rPr>
                <w:rFonts w:eastAsia="Calibri" w:asciiTheme="minorHAnsi" w:hAnsiTheme="minorHAnsi"/>
                <w:sz w:val="16"/>
                <w:szCs w:val="16"/>
              </w:rPr>
              <w:t>0</w:t>
            </w:r>
          </w:p>
        </w:tc>
        <w:tc>
          <w:tcPr>
            <w:tcW w:w="1003" w:type="dxa"/>
            <w:tcBorders>
              <w:bottom w:val="dotted" w:color="auto" w:sz="4" w:space="0"/>
              <w:right w:val="dashed" w:color="auto" w:sz="4" w:space="0"/>
            </w:tcBorders>
            <w:shd w:val="clear" w:color="auto" w:fill="auto"/>
            <w:vAlign w:val="center"/>
          </w:tcPr>
          <w:p w:rsidR="000D1B36" w:rsidP="00420842" w:rsidRDefault="000D1B36" w14:paraId="60DFE57D" w14:textId="45CBD3C6">
            <w:pPr>
              <w:widowControl/>
              <w:autoSpaceDE/>
              <w:autoSpaceDN/>
              <w:adjustRightInd/>
              <w:jc w:val="right"/>
              <w:rPr>
                <w:rFonts w:ascii="Calibri" w:hAnsi="Calibri" w:cs="Calibri"/>
                <w:color w:val="000000"/>
                <w:sz w:val="16"/>
                <w:szCs w:val="16"/>
              </w:rPr>
            </w:pPr>
            <w:r>
              <w:rPr>
                <w:rFonts w:eastAsia="Calibri" w:asciiTheme="minorHAnsi" w:hAnsiTheme="minorHAnsi"/>
                <w:sz w:val="16"/>
                <w:szCs w:val="16"/>
              </w:rPr>
              <w:t>25</w:t>
            </w:r>
          </w:p>
        </w:tc>
        <w:tc>
          <w:tcPr>
            <w:tcW w:w="1129" w:type="dxa"/>
            <w:tcBorders>
              <w:left w:val="dashed" w:color="auto" w:sz="4" w:space="0"/>
              <w:bottom w:val="dotted" w:color="auto" w:sz="4" w:space="0"/>
            </w:tcBorders>
            <w:shd w:val="clear" w:color="auto" w:fill="auto"/>
            <w:vAlign w:val="center"/>
          </w:tcPr>
          <w:p w:rsidR="000D1B36" w:rsidP="00420842" w:rsidRDefault="005835F4" w14:paraId="0873D3E4" w14:textId="02AFE104">
            <w:pPr>
              <w:keepNext/>
              <w:jc w:val="right"/>
              <w:rPr>
                <w:rFonts w:eastAsia="Calibri" w:asciiTheme="minorHAnsi" w:hAnsiTheme="minorHAnsi"/>
                <w:sz w:val="16"/>
                <w:szCs w:val="16"/>
              </w:rPr>
            </w:pPr>
            <w:r>
              <w:rPr>
                <w:rFonts w:eastAsia="Calibri" w:asciiTheme="minorHAnsi" w:hAnsiTheme="minorHAnsi"/>
                <w:sz w:val="16"/>
                <w:szCs w:val="16"/>
              </w:rPr>
              <w:t>10</w:t>
            </w:r>
            <w:r w:rsidR="000D1B36">
              <w:rPr>
                <w:rFonts w:eastAsia="Calibri" w:asciiTheme="minorHAnsi" w:hAnsiTheme="minorHAnsi"/>
                <w:sz w:val="16"/>
                <w:szCs w:val="16"/>
              </w:rPr>
              <w:t>0</w:t>
            </w:r>
          </w:p>
        </w:tc>
        <w:tc>
          <w:tcPr>
            <w:tcW w:w="1129" w:type="dxa"/>
            <w:tcBorders>
              <w:bottom w:val="dotted" w:color="auto" w:sz="4" w:space="0"/>
              <w:right w:val="dashed" w:color="auto" w:sz="4" w:space="0"/>
            </w:tcBorders>
            <w:shd w:val="clear" w:color="auto" w:fill="auto"/>
            <w:vAlign w:val="center"/>
          </w:tcPr>
          <w:p w:rsidR="000D1B36" w:rsidP="00420842" w:rsidRDefault="003F7F38" w14:paraId="5E947F62" w14:textId="6FD06EE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w:t>
            </w:r>
          </w:p>
        </w:tc>
        <w:tc>
          <w:tcPr>
            <w:tcW w:w="1130" w:type="dxa"/>
            <w:tcBorders>
              <w:left w:val="dashed" w:color="auto" w:sz="4" w:space="0"/>
              <w:bottom w:val="dotted" w:color="auto" w:sz="4" w:space="0"/>
            </w:tcBorders>
            <w:shd w:val="clear" w:color="auto" w:fill="auto"/>
            <w:vAlign w:val="center"/>
          </w:tcPr>
          <w:p w:rsidR="000D1B36" w:rsidP="00420842" w:rsidRDefault="005835F4" w14:paraId="01E7BD3B" w14:textId="07517B13">
            <w:pPr>
              <w:keepNext/>
              <w:jc w:val="right"/>
              <w:rPr>
                <w:rFonts w:eastAsia="Calibri" w:asciiTheme="minorHAnsi" w:hAnsiTheme="minorHAnsi"/>
                <w:sz w:val="16"/>
                <w:szCs w:val="16"/>
              </w:rPr>
            </w:pPr>
            <w:r>
              <w:rPr>
                <w:rFonts w:eastAsia="Calibri" w:asciiTheme="minorHAnsi" w:hAnsiTheme="minorHAnsi"/>
                <w:sz w:val="16"/>
                <w:szCs w:val="16"/>
              </w:rPr>
              <w:t>25</w:t>
            </w:r>
          </w:p>
        </w:tc>
        <w:tc>
          <w:tcPr>
            <w:tcW w:w="2158" w:type="dxa"/>
            <w:tcBorders>
              <w:left w:val="dotted" w:color="auto" w:sz="4" w:space="0"/>
              <w:bottom w:val="dotted" w:color="auto" w:sz="4" w:space="0"/>
            </w:tcBorders>
            <w:shd w:val="clear" w:color="auto" w:fill="auto"/>
            <w:vAlign w:val="center"/>
          </w:tcPr>
          <w:p w:rsidRPr="00A110F0" w:rsidR="000D1B36" w:rsidP="00662060" w:rsidRDefault="005835F4" w14:paraId="32531FC1" w14:textId="14260BA0">
            <w:pPr>
              <w:keepNext/>
              <w:rPr>
                <w:rFonts w:eastAsia="Calibri" w:asciiTheme="minorHAnsi" w:hAnsiTheme="minorHAnsi"/>
                <w:sz w:val="16"/>
                <w:szCs w:val="16"/>
              </w:rPr>
            </w:pPr>
            <w:r>
              <w:rPr>
                <w:rFonts w:eastAsia="Calibri" w:asciiTheme="minorHAnsi" w:hAnsiTheme="minorHAnsi"/>
                <w:sz w:val="16"/>
                <w:szCs w:val="16"/>
              </w:rPr>
              <w:t>IC being added from 0648-0577.  No changes to burden estimates.</w:t>
            </w:r>
          </w:p>
        </w:tc>
      </w:tr>
      <w:tr w:rsidRPr="00A110F0" w:rsidR="00662060" w:rsidTr="00911B60" w14:paraId="72376084" w14:textId="77777777">
        <w:tc>
          <w:tcPr>
            <w:tcW w:w="2478" w:type="dxa"/>
            <w:shd w:val="clear" w:color="auto" w:fill="BDD6EE" w:themeFill="accent1" w:themeFillTint="66"/>
            <w:vAlign w:val="center"/>
          </w:tcPr>
          <w:p w:rsidRPr="00A110F0" w:rsidR="00662060" w:rsidP="00662060" w:rsidRDefault="00662060" w14:paraId="21600AA1"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071" w:type="dxa"/>
            <w:tcBorders>
              <w:right w:val="dashed" w:color="auto" w:sz="4" w:space="0"/>
            </w:tcBorders>
            <w:shd w:val="clear" w:color="auto" w:fill="BDD6EE" w:themeFill="accent1" w:themeFillTint="66"/>
            <w:vAlign w:val="center"/>
          </w:tcPr>
          <w:p w:rsidRPr="00A110F0" w:rsidR="00662060" w:rsidP="003F7F38" w:rsidRDefault="00662060" w14:paraId="7C8482EC" w14:textId="0766DD3D">
            <w:pPr>
              <w:keepNext/>
              <w:jc w:val="right"/>
              <w:rPr>
                <w:rFonts w:eastAsia="Calibri" w:asciiTheme="minorHAnsi" w:hAnsiTheme="minorHAnsi"/>
                <w:b/>
                <w:sz w:val="16"/>
                <w:szCs w:val="16"/>
              </w:rPr>
            </w:pPr>
            <w:r>
              <w:rPr>
                <w:rFonts w:eastAsia="Calibri" w:asciiTheme="minorHAnsi" w:hAnsiTheme="minorHAnsi"/>
                <w:b/>
                <w:sz w:val="16"/>
                <w:szCs w:val="16"/>
              </w:rPr>
              <w:t>2</w:t>
            </w:r>
            <w:r w:rsidR="003F7F38">
              <w:rPr>
                <w:rFonts w:eastAsia="Calibri" w:asciiTheme="minorHAnsi" w:hAnsiTheme="minorHAnsi"/>
                <w:b/>
                <w:sz w:val="16"/>
                <w:szCs w:val="16"/>
              </w:rPr>
              <w:t>79</w:t>
            </w:r>
          </w:p>
        </w:tc>
        <w:tc>
          <w:tcPr>
            <w:tcW w:w="1062" w:type="dxa"/>
            <w:tcBorders>
              <w:left w:val="dashed" w:color="auto" w:sz="4" w:space="0"/>
            </w:tcBorders>
            <w:shd w:val="clear" w:color="auto" w:fill="BDD6EE" w:themeFill="accent1" w:themeFillTint="66"/>
            <w:vAlign w:val="center"/>
          </w:tcPr>
          <w:p w:rsidRPr="00A110F0" w:rsidR="00662060" w:rsidP="00420842" w:rsidRDefault="003F7F38" w14:paraId="029FA008" w14:textId="551E7DBF">
            <w:pPr>
              <w:keepNext/>
              <w:jc w:val="right"/>
              <w:rPr>
                <w:rFonts w:eastAsia="Calibri" w:asciiTheme="minorHAnsi" w:hAnsiTheme="minorHAnsi"/>
                <w:b/>
                <w:sz w:val="16"/>
                <w:szCs w:val="16"/>
              </w:rPr>
            </w:pPr>
            <w:r>
              <w:rPr>
                <w:rFonts w:eastAsia="Calibri" w:asciiTheme="minorHAnsi" w:hAnsiTheme="minorHAnsi"/>
                <w:b/>
                <w:sz w:val="16"/>
                <w:szCs w:val="16"/>
              </w:rPr>
              <w:t>351</w:t>
            </w:r>
          </w:p>
        </w:tc>
        <w:tc>
          <w:tcPr>
            <w:tcW w:w="1003" w:type="dxa"/>
            <w:tcBorders>
              <w:right w:val="dashed" w:color="auto" w:sz="4" w:space="0"/>
            </w:tcBorders>
            <w:shd w:val="clear" w:color="auto" w:fill="BDD6EE" w:themeFill="accent1" w:themeFillTint="66"/>
            <w:vAlign w:val="center"/>
          </w:tcPr>
          <w:p w:rsidRPr="00A110F0" w:rsidR="00662060" w:rsidP="00420842" w:rsidRDefault="003F7F38" w14:paraId="40CB15F8" w14:textId="0AA1DB9E">
            <w:pPr>
              <w:keepNext/>
              <w:jc w:val="right"/>
              <w:rPr>
                <w:rFonts w:eastAsia="Calibri" w:asciiTheme="minorHAnsi" w:hAnsiTheme="minorHAnsi"/>
                <w:b/>
                <w:sz w:val="16"/>
                <w:szCs w:val="16"/>
              </w:rPr>
            </w:pPr>
            <w:r>
              <w:rPr>
                <w:rFonts w:eastAsia="Calibri" w:asciiTheme="minorHAnsi" w:hAnsiTheme="minorHAnsi"/>
                <w:b/>
                <w:sz w:val="16"/>
                <w:szCs w:val="16"/>
              </w:rPr>
              <w:t>279</w:t>
            </w:r>
          </w:p>
        </w:tc>
        <w:tc>
          <w:tcPr>
            <w:tcW w:w="1129" w:type="dxa"/>
            <w:tcBorders>
              <w:left w:val="dashed" w:color="auto" w:sz="4" w:space="0"/>
            </w:tcBorders>
            <w:shd w:val="clear" w:color="auto" w:fill="BDD6EE" w:themeFill="accent1" w:themeFillTint="66"/>
            <w:vAlign w:val="center"/>
          </w:tcPr>
          <w:p w:rsidRPr="00A110F0" w:rsidR="00662060" w:rsidP="00420842" w:rsidRDefault="003F7F38" w14:paraId="4A169460" w14:textId="4F3F8E0B">
            <w:pPr>
              <w:keepNext/>
              <w:jc w:val="right"/>
              <w:rPr>
                <w:rFonts w:eastAsia="Calibri" w:asciiTheme="minorHAnsi" w:hAnsiTheme="minorHAnsi"/>
                <w:b/>
                <w:sz w:val="16"/>
                <w:szCs w:val="16"/>
              </w:rPr>
            </w:pPr>
            <w:r>
              <w:rPr>
                <w:rFonts w:eastAsia="Calibri" w:asciiTheme="minorHAnsi" w:hAnsiTheme="minorHAnsi"/>
                <w:b/>
                <w:sz w:val="16"/>
                <w:szCs w:val="16"/>
              </w:rPr>
              <w:t>352</w:t>
            </w:r>
          </w:p>
        </w:tc>
        <w:tc>
          <w:tcPr>
            <w:tcW w:w="1129" w:type="dxa"/>
            <w:tcBorders>
              <w:right w:val="dashed" w:color="auto" w:sz="4" w:space="0"/>
            </w:tcBorders>
            <w:shd w:val="clear" w:color="auto" w:fill="BDD6EE" w:themeFill="accent1" w:themeFillTint="66"/>
            <w:vAlign w:val="center"/>
          </w:tcPr>
          <w:p w:rsidRPr="00A110F0" w:rsidR="00662060" w:rsidP="00447A50" w:rsidRDefault="00253ABC" w14:paraId="5F470A14" w14:textId="1CC19581">
            <w:pPr>
              <w:keepNext/>
              <w:jc w:val="right"/>
              <w:rPr>
                <w:rFonts w:eastAsia="Calibri" w:asciiTheme="minorHAnsi" w:hAnsiTheme="minorHAnsi"/>
                <w:b/>
                <w:sz w:val="16"/>
                <w:szCs w:val="16"/>
              </w:rPr>
            </w:pPr>
            <w:r>
              <w:rPr>
                <w:rFonts w:eastAsia="Calibri" w:asciiTheme="minorHAnsi" w:hAnsiTheme="minorHAnsi"/>
                <w:b/>
                <w:sz w:val="16"/>
                <w:szCs w:val="16"/>
              </w:rPr>
              <w:t>1</w:t>
            </w:r>
            <w:r w:rsidR="00447A50">
              <w:rPr>
                <w:rFonts w:eastAsia="Calibri" w:asciiTheme="minorHAnsi" w:hAnsiTheme="minorHAnsi"/>
                <w:b/>
                <w:sz w:val="16"/>
                <w:szCs w:val="16"/>
              </w:rPr>
              <w:t>52</w:t>
            </w:r>
          </w:p>
        </w:tc>
        <w:tc>
          <w:tcPr>
            <w:tcW w:w="1130" w:type="dxa"/>
            <w:tcBorders>
              <w:left w:val="dashed" w:color="auto" w:sz="4" w:space="0"/>
            </w:tcBorders>
            <w:shd w:val="clear" w:color="auto" w:fill="BDD6EE" w:themeFill="accent1" w:themeFillTint="66"/>
            <w:vAlign w:val="center"/>
          </w:tcPr>
          <w:p w:rsidRPr="00A110F0" w:rsidR="00662060" w:rsidP="00253ABC" w:rsidRDefault="003F7F38" w14:paraId="435A8DFD" w14:textId="2D0D0F03">
            <w:pPr>
              <w:keepNext/>
              <w:jc w:val="right"/>
              <w:rPr>
                <w:rFonts w:eastAsia="Calibri" w:asciiTheme="minorHAnsi" w:hAnsiTheme="minorHAnsi"/>
                <w:b/>
                <w:sz w:val="16"/>
                <w:szCs w:val="16"/>
              </w:rPr>
            </w:pPr>
            <w:r>
              <w:rPr>
                <w:rFonts w:eastAsia="Calibri" w:asciiTheme="minorHAnsi" w:hAnsiTheme="minorHAnsi"/>
                <w:b/>
                <w:sz w:val="16"/>
                <w:szCs w:val="16"/>
              </w:rPr>
              <w:t>173</w:t>
            </w:r>
          </w:p>
        </w:tc>
        <w:tc>
          <w:tcPr>
            <w:tcW w:w="2158" w:type="dxa"/>
            <w:tcBorders>
              <w:left w:val="dotted" w:color="auto" w:sz="4" w:space="0"/>
            </w:tcBorders>
            <w:shd w:val="clear" w:color="auto" w:fill="BDD6EE" w:themeFill="accent1" w:themeFillTint="66"/>
            <w:vAlign w:val="center"/>
          </w:tcPr>
          <w:p w:rsidRPr="00A110F0" w:rsidR="00662060" w:rsidP="00662060" w:rsidRDefault="00662060" w14:paraId="0405EBE5" w14:textId="77777777">
            <w:pPr>
              <w:keepNext/>
              <w:jc w:val="center"/>
              <w:rPr>
                <w:rFonts w:eastAsia="Calibri" w:asciiTheme="minorHAnsi" w:hAnsiTheme="minorHAnsi"/>
                <w:b/>
                <w:sz w:val="16"/>
                <w:szCs w:val="16"/>
              </w:rPr>
            </w:pPr>
          </w:p>
        </w:tc>
      </w:tr>
      <w:tr w:rsidRPr="00A110F0" w:rsidR="00662060" w:rsidTr="00C30554" w14:paraId="2EA90D54" w14:textId="77777777">
        <w:tc>
          <w:tcPr>
            <w:tcW w:w="2478" w:type="dxa"/>
            <w:shd w:val="clear" w:color="auto" w:fill="FBE4D5" w:themeFill="accent2" w:themeFillTint="33"/>
            <w:vAlign w:val="center"/>
          </w:tcPr>
          <w:p w:rsidRPr="00A110F0" w:rsidR="00662060" w:rsidP="00662060" w:rsidRDefault="00662060" w14:paraId="517EAE39"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133" w:type="dxa"/>
            <w:gridSpan w:val="2"/>
            <w:shd w:val="clear" w:color="auto" w:fill="FBE4D5" w:themeFill="accent2" w:themeFillTint="33"/>
            <w:vAlign w:val="center"/>
          </w:tcPr>
          <w:p w:rsidR="00662060" w:rsidP="00662060" w:rsidRDefault="003F7F38" w14:paraId="03EEADBB" w14:textId="2E62E434">
            <w:pPr>
              <w:keepNext/>
              <w:jc w:val="center"/>
              <w:rPr>
                <w:rFonts w:eastAsia="Calibri" w:asciiTheme="minorHAnsi" w:hAnsiTheme="minorHAnsi"/>
                <w:b/>
                <w:sz w:val="16"/>
                <w:szCs w:val="16"/>
              </w:rPr>
            </w:pPr>
            <w:r>
              <w:rPr>
                <w:rFonts w:eastAsia="Calibri" w:asciiTheme="minorHAnsi" w:hAnsiTheme="minorHAnsi"/>
                <w:b/>
                <w:sz w:val="16"/>
                <w:szCs w:val="16"/>
              </w:rPr>
              <w:t>-72</w:t>
            </w:r>
          </w:p>
        </w:tc>
        <w:tc>
          <w:tcPr>
            <w:tcW w:w="2132" w:type="dxa"/>
            <w:gridSpan w:val="2"/>
            <w:tcBorders>
              <w:bottom w:val="single" w:color="auto" w:sz="4" w:space="0"/>
            </w:tcBorders>
            <w:shd w:val="clear" w:color="auto" w:fill="FBE4D5" w:themeFill="accent2" w:themeFillTint="33"/>
            <w:vAlign w:val="center"/>
          </w:tcPr>
          <w:p w:rsidR="00662060" w:rsidP="00662060" w:rsidRDefault="003F7F38" w14:paraId="768B9D6C" w14:textId="692A6F29">
            <w:pPr>
              <w:keepNext/>
              <w:jc w:val="center"/>
              <w:rPr>
                <w:rFonts w:eastAsia="Calibri" w:asciiTheme="minorHAnsi" w:hAnsiTheme="minorHAnsi"/>
                <w:b/>
                <w:sz w:val="16"/>
                <w:szCs w:val="16"/>
              </w:rPr>
            </w:pPr>
            <w:r>
              <w:rPr>
                <w:rFonts w:eastAsia="Calibri" w:asciiTheme="minorHAnsi" w:hAnsiTheme="minorHAnsi"/>
                <w:b/>
                <w:sz w:val="16"/>
                <w:szCs w:val="16"/>
              </w:rPr>
              <w:t>-73</w:t>
            </w:r>
          </w:p>
        </w:tc>
        <w:tc>
          <w:tcPr>
            <w:tcW w:w="2259" w:type="dxa"/>
            <w:gridSpan w:val="2"/>
            <w:shd w:val="clear" w:color="auto" w:fill="FBE4D5" w:themeFill="accent2" w:themeFillTint="33"/>
            <w:vAlign w:val="center"/>
          </w:tcPr>
          <w:p w:rsidR="00662060" w:rsidP="003F7F38" w:rsidRDefault="003F7F38" w14:paraId="652324CE" w14:textId="5B17D595">
            <w:pPr>
              <w:keepNext/>
              <w:jc w:val="center"/>
              <w:rPr>
                <w:rFonts w:eastAsia="Calibri" w:asciiTheme="minorHAnsi" w:hAnsiTheme="minorHAnsi"/>
                <w:b/>
                <w:sz w:val="16"/>
                <w:szCs w:val="16"/>
              </w:rPr>
            </w:pPr>
            <w:r>
              <w:rPr>
                <w:rFonts w:eastAsia="Calibri" w:asciiTheme="minorHAnsi" w:hAnsiTheme="minorHAnsi"/>
                <w:b/>
                <w:sz w:val="16"/>
                <w:szCs w:val="16"/>
              </w:rPr>
              <w:t>-21</w:t>
            </w:r>
          </w:p>
        </w:tc>
        <w:tc>
          <w:tcPr>
            <w:tcW w:w="2158" w:type="dxa"/>
            <w:tcBorders>
              <w:left w:val="dotted" w:color="auto" w:sz="4" w:space="0"/>
            </w:tcBorders>
            <w:shd w:val="clear" w:color="auto" w:fill="FBE4D5" w:themeFill="accent2" w:themeFillTint="33"/>
            <w:vAlign w:val="center"/>
          </w:tcPr>
          <w:p w:rsidRPr="00A110F0" w:rsidR="00662060" w:rsidP="00662060" w:rsidRDefault="00662060" w14:paraId="1047D452" w14:textId="77777777">
            <w:pPr>
              <w:keepNext/>
              <w:jc w:val="center"/>
              <w:rPr>
                <w:rFonts w:eastAsia="Calibri" w:asciiTheme="minorHAnsi" w:hAnsiTheme="minorHAnsi"/>
                <w:b/>
                <w:sz w:val="16"/>
                <w:szCs w:val="16"/>
              </w:rPr>
            </w:pPr>
          </w:p>
        </w:tc>
      </w:tr>
    </w:tbl>
    <w:p w:rsidR="00007B73" w:rsidP="009E44FF" w:rsidRDefault="00007B73" w14:paraId="77CC28C7" w14:textId="465ED879">
      <w:pPr>
        <w:tabs>
          <w:tab w:val="left" w:pos="540"/>
        </w:tabs>
        <w:rPr>
          <w:rFonts w:asciiTheme="minorHAnsi" w:hAnsiTheme="minorHAnsi"/>
          <w:sz w:val="16"/>
          <w:szCs w:val="16"/>
        </w:rPr>
      </w:pPr>
    </w:p>
    <w:p w:rsidR="00007B73" w:rsidP="009E44FF" w:rsidRDefault="00007B73" w14:paraId="4621A746" w14:textId="7EB85FBC">
      <w:pPr>
        <w:tabs>
          <w:tab w:val="left" w:pos="540"/>
        </w:tabs>
        <w:rPr>
          <w:rFonts w:asciiTheme="minorHAnsi" w:hAnsiTheme="minorHAnsi"/>
          <w:sz w:val="16"/>
          <w:szCs w:val="16"/>
        </w:rPr>
      </w:pPr>
    </w:p>
    <w:p w:rsidRPr="00A110F0" w:rsidR="00007B73" w:rsidP="00784D9F" w:rsidRDefault="00007B73" w14:paraId="1D416FF8" w14:textId="77777777">
      <w:pPr>
        <w:tabs>
          <w:tab w:val="left" w:pos="540"/>
        </w:tabs>
        <w:ind w:left="540"/>
        <w:rPr>
          <w:rFonts w:asciiTheme="minorHAnsi" w:hAnsiTheme="minorHAnsi"/>
          <w:sz w:val="16"/>
          <w:szCs w:val="16"/>
        </w:rPr>
      </w:pPr>
    </w:p>
    <w:tbl>
      <w:tblPr>
        <w:tblW w:w="10597" w:type="dxa"/>
        <w:tblInd w:w="-6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2478"/>
        <w:gridCol w:w="1251"/>
        <w:gridCol w:w="1155"/>
        <w:gridCol w:w="1058"/>
        <w:gridCol w:w="1252"/>
        <w:gridCol w:w="3403"/>
      </w:tblGrid>
      <w:tr w:rsidRPr="00A110F0" w:rsidR="00A110F0" w:rsidTr="005F6CB1" w14:paraId="4BBC40C1" w14:textId="77777777">
        <w:tc>
          <w:tcPr>
            <w:tcW w:w="2478" w:type="dxa"/>
            <w:vMerge w:val="restart"/>
            <w:shd w:val="clear" w:color="auto" w:fill="5B9BD5" w:themeFill="accent1"/>
            <w:vAlign w:val="center"/>
          </w:tcPr>
          <w:p w:rsidRPr="00A110F0" w:rsidR="00A110F0" w:rsidP="00A110F0" w:rsidRDefault="00A110F0" w14:paraId="5E7A57A9"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Information Collection</w:t>
            </w:r>
          </w:p>
        </w:tc>
        <w:tc>
          <w:tcPr>
            <w:tcW w:w="2406" w:type="dxa"/>
            <w:gridSpan w:val="2"/>
            <w:tcBorders>
              <w:bottom w:val="single" w:color="auto" w:sz="4" w:space="0"/>
            </w:tcBorders>
            <w:shd w:val="clear" w:color="auto" w:fill="5B9BD5" w:themeFill="accent1"/>
            <w:vAlign w:val="center"/>
          </w:tcPr>
          <w:p w:rsidRPr="00A110F0" w:rsidR="00A110F0" w:rsidP="00A110F0" w:rsidRDefault="00A110F0" w14:paraId="1681D294"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Labor Costs</w:t>
            </w:r>
          </w:p>
        </w:tc>
        <w:tc>
          <w:tcPr>
            <w:tcW w:w="2310" w:type="dxa"/>
            <w:gridSpan w:val="2"/>
            <w:shd w:val="clear" w:color="auto" w:fill="5B9BD5" w:themeFill="accent1"/>
          </w:tcPr>
          <w:p w:rsidRPr="00A110F0" w:rsidR="00A110F0" w:rsidP="00A110F0" w:rsidRDefault="00A110F0" w14:paraId="0D7825A0"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Miscellaneous Costs</w:t>
            </w:r>
          </w:p>
        </w:tc>
        <w:tc>
          <w:tcPr>
            <w:tcW w:w="3403" w:type="dxa"/>
            <w:vMerge w:val="restart"/>
            <w:tcBorders>
              <w:right w:val="single" w:color="auto" w:sz="4" w:space="0"/>
            </w:tcBorders>
            <w:shd w:val="clear" w:color="auto" w:fill="5B9BD5" w:themeFill="accent1"/>
            <w:vAlign w:val="center"/>
          </w:tcPr>
          <w:p w:rsidRPr="00A110F0" w:rsidR="00A110F0" w:rsidP="00A110F0" w:rsidRDefault="00A110F0" w14:paraId="554824E5" w14:textId="77777777">
            <w:pPr>
              <w:keepNext/>
              <w:shd w:val="clear" w:color="auto" w:fill="5B9BD5" w:themeFill="accent1"/>
              <w:jc w:val="center"/>
              <w:rPr>
                <w:rFonts w:eastAsia="Calibri" w:asciiTheme="minorHAnsi" w:hAnsiTheme="minorHAnsi"/>
                <w:b/>
                <w:sz w:val="16"/>
                <w:szCs w:val="16"/>
              </w:rPr>
            </w:pPr>
            <w:r w:rsidRPr="00A110F0">
              <w:rPr>
                <w:rFonts w:eastAsia="Calibri" w:asciiTheme="minorHAnsi" w:hAnsiTheme="minorHAnsi"/>
                <w:b/>
                <w:sz w:val="16"/>
                <w:szCs w:val="16"/>
              </w:rPr>
              <w:t>Reason for change or adjustment</w:t>
            </w:r>
          </w:p>
        </w:tc>
      </w:tr>
      <w:tr w:rsidRPr="00A110F0" w:rsidR="00A110F0" w:rsidTr="005F6CB1" w14:paraId="33FAE640" w14:textId="77777777">
        <w:tc>
          <w:tcPr>
            <w:tcW w:w="2478" w:type="dxa"/>
            <w:vMerge/>
            <w:shd w:val="clear" w:color="auto" w:fill="5B9BD5" w:themeFill="accent1"/>
            <w:vAlign w:val="center"/>
          </w:tcPr>
          <w:p w:rsidRPr="00A110F0" w:rsidR="00A110F0" w:rsidP="00FD3D2A" w:rsidRDefault="00A110F0" w14:paraId="100D049B" w14:textId="77777777">
            <w:pPr>
              <w:keepNext/>
              <w:jc w:val="center"/>
              <w:rPr>
                <w:rFonts w:eastAsia="Calibri" w:asciiTheme="minorHAnsi" w:hAnsiTheme="minorHAnsi"/>
                <w:sz w:val="16"/>
                <w:szCs w:val="16"/>
              </w:rPr>
            </w:pPr>
          </w:p>
        </w:tc>
        <w:tc>
          <w:tcPr>
            <w:tcW w:w="1251" w:type="dxa"/>
            <w:tcBorders>
              <w:bottom w:val="single" w:color="auto" w:sz="4" w:space="0"/>
              <w:right w:val="dashSmallGap" w:color="auto" w:sz="4" w:space="0"/>
            </w:tcBorders>
            <w:shd w:val="clear" w:color="auto" w:fill="FBE4D5"/>
            <w:vAlign w:val="center"/>
          </w:tcPr>
          <w:p w:rsidRPr="00A110F0" w:rsidR="00A110F0" w:rsidP="00FD3D2A" w:rsidRDefault="00A110F0" w14:paraId="5E7675A4"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155" w:type="dxa"/>
            <w:tcBorders>
              <w:left w:val="dashSmallGap" w:color="auto" w:sz="4" w:space="0"/>
              <w:bottom w:val="single" w:color="auto" w:sz="4" w:space="0"/>
            </w:tcBorders>
            <w:shd w:val="clear" w:color="auto" w:fill="FBE4D5"/>
            <w:vAlign w:val="center"/>
          </w:tcPr>
          <w:p w:rsidRPr="00A110F0" w:rsidR="00A110F0" w:rsidP="00FD3D2A" w:rsidRDefault="00A110F0" w14:paraId="018BEB6D"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1058" w:type="dxa"/>
            <w:tcBorders>
              <w:right w:val="dashSmallGap" w:color="auto" w:sz="4" w:space="0"/>
            </w:tcBorders>
            <w:shd w:val="clear" w:color="auto" w:fill="FBE4D5"/>
            <w:vAlign w:val="center"/>
          </w:tcPr>
          <w:p w:rsidRPr="00A110F0" w:rsidR="00A110F0" w:rsidP="00FD3D2A" w:rsidRDefault="00A110F0" w14:paraId="6FD355B7"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Current</w:t>
            </w:r>
          </w:p>
        </w:tc>
        <w:tc>
          <w:tcPr>
            <w:tcW w:w="1252" w:type="dxa"/>
            <w:tcBorders>
              <w:left w:val="dashSmallGap" w:color="auto" w:sz="4" w:space="0"/>
            </w:tcBorders>
            <w:shd w:val="clear" w:color="auto" w:fill="FBE4D5"/>
            <w:vAlign w:val="center"/>
          </w:tcPr>
          <w:p w:rsidRPr="00A110F0" w:rsidR="00A110F0" w:rsidP="00FD3D2A" w:rsidRDefault="00A110F0" w14:paraId="198C3243" w14:textId="77777777">
            <w:pPr>
              <w:keepNext/>
              <w:jc w:val="center"/>
              <w:rPr>
                <w:rFonts w:eastAsia="Calibri" w:asciiTheme="minorHAnsi" w:hAnsiTheme="minorHAnsi"/>
                <w:sz w:val="16"/>
                <w:szCs w:val="16"/>
              </w:rPr>
            </w:pPr>
            <w:r w:rsidRPr="00A110F0">
              <w:rPr>
                <w:rFonts w:eastAsia="Calibri" w:asciiTheme="minorHAnsi" w:hAnsiTheme="minorHAnsi"/>
                <w:sz w:val="16"/>
                <w:szCs w:val="16"/>
              </w:rPr>
              <w:t>Previous</w:t>
            </w:r>
          </w:p>
        </w:tc>
        <w:tc>
          <w:tcPr>
            <w:tcW w:w="3403" w:type="dxa"/>
            <w:vMerge/>
            <w:tcBorders>
              <w:right w:val="single" w:color="auto" w:sz="4" w:space="0"/>
            </w:tcBorders>
            <w:shd w:val="clear" w:color="auto" w:fill="FBE4D5"/>
            <w:vAlign w:val="center"/>
          </w:tcPr>
          <w:p w:rsidRPr="00A110F0" w:rsidR="00A110F0" w:rsidP="00FD3D2A" w:rsidRDefault="00A110F0" w14:paraId="3270FF32" w14:textId="77777777">
            <w:pPr>
              <w:keepNext/>
              <w:rPr>
                <w:rFonts w:eastAsia="Calibri" w:asciiTheme="minorHAnsi" w:hAnsiTheme="minorHAnsi"/>
                <w:sz w:val="16"/>
                <w:szCs w:val="16"/>
              </w:rPr>
            </w:pPr>
          </w:p>
        </w:tc>
      </w:tr>
      <w:tr w:rsidRPr="00A110F0" w:rsidR="00AB3CA7" w:rsidTr="009F2B02" w14:paraId="42A843FA" w14:textId="77777777">
        <w:tc>
          <w:tcPr>
            <w:tcW w:w="2478" w:type="dxa"/>
            <w:shd w:val="clear" w:color="auto" w:fill="auto"/>
            <w:vAlign w:val="bottom"/>
          </w:tcPr>
          <w:p w:rsidRPr="00CA2B37" w:rsidR="00AB3CA7" w:rsidP="00DD5FE2" w:rsidRDefault="00AB3CA7" w14:paraId="596E7F56"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document renewal</w:t>
            </w:r>
          </w:p>
        </w:tc>
        <w:tc>
          <w:tcPr>
            <w:tcW w:w="1251" w:type="dxa"/>
            <w:tcBorders>
              <w:bottom w:val="dotted" w:color="auto" w:sz="4" w:space="0"/>
              <w:right w:val="dashSmallGap" w:color="auto" w:sz="4" w:space="0"/>
            </w:tcBorders>
            <w:shd w:val="clear" w:color="auto" w:fill="auto"/>
            <w:vAlign w:val="center"/>
          </w:tcPr>
          <w:p w:rsidRPr="00CA2B37" w:rsidR="00AB3CA7" w:rsidP="00420842" w:rsidRDefault="00AB3CA7" w14:paraId="7F17F309" w14:textId="0D542B0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$164.60</w:t>
            </w:r>
          </w:p>
        </w:tc>
        <w:tc>
          <w:tcPr>
            <w:tcW w:w="1155" w:type="dxa"/>
            <w:tcBorders>
              <w:left w:val="dashSmallGap" w:color="auto" w:sz="4" w:space="0"/>
              <w:bottom w:val="dotted" w:color="auto" w:sz="4" w:space="0"/>
            </w:tcBorders>
            <w:shd w:val="clear" w:color="auto" w:fill="auto"/>
            <w:vAlign w:val="center"/>
          </w:tcPr>
          <w:p w:rsidRPr="00A110F0" w:rsidR="00AB3CA7" w:rsidP="009F2B02" w:rsidRDefault="00AB3CA7" w14:paraId="54D39695" w14:textId="71042F04">
            <w:pPr>
              <w:keepNext/>
              <w:jc w:val="right"/>
              <w:rPr>
                <w:rFonts w:eastAsia="Calibri" w:asciiTheme="minorHAnsi" w:hAnsiTheme="minorHAnsi"/>
                <w:sz w:val="16"/>
                <w:szCs w:val="16"/>
              </w:rPr>
            </w:pPr>
            <w:r>
              <w:rPr>
                <w:rFonts w:ascii="Calibri" w:hAnsi="Calibri" w:cs="Calibri"/>
                <w:color w:val="000000"/>
                <w:sz w:val="16"/>
                <w:szCs w:val="16"/>
              </w:rPr>
              <w:t>$81.75</w:t>
            </w:r>
          </w:p>
        </w:tc>
        <w:tc>
          <w:tcPr>
            <w:tcW w:w="1058" w:type="dxa"/>
            <w:tcBorders>
              <w:left w:val="dotted" w:color="auto" w:sz="4" w:space="0"/>
              <w:bottom w:val="dotted" w:color="auto" w:sz="4" w:space="0"/>
              <w:right w:val="dashSmallGap" w:color="auto" w:sz="4" w:space="0"/>
            </w:tcBorders>
            <w:vAlign w:val="center"/>
          </w:tcPr>
          <w:p w:rsidRPr="00185785" w:rsidR="00AB3CA7" w:rsidP="00420842" w:rsidRDefault="00AB3CA7" w14:paraId="5444A4C6" w14:textId="488CAD7B">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$590</w:t>
            </w:r>
          </w:p>
        </w:tc>
        <w:tc>
          <w:tcPr>
            <w:tcW w:w="1252" w:type="dxa"/>
            <w:tcBorders>
              <w:left w:val="dashSmallGap" w:color="auto" w:sz="4" w:space="0"/>
              <w:bottom w:val="dotted" w:color="auto" w:sz="4" w:space="0"/>
              <w:right w:val="single" w:color="auto" w:sz="4" w:space="0"/>
            </w:tcBorders>
            <w:vAlign w:val="center"/>
          </w:tcPr>
          <w:p w:rsidRPr="00A110F0" w:rsidR="00AB3CA7" w:rsidP="009F2B02" w:rsidRDefault="00AB3CA7" w14:paraId="6872272E" w14:textId="57E8196E">
            <w:pPr>
              <w:keepNext/>
              <w:jc w:val="right"/>
              <w:rPr>
                <w:rFonts w:eastAsia="Calibri" w:asciiTheme="minorHAnsi" w:hAnsiTheme="minorHAnsi"/>
                <w:sz w:val="16"/>
                <w:szCs w:val="16"/>
              </w:rPr>
            </w:pPr>
            <w:r>
              <w:rPr>
                <w:rFonts w:ascii="Calibri" w:hAnsi="Calibri" w:cs="Calibri"/>
                <w:color w:val="000000"/>
                <w:sz w:val="16"/>
                <w:szCs w:val="16"/>
              </w:rPr>
              <w:t>$570</w:t>
            </w:r>
          </w:p>
        </w:tc>
        <w:tc>
          <w:tcPr>
            <w:tcW w:w="3403" w:type="dxa"/>
            <w:tcBorders>
              <w:left w:val="single" w:color="auto" w:sz="4" w:space="0"/>
              <w:right w:val="single" w:color="auto" w:sz="4" w:space="0"/>
            </w:tcBorders>
            <w:shd w:val="clear" w:color="auto" w:fill="auto"/>
            <w:vAlign w:val="center"/>
          </w:tcPr>
          <w:p w:rsidRPr="00A110F0" w:rsidR="00AB3CA7" w:rsidP="009E69AD" w:rsidRDefault="00AB3CA7" w14:paraId="7E55F516" w14:textId="23333EAF">
            <w:pPr>
              <w:keepNext/>
              <w:rPr>
                <w:rFonts w:eastAsia="Calibri" w:asciiTheme="minorHAnsi" w:hAnsiTheme="minorHAnsi"/>
                <w:sz w:val="16"/>
                <w:szCs w:val="16"/>
              </w:rPr>
            </w:pPr>
            <w:r>
              <w:rPr>
                <w:rFonts w:eastAsia="Calibri" w:asciiTheme="minorHAnsi" w:hAnsiTheme="minorHAnsi"/>
                <w:sz w:val="16"/>
                <w:szCs w:val="16"/>
              </w:rPr>
              <w:t>Updated labor costs and updated miscellaneous costs to reflect recently increased fees.</w:t>
            </w:r>
          </w:p>
        </w:tc>
      </w:tr>
      <w:tr w:rsidRPr="00A110F0" w:rsidR="00583936" w:rsidTr="009F2B02" w14:paraId="4F7B2546" w14:textId="77777777">
        <w:tc>
          <w:tcPr>
            <w:tcW w:w="2478" w:type="dxa"/>
            <w:shd w:val="clear" w:color="auto" w:fill="auto"/>
            <w:vAlign w:val="bottom"/>
          </w:tcPr>
          <w:p w:rsidRPr="00CA2B37" w:rsidR="00583936" w:rsidP="00583936" w:rsidRDefault="00583936" w14:paraId="4C44B8B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online renewal</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03703296" w14:textId="7E24715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$1112.40</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025144A4" w14:textId="571C20E4">
            <w:pPr>
              <w:keepNext/>
              <w:jc w:val="right"/>
              <w:rPr>
                <w:rFonts w:eastAsia="Calibri" w:asciiTheme="minorHAnsi" w:hAnsiTheme="minorHAnsi"/>
                <w:sz w:val="16"/>
                <w:szCs w:val="16"/>
              </w:rPr>
            </w:pPr>
            <w:r>
              <w:rPr>
                <w:rFonts w:ascii="Calibri" w:hAnsi="Calibri" w:cs="Calibri"/>
                <w:color w:val="000000"/>
                <w:sz w:val="16"/>
                <w:szCs w:val="16"/>
              </w:rPr>
              <w:t>$551.81</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02C2F823" w14:textId="3F92D31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$6210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0CB5FECF" w14:textId="6A1A7FB4">
            <w:pPr>
              <w:keepNext/>
              <w:jc w:val="right"/>
              <w:rPr>
                <w:rFonts w:eastAsia="Calibri" w:asciiTheme="minorHAnsi" w:hAnsiTheme="minorHAnsi"/>
                <w:sz w:val="16"/>
                <w:szCs w:val="16"/>
              </w:rPr>
            </w:pPr>
            <w:r>
              <w:rPr>
                <w:rFonts w:ascii="Calibri" w:hAnsi="Calibri" w:cs="Calibri"/>
                <w:color w:val="000000"/>
                <w:sz w:val="16"/>
                <w:szCs w:val="16"/>
              </w:rPr>
              <w:t>$4590</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3CFCF621" w14:textId="6EF3A6CF">
            <w:pPr>
              <w:keepNext/>
              <w:rPr>
                <w:rFonts w:eastAsia="Calibri" w:asciiTheme="minorHAnsi" w:hAnsiTheme="minorHAnsi"/>
                <w:sz w:val="16"/>
                <w:szCs w:val="16"/>
              </w:rPr>
            </w:pPr>
            <w:r>
              <w:rPr>
                <w:rFonts w:eastAsia="Calibri" w:asciiTheme="minorHAnsi" w:hAnsiTheme="minorHAnsi"/>
                <w:sz w:val="16"/>
                <w:szCs w:val="16"/>
              </w:rPr>
              <w:t>Updated labor costs and updated miscellaneous costs to reflect recently increased fees.</w:t>
            </w:r>
          </w:p>
        </w:tc>
      </w:tr>
      <w:tr w:rsidRPr="00A110F0" w:rsidR="00583936" w:rsidTr="009F2B02" w14:paraId="30358EC1" w14:textId="77777777">
        <w:tc>
          <w:tcPr>
            <w:tcW w:w="2478" w:type="dxa"/>
            <w:shd w:val="clear" w:color="auto" w:fill="auto"/>
            <w:vAlign w:val="bottom"/>
          </w:tcPr>
          <w:p w:rsidRPr="00CA2B37" w:rsidR="00583936" w:rsidP="00583936" w:rsidRDefault="00583936" w14:paraId="4251DB87"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Hawaii longline limited entry permit transfer</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595F8F80" w14:textId="4D4794A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$659.20</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421109F3" w14:textId="6D26BD64">
            <w:pPr>
              <w:keepNext/>
              <w:jc w:val="right"/>
              <w:rPr>
                <w:rFonts w:eastAsia="Calibri" w:asciiTheme="minorHAnsi" w:hAnsiTheme="minorHAnsi"/>
                <w:sz w:val="16"/>
                <w:szCs w:val="16"/>
              </w:rPr>
            </w:pPr>
            <w:r>
              <w:rPr>
                <w:rFonts w:ascii="Calibri" w:hAnsi="Calibri" w:cs="Calibri"/>
                <w:color w:val="000000"/>
                <w:sz w:val="16"/>
                <w:szCs w:val="16"/>
              </w:rPr>
              <w:t>$327.00</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22B79110" w14:textId="6A14F1C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$1180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7744C7DC" w14:textId="2CC29181">
            <w:pPr>
              <w:keepNext/>
              <w:jc w:val="right"/>
              <w:rPr>
                <w:rFonts w:eastAsia="Calibri" w:asciiTheme="minorHAnsi" w:hAnsiTheme="minorHAnsi"/>
                <w:sz w:val="16"/>
                <w:szCs w:val="16"/>
              </w:rPr>
            </w:pPr>
            <w:r>
              <w:rPr>
                <w:rFonts w:ascii="Calibri" w:hAnsi="Calibri" w:cs="Calibri"/>
                <w:color w:val="000000"/>
                <w:sz w:val="16"/>
                <w:szCs w:val="16"/>
              </w:rPr>
              <w:t>$1140</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24B433D7" w14:textId="14534D99">
            <w:pPr>
              <w:keepNext/>
              <w:rPr>
                <w:rFonts w:eastAsia="Calibri" w:asciiTheme="minorHAnsi" w:hAnsiTheme="minorHAnsi"/>
                <w:sz w:val="16"/>
                <w:szCs w:val="16"/>
              </w:rPr>
            </w:pPr>
            <w:r>
              <w:rPr>
                <w:rFonts w:eastAsia="Calibri" w:asciiTheme="minorHAnsi" w:hAnsiTheme="minorHAnsi"/>
                <w:sz w:val="16"/>
                <w:szCs w:val="16"/>
              </w:rPr>
              <w:t>Updated labor costs and updated miscellaneous costs to reflect recently increased fees.</w:t>
            </w:r>
          </w:p>
        </w:tc>
      </w:tr>
      <w:tr w:rsidRPr="00A110F0" w:rsidR="00583936" w:rsidTr="009F2B02" w14:paraId="71A58625" w14:textId="77777777">
        <w:tc>
          <w:tcPr>
            <w:tcW w:w="2478" w:type="dxa"/>
            <w:shd w:val="clear" w:color="auto" w:fill="auto"/>
            <w:vAlign w:val="bottom"/>
          </w:tcPr>
          <w:p w:rsidRPr="00CA2B37" w:rsidR="00583936" w:rsidP="00583936" w:rsidRDefault="00583936" w14:paraId="11B25F2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Longline Prohibited Area Exemption</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02FA0BC1" w14:textId="5548F73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$65.92</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4DA1ACC0" w14:textId="208DB467">
            <w:pPr>
              <w:keepNext/>
              <w:jc w:val="right"/>
              <w:rPr>
                <w:rFonts w:eastAsia="Calibri" w:asciiTheme="minorHAnsi" w:hAnsiTheme="minorHAnsi"/>
                <w:sz w:val="16"/>
                <w:szCs w:val="16"/>
              </w:rPr>
            </w:pPr>
            <w:r>
              <w:rPr>
                <w:rFonts w:ascii="Calibri" w:hAnsi="Calibri" w:cs="Calibri"/>
                <w:color w:val="000000"/>
                <w:sz w:val="16"/>
                <w:szCs w:val="16"/>
              </w:rPr>
              <w:t>$32.70</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4E6D2016" w14:textId="6928F88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4B74D0C5" w14:textId="44092417">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583936" w:rsidP="0079663C" w:rsidRDefault="00583936" w14:paraId="5B79FB2B" w14:textId="7E26E02C">
            <w:pPr>
              <w:keepNext/>
              <w:rPr>
                <w:rFonts w:eastAsia="Calibri" w:asciiTheme="minorHAnsi" w:hAnsiTheme="minorHAnsi"/>
                <w:sz w:val="16"/>
                <w:szCs w:val="16"/>
              </w:rPr>
            </w:pPr>
            <w:r>
              <w:rPr>
                <w:rFonts w:eastAsia="Calibri" w:asciiTheme="minorHAnsi" w:hAnsiTheme="minorHAnsi"/>
                <w:sz w:val="16"/>
                <w:szCs w:val="16"/>
              </w:rPr>
              <w:t>Updated labor</w:t>
            </w:r>
            <w:r w:rsidR="0079663C">
              <w:rPr>
                <w:rFonts w:eastAsia="Calibri" w:asciiTheme="minorHAnsi" w:hAnsiTheme="minorHAnsi"/>
                <w:sz w:val="16"/>
                <w:szCs w:val="16"/>
              </w:rPr>
              <w:t xml:space="preserve"> costs</w:t>
            </w:r>
            <w:r>
              <w:rPr>
                <w:rFonts w:eastAsia="Calibri" w:asciiTheme="minorHAnsi" w:hAnsiTheme="minorHAnsi"/>
                <w:sz w:val="16"/>
                <w:szCs w:val="16"/>
              </w:rPr>
              <w:t>.</w:t>
            </w:r>
          </w:p>
        </w:tc>
      </w:tr>
      <w:tr w:rsidRPr="00A110F0" w:rsidR="0079663C" w:rsidTr="009F2B02" w14:paraId="334B4025" w14:textId="77777777">
        <w:tc>
          <w:tcPr>
            <w:tcW w:w="2478" w:type="dxa"/>
            <w:shd w:val="clear" w:color="auto" w:fill="auto"/>
            <w:vAlign w:val="bottom"/>
          </w:tcPr>
          <w:p w:rsidRPr="00CA2B37" w:rsidR="0079663C" w:rsidP="0079663C" w:rsidRDefault="0079663C" w14:paraId="76183E5C"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general longline permit application</w:t>
            </w:r>
          </w:p>
        </w:tc>
        <w:tc>
          <w:tcPr>
            <w:tcW w:w="1251" w:type="dxa"/>
            <w:tcBorders>
              <w:bottom w:val="dotted" w:color="auto" w:sz="4" w:space="0"/>
              <w:right w:val="dashSmallGap" w:color="auto" w:sz="4" w:space="0"/>
            </w:tcBorders>
            <w:shd w:val="clear" w:color="auto" w:fill="auto"/>
            <w:vAlign w:val="center"/>
          </w:tcPr>
          <w:p w:rsidRPr="00CA2B37" w:rsidR="0079663C" w:rsidP="0079663C" w:rsidRDefault="0079663C" w14:paraId="1B1D589E" w14:textId="0C0116A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c>
          <w:tcPr>
            <w:tcW w:w="1155" w:type="dxa"/>
            <w:tcBorders>
              <w:left w:val="dashSmallGap" w:color="auto" w:sz="4" w:space="0"/>
              <w:bottom w:val="dotted" w:color="auto" w:sz="4" w:space="0"/>
            </w:tcBorders>
            <w:shd w:val="clear" w:color="auto" w:fill="auto"/>
            <w:vAlign w:val="center"/>
          </w:tcPr>
          <w:p w:rsidRPr="00A110F0" w:rsidR="0079663C" w:rsidP="0079663C" w:rsidRDefault="0079663C" w14:paraId="4FDD6F5A" w14:textId="1D5CF10D">
            <w:pPr>
              <w:keepNext/>
              <w:jc w:val="right"/>
              <w:rPr>
                <w:rFonts w:eastAsia="Calibri" w:asciiTheme="minorHAnsi" w:hAnsiTheme="minorHAnsi"/>
                <w:sz w:val="16"/>
                <w:szCs w:val="16"/>
              </w:rPr>
            </w:pPr>
            <w:r>
              <w:rPr>
                <w:rFonts w:ascii="Calibri" w:hAnsi="Calibri" w:cs="Calibri"/>
                <w:color w:val="000000"/>
                <w:sz w:val="16"/>
                <w:szCs w:val="16"/>
              </w:rPr>
              <w:t>$8.18</w:t>
            </w:r>
          </w:p>
        </w:tc>
        <w:tc>
          <w:tcPr>
            <w:tcW w:w="1058" w:type="dxa"/>
            <w:tcBorders>
              <w:left w:val="dotted" w:color="auto" w:sz="4" w:space="0"/>
              <w:bottom w:val="dotted" w:color="auto" w:sz="4" w:space="0"/>
              <w:right w:val="dashSmallGap" w:color="auto" w:sz="4" w:space="0"/>
            </w:tcBorders>
            <w:vAlign w:val="center"/>
          </w:tcPr>
          <w:p w:rsidRPr="00185785" w:rsidR="0079663C" w:rsidP="0079663C" w:rsidRDefault="0079663C" w14:paraId="7D05B43F" w14:textId="3951E6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79663C" w:rsidP="0079663C" w:rsidRDefault="0079663C" w14:paraId="5EE0CBF2" w14:textId="5D117639">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79663C" w:rsidP="0079663C" w:rsidRDefault="0079663C" w14:paraId="70FCF4E1" w14:textId="5F2B833C">
            <w:pPr>
              <w:keepNext/>
              <w:rPr>
                <w:rFonts w:eastAsia="Calibri" w:asciiTheme="minorHAnsi" w:hAnsiTheme="minorHAnsi"/>
                <w:sz w:val="16"/>
                <w:szCs w:val="16"/>
              </w:rPr>
            </w:pPr>
            <w:r>
              <w:rPr>
                <w:rFonts w:eastAsia="Calibri" w:asciiTheme="minorHAnsi" w:hAnsiTheme="minorHAnsi"/>
                <w:sz w:val="16"/>
                <w:szCs w:val="16"/>
              </w:rPr>
              <w:t>Updated labor costs.</w:t>
            </w:r>
          </w:p>
        </w:tc>
      </w:tr>
      <w:tr w:rsidRPr="00A110F0" w:rsidR="0079663C" w:rsidTr="009F2B02" w14:paraId="1DB8F514" w14:textId="77777777">
        <w:tc>
          <w:tcPr>
            <w:tcW w:w="2478" w:type="dxa"/>
            <w:shd w:val="clear" w:color="auto" w:fill="auto"/>
            <w:vAlign w:val="bottom"/>
          </w:tcPr>
          <w:p w:rsidRPr="00CA2B37" w:rsidR="0079663C" w:rsidP="0079663C" w:rsidRDefault="0079663C" w14:paraId="68E88E33"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receiving vessel permit application</w:t>
            </w:r>
          </w:p>
        </w:tc>
        <w:tc>
          <w:tcPr>
            <w:tcW w:w="1251" w:type="dxa"/>
            <w:tcBorders>
              <w:bottom w:val="dotted" w:color="auto" w:sz="4" w:space="0"/>
              <w:right w:val="dashSmallGap" w:color="auto" w:sz="4" w:space="0"/>
            </w:tcBorders>
            <w:shd w:val="clear" w:color="auto" w:fill="auto"/>
            <w:vAlign w:val="center"/>
          </w:tcPr>
          <w:p w:rsidRPr="00CA2B37" w:rsidR="0079663C" w:rsidP="0079663C" w:rsidRDefault="0079663C" w14:paraId="3CA434A9" w14:textId="110D2AA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$164.80</w:t>
            </w:r>
          </w:p>
        </w:tc>
        <w:tc>
          <w:tcPr>
            <w:tcW w:w="1155" w:type="dxa"/>
            <w:tcBorders>
              <w:left w:val="dashSmallGap" w:color="auto" w:sz="4" w:space="0"/>
              <w:bottom w:val="dotted" w:color="auto" w:sz="4" w:space="0"/>
            </w:tcBorders>
            <w:shd w:val="clear" w:color="auto" w:fill="auto"/>
            <w:vAlign w:val="center"/>
          </w:tcPr>
          <w:p w:rsidRPr="00A110F0" w:rsidR="0079663C" w:rsidP="0079663C" w:rsidRDefault="0079663C" w14:paraId="02851416" w14:textId="1A2CD7F5">
            <w:pPr>
              <w:keepNext/>
              <w:jc w:val="right"/>
              <w:rPr>
                <w:rFonts w:eastAsia="Calibri" w:asciiTheme="minorHAnsi" w:hAnsiTheme="minorHAnsi"/>
                <w:sz w:val="16"/>
                <w:szCs w:val="16"/>
              </w:rPr>
            </w:pPr>
            <w:r>
              <w:rPr>
                <w:rFonts w:ascii="Calibri" w:hAnsi="Calibri" w:cs="Calibri"/>
                <w:color w:val="000000"/>
                <w:sz w:val="16"/>
                <w:szCs w:val="16"/>
              </w:rPr>
              <w:t>$81.75</w:t>
            </w:r>
          </w:p>
        </w:tc>
        <w:tc>
          <w:tcPr>
            <w:tcW w:w="1058" w:type="dxa"/>
            <w:tcBorders>
              <w:left w:val="dotted" w:color="auto" w:sz="4" w:space="0"/>
              <w:bottom w:val="dotted" w:color="auto" w:sz="4" w:space="0"/>
              <w:right w:val="dashSmallGap" w:color="auto" w:sz="4" w:space="0"/>
            </w:tcBorders>
            <w:vAlign w:val="center"/>
          </w:tcPr>
          <w:p w:rsidRPr="00185785" w:rsidR="0079663C" w:rsidP="0079663C" w:rsidRDefault="0079663C" w14:paraId="4660378E" w14:textId="501AFC3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79663C" w:rsidP="0079663C" w:rsidRDefault="0079663C" w14:paraId="744018D4" w14:textId="63C6D4B5">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79663C" w:rsidP="0079663C" w:rsidRDefault="0079663C" w14:paraId="5A05707B" w14:textId="4A06C509">
            <w:pPr>
              <w:keepNext/>
              <w:rPr>
                <w:rFonts w:eastAsia="Calibri" w:asciiTheme="minorHAnsi" w:hAnsiTheme="minorHAnsi"/>
                <w:sz w:val="16"/>
                <w:szCs w:val="16"/>
              </w:rPr>
            </w:pPr>
            <w:r>
              <w:rPr>
                <w:rFonts w:eastAsia="Calibri" w:asciiTheme="minorHAnsi" w:hAnsiTheme="minorHAnsi"/>
                <w:sz w:val="16"/>
                <w:szCs w:val="16"/>
              </w:rPr>
              <w:t>Updated labor costs.</w:t>
            </w:r>
          </w:p>
        </w:tc>
      </w:tr>
      <w:tr w:rsidRPr="00A110F0" w:rsidR="0079663C" w:rsidTr="009F2B02" w14:paraId="0FDBF93D" w14:textId="77777777">
        <w:tc>
          <w:tcPr>
            <w:tcW w:w="2478" w:type="dxa"/>
            <w:shd w:val="clear" w:color="auto" w:fill="auto"/>
            <w:vAlign w:val="bottom"/>
          </w:tcPr>
          <w:p w:rsidRPr="00CA2B37" w:rsidR="0079663C" w:rsidP="0079663C" w:rsidRDefault="0079663C" w14:paraId="5B9EC44D"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troll and handline permit application</w:t>
            </w:r>
          </w:p>
        </w:tc>
        <w:tc>
          <w:tcPr>
            <w:tcW w:w="1251" w:type="dxa"/>
            <w:tcBorders>
              <w:bottom w:val="dotted" w:color="auto" w:sz="4" w:space="0"/>
              <w:right w:val="dashSmallGap" w:color="auto" w:sz="4" w:space="0"/>
            </w:tcBorders>
            <w:shd w:val="clear" w:color="auto" w:fill="auto"/>
            <w:vAlign w:val="center"/>
          </w:tcPr>
          <w:p w:rsidRPr="00CA2B37" w:rsidR="0079663C" w:rsidP="0079663C" w:rsidRDefault="0079663C" w14:paraId="74DD951D" w14:textId="33E48E5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$49.44</w:t>
            </w:r>
          </w:p>
        </w:tc>
        <w:tc>
          <w:tcPr>
            <w:tcW w:w="1155" w:type="dxa"/>
            <w:tcBorders>
              <w:left w:val="dashSmallGap" w:color="auto" w:sz="4" w:space="0"/>
              <w:bottom w:val="dotted" w:color="auto" w:sz="4" w:space="0"/>
            </w:tcBorders>
            <w:shd w:val="clear" w:color="auto" w:fill="auto"/>
            <w:vAlign w:val="center"/>
          </w:tcPr>
          <w:p w:rsidRPr="00A110F0" w:rsidR="0079663C" w:rsidP="0079663C" w:rsidRDefault="0079663C" w14:paraId="73AE5CE3" w14:textId="63094DFE">
            <w:pPr>
              <w:keepNext/>
              <w:jc w:val="right"/>
              <w:rPr>
                <w:rFonts w:eastAsia="Calibri" w:asciiTheme="minorHAnsi" w:hAnsiTheme="minorHAnsi"/>
                <w:sz w:val="16"/>
                <w:szCs w:val="16"/>
              </w:rPr>
            </w:pPr>
            <w:r>
              <w:rPr>
                <w:rFonts w:ascii="Calibri" w:hAnsi="Calibri" w:cs="Calibri"/>
                <w:color w:val="000000"/>
                <w:sz w:val="16"/>
                <w:szCs w:val="16"/>
              </w:rPr>
              <w:t>$24.52</w:t>
            </w:r>
          </w:p>
        </w:tc>
        <w:tc>
          <w:tcPr>
            <w:tcW w:w="1058" w:type="dxa"/>
            <w:tcBorders>
              <w:left w:val="dotted" w:color="auto" w:sz="4" w:space="0"/>
              <w:bottom w:val="dotted" w:color="auto" w:sz="4" w:space="0"/>
              <w:right w:val="dashSmallGap" w:color="auto" w:sz="4" w:space="0"/>
            </w:tcBorders>
            <w:vAlign w:val="center"/>
          </w:tcPr>
          <w:p w:rsidRPr="00185785" w:rsidR="0079663C" w:rsidP="0079663C" w:rsidRDefault="0079663C" w14:paraId="032E6B47" w14:textId="6534926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79663C" w:rsidP="0079663C" w:rsidRDefault="0079663C" w14:paraId="26D62B2E" w14:textId="46AF95DA">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79663C" w:rsidP="0079663C" w:rsidRDefault="0079663C" w14:paraId="014359E3" w14:textId="25F1A7CF">
            <w:pPr>
              <w:keepNext/>
              <w:rPr>
                <w:rFonts w:eastAsia="Calibri" w:asciiTheme="minorHAnsi" w:hAnsiTheme="minorHAnsi"/>
                <w:sz w:val="16"/>
                <w:szCs w:val="16"/>
              </w:rPr>
            </w:pPr>
            <w:r>
              <w:rPr>
                <w:rFonts w:eastAsia="Calibri" w:asciiTheme="minorHAnsi" w:hAnsiTheme="minorHAnsi"/>
                <w:sz w:val="16"/>
                <w:szCs w:val="16"/>
              </w:rPr>
              <w:t>Updated labor costs.</w:t>
            </w:r>
          </w:p>
        </w:tc>
      </w:tr>
      <w:tr w:rsidRPr="00A110F0" w:rsidR="0079663C" w:rsidTr="009F2B02" w14:paraId="2E583BA4" w14:textId="77777777">
        <w:tc>
          <w:tcPr>
            <w:tcW w:w="2478" w:type="dxa"/>
            <w:shd w:val="clear" w:color="auto" w:fill="auto"/>
            <w:vAlign w:val="bottom"/>
          </w:tcPr>
          <w:p w:rsidRPr="00CA2B37" w:rsidR="0079663C" w:rsidP="0079663C" w:rsidRDefault="0079663C" w14:paraId="04F54D3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Guam large vessel bottomfish permit application</w:t>
            </w:r>
          </w:p>
        </w:tc>
        <w:tc>
          <w:tcPr>
            <w:tcW w:w="1251" w:type="dxa"/>
            <w:tcBorders>
              <w:bottom w:val="dotted" w:color="auto" w:sz="4" w:space="0"/>
              <w:right w:val="dashSmallGap" w:color="auto" w:sz="4" w:space="0"/>
            </w:tcBorders>
            <w:shd w:val="clear" w:color="auto" w:fill="auto"/>
            <w:vAlign w:val="center"/>
          </w:tcPr>
          <w:p w:rsidRPr="00CA2B37" w:rsidR="0079663C" w:rsidP="0079663C" w:rsidRDefault="0079663C" w14:paraId="51A0E55A" w14:textId="6C655EDA">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c>
          <w:tcPr>
            <w:tcW w:w="1155" w:type="dxa"/>
            <w:tcBorders>
              <w:left w:val="dashSmallGap" w:color="auto" w:sz="4" w:space="0"/>
              <w:bottom w:val="dotted" w:color="auto" w:sz="4" w:space="0"/>
            </w:tcBorders>
            <w:shd w:val="clear" w:color="auto" w:fill="auto"/>
            <w:vAlign w:val="center"/>
          </w:tcPr>
          <w:p w:rsidRPr="00A110F0" w:rsidR="0079663C" w:rsidP="0079663C" w:rsidRDefault="0079663C" w14:paraId="248B9B21" w14:textId="1F921447">
            <w:pPr>
              <w:keepNext/>
              <w:jc w:val="right"/>
              <w:rPr>
                <w:rFonts w:eastAsia="Calibri" w:asciiTheme="minorHAnsi" w:hAnsiTheme="minorHAnsi"/>
                <w:sz w:val="16"/>
                <w:szCs w:val="16"/>
              </w:rPr>
            </w:pPr>
            <w:r>
              <w:rPr>
                <w:rFonts w:ascii="Calibri" w:hAnsi="Calibri" w:cs="Calibri"/>
                <w:color w:val="000000"/>
                <w:sz w:val="16"/>
                <w:szCs w:val="16"/>
              </w:rPr>
              <w:t>$8.18</w:t>
            </w:r>
          </w:p>
        </w:tc>
        <w:tc>
          <w:tcPr>
            <w:tcW w:w="1058" w:type="dxa"/>
            <w:tcBorders>
              <w:left w:val="dotted" w:color="auto" w:sz="4" w:space="0"/>
              <w:bottom w:val="dotted" w:color="auto" w:sz="4" w:space="0"/>
              <w:right w:val="dashSmallGap" w:color="auto" w:sz="4" w:space="0"/>
            </w:tcBorders>
            <w:vAlign w:val="center"/>
          </w:tcPr>
          <w:p w:rsidRPr="00185785" w:rsidR="0079663C" w:rsidP="0079663C" w:rsidRDefault="0079663C" w14:paraId="1ACB12AA" w14:textId="320B2B6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79663C" w:rsidP="0079663C" w:rsidRDefault="0079663C" w14:paraId="7B97B6C8" w14:textId="2C64C41D">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79663C" w:rsidP="0079663C" w:rsidRDefault="0079663C" w14:paraId="064C0B40" w14:textId="4736D4CB">
            <w:pPr>
              <w:keepNext/>
              <w:rPr>
                <w:rFonts w:eastAsia="Calibri" w:asciiTheme="minorHAnsi" w:hAnsiTheme="minorHAnsi"/>
                <w:sz w:val="16"/>
                <w:szCs w:val="16"/>
              </w:rPr>
            </w:pPr>
            <w:r>
              <w:rPr>
                <w:rFonts w:eastAsia="Calibri" w:asciiTheme="minorHAnsi" w:hAnsiTheme="minorHAnsi"/>
                <w:sz w:val="16"/>
                <w:szCs w:val="16"/>
              </w:rPr>
              <w:t>Updated labor costs.</w:t>
            </w:r>
            <w:bookmarkStart w:name="_GoBack" w:id="0"/>
            <w:bookmarkEnd w:id="0"/>
          </w:p>
        </w:tc>
      </w:tr>
      <w:tr w:rsidRPr="00A110F0" w:rsidR="0079663C" w:rsidTr="009F2B02" w14:paraId="6D6BA21E" w14:textId="77777777">
        <w:tc>
          <w:tcPr>
            <w:tcW w:w="2478" w:type="dxa"/>
            <w:shd w:val="clear" w:color="auto" w:fill="auto"/>
            <w:vAlign w:val="bottom"/>
          </w:tcPr>
          <w:p w:rsidRPr="00CA2B37" w:rsidR="0079663C" w:rsidP="0079663C" w:rsidRDefault="0079663C" w14:paraId="09F4CE8F"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PRIA bottomfish permit application</w:t>
            </w:r>
          </w:p>
        </w:tc>
        <w:tc>
          <w:tcPr>
            <w:tcW w:w="1251" w:type="dxa"/>
            <w:tcBorders>
              <w:bottom w:val="dotted" w:color="auto" w:sz="4" w:space="0"/>
              <w:right w:val="dashSmallGap" w:color="auto" w:sz="4" w:space="0"/>
            </w:tcBorders>
            <w:shd w:val="clear" w:color="auto" w:fill="auto"/>
            <w:vAlign w:val="center"/>
          </w:tcPr>
          <w:p w:rsidRPr="00CA2B37" w:rsidR="0079663C" w:rsidP="0079663C" w:rsidRDefault="0079663C" w14:paraId="0FA4FE79" w14:textId="4A624C19">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w:t>
            </w:r>
          </w:p>
        </w:tc>
        <w:tc>
          <w:tcPr>
            <w:tcW w:w="1155" w:type="dxa"/>
            <w:tcBorders>
              <w:left w:val="dashSmallGap" w:color="auto" w:sz="4" w:space="0"/>
              <w:bottom w:val="dotted" w:color="auto" w:sz="4" w:space="0"/>
            </w:tcBorders>
            <w:shd w:val="clear" w:color="auto" w:fill="auto"/>
            <w:vAlign w:val="center"/>
          </w:tcPr>
          <w:p w:rsidRPr="00A110F0" w:rsidR="0079663C" w:rsidP="0079663C" w:rsidRDefault="0079663C" w14:paraId="47C3161D" w14:textId="7961672E">
            <w:pPr>
              <w:keepNext/>
              <w:jc w:val="right"/>
              <w:rPr>
                <w:rFonts w:eastAsia="Calibri" w:asciiTheme="minorHAnsi" w:hAnsiTheme="minorHAnsi"/>
                <w:sz w:val="16"/>
                <w:szCs w:val="16"/>
              </w:rPr>
            </w:pPr>
            <w:r>
              <w:rPr>
                <w:rFonts w:ascii="Calibri" w:hAnsi="Calibri" w:cs="Calibri"/>
                <w:color w:val="000000"/>
                <w:sz w:val="16"/>
                <w:szCs w:val="16"/>
              </w:rPr>
              <w:t>$16.35</w:t>
            </w:r>
          </w:p>
        </w:tc>
        <w:tc>
          <w:tcPr>
            <w:tcW w:w="1058" w:type="dxa"/>
            <w:tcBorders>
              <w:left w:val="dotted" w:color="auto" w:sz="4" w:space="0"/>
              <w:bottom w:val="dotted" w:color="auto" w:sz="4" w:space="0"/>
              <w:right w:val="dashSmallGap" w:color="auto" w:sz="4" w:space="0"/>
            </w:tcBorders>
            <w:vAlign w:val="center"/>
          </w:tcPr>
          <w:p w:rsidRPr="00185785" w:rsidR="0079663C" w:rsidP="0079663C" w:rsidRDefault="0079663C" w14:paraId="22342C2E" w14:textId="5184589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79663C" w:rsidP="0079663C" w:rsidRDefault="0079663C" w14:paraId="468FABCA" w14:textId="30D67D66">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79663C" w:rsidP="0079663C" w:rsidRDefault="0079663C" w14:paraId="10BE3E60" w14:textId="748A899B">
            <w:pPr>
              <w:keepNext/>
              <w:rPr>
                <w:rFonts w:eastAsia="Calibri" w:asciiTheme="minorHAnsi" w:hAnsiTheme="minorHAnsi"/>
                <w:sz w:val="16"/>
                <w:szCs w:val="16"/>
              </w:rPr>
            </w:pPr>
            <w:r>
              <w:rPr>
                <w:rFonts w:eastAsia="Calibri" w:asciiTheme="minorHAnsi" w:hAnsiTheme="minorHAnsi"/>
                <w:sz w:val="16"/>
                <w:szCs w:val="16"/>
              </w:rPr>
              <w:t>Updated labor costs.</w:t>
            </w:r>
          </w:p>
        </w:tc>
      </w:tr>
      <w:tr w:rsidRPr="00A110F0" w:rsidR="0079663C" w:rsidTr="009F2B02" w14:paraId="7C210CC5" w14:textId="77777777">
        <w:tc>
          <w:tcPr>
            <w:tcW w:w="2478" w:type="dxa"/>
            <w:shd w:val="clear" w:color="auto" w:fill="auto"/>
            <w:vAlign w:val="bottom"/>
          </w:tcPr>
          <w:p w:rsidRPr="00CA2B37" w:rsidR="0079663C" w:rsidP="0079663C" w:rsidRDefault="0079663C" w14:paraId="55375068"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WP Precious Coral permit application</w:t>
            </w:r>
          </w:p>
        </w:tc>
        <w:tc>
          <w:tcPr>
            <w:tcW w:w="1251" w:type="dxa"/>
            <w:tcBorders>
              <w:bottom w:val="dotted" w:color="auto" w:sz="4" w:space="0"/>
              <w:right w:val="dashSmallGap" w:color="auto" w:sz="4" w:space="0"/>
            </w:tcBorders>
            <w:shd w:val="clear" w:color="auto" w:fill="auto"/>
            <w:vAlign w:val="center"/>
          </w:tcPr>
          <w:p w:rsidRPr="00CA2B37" w:rsidR="0079663C" w:rsidP="0079663C" w:rsidRDefault="0079663C" w14:paraId="46149B32" w14:textId="02A16AC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c>
          <w:tcPr>
            <w:tcW w:w="1155" w:type="dxa"/>
            <w:tcBorders>
              <w:left w:val="dashSmallGap" w:color="auto" w:sz="4" w:space="0"/>
              <w:bottom w:val="dotted" w:color="auto" w:sz="4" w:space="0"/>
            </w:tcBorders>
            <w:shd w:val="clear" w:color="auto" w:fill="auto"/>
            <w:vAlign w:val="center"/>
          </w:tcPr>
          <w:p w:rsidRPr="00A110F0" w:rsidR="0079663C" w:rsidP="0079663C" w:rsidRDefault="0079663C" w14:paraId="1F9298D8" w14:textId="762545F9">
            <w:pPr>
              <w:keepNext/>
              <w:jc w:val="right"/>
              <w:rPr>
                <w:rFonts w:eastAsia="Calibri" w:asciiTheme="minorHAnsi" w:hAnsiTheme="minorHAnsi"/>
                <w:sz w:val="16"/>
                <w:szCs w:val="16"/>
              </w:rPr>
            </w:pPr>
            <w:r>
              <w:rPr>
                <w:rFonts w:ascii="Calibri" w:hAnsi="Calibri" w:cs="Calibri"/>
                <w:color w:val="000000"/>
                <w:sz w:val="16"/>
                <w:szCs w:val="16"/>
              </w:rPr>
              <w:t>$8.18</w:t>
            </w:r>
          </w:p>
        </w:tc>
        <w:tc>
          <w:tcPr>
            <w:tcW w:w="1058" w:type="dxa"/>
            <w:tcBorders>
              <w:left w:val="dotted" w:color="auto" w:sz="4" w:space="0"/>
              <w:bottom w:val="dotted" w:color="auto" w:sz="4" w:space="0"/>
              <w:right w:val="dashSmallGap" w:color="auto" w:sz="4" w:space="0"/>
            </w:tcBorders>
            <w:vAlign w:val="center"/>
          </w:tcPr>
          <w:p w:rsidRPr="00185785" w:rsidR="0079663C" w:rsidP="0079663C" w:rsidRDefault="0079663C" w14:paraId="55FE5B7A" w14:textId="175D8DA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79663C" w:rsidP="0079663C" w:rsidRDefault="0079663C" w14:paraId="1A083C54" w14:textId="1F9156F6">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79663C" w:rsidP="0079663C" w:rsidRDefault="0079663C" w14:paraId="48FF104C" w14:textId="52BCA535">
            <w:pPr>
              <w:keepNext/>
              <w:rPr>
                <w:rFonts w:eastAsia="Calibri" w:asciiTheme="minorHAnsi" w:hAnsiTheme="minorHAnsi"/>
                <w:sz w:val="16"/>
                <w:szCs w:val="16"/>
              </w:rPr>
            </w:pPr>
            <w:r>
              <w:rPr>
                <w:rFonts w:eastAsia="Calibri" w:asciiTheme="minorHAnsi" w:hAnsiTheme="minorHAnsi"/>
                <w:sz w:val="16"/>
                <w:szCs w:val="16"/>
              </w:rPr>
              <w:t>Updated labor costs.</w:t>
            </w:r>
          </w:p>
        </w:tc>
      </w:tr>
      <w:tr w:rsidRPr="00A110F0" w:rsidR="00583936" w:rsidTr="009F2B02" w14:paraId="736C5D53" w14:textId="77777777">
        <w:tc>
          <w:tcPr>
            <w:tcW w:w="2478" w:type="dxa"/>
            <w:shd w:val="clear" w:color="auto" w:fill="auto"/>
            <w:vAlign w:val="bottom"/>
          </w:tcPr>
          <w:p w:rsidRPr="00CA2B37" w:rsidR="00583936" w:rsidP="00583936" w:rsidRDefault="00583936" w14:paraId="1AF3E79E"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American Samoa Longline Limited Entry application for renewal, transfer, or additional permit</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1A094A3A" w14:textId="63D8013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$1236.00</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717164E4" w14:textId="36E03DCD">
            <w:pPr>
              <w:keepNext/>
              <w:jc w:val="right"/>
              <w:rPr>
                <w:rFonts w:eastAsia="Calibri" w:asciiTheme="minorHAnsi" w:hAnsiTheme="minorHAnsi"/>
                <w:sz w:val="16"/>
                <w:szCs w:val="16"/>
              </w:rPr>
            </w:pPr>
            <w:r>
              <w:rPr>
                <w:rFonts w:ascii="Calibri" w:hAnsi="Calibri" w:cs="Calibri"/>
                <w:color w:val="000000"/>
                <w:sz w:val="16"/>
                <w:szCs w:val="16"/>
              </w:rPr>
              <w:t>$613.12</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26386628" w14:textId="16DA6D9F">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$2760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5CB3D296" w14:textId="76CE7602">
            <w:pPr>
              <w:keepNext/>
              <w:jc w:val="right"/>
              <w:rPr>
                <w:rFonts w:eastAsia="Calibri" w:asciiTheme="minorHAnsi" w:hAnsiTheme="minorHAnsi"/>
                <w:sz w:val="16"/>
                <w:szCs w:val="16"/>
              </w:rPr>
            </w:pPr>
            <w:r>
              <w:rPr>
                <w:rFonts w:ascii="Calibri" w:hAnsi="Calibri" w:cs="Calibri"/>
                <w:color w:val="000000"/>
                <w:sz w:val="16"/>
                <w:szCs w:val="16"/>
              </w:rPr>
              <w:t>$2070</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79A2BE53" w14:textId="02086556">
            <w:pPr>
              <w:keepNext/>
              <w:rPr>
                <w:rFonts w:eastAsia="Calibri" w:asciiTheme="minorHAnsi" w:hAnsiTheme="minorHAnsi"/>
                <w:sz w:val="16"/>
                <w:szCs w:val="16"/>
              </w:rPr>
            </w:pPr>
            <w:r>
              <w:rPr>
                <w:rFonts w:eastAsia="Calibri" w:asciiTheme="minorHAnsi" w:hAnsiTheme="minorHAnsi"/>
                <w:sz w:val="16"/>
                <w:szCs w:val="16"/>
              </w:rPr>
              <w:t>Updated labor costs and updated miscellaneous costs to reflect recently increased fees.</w:t>
            </w:r>
          </w:p>
        </w:tc>
      </w:tr>
      <w:tr w:rsidRPr="00A110F0" w:rsidR="00583936" w:rsidTr="009F2B02" w14:paraId="5FE35E9D" w14:textId="77777777">
        <w:tc>
          <w:tcPr>
            <w:tcW w:w="2478" w:type="dxa"/>
            <w:shd w:val="clear" w:color="auto" w:fill="auto"/>
            <w:vAlign w:val="bottom"/>
          </w:tcPr>
          <w:p w:rsidRPr="00CA2B37" w:rsidR="00583936" w:rsidP="00583936" w:rsidRDefault="00583936" w14:paraId="1F453E0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lastRenderedPageBreak/>
              <w:t>American Samoa Longline Limited Entry application for vessel registration</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3E6861CA" w14:textId="1BD20F2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$123.60</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457C496A" w14:textId="147E8298">
            <w:pPr>
              <w:keepNext/>
              <w:jc w:val="right"/>
              <w:rPr>
                <w:rFonts w:eastAsia="Calibri" w:asciiTheme="minorHAnsi" w:hAnsiTheme="minorHAnsi"/>
                <w:sz w:val="16"/>
                <w:szCs w:val="16"/>
              </w:rPr>
            </w:pPr>
            <w:r>
              <w:rPr>
                <w:rFonts w:ascii="Calibri" w:hAnsi="Calibri" w:cs="Calibri"/>
                <w:color w:val="000000"/>
                <w:sz w:val="16"/>
                <w:szCs w:val="16"/>
              </w:rPr>
              <w:t>$61.31</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4C1948D7" w14:textId="233DAAE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010C3813" w14:textId="4A467862">
            <w:pPr>
              <w:keepNext/>
              <w:jc w:val="right"/>
              <w:rPr>
                <w:rFonts w:eastAsia="Calibri" w:asciiTheme="minorHAnsi" w:hAnsiTheme="minorHAnsi"/>
                <w:sz w:val="16"/>
                <w:szCs w:val="16"/>
              </w:rPr>
            </w:pPr>
            <w:r>
              <w:rPr>
                <w:rFonts w:ascii="Calibri" w:hAnsi="Calibri" w:cs="Calibri"/>
                <w:color w:val="000000"/>
                <w:sz w:val="16"/>
                <w:szCs w:val="16"/>
              </w:rPr>
              <w:t>$345</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4CCFEDD2" w14:textId="51DE99AE">
            <w:pPr>
              <w:keepNext/>
              <w:rPr>
                <w:rFonts w:eastAsia="Calibri" w:asciiTheme="minorHAnsi" w:hAnsiTheme="minorHAnsi"/>
                <w:sz w:val="16"/>
                <w:szCs w:val="16"/>
              </w:rPr>
            </w:pPr>
            <w:r>
              <w:rPr>
                <w:rFonts w:eastAsia="Calibri" w:asciiTheme="minorHAnsi" w:hAnsiTheme="minorHAnsi"/>
                <w:sz w:val="16"/>
                <w:szCs w:val="16"/>
              </w:rPr>
              <w:t xml:space="preserve">Updated labor costs and updated miscellaneous costs to reflect recently </w:t>
            </w:r>
            <w:r>
              <w:rPr>
                <w:rFonts w:eastAsia="Calibri" w:asciiTheme="minorHAnsi" w:hAnsiTheme="minorHAnsi"/>
                <w:sz w:val="16"/>
                <w:szCs w:val="16"/>
              </w:rPr>
              <w:t>removed</w:t>
            </w:r>
            <w:r>
              <w:rPr>
                <w:rFonts w:eastAsia="Calibri" w:asciiTheme="minorHAnsi" w:hAnsiTheme="minorHAnsi"/>
                <w:sz w:val="16"/>
                <w:szCs w:val="16"/>
              </w:rPr>
              <w:t xml:space="preserve"> fees.</w:t>
            </w:r>
          </w:p>
        </w:tc>
      </w:tr>
      <w:tr w:rsidRPr="00A110F0" w:rsidR="00583936" w:rsidTr="00AB3CA7" w14:paraId="459A997A" w14:textId="77777777">
        <w:trPr>
          <w:trHeight w:val="233"/>
        </w:trPr>
        <w:tc>
          <w:tcPr>
            <w:tcW w:w="2478" w:type="dxa"/>
            <w:shd w:val="clear" w:color="auto" w:fill="auto"/>
            <w:vAlign w:val="center"/>
          </w:tcPr>
          <w:p w:rsidRPr="00CA2B37" w:rsidR="00583936" w:rsidP="00583936" w:rsidRDefault="00583936" w14:paraId="30B1A3B9"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Permit Appeal</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29E2BF42" w14:textId="1EBB3170">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$263.68</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7AD012A7" w14:textId="39ED1A60">
            <w:pPr>
              <w:keepNext/>
              <w:jc w:val="right"/>
              <w:rPr>
                <w:rFonts w:eastAsia="Calibri" w:asciiTheme="minorHAnsi" w:hAnsiTheme="minorHAnsi"/>
                <w:sz w:val="16"/>
                <w:szCs w:val="16"/>
              </w:rPr>
            </w:pPr>
            <w:r>
              <w:rPr>
                <w:rFonts w:ascii="Calibri" w:hAnsi="Calibri" w:cs="Calibri"/>
                <w:color w:val="000000"/>
                <w:sz w:val="16"/>
                <w:szCs w:val="16"/>
              </w:rPr>
              <w:t>$130.80</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1B687C0B" w14:textId="77C71AB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126B70B7" w14:textId="6F65B579">
            <w:pPr>
              <w:keepNext/>
              <w:jc w:val="right"/>
              <w:rPr>
                <w:rFonts w:eastAsia="Calibri" w:asciiTheme="minorHAnsi" w:hAnsiTheme="minorHAnsi"/>
                <w:sz w:val="16"/>
                <w:szCs w:val="16"/>
              </w:rPr>
            </w:pPr>
            <w:r>
              <w:rPr>
                <w:rFonts w:ascii="Calibri" w:hAnsi="Calibri" w:cs="Calibri"/>
                <w:color w:val="000000"/>
                <w:sz w:val="16"/>
                <w:szCs w:val="16"/>
              </w:rPr>
              <w:t>$0</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3ECFD13B" w14:textId="2B7C7C28">
            <w:pPr>
              <w:keepNext/>
              <w:rPr>
                <w:rFonts w:eastAsia="Calibri" w:asciiTheme="minorHAnsi" w:hAnsiTheme="minorHAnsi"/>
                <w:sz w:val="16"/>
                <w:szCs w:val="16"/>
              </w:rPr>
            </w:pPr>
            <w:r>
              <w:rPr>
                <w:rFonts w:eastAsia="Calibri" w:asciiTheme="minorHAnsi" w:hAnsiTheme="minorHAnsi"/>
                <w:sz w:val="16"/>
                <w:szCs w:val="16"/>
              </w:rPr>
              <w:t>All Permit Appeals (including those from 0648-0463 and 0648-0577) are being combined into a single IC since the process/procedure is the same for all appeals.</w:t>
            </w:r>
          </w:p>
        </w:tc>
      </w:tr>
      <w:tr w:rsidRPr="00A110F0" w:rsidR="00583936" w:rsidTr="009F2B02" w14:paraId="5B9147CF" w14:textId="77777777">
        <w:tc>
          <w:tcPr>
            <w:tcW w:w="2478" w:type="dxa"/>
            <w:shd w:val="clear" w:color="auto" w:fill="auto"/>
            <w:vAlign w:val="bottom"/>
          </w:tcPr>
          <w:p w:rsidRPr="00CA2B37" w:rsidR="00583936" w:rsidP="00583936" w:rsidRDefault="00583936" w14:paraId="56FEBD61"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Northern Marianas Bottomfish permit application</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05B406D6" w14:textId="221A65A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$329.60</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6676F5FD" w14:textId="6B22A1BB">
            <w:pPr>
              <w:keepNext/>
              <w:jc w:val="right"/>
              <w:rPr>
                <w:rFonts w:eastAsia="Calibri" w:asciiTheme="minorHAnsi" w:hAnsiTheme="minorHAnsi"/>
                <w:sz w:val="16"/>
                <w:szCs w:val="16"/>
              </w:rPr>
            </w:pPr>
            <w:r>
              <w:rPr>
                <w:rFonts w:ascii="Calibri" w:hAnsi="Calibri" w:cs="Calibri"/>
                <w:color w:val="000000"/>
                <w:sz w:val="16"/>
                <w:szCs w:val="16"/>
              </w:rPr>
              <w:t>$122.62</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7CC7D83A" w14:textId="0FB774B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$1420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19BF29CD" w14:textId="7DBA8BFC">
            <w:pPr>
              <w:keepNext/>
              <w:jc w:val="right"/>
              <w:rPr>
                <w:rFonts w:eastAsia="Calibri" w:asciiTheme="minorHAnsi" w:hAnsiTheme="minorHAnsi"/>
                <w:sz w:val="16"/>
                <w:szCs w:val="16"/>
              </w:rPr>
            </w:pPr>
            <w:r>
              <w:rPr>
                <w:rFonts w:ascii="Calibri" w:hAnsi="Calibri" w:cs="Calibri"/>
                <w:color w:val="000000"/>
                <w:sz w:val="16"/>
                <w:szCs w:val="16"/>
              </w:rPr>
              <w:t>$765</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55B35358" w14:textId="7399CD1B">
            <w:pPr>
              <w:keepNext/>
              <w:rPr>
                <w:rFonts w:eastAsia="Calibri" w:asciiTheme="minorHAnsi" w:hAnsiTheme="minorHAnsi"/>
                <w:sz w:val="16"/>
                <w:szCs w:val="16"/>
              </w:rPr>
            </w:pPr>
            <w:r>
              <w:rPr>
                <w:rFonts w:eastAsia="Calibri" w:asciiTheme="minorHAnsi" w:hAnsiTheme="minorHAnsi"/>
                <w:sz w:val="16"/>
                <w:szCs w:val="16"/>
              </w:rPr>
              <w:t>Updated labor costs and updated miscellaneous costs to reflect recently increased fees.</w:t>
            </w:r>
          </w:p>
        </w:tc>
      </w:tr>
      <w:tr w:rsidRPr="00A110F0" w:rsidR="00583936" w:rsidTr="009F2B02" w14:paraId="19C24290" w14:textId="77777777">
        <w:tc>
          <w:tcPr>
            <w:tcW w:w="2478" w:type="dxa"/>
            <w:shd w:val="clear" w:color="auto" w:fill="auto"/>
            <w:vAlign w:val="bottom"/>
          </w:tcPr>
          <w:p w:rsidRPr="00CA2B37" w:rsidR="00583936" w:rsidP="00583936" w:rsidRDefault="00583936" w14:paraId="6F7CBF2A"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Pelagic Squid Jig permit application</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1FBEAED6" w14:textId="74010A61">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$16.48</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714615E4" w14:textId="59B4B7E2">
            <w:pPr>
              <w:keepNext/>
              <w:jc w:val="right"/>
              <w:rPr>
                <w:rFonts w:eastAsia="Calibri" w:asciiTheme="minorHAnsi" w:hAnsiTheme="minorHAnsi"/>
                <w:sz w:val="16"/>
                <w:szCs w:val="16"/>
              </w:rPr>
            </w:pPr>
            <w:r>
              <w:rPr>
                <w:rFonts w:ascii="Calibri" w:hAnsi="Calibri" w:cs="Calibri"/>
                <w:color w:val="000000"/>
                <w:sz w:val="16"/>
                <w:szCs w:val="16"/>
              </w:rPr>
              <w:t>$8.18</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28C2B6FA" w14:textId="4CB69F07">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$71</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50F26511" w14:textId="28412CEA">
            <w:pPr>
              <w:keepNext/>
              <w:jc w:val="right"/>
              <w:rPr>
                <w:rFonts w:eastAsia="Calibri" w:asciiTheme="minorHAnsi" w:hAnsiTheme="minorHAnsi"/>
                <w:sz w:val="16"/>
                <w:szCs w:val="16"/>
              </w:rPr>
            </w:pPr>
            <w:r>
              <w:rPr>
                <w:rFonts w:ascii="Calibri" w:hAnsi="Calibri" w:cs="Calibri"/>
                <w:color w:val="000000"/>
                <w:sz w:val="16"/>
                <w:szCs w:val="16"/>
              </w:rPr>
              <w:t>$50</w:t>
            </w:r>
          </w:p>
        </w:tc>
        <w:tc>
          <w:tcPr>
            <w:tcW w:w="3403" w:type="dxa"/>
            <w:tcBorders>
              <w:left w:val="single" w:color="auto" w:sz="4" w:space="0"/>
              <w:right w:val="single" w:color="auto" w:sz="4" w:space="0"/>
            </w:tcBorders>
            <w:shd w:val="clear" w:color="auto" w:fill="auto"/>
            <w:vAlign w:val="center"/>
          </w:tcPr>
          <w:p w:rsidRPr="00A110F0" w:rsidR="00583936" w:rsidP="00583936" w:rsidRDefault="00583936" w14:paraId="7E1C2B9E" w14:textId="001C4994">
            <w:pPr>
              <w:keepNext/>
              <w:rPr>
                <w:rFonts w:eastAsia="Calibri" w:asciiTheme="minorHAnsi" w:hAnsiTheme="minorHAnsi"/>
                <w:sz w:val="16"/>
                <w:szCs w:val="16"/>
              </w:rPr>
            </w:pPr>
            <w:r>
              <w:rPr>
                <w:rFonts w:eastAsia="Calibri" w:asciiTheme="minorHAnsi" w:hAnsiTheme="minorHAnsi"/>
                <w:sz w:val="16"/>
                <w:szCs w:val="16"/>
              </w:rPr>
              <w:t>Updated labor costs and updated miscellaneous costs to reflect recently increased fees.</w:t>
            </w:r>
          </w:p>
        </w:tc>
      </w:tr>
      <w:tr w:rsidRPr="00A110F0" w:rsidR="00583936" w:rsidTr="009F2B02" w14:paraId="17B088B4" w14:textId="77777777">
        <w:tc>
          <w:tcPr>
            <w:tcW w:w="2478" w:type="dxa"/>
            <w:shd w:val="clear" w:color="auto" w:fill="auto"/>
            <w:vAlign w:val="bottom"/>
          </w:tcPr>
          <w:p w:rsidRPr="00CA2B37" w:rsidR="00583936" w:rsidP="00583936" w:rsidRDefault="00583936" w14:paraId="4C805305" w14:textId="77777777">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Crustacean permit application</w:t>
            </w:r>
          </w:p>
        </w:tc>
        <w:tc>
          <w:tcPr>
            <w:tcW w:w="1251" w:type="dxa"/>
            <w:tcBorders>
              <w:bottom w:val="dotted" w:color="auto" w:sz="4" w:space="0"/>
              <w:right w:val="dashSmallGap" w:color="auto" w:sz="4" w:space="0"/>
            </w:tcBorders>
            <w:shd w:val="clear" w:color="auto" w:fill="auto"/>
            <w:vAlign w:val="center"/>
          </w:tcPr>
          <w:p w:rsidRPr="00CA2B37" w:rsidR="00583936" w:rsidP="00583936" w:rsidRDefault="00583936" w14:paraId="71FDD64F" w14:textId="2BDE15C5">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155" w:type="dxa"/>
            <w:tcBorders>
              <w:left w:val="dashSmallGap" w:color="auto" w:sz="4" w:space="0"/>
              <w:bottom w:val="dotted" w:color="auto" w:sz="4" w:space="0"/>
            </w:tcBorders>
            <w:shd w:val="clear" w:color="auto" w:fill="auto"/>
            <w:vAlign w:val="center"/>
          </w:tcPr>
          <w:p w:rsidRPr="00A110F0" w:rsidR="00583936" w:rsidP="00583936" w:rsidRDefault="00583936" w14:paraId="32137954" w14:textId="023C9B1F">
            <w:pPr>
              <w:keepNext/>
              <w:jc w:val="right"/>
              <w:rPr>
                <w:rFonts w:eastAsia="Calibri" w:asciiTheme="minorHAnsi" w:hAnsiTheme="minorHAnsi"/>
                <w:sz w:val="16"/>
                <w:szCs w:val="16"/>
              </w:rPr>
            </w:pPr>
            <w:r>
              <w:rPr>
                <w:rFonts w:ascii="Calibri" w:hAnsi="Calibri" w:cs="Calibri"/>
                <w:color w:val="000000"/>
                <w:sz w:val="16"/>
                <w:szCs w:val="16"/>
              </w:rPr>
              <w:t>$57.22</w:t>
            </w:r>
          </w:p>
        </w:tc>
        <w:tc>
          <w:tcPr>
            <w:tcW w:w="1058" w:type="dxa"/>
            <w:tcBorders>
              <w:left w:val="dotted" w:color="auto" w:sz="4" w:space="0"/>
              <w:bottom w:val="dotted" w:color="auto" w:sz="4" w:space="0"/>
              <w:right w:val="dashSmallGap" w:color="auto" w:sz="4" w:space="0"/>
            </w:tcBorders>
            <w:vAlign w:val="center"/>
          </w:tcPr>
          <w:p w:rsidRPr="00185785" w:rsidR="00583936" w:rsidP="00583936" w:rsidRDefault="00583936" w14:paraId="30226342" w14:textId="6270D78D">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Pr="00A110F0" w:rsidR="00583936" w:rsidP="00583936" w:rsidRDefault="00583936" w14:paraId="3246A95A" w14:textId="24A86821">
            <w:pPr>
              <w:keepNext/>
              <w:jc w:val="right"/>
              <w:rPr>
                <w:rFonts w:eastAsia="Calibri" w:asciiTheme="minorHAnsi" w:hAnsiTheme="minorHAnsi"/>
                <w:sz w:val="16"/>
                <w:szCs w:val="16"/>
              </w:rPr>
            </w:pPr>
            <w:r>
              <w:rPr>
                <w:rFonts w:ascii="Calibri" w:hAnsi="Calibri" w:cs="Calibri"/>
                <w:color w:val="000000"/>
                <w:sz w:val="16"/>
                <w:szCs w:val="16"/>
              </w:rPr>
              <w:t>$350</w:t>
            </w:r>
          </w:p>
        </w:tc>
        <w:tc>
          <w:tcPr>
            <w:tcW w:w="3403" w:type="dxa"/>
            <w:tcBorders>
              <w:left w:val="single" w:color="auto" w:sz="4" w:space="0"/>
              <w:bottom w:val="dotted" w:color="auto" w:sz="4" w:space="0"/>
              <w:right w:val="single" w:color="auto" w:sz="4" w:space="0"/>
            </w:tcBorders>
            <w:shd w:val="clear" w:color="auto" w:fill="auto"/>
            <w:vAlign w:val="center"/>
          </w:tcPr>
          <w:p w:rsidRPr="00A110F0" w:rsidR="00583936" w:rsidP="00583936" w:rsidRDefault="00583936" w14:paraId="5BDBBB62" w14:textId="34B4E826">
            <w:pPr>
              <w:keepNext/>
              <w:rPr>
                <w:rFonts w:eastAsia="Calibri" w:asciiTheme="minorHAnsi" w:hAnsiTheme="minorHAnsi"/>
                <w:sz w:val="16"/>
                <w:szCs w:val="16"/>
              </w:rPr>
            </w:pPr>
            <w:r>
              <w:rPr>
                <w:rFonts w:eastAsia="Calibri" w:asciiTheme="minorHAnsi" w:hAnsiTheme="minorHAnsi"/>
                <w:sz w:val="16"/>
                <w:szCs w:val="16"/>
              </w:rPr>
              <w:t>This IC was split into Lobster and Shrimp as there is a cost for one application and not the other.</w:t>
            </w:r>
          </w:p>
        </w:tc>
      </w:tr>
      <w:tr w:rsidRPr="00A110F0" w:rsidR="00583936" w:rsidTr="009F2B02" w14:paraId="7AC86F9D" w14:textId="77777777">
        <w:tc>
          <w:tcPr>
            <w:tcW w:w="2478" w:type="dxa"/>
            <w:shd w:val="clear" w:color="auto" w:fill="auto"/>
            <w:vAlign w:val="bottom"/>
          </w:tcPr>
          <w:p w:rsidR="00583936" w:rsidP="00583936" w:rsidRDefault="00583936" w14:paraId="7545DC3B" w14:textId="519FF5CF">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Pacific Islands Crustacean </w:t>
            </w:r>
            <w:r>
              <w:rPr>
                <w:rFonts w:ascii="Calibri" w:hAnsi="Calibri" w:cs="Calibri"/>
                <w:color w:val="000000"/>
                <w:sz w:val="16"/>
                <w:szCs w:val="16"/>
              </w:rPr>
              <w:t xml:space="preserve">(Lobster) </w:t>
            </w:r>
            <w:r>
              <w:rPr>
                <w:rFonts w:ascii="Calibri" w:hAnsi="Calibri" w:cs="Calibri"/>
                <w:color w:val="000000"/>
                <w:sz w:val="16"/>
                <w:szCs w:val="16"/>
              </w:rPr>
              <w:t>permit application</w:t>
            </w:r>
          </w:p>
        </w:tc>
        <w:tc>
          <w:tcPr>
            <w:tcW w:w="1251" w:type="dxa"/>
            <w:tcBorders>
              <w:bottom w:val="dotted" w:color="auto" w:sz="4" w:space="0"/>
              <w:right w:val="dashSmallGap" w:color="auto" w:sz="4" w:space="0"/>
            </w:tcBorders>
            <w:shd w:val="clear" w:color="auto" w:fill="auto"/>
            <w:vAlign w:val="center"/>
          </w:tcPr>
          <w:p w:rsidR="00583936" w:rsidP="00583936" w:rsidRDefault="00583936" w14:paraId="141EB913" w14:textId="395DEE5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$65.92</w:t>
            </w:r>
          </w:p>
        </w:tc>
        <w:tc>
          <w:tcPr>
            <w:tcW w:w="1155" w:type="dxa"/>
            <w:tcBorders>
              <w:left w:val="dashSmallGap" w:color="auto" w:sz="4" w:space="0"/>
              <w:bottom w:val="dotted" w:color="auto" w:sz="4" w:space="0"/>
            </w:tcBorders>
            <w:shd w:val="clear" w:color="auto" w:fill="auto"/>
            <w:vAlign w:val="center"/>
          </w:tcPr>
          <w:p w:rsidR="00583936" w:rsidP="00583936" w:rsidRDefault="00583936" w14:paraId="79AEC845" w14:textId="7A9E27BC">
            <w:pPr>
              <w:keepNext/>
              <w:jc w:val="right"/>
              <w:rPr>
                <w:rFonts w:ascii="Calibri" w:hAnsi="Calibri" w:cs="Calibri"/>
                <w:color w:val="000000"/>
                <w:sz w:val="16"/>
                <w:szCs w:val="16"/>
              </w:rPr>
            </w:pPr>
            <w:r>
              <w:rPr>
                <w:rFonts w:ascii="Calibri" w:hAnsi="Calibri" w:cs="Calibri"/>
                <w:color w:val="000000"/>
                <w:sz w:val="16"/>
                <w:szCs w:val="16"/>
              </w:rPr>
              <w:t>0</w:t>
            </w:r>
          </w:p>
        </w:tc>
        <w:tc>
          <w:tcPr>
            <w:tcW w:w="1058" w:type="dxa"/>
            <w:tcBorders>
              <w:left w:val="dotted" w:color="auto" w:sz="4" w:space="0"/>
              <w:bottom w:val="dotted" w:color="auto" w:sz="4" w:space="0"/>
              <w:right w:val="dashSmallGap" w:color="auto" w:sz="4" w:space="0"/>
            </w:tcBorders>
            <w:vAlign w:val="center"/>
          </w:tcPr>
          <w:p w:rsidR="00583936" w:rsidP="00583936" w:rsidRDefault="00583936" w14:paraId="4145EC03" w14:textId="0A35816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00583936" w:rsidP="00583936" w:rsidRDefault="00583936" w14:paraId="327C0D20" w14:textId="5561E403">
            <w:pPr>
              <w:keepNext/>
              <w:jc w:val="right"/>
              <w:rPr>
                <w:rFonts w:ascii="Calibri" w:hAnsi="Calibri" w:cs="Calibri"/>
                <w:color w:val="000000"/>
                <w:sz w:val="16"/>
                <w:szCs w:val="16"/>
              </w:rPr>
            </w:pPr>
            <w:r>
              <w:rPr>
                <w:rFonts w:ascii="Calibri" w:hAnsi="Calibri" w:cs="Calibri"/>
                <w:color w:val="000000"/>
                <w:sz w:val="16"/>
                <w:szCs w:val="16"/>
              </w:rPr>
              <w:t>0</w:t>
            </w:r>
          </w:p>
        </w:tc>
        <w:tc>
          <w:tcPr>
            <w:tcW w:w="3403" w:type="dxa"/>
            <w:tcBorders>
              <w:left w:val="single" w:color="auto" w:sz="4" w:space="0"/>
              <w:bottom w:val="dotted" w:color="auto" w:sz="4" w:space="0"/>
              <w:right w:val="single" w:color="auto" w:sz="4" w:space="0"/>
            </w:tcBorders>
            <w:shd w:val="clear" w:color="auto" w:fill="auto"/>
            <w:vAlign w:val="center"/>
          </w:tcPr>
          <w:p w:rsidR="00583936" w:rsidP="00583936" w:rsidRDefault="00583936" w14:paraId="5C105CE4" w14:textId="446CB881">
            <w:pPr>
              <w:keepNext/>
              <w:rPr>
                <w:rFonts w:eastAsia="Calibri" w:asciiTheme="minorHAnsi" w:hAnsiTheme="minorHAnsi"/>
                <w:sz w:val="16"/>
                <w:szCs w:val="16"/>
              </w:rPr>
            </w:pPr>
            <w:r>
              <w:rPr>
                <w:rFonts w:eastAsia="Calibri" w:asciiTheme="minorHAnsi" w:hAnsiTheme="minorHAnsi"/>
                <w:sz w:val="16"/>
                <w:szCs w:val="16"/>
              </w:rPr>
              <w:t>The Crustacean IC was broken out into Lobster and Shrimp to accurately reflect burden.</w:t>
            </w:r>
          </w:p>
        </w:tc>
      </w:tr>
      <w:tr w:rsidRPr="00A110F0" w:rsidR="00583936" w:rsidTr="009F2B02" w14:paraId="6B6B92E0" w14:textId="77777777">
        <w:tc>
          <w:tcPr>
            <w:tcW w:w="2478" w:type="dxa"/>
            <w:shd w:val="clear" w:color="auto" w:fill="auto"/>
            <w:vAlign w:val="bottom"/>
          </w:tcPr>
          <w:p w:rsidR="00583936" w:rsidP="00583936" w:rsidRDefault="00583936" w14:paraId="766EE39A" w14:textId="22CC3F93">
            <w:pPr>
              <w:widowControl/>
              <w:autoSpaceDE/>
              <w:autoSpaceDN/>
              <w:adjustRightInd/>
              <w:rPr>
                <w:rFonts w:ascii="Calibri" w:hAnsi="Calibri" w:cs="Calibri"/>
                <w:color w:val="000000"/>
                <w:sz w:val="16"/>
                <w:szCs w:val="16"/>
              </w:rPr>
            </w:pPr>
            <w:r>
              <w:rPr>
                <w:rFonts w:ascii="Calibri" w:hAnsi="Calibri" w:cs="Calibri"/>
                <w:color w:val="000000"/>
                <w:sz w:val="16"/>
                <w:szCs w:val="16"/>
              </w:rPr>
              <w:t xml:space="preserve">Pacific Islands Crustacean </w:t>
            </w:r>
            <w:r>
              <w:rPr>
                <w:rFonts w:ascii="Calibri" w:hAnsi="Calibri" w:cs="Calibri"/>
                <w:color w:val="000000"/>
                <w:sz w:val="16"/>
                <w:szCs w:val="16"/>
              </w:rPr>
              <w:t xml:space="preserve">(Shrimp) </w:t>
            </w:r>
            <w:r>
              <w:rPr>
                <w:rFonts w:ascii="Calibri" w:hAnsi="Calibri" w:cs="Calibri"/>
                <w:color w:val="000000"/>
                <w:sz w:val="16"/>
                <w:szCs w:val="16"/>
              </w:rPr>
              <w:t>permit application</w:t>
            </w:r>
          </w:p>
        </w:tc>
        <w:tc>
          <w:tcPr>
            <w:tcW w:w="1251" w:type="dxa"/>
            <w:tcBorders>
              <w:bottom w:val="dotted" w:color="auto" w:sz="4" w:space="0"/>
              <w:right w:val="dashSmallGap" w:color="auto" w:sz="4" w:space="0"/>
            </w:tcBorders>
            <w:shd w:val="clear" w:color="auto" w:fill="auto"/>
            <w:vAlign w:val="center"/>
          </w:tcPr>
          <w:p w:rsidR="00583936" w:rsidP="00583936" w:rsidRDefault="00583936" w14:paraId="171E77AB" w14:textId="601B950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$98.88</w:t>
            </w:r>
          </w:p>
        </w:tc>
        <w:tc>
          <w:tcPr>
            <w:tcW w:w="1155" w:type="dxa"/>
            <w:tcBorders>
              <w:left w:val="dashSmallGap" w:color="auto" w:sz="4" w:space="0"/>
              <w:bottom w:val="dotted" w:color="auto" w:sz="4" w:space="0"/>
            </w:tcBorders>
            <w:shd w:val="clear" w:color="auto" w:fill="auto"/>
            <w:vAlign w:val="center"/>
          </w:tcPr>
          <w:p w:rsidR="00583936" w:rsidP="00583936" w:rsidRDefault="00583936" w14:paraId="06E1A42E" w14:textId="7BB9F3C9">
            <w:pPr>
              <w:keepNext/>
              <w:jc w:val="right"/>
              <w:rPr>
                <w:rFonts w:ascii="Calibri" w:hAnsi="Calibri" w:cs="Calibri"/>
                <w:color w:val="000000"/>
                <w:sz w:val="16"/>
                <w:szCs w:val="16"/>
              </w:rPr>
            </w:pPr>
            <w:r>
              <w:rPr>
                <w:rFonts w:ascii="Calibri" w:hAnsi="Calibri" w:cs="Calibri"/>
                <w:color w:val="000000"/>
                <w:sz w:val="16"/>
                <w:szCs w:val="16"/>
              </w:rPr>
              <w:t>0</w:t>
            </w:r>
          </w:p>
        </w:tc>
        <w:tc>
          <w:tcPr>
            <w:tcW w:w="1058" w:type="dxa"/>
            <w:tcBorders>
              <w:left w:val="dotted" w:color="auto" w:sz="4" w:space="0"/>
              <w:bottom w:val="dotted" w:color="auto" w:sz="4" w:space="0"/>
              <w:right w:val="dashSmallGap" w:color="auto" w:sz="4" w:space="0"/>
            </w:tcBorders>
            <w:vAlign w:val="center"/>
          </w:tcPr>
          <w:p w:rsidR="00583936" w:rsidP="00583936" w:rsidRDefault="00583936" w14:paraId="19643003" w14:textId="10037224">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$213</w:t>
            </w:r>
          </w:p>
        </w:tc>
        <w:tc>
          <w:tcPr>
            <w:tcW w:w="1252" w:type="dxa"/>
            <w:tcBorders>
              <w:left w:val="dashSmallGap" w:color="auto" w:sz="4" w:space="0"/>
              <w:bottom w:val="dotted" w:color="auto" w:sz="4" w:space="0"/>
              <w:right w:val="single" w:color="auto" w:sz="4" w:space="0"/>
            </w:tcBorders>
            <w:vAlign w:val="center"/>
          </w:tcPr>
          <w:p w:rsidR="00583936" w:rsidP="00583936" w:rsidRDefault="00583936" w14:paraId="33929884" w14:textId="1BB35B3C">
            <w:pPr>
              <w:keepNext/>
              <w:jc w:val="right"/>
              <w:rPr>
                <w:rFonts w:ascii="Calibri" w:hAnsi="Calibri" w:cs="Calibri"/>
                <w:color w:val="000000"/>
                <w:sz w:val="16"/>
                <w:szCs w:val="16"/>
              </w:rPr>
            </w:pPr>
            <w:r>
              <w:rPr>
                <w:rFonts w:ascii="Calibri" w:hAnsi="Calibri" w:cs="Calibri"/>
                <w:color w:val="000000"/>
                <w:sz w:val="16"/>
                <w:szCs w:val="16"/>
              </w:rPr>
              <w:t>0</w:t>
            </w:r>
          </w:p>
        </w:tc>
        <w:tc>
          <w:tcPr>
            <w:tcW w:w="3403" w:type="dxa"/>
            <w:tcBorders>
              <w:left w:val="single" w:color="auto" w:sz="4" w:space="0"/>
              <w:bottom w:val="dotted" w:color="auto" w:sz="4" w:space="0"/>
              <w:right w:val="single" w:color="auto" w:sz="4" w:space="0"/>
            </w:tcBorders>
            <w:shd w:val="clear" w:color="auto" w:fill="auto"/>
            <w:vAlign w:val="center"/>
          </w:tcPr>
          <w:p w:rsidR="00583936" w:rsidP="00583936" w:rsidRDefault="00583936" w14:paraId="19F1C6FD" w14:textId="19EF0E93">
            <w:pPr>
              <w:keepNext/>
              <w:rPr>
                <w:rFonts w:eastAsia="Calibri" w:asciiTheme="minorHAnsi" w:hAnsiTheme="minorHAnsi"/>
                <w:sz w:val="16"/>
                <w:szCs w:val="16"/>
              </w:rPr>
            </w:pPr>
            <w:r>
              <w:rPr>
                <w:rFonts w:eastAsia="Calibri" w:asciiTheme="minorHAnsi" w:hAnsiTheme="minorHAnsi"/>
                <w:sz w:val="16"/>
                <w:szCs w:val="16"/>
              </w:rPr>
              <w:t>The Crustacean IC was broken out into Lobster and Shrimp to accurately reflect burden.</w:t>
            </w:r>
          </w:p>
        </w:tc>
      </w:tr>
      <w:tr w:rsidRPr="00A110F0" w:rsidR="00583936" w:rsidTr="000A0A15" w14:paraId="359BE0DE" w14:textId="77777777">
        <w:tc>
          <w:tcPr>
            <w:tcW w:w="2478" w:type="dxa"/>
            <w:shd w:val="clear" w:color="auto" w:fill="auto"/>
            <w:vAlign w:val="center"/>
          </w:tcPr>
          <w:p w:rsidR="00583936" w:rsidP="00583936" w:rsidRDefault="00583936" w14:paraId="6550B5FA" w14:textId="2EFE62E4">
            <w:pPr>
              <w:widowControl/>
              <w:autoSpaceDE/>
              <w:autoSpaceDN/>
              <w:adjustRightInd/>
              <w:rPr>
                <w:rFonts w:ascii="Calibri" w:hAnsi="Calibri" w:cs="Calibri"/>
                <w:color w:val="000000"/>
                <w:sz w:val="16"/>
                <w:szCs w:val="16"/>
              </w:rPr>
            </w:pPr>
            <w:r>
              <w:rPr>
                <w:rFonts w:ascii="Calibri" w:hAnsi="Calibri" w:cs="Calibri"/>
                <w:color w:val="000000"/>
                <w:sz w:val="16"/>
                <w:szCs w:val="16"/>
              </w:rPr>
              <w:t>Pacific Islands Region Coral Reef Ecosystems Permit &amp; Transshipment Application (moved from 0648-0463)</w:t>
            </w:r>
          </w:p>
        </w:tc>
        <w:tc>
          <w:tcPr>
            <w:tcW w:w="1251" w:type="dxa"/>
            <w:tcBorders>
              <w:bottom w:val="dotted" w:color="auto" w:sz="4" w:space="0"/>
              <w:right w:val="dashSmallGap" w:color="auto" w:sz="4" w:space="0"/>
            </w:tcBorders>
            <w:shd w:val="clear" w:color="auto" w:fill="auto"/>
            <w:vAlign w:val="center"/>
          </w:tcPr>
          <w:p w:rsidR="00583936" w:rsidP="00583936" w:rsidRDefault="00583936" w14:paraId="64622A29" w14:textId="11D3901E">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$329.60</w:t>
            </w:r>
          </w:p>
        </w:tc>
        <w:tc>
          <w:tcPr>
            <w:tcW w:w="1155" w:type="dxa"/>
            <w:tcBorders>
              <w:left w:val="dashSmallGap" w:color="auto" w:sz="4" w:space="0"/>
              <w:bottom w:val="dotted" w:color="auto" w:sz="4" w:space="0"/>
            </w:tcBorders>
            <w:shd w:val="clear" w:color="auto" w:fill="auto"/>
            <w:vAlign w:val="center"/>
          </w:tcPr>
          <w:p w:rsidR="00583936" w:rsidP="00583936" w:rsidRDefault="00583936" w14:paraId="24F847C7" w14:textId="0D06059C">
            <w:pPr>
              <w:keepNext/>
              <w:jc w:val="right"/>
              <w:rPr>
                <w:rFonts w:ascii="Calibri" w:hAnsi="Calibri" w:cs="Calibri"/>
                <w:color w:val="000000"/>
                <w:sz w:val="16"/>
                <w:szCs w:val="16"/>
              </w:rPr>
            </w:pPr>
            <w:r>
              <w:rPr>
                <w:rFonts w:ascii="Calibri" w:hAnsi="Calibri" w:cs="Calibri"/>
                <w:color w:val="000000"/>
                <w:sz w:val="16"/>
                <w:szCs w:val="16"/>
              </w:rPr>
              <w:t>n/a</w:t>
            </w:r>
          </w:p>
        </w:tc>
        <w:tc>
          <w:tcPr>
            <w:tcW w:w="1058" w:type="dxa"/>
            <w:tcBorders>
              <w:left w:val="dotted" w:color="auto" w:sz="4" w:space="0"/>
              <w:bottom w:val="dotted" w:color="auto" w:sz="4" w:space="0"/>
              <w:right w:val="dashSmallGap" w:color="auto" w:sz="4" w:space="0"/>
            </w:tcBorders>
            <w:vAlign w:val="center"/>
          </w:tcPr>
          <w:p w:rsidR="00583936" w:rsidP="00583936" w:rsidRDefault="00583936" w14:paraId="63E671CF" w14:textId="4470C5A6">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$0</w:t>
            </w:r>
          </w:p>
        </w:tc>
        <w:tc>
          <w:tcPr>
            <w:tcW w:w="1252" w:type="dxa"/>
            <w:tcBorders>
              <w:left w:val="dashSmallGap" w:color="auto" w:sz="4" w:space="0"/>
              <w:bottom w:val="dotted" w:color="auto" w:sz="4" w:space="0"/>
              <w:right w:val="single" w:color="auto" w:sz="4" w:space="0"/>
            </w:tcBorders>
            <w:vAlign w:val="center"/>
          </w:tcPr>
          <w:p w:rsidR="00583936" w:rsidP="00583936" w:rsidRDefault="00583936" w14:paraId="1AA90E35" w14:textId="0F012D3B">
            <w:pPr>
              <w:keepNext/>
              <w:jc w:val="right"/>
              <w:rPr>
                <w:rFonts w:ascii="Calibri" w:hAnsi="Calibri" w:cs="Calibri"/>
                <w:color w:val="000000"/>
                <w:sz w:val="16"/>
                <w:szCs w:val="16"/>
              </w:rPr>
            </w:pPr>
            <w:r>
              <w:rPr>
                <w:rFonts w:ascii="Calibri" w:hAnsi="Calibri" w:cs="Calibri"/>
                <w:color w:val="000000"/>
                <w:sz w:val="16"/>
                <w:szCs w:val="16"/>
              </w:rPr>
              <w:t>n/a</w:t>
            </w:r>
          </w:p>
        </w:tc>
        <w:tc>
          <w:tcPr>
            <w:tcW w:w="3403" w:type="dxa"/>
            <w:tcBorders>
              <w:left w:val="single" w:color="auto" w:sz="4" w:space="0"/>
              <w:bottom w:val="dotted" w:color="auto" w:sz="4" w:space="0"/>
              <w:right w:val="single" w:color="auto" w:sz="4" w:space="0"/>
            </w:tcBorders>
            <w:shd w:val="clear" w:color="auto" w:fill="auto"/>
            <w:vAlign w:val="center"/>
          </w:tcPr>
          <w:p w:rsidRPr="00A110F0" w:rsidR="00583936" w:rsidP="00583936" w:rsidRDefault="00583936" w14:paraId="6292D255" w14:textId="7885EE9C">
            <w:pPr>
              <w:keepNext/>
              <w:rPr>
                <w:rFonts w:eastAsia="Calibri" w:asciiTheme="minorHAnsi" w:hAnsiTheme="minorHAnsi"/>
                <w:sz w:val="16"/>
                <w:szCs w:val="16"/>
              </w:rPr>
            </w:pPr>
            <w:r>
              <w:rPr>
                <w:rFonts w:eastAsia="Calibri" w:asciiTheme="minorHAnsi" w:hAnsiTheme="minorHAnsi"/>
                <w:sz w:val="16"/>
                <w:szCs w:val="16"/>
              </w:rPr>
              <w:t>Added labor costs for applicants that were not previously required, and updated miscellaneous costs to reflect recently increased fees. IC merged from another existing OMB control number.</w:t>
            </w:r>
          </w:p>
        </w:tc>
      </w:tr>
      <w:tr w:rsidRPr="00A110F0" w:rsidR="00583936" w:rsidTr="00315869" w14:paraId="37080A4E" w14:textId="77777777">
        <w:tc>
          <w:tcPr>
            <w:tcW w:w="2478" w:type="dxa"/>
            <w:shd w:val="clear" w:color="auto" w:fill="auto"/>
            <w:vAlign w:val="center"/>
          </w:tcPr>
          <w:p w:rsidR="00583936" w:rsidP="00315869" w:rsidRDefault="00583936" w14:paraId="5FBABF4E" w14:textId="48945008">
            <w:pPr>
              <w:widowControl/>
              <w:autoSpaceDE/>
              <w:autoSpaceDN/>
              <w:adjustRightInd/>
              <w:rPr>
                <w:rFonts w:ascii="Calibri" w:hAnsi="Calibri" w:cs="Calibri"/>
                <w:color w:val="000000"/>
                <w:sz w:val="16"/>
                <w:szCs w:val="16"/>
              </w:rPr>
            </w:pPr>
            <w:r>
              <w:rPr>
                <w:rFonts w:ascii="Calibri" w:hAnsi="Calibri" w:cs="Calibri"/>
                <w:color w:val="000000"/>
                <w:sz w:val="16"/>
                <w:szCs w:val="16"/>
              </w:rPr>
              <w:t>Non-Commercial Permit Application for MHI Bottomfish Fishery (moved from 0648-0577)</w:t>
            </w:r>
          </w:p>
        </w:tc>
        <w:tc>
          <w:tcPr>
            <w:tcW w:w="1251" w:type="dxa"/>
            <w:tcBorders>
              <w:bottom w:val="dotted" w:color="auto" w:sz="4" w:space="0"/>
              <w:right w:val="dashSmallGap" w:color="auto" w:sz="4" w:space="0"/>
            </w:tcBorders>
            <w:shd w:val="clear" w:color="auto" w:fill="auto"/>
            <w:vAlign w:val="center"/>
          </w:tcPr>
          <w:p w:rsidR="00583936" w:rsidP="00583936" w:rsidRDefault="00583936" w14:paraId="1A49FF16" w14:textId="3C5E1E6C">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$206.00</w:t>
            </w:r>
          </w:p>
        </w:tc>
        <w:tc>
          <w:tcPr>
            <w:tcW w:w="1155" w:type="dxa"/>
            <w:tcBorders>
              <w:left w:val="dashSmallGap" w:color="auto" w:sz="4" w:space="0"/>
              <w:bottom w:val="dotted" w:color="auto" w:sz="4" w:space="0"/>
            </w:tcBorders>
            <w:shd w:val="clear" w:color="auto" w:fill="auto"/>
            <w:vAlign w:val="center"/>
          </w:tcPr>
          <w:p w:rsidR="00583936" w:rsidP="00583936" w:rsidRDefault="00583936" w14:paraId="23CBAA1D" w14:textId="4A919C75">
            <w:pPr>
              <w:keepNext/>
              <w:jc w:val="right"/>
              <w:rPr>
                <w:rFonts w:ascii="Calibri" w:hAnsi="Calibri" w:cs="Calibri"/>
                <w:color w:val="000000"/>
                <w:sz w:val="16"/>
                <w:szCs w:val="16"/>
              </w:rPr>
            </w:pPr>
            <w:r>
              <w:rPr>
                <w:rFonts w:ascii="Calibri" w:hAnsi="Calibri" w:cs="Calibri"/>
                <w:color w:val="000000"/>
                <w:sz w:val="16"/>
                <w:szCs w:val="16"/>
              </w:rPr>
              <w:t>n/a</w:t>
            </w:r>
          </w:p>
        </w:tc>
        <w:tc>
          <w:tcPr>
            <w:tcW w:w="1058" w:type="dxa"/>
            <w:tcBorders>
              <w:left w:val="dotted" w:color="auto" w:sz="4" w:space="0"/>
              <w:bottom w:val="dotted" w:color="auto" w:sz="4" w:space="0"/>
              <w:right w:val="dashSmallGap" w:color="auto" w:sz="4" w:space="0"/>
            </w:tcBorders>
            <w:vAlign w:val="center"/>
          </w:tcPr>
          <w:p w:rsidR="00583936" w:rsidP="00583936" w:rsidRDefault="00583936" w14:paraId="5749DA13" w14:textId="08B5CDA3">
            <w:pPr>
              <w:widowControl/>
              <w:autoSpaceDE/>
              <w:autoSpaceDN/>
              <w:adjustRightInd/>
              <w:jc w:val="right"/>
              <w:rPr>
                <w:rFonts w:ascii="Calibri" w:hAnsi="Calibri" w:cs="Calibri"/>
                <w:color w:val="000000"/>
                <w:sz w:val="16"/>
                <w:szCs w:val="16"/>
              </w:rPr>
            </w:pPr>
            <w:r>
              <w:rPr>
                <w:rFonts w:ascii="Calibri" w:hAnsi="Calibri" w:cs="Calibri"/>
                <w:color w:val="000000"/>
                <w:sz w:val="16"/>
                <w:szCs w:val="16"/>
              </w:rPr>
              <w:t>$1750</w:t>
            </w:r>
          </w:p>
        </w:tc>
        <w:tc>
          <w:tcPr>
            <w:tcW w:w="1252" w:type="dxa"/>
            <w:tcBorders>
              <w:left w:val="dashSmallGap" w:color="auto" w:sz="4" w:space="0"/>
              <w:bottom w:val="dotted" w:color="auto" w:sz="4" w:space="0"/>
              <w:right w:val="single" w:color="auto" w:sz="4" w:space="0"/>
            </w:tcBorders>
            <w:vAlign w:val="center"/>
          </w:tcPr>
          <w:p w:rsidR="00583936" w:rsidP="00583936" w:rsidRDefault="00583936" w14:paraId="473FE5F1" w14:textId="5A749811">
            <w:pPr>
              <w:keepNext/>
              <w:jc w:val="right"/>
              <w:rPr>
                <w:rFonts w:ascii="Calibri" w:hAnsi="Calibri" w:cs="Calibri"/>
                <w:color w:val="000000"/>
                <w:sz w:val="16"/>
                <w:szCs w:val="16"/>
              </w:rPr>
            </w:pPr>
            <w:r>
              <w:rPr>
                <w:rFonts w:ascii="Calibri" w:hAnsi="Calibri" w:cs="Calibri"/>
                <w:color w:val="000000"/>
                <w:sz w:val="16"/>
                <w:szCs w:val="16"/>
              </w:rPr>
              <w:t>n/a</w:t>
            </w:r>
          </w:p>
        </w:tc>
        <w:tc>
          <w:tcPr>
            <w:tcW w:w="3403" w:type="dxa"/>
            <w:tcBorders>
              <w:left w:val="single" w:color="auto" w:sz="4" w:space="0"/>
              <w:bottom w:val="dotted" w:color="auto" w:sz="4" w:space="0"/>
              <w:right w:val="single" w:color="auto" w:sz="4" w:space="0"/>
            </w:tcBorders>
            <w:shd w:val="clear" w:color="auto" w:fill="auto"/>
            <w:vAlign w:val="center"/>
          </w:tcPr>
          <w:p w:rsidRPr="00A110F0" w:rsidR="00583936" w:rsidP="00583936" w:rsidRDefault="00583936" w14:paraId="79651C9F" w14:textId="5571BCD1">
            <w:pPr>
              <w:keepNext/>
              <w:rPr>
                <w:rFonts w:eastAsia="Calibri" w:asciiTheme="minorHAnsi" w:hAnsiTheme="minorHAnsi"/>
                <w:sz w:val="16"/>
                <w:szCs w:val="16"/>
              </w:rPr>
            </w:pPr>
            <w:r>
              <w:rPr>
                <w:rFonts w:eastAsia="Calibri" w:asciiTheme="minorHAnsi" w:hAnsiTheme="minorHAnsi"/>
                <w:sz w:val="16"/>
                <w:szCs w:val="16"/>
              </w:rPr>
              <w:t>Added labor costs for applicants that were not previously required, and updated miscellaneous costs to reflect recently increased fees. IC merged from another existing OMB control number.</w:t>
            </w:r>
          </w:p>
        </w:tc>
      </w:tr>
      <w:tr w:rsidRPr="00A110F0" w:rsidR="00583936" w:rsidTr="009F2B02" w14:paraId="326161DC" w14:textId="77777777">
        <w:tc>
          <w:tcPr>
            <w:tcW w:w="2478" w:type="dxa"/>
            <w:shd w:val="clear" w:color="auto" w:fill="BDD6EE" w:themeFill="accent1" w:themeFillTint="66"/>
            <w:vAlign w:val="center"/>
          </w:tcPr>
          <w:p w:rsidRPr="00A110F0" w:rsidR="00583936" w:rsidP="00583936" w:rsidRDefault="00583936" w14:paraId="6A791CA8" w14:textId="77777777">
            <w:pPr>
              <w:keepNext/>
              <w:jc w:val="center"/>
              <w:rPr>
                <w:rFonts w:eastAsia="Calibri" w:asciiTheme="minorHAnsi" w:hAnsiTheme="minorHAnsi"/>
                <w:b/>
                <w:sz w:val="16"/>
                <w:szCs w:val="16"/>
              </w:rPr>
            </w:pPr>
            <w:r w:rsidRPr="00A110F0">
              <w:rPr>
                <w:rFonts w:eastAsia="Calibri" w:asciiTheme="minorHAnsi" w:hAnsiTheme="minorHAnsi"/>
                <w:b/>
                <w:sz w:val="16"/>
                <w:szCs w:val="16"/>
              </w:rPr>
              <w:t>Total for Collection</w:t>
            </w:r>
          </w:p>
        </w:tc>
        <w:tc>
          <w:tcPr>
            <w:tcW w:w="1251" w:type="dxa"/>
            <w:tcBorders>
              <w:right w:val="dashSmallGap" w:color="auto" w:sz="4" w:space="0"/>
            </w:tcBorders>
            <w:shd w:val="clear" w:color="auto" w:fill="BDD6EE" w:themeFill="accent1" w:themeFillTint="66"/>
            <w:vAlign w:val="center"/>
          </w:tcPr>
          <w:p w:rsidRPr="00A110F0" w:rsidR="00583936" w:rsidP="00583936" w:rsidRDefault="00583936" w14:paraId="434D4CDF" w14:textId="079FAFF5">
            <w:pPr>
              <w:keepNext/>
              <w:jc w:val="right"/>
              <w:rPr>
                <w:rFonts w:eastAsia="Calibri" w:asciiTheme="minorHAnsi" w:hAnsiTheme="minorHAnsi"/>
                <w:b/>
                <w:sz w:val="16"/>
                <w:szCs w:val="16"/>
              </w:rPr>
            </w:pPr>
            <w:r>
              <w:rPr>
                <w:rFonts w:eastAsia="Calibri" w:asciiTheme="minorHAnsi" w:hAnsiTheme="minorHAnsi"/>
                <w:b/>
                <w:sz w:val="16"/>
                <w:szCs w:val="16"/>
              </w:rPr>
              <w:t>$5,017.87</w:t>
            </w:r>
          </w:p>
        </w:tc>
        <w:tc>
          <w:tcPr>
            <w:tcW w:w="1155" w:type="dxa"/>
            <w:tcBorders>
              <w:left w:val="dashSmallGap" w:color="auto" w:sz="4" w:space="0"/>
            </w:tcBorders>
            <w:shd w:val="clear" w:color="auto" w:fill="BDD6EE" w:themeFill="accent1" w:themeFillTint="66"/>
            <w:vAlign w:val="center"/>
          </w:tcPr>
          <w:p w:rsidRPr="00A110F0" w:rsidR="00583936" w:rsidP="00583936" w:rsidRDefault="00583936" w14:paraId="078AD9D0" w14:textId="61CD11F9">
            <w:pPr>
              <w:jc w:val="right"/>
              <w:rPr>
                <w:rFonts w:eastAsia="Calibri" w:asciiTheme="minorHAnsi" w:hAnsiTheme="minorHAnsi"/>
                <w:b/>
                <w:bCs/>
                <w:sz w:val="16"/>
                <w:szCs w:val="16"/>
              </w:rPr>
            </w:pPr>
            <w:r>
              <w:rPr>
                <w:rFonts w:eastAsia="Calibri" w:asciiTheme="minorHAnsi" w:hAnsiTheme="minorHAnsi"/>
                <w:b/>
                <w:sz w:val="16"/>
                <w:szCs w:val="16"/>
              </w:rPr>
              <w:t>$2,575.12</w:t>
            </w:r>
          </w:p>
        </w:tc>
        <w:tc>
          <w:tcPr>
            <w:tcW w:w="1058" w:type="dxa"/>
            <w:tcBorders>
              <w:left w:val="dotted" w:color="auto" w:sz="4" w:space="0"/>
              <w:right w:val="dashSmallGap" w:color="auto" w:sz="4" w:space="0"/>
            </w:tcBorders>
            <w:shd w:val="clear" w:color="auto" w:fill="BDD6EE" w:themeFill="accent1" w:themeFillTint="66"/>
            <w:vAlign w:val="center"/>
          </w:tcPr>
          <w:p w:rsidRPr="00A110F0" w:rsidR="00583936" w:rsidP="00583936" w:rsidRDefault="00583936" w14:paraId="74D2A905" w14:textId="60D32003">
            <w:pPr>
              <w:keepNext/>
              <w:jc w:val="right"/>
              <w:rPr>
                <w:rFonts w:eastAsia="Calibri" w:asciiTheme="minorHAnsi" w:hAnsiTheme="minorHAnsi"/>
                <w:b/>
                <w:sz w:val="16"/>
                <w:szCs w:val="16"/>
              </w:rPr>
            </w:pPr>
            <w:r>
              <w:rPr>
                <w:rFonts w:eastAsia="Calibri" w:asciiTheme="minorHAnsi" w:hAnsiTheme="minorHAnsi"/>
                <w:b/>
                <w:sz w:val="16"/>
                <w:szCs w:val="16"/>
              </w:rPr>
              <w:t>$14,194</w:t>
            </w:r>
          </w:p>
        </w:tc>
        <w:tc>
          <w:tcPr>
            <w:tcW w:w="1252" w:type="dxa"/>
            <w:tcBorders>
              <w:left w:val="dashSmallGap" w:color="auto" w:sz="4" w:space="0"/>
              <w:right w:val="single" w:color="auto" w:sz="4" w:space="0"/>
            </w:tcBorders>
            <w:shd w:val="clear" w:color="auto" w:fill="BDD6EE" w:themeFill="accent1" w:themeFillTint="66"/>
            <w:vAlign w:val="center"/>
          </w:tcPr>
          <w:p w:rsidRPr="00A110F0" w:rsidR="00583936" w:rsidP="00583936" w:rsidRDefault="00583936" w14:paraId="50AB2851" w14:textId="34969CF4">
            <w:pPr>
              <w:keepNext/>
              <w:jc w:val="right"/>
              <w:rPr>
                <w:rFonts w:eastAsia="Calibri" w:asciiTheme="minorHAnsi" w:hAnsiTheme="minorHAnsi"/>
                <w:b/>
                <w:sz w:val="16"/>
                <w:szCs w:val="16"/>
              </w:rPr>
            </w:pPr>
            <w:r>
              <w:rPr>
                <w:rFonts w:eastAsia="Calibri" w:asciiTheme="minorHAnsi" w:hAnsiTheme="minorHAnsi"/>
                <w:b/>
                <w:sz w:val="16"/>
                <w:szCs w:val="16"/>
              </w:rPr>
              <w:t>$9,880</w:t>
            </w:r>
          </w:p>
        </w:tc>
        <w:tc>
          <w:tcPr>
            <w:tcW w:w="3403" w:type="dxa"/>
            <w:tcBorders>
              <w:left w:val="single" w:color="auto" w:sz="4" w:space="0"/>
              <w:right w:val="single" w:color="auto" w:sz="4" w:space="0"/>
            </w:tcBorders>
            <w:shd w:val="clear" w:color="auto" w:fill="BDD6EE" w:themeFill="accent1" w:themeFillTint="66"/>
            <w:vAlign w:val="center"/>
          </w:tcPr>
          <w:p w:rsidRPr="00A110F0" w:rsidR="00583936" w:rsidP="00583936" w:rsidRDefault="00583936" w14:paraId="51367CDF" w14:textId="77777777">
            <w:pPr>
              <w:keepNext/>
              <w:jc w:val="center"/>
              <w:rPr>
                <w:rFonts w:eastAsia="Calibri" w:asciiTheme="minorHAnsi" w:hAnsiTheme="minorHAnsi"/>
                <w:b/>
                <w:sz w:val="16"/>
                <w:szCs w:val="16"/>
              </w:rPr>
            </w:pPr>
          </w:p>
        </w:tc>
      </w:tr>
      <w:tr w:rsidRPr="00A110F0" w:rsidR="00583936" w:rsidTr="00C30554" w14:paraId="79AD3A95" w14:textId="77777777">
        <w:tc>
          <w:tcPr>
            <w:tcW w:w="2478" w:type="dxa"/>
            <w:shd w:val="clear" w:color="auto" w:fill="FBE4D5" w:themeFill="accent2" w:themeFillTint="33"/>
            <w:vAlign w:val="center"/>
          </w:tcPr>
          <w:p w:rsidRPr="00A110F0" w:rsidR="00583936" w:rsidP="00583936" w:rsidRDefault="00583936" w14:paraId="5CF40F82" w14:textId="77777777">
            <w:pPr>
              <w:keepNext/>
              <w:jc w:val="center"/>
              <w:rPr>
                <w:rFonts w:eastAsia="Calibri" w:asciiTheme="minorHAnsi" w:hAnsiTheme="minorHAnsi"/>
                <w:b/>
                <w:sz w:val="16"/>
                <w:szCs w:val="16"/>
              </w:rPr>
            </w:pPr>
            <w:r>
              <w:rPr>
                <w:rFonts w:eastAsia="Calibri" w:asciiTheme="minorHAnsi" w:hAnsiTheme="minorHAnsi"/>
                <w:b/>
                <w:sz w:val="16"/>
                <w:szCs w:val="16"/>
              </w:rPr>
              <w:t>Difference</w:t>
            </w:r>
          </w:p>
        </w:tc>
        <w:tc>
          <w:tcPr>
            <w:tcW w:w="2406" w:type="dxa"/>
            <w:gridSpan w:val="2"/>
            <w:shd w:val="clear" w:color="auto" w:fill="FBE4D5" w:themeFill="accent2" w:themeFillTint="33"/>
            <w:vAlign w:val="center"/>
          </w:tcPr>
          <w:p w:rsidR="00583936" w:rsidP="00583936" w:rsidRDefault="00583936" w14:paraId="1A03DF39" w14:textId="5987E0CD">
            <w:pPr>
              <w:jc w:val="center"/>
              <w:rPr>
                <w:rFonts w:eastAsia="Calibri" w:asciiTheme="minorHAnsi" w:hAnsiTheme="minorHAnsi"/>
                <w:b/>
                <w:bCs/>
                <w:sz w:val="16"/>
                <w:szCs w:val="16"/>
              </w:rPr>
            </w:pPr>
            <w:r>
              <w:rPr>
                <w:rFonts w:eastAsia="Calibri" w:asciiTheme="minorHAnsi" w:hAnsiTheme="minorHAnsi"/>
                <w:b/>
                <w:bCs/>
                <w:sz w:val="16"/>
                <w:szCs w:val="16"/>
              </w:rPr>
              <w:t>$2,442.75</w:t>
            </w:r>
          </w:p>
        </w:tc>
        <w:tc>
          <w:tcPr>
            <w:tcW w:w="2310" w:type="dxa"/>
            <w:gridSpan w:val="2"/>
            <w:tcBorders>
              <w:left w:val="dotted" w:color="auto" w:sz="4" w:space="0"/>
              <w:right w:val="single" w:color="auto" w:sz="4" w:space="0"/>
            </w:tcBorders>
            <w:shd w:val="clear" w:color="auto" w:fill="FBE4D5" w:themeFill="accent2" w:themeFillTint="33"/>
            <w:vAlign w:val="center"/>
          </w:tcPr>
          <w:p w:rsidR="00583936" w:rsidP="00583936" w:rsidRDefault="00583936" w14:paraId="21973DE3" w14:textId="10F67C30">
            <w:pPr>
              <w:keepNext/>
              <w:jc w:val="center"/>
              <w:rPr>
                <w:rFonts w:eastAsia="Calibri" w:asciiTheme="minorHAnsi" w:hAnsiTheme="minorHAnsi"/>
                <w:b/>
                <w:sz w:val="16"/>
                <w:szCs w:val="16"/>
              </w:rPr>
            </w:pPr>
            <w:r>
              <w:rPr>
                <w:rFonts w:eastAsia="Calibri" w:asciiTheme="minorHAnsi" w:hAnsiTheme="minorHAnsi"/>
                <w:b/>
                <w:sz w:val="16"/>
                <w:szCs w:val="16"/>
              </w:rPr>
              <w:t>$4,314</w:t>
            </w:r>
          </w:p>
        </w:tc>
        <w:tc>
          <w:tcPr>
            <w:tcW w:w="3403" w:type="dxa"/>
            <w:tcBorders>
              <w:left w:val="single" w:color="auto" w:sz="4" w:space="0"/>
              <w:bottom w:val="single" w:color="auto" w:sz="4" w:space="0"/>
              <w:right w:val="single" w:color="auto" w:sz="4" w:space="0"/>
            </w:tcBorders>
            <w:shd w:val="clear" w:color="auto" w:fill="FBE4D5" w:themeFill="accent2" w:themeFillTint="33"/>
            <w:vAlign w:val="center"/>
          </w:tcPr>
          <w:p w:rsidRPr="00A110F0" w:rsidR="00583936" w:rsidP="00583936" w:rsidRDefault="00583936" w14:paraId="422DFF70" w14:textId="77777777">
            <w:pPr>
              <w:keepNext/>
              <w:jc w:val="center"/>
              <w:rPr>
                <w:rFonts w:eastAsia="Calibri" w:asciiTheme="minorHAnsi" w:hAnsiTheme="minorHAnsi"/>
                <w:b/>
                <w:sz w:val="16"/>
                <w:szCs w:val="16"/>
              </w:rPr>
            </w:pPr>
          </w:p>
        </w:tc>
      </w:tr>
    </w:tbl>
    <w:p w:rsidR="004F26E9" w:rsidP="00CD5390" w:rsidRDefault="004F26E9" w14:paraId="05AD709A" w14:textId="77777777">
      <w:pPr>
        <w:rPr>
          <w:sz w:val="24"/>
          <w:szCs w:val="24"/>
        </w:rPr>
      </w:pPr>
    </w:p>
    <w:p w:rsidRPr="00BD7237" w:rsidR="00283F01" w:rsidP="00283F01" w:rsidRDefault="00493868" w14:paraId="69C56AD5" w14:textId="77777777">
      <w:pPr>
        <w:pStyle w:val="ListParagraph"/>
        <w:tabs>
          <w:tab w:val="left" w:pos="360"/>
        </w:tabs>
        <w:adjustRightInd/>
        <w:spacing w:before="80"/>
        <w:ind w:left="0"/>
        <w:contextualSpacing w:val="0"/>
        <w:rPr>
          <w:b/>
          <w:sz w:val="24"/>
          <w:szCs w:val="24"/>
        </w:rPr>
      </w:pPr>
      <w:r>
        <w:rPr>
          <w:b/>
          <w:bCs/>
          <w:sz w:val="24"/>
          <w:szCs w:val="24"/>
        </w:rPr>
        <w:t>16.</w:t>
      </w:r>
      <w:r>
        <w:rPr>
          <w:b/>
          <w:bCs/>
          <w:sz w:val="24"/>
          <w:szCs w:val="24"/>
        </w:rPr>
        <w:tab/>
      </w:r>
      <w:r w:rsidRPr="00BD7237" w:rsidR="00283F01">
        <w:rPr>
          <w:b/>
          <w:sz w:val="24"/>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4F26E9" w:rsidP="00CD5390" w:rsidRDefault="004F26E9" w14:paraId="55A051A2" w14:textId="77777777">
      <w:pPr>
        <w:rPr>
          <w:sz w:val="24"/>
          <w:szCs w:val="24"/>
        </w:rPr>
      </w:pPr>
    </w:p>
    <w:p w:rsidRPr="0001762E" w:rsidR="0001762E" w:rsidP="0001762E" w:rsidRDefault="0001762E" w14:paraId="02688F0B" w14:textId="0C48AB11">
      <w:pPr>
        <w:suppressLineNumbers/>
        <w:suppressAutoHyphens/>
        <w:rPr>
          <w:sz w:val="24"/>
          <w:szCs w:val="24"/>
        </w:rPr>
      </w:pPr>
      <w:r w:rsidRPr="0001762E">
        <w:rPr>
          <w:sz w:val="24"/>
          <w:szCs w:val="24"/>
        </w:rPr>
        <w:t>NMFS does not plan a publication based solely on this collection of information at this time. However, NMFS will analyze the information in permit applications to determine eligibility for permit issuance and the need for management changes to conserve fish stocks and protect endangered or threatened marine animals and their habitats. These analyses will be included in annual stock assessment and fishery evaluation reports as required under the FEP</w:t>
      </w:r>
      <w:r w:rsidR="00420842">
        <w:rPr>
          <w:sz w:val="24"/>
          <w:szCs w:val="24"/>
        </w:rPr>
        <w:t>s</w:t>
      </w:r>
      <w:r w:rsidRPr="0001762E">
        <w:rPr>
          <w:sz w:val="24"/>
          <w:szCs w:val="24"/>
        </w:rPr>
        <w:t>. The information from this collection may ultimately be published in scientific journals.</w:t>
      </w:r>
    </w:p>
    <w:p w:rsidR="00007B73" w:rsidP="00283F01" w:rsidRDefault="00007B73" w14:paraId="03101C41" w14:textId="6274253B">
      <w:pPr>
        <w:pStyle w:val="ListParagraph"/>
        <w:tabs>
          <w:tab w:val="left" w:pos="360"/>
        </w:tabs>
        <w:adjustRightInd/>
        <w:spacing w:before="80"/>
        <w:ind w:left="0"/>
        <w:contextualSpacing w:val="0"/>
        <w:rPr>
          <w:b/>
          <w:bCs/>
          <w:sz w:val="24"/>
          <w:szCs w:val="24"/>
        </w:rPr>
      </w:pPr>
    </w:p>
    <w:p w:rsidRPr="00283F01" w:rsidR="004F26E9" w:rsidP="00283F01" w:rsidRDefault="00493868" w14:paraId="5789EBE1" w14:textId="352FBA70">
      <w:pPr>
        <w:pStyle w:val="ListParagraph"/>
        <w:tabs>
          <w:tab w:val="left" w:pos="360"/>
        </w:tabs>
        <w:adjustRightInd/>
        <w:spacing w:before="80"/>
        <w:ind w:left="0"/>
        <w:contextualSpacing w:val="0"/>
        <w:rPr>
          <w:b/>
          <w:sz w:val="24"/>
          <w:szCs w:val="24"/>
        </w:rPr>
      </w:pPr>
      <w:r>
        <w:rPr>
          <w:b/>
          <w:bCs/>
          <w:sz w:val="24"/>
          <w:szCs w:val="24"/>
        </w:rPr>
        <w:t>17.</w:t>
      </w:r>
      <w:r>
        <w:rPr>
          <w:b/>
          <w:bCs/>
          <w:sz w:val="24"/>
          <w:szCs w:val="24"/>
        </w:rPr>
        <w:tab/>
      </w:r>
      <w:r w:rsidRPr="00BD7237" w:rsidR="00283F01">
        <w:rPr>
          <w:b/>
          <w:sz w:val="24"/>
          <w:szCs w:val="24"/>
        </w:rPr>
        <w:t>If seeking approval to not display the expiration date for OMB approval of the information collection, explain the reasons that display would be inappropriate.</w:t>
      </w:r>
    </w:p>
    <w:p w:rsidR="004F26E9" w:rsidP="00CD5390" w:rsidRDefault="004F26E9" w14:paraId="612B02B4" w14:textId="77777777">
      <w:pPr>
        <w:rPr>
          <w:sz w:val="24"/>
          <w:szCs w:val="24"/>
        </w:rPr>
      </w:pPr>
    </w:p>
    <w:p w:rsidR="00114BE5" w:rsidP="00007B73" w:rsidRDefault="0001762E" w14:paraId="168FE28B" w14:textId="77CBA93A">
      <w:pPr>
        <w:rPr>
          <w:sz w:val="24"/>
          <w:szCs w:val="24"/>
        </w:rPr>
      </w:pPr>
      <w:r w:rsidRPr="0001762E">
        <w:rPr>
          <w:sz w:val="24"/>
          <w:szCs w:val="24"/>
        </w:rPr>
        <w:t>The expiration date will be displayed.</w:t>
      </w:r>
    </w:p>
    <w:p w:rsidRPr="00007B73" w:rsidR="00007B73" w:rsidP="00007B73" w:rsidRDefault="00007B73" w14:paraId="5B280EA1" w14:textId="77777777">
      <w:pPr>
        <w:rPr>
          <w:sz w:val="24"/>
          <w:szCs w:val="24"/>
        </w:rPr>
      </w:pPr>
    </w:p>
    <w:p w:rsidRPr="00283F01" w:rsidR="004F26E9" w:rsidP="00283F01" w:rsidRDefault="00493868" w14:paraId="1993D545" w14:textId="774B15CA">
      <w:pPr>
        <w:pStyle w:val="ListParagraph"/>
        <w:tabs>
          <w:tab w:val="left" w:pos="360"/>
        </w:tabs>
        <w:adjustRightInd/>
        <w:spacing w:before="80"/>
        <w:ind w:left="0"/>
        <w:contextualSpacing w:val="0"/>
        <w:rPr>
          <w:b/>
          <w:sz w:val="24"/>
          <w:szCs w:val="24"/>
        </w:rPr>
      </w:pPr>
      <w:r>
        <w:rPr>
          <w:b/>
          <w:bCs/>
          <w:sz w:val="24"/>
          <w:szCs w:val="24"/>
        </w:rPr>
        <w:t>18.</w:t>
      </w:r>
      <w:r>
        <w:rPr>
          <w:b/>
          <w:bCs/>
          <w:sz w:val="24"/>
          <w:szCs w:val="24"/>
        </w:rPr>
        <w:tab/>
      </w:r>
      <w:r w:rsidRPr="00BD7237" w:rsidR="00283F01">
        <w:rPr>
          <w:b/>
          <w:sz w:val="24"/>
          <w:szCs w:val="24"/>
        </w:rPr>
        <w:t>Explain each exception to the certification statement identified in “Certification for Paperwork Reduction Act Submissions."</w:t>
      </w:r>
    </w:p>
    <w:p w:rsidRPr="002E135F" w:rsidR="002E135F" w:rsidP="00F0783F" w:rsidRDefault="002E135F" w14:paraId="57697714" w14:textId="77777777">
      <w:pPr>
        <w:spacing w:before="221" w:line="259" w:lineRule="auto"/>
        <w:rPr>
          <w:sz w:val="24"/>
          <w:szCs w:val="24"/>
        </w:rPr>
      </w:pPr>
      <w:r w:rsidRPr="002E135F">
        <w:rPr>
          <w:sz w:val="24"/>
          <w:szCs w:val="24"/>
        </w:rPr>
        <w:t xml:space="preserve">The agency certifies compliance with </w:t>
      </w:r>
      <w:hyperlink r:id="rId18">
        <w:r w:rsidRPr="002E135F">
          <w:rPr>
            <w:color w:val="0563C1"/>
            <w:sz w:val="24"/>
            <w:szCs w:val="24"/>
            <w:u w:val="thick" w:color="0563C1"/>
          </w:rPr>
          <w:t>5 CFR 1320.9</w:t>
        </w:r>
        <w:r w:rsidRPr="002E135F">
          <w:rPr>
            <w:color w:val="0563C1"/>
            <w:sz w:val="24"/>
            <w:szCs w:val="24"/>
          </w:rPr>
          <w:t xml:space="preserve"> </w:t>
        </w:r>
      </w:hyperlink>
      <w:r w:rsidRPr="002E135F">
        <w:rPr>
          <w:sz w:val="24"/>
          <w:szCs w:val="24"/>
        </w:rPr>
        <w:t xml:space="preserve">and the related provisions of </w:t>
      </w:r>
      <w:hyperlink r:id="rId19">
        <w:r w:rsidRPr="002E135F">
          <w:rPr>
            <w:color w:val="0563C1"/>
            <w:sz w:val="24"/>
            <w:szCs w:val="24"/>
            <w:u w:val="thick" w:color="0563C1"/>
          </w:rPr>
          <w:t>5</w:t>
        </w:r>
        <w:r w:rsidRPr="002E135F">
          <w:rPr>
            <w:color w:val="0563C1"/>
            <w:spacing w:val="-42"/>
            <w:sz w:val="24"/>
            <w:szCs w:val="24"/>
            <w:u w:val="thick" w:color="0563C1"/>
          </w:rPr>
          <w:t xml:space="preserve"> </w:t>
        </w:r>
        <w:r w:rsidRPr="002E135F">
          <w:rPr>
            <w:color w:val="0563C1"/>
            <w:sz w:val="24"/>
            <w:szCs w:val="24"/>
            <w:u w:val="thick" w:color="0563C1"/>
          </w:rPr>
          <w:t>CFR</w:t>
        </w:r>
      </w:hyperlink>
      <w:r w:rsidRPr="002E135F">
        <w:rPr>
          <w:color w:val="0563C1"/>
          <w:sz w:val="24"/>
          <w:szCs w:val="24"/>
        </w:rPr>
        <w:t xml:space="preserve"> </w:t>
      </w:r>
      <w:hyperlink r:id="rId20">
        <w:r w:rsidRPr="002E135F">
          <w:rPr>
            <w:color w:val="0563C1"/>
            <w:sz w:val="24"/>
            <w:szCs w:val="24"/>
            <w:u w:val="thick" w:color="0563C1"/>
          </w:rPr>
          <w:t>1320.8(b</w:t>
        </w:r>
        <w:proofErr w:type="gramStart"/>
        <w:r w:rsidRPr="002E135F">
          <w:rPr>
            <w:color w:val="0563C1"/>
            <w:sz w:val="24"/>
            <w:szCs w:val="24"/>
            <w:u w:val="thick" w:color="0563C1"/>
          </w:rPr>
          <w:t>)(</w:t>
        </w:r>
        <w:proofErr w:type="gramEnd"/>
        <w:r w:rsidRPr="002E135F">
          <w:rPr>
            <w:color w:val="0563C1"/>
            <w:sz w:val="24"/>
            <w:szCs w:val="24"/>
            <w:u w:val="thick" w:color="0563C1"/>
          </w:rPr>
          <w:t>3)</w:t>
        </w:r>
      </w:hyperlink>
      <w:r w:rsidRPr="002E135F">
        <w:rPr>
          <w:sz w:val="24"/>
          <w:szCs w:val="24"/>
        </w:rPr>
        <w:t>.</w:t>
      </w:r>
    </w:p>
    <w:p w:rsidR="00FD3D2A" w:rsidP="00420842" w:rsidRDefault="00FD3D2A" w14:paraId="040A3141" w14:textId="77777777">
      <w:pPr>
        <w:rPr>
          <w:sz w:val="24"/>
          <w:szCs w:val="24"/>
        </w:rPr>
      </w:pPr>
    </w:p>
    <w:p w:rsidR="00FD3D2A" w:rsidP="00CD5390" w:rsidRDefault="00FD3D2A" w14:paraId="16104F2D" w14:textId="77777777">
      <w:pPr>
        <w:rPr>
          <w:sz w:val="24"/>
          <w:szCs w:val="24"/>
        </w:rPr>
      </w:pPr>
    </w:p>
    <w:p w:rsidR="00FD3D2A" w:rsidP="00CD5390" w:rsidRDefault="00FD3D2A" w14:paraId="0ABA2C8B" w14:textId="77777777">
      <w:pPr>
        <w:rPr>
          <w:sz w:val="24"/>
          <w:szCs w:val="24"/>
        </w:rPr>
      </w:pPr>
    </w:p>
    <w:p w:rsidR="00AE7E8A" w:rsidP="00CD5390" w:rsidRDefault="00AE7E8A" w14:paraId="234B9701" w14:textId="77777777">
      <w:pPr>
        <w:rPr>
          <w:sz w:val="24"/>
          <w:szCs w:val="24"/>
        </w:rPr>
      </w:pPr>
    </w:p>
    <w:sectPr w:rsidR="00AE7E8A" w:rsidSect="002E135F">
      <w:footnotePr>
        <w:numRestart w:val="eachSect"/>
      </w:footnotePr>
      <w:endnotePr>
        <w:numFmt w:val="decimal"/>
      </w:endnotePr>
      <w:pgSz w:w="12240" w:h="15840"/>
      <w:pgMar w:top="1440" w:right="1440" w:bottom="1440" w:left="1440" w:header="720" w:footer="720" w:gutter="0"/>
      <w:cols w:space="720"/>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A32109C" w16cid:durableId="23F5D6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0FB2E" w14:textId="77777777" w:rsidR="0056587A" w:rsidRDefault="0056587A">
      <w:r>
        <w:separator/>
      </w:r>
    </w:p>
  </w:endnote>
  <w:endnote w:type="continuationSeparator" w:id="0">
    <w:p w14:paraId="07844A25" w14:textId="77777777" w:rsidR="0056587A" w:rsidRDefault="00565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imesNewRoman">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B1DA5D" w14:textId="49FCF742" w:rsidR="0056587A" w:rsidRDefault="0056587A">
    <w:pPr>
      <w:pStyle w:val="Footer"/>
      <w:framePr w:w="576" w:wrap="auto" w:vAnchor="page" w:hAnchor="page" w:x="5545" w:y="15121"/>
      <w:jc w:val="right"/>
      <w:rPr>
        <w:rStyle w:val="PageNumber"/>
        <w:sz w:val="24"/>
        <w:szCs w:val="24"/>
      </w:rPr>
    </w:pPr>
    <w:r>
      <w:rPr>
        <w:rStyle w:val="PageNumber"/>
        <w:sz w:val="24"/>
        <w:szCs w:val="24"/>
      </w:rPr>
      <w:fldChar w:fldCharType="begin"/>
    </w:r>
    <w:r>
      <w:rPr>
        <w:rStyle w:val="PageNumber"/>
        <w:sz w:val="24"/>
        <w:szCs w:val="24"/>
      </w:rPr>
      <w:instrText xml:space="preserve">PAGE  </w:instrText>
    </w:r>
    <w:r>
      <w:rPr>
        <w:rStyle w:val="PageNumber"/>
        <w:sz w:val="24"/>
        <w:szCs w:val="24"/>
      </w:rPr>
      <w:fldChar w:fldCharType="separate"/>
    </w:r>
    <w:r w:rsidR="0079663C">
      <w:rPr>
        <w:rStyle w:val="PageNumber"/>
        <w:noProof/>
        <w:sz w:val="24"/>
        <w:szCs w:val="24"/>
      </w:rPr>
      <w:t>10</w:t>
    </w:r>
    <w:r>
      <w:rPr>
        <w:rStyle w:val="PageNumber"/>
        <w:sz w:val="24"/>
        <w:szCs w:val="24"/>
      </w:rPr>
      <w:fldChar w:fldCharType="end"/>
    </w:r>
  </w:p>
  <w:p w14:paraId="6B12FDDF" w14:textId="77777777" w:rsidR="0056587A" w:rsidRDefault="0056587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04B163" w14:textId="77777777" w:rsidR="0056587A" w:rsidRDefault="0056587A">
      <w:r>
        <w:separator/>
      </w:r>
    </w:p>
  </w:footnote>
  <w:footnote w:type="continuationSeparator" w:id="0">
    <w:p w14:paraId="7F37FA10" w14:textId="77777777" w:rsidR="0056587A" w:rsidRDefault="0056587A">
      <w:r>
        <w:continuationSeparator/>
      </w:r>
    </w:p>
  </w:footnote>
  <w:footnote w:id="1">
    <w:p w14:paraId="09F28BD0" w14:textId="77777777" w:rsidR="0056587A" w:rsidRDefault="0056587A" w:rsidP="00A20388">
      <w:pPr>
        <w:spacing w:after="240"/>
        <w:ind w:firstLine="720"/>
      </w:pPr>
      <w:r>
        <w:rPr>
          <w:rStyle w:val="FootnoteReference"/>
          <w:vertAlign w:val="superscript"/>
        </w:rPr>
        <w:footnoteRef/>
      </w:r>
      <w:r>
        <w:t>Howland, Baker, Jarvis, Wake and Palmyra Islands, Johnston Atoll, Midway Atoll, and Kingman Reef.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3100C7"/>
    <w:multiLevelType w:val="hybridMultilevel"/>
    <w:tmpl w:val="B41066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FD1A90"/>
    <w:multiLevelType w:val="hybridMultilevel"/>
    <w:tmpl w:val="9492419E"/>
    <w:lvl w:ilvl="0" w:tplc="A934C166">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1882A656">
      <w:numFmt w:val="bullet"/>
      <w:lvlText w:val=""/>
      <w:lvlJc w:val="left"/>
      <w:pPr>
        <w:ind w:left="1120" w:hanging="360"/>
      </w:pPr>
      <w:rPr>
        <w:rFonts w:hint="default"/>
        <w:w w:val="99"/>
        <w:lang w:val="en-US" w:eastAsia="en-US" w:bidi="en-US"/>
      </w:rPr>
    </w:lvl>
    <w:lvl w:ilvl="2" w:tplc="A67A0782">
      <w:numFmt w:val="bullet"/>
      <w:lvlText w:val="•"/>
      <w:lvlJc w:val="left"/>
      <w:pPr>
        <w:ind w:left="1220" w:hanging="360"/>
      </w:pPr>
      <w:rPr>
        <w:rFonts w:hint="default"/>
        <w:lang w:val="en-US" w:eastAsia="en-US" w:bidi="en-US"/>
      </w:rPr>
    </w:lvl>
    <w:lvl w:ilvl="3" w:tplc="63E0F000">
      <w:numFmt w:val="bullet"/>
      <w:lvlText w:val="•"/>
      <w:lvlJc w:val="left"/>
      <w:pPr>
        <w:ind w:left="2505" w:hanging="360"/>
      </w:pPr>
      <w:rPr>
        <w:rFonts w:hint="default"/>
        <w:lang w:val="en-US" w:eastAsia="en-US" w:bidi="en-US"/>
      </w:rPr>
    </w:lvl>
    <w:lvl w:ilvl="4" w:tplc="C6CAEE14">
      <w:numFmt w:val="bullet"/>
      <w:lvlText w:val="•"/>
      <w:lvlJc w:val="left"/>
      <w:pPr>
        <w:ind w:left="3790" w:hanging="360"/>
      </w:pPr>
      <w:rPr>
        <w:rFonts w:hint="default"/>
        <w:lang w:val="en-US" w:eastAsia="en-US" w:bidi="en-US"/>
      </w:rPr>
    </w:lvl>
    <w:lvl w:ilvl="5" w:tplc="085E7B74">
      <w:numFmt w:val="bullet"/>
      <w:lvlText w:val="•"/>
      <w:lvlJc w:val="left"/>
      <w:pPr>
        <w:ind w:left="5075" w:hanging="360"/>
      </w:pPr>
      <w:rPr>
        <w:rFonts w:hint="default"/>
        <w:lang w:val="en-US" w:eastAsia="en-US" w:bidi="en-US"/>
      </w:rPr>
    </w:lvl>
    <w:lvl w:ilvl="6" w:tplc="B1C09538">
      <w:numFmt w:val="bullet"/>
      <w:lvlText w:val="•"/>
      <w:lvlJc w:val="left"/>
      <w:pPr>
        <w:ind w:left="6360" w:hanging="360"/>
      </w:pPr>
      <w:rPr>
        <w:rFonts w:hint="default"/>
        <w:lang w:val="en-US" w:eastAsia="en-US" w:bidi="en-US"/>
      </w:rPr>
    </w:lvl>
    <w:lvl w:ilvl="7" w:tplc="307EB7DC">
      <w:numFmt w:val="bullet"/>
      <w:lvlText w:val="•"/>
      <w:lvlJc w:val="left"/>
      <w:pPr>
        <w:ind w:left="7645" w:hanging="360"/>
      </w:pPr>
      <w:rPr>
        <w:rFonts w:hint="default"/>
        <w:lang w:val="en-US" w:eastAsia="en-US" w:bidi="en-US"/>
      </w:rPr>
    </w:lvl>
    <w:lvl w:ilvl="8" w:tplc="1FAA366C">
      <w:numFmt w:val="bullet"/>
      <w:lvlText w:val="•"/>
      <w:lvlJc w:val="left"/>
      <w:pPr>
        <w:ind w:left="8930" w:hanging="360"/>
      </w:pPr>
      <w:rPr>
        <w:rFonts w:hint="default"/>
        <w:lang w:val="en-US" w:eastAsia="en-US" w:bidi="en-US"/>
      </w:rPr>
    </w:lvl>
  </w:abstractNum>
  <w:abstractNum w:abstractNumId="2" w15:restartNumberingAfterBreak="0">
    <w:nsid w:val="206501A5"/>
    <w:multiLevelType w:val="hybridMultilevel"/>
    <w:tmpl w:val="A60490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B5811B5"/>
    <w:multiLevelType w:val="hybridMultilevel"/>
    <w:tmpl w:val="44AE4C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20B5C69"/>
    <w:multiLevelType w:val="hybridMultilevel"/>
    <w:tmpl w:val="DFCC5AFE"/>
    <w:lvl w:ilvl="0" w:tplc="1CAE974C">
      <w:start w:val="1"/>
      <w:numFmt w:val="upperLetter"/>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E704E9"/>
    <w:multiLevelType w:val="hybridMultilevel"/>
    <w:tmpl w:val="F6F0F7D2"/>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numRestart w:val="eachSect"/>
    <w:footnote w:id="-1"/>
    <w:footnote w:id="0"/>
  </w:footnotePr>
  <w:endnotePr>
    <w:numFmt w:val="decimal"/>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26E9"/>
    <w:rsid w:val="00007B73"/>
    <w:rsid w:val="00013FF4"/>
    <w:rsid w:val="0001762E"/>
    <w:rsid w:val="00023A3D"/>
    <w:rsid w:val="00051079"/>
    <w:rsid w:val="00056D82"/>
    <w:rsid w:val="00066544"/>
    <w:rsid w:val="000741CA"/>
    <w:rsid w:val="000A0540"/>
    <w:rsid w:val="000B6091"/>
    <w:rsid w:val="000C0734"/>
    <w:rsid w:val="000D1B36"/>
    <w:rsid w:val="000D2E6D"/>
    <w:rsid w:val="000D49BA"/>
    <w:rsid w:val="000D728E"/>
    <w:rsid w:val="000E7B36"/>
    <w:rsid w:val="000F0AE4"/>
    <w:rsid w:val="00101394"/>
    <w:rsid w:val="00101EFE"/>
    <w:rsid w:val="00101F7B"/>
    <w:rsid w:val="0010662B"/>
    <w:rsid w:val="00107F5D"/>
    <w:rsid w:val="001114CA"/>
    <w:rsid w:val="0011443A"/>
    <w:rsid w:val="00114BE5"/>
    <w:rsid w:val="001609FB"/>
    <w:rsid w:val="00166B85"/>
    <w:rsid w:val="00185785"/>
    <w:rsid w:val="00193F97"/>
    <w:rsid w:val="001A46F7"/>
    <w:rsid w:val="001A68BE"/>
    <w:rsid w:val="001C5758"/>
    <w:rsid w:val="001D6F92"/>
    <w:rsid w:val="001E6F72"/>
    <w:rsid w:val="001F18BD"/>
    <w:rsid w:val="0020448B"/>
    <w:rsid w:val="00235C5A"/>
    <w:rsid w:val="00242F72"/>
    <w:rsid w:val="00250488"/>
    <w:rsid w:val="00253ABC"/>
    <w:rsid w:val="00270F48"/>
    <w:rsid w:val="00271564"/>
    <w:rsid w:val="00271CF8"/>
    <w:rsid w:val="00283334"/>
    <w:rsid w:val="00283F01"/>
    <w:rsid w:val="00284E9E"/>
    <w:rsid w:val="002B2349"/>
    <w:rsid w:val="002B4879"/>
    <w:rsid w:val="002C02DB"/>
    <w:rsid w:val="002C148E"/>
    <w:rsid w:val="002C4E6F"/>
    <w:rsid w:val="002E135F"/>
    <w:rsid w:val="00300C77"/>
    <w:rsid w:val="00312739"/>
    <w:rsid w:val="00315869"/>
    <w:rsid w:val="003309DD"/>
    <w:rsid w:val="003340D8"/>
    <w:rsid w:val="00343E7E"/>
    <w:rsid w:val="0034719E"/>
    <w:rsid w:val="00347E85"/>
    <w:rsid w:val="00357A8C"/>
    <w:rsid w:val="003666C0"/>
    <w:rsid w:val="003716C7"/>
    <w:rsid w:val="00376D75"/>
    <w:rsid w:val="00382FB9"/>
    <w:rsid w:val="003C1911"/>
    <w:rsid w:val="003E4D74"/>
    <w:rsid w:val="003F2E12"/>
    <w:rsid w:val="003F7F38"/>
    <w:rsid w:val="00420842"/>
    <w:rsid w:val="004379A0"/>
    <w:rsid w:val="00447A50"/>
    <w:rsid w:val="00460B77"/>
    <w:rsid w:val="00481F9E"/>
    <w:rsid w:val="00493868"/>
    <w:rsid w:val="004A76F5"/>
    <w:rsid w:val="004B4496"/>
    <w:rsid w:val="004B5EE4"/>
    <w:rsid w:val="004C00AA"/>
    <w:rsid w:val="004C28B9"/>
    <w:rsid w:val="004D16D6"/>
    <w:rsid w:val="004E289C"/>
    <w:rsid w:val="004E6A1D"/>
    <w:rsid w:val="004F26E9"/>
    <w:rsid w:val="00532DD5"/>
    <w:rsid w:val="00544150"/>
    <w:rsid w:val="00555E4A"/>
    <w:rsid w:val="00557696"/>
    <w:rsid w:val="005643CC"/>
    <w:rsid w:val="0056587A"/>
    <w:rsid w:val="00577556"/>
    <w:rsid w:val="00580714"/>
    <w:rsid w:val="00581C79"/>
    <w:rsid w:val="005835F4"/>
    <w:rsid w:val="00583936"/>
    <w:rsid w:val="005B4C31"/>
    <w:rsid w:val="005C6849"/>
    <w:rsid w:val="005E041D"/>
    <w:rsid w:val="005F6CB1"/>
    <w:rsid w:val="005F7654"/>
    <w:rsid w:val="006329C0"/>
    <w:rsid w:val="00640B76"/>
    <w:rsid w:val="00662060"/>
    <w:rsid w:val="00665AFA"/>
    <w:rsid w:val="006C176F"/>
    <w:rsid w:val="006C3573"/>
    <w:rsid w:val="006D76FE"/>
    <w:rsid w:val="006F096D"/>
    <w:rsid w:val="006F5F06"/>
    <w:rsid w:val="007009C3"/>
    <w:rsid w:val="00703F2B"/>
    <w:rsid w:val="00725C5C"/>
    <w:rsid w:val="00732713"/>
    <w:rsid w:val="00772FFC"/>
    <w:rsid w:val="007844C6"/>
    <w:rsid w:val="00784D9F"/>
    <w:rsid w:val="0079663C"/>
    <w:rsid w:val="007A0A47"/>
    <w:rsid w:val="007A3103"/>
    <w:rsid w:val="007B442E"/>
    <w:rsid w:val="008276F9"/>
    <w:rsid w:val="00833C53"/>
    <w:rsid w:val="00846C18"/>
    <w:rsid w:val="0084752E"/>
    <w:rsid w:val="00855631"/>
    <w:rsid w:val="008659AE"/>
    <w:rsid w:val="0087320C"/>
    <w:rsid w:val="00890FA8"/>
    <w:rsid w:val="008A0D1D"/>
    <w:rsid w:val="008E33B7"/>
    <w:rsid w:val="0090431D"/>
    <w:rsid w:val="00911B60"/>
    <w:rsid w:val="009212F4"/>
    <w:rsid w:val="00934A84"/>
    <w:rsid w:val="00935A1D"/>
    <w:rsid w:val="00946AB0"/>
    <w:rsid w:val="00947F19"/>
    <w:rsid w:val="009651E6"/>
    <w:rsid w:val="00984CDB"/>
    <w:rsid w:val="00997831"/>
    <w:rsid w:val="009B7F92"/>
    <w:rsid w:val="009C4D8E"/>
    <w:rsid w:val="009D2AF1"/>
    <w:rsid w:val="009D4B79"/>
    <w:rsid w:val="009E44FF"/>
    <w:rsid w:val="009E69AD"/>
    <w:rsid w:val="009F2B02"/>
    <w:rsid w:val="009F3C10"/>
    <w:rsid w:val="009F499F"/>
    <w:rsid w:val="00A05D37"/>
    <w:rsid w:val="00A110F0"/>
    <w:rsid w:val="00A127E1"/>
    <w:rsid w:val="00A17216"/>
    <w:rsid w:val="00A20388"/>
    <w:rsid w:val="00A218AB"/>
    <w:rsid w:val="00A35D86"/>
    <w:rsid w:val="00A52249"/>
    <w:rsid w:val="00A57F7A"/>
    <w:rsid w:val="00AB038E"/>
    <w:rsid w:val="00AB3CA7"/>
    <w:rsid w:val="00AB643A"/>
    <w:rsid w:val="00AB6A8A"/>
    <w:rsid w:val="00AD3F53"/>
    <w:rsid w:val="00AE05B9"/>
    <w:rsid w:val="00AE7E8A"/>
    <w:rsid w:val="00AF4B4E"/>
    <w:rsid w:val="00AF4B65"/>
    <w:rsid w:val="00AF544A"/>
    <w:rsid w:val="00B068D8"/>
    <w:rsid w:val="00B70A4E"/>
    <w:rsid w:val="00BB7E74"/>
    <w:rsid w:val="00C17580"/>
    <w:rsid w:val="00C30554"/>
    <w:rsid w:val="00C95A38"/>
    <w:rsid w:val="00CA2B37"/>
    <w:rsid w:val="00CD5390"/>
    <w:rsid w:val="00CE1E61"/>
    <w:rsid w:val="00CF59D9"/>
    <w:rsid w:val="00D0046C"/>
    <w:rsid w:val="00D14580"/>
    <w:rsid w:val="00D20BBD"/>
    <w:rsid w:val="00D33A2F"/>
    <w:rsid w:val="00D35635"/>
    <w:rsid w:val="00D3750E"/>
    <w:rsid w:val="00D37919"/>
    <w:rsid w:val="00D82B80"/>
    <w:rsid w:val="00D878A4"/>
    <w:rsid w:val="00D9308B"/>
    <w:rsid w:val="00DA2A0E"/>
    <w:rsid w:val="00DD5FE2"/>
    <w:rsid w:val="00DF7B97"/>
    <w:rsid w:val="00E166E6"/>
    <w:rsid w:val="00E33230"/>
    <w:rsid w:val="00E405EC"/>
    <w:rsid w:val="00E476AD"/>
    <w:rsid w:val="00E6174B"/>
    <w:rsid w:val="00E627E4"/>
    <w:rsid w:val="00E82326"/>
    <w:rsid w:val="00E85E22"/>
    <w:rsid w:val="00E9038F"/>
    <w:rsid w:val="00E91F6C"/>
    <w:rsid w:val="00E97DC4"/>
    <w:rsid w:val="00EB4AA9"/>
    <w:rsid w:val="00EB5DD8"/>
    <w:rsid w:val="00F01735"/>
    <w:rsid w:val="00F054A0"/>
    <w:rsid w:val="00F0783F"/>
    <w:rsid w:val="00F160E2"/>
    <w:rsid w:val="00F16BFA"/>
    <w:rsid w:val="00F34D1E"/>
    <w:rsid w:val="00F37052"/>
    <w:rsid w:val="00F413AC"/>
    <w:rsid w:val="00F61F51"/>
    <w:rsid w:val="00F64FF1"/>
    <w:rsid w:val="00FD3D2A"/>
    <w:rsid w:val="00FF5D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E1F81"/>
  <w15:chartTrackingRefBased/>
  <w15:docId w15:val="{64FF63C5-447B-476F-BF61-F51C5C828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autoSpaceDE w:val="0"/>
      <w:autoSpaceDN w:val="0"/>
      <w:adjustRightInd w:val="0"/>
    </w:pPr>
  </w:style>
  <w:style w:type="paragraph" w:styleId="Heading1">
    <w:name w:val="heading 1"/>
    <w:basedOn w:val="Normal"/>
    <w:link w:val="Heading1Char"/>
    <w:uiPriority w:val="1"/>
    <w:qFormat/>
    <w:rsid w:val="00283F01"/>
    <w:pPr>
      <w:adjustRightInd/>
      <w:spacing w:before="80"/>
      <w:ind w:left="400"/>
      <w:outlineLvl w:val="0"/>
    </w:pPr>
    <w:rPr>
      <w:rFonts w:ascii="Arial" w:eastAsia="Arial" w:hAnsi="Arial" w:cs="Arial"/>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AutoList1">
    <w:name w:val="1AutoList1"/>
    <w:pPr>
      <w:widowControl w:val="0"/>
      <w:autoSpaceDE w:val="0"/>
      <w:autoSpaceDN w:val="0"/>
      <w:adjustRightInd w:val="0"/>
      <w:ind w:left="-1440"/>
      <w:jc w:val="both"/>
    </w:pPr>
    <w:rPr>
      <w:sz w:val="24"/>
      <w:szCs w:val="24"/>
    </w:rPr>
  </w:style>
  <w:style w:type="paragraph" w:customStyle="1" w:styleId="2AutoList1">
    <w:name w:val="2AutoList1"/>
    <w:pPr>
      <w:widowControl w:val="0"/>
      <w:autoSpaceDE w:val="0"/>
      <w:autoSpaceDN w:val="0"/>
      <w:adjustRightInd w:val="0"/>
      <w:ind w:left="-1440"/>
      <w:jc w:val="both"/>
    </w:pPr>
    <w:rPr>
      <w:sz w:val="24"/>
      <w:szCs w:val="24"/>
    </w:rPr>
  </w:style>
  <w:style w:type="paragraph" w:customStyle="1" w:styleId="3AutoList1">
    <w:name w:val="3AutoList1"/>
    <w:pPr>
      <w:widowControl w:val="0"/>
      <w:autoSpaceDE w:val="0"/>
      <w:autoSpaceDN w:val="0"/>
      <w:adjustRightInd w:val="0"/>
      <w:ind w:left="-1440"/>
      <w:jc w:val="both"/>
    </w:pPr>
    <w:rPr>
      <w:sz w:val="24"/>
      <w:szCs w:val="24"/>
    </w:rPr>
  </w:style>
  <w:style w:type="paragraph" w:customStyle="1" w:styleId="4AutoList1">
    <w:name w:val="4AutoList1"/>
    <w:pPr>
      <w:widowControl w:val="0"/>
      <w:autoSpaceDE w:val="0"/>
      <w:autoSpaceDN w:val="0"/>
      <w:adjustRightInd w:val="0"/>
      <w:ind w:left="-1440"/>
      <w:jc w:val="both"/>
    </w:pPr>
    <w:rPr>
      <w:sz w:val="24"/>
      <w:szCs w:val="24"/>
    </w:rPr>
  </w:style>
  <w:style w:type="paragraph" w:customStyle="1" w:styleId="5AutoList1">
    <w:name w:val="5AutoList1"/>
    <w:pPr>
      <w:widowControl w:val="0"/>
      <w:autoSpaceDE w:val="0"/>
      <w:autoSpaceDN w:val="0"/>
      <w:adjustRightInd w:val="0"/>
      <w:ind w:left="-1440"/>
      <w:jc w:val="both"/>
    </w:pPr>
    <w:rPr>
      <w:sz w:val="24"/>
      <w:szCs w:val="24"/>
    </w:rPr>
  </w:style>
  <w:style w:type="paragraph" w:customStyle="1" w:styleId="6AutoList1">
    <w:name w:val="6AutoList1"/>
    <w:pPr>
      <w:widowControl w:val="0"/>
      <w:autoSpaceDE w:val="0"/>
      <w:autoSpaceDN w:val="0"/>
      <w:adjustRightInd w:val="0"/>
      <w:ind w:left="-1440"/>
      <w:jc w:val="both"/>
    </w:pPr>
    <w:rPr>
      <w:sz w:val="24"/>
      <w:szCs w:val="24"/>
    </w:rPr>
  </w:style>
  <w:style w:type="paragraph" w:customStyle="1" w:styleId="7AutoList1">
    <w:name w:val="7AutoList1"/>
    <w:pPr>
      <w:widowControl w:val="0"/>
      <w:autoSpaceDE w:val="0"/>
      <w:autoSpaceDN w:val="0"/>
      <w:adjustRightInd w:val="0"/>
      <w:ind w:left="-1440"/>
      <w:jc w:val="both"/>
    </w:pPr>
    <w:rPr>
      <w:sz w:val="24"/>
      <w:szCs w:val="24"/>
    </w:rPr>
  </w:style>
  <w:style w:type="paragraph" w:customStyle="1" w:styleId="8AutoList1">
    <w:name w:val="8AutoList1"/>
    <w:pPr>
      <w:widowControl w:val="0"/>
      <w:autoSpaceDE w:val="0"/>
      <w:autoSpaceDN w:val="0"/>
      <w:adjustRightInd w:val="0"/>
      <w:ind w:left="-1440"/>
      <w:jc w:val="both"/>
    </w:pPr>
    <w:rPr>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ListParagraph">
    <w:name w:val="List Paragraph"/>
    <w:basedOn w:val="Normal"/>
    <w:uiPriority w:val="1"/>
    <w:qFormat/>
    <w:rsid w:val="00493868"/>
    <w:pPr>
      <w:ind w:left="720"/>
      <w:contextualSpacing/>
    </w:pPr>
  </w:style>
  <w:style w:type="character" w:styleId="Hyperlink">
    <w:name w:val="Hyperlink"/>
    <w:basedOn w:val="DefaultParagraphFont"/>
    <w:rsid w:val="00580714"/>
    <w:rPr>
      <w:color w:val="0563C1" w:themeColor="hyperlink"/>
      <w:u w:val="single"/>
    </w:rPr>
  </w:style>
  <w:style w:type="character" w:styleId="FootnoteReference">
    <w:name w:val="footnote reference"/>
    <w:rsid w:val="00A20388"/>
  </w:style>
  <w:style w:type="paragraph" w:customStyle="1" w:styleId="g">
    <w:name w:val="g"/>
    <w:basedOn w:val="Normal"/>
    <w:rsid w:val="00A20388"/>
    <w:pPr>
      <w:widowControl/>
      <w:autoSpaceDE/>
      <w:autoSpaceDN/>
      <w:adjustRightInd/>
      <w:spacing w:before="240" w:after="240"/>
    </w:pPr>
    <w:rPr>
      <w:sz w:val="24"/>
      <w:szCs w:val="24"/>
    </w:rPr>
  </w:style>
  <w:style w:type="paragraph" w:styleId="BalloonText">
    <w:name w:val="Balloon Text"/>
    <w:basedOn w:val="Normal"/>
    <w:link w:val="BalloonTextChar"/>
    <w:rsid w:val="00376D75"/>
    <w:rPr>
      <w:rFonts w:ascii="Segoe UI" w:hAnsi="Segoe UI" w:cs="Segoe UI"/>
      <w:sz w:val="18"/>
      <w:szCs w:val="18"/>
    </w:rPr>
  </w:style>
  <w:style w:type="character" w:customStyle="1" w:styleId="BalloonTextChar">
    <w:name w:val="Balloon Text Char"/>
    <w:basedOn w:val="DefaultParagraphFont"/>
    <w:link w:val="BalloonText"/>
    <w:rsid w:val="00376D75"/>
    <w:rPr>
      <w:rFonts w:ascii="Segoe UI" w:hAnsi="Segoe UI" w:cs="Segoe UI"/>
      <w:sz w:val="18"/>
      <w:szCs w:val="18"/>
    </w:rPr>
  </w:style>
  <w:style w:type="character" w:customStyle="1" w:styleId="Heading1Char">
    <w:name w:val="Heading 1 Char"/>
    <w:basedOn w:val="DefaultParagraphFont"/>
    <w:link w:val="Heading1"/>
    <w:uiPriority w:val="1"/>
    <w:rsid w:val="00283F01"/>
    <w:rPr>
      <w:rFonts w:ascii="Arial" w:eastAsia="Arial" w:hAnsi="Arial" w:cs="Arial"/>
      <w:b/>
      <w:bCs/>
      <w:sz w:val="24"/>
      <w:szCs w:val="24"/>
      <w:lang w:bidi="en-US"/>
    </w:rPr>
  </w:style>
  <w:style w:type="character" w:styleId="CommentReference">
    <w:name w:val="annotation reference"/>
    <w:basedOn w:val="DefaultParagraphFont"/>
    <w:rsid w:val="004B5EE4"/>
    <w:rPr>
      <w:sz w:val="16"/>
      <w:szCs w:val="16"/>
    </w:rPr>
  </w:style>
  <w:style w:type="paragraph" w:styleId="CommentText">
    <w:name w:val="annotation text"/>
    <w:basedOn w:val="Normal"/>
    <w:link w:val="CommentTextChar"/>
    <w:rsid w:val="004B5EE4"/>
  </w:style>
  <w:style w:type="character" w:customStyle="1" w:styleId="CommentTextChar">
    <w:name w:val="Comment Text Char"/>
    <w:basedOn w:val="DefaultParagraphFont"/>
    <w:link w:val="CommentText"/>
    <w:rsid w:val="004B5EE4"/>
  </w:style>
  <w:style w:type="paragraph" w:styleId="CommentSubject">
    <w:name w:val="annotation subject"/>
    <w:basedOn w:val="CommentText"/>
    <w:next w:val="CommentText"/>
    <w:link w:val="CommentSubjectChar"/>
    <w:rsid w:val="004B5EE4"/>
    <w:rPr>
      <w:b/>
      <w:bCs/>
    </w:rPr>
  </w:style>
  <w:style w:type="character" w:customStyle="1" w:styleId="CommentSubjectChar">
    <w:name w:val="Comment Subject Char"/>
    <w:basedOn w:val="CommentTextChar"/>
    <w:link w:val="CommentSubject"/>
    <w:rsid w:val="004B5EE4"/>
    <w:rPr>
      <w:b/>
      <w:bCs/>
    </w:rPr>
  </w:style>
  <w:style w:type="character" w:styleId="FollowedHyperlink">
    <w:name w:val="FollowedHyperlink"/>
    <w:basedOn w:val="DefaultParagraphFont"/>
    <w:rsid w:val="00D33A2F"/>
    <w:rPr>
      <w:color w:val="954F72" w:themeColor="followedHyperlink"/>
      <w:u w:val="single"/>
    </w:rPr>
  </w:style>
  <w:style w:type="paragraph" w:styleId="Revision">
    <w:name w:val="Revision"/>
    <w:hidden/>
    <w:uiPriority w:val="99"/>
    <w:semiHidden/>
    <w:rsid w:val="001D6F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3535202">
      <w:bodyDiv w:val="1"/>
      <w:marLeft w:val="0"/>
      <w:marRight w:val="0"/>
      <w:marTop w:val="0"/>
      <w:marBottom w:val="0"/>
      <w:divBdr>
        <w:top w:val="none" w:sz="0" w:space="0" w:color="auto"/>
        <w:left w:val="none" w:sz="0" w:space="0" w:color="auto"/>
        <w:bottom w:val="none" w:sz="0" w:space="0" w:color="auto"/>
        <w:right w:val="none" w:sz="0" w:space="0" w:color="auto"/>
      </w:divBdr>
    </w:div>
    <w:div w:id="487135282">
      <w:bodyDiv w:val="1"/>
      <w:marLeft w:val="0"/>
      <w:marRight w:val="0"/>
      <w:marTop w:val="0"/>
      <w:marBottom w:val="0"/>
      <w:divBdr>
        <w:top w:val="none" w:sz="0" w:space="0" w:color="auto"/>
        <w:left w:val="none" w:sz="0" w:space="0" w:color="auto"/>
        <w:bottom w:val="none" w:sz="0" w:space="0" w:color="auto"/>
        <w:right w:val="none" w:sz="0" w:space="0" w:color="auto"/>
      </w:divBdr>
    </w:div>
    <w:div w:id="578099846">
      <w:bodyDiv w:val="1"/>
      <w:marLeft w:val="0"/>
      <w:marRight w:val="0"/>
      <w:marTop w:val="0"/>
      <w:marBottom w:val="0"/>
      <w:divBdr>
        <w:top w:val="none" w:sz="0" w:space="0" w:color="auto"/>
        <w:left w:val="none" w:sz="0" w:space="0" w:color="auto"/>
        <w:bottom w:val="none" w:sz="0" w:space="0" w:color="auto"/>
        <w:right w:val="none" w:sz="0" w:space="0" w:color="auto"/>
      </w:divBdr>
    </w:div>
    <w:div w:id="1606034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fisheries.noaa.gov/pacific-islands/commercial-fishing/apply-pacific-islands-fishing-permit" TargetMode="External"/><Relationship Id="rId18" Type="http://schemas.openxmlformats.org/officeDocument/2006/relationships/hyperlink" Target="http://www.gpo.gov/fdsys/pkg/CFR-2014-title5-vol3/pdf/CFR-2014-title5-vol3-sec1320-9.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nps.nmfs.noaa.gov/" TargetMode="External"/><Relationship Id="rId17" Type="http://schemas.openxmlformats.org/officeDocument/2006/relationships/hyperlink" Target="https://www.bls.gov/oes/current/oes451011.htm" TargetMode="External"/><Relationship Id="rId2" Type="http://schemas.openxmlformats.org/officeDocument/2006/relationships/numbering" Target="numbering.xml"/><Relationship Id="rId16" Type="http://schemas.openxmlformats.org/officeDocument/2006/relationships/hyperlink" Target="https://www.osec.doc.gov/opog/PrivacyAct/SORNs/noaa-19.html" TargetMode="External"/><Relationship Id="rId20" Type="http://schemas.openxmlformats.org/officeDocument/2006/relationships/hyperlink" Target="http://www.gpo.gov/fdsys/pkg/CFR-2014-title5-vol3/pdf/CFR-2014-title5-vol3-sec1320-8.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isheriespermits.noaa.gov/npspub/pub_cmn_login/index_live.jsp" TargetMode="External"/><Relationship Id="rId24"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www.corporateservices.noaa.gov/~ames/NAOs/Chap_216/naos_216_100.html" TargetMode="External"/><Relationship Id="rId10" Type="http://schemas.openxmlformats.org/officeDocument/2006/relationships/hyperlink" Target="http://www.fws.gov/informationquality/section515.html" TargetMode="External"/><Relationship Id="rId19" Type="http://schemas.openxmlformats.org/officeDocument/2006/relationships/hyperlink" Target="http://www.gpo.gov/fdsys/pkg/CFR-2014-title5-vol3/pdf/CFR-2014-title5-vol3-sec1320-8.pdf" TargetMode="External"/><Relationship Id="rId4" Type="http://schemas.openxmlformats.org/officeDocument/2006/relationships/settings" Target="settings.xml"/><Relationship Id="rId9" Type="http://schemas.openxmlformats.org/officeDocument/2006/relationships/hyperlink" Target="https://www.ecfr.gov/current/title-50/chapter-VI/part-665?toc=1" TargetMode="External"/><Relationship Id="rId14" Type="http://schemas.openxmlformats.org/officeDocument/2006/relationships/hyperlink" Target="https://www.govinfo.gov/content/pkg/FR-2021-09-15/pdf/2021-19815.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044642-59D8-45CE-A3DE-601B3F2979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10</Pages>
  <Words>3655</Words>
  <Characters>21895</Characters>
  <Application>Microsoft Office Word</Application>
  <DocSecurity>0</DocSecurity>
  <Lines>182</Lines>
  <Paragraphs>50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DOC/NOAA/OFA/ISO/IRMS</Company>
  <LinksUpToDate>false</LinksUpToDate>
  <CharactersWithSpaces>25500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subject/>
  <dc:creator>Richard Roberts</dc:creator>
  <cp:keywords/>
  <dc:description/>
  <cp:lastModifiedBy>Adrienne.Thomas</cp:lastModifiedBy>
  <cp:revision>13</cp:revision>
  <cp:lastPrinted>2021-11-23T18:45:00Z</cp:lastPrinted>
  <dcterms:created xsi:type="dcterms:W3CDTF">2021-12-16T17:42:00Z</dcterms:created>
  <dcterms:modified xsi:type="dcterms:W3CDTF">2021-12-20T22:37:00Z</dcterms:modified>
</cp:coreProperties>
</file>