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A42C71" w:rsidRDefault="00A42C71" w14:paraId="7795E6CF" w14:textId="77777777">
      <w:pPr>
        <w:spacing w:after="0"/>
        <w:jc w:val="center"/>
        <w:rPr>
          <w:rFonts w:cstheme="minorHAnsi"/>
          <w:b/>
        </w:rPr>
      </w:pPr>
    </w:p>
    <w:p w:rsidRPr="001A59B6" w:rsidR="00A42C71" w:rsidP="00697A6C" w:rsidRDefault="00A42C71" w14:paraId="1FFB09D6" w14:textId="7D84CF1F">
      <w:pPr>
        <w:spacing w:after="0"/>
        <w:rPr>
          <w:rFonts w:eastAsia="Arial Unicode MS" w:cstheme="minorHAnsi"/>
          <w:noProof/>
        </w:rPr>
      </w:pPr>
    </w:p>
    <w:p w:rsidR="00620E6B" w:rsidP="00A42C71" w:rsidRDefault="00620E6B" w14:paraId="08A76FD1" w14:textId="77777777">
      <w:pPr>
        <w:pStyle w:val="ReportCover-Title"/>
        <w:jc w:val="center"/>
        <w:rPr>
          <w:rFonts w:eastAsia="Arial Unicode MS" w:asciiTheme="minorHAnsi" w:hAnsiTheme="minorHAnsi" w:cstheme="minorHAnsi"/>
          <w:noProof/>
          <w:color w:val="auto"/>
        </w:rPr>
      </w:pPr>
    </w:p>
    <w:p w:rsidR="00620E6B" w:rsidP="00A42C71" w:rsidRDefault="00620E6B" w14:paraId="3EFE9989" w14:textId="77777777">
      <w:pPr>
        <w:pStyle w:val="ReportCover-Title"/>
        <w:jc w:val="center"/>
        <w:rPr>
          <w:rFonts w:eastAsia="Arial Unicode MS" w:asciiTheme="minorHAnsi" w:hAnsiTheme="minorHAnsi" w:cstheme="minorHAnsi"/>
          <w:noProof/>
          <w:color w:val="auto"/>
        </w:rPr>
      </w:pPr>
    </w:p>
    <w:p w:rsidRPr="001A59B6" w:rsidR="00A42C71" w:rsidP="00A42C71" w:rsidRDefault="0051130D" w14:paraId="7CB5189A" w14:textId="1A796AB0">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 xml:space="preserve">Understanding the Value of Centralized Services </w:t>
      </w:r>
      <w:r w:rsidRPr="001A59B6" w:rsidR="00A42C71">
        <w:rPr>
          <w:rFonts w:eastAsia="Arial Unicode MS" w:asciiTheme="minorHAnsi" w:hAnsiTheme="minorHAnsi" w:cstheme="minorHAnsi"/>
          <w:noProof/>
          <w:color w:val="auto"/>
        </w:rPr>
        <w:t>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4D43F8" w14:paraId="3F6C890C" w14:textId="2C4545F6">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FF154A" w14:paraId="10D3ADE5" w14:textId="0A270B44">
      <w:pPr>
        <w:pStyle w:val="ReportCover-Date"/>
        <w:spacing w:after="0"/>
        <w:jc w:val="center"/>
        <w:rPr>
          <w:rFonts w:asciiTheme="minorHAnsi" w:hAnsiTheme="minorHAnsi" w:cstheme="minorHAnsi"/>
          <w:color w:val="auto"/>
        </w:rPr>
      </w:pPr>
      <w:r>
        <w:rPr>
          <w:rFonts w:asciiTheme="minorHAnsi" w:hAnsiTheme="minorHAnsi" w:cstheme="minorHAnsi"/>
          <w:color w:val="auto"/>
        </w:rPr>
        <w:t>November</w:t>
      </w:r>
      <w:r w:rsidRPr="001A59B6">
        <w:rPr>
          <w:rFonts w:asciiTheme="minorHAnsi" w:hAnsiTheme="minorHAnsi" w:cstheme="minorHAnsi"/>
          <w:color w:val="auto"/>
        </w:rPr>
        <w:t xml:space="preserve"> </w:t>
      </w:r>
      <w:r w:rsidR="004D43F8">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697A6C" w:rsidRDefault="00A42C71" w14:paraId="21A5D5D3" w14:textId="77777777">
      <w:pPr>
        <w:spacing w:after="0" w:line="240" w:lineRule="auto"/>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5B94C9C2">
      <w:pPr>
        <w:spacing w:after="0" w:line="240" w:lineRule="auto"/>
        <w:jc w:val="center"/>
        <w:rPr>
          <w:rFonts w:cstheme="minorHAnsi"/>
        </w:rPr>
      </w:pPr>
      <w:r w:rsidRPr="001A59B6">
        <w:rPr>
          <w:rFonts w:cstheme="minorHAnsi"/>
        </w:rPr>
        <w:t>Project Officers:</w:t>
      </w:r>
    </w:p>
    <w:p w:rsidR="004D43F8" w:rsidP="00A42C71" w:rsidRDefault="004D43F8" w14:paraId="760CFD14" w14:textId="35F464ED">
      <w:pPr>
        <w:spacing w:after="0" w:line="240" w:lineRule="auto"/>
        <w:jc w:val="center"/>
        <w:rPr>
          <w:rFonts w:cstheme="minorHAnsi"/>
        </w:rPr>
      </w:pPr>
      <w:r>
        <w:rPr>
          <w:rFonts w:cstheme="minorHAnsi"/>
        </w:rPr>
        <w:t>Marie Lawrence</w:t>
      </w:r>
    </w:p>
    <w:p w:rsidRPr="001A59B6" w:rsidR="004D43F8" w:rsidP="00A42C71" w:rsidRDefault="004D43F8" w14:paraId="0BE10178" w14:textId="09C510D7">
      <w:pPr>
        <w:spacing w:after="0" w:line="240" w:lineRule="auto"/>
        <w:jc w:val="center"/>
        <w:rPr>
          <w:rFonts w:cstheme="minorHAnsi"/>
        </w:rPr>
      </w:pPr>
      <w:r>
        <w:rPr>
          <w:rFonts w:cstheme="minorHAnsi"/>
        </w:rPr>
        <w:t>Kathleen Dwyer</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A42C71" w:rsidP="00A42C71" w:rsidRDefault="003D018F" w14:paraId="61ECC40C" w14:textId="27574285">
      <w:pPr>
        <w:spacing w:after="0" w:line="240" w:lineRule="auto"/>
        <w:rPr>
          <w:rFonts w:cstheme="minorHAnsi"/>
        </w:rPr>
      </w:pPr>
      <w:r>
        <w:rPr>
          <w:rFonts w:cstheme="minorHAnsi"/>
        </w:rPr>
        <w:t>The purpose of this study is to understand the advantages, disadvantages, and costs of providing services for families and individuals with low</w:t>
      </w:r>
      <w:r w:rsidR="00EA7486">
        <w:rPr>
          <w:rFonts w:cstheme="minorHAnsi"/>
        </w:rPr>
        <w:t xml:space="preserve"> </w:t>
      </w:r>
      <w:r>
        <w:rPr>
          <w:rFonts w:cstheme="minorHAnsi"/>
        </w:rPr>
        <w:t>income</w:t>
      </w:r>
      <w:r w:rsidR="007269BE">
        <w:rPr>
          <w:rFonts w:cstheme="minorHAnsi"/>
        </w:rPr>
        <w:t>s</w:t>
      </w:r>
      <w:r>
        <w:rPr>
          <w:rFonts w:cstheme="minorHAnsi"/>
        </w:rPr>
        <w:t xml:space="preserve"> in a single location. </w:t>
      </w:r>
      <w:r w:rsidR="00213AC2">
        <w:rPr>
          <w:rFonts w:cstheme="minorHAnsi"/>
        </w:rPr>
        <w:t>The study</w:t>
      </w:r>
      <w:r w:rsidR="00D51793">
        <w:rPr>
          <w:rFonts w:cstheme="minorHAnsi"/>
        </w:rPr>
        <w:t xml:space="preserve"> includes a literature review and site visits to three sites to understand the answers to the following research questions:</w:t>
      </w:r>
    </w:p>
    <w:p w:rsidRPr="00D51793" w:rsidR="00D51793" w:rsidP="00D51793" w:rsidRDefault="00D51793" w14:paraId="37A56C9B" w14:textId="25F470D5">
      <w:pPr>
        <w:pStyle w:val="ListParagraph"/>
        <w:numPr>
          <w:ilvl w:val="0"/>
          <w:numId w:val="30"/>
        </w:numPr>
        <w:spacing w:after="0" w:line="240" w:lineRule="auto"/>
        <w:rPr>
          <w:rFonts w:cstheme="minorHAnsi"/>
        </w:rPr>
      </w:pPr>
      <w:r w:rsidRPr="00D51793">
        <w:rPr>
          <w:rFonts w:cstheme="minorHAnsi"/>
        </w:rPr>
        <w:t xml:space="preserve">What is the range of models that have been used to provide centralized social services? </w:t>
      </w:r>
    </w:p>
    <w:p w:rsidRPr="00D51793" w:rsidR="00D51793" w:rsidP="00D51793" w:rsidRDefault="00D51793" w14:paraId="6044450E" w14:textId="4325D7D1">
      <w:pPr>
        <w:pStyle w:val="ListParagraph"/>
        <w:numPr>
          <w:ilvl w:val="0"/>
          <w:numId w:val="30"/>
        </w:numPr>
        <w:spacing w:after="0" w:line="240" w:lineRule="auto"/>
        <w:rPr>
          <w:rFonts w:cstheme="minorHAnsi"/>
        </w:rPr>
      </w:pPr>
      <w:r w:rsidRPr="00D51793">
        <w:rPr>
          <w:rFonts w:cstheme="minorHAnsi"/>
        </w:rPr>
        <w:t xml:space="preserve">What do we know about the different models used to deliver services centrally? </w:t>
      </w:r>
    </w:p>
    <w:p w:rsidRPr="00D51793" w:rsidR="00D51793" w:rsidP="008A63FC" w:rsidRDefault="00D51793" w14:paraId="361A269E" w14:textId="1711C105">
      <w:pPr>
        <w:pStyle w:val="ListParagraph"/>
        <w:numPr>
          <w:ilvl w:val="1"/>
          <w:numId w:val="33"/>
        </w:numPr>
        <w:spacing w:after="0" w:line="240" w:lineRule="auto"/>
        <w:ind w:left="1260"/>
        <w:rPr>
          <w:rFonts w:cstheme="minorHAnsi"/>
        </w:rPr>
      </w:pPr>
      <w:r w:rsidRPr="00D51793">
        <w:rPr>
          <w:rFonts w:cstheme="minorHAnsi"/>
        </w:rPr>
        <w:t xml:space="preserve">What are the benefits and challenges from the perspectives of staff and clients? </w:t>
      </w:r>
    </w:p>
    <w:p w:rsidRPr="00D51793" w:rsidR="00D51793" w:rsidP="008A63FC" w:rsidRDefault="00D51793" w14:paraId="244850E5" w14:textId="7B1B23C8">
      <w:pPr>
        <w:pStyle w:val="ListParagraph"/>
        <w:numPr>
          <w:ilvl w:val="1"/>
          <w:numId w:val="33"/>
        </w:numPr>
        <w:spacing w:after="0" w:line="240" w:lineRule="auto"/>
        <w:ind w:left="1260"/>
        <w:rPr>
          <w:rFonts w:cstheme="minorHAnsi"/>
        </w:rPr>
      </w:pPr>
      <w:r w:rsidRPr="00D51793">
        <w:rPr>
          <w:rFonts w:cstheme="minorHAnsi"/>
        </w:rPr>
        <w:t>How does centralizing services in a single location enable or hinder access to services for potential clients? How does this vary for different groups, if at all?</w:t>
      </w:r>
    </w:p>
    <w:p w:rsidRPr="00D51793" w:rsidR="00D51793" w:rsidP="008A63FC" w:rsidRDefault="00D51793" w14:paraId="05541E56" w14:textId="42947109">
      <w:pPr>
        <w:pStyle w:val="ListParagraph"/>
        <w:numPr>
          <w:ilvl w:val="1"/>
          <w:numId w:val="33"/>
        </w:numPr>
        <w:spacing w:after="0" w:line="240" w:lineRule="auto"/>
        <w:ind w:left="1260"/>
        <w:rPr>
          <w:rFonts w:cstheme="minorHAnsi"/>
        </w:rPr>
      </w:pPr>
      <w:r w:rsidRPr="00D51793">
        <w:rPr>
          <w:rFonts w:cstheme="minorHAnsi"/>
        </w:rPr>
        <w:t xml:space="preserve">What are the costs and benefits associated with different models of centralized services? </w:t>
      </w:r>
    </w:p>
    <w:p w:rsidRPr="00D51793" w:rsidR="00D51793" w:rsidP="008A63FC" w:rsidRDefault="00D51793" w14:paraId="071C851D" w14:textId="35050388">
      <w:pPr>
        <w:pStyle w:val="ListParagraph"/>
        <w:numPr>
          <w:ilvl w:val="1"/>
          <w:numId w:val="33"/>
        </w:numPr>
        <w:spacing w:after="0" w:line="240" w:lineRule="auto"/>
        <w:ind w:left="1260"/>
        <w:rPr>
          <w:rFonts w:cstheme="minorHAnsi"/>
        </w:rPr>
      </w:pPr>
      <w:r w:rsidRPr="00D51793">
        <w:rPr>
          <w:rFonts w:cstheme="minorHAnsi"/>
        </w:rPr>
        <w:t xml:space="preserve">Do different models work better for </w:t>
      </w:r>
      <w:proofErr w:type="gramStart"/>
      <w:r w:rsidRPr="00D51793">
        <w:rPr>
          <w:rFonts w:cstheme="minorHAnsi"/>
        </w:rPr>
        <w:t>particular programs</w:t>
      </w:r>
      <w:proofErr w:type="gramEnd"/>
      <w:r w:rsidRPr="00D51793">
        <w:rPr>
          <w:rFonts w:cstheme="minorHAnsi"/>
        </w:rPr>
        <w:t>, in different settings, or for different populations? What role does community context play?</w:t>
      </w:r>
    </w:p>
    <w:p w:rsidRPr="00D51793" w:rsidR="00D51793" w:rsidP="008A63FC" w:rsidRDefault="00D51793" w14:paraId="6C2B6207" w14:textId="72149A77">
      <w:pPr>
        <w:pStyle w:val="ListParagraph"/>
        <w:numPr>
          <w:ilvl w:val="1"/>
          <w:numId w:val="33"/>
        </w:numPr>
        <w:spacing w:after="0" w:line="240" w:lineRule="auto"/>
        <w:ind w:left="1260"/>
        <w:rPr>
          <w:rFonts w:cstheme="minorHAnsi"/>
        </w:rPr>
      </w:pPr>
      <w:r w:rsidRPr="00D51793">
        <w:rPr>
          <w:rFonts w:cstheme="minorHAnsi"/>
        </w:rPr>
        <w:t>How does centralization contribute to cost-effective allocation of resources for different models?</w:t>
      </w:r>
    </w:p>
    <w:p w:rsidRPr="00D51793" w:rsidR="00D51793" w:rsidP="00D51793" w:rsidRDefault="00D51793" w14:paraId="575CA519" w14:textId="69A11FA9">
      <w:pPr>
        <w:pStyle w:val="ListParagraph"/>
        <w:numPr>
          <w:ilvl w:val="0"/>
          <w:numId w:val="30"/>
        </w:numPr>
        <w:spacing w:after="0" w:line="240" w:lineRule="auto"/>
        <w:rPr>
          <w:rFonts w:cstheme="minorHAnsi"/>
        </w:rPr>
      </w:pPr>
      <w:r w:rsidRPr="00D51793">
        <w:rPr>
          <w:rFonts w:cstheme="minorHAnsi"/>
        </w:rPr>
        <w:t xml:space="preserve">What is the motivation for </w:t>
      </w:r>
      <w:r w:rsidR="001C292D">
        <w:rPr>
          <w:rFonts w:cstheme="minorHAnsi"/>
        </w:rPr>
        <w:t>centralizing</w:t>
      </w:r>
      <w:r w:rsidRPr="00D51793">
        <w:rPr>
          <w:rFonts w:cstheme="minorHAnsi"/>
        </w:rPr>
        <w:t xml:space="preserve"> services? How does the impetus for centralization relate to the types or models of centralization?</w:t>
      </w:r>
    </w:p>
    <w:p w:rsidRPr="00D51793" w:rsidR="00D51793" w:rsidP="00D51793" w:rsidRDefault="00D51793" w14:paraId="567D474D" w14:textId="7D5DBB6B">
      <w:pPr>
        <w:pStyle w:val="ListParagraph"/>
        <w:numPr>
          <w:ilvl w:val="0"/>
          <w:numId w:val="30"/>
        </w:numPr>
        <w:spacing w:after="0" w:line="240" w:lineRule="auto"/>
        <w:rPr>
          <w:rFonts w:cstheme="minorHAnsi"/>
        </w:rPr>
      </w:pPr>
      <w:r w:rsidRPr="00D51793">
        <w:rPr>
          <w:rFonts w:cstheme="minorHAnsi"/>
        </w:rPr>
        <w:t>How are services being coordinated virtually and how does it differ from physical co-location? How does virtual coordination complement centralized services provided in person? What are the costs and benefits of virtual co-location? What lessons can practitioners learn from the COVID-19 pandemic as it relates to centralized services?</w:t>
      </w:r>
    </w:p>
    <w:p w:rsidR="00A42C71" w:rsidP="00A42C71" w:rsidRDefault="00A42C71" w14:paraId="5329D960" w14:textId="2F80E48F">
      <w:pPr>
        <w:spacing w:after="0" w:line="240" w:lineRule="auto"/>
        <w:rPr>
          <w:rFonts w:cstheme="minorHAnsi"/>
        </w:rPr>
      </w:pPr>
    </w:p>
    <w:p w:rsidRPr="001A59B6" w:rsidR="00AC09A2" w:rsidP="00A42C71" w:rsidRDefault="00AC09A2" w14:paraId="7ECD0801" w14:textId="011DC42B">
      <w:pPr>
        <w:spacing w:after="0" w:line="240" w:lineRule="auto"/>
        <w:rPr>
          <w:rFonts w:cstheme="minorHAnsi"/>
        </w:rPr>
      </w:pPr>
      <w:r>
        <w:rPr>
          <w:rFonts w:cstheme="minorHAnsi"/>
        </w:rPr>
        <w:t>Th</w:t>
      </w:r>
      <w:r w:rsidR="008A63FC">
        <w:rPr>
          <w:rFonts w:cstheme="minorHAnsi"/>
        </w:rPr>
        <w:t>is proposed study will conduct</w:t>
      </w:r>
      <w:r>
        <w:rPr>
          <w:rFonts w:cstheme="minorHAnsi"/>
        </w:rPr>
        <w:t xml:space="preserve"> site visits</w:t>
      </w:r>
      <w:r w:rsidR="008A63FC">
        <w:rPr>
          <w:rFonts w:cstheme="minorHAnsi"/>
        </w:rPr>
        <w:t xml:space="preserve"> that will include</w:t>
      </w:r>
      <w:r>
        <w:rPr>
          <w:rFonts w:cstheme="minorHAnsi"/>
        </w:rPr>
        <w:t xml:space="preserve"> individual and group interviews with program </w:t>
      </w:r>
      <w:proofErr w:type="gramStart"/>
      <w:r>
        <w:rPr>
          <w:rFonts w:cstheme="minorHAnsi"/>
        </w:rPr>
        <w:t xml:space="preserve">staff, </w:t>
      </w:r>
      <w:r w:rsidR="00D74971">
        <w:rPr>
          <w:rFonts w:cstheme="minorHAnsi"/>
        </w:rPr>
        <w:t>and</w:t>
      </w:r>
      <w:proofErr w:type="gramEnd"/>
      <w:r w:rsidR="00D74971">
        <w:rPr>
          <w:rFonts w:cstheme="minorHAnsi"/>
        </w:rPr>
        <w:t xml:space="preserve"> </w:t>
      </w:r>
      <w:r>
        <w:rPr>
          <w:rFonts w:cstheme="minorHAnsi"/>
        </w:rPr>
        <w:t>focus groups with clients</w:t>
      </w:r>
      <w:r w:rsidR="00D74971">
        <w:rPr>
          <w:rFonts w:cstheme="minorHAnsi"/>
        </w:rPr>
        <w:t xml:space="preserve"> at centralized community resource centers (CCRCs) to document different models for centralizing services; the advantages, disadvantages, and costs to centralizing services; and the perspectives of staff and clients. </w:t>
      </w:r>
      <w:r w:rsidR="001C292D">
        <w:rPr>
          <w:rFonts w:cstheme="minorHAnsi"/>
        </w:rPr>
        <w:t>Site visits</w:t>
      </w:r>
      <w:r w:rsidR="00D74971">
        <w:rPr>
          <w:rFonts w:cstheme="minorHAnsi"/>
        </w:rPr>
        <w:t xml:space="preserve"> will also include direct</w:t>
      </w:r>
      <w:r>
        <w:rPr>
          <w:rFonts w:cstheme="minorHAnsi"/>
        </w:rPr>
        <w:t xml:space="preserve"> observations of </w:t>
      </w:r>
      <w:r w:rsidR="00A54161">
        <w:rPr>
          <w:rFonts w:cstheme="minorHAnsi"/>
        </w:rPr>
        <w:t xml:space="preserve">program services </w:t>
      </w:r>
      <w:r>
        <w:rPr>
          <w:rFonts w:cstheme="minorHAnsi"/>
        </w:rPr>
        <w:t xml:space="preserve">at </w:t>
      </w:r>
      <w:r w:rsidR="001C292D">
        <w:rPr>
          <w:rFonts w:cstheme="minorHAnsi"/>
        </w:rPr>
        <w:t>CCRCs</w:t>
      </w:r>
      <w:r w:rsidR="00D74971">
        <w:rPr>
          <w:rFonts w:cstheme="minorHAnsi"/>
        </w:rPr>
        <w:t xml:space="preserve">. </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A42C71" w:rsidRDefault="00511B2D" w14:paraId="4037E45E" w14:textId="0E181F9F">
      <w:pPr>
        <w:autoSpaceDE w:val="0"/>
        <w:autoSpaceDN w:val="0"/>
        <w:adjustRightInd w:val="0"/>
        <w:spacing w:after="0" w:line="240" w:lineRule="atLeast"/>
        <w:rPr>
          <w:rFonts w:eastAsia="Times New Roman" w:cstheme="minorHAnsi"/>
          <w:color w:val="000000"/>
        </w:rPr>
      </w:pPr>
      <w:r w:rsidRPr="007733D5">
        <w:t xml:space="preserve">This study is intended to present </w:t>
      </w:r>
      <w:proofErr w:type="gramStart"/>
      <w:r w:rsidRPr="007733D5">
        <w:t>internally-valid</w:t>
      </w:r>
      <w:proofErr w:type="gramEnd"/>
      <w:r w:rsidRPr="007733D5">
        <w:t xml:space="preserve"> description of the service population </w:t>
      </w:r>
      <w:r>
        <w:t>and implementation of centralized service models</w:t>
      </w:r>
      <w:r w:rsidRPr="007733D5">
        <w:t xml:space="preserve"> in chosen sites, not to promote statistical generalization to other sites or service populations.</w:t>
      </w:r>
      <w:r w:rsidR="00A35743">
        <w:t xml:space="preserve"> The data </w:t>
      </w:r>
      <w:r w:rsidR="00816BF9">
        <w:t>may</w:t>
      </w:r>
      <w:r w:rsidR="00A35743">
        <w:t xml:space="preserve"> </w:t>
      </w:r>
      <w:r w:rsidR="00816BF9">
        <w:t>be used by service providers or researchers seeking to understand how different models of centralization are operationalized</w:t>
      </w:r>
      <w:r w:rsidR="00497A85">
        <w:t>.</w:t>
      </w:r>
    </w:p>
    <w:p w:rsidRPr="001A59B6" w:rsidR="00A42C71" w:rsidP="00A42C71" w:rsidRDefault="00A42C71" w14:paraId="3B40B647" w14:textId="77777777">
      <w:pPr>
        <w:autoSpaceDE w:val="0"/>
        <w:autoSpaceDN w:val="0"/>
        <w:adjustRightInd w:val="0"/>
        <w:spacing w:after="0" w:line="240" w:lineRule="atLeast"/>
        <w:rPr>
          <w:rFonts w:eastAsia="Times New Roman" w:cstheme="minorHAnsi"/>
          <w:color w:val="000000"/>
        </w:rPr>
      </w:pPr>
    </w:p>
    <w:p w:rsidR="00A42C71" w:rsidP="00A42C71" w:rsidRDefault="00A42C71" w14:paraId="02CD8588" w14:textId="54BB2D0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 xml:space="preserve">Appropriateness of Study Design and Methods for Planned Uses </w:t>
      </w:r>
    </w:p>
    <w:p w:rsidR="00BC6FD7" w:rsidP="00543084" w:rsidRDefault="00DF31D6" w14:paraId="2BBAC480" w14:textId="70E6FA2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Findings from the site visit will contribute to understanding the different types of centralization, the reasons sites centralize their services, and the benefits and challenges for staff and clients. With three site visits, </w:t>
      </w:r>
      <w:r w:rsidR="008D5A23">
        <w:rPr>
          <w:rFonts w:eastAsia="Times New Roman" w:cstheme="minorHAnsi"/>
          <w:color w:val="000000"/>
        </w:rPr>
        <w:t xml:space="preserve">the research team </w:t>
      </w:r>
      <w:r>
        <w:rPr>
          <w:rFonts w:eastAsia="Times New Roman" w:cstheme="minorHAnsi"/>
          <w:color w:val="000000"/>
        </w:rPr>
        <w:t xml:space="preserve">will </w:t>
      </w:r>
      <w:r w:rsidR="00655A75">
        <w:rPr>
          <w:rFonts w:eastAsia="Times New Roman" w:cstheme="minorHAnsi"/>
          <w:color w:val="000000"/>
        </w:rPr>
        <w:t>highlight</w:t>
      </w:r>
      <w:r>
        <w:rPr>
          <w:rFonts w:eastAsia="Times New Roman" w:cstheme="minorHAnsi"/>
          <w:color w:val="000000"/>
        </w:rPr>
        <w:t xml:space="preserve"> findings from a small group of sites and shar</w:t>
      </w:r>
      <w:r w:rsidR="00EA7486">
        <w:rPr>
          <w:rFonts w:eastAsia="Times New Roman" w:cstheme="minorHAnsi"/>
          <w:color w:val="000000"/>
        </w:rPr>
        <w:t>e</w:t>
      </w:r>
      <w:r>
        <w:rPr>
          <w:rFonts w:eastAsia="Times New Roman" w:cstheme="minorHAnsi"/>
          <w:color w:val="000000"/>
        </w:rPr>
        <w:t xml:space="preserve"> lessons learned and findings from these specific sites. </w:t>
      </w:r>
      <w:r w:rsidR="008D5A23">
        <w:rPr>
          <w:rFonts w:eastAsia="Times New Roman" w:cstheme="minorHAnsi"/>
          <w:color w:val="000000"/>
        </w:rPr>
        <w:t xml:space="preserve">The team </w:t>
      </w:r>
      <w:r>
        <w:rPr>
          <w:rFonts w:eastAsia="Times New Roman" w:cstheme="minorHAnsi"/>
          <w:color w:val="000000"/>
        </w:rPr>
        <w:t xml:space="preserve">will not </w:t>
      </w:r>
      <w:r w:rsidR="00655A75">
        <w:rPr>
          <w:rFonts w:eastAsia="Times New Roman" w:cstheme="minorHAnsi"/>
          <w:color w:val="000000"/>
        </w:rPr>
        <w:t>use</w:t>
      </w:r>
      <w:r>
        <w:rPr>
          <w:rFonts w:eastAsia="Times New Roman" w:cstheme="minorHAnsi"/>
          <w:color w:val="000000"/>
        </w:rPr>
        <w:t xml:space="preserve"> the data to make statistical inferences or to produce generalizable findings. The site visits are not intended to be a representative sample of all sites providing centralized services. In addition, the study is descriptive and does not include an impact study; therefore, findings from the study should not be used to assess outcomes of individuals who participate in services at </w:t>
      </w:r>
      <w:r w:rsidR="001C292D">
        <w:rPr>
          <w:rFonts w:eastAsia="Times New Roman" w:cstheme="minorHAnsi"/>
          <w:color w:val="000000"/>
        </w:rPr>
        <w:t>CCRCs</w:t>
      </w:r>
      <w:r>
        <w:rPr>
          <w:rFonts w:eastAsia="Times New Roman" w:cstheme="minorHAnsi"/>
          <w:color w:val="000000"/>
        </w:rPr>
        <w:t xml:space="preserve">. All products associated with the study will include these limitations in the discussion of findings. </w:t>
      </w:r>
    </w:p>
    <w:p w:rsidRPr="001A59B6" w:rsidR="00DF31D6" w:rsidP="00A42C71" w:rsidRDefault="00DF31D6" w14:paraId="400EDE3E" w14:textId="77777777">
      <w:pPr>
        <w:autoSpaceDE w:val="0"/>
        <w:autoSpaceDN w:val="0"/>
        <w:adjustRightInd w:val="0"/>
        <w:spacing w:after="60" w:line="240" w:lineRule="atLeast"/>
        <w:rPr>
          <w:rFonts w:eastAsia="Times New Roman" w:cstheme="minorHAnsi"/>
          <w:color w:val="000000"/>
        </w:rPr>
      </w:pPr>
    </w:p>
    <w:p w:rsidRPr="001A59B6" w:rsidR="00A42C71" w:rsidP="00A42C71" w:rsidRDefault="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P="008D5A23" w:rsidRDefault="00A42C71" w14:paraId="273747A8" w14:textId="5827549E">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DF31D6" w:rsidP="00A42C71" w:rsidRDefault="00DF31D6" w14:paraId="042C5469" w14:textId="487823AF">
      <w:pPr>
        <w:autoSpaceDE w:val="0"/>
        <w:autoSpaceDN w:val="0"/>
        <w:adjustRightInd w:val="0"/>
        <w:spacing w:after="0" w:line="240" w:lineRule="atLeast"/>
        <w:contextualSpacing/>
      </w:pPr>
      <w:r>
        <w:t xml:space="preserve">For each of the three selected site visit sites, </w:t>
      </w:r>
      <w:r w:rsidR="000C6306">
        <w:t xml:space="preserve">the </w:t>
      </w:r>
      <w:r w:rsidR="00213AC2">
        <w:t>research</w:t>
      </w:r>
      <w:r w:rsidR="000C6306">
        <w:t xml:space="preserve"> team</w:t>
      </w:r>
      <w:r w:rsidR="00BA5682">
        <w:t xml:space="preserve"> (</w:t>
      </w:r>
      <w:bookmarkStart w:name="_Hlk84421101" w:id="0"/>
      <w:r w:rsidR="00BA5682">
        <w:t>MEF Associates and Mathematica)</w:t>
      </w:r>
      <w:r w:rsidR="000C6306">
        <w:t xml:space="preserve"> </w:t>
      </w:r>
      <w:bookmarkEnd w:id="0"/>
      <w:r>
        <w:t xml:space="preserve">will collect information from program leadership; program frontline staff; IT and finance staff; and clients of the site, including </w:t>
      </w:r>
      <w:r w:rsidR="001C292D">
        <w:t xml:space="preserve">clients </w:t>
      </w:r>
      <w:r>
        <w:t xml:space="preserve">who accessed multiple services and those who did not. </w:t>
      </w:r>
    </w:p>
    <w:p w:rsidR="00DF31D6" w:rsidP="00A42C71" w:rsidRDefault="00DF31D6" w14:paraId="5AB94171" w14:textId="77777777">
      <w:pPr>
        <w:autoSpaceDE w:val="0"/>
        <w:autoSpaceDN w:val="0"/>
        <w:adjustRightInd w:val="0"/>
        <w:spacing w:after="0" w:line="240" w:lineRule="atLeast"/>
        <w:contextualSpacing/>
      </w:pPr>
    </w:p>
    <w:p w:rsidR="00E32C83" w:rsidP="00A42C71" w:rsidRDefault="00DF31D6" w14:paraId="0DE43D30" w14:textId="6F001E2E">
      <w:pPr>
        <w:autoSpaceDE w:val="0"/>
        <w:autoSpaceDN w:val="0"/>
        <w:adjustRightInd w:val="0"/>
        <w:spacing w:after="0" w:line="240" w:lineRule="atLeast"/>
        <w:contextualSpacing/>
      </w:pPr>
      <w:r>
        <w:t xml:space="preserve">The sampling frame for each site will be the roster of staff </w:t>
      </w:r>
      <w:r w:rsidR="00E32C83">
        <w:t xml:space="preserve">that oversee the site, </w:t>
      </w:r>
      <w:r w:rsidR="00655A75">
        <w:t xml:space="preserve">staff that provide services directly to clients, and staff that </w:t>
      </w:r>
      <w:r w:rsidR="00E32C83">
        <w:t>work on</w:t>
      </w:r>
      <w:r w:rsidR="00655A75">
        <w:t xml:space="preserve"> IT/data issues and</w:t>
      </w:r>
      <w:r w:rsidR="00E32C83">
        <w:t xml:space="preserve"> finance related to the site, as well as a subset of clients who receive services from the site</w:t>
      </w:r>
      <w:r>
        <w:t xml:space="preserve">. </w:t>
      </w:r>
    </w:p>
    <w:p w:rsidR="00E32C83" w:rsidP="00A42C71" w:rsidRDefault="00E32C83" w14:paraId="52089579" w14:textId="77777777">
      <w:pPr>
        <w:autoSpaceDE w:val="0"/>
        <w:autoSpaceDN w:val="0"/>
        <w:adjustRightInd w:val="0"/>
        <w:spacing w:after="0" w:line="240" w:lineRule="atLeast"/>
        <w:contextualSpacing/>
      </w:pPr>
    </w:p>
    <w:p w:rsidRPr="001A59B6" w:rsidR="00DF31D6" w:rsidP="00A42C71" w:rsidRDefault="00DF31D6" w14:paraId="7151D75D" w14:textId="0457C696">
      <w:pPr>
        <w:autoSpaceDE w:val="0"/>
        <w:autoSpaceDN w:val="0"/>
        <w:adjustRightInd w:val="0"/>
        <w:spacing w:after="0" w:line="240" w:lineRule="atLeast"/>
        <w:contextualSpacing/>
        <w:rPr>
          <w:rFonts w:eastAsia="Times New Roman" w:cstheme="minorHAnsi"/>
          <w:color w:val="000000"/>
        </w:rPr>
      </w:pPr>
      <w:r>
        <w:t xml:space="preserve">The research team will use non-probability, purposive sampling to identify potential respondents who can provide information on the </w:t>
      </w:r>
      <w:r w:rsidR="00E32C83">
        <w:t>study’s research questions</w:t>
      </w:r>
      <w:r>
        <w:t xml:space="preserve">. Because participants will be purposively selected, they will not be representative of </w:t>
      </w:r>
      <w:r w:rsidR="00E32C83">
        <w:t xml:space="preserve">staff at </w:t>
      </w:r>
      <w:r w:rsidR="001C292D">
        <w:t>CCRCs</w:t>
      </w:r>
      <w:r w:rsidR="00E32C83">
        <w:t xml:space="preserve"> or clients who receive services from CCRCs</w:t>
      </w:r>
      <w:r>
        <w:t xml:space="preserve">. </w:t>
      </w:r>
      <w:r w:rsidR="00E32C83">
        <w:t xml:space="preserve">For clients, </w:t>
      </w:r>
      <w:r>
        <w:t xml:space="preserve">we aim to obtain variation in </w:t>
      </w:r>
      <w:r w:rsidR="00E32C83">
        <w:t xml:space="preserve">clients’ </w:t>
      </w:r>
      <w:r>
        <w:t xml:space="preserve">experiences to understand </w:t>
      </w:r>
      <w:r w:rsidR="00E32C83">
        <w:t>the range of experiences related to centralized service provision</w:t>
      </w:r>
      <w:r>
        <w:t>.</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00D4486E" w:rsidP="00697A6C" w:rsidRDefault="0023769C" w14:paraId="7E4C9121" w14:textId="259FD81D">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Respondent Recruitment</w:t>
      </w:r>
      <w:r w:rsidRPr="001A59B6" w:rsidR="00A42C71">
        <w:rPr>
          <w:rFonts w:eastAsia="Times New Roman" w:cstheme="minorHAnsi"/>
          <w:i/>
          <w:color w:val="000000"/>
        </w:rPr>
        <w:t xml:space="preserve"> and Site Selection</w:t>
      </w:r>
    </w:p>
    <w:p w:rsidR="00D4486E" w:rsidP="00A42C71" w:rsidRDefault="00D4486E" w14:paraId="105E3F05" w14:textId="67BB909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 will include three sites for site visits. Site selection </w:t>
      </w:r>
      <w:r w:rsidR="008D5A23">
        <w:rPr>
          <w:rFonts w:eastAsia="Times New Roman" w:cstheme="minorHAnsi"/>
          <w:color w:val="000000"/>
        </w:rPr>
        <w:t xml:space="preserve">began </w:t>
      </w:r>
      <w:r w:rsidR="00F26B4B">
        <w:rPr>
          <w:rFonts w:eastAsia="Times New Roman" w:cstheme="minorHAnsi"/>
          <w:color w:val="000000"/>
        </w:rPr>
        <w:t xml:space="preserve">with </w:t>
      </w:r>
      <w:r w:rsidR="003211EE">
        <w:rPr>
          <w:rFonts w:eastAsia="Times New Roman" w:cstheme="minorHAnsi"/>
          <w:color w:val="000000"/>
        </w:rPr>
        <w:t>a scan of potential sites based on recommendations from experts</w:t>
      </w:r>
      <w:r w:rsidR="00EA7486">
        <w:rPr>
          <w:rFonts w:eastAsia="Times New Roman" w:cstheme="minorHAnsi"/>
          <w:color w:val="000000"/>
        </w:rPr>
        <w:t>,</w:t>
      </w:r>
      <w:r w:rsidR="00D74971">
        <w:rPr>
          <w:rFonts w:eastAsia="Times New Roman" w:cstheme="minorHAnsi"/>
          <w:color w:val="000000"/>
        </w:rPr>
        <w:t xml:space="preserve"> </w:t>
      </w:r>
      <w:r w:rsidR="003211EE">
        <w:rPr>
          <w:rFonts w:eastAsia="Times New Roman" w:cstheme="minorHAnsi"/>
          <w:color w:val="000000"/>
        </w:rPr>
        <w:t xml:space="preserve">stakeholders and colleagues, </w:t>
      </w:r>
      <w:r w:rsidR="00213AC2">
        <w:rPr>
          <w:rFonts w:eastAsia="Times New Roman" w:cstheme="minorHAnsi"/>
          <w:color w:val="000000"/>
        </w:rPr>
        <w:t>research</w:t>
      </w:r>
      <w:r w:rsidR="003211EE">
        <w:rPr>
          <w:rFonts w:eastAsia="Times New Roman" w:cstheme="minorHAnsi"/>
          <w:color w:val="000000"/>
        </w:rPr>
        <w:t xml:space="preserve"> team knowledge, and the literature review. </w:t>
      </w:r>
      <w:r w:rsidR="000C6306">
        <w:rPr>
          <w:rFonts w:eastAsia="Times New Roman" w:cstheme="minorHAnsi"/>
          <w:color w:val="000000"/>
        </w:rPr>
        <w:t xml:space="preserve">The </w:t>
      </w:r>
      <w:r w:rsidR="00213AC2">
        <w:rPr>
          <w:rFonts w:eastAsia="Times New Roman" w:cstheme="minorHAnsi"/>
          <w:color w:val="000000"/>
        </w:rPr>
        <w:t>research</w:t>
      </w:r>
      <w:r w:rsidR="000C6306">
        <w:rPr>
          <w:rFonts w:eastAsia="Times New Roman" w:cstheme="minorHAnsi"/>
          <w:color w:val="000000"/>
        </w:rPr>
        <w:t xml:space="preserve"> team </w:t>
      </w:r>
      <w:r w:rsidR="003211EE">
        <w:rPr>
          <w:rFonts w:eastAsia="Times New Roman" w:cstheme="minorHAnsi"/>
          <w:color w:val="000000"/>
        </w:rPr>
        <w:t>conduct</w:t>
      </w:r>
      <w:r w:rsidR="008D5A23">
        <w:rPr>
          <w:rFonts w:eastAsia="Times New Roman" w:cstheme="minorHAnsi"/>
          <w:color w:val="000000"/>
        </w:rPr>
        <w:t>ed</w:t>
      </w:r>
      <w:r w:rsidR="003211EE">
        <w:rPr>
          <w:rFonts w:eastAsia="Times New Roman" w:cstheme="minorHAnsi"/>
          <w:color w:val="000000"/>
        </w:rPr>
        <w:t xml:space="preserve"> online research to learn more about the sites and will narrow the list to 14 sites based on this initial scan. </w:t>
      </w:r>
      <w:r w:rsidR="000C6306">
        <w:rPr>
          <w:rFonts w:eastAsia="Times New Roman" w:cstheme="minorHAnsi"/>
          <w:color w:val="000000"/>
        </w:rPr>
        <w:t xml:space="preserve">The </w:t>
      </w:r>
      <w:r w:rsidR="00213AC2">
        <w:rPr>
          <w:rFonts w:eastAsia="Times New Roman" w:cstheme="minorHAnsi"/>
          <w:color w:val="000000"/>
        </w:rPr>
        <w:t>research</w:t>
      </w:r>
      <w:r w:rsidR="000C6306">
        <w:rPr>
          <w:rFonts w:eastAsia="Times New Roman" w:cstheme="minorHAnsi"/>
          <w:color w:val="000000"/>
        </w:rPr>
        <w:t xml:space="preserve"> team </w:t>
      </w:r>
      <w:r w:rsidR="003211EE">
        <w:rPr>
          <w:rFonts w:eastAsia="Times New Roman" w:cstheme="minorHAnsi"/>
          <w:color w:val="000000"/>
        </w:rPr>
        <w:t>conduct</w:t>
      </w:r>
      <w:r w:rsidR="008D5A23">
        <w:rPr>
          <w:rFonts w:eastAsia="Times New Roman" w:cstheme="minorHAnsi"/>
          <w:color w:val="000000"/>
        </w:rPr>
        <w:t>ed</w:t>
      </w:r>
      <w:r w:rsidR="003211EE">
        <w:rPr>
          <w:rFonts w:eastAsia="Times New Roman" w:cstheme="minorHAnsi"/>
          <w:color w:val="000000"/>
        </w:rPr>
        <w:t xml:space="preserve"> an in-depth scan of 14 sites before refining </w:t>
      </w:r>
      <w:r w:rsidR="00EA7486">
        <w:rPr>
          <w:rFonts w:eastAsia="Times New Roman" w:cstheme="minorHAnsi"/>
          <w:color w:val="000000"/>
        </w:rPr>
        <w:t xml:space="preserve">its </w:t>
      </w:r>
      <w:r w:rsidR="003211EE">
        <w:rPr>
          <w:rFonts w:eastAsia="Times New Roman" w:cstheme="minorHAnsi"/>
          <w:color w:val="000000"/>
        </w:rPr>
        <w:t xml:space="preserve">suggestions to three recommended sites and </w:t>
      </w:r>
      <w:r w:rsidR="00F26B4B">
        <w:rPr>
          <w:rFonts w:eastAsia="Times New Roman" w:cstheme="minorHAnsi"/>
          <w:color w:val="000000"/>
        </w:rPr>
        <w:t>three to four</w:t>
      </w:r>
      <w:r w:rsidR="003211EE">
        <w:rPr>
          <w:rFonts w:eastAsia="Times New Roman" w:cstheme="minorHAnsi"/>
          <w:color w:val="000000"/>
        </w:rPr>
        <w:t xml:space="preserve"> alternative sites. </w:t>
      </w:r>
      <w:r w:rsidR="00163065">
        <w:rPr>
          <w:rFonts w:eastAsia="Times New Roman" w:cstheme="minorHAnsi"/>
          <w:color w:val="000000"/>
        </w:rPr>
        <w:t xml:space="preserve">The scan included calls to nine programs. The program calls were tailored to each program with specific questions about their services to fill gaps in the information available online. </w:t>
      </w:r>
      <w:r w:rsidR="003211EE">
        <w:rPr>
          <w:rFonts w:eastAsia="Times New Roman" w:cstheme="minorHAnsi"/>
          <w:color w:val="000000"/>
        </w:rPr>
        <w:t>The criteria for site selection include variation on key features such as type of site</w:t>
      </w:r>
      <w:r w:rsidR="0091710F">
        <w:rPr>
          <w:rFonts w:eastAsia="Times New Roman" w:cstheme="minorHAnsi"/>
          <w:color w:val="000000"/>
        </w:rPr>
        <w:t>;</w:t>
      </w:r>
      <w:r w:rsidR="003211EE">
        <w:rPr>
          <w:rFonts w:eastAsia="Times New Roman" w:cstheme="minorHAnsi"/>
          <w:color w:val="000000"/>
        </w:rPr>
        <w:t xml:space="preserve"> type of primary agency</w:t>
      </w:r>
      <w:r w:rsidR="00FC047D">
        <w:rPr>
          <w:rFonts w:eastAsia="Times New Roman" w:cstheme="minorHAnsi"/>
          <w:color w:val="000000"/>
        </w:rPr>
        <w:t xml:space="preserve"> (e.g., Community Action Agency, County Agency, One Stop)</w:t>
      </w:r>
      <w:r w:rsidR="0091710F">
        <w:rPr>
          <w:rFonts w:eastAsia="Times New Roman" w:cstheme="minorHAnsi"/>
          <w:color w:val="000000"/>
        </w:rPr>
        <w:t>;</w:t>
      </w:r>
      <w:r w:rsidR="003211EE">
        <w:rPr>
          <w:rFonts w:eastAsia="Times New Roman" w:cstheme="minorHAnsi"/>
          <w:color w:val="000000"/>
        </w:rPr>
        <w:t xml:space="preserve"> tenure, degree, and type of centralization</w:t>
      </w:r>
      <w:r w:rsidR="0091710F">
        <w:rPr>
          <w:rFonts w:eastAsia="Times New Roman" w:cstheme="minorHAnsi"/>
          <w:color w:val="000000"/>
        </w:rPr>
        <w:t>;</w:t>
      </w:r>
      <w:r w:rsidR="003211EE">
        <w:rPr>
          <w:rFonts w:eastAsia="Times New Roman" w:cstheme="minorHAnsi"/>
          <w:color w:val="000000"/>
        </w:rPr>
        <w:t xml:space="preserve"> primary service domain</w:t>
      </w:r>
      <w:r w:rsidR="0091710F">
        <w:rPr>
          <w:rFonts w:eastAsia="Times New Roman" w:cstheme="minorHAnsi"/>
          <w:color w:val="000000"/>
        </w:rPr>
        <w:t>;</w:t>
      </w:r>
      <w:r w:rsidR="003211EE">
        <w:rPr>
          <w:rFonts w:eastAsia="Times New Roman" w:cstheme="minorHAnsi"/>
          <w:color w:val="000000"/>
        </w:rPr>
        <w:t xml:space="preserve"> </w:t>
      </w:r>
      <w:r w:rsidR="00EA7486">
        <w:rPr>
          <w:rFonts w:eastAsia="Times New Roman" w:cstheme="minorHAnsi"/>
          <w:color w:val="000000"/>
        </w:rPr>
        <w:t xml:space="preserve">type of </w:t>
      </w:r>
      <w:r w:rsidR="003211EE">
        <w:rPr>
          <w:rFonts w:eastAsia="Times New Roman" w:cstheme="minorHAnsi"/>
          <w:color w:val="000000"/>
        </w:rPr>
        <w:t>ACF programs</w:t>
      </w:r>
      <w:r w:rsidR="00EA7486">
        <w:rPr>
          <w:rFonts w:eastAsia="Times New Roman" w:cstheme="minorHAnsi"/>
          <w:color w:val="000000"/>
        </w:rPr>
        <w:t xml:space="preserve"> offered</w:t>
      </w:r>
      <w:r w:rsidR="0091710F">
        <w:rPr>
          <w:rFonts w:eastAsia="Times New Roman" w:cstheme="minorHAnsi"/>
          <w:color w:val="000000"/>
        </w:rPr>
        <w:t>;</w:t>
      </w:r>
      <w:r w:rsidR="0023769C">
        <w:rPr>
          <w:rFonts w:eastAsia="Times New Roman" w:cstheme="minorHAnsi"/>
          <w:color w:val="000000"/>
        </w:rPr>
        <w:t xml:space="preserve"> presence of virtual services or applications</w:t>
      </w:r>
      <w:r w:rsidR="0091710F">
        <w:rPr>
          <w:rFonts w:eastAsia="Times New Roman" w:cstheme="minorHAnsi"/>
          <w:color w:val="000000"/>
        </w:rPr>
        <w:t>;</w:t>
      </w:r>
      <w:r w:rsidR="0023769C">
        <w:rPr>
          <w:rFonts w:eastAsia="Times New Roman" w:cstheme="minorHAnsi"/>
          <w:color w:val="000000"/>
        </w:rPr>
        <w:t xml:space="preserve"> size of site</w:t>
      </w:r>
      <w:r w:rsidR="0091710F">
        <w:rPr>
          <w:rFonts w:eastAsia="Times New Roman" w:cstheme="minorHAnsi"/>
          <w:color w:val="000000"/>
        </w:rPr>
        <w:t>;</w:t>
      </w:r>
      <w:r w:rsidR="0023769C">
        <w:rPr>
          <w:rFonts w:eastAsia="Times New Roman" w:cstheme="minorHAnsi"/>
          <w:color w:val="000000"/>
        </w:rPr>
        <w:t xml:space="preserve"> and demographics of clients served. The selected sites will not be representative of the population of </w:t>
      </w:r>
      <w:proofErr w:type="gramStart"/>
      <w:r w:rsidR="0023769C">
        <w:rPr>
          <w:rFonts w:eastAsia="Times New Roman" w:cstheme="minorHAnsi"/>
          <w:color w:val="000000"/>
        </w:rPr>
        <w:t>CCRCs</w:t>
      </w:r>
      <w:proofErr w:type="gramEnd"/>
      <w:r w:rsidR="0023769C">
        <w:rPr>
          <w:rFonts w:eastAsia="Times New Roman" w:cstheme="minorHAnsi"/>
          <w:color w:val="000000"/>
        </w:rPr>
        <w:t xml:space="preserve"> but we hope to capture variation in the types of models </w:t>
      </w:r>
      <w:r w:rsidR="0091710F">
        <w:rPr>
          <w:rFonts w:eastAsia="Times New Roman" w:cstheme="minorHAnsi"/>
          <w:color w:val="000000"/>
        </w:rPr>
        <w:t>implemented</w:t>
      </w:r>
      <w:r w:rsidR="0023769C">
        <w:rPr>
          <w:rFonts w:eastAsia="Times New Roman" w:cstheme="minorHAnsi"/>
          <w:color w:val="000000"/>
        </w:rPr>
        <w:t>.</w:t>
      </w:r>
      <w:r w:rsidR="00D909E6">
        <w:rPr>
          <w:rFonts w:eastAsia="Times New Roman" w:cstheme="minorHAnsi"/>
          <w:color w:val="000000"/>
        </w:rPr>
        <w:t xml:space="preserve"> Centralization models may differ across characteristics such as </w:t>
      </w:r>
      <w:r w:rsidR="00AA7506">
        <w:rPr>
          <w:rFonts w:eastAsia="Times New Roman" w:cstheme="minorHAnsi"/>
          <w:color w:val="000000"/>
        </w:rPr>
        <w:t xml:space="preserve">physical space, </w:t>
      </w:r>
      <w:r w:rsidR="00D909E6">
        <w:rPr>
          <w:rFonts w:eastAsia="Times New Roman" w:cstheme="minorHAnsi"/>
          <w:color w:val="000000"/>
        </w:rPr>
        <w:t xml:space="preserve">client flow, staffing structure, partnerships, data sharing, and funding. </w:t>
      </w:r>
      <w:r w:rsidRPr="00FC047D" w:rsidR="00FC047D">
        <w:t xml:space="preserve"> </w:t>
      </w:r>
    </w:p>
    <w:p w:rsidR="0023769C" w:rsidP="00A42C71" w:rsidRDefault="0023769C" w14:paraId="42A9A9F6" w14:textId="01EA12EB">
      <w:pPr>
        <w:autoSpaceDE w:val="0"/>
        <w:autoSpaceDN w:val="0"/>
        <w:adjustRightInd w:val="0"/>
        <w:spacing w:after="0" w:line="240" w:lineRule="atLeast"/>
        <w:contextualSpacing/>
        <w:rPr>
          <w:rFonts w:eastAsia="Times New Roman" w:cstheme="minorHAnsi"/>
          <w:color w:val="000000"/>
        </w:rPr>
      </w:pPr>
    </w:p>
    <w:p w:rsidR="0023769C" w:rsidP="00A42C71" w:rsidRDefault="0023769C" w14:paraId="0BE47EF7" w14:textId="42A70E57">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To recruit sites, </w:t>
      </w:r>
      <w:r w:rsidR="000C6306">
        <w:rPr>
          <w:rFonts w:eastAsia="Times New Roman" w:cstheme="minorHAnsi"/>
          <w:color w:val="000000"/>
        </w:rPr>
        <w:t xml:space="preserve">the </w:t>
      </w:r>
      <w:r w:rsidR="00213AC2">
        <w:rPr>
          <w:rFonts w:eastAsia="Times New Roman" w:cstheme="minorHAnsi"/>
          <w:color w:val="000000"/>
        </w:rPr>
        <w:t>research</w:t>
      </w:r>
      <w:r w:rsidR="000C6306">
        <w:rPr>
          <w:rFonts w:eastAsia="Times New Roman" w:cstheme="minorHAnsi"/>
          <w:color w:val="000000"/>
        </w:rPr>
        <w:t xml:space="preserve"> team </w:t>
      </w:r>
      <w:r>
        <w:rPr>
          <w:rFonts w:eastAsia="Times New Roman" w:cstheme="minorHAnsi"/>
          <w:color w:val="000000"/>
        </w:rPr>
        <w:t xml:space="preserve">will reach out to the selected sites and ask if they would like to participate in the site visits. </w:t>
      </w:r>
      <w:r w:rsidR="000C6306">
        <w:rPr>
          <w:rFonts w:eastAsia="Times New Roman" w:cstheme="minorHAnsi"/>
          <w:color w:val="000000"/>
        </w:rPr>
        <w:t xml:space="preserve">The team </w:t>
      </w:r>
      <w:r>
        <w:rPr>
          <w:rFonts w:eastAsia="Times New Roman" w:cstheme="minorHAnsi"/>
          <w:color w:val="000000"/>
        </w:rPr>
        <w:t>will provide information on the timing and duration of the visits</w:t>
      </w:r>
      <w:r w:rsidR="00467A21">
        <w:rPr>
          <w:rFonts w:eastAsia="Times New Roman" w:cstheme="minorHAnsi"/>
          <w:color w:val="000000"/>
        </w:rPr>
        <w:t xml:space="preserve"> and </w:t>
      </w:r>
      <w:r>
        <w:rPr>
          <w:rFonts w:eastAsia="Times New Roman" w:cstheme="minorHAnsi"/>
          <w:color w:val="000000"/>
        </w:rPr>
        <w:t xml:space="preserve">the plan for the visits (e.g., whom </w:t>
      </w:r>
      <w:r w:rsidR="00BA5682">
        <w:rPr>
          <w:rFonts w:eastAsia="Times New Roman" w:cstheme="minorHAnsi"/>
          <w:color w:val="000000"/>
        </w:rPr>
        <w:t xml:space="preserve">the team </w:t>
      </w:r>
      <w:r>
        <w:rPr>
          <w:rFonts w:eastAsia="Times New Roman" w:cstheme="minorHAnsi"/>
          <w:color w:val="000000"/>
        </w:rPr>
        <w:t xml:space="preserve">would like to meet with and whether in-person or virtual depending on public health considerations at the time of the visit), </w:t>
      </w:r>
      <w:r w:rsidR="00467A21">
        <w:rPr>
          <w:rFonts w:eastAsia="Times New Roman" w:cstheme="minorHAnsi"/>
          <w:color w:val="000000"/>
        </w:rPr>
        <w:t xml:space="preserve">as well as a </w:t>
      </w:r>
      <w:r w:rsidR="00B164CD">
        <w:rPr>
          <w:rFonts w:eastAsia="Times New Roman" w:cstheme="minorHAnsi"/>
          <w:color w:val="000000"/>
        </w:rPr>
        <w:t xml:space="preserve">description of the </w:t>
      </w:r>
      <w:r w:rsidR="007521F2">
        <w:rPr>
          <w:rFonts w:eastAsia="Times New Roman" w:cstheme="minorHAnsi"/>
          <w:color w:val="000000"/>
        </w:rPr>
        <w:t xml:space="preserve">reports and </w:t>
      </w:r>
      <w:r>
        <w:rPr>
          <w:rFonts w:eastAsia="Times New Roman" w:cstheme="minorHAnsi"/>
          <w:color w:val="000000"/>
        </w:rPr>
        <w:t>publications</w:t>
      </w:r>
      <w:r w:rsidR="00B164CD">
        <w:rPr>
          <w:rFonts w:eastAsia="Times New Roman" w:cstheme="minorHAnsi"/>
          <w:color w:val="000000"/>
        </w:rPr>
        <w:t xml:space="preserve"> in which the site would be highlighted</w:t>
      </w:r>
      <w:r>
        <w:rPr>
          <w:rFonts w:eastAsia="Times New Roman" w:cstheme="minorHAnsi"/>
          <w:color w:val="000000"/>
        </w:rPr>
        <w:t xml:space="preserve">. If </w:t>
      </w:r>
      <w:r w:rsidR="0091710F">
        <w:rPr>
          <w:rFonts w:eastAsia="Times New Roman" w:cstheme="minorHAnsi"/>
          <w:color w:val="000000"/>
        </w:rPr>
        <w:t xml:space="preserve">a </w:t>
      </w:r>
      <w:r>
        <w:rPr>
          <w:rFonts w:eastAsia="Times New Roman" w:cstheme="minorHAnsi"/>
          <w:color w:val="000000"/>
        </w:rPr>
        <w:t>primary</w:t>
      </w:r>
      <w:r w:rsidR="0091710F">
        <w:rPr>
          <w:rFonts w:eastAsia="Times New Roman" w:cstheme="minorHAnsi"/>
          <w:color w:val="000000"/>
        </w:rPr>
        <w:t xml:space="preserve"> selected</w:t>
      </w:r>
      <w:r>
        <w:rPr>
          <w:rFonts w:eastAsia="Times New Roman" w:cstheme="minorHAnsi"/>
          <w:color w:val="000000"/>
        </w:rPr>
        <w:t xml:space="preserve"> site do</w:t>
      </w:r>
      <w:r w:rsidR="000C6306">
        <w:rPr>
          <w:rFonts w:eastAsia="Times New Roman" w:cstheme="minorHAnsi"/>
          <w:color w:val="000000"/>
        </w:rPr>
        <w:t>es</w:t>
      </w:r>
      <w:r>
        <w:rPr>
          <w:rFonts w:eastAsia="Times New Roman" w:cstheme="minorHAnsi"/>
          <w:color w:val="000000"/>
        </w:rPr>
        <w:t xml:space="preserve"> not agree to participate, </w:t>
      </w:r>
      <w:r w:rsidR="000C6306">
        <w:rPr>
          <w:rFonts w:eastAsia="Times New Roman" w:cstheme="minorHAnsi"/>
          <w:color w:val="000000"/>
        </w:rPr>
        <w:t xml:space="preserve">the </w:t>
      </w:r>
      <w:r w:rsidR="00213AC2">
        <w:rPr>
          <w:rFonts w:eastAsia="Times New Roman" w:cstheme="minorHAnsi"/>
          <w:color w:val="000000"/>
        </w:rPr>
        <w:t>research</w:t>
      </w:r>
      <w:r w:rsidR="000C6306">
        <w:rPr>
          <w:rFonts w:eastAsia="Times New Roman" w:cstheme="minorHAnsi"/>
          <w:color w:val="000000"/>
        </w:rPr>
        <w:t xml:space="preserve"> team </w:t>
      </w:r>
      <w:r>
        <w:rPr>
          <w:rFonts w:eastAsia="Times New Roman" w:cstheme="minorHAnsi"/>
          <w:color w:val="000000"/>
        </w:rPr>
        <w:t xml:space="preserve">will then reach out to </w:t>
      </w:r>
      <w:r w:rsidR="0091710F">
        <w:rPr>
          <w:rFonts w:eastAsia="Times New Roman" w:cstheme="minorHAnsi"/>
          <w:color w:val="000000"/>
        </w:rPr>
        <w:t xml:space="preserve">an </w:t>
      </w:r>
      <w:r>
        <w:rPr>
          <w:rFonts w:eastAsia="Times New Roman" w:cstheme="minorHAnsi"/>
          <w:color w:val="000000"/>
        </w:rPr>
        <w:t xml:space="preserve">alternative site. </w:t>
      </w:r>
      <w:r w:rsidR="00955462">
        <w:rPr>
          <w:rFonts w:eastAsia="Times New Roman" w:cstheme="minorHAnsi"/>
          <w:color w:val="000000"/>
        </w:rPr>
        <w:t xml:space="preserve">Once sites have agreed to participate, </w:t>
      </w:r>
      <w:r w:rsidR="000C6306">
        <w:rPr>
          <w:rFonts w:eastAsia="Times New Roman" w:cstheme="minorHAnsi"/>
          <w:color w:val="000000"/>
        </w:rPr>
        <w:t xml:space="preserve">the </w:t>
      </w:r>
      <w:r w:rsidR="00213AC2">
        <w:rPr>
          <w:rFonts w:eastAsia="Times New Roman" w:cstheme="minorHAnsi"/>
          <w:color w:val="000000"/>
        </w:rPr>
        <w:t>research</w:t>
      </w:r>
      <w:r w:rsidR="000C6306">
        <w:rPr>
          <w:rFonts w:eastAsia="Times New Roman" w:cstheme="minorHAnsi"/>
          <w:color w:val="000000"/>
        </w:rPr>
        <w:t xml:space="preserve"> team </w:t>
      </w:r>
      <w:r w:rsidR="00955462">
        <w:rPr>
          <w:rFonts w:eastAsia="Times New Roman" w:cstheme="minorHAnsi"/>
          <w:color w:val="000000"/>
        </w:rPr>
        <w:t xml:space="preserve">will work with the site </w:t>
      </w:r>
      <w:r w:rsidR="0091710F">
        <w:rPr>
          <w:rFonts w:eastAsia="Times New Roman" w:cstheme="minorHAnsi"/>
          <w:color w:val="000000"/>
        </w:rPr>
        <w:t xml:space="preserve">point of </w:t>
      </w:r>
      <w:r w:rsidR="00955462">
        <w:rPr>
          <w:rFonts w:eastAsia="Times New Roman" w:cstheme="minorHAnsi"/>
          <w:color w:val="000000"/>
        </w:rPr>
        <w:t xml:space="preserve">contact to identify staff to participate in interviews. </w:t>
      </w:r>
      <w:r w:rsidR="000C6306">
        <w:rPr>
          <w:rFonts w:eastAsia="Times New Roman" w:cstheme="minorHAnsi"/>
          <w:color w:val="000000"/>
        </w:rPr>
        <w:t xml:space="preserve">The team </w:t>
      </w:r>
      <w:r w:rsidR="00955462">
        <w:rPr>
          <w:rFonts w:eastAsia="Times New Roman" w:cstheme="minorHAnsi"/>
          <w:color w:val="000000"/>
        </w:rPr>
        <w:t>will also work with site staff to recruit participants for focus groups.</w:t>
      </w:r>
      <w:r w:rsidR="00295240">
        <w:rPr>
          <w:rFonts w:eastAsia="Times New Roman" w:cstheme="minorHAnsi"/>
          <w:color w:val="000000"/>
        </w:rPr>
        <w:t xml:space="preserve"> The team will share the project description on OPRE’s website with potential site staff and participants. </w:t>
      </w: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lastRenderedPageBreak/>
        <w:t>B3.</w:t>
      </w:r>
      <w:r w:rsidRPr="001A59B6">
        <w:rPr>
          <w:rFonts w:eastAsia="Times New Roman" w:cstheme="minorHAnsi"/>
          <w:b/>
          <w:bCs/>
          <w:color w:val="000000"/>
        </w:rPr>
        <w:tab/>
        <w:t>Design of Data Collection Instruments</w:t>
      </w:r>
    </w:p>
    <w:p w:rsidRPr="001A59B6" w:rsidR="00A42C71" w:rsidP="008D5A23" w:rsidRDefault="00A42C71" w14:paraId="07375F14" w14:textId="71D156CE">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Development of Data Collection Instruments</w:t>
      </w:r>
    </w:p>
    <w:p w:rsidR="00A42C71" w:rsidP="00A42C71" w:rsidRDefault="007E1272" w14:paraId="724733CA" w14:textId="3CD21D20">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sidR="00213AC2">
        <w:rPr>
          <w:rFonts w:eastAsia="Times New Roman" w:cstheme="minorHAnsi"/>
          <w:color w:val="000000"/>
        </w:rPr>
        <w:t>research</w:t>
      </w:r>
      <w:r>
        <w:rPr>
          <w:rFonts w:eastAsia="Times New Roman" w:cstheme="minorHAnsi"/>
          <w:color w:val="000000"/>
        </w:rPr>
        <w:t xml:space="preserve"> team developed the data collection instruments to meet the objectives of the study and answer the research questions. The data collection instruments are designed to reduce burden on respondents by only asking questions of individuals who will be </w:t>
      </w:r>
      <w:proofErr w:type="gramStart"/>
      <w:r>
        <w:rPr>
          <w:rFonts w:eastAsia="Times New Roman" w:cstheme="minorHAnsi"/>
          <w:color w:val="000000"/>
        </w:rPr>
        <w:t>in a position</w:t>
      </w:r>
      <w:proofErr w:type="gramEnd"/>
      <w:r>
        <w:rPr>
          <w:rFonts w:eastAsia="Times New Roman" w:cstheme="minorHAnsi"/>
          <w:color w:val="000000"/>
        </w:rPr>
        <w:t xml:space="preserve"> to respond and include guidance for interview</w:t>
      </w:r>
      <w:r w:rsidR="00EA7486">
        <w:rPr>
          <w:rFonts w:eastAsia="Times New Roman" w:cstheme="minorHAnsi"/>
          <w:color w:val="000000"/>
        </w:rPr>
        <w:t>er</w:t>
      </w:r>
      <w:r>
        <w:rPr>
          <w:rFonts w:eastAsia="Times New Roman" w:cstheme="minorHAnsi"/>
          <w:color w:val="000000"/>
        </w:rPr>
        <w:t>s on tailoring the questions</w:t>
      </w:r>
      <w:r w:rsidR="005B1076">
        <w:rPr>
          <w:rFonts w:eastAsia="Times New Roman" w:cstheme="minorHAnsi"/>
          <w:color w:val="000000"/>
        </w:rPr>
        <w:t xml:space="preserve">. Because site </w:t>
      </w:r>
      <w:r w:rsidR="008D5A23">
        <w:rPr>
          <w:rFonts w:eastAsia="Times New Roman" w:cstheme="minorHAnsi"/>
          <w:color w:val="000000"/>
        </w:rPr>
        <w:t xml:space="preserve">recruitment </w:t>
      </w:r>
      <w:r w:rsidR="005B1076">
        <w:rPr>
          <w:rFonts w:eastAsia="Times New Roman" w:cstheme="minorHAnsi"/>
          <w:color w:val="000000"/>
        </w:rPr>
        <w:t>has not occurred and the structure of the sites</w:t>
      </w:r>
      <w:r w:rsidR="001C292D">
        <w:rPr>
          <w:rFonts w:eastAsia="Times New Roman" w:cstheme="minorHAnsi"/>
          <w:color w:val="000000"/>
        </w:rPr>
        <w:t xml:space="preserve"> to be</w:t>
      </w:r>
      <w:r w:rsidR="005B1076">
        <w:rPr>
          <w:rFonts w:eastAsia="Times New Roman" w:cstheme="minorHAnsi"/>
          <w:color w:val="000000"/>
        </w:rPr>
        <w:t xml:space="preserve"> visited is unknown, it is difficult to determine which staff roles exist and would be appropriate for each protocol in sites of different structures. The guidance included in the protocols will help ensure that the </w:t>
      </w:r>
      <w:r w:rsidR="00EA7486">
        <w:rPr>
          <w:rFonts w:eastAsia="Times New Roman" w:cstheme="minorHAnsi"/>
          <w:color w:val="000000"/>
        </w:rPr>
        <w:t xml:space="preserve">number of interview questions </w:t>
      </w:r>
      <w:r w:rsidR="005B1076">
        <w:rPr>
          <w:rFonts w:eastAsia="Times New Roman" w:cstheme="minorHAnsi"/>
          <w:color w:val="000000"/>
        </w:rPr>
        <w:t xml:space="preserve">can be </w:t>
      </w:r>
      <w:r w:rsidR="00EA7486">
        <w:rPr>
          <w:rFonts w:eastAsia="Times New Roman" w:cstheme="minorHAnsi"/>
          <w:color w:val="000000"/>
        </w:rPr>
        <w:t xml:space="preserve">shortened </w:t>
      </w:r>
      <w:r w:rsidR="005B1076">
        <w:rPr>
          <w:rFonts w:eastAsia="Times New Roman" w:cstheme="minorHAnsi"/>
          <w:color w:val="000000"/>
        </w:rPr>
        <w:t>and tailored for each respondent</w:t>
      </w:r>
      <w:r w:rsidR="00EA7486">
        <w:rPr>
          <w:rFonts w:eastAsia="Times New Roman" w:cstheme="minorHAnsi"/>
          <w:color w:val="000000"/>
        </w:rPr>
        <w:t>,</w:t>
      </w:r>
      <w:r w:rsidR="005B1076">
        <w:rPr>
          <w:rFonts w:eastAsia="Times New Roman" w:cstheme="minorHAnsi"/>
          <w:color w:val="000000"/>
        </w:rPr>
        <w:t xml:space="preserve"> as appropriate.</w:t>
      </w:r>
    </w:p>
    <w:p w:rsidR="005B1076" w:rsidP="00A42C71" w:rsidRDefault="005B1076" w14:paraId="7388FB86" w14:textId="69262FB9">
      <w:pPr>
        <w:autoSpaceDE w:val="0"/>
        <w:autoSpaceDN w:val="0"/>
        <w:adjustRightInd w:val="0"/>
        <w:spacing w:after="0" w:line="240" w:lineRule="atLeast"/>
        <w:rPr>
          <w:rFonts w:eastAsia="Times New Roman" w:cstheme="minorHAnsi"/>
          <w:color w:val="000000"/>
        </w:rPr>
      </w:pPr>
    </w:p>
    <w:p w:rsidR="005B1076" w:rsidP="00A42C71" w:rsidRDefault="005B1076" w14:paraId="7901C9B5" w14:textId="21EB1A9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sidR="00213AC2">
        <w:rPr>
          <w:rFonts w:eastAsia="Times New Roman" w:cstheme="minorHAnsi"/>
          <w:color w:val="000000"/>
        </w:rPr>
        <w:t>research</w:t>
      </w:r>
      <w:r>
        <w:rPr>
          <w:rFonts w:eastAsia="Times New Roman" w:cstheme="minorHAnsi"/>
          <w:color w:val="000000"/>
        </w:rPr>
        <w:t xml:space="preserve"> team, ACF, and the project’s experts reviewed the data collection instruments for length, content, and flow. Meetings with stakeholders also informed the content and data collection approach for the protocols, though the </w:t>
      </w:r>
      <w:r w:rsidR="00213AC2">
        <w:rPr>
          <w:rFonts w:eastAsia="Times New Roman" w:cstheme="minorHAnsi"/>
          <w:color w:val="000000"/>
        </w:rPr>
        <w:t>research</w:t>
      </w:r>
      <w:r>
        <w:rPr>
          <w:rFonts w:eastAsia="Times New Roman" w:cstheme="minorHAnsi"/>
          <w:color w:val="000000"/>
        </w:rPr>
        <w:t xml:space="preserve"> team did not ask stakeholders to review the</w:t>
      </w:r>
      <w:r w:rsidR="0091710F">
        <w:rPr>
          <w:rFonts w:eastAsia="Times New Roman" w:cstheme="minorHAnsi"/>
          <w:color w:val="000000"/>
        </w:rPr>
        <w:t xml:space="preserve"> protocols</w:t>
      </w:r>
      <w:r>
        <w:rPr>
          <w:rFonts w:eastAsia="Times New Roman" w:cstheme="minorHAnsi"/>
          <w:color w:val="000000"/>
        </w:rPr>
        <w:t xml:space="preserve"> directly.</w:t>
      </w:r>
    </w:p>
    <w:p w:rsidR="005B1076" w:rsidP="00A42C71" w:rsidRDefault="005B1076" w14:paraId="0E7D8960" w14:textId="5FE1191A">
      <w:pPr>
        <w:autoSpaceDE w:val="0"/>
        <w:autoSpaceDN w:val="0"/>
        <w:adjustRightInd w:val="0"/>
        <w:spacing w:after="0" w:line="240" w:lineRule="atLeast"/>
        <w:rPr>
          <w:rFonts w:eastAsia="Times New Roman" w:cstheme="minorHAnsi"/>
          <w:color w:val="000000"/>
        </w:rPr>
      </w:pPr>
    </w:p>
    <w:p w:rsidRPr="001A59B6" w:rsidR="005B1076" w:rsidP="00A42C71" w:rsidRDefault="005B1076" w14:paraId="598CD39C" w14:textId="4934366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All instruments will contribute to the four research objectives outlined in B1.</w:t>
      </w: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A42C71" w:rsidRDefault="00590A93" w14:paraId="1167930B" w14:textId="43AA8C5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sidR="00213AC2">
        <w:rPr>
          <w:rFonts w:eastAsia="Times New Roman" w:cstheme="minorHAnsi"/>
          <w:color w:val="000000"/>
        </w:rPr>
        <w:t>research</w:t>
      </w:r>
      <w:r>
        <w:rPr>
          <w:rFonts w:eastAsia="Times New Roman" w:cstheme="minorHAnsi"/>
          <w:color w:val="000000"/>
        </w:rPr>
        <w:t xml:space="preserve"> team will conduct all data collection. All interviews will be conducted in pairs, with one team member leading the interview and the other team member </w:t>
      </w:r>
      <w:r w:rsidR="007521F2">
        <w:rPr>
          <w:rFonts w:eastAsia="Times New Roman" w:cstheme="minorHAnsi"/>
          <w:color w:val="000000"/>
        </w:rPr>
        <w:t>taking notes</w:t>
      </w:r>
      <w:r>
        <w:rPr>
          <w:rFonts w:eastAsia="Times New Roman" w:cstheme="minorHAnsi"/>
          <w:color w:val="000000"/>
        </w:rPr>
        <w:t xml:space="preserve">. With the permission of the respondent, </w:t>
      </w:r>
      <w:r w:rsidR="00E97AB6">
        <w:rPr>
          <w:rFonts w:eastAsia="Times New Roman" w:cstheme="minorHAnsi"/>
          <w:color w:val="000000"/>
        </w:rPr>
        <w:t xml:space="preserve">the </w:t>
      </w:r>
      <w:r w:rsidR="00213AC2">
        <w:rPr>
          <w:rFonts w:eastAsia="Times New Roman" w:cstheme="minorHAnsi"/>
          <w:color w:val="000000"/>
        </w:rPr>
        <w:t>research</w:t>
      </w:r>
      <w:r w:rsidR="00E97AB6">
        <w:rPr>
          <w:rFonts w:eastAsia="Times New Roman" w:cstheme="minorHAnsi"/>
          <w:color w:val="000000"/>
        </w:rPr>
        <w:t xml:space="preserve"> team </w:t>
      </w:r>
      <w:r>
        <w:rPr>
          <w:rFonts w:eastAsia="Times New Roman" w:cstheme="minorHAnsi"/>
          <w:color w:val="000000"/>
        </w:rPr>
        <w:t xml:space="preserve">will record the interviews to assist with notetaking. The team will conduct site visitor training prior to the site visits, including </w:t>
      </w:r>
      <w:r w:rsidR="003067A5">
        <w:rPr>
          <w:rFonts w:eastAsia="Times New Roman" w:cstheme="minorHAnsi"/>
          <w:color w:val="000000"/>
        </w:rPr>
        <w:t xml:space="preserve">introducing the </w:t>
      </w:r>
      <w:r>
        <w:rPr>
          <w:rFonts w:eastAsia="Times New Roman" w:cstheme="minorHAnsi"/>
          <w:color w:val="000000"/>
        </w:rPr>
        <w:t>protocols</w:t>
      </w:r>
      <w:r w:rsidR="003067A5">
        <w:rPr>
          <w:rFonts w:eastAsia="Times New Roman" w:cstheme="minorHAnsi"/>
          <w:color w:val="000000"/>
        </w:rPr>
        <w:t xml:space="preserve"> and </w:t>
      </w:r>
      <w:r>
        <w:rPr>
          <w:rFonts w:eastAsia="Times New Roman" w:cstheme="minorHAnsi"/>
          <w:color w:val="000000"/>
        </w:rPr>
        <w:t xml:space="preserve">consent forms, </w:t>
      </w:r>
      <w:r w:rsidR="003067A5">
        <w:rPr>
          <w:rFonts w:eastAsia="Times New Roman" w:cstheme="minorHAnsi"/>
          <w:color w:val="000000"/>
        </w:rPr>
        <w:t xml:space="preserve">the plan for </w:t>
      </w:r>
      <w:r>
        <w:rPr>
          <w:rFonts w:eastAsia="Times New Roman" w:cstheme="minorHAnsi"/>
          <w:color w:val="000000"/>
        </w:rPr>
        <w:t xml:space="preserve">scheduling visits, and logistics such as recording, note-taking, and </w:t>
      </w:r>
      <w:r w:rsidR="007A0E06">
        <w:rPr>
          <w:rFonts w:eastAsia="Times New Roman" w:cstheme="minorHAnsi"/>
          <w:color w:val="000000"/>
        </w:rPr>
        <w:t>tokens of appreciation</w:t>
      </w:r>
      <w:r>
        <w:rPr>
          <w:rFonts w:eastAsia="Times New Roman" w:cstheme="minorHAnsi"/>
          <w:color w:val="000000"/>
        </w:rPr>
        <w:t xml:space="preserve">. After the </w:t>
      </w:r>
      <w:r w:rsidR="001F3DF3">
        <w:rPr>
          <w:rFonts w:eastAsia="Times New Roman" w:cstheme="minorHAnsi"/>
          <w:color w:val="000000"/>
        </w:rPr>
        <w:t>visit to the first site</w:t>
      </w:r>
      <w:r>
        <w:rPr>
          <w:rFonts w:eastAsia="Times New Roman" w:cstheme="minorHAnsi"/>
          <w:color w:val="000000"/>
        </w:rPr>
        <w:t xml:space="preserve">, the site visitors will share their experiences and lessons learned </w:t>
      </w:r>
      <w:r w:rsidR="00E97AB6">
        <w:rPr>
          <w:rFonts w:eastAsia="Times New Roman" w:cstheme="minorHAnsi"/>
          <w:color w:val="000000"/>
        </w:rPr>
        <w:t xml:space="preserve">with other </w:t>
      </w:r>
      <w:r w:rsidR="00213AC2">
        <w:rPr>
          <w:rFonts w:eastAsia="Times New Roman" w:cstheme="minorHAnsi"/>
          <w:color w:val="000000"/>
        </w:rPr>
        <w:t>research</w:t>
      </w:r>
      <w:r w:rsidR="00E97AB6">
        <w:rPr>
          <w:rFonts w:eastAsia="Times New Roman" w:cstheme="minorHAnsi"/>
          <w:color w:val="000000"/>
        </w:rPr>
        <w:t xml:space="preserve"> team staff,</w:t>
      </w:r>
      <w:r>
        <w:rPr>
          <w:rFonts w:eastAsia="Times New Roman" w:cstheme="minorHAnsi"/>
          <w:color w:val="000000"/>
        </w:rPr>
        <w:t xml:space="preserve"> which </w:t>
      </w:r>
      <w:r w:rsidR="00E97AB6">
        <w:rPr>
          <w:rFonts w:eastAsia="Times New Roman" w:cstheme="minorHAnsi"/>
          <w:color w:val="000000"/>
        </w:rPr>
        <w:t xml:space="preserve">will </w:t>
      </w:r>
      <w:r>
        <w:rPr>
          <w:rFonts w:eastAsia="Times New Roman" w:cstheme="minorHAnsi"/>
          <w:color w:val="000000"/>
        </w:rPr>
        <w:t>inform the</w:t>
      </w:r>
      <w:r w:rsidR="001F3DF3">
        <w:rPr>
          <w:rFonts w:eastAsia="Times New Roman" w:cstheme="minorHAnsi"/>
          <w:color w:val="000000"/>
        </w:rPr>
        <w:t xml:space="preserve"> visits to the</w:t>
      </w:r>
      <w:r>
        <w:rPr>
          <w:rFonts w:eastAsia="Times New Roman" w:cstheme="minorHAnsi"/>
          <w:color w:val="000000"/>
        </w:rPr>
        <w:t xml:space="preserve"> following two </w:t>
      </w:r>
      <w:r w:rsidR="001F3DF3">
        <w:rPr>
          <w:rFonts w:eastAsia="Times New Roman" w:cstheme="minorHAnsi"/>
          <w:color w:val="000000"/>
        </w:rPr>
        <w:t>sites</w:t>
      </w:r>
      <w:r>
        <w:rPr>
          <w:rFonts w:eastAsia="Times New Roman" w:cstheme="minorHAnsi"/>
          <w:color w:val="000000"/>
        </w:rPr>
        <w:t>.</w:t>
      </w:r>
    </w:p>
    <w:p w:rsidR="00590A93" w:rsidP="00A42C71" w:rsidRDefault="00590A93" w14:paraId="1CB3EEA5" w14:textId="3DD6F879">
      <w:pPr>
        <w:autoSpaceDE w:val="0"/>
        <w:autoSpaceDN w:val="0"/>
        <w:adjustRightInd w:val="0"/>
        <w:spacing w:after="0" w:line="240" w:lineRule="atLeast"/>
        <w:rPr>
          <w:rFonts w:eastAsia="Times New Roman" w:cstheme="minorHAnsi"/>
          <w:color w:val="000000"/>
        </w:rPr>
      </w:pPr>
    </w:p>
    <w:p w:rsidRPr="001A59B6" w:rsidR="00FA4CA2" w:rsidP="00FA4CA2" w:rsidRDefault="00BA5682" w14:paraId="51BD7162" w14:textId="77777777">
      <w:pPr>
        <w:spacing w:after="0" w:line="240" w:lineRule="auto"/>
        <w:rPr>
          <w:rFonts w:cstheme="minorHAnsi"/>
        </w:rPr>
      </w:pPr>
      <w:r>
        <w:rPr>
          <w:rFonts w:eastAsia="Times New Roman" w:cstheme="minorHAnsi"/>
          <w:color w:val="000000"/>
        </w:rPr>
        <w:t xml:space="preserve">The </w:t>
      </w:r>
      <w:r w:rsidR="00213AC2">
        <w:rPr>
          <w:rFonts w:eastAsia="Times New Roman" w:cstheme="minorHAnsi"/>
          <w:color w:val="000000"/>
        </w:rPr>
        <w:t>research</w:t>
      </w:r>
      <w:r>
        <w:rPr>
          <w:rFonts w:eastAsia="Times New Roman" w:cstheme="minorHAnsi"/>
          <w:color w:val="000000"/>
        </w:rPr>
        <w:t xml:space="preserve"> team </w:t>
      </w:r>
      <w:r w:rsidR="00590A93">
        <w:rPr>
          <w:rFonts w:eastAsia="Times New Roman" w:cstheme="minorHAnsi"/>
          <w:color w:val="000000"/>
        </w:rPr>
        <w:t xml:space="preserve">will recruit sites as described above. Once sites are identified, </w:t>
      </w:r>
      <w:r>
        <w:rPr>
          <w:rFonts w:eastAsia="Times New Roman" w:cstheme="minorHAnsi"/>
          <w:color w:val="000000"/>
        </w:rPr>
        <w:t>the team</w:t>
      </w:r>
      <w:r w:rsidR="00590A93">
        <w:rPr>
          <w:rFonts w:eastAsia="Times New Roman" w:cstheme="minorHAnsi"/>
          <w:color w:val="000000"/>
        </w:rPr>
        <w:t xml:space="preserve"> will work with the </w:t>
      </w:r>
      <w:r w:rsidR="00E97AB6">
        <w:rPr>
          <w:rFonts w:eastAsia="Times New Roman" w:cstheme="minorHAnsi"/>
          <w:color w:val="000000"/>
        </w:rPr>
        <w:t xml:space="preserve">point of </w:t>
      </w:r>
      <w:r w:rsidR="00590A93">
        <w:rPr>
          <w:rFonts w:eastAsia="Times New Roman" w:cstheme="minorHAnsi"/>
          <w:color w:val="000000"/>
        </w:rPr>
        <w:t xml:space="preserve">contact at the site to set up interviews with respondents and create a schedule that minimizes burden on the site while meeting study objectives. </w:t>
      </w:r>
      <w:r w:rsidR="00FA4CA2">
        <w:rPr>
          <w:rFonts w:cstheme="minorHAnsi"/>
        </w:rPr>
        <w:t>The research team anticipates that all site visits will occur in person but is also planning for the possibility of conducting virtual visits (e.g., via videoconferencing software), depending on public health constraints at the time of the site visits.</w:t>
      </w:r>
    </w:p>
    <w:p w:rsidRPr="001A59B6" w:rsidR="00590A93" w:rsidP="00A42C71" w:rsidRDefault="00590A93" w14:paraId="7B070D33" w14:textId="6BB3A952">
      <w:pPr>
        <w:autoSpaceDE w:val="0"/>
        <w:autoSpaceDN w:val="0"/>
        <w:adjustRightInd w:val="0"/>
        <w:spacing w:after="0" w:line="240" w:lineRule="atLeast"/>
        <w:rPr>
          <w:rFonts w:eastAsia="Times New Roman" w:cstheme="minorHAnsi"/>
          <w:color w:val="000000"/>
        </w:rPr>
      </w:pP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F20229" w14:paraId="60C5A7FD" w14:textId="5151FA09">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Site Selection</w:t>
      </w:r>
    </w:p>
    <w:p w:rsidR="00A42C71" w:rsidP="00A42C71" w:rsidRDefault="00F20229" w14:paraId="19CA8A2D" w14:textId="7139D37B">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 xml:space="preserve">site visits, including the </w:t>
      </w:r>
      <w:r w:rsidRPr="00C32C8A">
        <w:rPr>
          <w:rFonts w:eastAsia="Times New Roman" w:cstheme="minorHAnsi"/>
          <w:color w:val="000000"/>
        </w:rPr>
        <w:t>interviews</w:t>
      </w:r>
      <w:r>
        <w:rPr>
          <w:rFonts w:eastAsia="Times New Roman" w:cstheme="minorHAnsi"/>
          <w:color w:val="000000"/>
        </w:rPr>
        <w:t xml:space="preserve"> and </w:t>
      </w:r>
      <w:r w:rsidRPr="00C32C8A">
        <w:rPr>
          <w:rFonts w:eastAsia="Times New Roman" w:cstheme="minorHAnsi"/>
          <w:color w:val="000000"/>
        </w:rPr>
        <w:t>focus groups</w:t>
      </w:r>
      <w:r>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r w:rsidR="00982606">
        <w:rPr>
          <w:rFonts w:eastAsia="Times New Roman" w:cstheme="minorHAnsi"/>
          <w:color w:val="000000"/>
        </w:rPr>
        <w:t xml:space="preserve"> </w:t>
      </w:r>
    </w:p>
    <w:p w:rsidR="00B164CD" w:rsidP="00A42C71" w:rsidRDefault="00B164CD" w14:paraId="3F6A1EB6" w14:textId="77777777">
      <w:pPr>
        <w:autoSpaceDE w:val="0"/>
        <w:autoSpaceDN w:val="0"/>
        <w:adjustRightInd w:val="0"/>
        <w:spacing w:after="0" w:line="240" w:lineRule="atLeast"/>
        <w:rPr>
          <w:rFonts w:eastAsia="Times New Roman" w:cstheme="minorHAnsi"/>
          <w:color w:val="000000"/>
        </w:rPr>
      </w:pPr>
    </w:p>
    <w:p w:rsidR="00982606" w:rsidP="00A42C71" w:rsidRDefault="00982606" w14:paraId="2120045E" w14:textId="0CB79B1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burden estimates account for the following possibilities:</w:t>
      </w:r>
    </w:p>
    <w:p w:rsidR="00982606" w:rsidP="00982606" w:rsidRDefault="00982606" w14:paraId="7AC6BF30" w14:textId="21A5CC3D">
      <w:pPr>
        <w:pStyle w:val="ListParagraph"/>
        <w:numPr>
          <w:ilvl w:val="0"/>
          <w:numId w:val="32"/>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research team expects that some programs or respondents may </w:t>
      </w:r>
      <w:r w:rsidR="009943DA">
        <w:rPr>
          <w:rFonts w:eastAsia="Times New Roman" w:cstheme="minorHAnsi"/>
          <w:color w:val="000000"/>
        </w:rPr>
        <w:t>invite</w:t>
      </w:r>
      <w:r>
        <w:rPr>
          <w:rFonts w:eastAsia="Times New Roman" w:cstheme="minorHAnsi"/>
          <w:color w:val="000000"/>
        </w:rPr>
        <w:t xml:space="preserve"> multiple staff members </w:t>
      </w:r>
      <w:r w:rsidR="009943DA">
        <w:rPr>
          <w:rFonts w:eastAsia="Times New Roman" w:cstheme="minorHAnsi"/>
          <w:color w:val="000000"/>
        </w:rPr>
        <w:t>to scheduled interviews</w:t>
      </w:r>
      <w:r>
        <w:rPr>
          <w:rFonts w:eastAsia="Times New Roman" w:cstheme="minorHAnsi"/>
          <w:color w:val="000000"/>
        </w:rPr>
        <w:t xml:space="preserve">. Because the research team does not always know in advance how many respondents will attend and does not want to exclude potentially helpful respondents from the interview collection, </w:t>
      </w:r>
      <w:r w:rsidR="00AF58B1">
        <w:rPr>
          <w:rFonts w:eastAsia="Times New Roman" w:cstheme="minorHAnsi"/>
          <w:color w:val="000000"/>
        </w:rPr>
        <w:t xml:space="preserve">we </w:t>
      </w:r>
      <w:r>
        <w:rPr>
          <w:rFonts w:eastAsia="Times New Roman" w:cstheme="minorHAnsi"/>
          <w:color w:val="000000"/>
        </w:rPr>
        <w:t>prefer to account for the possibility that multiple respondents may attend a single interview.</w:t>
      </w:r>
    </w:p>
    <w:p w:rsidR="00B279A1" w:rsidP="00CA43CF" w:rsidRDefault="00982606" w14:paraId="35ADD8D8" w14:textId="5272FEA8">
      <w:pPr>
        <w:pStyle w:val="ListParagraph"/>
        <w:numPr>
          <w:ilvl w:val="0"/>
          <w:numId w:val="32"/>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To date, the sites for this project have not been selected. Therefore, there is a wide range of </w:t>
      </w:r>
      <w:r w:rsidR="009943DA">
        <w:rPr>
          <w:rFonts w:eastAsia="Times New Roman" w:cstheme="minorHAnsi"/>
          <w:color w:val="000000"/>
        </w:rPr>
        <w:t>possibilities in terms of size an</w:t>
      </w:r>
      <w:r w:rsidR="00B279A1">
        <w:rPr>
          <w:rFonts w:eastAsia="Times New Roman" w:cstheme="minorHAnsi"/>
          <w:color w:val="000000"/>
        </w:rPr>
        <w:t>d the number of</w:t>
      </w:r>
      <w:r w:rsidR="009943DA">
        <w:rPr>
          <w:rFonts w:eastAsia="Times New Roman" w:cstheme="minorHAnsi"/>
          <w:color w:val="000000"/>
        </w:rPr>
        <w:t xml:space="preserve"> staff members that the research team may interview. </w:t>
      </w:r>
    </w:p>
    <w:p w:rsidRPr="008D5A23" w:rsidR="00CA43CF" w:rsidP="008D5A23" w:rsidRDefault="00B279A1" w14:paraId="739462E2" w14:textId="3376672D">
      <w:pPr>
        <w:pStyle w:val="ListParagraph"/>
        <w:numPr>
          <w:ilvl w:val="0"/>
          <w:numId w:val="32"/>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It is possible that the maximum</w:t>
      </w:r>
      <w:r w:rsidRPr="008D5A23" w:rsidR="00CA43CF">
        <w:rPr>
          <w:rFonts w:eastAsia="Times New Roman" w:cstheme="minorHAnsi"/>
          <w:color w:val="000000"/>
        </w:rPr>
        <w:t xml:space="preserve"> number of focus group members in</w:t>
      </w:r>
      <w:r w:rsidRPr="008D5A23">
        <w:rPr>
          <w:rFonts w:eastAsia="Times New Roman" w:cstheme="minorHAnsi"/>
          <w:color w:val="000000"/>
        </w:rPr>
        <w:t xml:space="preserve">vited </w:t>
      </w:r>
      <w:proofErr w:type="gramStart"/>
      <w:r>
        <w:rPr>
          <w:rFonts w:eastAsia="Times New Roman" w:cstheme="minorHAnsi"/>
          <w:color w:val="000000"/>
        </w:rPr>
        <w:t>actually attend</w:t>
      </w:r>
      <w:proofErr w:type="gramEnd"/>
      <w:r>
        <w:rPr>
          <w:rFonts w:eastAsia="Times New Roman" w:cstheme="minorHAnsi"/>
          <w:color w:val="000000"/>
        </w:rPr>
        <w:t xml:space="preserve"> the focus group. The burden estimates include all 10 for each site </w:t>
      </w:r>
      <w:r w:rsidRPr="008D5A23" w:rsidR="00CA43CF">
        <w:rPr>
          <w:rFonts w:eastAsia="Times New Roman" w:cstheme="minorHAnsi"/>
          <w:color w:val="000000"/>
        </w:rPr>
        <w:t>so that the research team will not have to exclude respondents if all invited clients attend.</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1B361F6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6D7D99">
        <w:rPr>
          <w:rFonts w:eastAsia="Times New Roman" w:cstheme="minorHAnsi"/>
          <w:i/>
          <w:color w:val="000000"/>
        </w:rPr>
        <w:t>-</w:t>
      </w:r>
      <w:r w:rsidRPr="001A59B6">
        <w:rPr>
          <w:rFonts w:eastAsia="Times New Roman" w:cstheme="minorHAnsi"/>
          <w:i/>
          <w:color w:val="000000"/>
        </w:rPr>
        <w:t>Response</w:t>
      </w:r>
    </w:p>
    <w:p w:rsidRPr="00955462" w:rsidR="00955462" w:rsidP="00955462" w:rsidRDefault="00F20229" w14:paraId="020AF469" w14:textId="4CF81830">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Pr>
          <w:rFonts w:eastAsia="Times New Roman" w:cstheme="minorHAnsi"/>
          <w:color w:val="000000"/>
        </w:rPr>
        <w:t xml:space="preserve">. </w:t>
      </w:r>
      <w:r w:rsidR="00955462">
        <w:rPr>
          <w:rFonts w:eastAsia="Times New Roman" w:cstheme="minorHAnsi"/>
          <w:color w:val="000000"/>
        </w:rPr>
        <w:t>T</w:t>
      </w:r>
      <w:r w:rsidRPr="00955462" w:rsidR="00955462">
        <w:rPr>
          <w:rFonts w:eastAsia="Times New Roman" w:cstheme="minorHAnsi"/>
          <w:color w:val="000000"/>
        </w:rPr>
        <w:t xml:space="preserve">he research team will seek focus group participants who are interested in participating. </w:t>
      </w:r>
      <w:r w:rsidR="00BA5682">
        <w:rPr>
          <w:rFonts w:eastAsia="Times New Roman" w:cstheme="minorHAnsi"/>
          <w:color w:val="000000"/>
        </w:rPr>
        <w:t xml:space="preserve">The </w:t>
      </w:r>
      <w:r w:rsidR="00213AC2">
        <w:rPr>
          <w:rFonts w:eastAsia="Times New Roman" w:cstheme="minorHAnsi"/>
          <w:color w:val="000000"/>
        </w:rPr>
        <w:t>research</w:t>
      </w:r>
      <w:r w:rsidR="00BA5682">
        <w:rPr>
          <w:rFonts w:eastAsia="Times New Roman" w:cstheme="minorHAnsi"/>
          <w:color w:val="000000"/>
        </w:rPr>
        <w:t xml:space="preserve"> team</w:t>
      </w:r>
      <w:r w:rsidRPr="00955462" w:rsidR="00BA5682">
        <w:rPr>
          <w:rFonts w:eastAsia="Times New Roman" w:cstheme="minorHAnsi"/>
          <w:color w:val="000000"/>
        </w:rPr>
        <w:t xml:space="preserve"> </w:t>
      </w:r>
      <w:r w:rsidRPr="00955462" w:rsidR="00955462">
        <w:rPr>
          <w:rFonts w:eastAsia="Times New Roman" w:cstheme="minorHAnsi"/>
          <w:color w:val="000000"/>
        </w:rPr>
        <w:t xml:space="preserve">will plan to recruit 8-10 </w:t>
      </w:r>
      <w:r w:rsidR="000C6306">
        <w:rPr>
          <w:rFonts w:eastAsia="Times New Roman" w:cstheme="minorHAnsi"/>
          <w:color w:val="000000"/>
        </w:rPr>
        <w:t>focus group participants</w:t>
      </w:r>
      <w:r w:rsidRPr="00955462" w:rsidR="000C6306">
        <w:rPr>
          <w:rFonts w:eastAsia="Times New Roman" w:cstheme="minorHAnsi"/>
          <w:color w:val="000000"/>
        </w:rPr>
        <w:t xml:space="preserve"> </w:t>
      </w:r>
      <w:r w:rsidRPr="00955462" w:rsidR="00955462">
        <w:rPr>
          <w:rFonts w:eastAsia="Times New Roman" w:cstheme="minorHAnsi"/>
          <w:color w:val="000000"/>
        </w:rPr>
        <w:t>per site to yield focus groups of 6-9 individuals</w:t>
      </w:r>
      <w:r w:rsidR="00955462">
        <w:rPr>
          <w:rFonts w:eastAsia="Times New Roman" w:cstheme="minorHAnsi"/>
          <w:color w:val="000000"/>
        </w:rPr>
        <w:t>.</w:t>
      </w:r>
      <w:r w:rsidR="009943DA">
        <w:rPr>
          <w:rFonts w:eastAsia="Times New Roman" w:cstheme="minorHAnsi"/>
          <w:color w:val="000000"/>
        </w:rPr>
        <w:t xml:space="preserve"> </w:t>
      </w:r>
      <w:r w:rsidR="00B279A1">
        <w:rPr>
          <w:rFonts w:eastAsia="Times New Roman" w:cstheme="minorHAnsi"/>
          <w:color w:val="000000"/>
        </w:rPr>
        <w:t>As noted above, the burden estimates account for the possibility that all 10 invitees attend.</w:t>
      </w:r>
    </w:p>
    <w:p w:rsidR="00A42C71" w:rsidP="00A42C71" w:rsidRDefault="00A42C71" w14:paraId="6FCD2496" w14:textId="40719782">
      <w:pPr>
        <w:autoSpaceDE w:val="0"/>
        <w:autoSpaceDN w:val="0"/>
        <w:adjustRightInd w:val="0"/>
        <w:spacing w:after="0" w:line="240" w:lineRule="atLeast"/>
        <w:rPr>
          <w:rFonts w:eastAsia="Times New Roman" w:cstheme="minorHAnsi"/>
          <w:b/>
          <w:bCs/>
          <w:color w:val="000000"/>
        </w:rPr>
      </w:pPr>
    </w:p>
    <w:p w:rsidRPr="001A59B6" w:rsidR="00AF58B1" w:rsidP="00A42C71" w:rsidRDefault="00AF58B1" w14:paraId="60CE2247"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A42C71" w:rsidRDefault="00F20229" w14:paraId="0CA94563" w14:textId="618A7A02">
      <w:pPr>
        <w:spacing w:after="0" w:line="240" w:lineRule="auto"/>
        <w:rPr>
          <w:rFonts w:eastAsia="Times New Roman" w:cstheme="minorHAnsi"/>
        </w:rPr>
      </w:pPr>
      <w:r w:rsidRPr="0084670F">
        <w:t>The data will not be used to generate population estimates, either for internal use or dissemination.</w:t>
      </w:r>
    </w:p>
    <w:p w:rsidR="00A42C71" w:rsidP="00A42C71" w:rsidRDefault="00A42C71" w14:paraId="54D795CB" w14:textId="5F05E5A4">
      <w:pPr>
        <w:spacing w:after="0" w:line="240" w:lineRule="auto"/>
        <w:rPr>
          <w:rFonts w:eastAsia="Times New Roman" w:cstheme="minorHAnsi"/>
        </w:rPr>
      </w:pPr>
    </w:p>
    <w:p w:rsidRPr="001A59B6" w:rsidR="00AF58B1" w:rsidP="00A42C71" w:rsidRDefault="00AF58B1" w14:paraId="0047BB58"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A0E06" w:rsidP="00A42C71" w:rsidRDefault="00626132" w14:paraId="50D70B3F" w14:textId="37A38A8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w:t>
      </w:r>
      <w:r w:rsidR="00213AC2">
        <w:rPr>
          <w:rFonts w:eastAsia="Times New Roman" w:cstheme="minorHAnsi"/>
          <w:bCs/>
          <w:color w:val="000000"/>
        </w:rPr>
        <w:t>research</w:t>
      </w:r>
      <w:r>
        <w:rPr>
          <w:rFonts w:eastAsia="Times New Roman" w:cstheme="minorHAnsi"/>
          <w:bCs/>
          <w:color w:val="000000"/>
        </w:rPr>
        <w:t xml:space="preserve"> team will monitor all data collection. </w:t>
      </w:r>
      <w:r w:rsidR="000C6306">
        <w:rPr>
          <w:rFonts w:eastAsia="Times New Roman" w:cstheme="minorHAnsi"/>
          <w:bCs/>
          <w:color w:val="000000"/>
        </w:rPr>
        <w:t xml:space="preserve">The </w:t>
      </w:r>
      <w:r w:rsidR="00213AC2">
        <w:rPr>
          <w:rFonts w:eastAsia="Times New Roman" w:cstheme="minorHAnsi"/>
          <w:bCs/>
          <w:color w:val="000000"/>
        </w:rPr>
        <w:t>research</w:t>
      </w:r>
      <w:r w:rsidR="000C6306">
        <w:rPr>
          <w:rFonts w:eastAsia="Times New Roman" w:cstheme="minorHAnsi"/>
          <w:bCs/>
          <w:color w:val="000000"/>
        </w:rPr>
        <w:t xml:space="preserve"> team </w:t>
      </w:r>
      <w:r>
        <w:rPr>
          <w:rFonts w:eastAsia="Times New Roman" w:cstheme="minorHAnsi"/>
          <w:bCs/>
          <w:color w:val="000000"/>
        </w:rPr>
        <w:t xml:space="preserve">will take notes onsite and </w:t>
      </w:r>
      <w:r w:rsidR="006D7D99">
        <w:rPr>
          <w:rFonts w:eastAsia="Times New Roman" w:cstheme="minorHAnsi"/>
          <w:bCs/>
          <w:color w:val="000000"/>
        </w:rPr>
        <w:t>prepare</w:t>
      </w:r>
      <w:r>
        <w:rPr>
          <w:rFonts w:eastAsia="Times New Roman" w:cstheme="minorHAnsi"/>
          <w:bCs/>
          <w:color w:val="000000"/>
        </w:rPr>
        <w:t xml:space="preserve"> a site summary following the visit. </w:t>
      </w:r>
      <w:r w:rsidR="00BA5682">
        <w:rPr>
          <w:rFonts w:eastAsia="Times New Roman" w:cstheme="minorHAnsi"/>
          <w:bCs/>
          <w:color w:val="000000"/>
        </w:rPr>
        <w:t xml:space="preserve">The team </w:t>
      </w:r>
      <w:r>
        <w:rPr>
          <w:rFonts w:eastAsia="Times New Roman" w:cstheme="minorHAnsi"/>
          <w:bCs/>
          <w:color w:val="000000"/>
        </w:rPr>
        <w:t>will use the recordings to fill in any gaps and double-check the information.</w:t>
      </w:r>
      <w:r w:rsidR="007A0E06">
        <w:rPr>
          <w:rFonts w:eastAsia="Times New Roman" w:cstheme="minorHAnsi"/>
          <w:bCs/>
          <w:color w:val="000000"/>
        </w:rPr>
        <w:t xml:space="preserve"> The two site visitors will review and compare notes and will follow up with the site to ask any questions that remain. </w:t>
      </w:r>
    </w:p>
    <w:p w:rsidR="007A0E06" w:rsidP="00A42C71" w:rsidRDefault="007A0E06" w14:paraId="31A47CB6"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0C6306" w14:paraId="272B92F2" w14:textId="633DA8A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w:t>
      </w:r>
      <w:r w:rsidR="00213AC2">
        <w:rPr>
          <w:rFonts w:eastAsia="Times New Roman" w:cstheme="minorHAnsi"/>
          <w:bCs/>
          <w:color w:val="000000"/>
        </w:rPr>
        <w:t>research</w:t>
      </w:r>
      <w:r>
        <w:rPr>
          <w:rFonts w:eastAsia="Times New Roman" w:cstheme="minorHAnsi"/>
          <w:bCs/>
          <w:color w:val="000000"/>
        </w:rPr>
        <w:t xml:space="preserve"> team </w:t>
      </w:r>
      <w:r w:rsidR="007A0E06">
        <w:rPr>
          <w:rFonts w:eastAsia="Times New Roman" w:cstheme="minorHAnsi"/>
          <w:bCs/>
          <w:color w:val="000000"/>
        </w:rPr>
        <w:t>will also prepare site briefs for dissemination.</w:t>
      </w:r>
      <w:r w:rsidR="00626132">
        <w:rPr>
          <w:rFonts w:eastAsia="Times New Roman" w:cstheme="minorHAnsi"/>
          <w:bCs/>
          <w:color w:val="000000"/>
        </w:rPr>
        <w:t xml:space="preserve"> Prior to the release of site briefs about each site, </w:t>
      </w:r>
      <w:r>
        <w:rPr>
          <w:rFonts w:eastAsia="Times New Roman" w:cstheme="minorHAnsi"/>
          <w:bCs/>
          <w:color w:val="000000"/>
        </w:rPr>
        <w:t xml:space="preserve">the </w:t>
      </w:r>
      <w:r w:rsidR="00213AC2">
        <w:rPr>
          <w:rFonts w:eastAsia="Times New Roman" w:cstheme="minorHAnsi"/>
          <w:bCs/>
          <w:color w:val="000000"/>
        </w:rPr>
        <w:t xml:space="preserve">research </w:t>
      </w:r>
      <w:r>
        <w:rPr>
          <w:rFonts w:eastAsia="Times New Roman" w:cstheme="minorHAnsi"/>
          <w:bCs/>
          <w:color w:val="000000"/>
        </w:rPr>
        <w:t xml:space="preserve">team </w:t>
      </w:r>
      <w:r w:rsidR="00626132">
        <w:rPr>
          <w:rFonts w:eastAsia="Times New Roman" w:cstheme="minorHAnsi"/>
          <w:bCs/>
          <w:color w:val="000000"/>
        </w:rPr>
        <w:t xml:space="preserve">will share with the site </w:t>
      </w:r>
      <w:r w:rsidR="005D7C8F">
        <w:rPr>
          <w:rFonts w:eastAsia="Times New Roman" w:cstheme="minorHAnsi"/>
          <w:bCs/>
          <w:color w:val="000000"/>
        </w:rPr>
        <w:t xml:space="preserve">for review </w:t>
      </w:r>
      <w:r w:rsidR="00626132">
        <w:rPr>
          <w:rFonts w:eastAsia="Times New Roman" w:cstheme="minorHAnsi"/>
          <w:bCs/>
          <w:color w:val="000000"/>
        </w:rPr>
        <w:t>to confirm all the information included is correct.</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00A42C71" w:rsidP="00697A6C" w:rsidRDefault="00A42C71" w14:paraId="7621D8EE" w14:textId="69953F02">
      <w:pPr>
        <w:autoSpaceDE w:val="0"/>
        <w:autoSpaceDN w:val="0"/>
        <w:adjustRightInd w:val="0"/>
        <w:spacing w:after="60" w:line="240" w:lineRule="atLeast"/>
        <w:rPr>
          <w:rFonts w:eastAsia="Times New Roman" w:cstheme="minorHAnsi"/>
          <w:bCs/>
          <w:color w:val="000000"/>
        </w:rPr>
      </w:pPr>
      <w:r w:rsidRPr="001A59B6">
        <w:rPr>
          <w:rFonts w:eastAsia="Times New Roman" w:cstheme="minorHAnsi"/>
          <w:bCs/>
          <w:i/>
          <w:color w:val="000000"/>
        </w:rPr>
        <w:t>Data Analysis</w:t>
      </w:r>
    </w:p>
    <w:p w:rsidR="00674947" w:rsidP="00A42C71" w:rsidRDefault="00BA5682" w14:paraId="7DB16DB8" w14:textId="5499938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w:t>
      </w:r>
      <w:r w:rsidR="00B164CD">
        <w:rPr>
          <w:rFonts w:eastAsia="Times New Roman" w:cstheme="minorHAnsi"/>
          <w:bCs/>
          <w:color w:val="000000"/>
        </w:rPr>
        <w:t xml:space="preserve">research </w:t>
      </w:r>
      <w:r>
        <w:rPr>
          <w:rFonts w:eastAsia="Times New Roman" w:cstheme="minorHAnsi"/>
          <w:bCs/>
          <w:color w:val="000000"/>
        </w:rPr>
        <w:t>team</w:t>
      </w:r>
      <w:r w:rsidR="00674947">
        <w:rPr>
          <w:rFonts w:eastAsia="Times New Roman" w:cstheme="minorHAnsi"/>
          <w:bCs/>
          <w:color w:val="000000"/>
        </w:rPr>
        <w:t xml:space="preserve"> will </w:t>
      </w:r>
      <w:r w:rsidR="00606656">
        <w:rPr>
          <w:rFonts w:eastAsia="Times New Roman" w:cstheme="minorHAnsi"/>
          <w:bCs/>
          <w:color w:val="000000"/>
        </w:rPr>
        <w:t xml:space="preserve">analyze </w:t>
      </w:r>
      <w:r w:rsidR="00674947">
        <w:rPr>
          <w:rFonts w:eastAsia="Times New Roman" w:cstheme="minorHAnsi"/>
          <w:bCs/>
          <w:color w:val="000000"/>
        </w:rPr>
        <w:t>the interview, focus group, and observation notes</w:t>
      </w:r>
      <w:r w:rsidR="00B164CD">
        <w:rPr>
          <w:rFonts w:eastAsia="Times New Roman" w:cstheme="minorHAnsi"/>
          <w:bCs/>
          <w:color w:val="000000"/>
        </w:rPr>
        <w:t xml:space="preserve">, based on themes </w:t>
      </w:r>
      <w:r w:rsidR="00383C19">
        <w:rPr>
          <w:rFonts w:eastAsia="Times New Roman" w:cstheme="minorHAnsi"/>
          <w:bCs/>
          <w:color w:val="000000"/>
        </w:rPr>
        <w:t xml:space="preserve">that align with the interview protocols and research questions. The </w:t>
      </w:r>
      <w:r w:rsidR="00213AC2">
        <w:rPr>
          <w:rFonts w:eastAsia="Times New Roman" w:cstheme="minorHAnsi"/>
          <w:bCs/>
          <w:color w:val="000000"/>
        </w:rPr>
        <w:t>research</w:t>
      </w:r>
      <w:r w:rsidR="00383C19">
        <w:rPr>
          <w:rFonts w:eastAsia="Times New Roman" w:cstheme="minorHAnsi"/>
          <w:bCs/>
          <w:color w:val="000000"/>
        </w:rPr>
        <w:t xml:space="preserve"> team will analyze how these themes appear across respondents and, as appropriate, sites. The team will also utilize on-site notetaking approaches that will allow them to capture immediate impressions and data, such as field note templates, which will contribute to the data analysis.</w:t>
      </w:r>
      <w:r w:rsidR="00674947">
        <w:rPr>
          <w:rFonts w:eastAsia="Times New Roman" w:cstheme="minorHAnsi"/>
          <w:bCs/>
          <w:color w:val="000000"/>
        </w:rPr>
        <w:t xml:space="preserve"> </w:t>
      </w:r>
      <w:r w:rsidR="008E3F5F">
        <w:rPr>
          <w:rFonts w:eastAsia="Times New Roman" w:cstheme="minorHAnsi"/>
          <w:bCs/>
          <w:color w:val="000000"/>
        </w:rPr>
        <w:t xml:space="preserve">On the site visits, </w:t>
      </w:r>
      <w:r w:rsidR="00213AC2">
        <w:rPr>
          <w:rFonts w:eastAsia="Times New Roman" w:cstheme="minorHAnsi"/>
          <w:bCs/>
          <w:color w:val="000000"/>
        </w:rPr>
        <w:t>the research</w:t>
      </w:r>
      <w:r w:rsidR="00E63D82">
        <w:rPr>
          <w:rFonts w:eastAsia="Times New Roman" w:cstheme="minorHAnsi"/>
          <w:bCs/>
          <w:color w:val="000000"/>
        </w:rPr>
        <w:t xml:space="preserve"> team</w:t>
      </w:r>
      <w:r w:rsidR="008E3F5F">
        <w:rPr>
          <w:rFonts w:eastAsia="Times New Roman" w:cstheme="minorHAnsi"/>
          <w:bCs/>
          <w:color w:val="000000"/>
        </w:rPr>
        <w:t xml:space="preserve"> will also ask for</w:t>
      </w:r>
      <w:r w:rsidR="003067A5">
        <w:rPr>
          <w:rFonts w:eastAsia="Times New Roman" w:cstheme="minorHAnsi"/>
          <w:bCs/>
          <w:color w:val="000000"/>
        </w:rPr>
        <w:t xml:space="preserve"> existing</w:t>
      </w:r>
      <w:r w:rsidR="008E3F5F">
        <w:rPr>
          <w:rFonts w:eastAsia="Times New Roman" w:cstheme="minorHAnsi"/>
          <w:bCs/>
          <w:color w:val="000000"/>
        </w:rPr>
        <w:t xml:space="preserve"> aggregated data on program services and demographics of clients. If available, </w:t>
      </w:r>
      <w:r>
        <w:rPr>
          <w:rFonts w:eastAsia="Times New Roman" w:cstheme="minorHAnsi"/>
          <w:bCs/>
          <w:color w:val="000000"/>
        </w:rPr>
        <w:t xml:space="preserve">the </w:t>
      </w:r>
      <w:r w:rsidR="00213AC2">
        <w:rPr>
          <w:rFonts w:eastAsia="Times New Roman" w:cstheme="minorHAnsi"/>
          <w:bCs/>
          <w:color w:val="000000"/>
        </w:rPr>
        <w:t>research</w:t>
      </w:r>
      <w:r>
        <w:rPr>
          <w:rFonts w:eastAsia="Times New Roman" w:cstheme="minorHAnsi"/>
          <w:bCs/>
          <w:color w:val="000000"/>
        </w:rPr>
        <w:t xml:space="preserve"> team </w:t>
      </w:r>
      <w:r w:rsidR="008E3F5F">
        <w:rPr>
          <w:rFonts w:eastAsia="Times New Roman" w:cstheme="minorHAnsi"/>
          <w:bCs/>
          <w:color w:val="000000"/>
        </w:rPr>
        <w:t xml:space="preserve">will use this information to contextualize the </w:t>
      </w:r>
      <w:r w:rsidR="003067A5">
        <w:rPr>
          <w:rFonts w:eastAsia="Times New Roman" w:cstheme="minorHAnsi"/>
          <w:bCs/>
          <w:color w:val="000000"/>
        </w:rPr>
        <w:t>findings from the primary data analysis. All analyses will be descriptive.</w:t>
      </w:r>
    </w:p>
    <w:p w:rsidRPr="001A59B6" w:rsidR="00674947" w:rsidP="00A42C71" w:rsidRDefault="00674947" w14:paraId="100CE3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0248F9" w14:paraId="0B8C1089" w14:textId="55641746">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study will be pre-registered on the Open Science Framework. </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A42C71" w:rsidRDefault="00590A93" w14:paraId="3569E449" w14:textId="22BDBC9F">
      <w:pPr>
        <w:spacing w:after="0" w:line="240" w:lineRule="auto"/>
        <w:rPr>
          <w:rFonts w:eastAsia="Times New Roman" w:cstheme="minorHAnsi"/>
        </w:rPr>
      </w:pPr>
      <w:r>
        <w:rPr>
          <w:rFonts w:eastAsia="Times New Roman" w:cstheme="minorHAnsi"/>
        </w:rPr>
        <w:t>The data will be described in four publicly facing reports: three site briefs (one for each site visit) and a final report synthesizing all findings</w:t>
      </w:r>
      <w:r w:rsidR="00796371">
        <w:rPr>
          <w:rFonts w:eastAsia="Times New Roman" w:cstheme="minorHAnsi"/>
        </w:rPr>
        <w:t>, including those from the literature review</w:t>
      </w:r>
      <w:r>
        <w:rPr>
          <w:rFonts w:eastAsia="Times New Roman" w:cstheme="minorHAnsi"/>
        </w:rPr>
        <w:t>.</w:t>
      </w:r>
      <w:r w:rsidR="00626132">
        <w:rPr>
          <w:rFonts w:eastAsia="Times New Roman" w:cstheme="minorHAnsi"/>
        </w:rPr>
        <w:t xml:space="preserve"> There are also two </w:t>
      </w:r>
      <w:r w:rsidR="00626132">
        <w:rPr>
          <w:rFonts w:eastAsia="Times New Roman" w:cstheme="minorHAnsi"/>
        </w:rPr>
        <w:lastRenderedPageBreak/>
        <w:t xml:space="preserve">additional dissemination products that are still to be determined. The products will share findings about centralization that will contribute to the field’s understanding </w:t>
      </w:r>
      <w:r w:rsidR="00796371">
        <w:rPr>
          <w:rFonts w:eastAsia="Times New Roman" w:cstheme="minorHAnsi"/>
        </w:rPr>
        <w:t xml:space="preserve">of </w:t>
      </w:r>
      <w:r w:rsidR="00626132">
        <w:rPr>
          <w:rFonts w:eastAsia="Times New Roman" w:cstheme="minorHAnsi"/>
        </w:rPr>
        <w:t xml:space="preserve">the benefits, </w:t>
      </w:r>
      <w:r w:rsidR="000C6306">
        <w:rPr>
          <w:rFonts w:eastAsia="Times New Roman" w:cstheme="minorHAnsi"/>
        </w:rPr>
        <w:t>challenges</w:t>
      </w:r>
      <w:r w:rsidR="00626132">
        <w:rPr>
          <w:rFonts w:eastAsia="Times New Roman" w:cstheme="minorHAnsi"/>
        </w:rPr>
        <w:t xml:space="preserve">, and costs of centralizing services and how staff and clients experienced centralized services. The products will describe </w:t>
      </w:r>
      <w:r w:rsidR="000C6306">
        <w:rPr>
          <w:rFonts w:eastAsia="Times New Roman" w:cstheme="minorHAnsi"/>
        </w:rPr>
        <w:t xml:space="preserve">the </w:t>
      </w:r>
      <w:r w:rsidR="00213AC2">
        <w:rPr>
          <w:rFonts w:eastAsia="Times New Roman" w:cstheme="minorHAnsi"/>
        </w:rPr>
        <w:t>research</w:t>
      </w:r>
      <w:r w:rsidR="000C6306">
        <w:rPr>
          <w:rFonts w:eastAsia="Times New Roman" w:cstheme="minorHAnsi"/>
        </w:rPr>
        <w:t xml:space="preserve"> team’s </w:t>
      </w:r>
      <w:r w:rsidR="00626132">
        <w:rPr>
          <w:rFonts w:eastAsia="Times New Roman" w:cstheme="minorHAnsi"/>
        </w:rPr>
        <w:t>data collection and analysis methods to contextualize the findings.</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3C2867F1">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AC09A2" w:rsidR="00A42C71" w:rsidP="00A42C71" w:rsidRDefault="008D5A23" w14:paraId="0D8125A9" w14:textId="1D9F1A80">
      <w:pPr>
        <w:pStyle w:val="ListParagraph"/>
        <w:spacing w:after="0" w:line="240" w:lineRule="auto"/>
        <w:ind w:left="0"/>
        <w:rPr>
          <w:rFonts w:cstheme="minorHAnsi"/>
          <w:bCs/>
          <w:i/>
          <w:iCs/>
        </w:rPr>
      </w:pPr>
      <w:r>
        <w:rPr>
          <w:rFonts w:cstheme="minorHAnsi"/>
          <w:bCs/>
          <w:i/>
          <w:iCs/>
        </w:rPr>
        <w:t>Co-Principal Investigator</w:t>
      </w:r>
    </w:p>
    <w:p w:rsidR="00A42C71" w:rsidP="00A42C71" w:rsidRDefault="00AC09A2" w14:paraId="2E8E7A92" w14:textId="6F8948B2">
      <w:pPr>
        <w:spacing w:after="0" w:line="240" w:lineRule="auto"/>
        <w:rPr>
          <w:rFonts w:cstheme="minorHAnsi"/>
          <w:bCs/>
        </w:rPr>
      </w:pPr>
      <w:r w:rsidRPr="00AC09A2">
        <w:rPr>
          <w:rFonts w:cstheme="minorHAnsi"/>
          <w:bCs/>
        </w:rPr>
        <w:t>Mary Farrell</w:t>
      </w:r>
    </w:p>
    <w:p w:rsidRPr="00AC09A2" w:rsidR="005635E6" w:rsidP="00A42C71" w:rsidRDefault="00C715F3" w14:paraId="00B6C19D" w14:textId="2720310D">
      <w:pPr>
        <w:spacing w:after="0" w:line="240" w:lineRule="auto"/>
        <w:rPr>
          <w:rFonts w:cstheme="minorHAnsi"/>
          <w:bCs/>
        </w:rPr>
      </w:pPr>
      <w:hyperlink w:history="1" r:id="rId11">
        <w:r w:rsidRPr="000716E0" w:rsidR="00FA799E">
          <w:rPr>
            <w:rStyle w:val="Hyperlink"/>
            <w:rFonts w:cstheme="minorHAnsi"/>
            <w:bCs/>
          </w:rPr>
          <w:t>mary.farrell@mefassociates.com</w:t>
        </w:r>
      </w:hyperlink>
      <w:r w:rsidR="00FA799E">
        <w:rPr>
          <w:rFonts w:cstheme="minorHAnsi"/>
          <w:bCs/>
        </w:rPr>
        <w:t xml:space="preserve"> </w:t>
      </w:r>
    </w:p>
    <w:p w:rsidR="00AC09A2" w:rsidP="00A42C71" w:rsidRDefault="00AC09A2" w14:paraId="444404F2" w14:textId="24D69EE2">
      <w:pPr>
        <w:spacing w:after="0" w:line="240" w:lineRule="auto"/>
        <w:rPr>
          <w:rFonts w:cstheme="minorHAnsi"/>
          <w:b/>
        </w:rPr>
      </w:pPr>
    </w:p>
    <w:p w:rsidRPr="00AC09A2" w:rsidR="008D5A23" w:rsidP="008D5A23" w:rsidRDefault="008D5A23" w14:paraId="3B0660A0" w14:textId="77777777">
      <w:pPr>
        <w:spacing w:after="0" w:line="240" w:lineRule="auto"/>
        <w:rPr>
          <w:rFonts w:cstheme="minorHAnsi"/>
          <w:bCs/>
          <w:i/>
          <w:iCs/>
        </w:rPr>
      </w:pPr>
      <w:r>
        <w:rPr>
          <w:rFonts w:cstheme="minorHAnsi"/>
          <w:bCs/>
          <w:i/>
          <w:iCs/>
        </w:rPr>
        <w:t xml:space="preserve">Project Director and </w:t>
      </w:r>
      <w:r w:rsidRPr="00AC09A2">
        <w:rPr>
          <w:rFonts w:cstheme="minorHAnsi"/>
          <w:bCs/>
          <w:i/>
          <w:iCs/>
        </w:rPr>
        <w:t>Instrument Development Task Lead</w:t>
      </w:r>
    </w:p>
    <w:p w:rsidRPr="00AC09A2" w:rsidR="008D5A23" w:rsidP="008D5A23" w:rsidRDefault="008D5A23" w14:paraId="7EB5B130" w14:textId="77777777">
      <w:pPr>
        <w:spacing w:after="0" w:line="240" w:lineRule="auto"/>
        <w:rPr>
          <w:rFonts w:cstheme="minorHAnsi"/>
          <w:bCs/>
        </w:rPr>
      </w:pPr>
      <w:r>
        <w:rPr>
          <w:rFonts w:cstheme="minorHAnsi"/>
          <w:bCs/>
        </w:rPr>
        <w:t>Kimberly Foley</w:t>
      </w:r>
    </w:p>
    <w:p w:rsidRPr="005635E6" w:rsidR="008D5A23" w:rsidP="008D5A23" w:rsidRDefault="00C715F3" w14:paraId="1B5B8131" w14:textId="77777777">
      <w:pPr>
        <w:spacing w:after="0" w:line="240" w:lineRule="auto"/>
        <w:rPr>
          <w:rFonts w:cstheme="minorHAnsi"/>
          <w:bCs/>
        </w:rPr>
      </w:pPr>
      <w:hyperlink w:history="1" r:id="rId12">
        <w:r w:rsidRPr="000716E0" w:rsidR="008D5A23">
          <w:rPr>
            <w:rStyle w:val="Hyperlink"/>
            <w:rFonts w:cstheme="minorHAnsi"/>
            <w:bCs/>
          </w:rPr>
          <w:t>kimberly.foley@mefassociates.com</w:t>
        </w:r>
      </w:hyperlink>
      <w:r w:rsidR="008D5A23">
        <w:rPr>
          <w:rFonts w:cstheme="minorHAnsi"/>
          <w:bCs/>
        </w:rPr>
        <w:t xml:space="preserve"> </w:t>
      </w:r>
    </w:p>
    <w:p w:rsidR="008D5A23" w:rsidP="00A42C71" w:rsidRDefault="008D5A23" w14:paraId="32E2FFCB" w14:textId="77777777">
      <w:pPr>
        <w:spacing w:after="0" w:line="240" w:lineRule="auto"/>
        <w:rPr>
          <w:rFonts w:cstheme="minorHAnsi"/>
          <w:bCs/>
          <w:i/>
          <w:iCs/>
        </w:rPr>
      </w:pPr>
    </w:p>
    <w:p w:rsidRPr="00AC09A2" w:rsidR="00AC09A2" w:rsidP="00A42C71" w:rsidRDefault="008D5A23" w14:paraId="589A1074" w14:textId="66B0E009">
      <w:pPr>
        <w:spacing w:after="0" w:line="240" w:lineRule="auto"/>
        <w:rPr>
          <w:rFonts w:cstheme="minorHAnsi"/>
          <w:bCs/>
          <w:i/>
          <w:iCs/>
        </w:rPr>
      </w:pPr>
      <w:r>
        <w:rPr>
          <w:rFonts w:cstheme="minorHAnsi"/>
          <w:bCs/>
          <w:i/>
          <w:iCs/>
        </w:rPr>
        <w:t xml:space="preserve">Deputy Project Director and </w:t>
      </w:r>
      <w:r w:rsidRPr="00AC09A2" w:rsidR="00AC09A2">
        <w:rPr>
          <w:rFonts w:cstheme="minorHAnsi"/>
          <w:bCs/>
          <w:i/>
          <w:iCs/>
        </w:rPr>
        <w:t>Site Visit</w:t>
      </w:r>
      <w:r w:rsidR="00AC09A2">
        <w:rPr>
          <w:rFonts w:cstheme="minorHAnsi"/>
          <w:bCs/>
          <w:i/>
          <w:iCs/>
        </w:rPr>
        <w:t xml:space="preserve"> and Analysis</w:t>
      </w:r>
      <w:r w:rsidRPr="00AC09A2" w:rsidR="00AC09A2">
        <w:rPr>
          <w:rFonts w:cstheme="minorHAnsi"/>
          <w:bCs/>
          <w:i/>
          <w:iCs/>
        </w:rPr>
        <w:t xml:space="preserve"> Task Lead</w:t>
      </w:r>
    </w:p>
    <w:p w:rsidR="00AC09A2" w:rsidP="00A42C71" w:rsidRDefault="00AC09A2" w14:paraId="313D87C7" w14:textId="168EE590">
      <w:pPr>
        <w:spacing w:after="0" w:line="240" w:lineRule="auto"/>
        <w:rPr>
          <w:rFonts w:cstheme="minorHAnsi"/>
          <w:bCs/>
        </w:rPr>
      </w:pPr>
      <w:r>
        <w:rPr>
          <w:rFonts w:cstheme="minorHAnsi"/>
          <w:bCs/>
        </w:rPr>
        <w:t xml:space="preserve">Carly Morrison </w:t>
      </w:r>
    </w:p>
    <w:p w:rsidR="00AC09A2" w:rsidP="00A42C71" w:rsidRDefault="00C715F3" w14:paraId="03098D9F" w14:textId="0D8B657E">
      <w:pPr>
        <w:spacing w:after="0" w:line="240" w:lineRule="auto"/>
        <w:rPr>
          <w:rFonts w:cstheme="minorHAnsi"/>
          <w:bCs/>
        </w:rPr>
      </w:pPr>
      <w:hyperlink w:history="1" r:id="rId13">
        <w:r w:rsidRPr="000716E0" w:rsidR="005635E6">
          <w:rPr>
            <w:rStyle w:val="Hyperlink"/>
            <w:rFonts w:cstheme="minorHAnsi"/>
            <w:bCs/>
          </w:rPr>
          <w:t>carly.morrison@mefassociates.com</w:t>
        </w:r>
      </w:hyperlink>
    </w:p>
    <w:p w:rsidRPr="00AC09A2" w:rsidR="005635E6" w:rsidP="00A42C71" w:rsidRDefault="005635E6" w14:paraId="123D7AEF" w14:textId="77777777">
      <w:pPr>
        <w:spacing w:after="0" w:line="240" w:lineRule="auto"/>
        <w:rPr>
          <w:rFonts w:cstheme="minorHAnsi"/>
          <w:bCs/>
        </w:rPr>
      </w:pPr>
    </w:p>
    <w:p w:rsidRPr="001A59B6" w:rsidR="00AC09A2" w:rsidP="00A42C71" w:rsidRDefault="00AC09A2" w14:paraId="37E7BF30"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083227" w:rsidP="00AC09A2" w:rsidRDefault="00B441FF" w14:paraId="1E574BF6" w14:textId="75B1FAB5">
      <w:r>
        <w:t xml:space="preserve">Instrument 1: </w:t>
      </w:r>
      <w:r w:rsidR="0045435D">
        <w:t>Interview Guide for Leadership and Administrative Staff</w:t>
      </w:r>
    </w:p>
    <w:p w:rsidR="0045435D" w:rsidP="00AC09A2" w:rsidRDefault="0045435D" w14:paraId="47EBDFE6" w14:textId="78B48CFF">
      <w:r>
        <w:t>Instrument 2: Interview Guide for Frontline Staff</w:t>
      </w:r>
    </w:p>
    <w:p w:rsidR="0045435D" w:rsidP="00AC09A2" w:rsidRDefault="0045435D" w14:paraId="419216BC" w14:textId="4C0D4904">
      <w:r>
        <w:t>Instrument 3: Interview Guide for Finance Staff</w:t>
      </w:r>
    </w:p>
    <w:p w:rsidR="0045435D" w:rsidP="00AC09A2" w:rsidRDefault="0045435D" w14:paraId="34B702A2" w14:textId="7695A0BD">
      <w:r>
        <w:t>Instrument 4: Interview Guide for IT/Data Staff</w:t>
      </w:r>
    </w:p>
    <w:p w:rsidR="0045435D" w:rsidP="00AC09A2" w:rsidRDefault="0045435D" w14:paraId="654471F6" w14:textId="70F47FBB">
      <w:r>
        <w:t>Instrument 5: Focus Group Guide for Clients</w:t>
      </w:r>
    </w:p>
    <w:p w:rsidR="00F3328E" w:rsidP="00AC09A2" w:rsidRDefault="00256CFA" w14:paraId="41725FD0" w14:textId="6427A705">
      <w:r>
        <w:t>Appendix A</w:t>
      </w:r>
      <w:r w:rsidR="0045435D">
        <w:t xml:space="preserve">: </w:t>
      </w:r>
      <w:r w:rsidR="00F3328E">
        <w:t>Staff Consent</w:t>
      </w:r>
    </w:p>
    <w:p w:rsidR="00F3328E" w:rsidP="00AC09A2" w:rsidRDefault="00F3328E" w14:paraId="3B27BF5C" w14:textId="77777777">
      <w:r>
        <w:t>Appendix B: Client Consent</w:t>
      </w:r>
    </w:p>
    <w:p w:rsidR="00F3328E" w:rsidP="00AC09A2" w:rsidRDefault="00F3328E" w14:paraId="055EC955" w14:textId="77777777">
      <w:r>
        <w:t>Appendix C: Observation Consent</w:t>
      </w:r>
    </w:p>
    <w:p w:rsidR="00592A55" w:rsidP="00AC09A2" w:rsidRDefault="00F3328E" w14:paraId="25184BDF" w14:textId="77777777">
      <w:r>
        <w:t>Appendix D: Observation Guides</w:t>
      </w:r>
      <w:r w:rsidR="0045435D">
        <w:t xml:space="preserve"> </w:t>
      </w:r>
    </w:p>
    <w:p w:rsidR="0045435D" w:rsidP="00AC09A2" w:rsidRDefault="0045435D" w14:paraId="6ED514FA" w14:textId="26A746C8"/>
    <w:p w:rsidRPr="006B53F1" w:rsidR="00606656" w:rsidP="00AC09A2" w:rsidRDefault="00606656" w14:paraId="5E78E537" w14:textId="77777777"/>
    <w:sectPr w:rsidRPr="006B53F1" w:rsidR="00606656"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FAEA" w14:textId="77777777" w:rsidR="00674947" w:rsidRDefault="00674947" w:rsidP="0004063C">
      <w:pPr>
        <w:spacing w:after="0" w:line="240" w:lineRule="auto"/>
      </w:pPr>
      <w:r>
        <w:separator/>
      </w:r>
    </w:p>
  </w:endnote>
  <w:endnote w:type="continuationSeparator" w:id="0">
    <w:p w14:paraId="6D2237B6" w14:textId="77777777" w:rsidR="00674947" w:rsidRDefault="00674947" w:rsidP="0004063C">
      <w:pPr>
        <w:spacing w:after="0" w:line="240" w:lineRule="auto"/>
      </w:pPr>
      <w:r>
        <w:continuationSeparator/>
      </w:r>
    </w:p>
  </w:endnote>
  <w:endnote w:type="continuationNotice" w:id="1">
    <w:p w14:paraId="6C5212A8" w14:textId="77777777" w:rsidR="00C96252" w:rsidRDefault="00C96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811F87E" w:rsidR="00674947" w:rsidRDefault="00674947">
        <w:pPr>
          <w:pStyle w:val="Footer"/>
          <w:jc w:val="right"/>
        </w:pPr>
        <w:r>
          <w:fldChar w:fldCharType="begin"/>
        </w:r>
        <w:r>
          <w:instrText xml:space="preserve"> PAGE   \* MERGEFORMAT </w:instrText>
        </w:r>
        <w:r>
          <w:fldChar w:fldCharType="separate"/>
        </w:r>
        <w:r w:rsidR="00213AC2">
          <w:rPr>
            <w:noProof/>
          </w:rPr>
          <w:t>8</w:t>
        </w:r>
        <w:r>
          <w:rPr>
            <w:noProof/>
          </w:rPr>
          <w:fldChar w:fldCharType="end"/>
        </w:r>
      </w:p>
    </w:sdtContent>
  </w:sdt>
  <w:p w14:paraId="04723F22" w14:textId="77777777" w:rsidR="00674947" w:rsidRDefault="0067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9DEE" w14:textId="77777777" w:rsidR="00674947" w:rsidRDefault="00674947" w:rsidP="0004063C">
      <w:pPr>
        <w:spacing w:after="0" w:line="240" w:lineRule="auto"/>
      </w:pPr>
      <w:r>
        <w:separator/>
      </w:r>
    </w:p>
  </w:footnote>
  <w:footnote w:type="continuationSeparator" w:id="0">
    <w:p w14:paraId="28DC005C" w14:textId="77777777" w:rsidR="00674947" w:rsidRDefault="00674947" w:rsidP="0004063C">
      <w:pPr>
        <w:spacing w:after="0" w:line="240" w:lineRule="auto"/>
      </w:pPr>
      <w:r>
        <w:continuationSeparator/>
      </w:r>
    </w:p>
  </w:footnote>
  <w:footnote w:type="continuationNotice" w:id="1">
    <w:p w14:paraId="64A74191" w14:textId="77777777" w:rsidR="00C96252" w:rsidRDefault="00C96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674947" w:rsidRPr="000D7D44" w:rsidRDefault="00674947"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674947" w:rsidRPr="00390F85" w:rsidRDefault="00674947"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6A16"/>
    <w:multiLevelType w:val="hybridMultilevel"/>
    <w:tmpl w:val="3E244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31610D"/>
    <w:multiLevelType w:val="hybridMultilevel"/>
    <w:tmpl w:val="E47A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27935"/>
    <w:multiLevelType w:val="hybridMultilevel"/>
    <w:tmpl w:val="4C4C92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EB671F"/>
    <w:multiLevelType w:val="hybridMultilevel"/>
    <w:tmpl w:val="A94C5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4"/>
  </w:num>
  <w:num w:numId="6">
    <w:abstractNumId w:val="30"/>
  </w:num>
  <w:num w:numId="7">
    <w:abstractNumId w:val="3"/>
  </w:num>
  <w:num w:numId="8">
    <w:abstractNumId w:val="10"/>
  </w:num>
  <w:num w:numId="9">
    <w:abstractNumId w:val="13"/>
  </w:num>
  <w:num w:numId="10">
    <w:abstractNumId w:val="29"/>
  </w:num>
  <w:num w:numId="11">
    <w:abstractNumId w:val="32"/>
  </w:num>
  <w:num w:numId="12">
    <w:abstractNumId w:val="27"/>
  </w:num>
  <w:num w:numId="13">
    <w:abstractNumId w:val="24"/>
  </w:num>
  <w:num w:numId="14">
    <w:abstractNumId w:val="28"/>
  </w:num>
  <w:num w:numId="15">
    <w:abstractNumId w:val="15"/>
  </w:num>
  <w:num w:numId="16">
    <w:abstractNumId w:val="23"/>
  </w:num>
  <w:num w:numId="17">
    <w:abstractNumId w:val="12"/>
  </w:num>
  <w:num w:numId="18">
    <w:abstractNumId w:val="9"/>
  </w:num>
  <w:num w:numId="19">
    <w:abstractNumId w:val="8"/>
  </w:num>
  <w:num w:numId="20">
    <w:abstractNumId w:val="22"/>
  </w:num>
  <w:num w:numId="21">
    <w:abstractNumId w:val="0"/>
  </w:num>
  <w:num w:numId="22">
    <w:abstractNumId w:val="1"/>
  </w:num>
  <w:num w:numId="23">
    <w:abstractNumId w:val="17"/>
  </w:num>
  <w:num w:numId="24">
    <w:abstractNumId w:val="2"/>
  </w:num>
  <w:num w:numId="25">
    <w:abstractNumId w:val="11"/>
  </w:num>
  <w:num w:numId="26">
    <w:abstractNumId w:val="21"/>
  </w:num>
  <w:num w:numId="27">
    <w:abstractNumId w:val="31"/>
  </w:num>
  <w:num w:numId="28">
    <w:abstractNumId w:val="26"/>
  </w:num>
  <w:num w:numId="29">
    <w:abstractNumId w:val="18"/>
  </w:num>
  <w:num w:numId="30">
    <w:abstractNumId w:val="4"/>
  </w:num>
  <w:num w:numId="31">
    <w:abstractNumId w:val="16"/>
  </w:num>
  <w:num w:numId="32">
    <w:abstractNumId w:val="7"/>
  </w:num>
  <w:num w:numId="3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48F9"/>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B60A9"/>
    <w:rsid w:val="000C3C8C"/>
    <w:rsid w:val="000C6306"/>
    <w:rsid w:val="000D3691"/>
    <w:rsid w:val="000D4E9A"/>
    <w:rsid w:val="000D7D44"/>
    <w:rsid w:val="000E7D39"/>
    <w:rsid w:val="000F1E4A"/>
    <w:rsid w:val="00100D34"/>
    <w:rsid w:val="00103EFD"/>
    <w:rsid w:val="00107D87"/>
    <w:rsid w:val="00121834"/>
    <w:rsid w:val="001253F4"/>
    <w:rsid w:val="001562D2"/>
    <w:rsid w:val="00157482"/>
    <w:rsid w:val="00163065"/>
    <w:rsid w:val="001707D8"/>
    <w:rsid w:val="00196A24"/>
    <w:rsid w:val="001B0594"/>
    <w:rsid w:val="001B0A76"/>
    <w:rsid w:val="001C292D"/>
    <w:rsid w:val="001D1958"/>
    <w:rsid w:val="001D543C"/>
    <w:rsid w:val="001F3DF3"/>
    <w:rsid w:val="001F57F5"/>
    <w:rsid w:val="00202E4D"/>
    <w:rsid w:val="0020401C"/>
    <w:rsid w:val="0020629A"/>
    <w:rsid w:val="00206E11"/>
    <w:rsid w:val="00206FE3"/>
    <w:rsid w:val="00207554"/>
    <w:rsid w:val="00211261"/>
    <w:rsid w:val="00213AC2"/>
    <w:rsid w:val="0023769C"/>
    <w:rsid w:val="002517BB"/>
    <w:rsid w:val="00256CFA"/>
    <w:rsid w:val="00256E24"/>
    <w:rsid w:val="00265491"/>
    <w:rsid w:val="00276CE2"/>
    <w:rsid w:val="00287AF1"/>
    <w:rsid w:val="00295240"/>
    <w:rsid w:val="002A1F5B"/>
    <w:rsid w:val="002A41C6"/>
    <w:rsid w:val="002B785B"/>
    <w:rsid w:val="002D098F"/>
    <w:rsid w:val="002E6CCF"/>
    <w:rsid w:val="002F33D0"/>
    <w:rsid w:val="00300722"/>
    <w:rsid w:val="0030316D"/>
    <w:rsid w:val="003067A5"/>
    <w:rsid w:val="003211EE"/>
    <w:rsid w:val="00373D2F"/>
    <w:rsid w:val="00383C19"/>
    <w:rsid w:val="00390F85"/>
    <w:rsid w:val="003A7774"/>
    <w:rsid w:val="003B78ED"/>
    <w:rsid w:val="003C1453"/>
    <w:rsid w:val="003C7358"/>
    <w:rsid w:val="003D018F"/>
    <w:rsid w:val="003E61F6"/>
    <w:rsid w:val="003F277D"/>
    <w:rsid w:val="00407537"/>
    <w:rsid w:val="004165BD"/>
    <w:rsid w:val="0042220D"/>
    <w:rsid w:val="00430D03"/>
    <w:rsid w:val="0043377A"/>
    <w:rsid w:val="00437489"/>
    <w:rsid w:val="004379B6"/>
    <w:rsid w:val="0044428E"/>
    <w:rsid w:val="00446465"/>
    <w:rsid w:val="0045435D"/>
    <w:rsid w:val="00455AD8"/>
    <w:rsid w:val="00460D54"/>
    <w:rsid w:val="00461D3E"/>
    <w:rsid w:val="00467A21"/>
    <w:rsid w:val="004706CC"/>
    <w:rsid w:val="00497A85"/>
    <w:rsid w:val="004A4AA0"/>
    <w:rsid w:val="004B75AC"/>
    <w:rsid w:val="004C3644"/>
    <w:rsid w:val="004C3CE0"/>
    <w:rsid w:val="004D12DD"/>
    <w:rsid w:val="004D43F8"/>
    <w:rsid w:val="004E5778"/>
    <w:rsid w:val="004E7ED8"/>
    <w:rsid w:val="0050376D"/>
    <w:rsid w:val="0051130D"/>
    <w:rsid w:val="005115DB"/>
    <w:rsid w:val="00511B2D"/>
    <w:rsid w:val="00512C25"/>
    <w:rsid w:val="005302CB"/>
    <w:rsid w:val="00533FDB"/>
    <w:rsid w:val="00543084"/>
    <w:rsid w:val="00551A80"/>
    <w:rsid w:val="0055434C"/>
    <w:rsid w:val="005546A5"/>
    <w:rsid w:val="005635E6"/>
    <w:rsid w:val="00590A93"/>
    <w:rsid w:val="00591283"/>
    <w:rsid w:val="00592A55"/>
    <w:rsid w:val="005A61CE"/>
    <w:rsid w:val="005A7E5A"/>
    <w:rsid w:val="005B1076"/>
    <w:rsid w:val="005B1285"/>
    <w:rsid w:val="005B1410"/>
    <w:rsid w:val="005D4A40"/>
    <w:rsid w:val="005D7C8F"/>
    <w:rsid w:val="005E493B"/>
    <w:rsid w:val="005F2951"/>
    <w:rsid w:val="00606656"/>
    <w:rsid w:val="00611F14"/>
    <w:rsid w:val="00620E6B"/>
    <w:rsid w:val="00624DDC"/>
    <w:rsid w:val="006253B6"/>
    <w:rsid w:val="006257ED"/>
    <w:rsid w:val="00626132"/>
    <w:rsid w:val="0062686E"/>
    <w:rsid w:val="00630B30"/>
    <w:rsid w:val="006416D9"/>
    <w:rsid w:val="00651FF6"/>
    <w:rsid w:val="00655A75"/>
    <w:rsid w:val="00674947"/>
    <w:rsid w:val="0068303E"/>
    <w:rsid w:val="0068383E"/>
    <w:rsid w:val="00697A6C"/>
    <w:rsid w:val="006A4D02"/>
    <w:rsid w:val="006B1BF9"/>
    <w:rsid w:val="006B31DA"/>
    <w:rsid w:val="006B53F1"/>
    <w:rsid w:val="006B6037"/>
    <w:rsid w:val="006B6E12"/>
    <w:rsid w:val="006C0E56"/>
    <w:rsid w:val="006C1A43"/>
    <w:rsid w:val="006D7D99"/>
    <w:rsid w:val="006E4F82"/>
    <w:rsid w:val="00716419"/>
    <w:rsid w:val="00717BDC"/>
    <w:rsid w:val="00723A28"/>
    <w:rsid w:val="007269BE"/>
    <w:rsid w:val="00734E45"/>
    <w:rsid w:val="00736B62"/>
    <w:rsid w:val="00742FB8"/>
    <w:rsid w:val="00751377"/>
    <w:rsid w:val="007521F2"/>
    <w:rsid w:val="00764C85"/>
    <w:rsid w:val="007733D5"/>
    <w:rsid w:val="00793E3E"/>
    <w:rsid w:val="00796371"/>
    <w:rsid w:val="007A0E06"/>
    <w:rsid w:val="007A29C5"/>
    <w:rsid w:val="007C7B4B"/>
    <w:rsid w:val="007E1272"/>
    <w:rsid w:val="007E4EA4"/>
    <w:rsid w:val="007F1CA6"/>
    <w:rsid w:val="00816BF9"/>
    <w:rsid w:val="00823428"/>
    <w:rsid w:val="008369BA"/>
    <w:rsid w:val="00840D32"/>
    <w:rsid w:val="00843933"/>
    <w:rsid w:val="0084670F"/>
    <w:rsid w:val="00864C1F"/>
    <w:rsid w:val="00870FA1"/>
    <w:rsid w:val="00875220"/>
    <w:rsid w:val="008853E3"/>
    <w:rsid w:val="00891CD9"/>
    <w:rsid w:val="008A63FC"/>
    <w:rsid w:val="008D5A23"/>
    <w:rsid w:val="008E0239"/>
    <w:rsid w:val="008E3F5F"/>
    <w:rsid w:val="008E4718"/>
    <w:rsid w:val="008E67BF"/>
    <w:rsid w:val="008F2446"/>
    <w:rsid w:val="00901040"/>
    <w:rsid w:val="00915CC4"/>
    <w:rsid w:val="0091710F"/>
    <w:rsid w:val="00923F25"/>
    <w:rsid w:val="00924A29"/>
    <w:rsid w:val="00955462"/>
    <w:rsid w:val="00960542"/>
    <w:rsid w:val="00960AF0"/>
    <w:rsid w:val="00963503"/>
    <w:rsid w:val="00965DBD"/>
    <w:rsid w:val="00971944"/>
    <w:rsid w:val="009815C6"/>
    <w:rsid w:val="00982606"/>
    <w:rsid w:val="009912A0"/>
    <w:rsid w:val="009943DA"/>
    <w:rsid w:val="00996201"/>
    <w:rsid w:val="009A39E1"/>
    <w:rsid w:val="009A3AD8"/>
    <w:rsid w:val="009A6EE8"/>
    <w:rsid w:val="009B0F58"/>
    <w:rsid w:val="009B654E"/>
    <w:rsid w:val="009C3380"/>
    <w:rsid w:val="009D0C18"/>
    <w:rsid w:val="009E0A7E"/>
    <w:rsid w:val="009E2935"/>
    <w:rsid w:val="009E7E38"/>
    <w:rsid w:val="009F265B"/>
    <w:rsid w:val="009F482C"/>
    <w:rsid w:val="009F68DB"/>
    <w:rsid w:val="00A03E3F"/>
    <w:rsid w:val="00A1108E"/>
    <w:rsid w:val="00A27CD0"/>
    <w:rsid w:val="00A35743"/>
    <w:rsid w:val="00A362B6"/>
    <w:rsid w:val="00A418D0"/>
    <w:rsid w:val="00A42C71"/>
    <w:rsid w:val="00A54161"/>
    <w:rsid w:val="00A60E83"/>
    <w:rsid w:val="00A67DFF"/>
    <w:rsid w:val="00A71475"/>
    <w:rsid w:val="00A714DC"/>
    <w:rsid w:val="00A7179C"/>
    <w:rsid w:val="00A761CB"/>
    <w:rsid w:val="00A85701"/>
    <w:rsid w:val="00AA7506"/>
    <w:rsid w:val="00AC09A2"/>
    <w:rsid w:val="00AD3261"/>
    <w:rsid w:val="00AD4355"/>
    <w:rsid w:val="00AE3F5F"/>
    <w:rsid w:val="00AF58B1"/>
    <w:rsid w:val="00B13DC4"/>
    <w:rsid w:val="00B164CD"/>
    <w:rsid w:val="00B17B7C"/>
    <w:rsid w:val="00B23277"/>
    <w:rsid w:val="00B245AD"/>
    <w:rsid w:val="00B26EDE"/>
    <w:rsid w:val="00B279A1"/>
    <w:rsid w:val="00B4182B"/>
    <w:rsid w:val="00B441FF"/>
    <w:rsid w:val="00B55E54"/>
    <w:rsid w:val="00B56589"/>
    <w:rsid w:val="00B57049"/>
    <w:rsid w:val="00B64A46"/>
    <w:rsid w:val="00B64D05"/>
    <w:rsid w:val="00B671A4"/>
    <w:rsid w:val="00B70460"/>
    <w:rsid w:val="00B72C64"/>
    <w:rsid w:val="00B77EFD"/>
    <w:rsid w:val="00B9441B"/>
    <w:rsid w:val="00B95ADD"/>
    <w:rsid w:val="00BA1594"/>
    <w:rsid w:val="00BA5034"/>
    <w:rsid w:val="00BA5682"/>
    <w:rsid w:val="00BB3746"/>
    <w:rsid w:val="00BB4BF8"/>
    <w:rsid w:val="00BC6FD7"/>
    <w:rsid w:val="00BC7151"/>
    <w:rsid w:val="00BD702B"/>
    <w:rsid w:val="00BD7B78"/>
    <w:rsid w:val="00BE45BC"/>
    <w:rsid w:val="00BE773B"/>
    <w:rsid w:val="00C05352"/>
    <w:rsid w:val="00C17A9E"/>
    <w:rsid w:val="00C32404"/>
    <w:rsid w:val="00C32C8A"/>
    <w:rsid w:val="00C370F4"/>
    <w:rsid w:val="00C43554"/>
    <w:rsid w:val="00C51DBC"/>
    <w:rsid w:val="00C715F3"/>
    <w:rsid w:val="00C73360"/>
    <w:rsid w:val="00C8176F"/>
    <w:rsid w:val="00C86CB2"/>
    <w:rsid w:val="00C91C71"/>
    <w:rsid w:val="00C93D34"/>
    <w:rsid w:val="00C95126"/>
    <w:rsid w:val="00C96252"/>
    <w:rsid w:val="00CA43CF"/>
    <w:rsid w:val="00CA72A5"/>
    <w:rsid w:val="00CC07BF"/>
    <w:rsid w:val="00CC4651"/>
    <w:rsid w:val="00CC6120"/>
    <w:rsid w:val="00CE018E"/>
    <w:rsid w:val="00CE7A4A"/>
    <w:rsid w:val="00CF4DC2"/>
    <w:rsid w:val="00D04C57"/>
    <w:rsid w:val="00D1343F"/>
    <w:rsid w:val="00D13AA8"/>
    <w:rsid w:val="00D14DB2"/>
    <w:rsid w:val="00D239B5"/>
    <w:rsid w:val="00D253CB"/>
    <w:rsid w:val="00D32B72"/>
    <w:rsid w:val="00D4033C"/>
    <w:rsid w:val="00D4486E"/>
    <w:rsid w:val="00D45504"/>
    <w:rsid w:val="00D51793"/>
    <w:rsid w:val="00D533B9"/>
    <w:rsid w:val="00D5346A"/>
    <w:rsid w:val="00D55767"/>
    <w:rsid w:val="00D71BA0"/>
    <w:rsid w:val="00D746FF"/>
    <w:rsid w:val="00D74971"/>
    <w:rsid w:val="00D749DF"/>
    <w:rsid w:val="00D81DE6"/>
    <w:rsid w:val="00D82755"/>
    <w:rsid w:val="00D82E67"/>
    <w:rsid w:val="00D831AC"/>
    <w:rsid w:val="00D87E56"/>
    <w:rsid w:val="00D909E6"/>
    <w:rsid w:val="00D95E35"/>
    <w:rsid w:val="00D97926"/>
    <w:rsid w:val="00DA3557"/>
    <w:rsid w:val="00DA4701"/>
    <w:rsid w:val="00DC5239"/>
    <w:rsid w:val="00DC65F2"/>
    <w:rsid w:val="00DC7876"/>
    <w:rsid w:val="00DC7DD5"/>
    <w:rsid w:val="00DE3ED7"/>
    <w:rsid w:val="00DF1291"/>
    <w:rsid w:val="00DF31D6"/>
    <w:rsid w:val="00E1392C"/>
    <w:rsid w:val="00E22AC6"/>
    <w:rsid w:val="00E24830"/>
    <w:rsid w:val="00E318A6"/>
    <w:rsid w:val="00E32C83"/>
    <w:rsid w:val="00E41C62"/>
    <w:rsid w:val="00E41EE9"/>
    <w:rsid w:val="00E461D4"/>
    <w:rsid w:val="00E62285"/>
    <w:rsid w:val="00E62819"/>
    <w:rsid w:val="00E63D82"/>
    <w:rsid w:val="00E71E25"/>
    <w:rsid w:val="00E9045F"/>
    <w:rsid w:val="00E97AB6"/>
    <w:rsid w:val="00EA0D4F"/>
    <w:rsid w:val="00EA405B"/>
    <w:rsid w:val="00EA7486"/>
    <w:rsid w:val="00EB4C26"/>
    <w:rsid w:val="00EB6134"/>
    <w:rsid w:val="00EC1A6C"/>
    <w:rsid w:val="00EC4A12"/>
    <w:rsid w:val="00ED7509"/>
    <w:rsid w:val="00EE38AF"/>
    <w:rsid w:val="00EF06A4"/>
    <w:rsid w:val="00EF254B"/>
    <w:rsid w:val="00EF4FF2"/>
    <w:rsid w:val="00F071DE"/>
    <w:rsid w:val="00F20229"/>
    <w:rsid w:val="00F26B4B"/>
    <w:rsid w:val="00F3328E"/>
    <w:rsid w:val="00F42246"/>
    <w:rsid w:val="00F66E96"/>
    <w:rsid w:val="00F74630"/>
    <w:rsid w:val="00F9122A"/>
    <w:rsid w:val="00FA4CA2"/>
    <w:rsid w:val="00FA6D2C"/>
    <w:rsid w:val="00FA799E"/>
    <w:rsid w:val="00FB255A"/>
    <w:rsid w:val="00FB5BF6"/>
    <w:rsid w:val="00FC047D"/>
    <w:rsid w:val="00FC194C"/>
    <w:rsid w:val="00FC779A"/>
    <w:rsid w:val="00FD6D27"/>
    <w:rsid w:val="00FF154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5635E6"/>
    <w:rPr>
      <w:color w:val="605E5C"/>
      <w:shd w:val="clear" w:color="auto" w:fill="E1DFDD"/>
    </w:rPr>
  </w:style>
  <w:style w:type="character" w:customStyle="1" w:styleId="Mention1">
    <w:name w:val="Mention1"/>
    <w:basedOn w:val="DefaultParagraphFont"/>
    <w:uiPriority w:val="99"/>
    <w:unhideWhenUsed/>
    <w:rsid w:val="003067A5"/>
    <w:rPr>
      <w:color w:val="2B579A"/>
      <w:shd w:val="clear" w:color="auto" w:fill="E1DFDD"/>
    </w:rPr>
  </w:style>
  <w:style w:type="character" w:styleId="UnresolvedMention">
    <w:name w:val="Unresolved Mention"/>
    <w:basedOn w:val="DefaultParagraphFont"/>
    <w:uiPriority w:val="99"/>
    <w:unhideWhenUsed/>
    <w:rsid w:val="00734E45"/>
    <w:rPr>
      <w:color w:val="605E5C"/>
      <w:shd w:val="clear" w:color="auto" w:fill="E1DFDD"/>
    </w:rPr>
  </w:style>
  <w:style w:type="character" w:styleId="Mention">
    <w:name w:val="Mention"/>
    <w:basedOn w:val="DefaultParagraphFont"/>
    <w:uiPriority w:val="99"/>
    <w:unhideWhenUsed/>
    <w:rsid w:val="007F1C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ly.morrison@mefassociat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mberly.foley@mefassocia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farrell@mefassociat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29F16E79-3580-462E-8D6A-68CB55AEC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94D5B-A9F0-49D7-82CB-03E78E49167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purl.org/dc/dcmitype/"/>
    <ds:schemaRef ds:uri="376dd361-3c7b-48c0-ad91-5dd9648e9fb2"/>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e6d572b8-3416-4300-937c-37b0fc4038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Foley</dc:creator>
  <cp:lastModifiedBy>Carly Morrison</cp:lastModifiedBy>
  <cp:revision>2</cp:revision>
  <dcterms:created xsi:type="dcterms:W3CDTF">2021-10-28T14:10:00Z</dcterms:created>
  <dcterms:modified xsi:type="dcterms:W3CDTF">2021-10-28T14:10:00Z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y fmtid="{D5CDD505-2E9C-101B-9397-08002B2CF9AE}" pid="3" name="Order">
    <vt:r8>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