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50" w:rsidP="00021450" w:rsidRDefault="00021450" w14:paraId="2D0B4B66" w14:textId="2F8FC52E">
      <w:pPr>
        <w:jc w:val="center"/>
        <w:rPr>
          <w:b/>
          <w:color w:val="000000"/>
        </w:rPr>
      </w:pPr>
      <w:r>
        <w:rPr>
          <w:b/>
          <w:color w:val="000000"/>
        </w:rPr>
        <w:t>Request for Nonmaterial/N</w:t>
      </w:r>
      <w:r w:rsidRPr="000C5EF1" w:rsidR="00782E0A">
        <w:rPr>
          <w:b/>
          <w:color w:val="000000"/>
        </w:rPr>
        <w:t xml:space="preserve">on-substantive change  </w:t>
      </w:r>
    </w:p>
    <w:p w:rsidR="000520C5" w:rsidP="000C6D41" w:rsidRDefault="000520C5" w14:paraId="197DE6C0" w14:textId="384FEE09">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rsidR="000C6D41" w:rsidP="000C6D41" w:rsidRDefault="000C6D41" w14:paraId="68EE35B2" w14:textId="2BA5598A">
      <w:pPr>
        <w:jc w:val="center"/>
        <w:rPr>
          <w:b/>
        </w:rPr>
      </w:pPr>
      <w:r>
        <w:rPr>
          <w:b/>
        </w:rPr>
        <w:t>(OMB Control No. 0920-</w:t>
      </w:r>
      <w:r w:rsidR="000520C5">
        <w:rPr>
          <w:b/>
        </w:rPr>
        <w:t>0134</w:t>
      </w:r>
      <w:r w:rsidRPr="00285FD5">
        <w:rPr>
          <w:b/>
        </w:rPr>
        <w:t>)</w:t>
      </w:r>
    </w:p>
    <w:p w:rsidR="00021450" w:rsidP="000520C5" w:rsidRDefault="000C6D41" w14:paraId="2A58DA3B" w14:textId="206807B0">
      <w:pPr>
        <w:jc w:val="center"/>
        <w:rPr>
          <w:rFonts w:eastAsiaTheme="minorEastAsia"/>
          <w:b/>
        </w:rPr>
      </w:pPr>
      <w:r>
        <w:rPr>
          <w:b/>
        </w:rPr>
        <w:t xml:space="preserve">Expires </w:t>
      </w:r>
      <w:r w:rsidRPr="000520C5" w:rsidR="000520C5">
        <w:rPr>
          <w:b/>
        </w:rPr>
        <w:t>03/31/2022</w:t>
      </w:r>
    </w:p>
    <w:p w:rsidR="00021450" w:rsidP="00021450" w:rsidRDefault="00021450" w14:paraId="2DB8D69C" w14:textId="77777777">
      <w:pPr>
        <w:rPr>
          <w:b/>
        </w:rPr>
      </w:pPr>
    </w:p>
    <w:p w:rsidRPr="000C5EF1" w:rsidR="00987051" w:rsidP="00782E0A" w:rsidRDefault="00987051" w14:paraId="6346D96D"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B26536" w:rsidR="00EE53C4" w:rsidP="00EE53C4" w:rsidRDefault="00E33F2F" w14:paraId="14273BB9" w14:textId="5F19E421">
      <w:pPr>
        <w:rPr>
          <w:rFonts w:eastAsia="Calibri"/>
          <w:szCs w:val="22"/>
        </w:rPr>
      </w:pPr>
      <w:r>
        <w:rPr>
          <w:rFonts w:eastAsia="Calibri"/>
          <w:szCs w:val="22"/>
        </w:rPr>
        <w:t xml:space="preserve">Chip </w:t>
      </w:r>
      <w:proofErr w:type="spellStart"/>
      <w:r>
        <w:rPr>
          <w:rFonts w:eastAsia="Calibri"/>
          <w:szCs w:val="22"/>
        </w:rPr>
        <w:t>Daymude</w:t>
      </w:r>
      <w:proofErr w:type="spellEnd"/>
    </w:p>
    <w:p w:rsidRPr="00B26536" w:rsidR="00EE53C4" w:rsidP="00EE53C4" w:rsidRDefault="00EE53C4" w14:paraId="402AE5E0" w14:textId="77777777">
      <w:pPr>
        <w:rPr>
          <w:rFonts w:eastAsia="Calibri"/>
          <w:szCs w:val="22"/>
        </w:rPr>
      </w:pPr>
      <w:r w:rsidRPr="00B26536">
        <w:rPr>
          <w:rFonts w:eastAsia="Calibri"/>
          <w:szCs w:val="22"/>
        </w:rPr>
        <w:t>Office of Policy, Analysis and Strategy</w:t>
      </w:r>
    </w:p>
    <w:p w:rsidRPr="00B26536" w:rsidR="00EE53C4" w:rsidP="00EE53C4" w:rsidRDefault="00EE53C4" w14:paraId="48C188A8" w14:textId="77777777">
      <w:pPr>
        <w:rPr>
          <w:rFonts w:eastAsia="Calibri"/>
          <w:szCs w:val="22"/>
        </w:rPr>
      </w:pPr>
      <w:r w:rsidRPr="00B26536">
        <w:rPr>
          <w:rFonts w:eastAsia="Calibri"/>
          <w:szCs w:val="22"/>
        </w:rPr>
        <w:t>National Center for Emerging and Zoonotic Infectious Diseases (NCEZID)</w:t>
      </w:r>
    </w:p>
    <w:p w:rsidRPr="00B26536" w:rsidR="00EE53C4" w:rsidP="00EE53C4" w:rsidRDefault="00EE53C4" w14:paraId="43A47D68" w14:textId="77777777">
      <w:pPr>
        <w:rPr>
          <w:rFonts w:eastAsia="Calibri"/>
          <w:szCs w:val="22"/>
        </w:rPr>
      </w:pPr>
      <w:r w:rsidRPr="00B26536">
        <w:rPr>
          <w:rFonts w:eastAsia="Calibri"/>
          <w:szCs w:val="22"/>
        </w:rPr>
        <w:t>Centers for Disease Control and Prevention</w:t>
      </w:r>
    </w:p>
    <w:p w:rsidRPr="00B26536" w:rsidR="00EE53C4" w:rsidP="00EE53C4" w:rsidRDefault="00EE53C4" w14:paraId="186BD999" w14:textId="77777777">
      <w:pPr>
        <w:rPr>
          <w:rFonts w:eastAsia="Calibri"/>
          <w:szCs w:val="22"/>
        </w:rPr>
      </w:pPr>
      <w:r w:rsidRPr="00B26536">
        <w:rPr>
          <w:rFonts w:eastAsia="Calibri"/>
          <w:szCs w:val="22"/>
        </w:rPr>
        <w:t>1600 Clifton Road NE, MS H16-5</w:t>
      </w:r>
    </w:p>
    <w:p w:rsidRPr="00B26536" w:rsidR="00EE53C4" w:rsidP="00EE53C4" w:rsidRDefault="00EE53C4" w14:paraId="7C877BC0" w14:textId="77777777">
      <w:pPr>
        <w:rPr>
          <w:rFonts w:eastAsia="Calibri"/>
          <w:szCs w:val="22"/>
        </w:rPr>
      </w:pPr>
      <w:r w:rsidRPr="00B26536">
        <w:rPr>
          <w:rFonts w:eastAsia="Calibri"/>
          <w:szCs w:val="22"/>
        </w:rPr>
        <w:t xml:space="preserve">Atlanta, Georgia 30329-4027 </w:t>
      </w:r>
    </w:p>
    <w:p w:rsidRPr="00B26536" w:rsidR="00EE53C4" w:rsidP="00EE53C4" w:rsidRDefault="00EE53C4" w14:paraId="74A3654A" w14:textId="37B8AB75">
      <w:pPr>
        <w:rPr>
          <w:rFonts w:eastAsia="Calibri"/>
          <w:szCs w:val="22"/>
        </w:rPr>
      </w:pPr>
      <w:r w:rsidRPr="00B26536">
        <w:rPr>
          <w:rFonts w:eastAsia="Calibri"/>
          <w:szCs w:val="22"/>
        </w:rPr>
        <w:t xml:space="preserve">Phone: </w:t>
      </w:r>
      <w:r w:rsidRPr="00E33F2F" w:rsidR="00E33F2F">
        <w:rPr>
          <w:rFonts w:eastAsia="Calibri"/>
          <w:szCs w:val="22"/>
        </w:rPr>
        <w:t>404.718.7103</w:t>
      </w:r>
    </w:p>
    <w:p w:rsidRPr="00C77027" w:rsidR="00EE53C4" w:rsidP="00EE53C4" w:rsidRDefault="00EE53C4" w14:paraId="3B71C17E" w14:textId="75496375">
      <w:pPr>
        <w:rPr>
          <w:b/>
        </w:rPr>
      </w:pPr>
      <w:r w:rsidRPr="00B26536">
        <w:rPr>
          <w:rFonts w:eastAsia="Calibri"/>
          <w:szCs w:val="22"/>
        </w:rPr>
        <w:t xml:space="preserve">Email: </w:t>
      </w:r>
      <w:r w:rsidRPr="00E33F2F" w:rsidR="00E33F2F">
        <w:rPr>
          <w:rFonts w:eastAsia="Calibri"/>
          <w:szCs w:val="22"/>
        </w:rPr>
        <w:t>qkh7@cdc.gov</w:t>
      </w:r>
    </w:p>
    <w:p w:rsidRPr="000C5EF1" w:rsidR="00782E0A" w:rsidP="00FF16CE" w:rsidRDefault="00782E0A" w14:paraId="7D7C2226" w14:textId="4DA37E0B">
      <w:pPr>
        <w:tabs>
          <w:tab w:val="center" w:pos="4680"/>
        </w:tabs>
        <w:autoSpaceDE w:val="0"/>
        <w:autoSpaceDN w:val="0"/>
        <w:adjustRightInd w:val="0"/>
        <w:rPr>
          <w:b/>
          <w:bCs/>
          <w:noProof/>
        </w:rPr>
      </w:pP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7AE8F36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92435E">
        <w:fldChar w:fldCharType="begin"/>
      </w:r>
      <w:r w:rsidR="0092435E">
        <w:instrText xml:space="preserve"> DATE \@ "M/d/yyyy" </w:instrText>
      </w:r>
      <w:r w:rsidR="0092435E">
        <w:fldChar w:fldCharType="separate"/>
      </w:r>
      <w:r w:rsidR="006F4D79">
        <w:rPr>
          <w:noProof/>
        </w:rPr>
        <w:t>7/21/2020</w:t>
      </w:r>
      <w:r w:rsidR="0092435E">
        <w:fldChar w:fldCharType="end"/>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00D558B5" w:rsidP="00782E0A" w:rsidRDefault="00D558B5" w14:paraId="4E685064" w14:textId="77777777">
      <w:pPr>
        <w:autoSpaceDE w:val="0"/>
        <w:autoSpaceDN w:val="0"/>
        <w:adjustRightInd w:val="0"/>
        <w:rPr>
          <w:b/>
          <w:color w:val="000000"/>
          <w:u w:val="single"/>
        </w:rPr>
      </w:pPr>
    </w:p>
    <w:p w:rsidR="00D558B5" w:rsidP="00782E0A" w:rsidRDefault="00D558B5" w14:paraId="0A140C8F" w14:textId="77777777">
      <w:pPr>
        <w:autoSpaceDE w:val="0"/>
        <w:autoSpaceDN w:val="0"/>
        <w:adjustRightInd w:val="0"/>
        <w:rPr>
          <w:b/>
          <w:color w:val="000000"/>
          <w:u w:val="single"/>
        </w:rPr>
      </w:pPr>
    </w:p>
    <w:p w:rsidR="000520C5" w:rsidP="00782E0A" w:rsidRDefault="000520C5" w14:paraId="09024F19" w14:textId="77777777">
      <w:pPr>
        <w:autoSpaceDE w:val="0"/>
        <w:autoSpaceDN w:val="0"/>
        <w:adjustRightInd w:val="0"/>
        <w:rPr>
          <w:b/>
          <w:color w:val="000000"/>
          <w:u w:val="single"/>
        </w:rPr>
      </w:pPr>
    </w:p>
    <w:p w:rsidRPr="000C5EF1" w:rsidR="00782E0A" w:rsidP="00782E0A" w:rsidRDefault="00782E0A" w14:paraId="3B6EF1E2" w14:textId="37EA756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rsidRPr="000C5EF1" w:rsidR="00782E0A" w:rsidRDefault="00782E0A" w14:paraId="2A42307D" w14:textId="77777777"/>
    <w:p w:rsidR="00177C07" w:rsidP="00177C07" w:rsidRDefault="00396256" w14:paraId="682C2EF4" w14:textId="36BAB163">
      <w:r>
        <w:t xml:space="preserve">The Centers for Disease Control and Prevention (CDC), Division of Global Migration and Quarantine (DGMQ) requests a </w:t>
      </w:r>
      <w:r w:rsidRPr="000C5EF1" w:rsidR="003F17AA">
        <w:rPr>
          <w:bCs/>
        </w:rPr>
        <w:t>nonmaterial/non-substantive</w:t>
      </w:r>
      <w:r>
        <w:t xml:space="preserve"> </w:t>
      </w:r>
      <w:r w:rsidR="00A57113">
        <w:t xml:space="preserve">change </w:t>
      </w:r>
      <w:r>
        <w:t>of the currently approved Information Collection Request:</w:t>
      </w:r>
      <w:r w:rsidR="000520C5">
        <w:t xml:space="preserve"> Foreign Quarantine Regulations (42 CFR 71)</w:t>
      </w:r>
      <w:r w:rsidR="00271A42">
        <w:t>, OMB Control No. 0920-0134, expiration date: 05/31/2022</w:t>
      </w:r>
      <w:r w:rsidR="00177C07">
        <w:t>.</w:t>
      </w:r>
    </w:p>
    <w:p w:rsidR="00E13784" w:rsidP="00E13784" w:rsidRDefault="00E13784" w14:paraId="6CD40C77" w14:textId="77777777">
      <w:pPr>
        <w:rPr>
          <w:u w:val="single"/>
        </w:rPr>
      </w:pPr>
    </w:p>
    <w:p w:rsidR="008D6FF4" w:rsidP="00ED7972" w:rsidRDefault="004C1DA3" w14:paraId="4C294D10" w14:textId="24131558">
      <w:r>
        <w:t xml:space="preserve">CDC </w:t>
      </w:r>
      <w:r w:rsidR="00C31616">
        <w:t>continues to manage</w:t>
      </w:r>
      <w:r>
        <w:t xml:space="preserve"> s</w:t>
      </w:r>
      <w:r w:rsidR="00C31616">
        <w:t xml:space="preserve">everal outbreaks of COVID-like illness among cruise ship crew. </w:t>
      </w:r>
      <w:r>
        <w:t xml:space="preserve"> </w:t>
      </w:r>
      <w:r w:rsidR="002103F9">
        <w:t xml:space="preserve">CDC </w:t>
      </w:r>
      <w:r w:rsidR="00C31616">
        <w:t>is requesting approval for a set of changes to the electronic reporting tool,</w:t>
      </w:r>
      <w:r w:rsidR="002103F9">
        <w:t xml:space="preserve"> the “</w:t>
      </w:r>
      <w:r w:rsidRPr="00455E9A" w:rsidR="002103F9">
        <w:t>Enhanced Data Collection During COVID-19 Pandemic</w:t>
      </w:r>
      <w:r w:rsidR="002103F9">
        <w:t xml:space="preserve">” </w:t>
      </w:r>
      <w:proofErr w:type="spellStart"/>
      <w:r w:rsidR="00C31616">
        <w:t>REDCap</w:t>
      </w:r>
      <w:proofErr w:type="spellEnd"/>
      <w:r w:rsidR="00C31616">
        <w:t xml:space="preserve"> </w:t>
      </w:r>
      <w:r w:rsidR="002103F9">
        <w:t>form</w:t>
      </w:r>
      <w:r w:rsidR="00306EC2">
        <w:t xml:space="preserve"> (Attachment A</w:t>
      </w:r>
      <w:r w:rsidR="006F4D79">
        <w:t>1(changes</w:t>
      </w:r>
      <w:r w:rsidR="00306EC2">
        <w:t>)</w:t>
      </w:r>
      <w:r w:rsidR="00FF212E">
        <w:t>,</w:t>
      </w:r>
      <w:bookmarkStart w:name="_GoBack" w:id="0"/>
      <w:bookmarkEnd w:id="0"/>
      <w:r w:rsidR="006F4D79">
        <w:t xml:space="preserve"> Attachment A2 (</w:t>
      </w:r>
      <w:proofErr w:type="spellStart"/>
      <w:r w:rsidR="006F4D79">
        <w:t>REDCap</w:t>
      </w:r>
      <w:proofErr w:type="spellEnd"/>
      <w:r w:rsidR="006F4D79">
        <w:t xml:space="preserve"> screenshot)</w:t>
      </w:r>
      <w:r w:rsidR="00C31616">
        <w:t xml:space="preserve">, </w:t>
      </w:r>
      <w:r w:rsidR="002103F9">
        <w:t>to facilitate collection of the data from cruise ships</w:t>
      </w:r>
      <w:r w:rsidR="00D74ECA">
        <w:t xml:space="preserve"> under the </w:t>
      </w:r>
      <w:r w:rsidR="00C31616">
        <w:t>extended</w:t>
      </w:r>
      <w:r w:rsidR="00D74ECA">
        <w:t xml:space="preserve"> No Sail Order of </w:t>
      </w:r>
      <w:r w:rsidR="00C31616">
        <w:t>July 16, 2020.  This method remains the</w:t>
      </w:r>
      <w:r w:rsidR="002103F9">
        <w:t xml:space="preserve"> most efficient </w:t>
      </w:r>
      <w:r w:rsidR="00C31616">
        <w:t>mechanism for collecting information and</w:t>
      </w:r>
      <w:r w:rsidR="002103F9">
        <w:t xml:space="preserve"> allows for faster analysis</w:t>
      </w:r>
      <w:r w:rsidR="00DE4758">
        <w:t xml:space="preserve"> in a secure environment</w:t>
      </w:r>
      <w:r w:rsidR="00C31616">
        <w:t xml:space="preserve"> ( </w:t>
      </w:r>
      <w:hyperlink w:history="1" r:id="rId7">
        <w:r w:rsidRPr="00550416" w:rsidR="00306EC2">
          <w:rPr>
            <w:rStyle w:val="Hyperlink"/>
          </w:rPr>
          <w:t>https://www.project-redcap.org/</w:t>
        </w:r>
      </w:hyperlink>
      <w:r w:rsidR="002103F9">
        <w:t>)</w:t>
      </w:r>
      <w:r w:rsidR="00C31616">
        <w:t>.</w:t>
      </w:r>
    </w:p>
    <w:p w:rsidR="00DE7FBE" w:rsidP="00ED7972" w:rsidRDefault="00DE7FBE" w14:paraId="4DF03C03" w14:textId="77777777"/>
    <w:p w:rsidRPr="00C31616" w:rsidR="00103C6C" w:rsidP="00E13784" w:rsidRDefault="00C31616" w14:paraId="3901DD2E" w14:textId="0C417B2F">
      <w:r>
        <w:t xml:space="preserve">CDC is requesting approval for the following changes.  These changes are informed by CDC experience with respiratory illness reporting from cruise ships over the last several months, and have benefitted from industry and subject matter expert input. </w:t>
      </w:r>
      <w:r w:rsidR="00EC04CD">
        <w:t>CDC does not anticipate that these changes result in additional reporting burden.</w:t>
      </w:r>
    </w:p>
    <w:p w:rsidRPr="00F64EB0" w:rsidR="00E13784" w:rsidP="00E13784" w:rsidRDefault="00E13784" w14:paraId="690E49B7" w14:textId="3F16C16D">
      <w:pPr>
        <w:rPr>
          <w:u w:val="single"/>
        </w:rPr>
      </w:pPr>
      <w:r w:rsidRPr="00F64EB0">
        <w:rPr>
          <w:u w:val="single"/>
        </w:rPr>
        <w:t>Description of the changes</w:t>
      </w:r>
    </w:p>
    <w:p w:rsidR="00E13784" w:rsidP="00E13784" w:rsidRDefault="00E13784" w14:paraId="642EDC2D" w14:textId="32080B88">
      <w:pPr>
        <w:rPr>
          <w:color w:val="1F497D"/>
          <w:sz w:val="22"/>
          <w:szCs w:val="22"/>
        </w:rPr>
      </w:pPr>
    </w:p>
    <w:p w:rsidRPr="00C31616" w:rsidR="001E658A" w:rsidP="001E658A" w:rsidRDefault="001E658A" w14:paraId="3EE7F886" w14:textId="060F7D44">
      <w:pPr>
        <w:ind w:left="1440" w:hanging="1440"/>
      </w:pPr>
      <w:r w:rsidRPr="00C31616">
        <w:t>Change #1:</w:t>
      </w:r>
      <w:r w:rsidRPr="00C31616">
        <w:tab/>
        <w:t>Expanded definition for the definition of acute respiratory illness (ARI) to include “</w:t>
      </w:r>
      <w:r w:rsidRPr="00C31616">
        <w:rPr>
          <w:i/>
          <w:iCs/>
        </w:rPr>
        <w:t>and</w:t>
      </w:r>
      <w:r w:rsidRPr="00C31616">
        <w:t xml:space="preserve"> in the absence of a non-infectious diagnosis as determined by the ship’s medical provider (e.g., allergies))”</w:t>
      </w:r>
    </w:p>
    <w:p w:rsidRPr="00C31616" w:rsidR="001E658A" w:rsidP="001E658A" w:rsidRDefault="001E658A" w14:paraId="499A1FF3" w14:textId="1B453E32">
      <w:pPr>
        <w:ind w:left="1440" w:hanging="1440"/>
      </w:pPr>
      <w:r w:rsidRPr="00C31616">
        <w:t xml:space="preserve">Justification:  </w:t>
      </w:r>
      <w:r w:rsidRPr="00C31616">
        <w:tab/>
        <w:t>Clarification in response to ship clinician complaints that the previous definition could apply to non-infectious conditions</w:t>
      </w:r>
    </w:p>
    <w:p w:rsidRPr="00C31616" w:rsidR="001E658A" w:rsidP="00E13784" w:rsidRDefault="001E658A" w14:paraId="5D352E75" w14:textId="699BBB6E">
      <w:pPr>
        <w:rPr>
          <w:color w:val="1F497D"/>
        </w:rPr>
      </w:pPr>
    </w:p>
    <w:p w:rsidRPr="00C31616" w:rsidR="001E658A" w:rsidP="001E658A" w:rsidRDefault="001E658A" w14:paraId="3989B55A" w14:textId="7B23BA0C">
      <w:r w:rsidRPr="00C31616">
        <w:t>Change #2:</w:t>
      </w:r>
      <w:r w:rsidRPr="00C31616">
        <w:tab/>
      </w:r>
      <w:r w:rsidRPr="00C31616">
        <w:tab/>
        <w:t>Additional reporting requirement</w:t>
      </w:r>
      <w:r w:rsidRPr="00C31616" w:rsidR="008C456F">
        <w:t>/</w:t>
      </w:r>
      <w:r w:rsidRPr="00C31616">
        <w:t xml:space="preserve">surrogate marker for COVID-19-like illness </w:t>
      </w:r>
    </w:p>
    <w:p w:rsidRPr="00C31616" w:rsidR="001E658A" w:rsidP="008C456F" w:rsidRDefault="001E658A" w14:paraId="72FF0B65" w14:textId="1BAB165D">
      <w:pPr>
        <w:ind w:left="1440" w:hanging="1440"/>
      </w:pPr>
      <w:r w:rsidRPr="00C31616">
        <w:t>Justification</w:t>
      </w:r>
      <w:r w:rsidRPr="00C31616" w:rsidR="008C456F">
        <w:t>:</w:t>
      </w:r>
      <w:r w:rsidRPr="00C31616" w:rsidR="008C456F">
        <w:tab/>
        <w:t xml:space="preserve">The expanded reporting requirement is based on that latest epidemiologic evidence of the clinical manifestations of COVID-19 that has emerged in the scientific literature since the inception of EDC reporting. The additional symptoms/signs align with </w:t>
      </w:r>
      <w:hyperlink w:history="1" r:id="rId8">
        <w:r w:rsidRPr="00C31616" w:rsidR="008C456F">
          <w:rPr>
            <w:rStyle w:val="Hyperlink"/>
          </w:rPr>
          <w:t>CDC guidance</w:t>
        </w:r>
      </w:hyperlink>
      <w:r w:rsidRPr="00C31616" w:rsidR="008C456F">
        <w:rPr>
          <w:color w:val="0066FF"/>
        </w:rPr>
        <w:t xml:space="preserve"> </w:t>
      </w:r>
      <w:r w:rsidRPr="00C31616" w:rsidR="008C456F">
        <w:t xml:space="preserve">and </w:t>
      </w:r>
      <w:hyperlink w:history="1" r:id="rId9">
        <w:r w:rsidRPr="00C31616" w:rsidR="008C456F">
          <w:rPr>
            <w:rStyle w:val="Hyperlink"/>
          </w:rPr>
          <w:t>CSTE clinical definitions for COVID-19</w:t>
        </w:r>
      </w:hyperlink>
      <w:r w:rsidRPr="00C31616" w:rsidR="008C456F">
        <w:t>.</w:t>
      </w:r>
    </w:p>
    <w:p w:rsidRPr="00C31616" w:rsidR="001E658A" w:rsidP="00E13784" w:rsidRDefault="001E658A" w14:paraId="167249E6" w14:textId="77777777"/>
    <w:p w:rsidRPr="00C31616" w:rsidR="001E658A" w:rsidP="00E13784" w:rsidRDefault="008C456F" w14:paraId="3C4F8F2A" w14:textId="2E3BA1BD">
      <w:r w:rsidRPr="00C31616">
        <w:t xml:space="preserve">Change #3: </w:t>
      </w:r>
      <w:r w:rsidRPr="00C31616">
        <w:tab/>
      </w:r>
      <w:r w:rsidRPr="00C31616" w:rsidR="006E3BD6">
        <w:t>Additional lab reporting option</w:t>
      </w:r>
      <w:r w:rsidRPr="00C31616" w:rsidR="001557FA">
        <w:t xml:space="preserve"> of rapid antigen test for detecting SARS-CoV-2 </w:t>
      </w:r>
    </w:p>
    <w:p w:rsidRPr="00C31616" w:rsidR="008C456F" w:rsidP="00E42FAB" w:rsidRDefault="008C456F" w14:paraId="59B697F5" w14:textId="629D4CF2">
      <w:pPr>
        <w:ind w:left="1440" w:hanging="1440"/>
      </w:pPr>
      <w:r w:rsidRPr="00C31616">
        <w:t>Justification:</w:t>
      </w:r>
      <w:r w:rsidRPr="00C31616">
        <w:tab/>
      </w:r>
      <w:r w:rsidRPr="00C31616" w:rsidR="001557FA">
        <w:t>This rapid antigen is n</w:t>
      </w:r>
      <w:r w:rsidRPr="00C31616">
        <w:t xml:space="preserve">ow </w:t>
      </w:r>
      <w:r w:rsidRPr="00C31616" w:rsidR="001557FA">
        <w:t xml:space="preserve">commercially </w:t>
      </w:r>
      <w:r w:rsidRPr="00C31616">
        <w:t xml:space="preserve">available and </w:t>
      </w:r>
      <w:hyperlink w:history="1" r:id="rId10">
        <w:r w:rsidRPr="00C31616">
          <w:rPr>
            <w:rStyle w:val="Hyperlink"/>
          </w:rPr>
          <w:t>recommended by CDC</w:t>
        </w:r>
      </w:hyperlink>
      <w:r w:rsidR="00E42FAB">
        <w:rPr>
          <w:rStyle w:val="Hyperlink"/>
        </w:rPr>
        <w:t>.</w:t>
      </w:r>
      <w:r w:rsidR="005214BD">
        <w:rPr>
          <w:rStyle w:val="Hyperlink"/>
        </w:rPr>
        <w:t xml:space="preserve">  </w:t>
      </w:r>
      <w:r w:rsidR="005214BD">
        <w:t xml:space="preserve">  FDA authorized P</w:t>
      </w:r>
      <w:r w:rsidR="00E42FAB">
        <w:t>CR tests have become more common</w:t>
      </w:r>
      <w:r w:rsidR="004F0982">
        <w:t xml:space="preserve"> and standardized, so</w:t>
      </w:r>
      <w:r w:rsidR="00E42FAB">
        <w:t xml:space="preserve"> CDC no longer needs </w:t>
      </w:r>
      <w:r w:rsidR="004F0982">
        <w:t>burden the cruise lines by providing the m</w:t>
      </w:r>
      <w:r w:rsidR="005214BD">
        <w:t>anufacturer of the test</w:t>
      </w:r>
      <w:r w:rsidR="00E42FAB">
        <w:t xml:space="preserve">. However, non-molecular tests, such as antigen or serology, are still either new or with enough non-FDA authorized versions </w:t>
      </w:r>
      <w:r w:rsidR="004F0982">
        <w:t xml:space="preserve">in use </w:t>
      </w:r>
      <w:r w:rsidR="00E42FAB">
        <w:t>that CDC needs this information to ensure the quality of the data being provided.</w:t>
      </w:r>
    </w:p>
    <w:p w:rsidRPr="00C31616" w:rsidR="008C456F" w:rsidP="00E13784" w:rsidRDefault="008C456F" w14:paraId="73EC858E" w14:textId="53CC7E43"/>
    <w:p w:rsidRPr="00C31616" w:rsidR="00F809DB" w:rsidP="001557FA" w:rsidRDefault="00F809DB" w14:paraId="4A47D053" w14:textId="7B74E395">
      <w:pPr>
        <w:ind w:left="1440" w:hanging="1440"/>
      </w:pPr>
      <w:r w:rsidRPr="00C31616">
        <w:t xml:space="preserve">Change #4: </w:t>
      </w:r>
      <w:r w:rsidRPr="00C31616">
        <w:tab/>
      </w:r>
      <w:r w:rsidRPr="00C31616" w:rsidR="001557FA">
        <w:t xml:space="preserve">Expanded options to account for when </w:t>
      </w:r>
      <w:r w:rsidRPr="00C31616">
        <w:t>PCR test</w:t>
      </w:r>
      <w:r w:rsidRPr="00C31616" w:rsidR="001557FA">
        <w:t xml:space="preserve"> results are</w:t>
      </w:r>
      <w:r w:rsidRPr="00C31616">
        <w:t xml:space="preserve"> pending </w:t>
      </w:r>
      <w:r w:rsidRPr="00C31616" w:rsidR="00893D90">
        <w:t>and for</w:t>
      </w:r>
      <w:r w:rsidRPr="00C31616" w:rsidR="001557FA">
        <w:t xml:space="preserve"> providing the PCR results </w:t>
      </w:r>
      <w:r w:rsidRPr="00C31616" w:rsidR="00893D90">
        <w:t>in relation to</w:t>
      </w:r>
      <w:r w:rsidRPr="00C31616" w:rsidR="001557FA">
        <w:t xml:space="preserve"> a</w:t>
      </w:r>
      <w:r w:rsidRPr="00C31616">
        <w:t xml:space="preserve"> previous</w:t>
      </w:r>
      <w:r w:rsidRPr="00C31616" w:rsidR="001557FA">
        <w:t xml:space="preserve"> EDC-reporting week</w:t>
      </w:r>
    </w:p>
    <w:p w:rsidRPr="00C31616" w:rsidR="00F809DB" w:rsidP="00893D90" w:rsidRDefault="00F809DB" w14:paraId="400FD472" w14:textId="629FB225">
      <w:pPr>
        <w:ind w:left="1440" w:hanging="1440"/>
      </w:pPr>
      <w:r w:rsidRPr="00C31616">
        <w:t>Justification:</w:t>
      </w:r>
      <w:r w:rsidRPr="00C31616">
        <w:tab/>
      </w:r>
      <w:r w:rsidRPr="00C31616" w:rsidR="001557FA">
        <w:t>Added at the request of ship clinicians based on experience</w:t>
      </w:r>
      <w:r w:rsidRPr="00C31616" w:rsidR="00893D90">
        <w:t>d inability to enter into EDC-reporting system as currently available</w:t>
      </w:r>
    </w:p>
    <w:p w:rsidRPr="00C31616" w:rsidR="00F809DB" w:rsidP="008C456F" w:rsidRDefault="00F809DB" w14:paraId="105E9F66" w14:textId="77777777"/>
    <w:p w:rsidRPr="00C31616" w:rsidR="008C456F" w:rsidP="00893D90" w:rsidRDefault="008C456F" w14:paraId="22F8D131" w14:textId="1BD25846">
      <w:pPr>
        <w:ind w:left="1440" w:hanging="1440"/>
      </w:pPr>
      <w:r w:rsidRPr="00C31616">
        <w:lastRenderedPageBreak/>
        <w:t>Change #</w:t>
      </w:r>
      <w:r w:rsidRPr="00C31616" w:rsidR="00F809DB">
        <w:t>5</w:t>
      </w:r>
      <w:r w:rsidRPr="00C31616">
        <w:t xml:space="preserve">: </w:t>
      </w:r>
      <w:r w:rsidRPr="00C31616" w:rsidR="00F809DB">
        <w:tab/>
        <w:t>Shore-side authority PCR vs. antigen testing (</w:t>
      </w:r>
      <w:r w:rsidRPr="00C31616" w:rsidR="00893D90">
        <w:t>with explanations on timing of tests in relation to CDC reporting as cruise-associated cases</w:t>
      </w:r>
      <w:r w:rsidRPr="00C31616" w:rsidR="00F809DB">
        <w:t>)</w:t>
      </w:r>
    </w:p>
    <w:p w:rsidRPr="00C31616" w:rsidR="00893D90" w:rsidP="00893D90" w:rsidRDefault="008C456F" w14:paraId="5D267ACB" w14:textId="313C8E4C">
      <w:pPr>
        <w:ind w:left="1440" w:hanging="1440"/>
      </w:pPr>
      <w:r w:rsidRPr="00C31616">
        <w:t>Justification:</w:t>
      </w:r>
      <w:r w:rsidRPr="00C31616" w:rsidR="00F809DB">
        <w:tab/>
      </w:r>
      <w:r w:rsidRPr="00C31616" w:rsidR="00893D90">
        <w:t>Added at the request of ship clinicians based on experienced inability to enter into EDC-reporting system as currently available</w:t>
      </w:r>
      <w:r w:rsidR="005214BD">
        <w:t>. With this reporting, there is no</w:t>
      </w:r>
      <w:r w:rsidRPr="005214BD" w:rsidR="005214BD">
        <w:t xml:space="preserve"> true subset of cases, but </w:t>
      </w:r>
      <w:r w:rsidR="005254E7">
        <w:t>CDC</w:t>
      </w:r>
      <w:r w:rsidRPr="005214BD" w:rsidR="005214BD">
        <w:t xml:space="preserve"> divide</w:t>
      </w:r>
      <w:r w:rsidR="005254E7">
        <w:t>d</w:t>
      </w:r>
      <w:r w:rsidRPr="005214BD" w:rsidR="005214BD">
        <w:t xml:space="preserve"> the positives (antigen or PCR) into those performed on the ship versus those performed after disembarking the ship (</w:t>
      </w:r>
      <w:r w:rsidR="005254E7">
        <w:t>primarily due to</w:t>
      </w:r>
      <w:r w:rsidRPr="005214BD" w:rsidR="005214BD">
        <w:t xml:space="preserve"> country of repatriation requirements). These specifics to the EDC were added at the request of the cruise lines.</w:t>
      </w:r>
    </w:p>
    <w:p w:rsidRPr="00C31616" w:rsidR="00893D90" w:rsidP="00893D90" w:rsidRDefault="00893D90" w14:paraId="03F2ED5B" w14:textId="198878AE">
      <w:pPr>
        <w:ind w:left="1440" w:hanging="1440"/>
      </w:pPr>
    </w:p>
    <w:p w:rsidRPr="00C31616" w:rsidR="00893D90" w:rsidP="00893D90" w:rsidRDefault="00893D90" w14:paraId="238A5CAA" w14:textId="02917CE4">
      <w:pPr>
        <w:ind w:left="1440" w:hanging="1440"/>
      </w:pPr>
      <w:r w:rsidRPr="00C31616">
        <w:t xml:space="preserve">Change #6: </w:t>
      </w:r>
      <w:r w:rsidRPr="00C31616">
        <w:tab/>
        <w:t>Additional COVID-19-like illness (CLI) inserted into isolation statement</w:t>
      </w:r>
    </w:p>
    <w:p w:rsidR="00893D90" w:rsidP="00893D90" w:rsidRDefault="00893D90" w14:paraId="2270F64B" w14:textId="77504745">
      <w:pPr>
        <w:ind w:left="1440" w:hanging="1440"/>
      </w:pPr>
      <w:r w:rsidRPr="00C31616">
        <w:t xml:space="preserve">Justification: </w:t>
      </w:r>
      <w:r w:rsidRPr="00C31616">
        <w:tab/>
        <w:t>Self-explanatory (and consistent with CDC recommendations).</w:t>
      </w:r>
    </w:p>
    <w:p w:rsidRPr="008C456F" w:rsidR="008C456F" w:rsidP="00E13784" w:rsidRDefault="008C456F" w14:paraId="6714BCE9" w14:textId="027BA99C"/>
    <w:p w:rsidR="002103F9" w:rsidP="002103F9" w:rsidRDefault="00455E9A" w14:paraId="667F50D5" w14:textId="470686C2">
      <w:r>
        <w:t>The new</w:t>
      </w:r>
      <w:r w:rsidR="00813D23">
        <w:t>, web-based</w:t>
      </w:r>
      <w:r>
        <w:t xml:space="preserve"> </w:t>
      </w:r>
      <w:r w:rsidR="002103F9">
        <w:t xml:space="preserve">version of the </w:t>
      </w:r>
      <w:r w:rsidR="00813D23">
        <w:t xml:space="preserve">“Enhanced Data Collection During COVID-19 Pandemic” </w:t>
      </w:r>
      <w:r w:rsidR="002103F9">
        <w:t xml:space="preserve">form solicits </w:t>
      </w:r>
      <w:r w:rsidR="00EC04CD">
        <w:t>additional</w:t>
      </w:r>
      <w:r w:rsidR="002103F9">
        <w:t xml:space="preserve"> information from the cruise ships concerning acute respiratory illness, influenza-like-i</w:t>
      </w:r>
      <w:r w:rsidR="002D44F8">
        <w:t>l</w:t>
      </w:r>
      <w:r w:rsidR="002103F9">
        <w:t xml:space="preserve">lness, and pneumonia. Similarly, it will also ask if </w:t>
      </w:r>
      <w:r w:rsidR="00EC04CD">
        <w:t xml:space="preserve">any pre-existing or additional diagnostic testing </w:t>
      </w:r>
      <w:r w:rsidR="002103F9">
        <w:t>has been done and whether the cruise ship has implemented isolation procedures according to CDC COVID-19 guidelines.  It will also ask for the number of crew on board and the nearest U.S. port.</w:t>
      </w:r>
    </w:p>
    <w:p w:rsidR="00D6129A" w:rsidP="00ED7972" w:rsidRDefault="00D6129A" w14:paraId="566946EA" w14:textId="37806CE4"/>
    <w:p w:rsidRPr="00EF55A2" w:rsidR="00F96596" w:rsidP="00ED7972" w:rsidRDefault="00D6129A" w14:paraId="6DB2BD1C" w14:textId="2E85864A">
      <w:r w:rsidRPr="00EF55A2">
        <w:t xml:space="preserve">CDC will be providing guidance on the use of the form via multiple channels to ensure broad distribution to the cruise industry.  Those channels include distribution via Cruise Lines International Association (CLIA), which is </w:t>
      </w:r>
      <w:r w:rsidR="00813D23">
        <w:t xml:space="preserve">the </w:t>
      </w:r>
      <w:r w:rsidRPr="00EF55A2">
        <w:t>world’s largest cruise industry trade association; email correspondence from CDC Maritime Activity to cruise line medical directors; and posting guidance to CDC</w:t>
      </w:r>
      <w:r w:rsidRPr="00EF55A2" w:rsidR="005379FF">
        <w:t xml:space="preserve">’s maritime industry </w:t>
      </w:r>
      <w:r w:rsidRPr="00EF55A2">
        <w:t>website</w:t>
      </w:r>
      <w:r w:rsidRPr="00EF55A2" w:rsidR="00F96596">
        <w:t xml:space="preserve">, available here: </w:t>
      </w:r>
      <w:hyperlink w:history="1" r:id="rId11">
        <w:r w:rsidRPr="00EF55A2" w:rsidR="00F96596">
          <w:rPr>
            <w:rStyle w:val="Hyperlink"/>
            <w:color w:val="auto"/>
          </w:rPr>
          <w:t>https://www.cdc.gov/quarantine/maritime/recommendations-for-ships.html</w:t>
        </w:r>
      </w:hyperlink>
      <w:r w:rsidRPr="00EF55A2" w:rsidR="005379FF">
        <w:t>.</w:t>
      </w:r>
    </w:p>
    <w:p w:rsidR="00615281" w:rsidP="00ED7972" w:rsidRDefault="00615281" w14:paraId="13FA6B75" w14:textId="08F91789"/>
    <w:p w:rsidR="00615281" w:rsidP="00615281" w:rsidRDefault="00615281" w14:paraId="5708A6CE" w14:textId="6FBA70F3">
      <w:proofErr w:type="spellStart"/>
      <w:r>
        <w:t>R</w:t>
      </w:r>
      <w:r w:rsidR="00813D23">
        <w:t>ED</w:t>
      </w:r>
      <w:r>
        <w:t>Cap</w:t>
      </w:r>
      <w:proofErr w:type="spellEnd"/>
      <w:r>
        <w:t xml:space="preserve"> is a secure internet application for building and managing online surveys and databases.  It can be used to collect virtually any type of data, including in environments compliant with electronic records legislation (21 Code of Federal Regulations Part 11), the Federal Information Security Management Act of 2002 (44 US Code §3541), and the Health Insurance Portability and Accountability Act of 1996 (Public Law 104– 191, 110 Stat 1936).  The tool is specifically designed to support online or offline data capture for research studies and </w:t>
      </w:r>
      <w:r w:rsidRPr="00EF55A2">
        <w:t>operations</w:t>
      </w:r>
      <w:r>
        <w:t xml:space="preserve">, and is accessible through computers, tablets, and smartphones.  CDC believes this process will be easier to integrate into cruise ship operations than using a paper form.  </w:t>
      </w:r>
    </w:p>
    <w:p w:rsidRPr="00455E9A" w:rsidR="00D6129A" w:rsidP="00ED7972" w:rsidRDefault="005379FF" w14:paraId="54DE48D5" w14:textId="0F7DF1D2">
      <w:r>
        <w:t xml:space="preserve">  </w:t>
      </w:r>
    </w:p>
    <w:p w:rsidRPr="000C5EF1" w:rsidR="00782E0A" w:rsidP="00782E0A" w:rsidRDefault="00782E0A" w14:paraId="1C0B10F3" w14:textId="2838AD68">
      <w:pPr>
        <w:rPr>
          <w:u w:val="single"/>
        </w:rPr>
      </w:pPr>
      <w:r w:rsidRPr="000C5EF1">
        <w:rPr>
          <w:u w:val="single"/>
        </w:rPr>
        <w:t>Burden</w:t>
      </w:r>
    </w:p>
    <w:p w:rsidR="002103F9" w:rsidP="004F38B0" w:rsidRDefault="009D26D4" w14:paraId="643C57B1" w14:textId="50F34352">
      <w:pPr>
        <w:spacing w:before="240"/>
      </w:pPr>
      <w:r>
        <w:t>This form would</w:t>
      </w:r>
      <w:r w:rsidR="002103F9">
        <w:t xml:space="preserve"> not</w:t>
      </w:r>
      <w:r>
        <w:t xml:space="preserve"> constitute an additional burden to cruise ship operators</w:t>
      </w:r>
      <w:r w:rsidR="002103F9">
        <w:t>, as they would have the option of using the paper or electronic version.</w:t>
      </w:r>
      <w:r>
        <w:t xml:space="preserve">  </w:t>
      </w:r>
      <w:r w:rsidR="00EC04CD">
        <w:t xml:space="preserve">CDC anticipates that the vast majority of cruise lines will use the electronic version. </w:t>
      </w:r>
      <w:r>
        <w:t xml:space="preserve">The </w:t>
      </w:r>
      <w:r w:rsidR="002103F9">
        <w:t xml:space="preserve">current information collection is approved for </w:t>
      </w:r>
      <w:r w:rsidR="007236F1">
        <w:t>2,167 hours from 250 respondents.</w:t>
      </w:r>
      <w:r w:rsidR="00FA4827">
        <w:t xml:space="preserve"> </w:t>
      </w:r>
      <w:r w:rsidR="00EC04CD">
        <w:t xml:space="preserve">Based on data received from the EDC form, CDC is revising this estimate down to 50 respondents.  This results in an estimates burden of </w:t>
      </w:r>
      <w:r w:rsidR="00A25E94">
        <w:t>520</w:t>
      </w:r>
      <w:r w:rsidR="00EC04CD">
        <w:t xml:space="preserve"> hours.  </w:t>
      </w:r>
      <w:r w:rsidR="002103F9">
        <w:t xml:space="preserve">The total burden under 0920-0134 will </w:t>
      </w:r>
      <w:r w:rsidR="00EC04CD">
        <w:t>decrease to</w:t>
      </w:r>
      <w:r w:rsidR="00FA4827">
        <w:t xml:space="preserve"> </w:t>
      </w:r>
      <w:r w:rsidRPr="00A25E94" w:rsidR="00A25E94">
        <w:t>269,014</w:t>
      </w:r>
      <w:r w:rsidR="00A25E94">
        <w:t xml:space="preserve"> </w:t>
      </w:r>
      <w:r w:rsidR="00FA4827">
        <w:t>hours.</w:t>
      </w:r>
      <w:r w:rsidR="00EC04CD">
        <w:t xml:space="preserve"> </w:t>
      </w:r>
    </w:p>
    <w:p w:rsidR="00782E0A" w:rsidP="004F38B0" w:rsidRDefault="00EC04CD" w14:paraId="6F95E8A8" w14:textId="012D717E">
      <w:pPr>
        <w:spacing w:before="240"/>
      </w:pPr>
      <w:r>
        <w:t>Per the terms of the extended</w:t>
      </w:r>
      <w:r w:rsidR="003B7F41">
        <w:t xml:space="preserve"> No Sail Order</w:t>
      </w:r>
      <w:r w:rsidR="002103F9">
        <w:t>, CDC will require that t</w:t>
      </w:r>
      <w:r w:rsidR="0054270F">
        <w:t xml:space="preserve">he form be submitted once a week by any cruise ship </w:t>
      </w:r>
      <w:r w:rsidRPr="008D6FF4" w:rsidR="00DE7FBE">
        <w:t xml:space="preserve">originating from, stopping in, or anchored off of the </w:t>
      </w:r>
      <w:r w:rsidR="00DE7FBE">
        <w:t>U</w:t>
      </w:r>
      <w:r w:rsidR="00D25333">
        <w:t>.</w:t>
      </w:r>
      <w:r w:rsidR="00DE7FBE">
        <w:t>S</w:t>
      </w:r>
      <w:r w:rsidR="000E68A6">
        <w:t>. Cruise ships should already have th</w:t>
      </w:r>
      <w:r w:rsidR="00DE7FBE">
        <w:t>e</w:t>
      </w:r>
      <w:r w:rsidR="000E68A6">
        <w:t xml:space="preserve"> information</w:t>
      </w:r>
      <w:r w:rsidR="00DE7FBE">
        <w:t xml:space="preserve"> needed to complete the form</w:t>
      </w:r>
      <w:r w:rsidR="000E68A6">
        <w:t xml:space="preserve"> </w:t>
      </w:r>
      <w:r w:rsidR="00F2232D">
        <w:t xml:space="preserve">in </w:t>
      </w:r>
      <w:r w:rsidR="000E68A6">
        <w:t xml:space="preserve">their medical logs; </w:t>
      </w:r>
      <w:r w:rsidR="00BE3F98">
        <w:t>based on the pilot, the form</w:t>
      </w:r>
      <w:r w:rsidR="000E68A6">
        <w:t xml:space="preserve"> should take around </w:t>
      </w:r>
      <w:r w:rsidR="00A25E94">
        <w:t>10-12</w:t>
      </w:r>
      <w:r w:rsidR="000E68A6">
        <w:t xml:space="preserve"> minutes to complete.  </w:t>
      </w:r>
      <w:r w:rsidRPr="004A662E" w:rsidR="00FA4827">
        <w:t xml:space="preserve">For the purposes of estimating burden hours, the upper limit of this range (i.e., </w:t>
      </w:r>
      <w:r w:rsidR="00FA4827">
        <w:t>1</w:t>
      </w:r>
      <w:r w:rsidR="00A25E94">
        <w:t>2</w:t>
      </w:r>
      <w:r w:rsidRPr="004A662E" w:rsidR="00FA4827">
        <w:rPr>
          <w:color w:val="0070C0"/>
        </w:rPr>
        <w:t xml:space="preserve"> </w:t>
      </w:r>
      <w:r w:rsidRPr="004A662E" w:rsidR="00FA4827">
        <w:t>minutes) is used.</w:t>
      </w:r>
      <w:r w:rsidR="0054270F">
        <w:t xml:space="preserve"> </w:t>
      </w:r>
    </w:p>
    <w:p w:rsidR="007236F1" w:rsidP="004F38B0" w:rsidRDefault="007236F1" w14:paraId="117861DF" w14:textId="77777777">
      <w:pPr>
        <w:spacing w:before="240"/>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530"/>
        <w:gridCol w:w="1620"/>
        <w:gridCol w:w="1260"/>
        <w:gridCol w:w="1350"/>
      </w:tblGrid>
      <w:tr w:rsidRPr="003C0D8D" w:rsidR="007236F1" w:rsidTr="00D6129A" w14:paraId="6FA34038" w14:textId="77777777">
        <w:tc>
          <w:tcPr>
            <w:tcW w:w="1435" w:type="dxa"/>
            <w:vAlign w:val="center"/>
          </w:tcPr>
          <w:p w:rsidRPr="003C0D8D" w:rsidR="007236F1" w:rsidP="00D6129A" w:rsidRDefault="007236F1" w14:paraId="524F5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7236F1" w:rsidP="00D6129A" w:rsidRDefault="007236F1" w14:paraId="48D1C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530" w:type="dxa"/>
            <w:vAlign w:val="center"/>
          </w:tcPr>
          <w:p w:rsidRPr="003C0D8D" w:rsidR="007236F1" w:rsidP="00D6129A" w:rsidRDefault="007236F1" w14:paraId="3244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7236F1" w:rsidP="00D6129A" w:rsidRDefault="007236F1" w14:paraId="793CD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2D3D5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7236F1" w:rsidP="00D6129A" w:rsidRDefault="007236F1" w14:paraId="25348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7236F1" w:rsidP="00D6129A" w:rsidRDefault="007236F1" w14:paraId="6C407E6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7236F1" w:rsidP="00D6129A" w:rsidRDefault="007236F1" w14:paraId="013D94D4"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7236F1" w:rsidP="00D6129A" w:rsidRDefault="007236F1" w14:paraId="32833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7236F1" w:rsidTr="00D6129A" w14:paraId="5EC95906" w14:textId="77777777">
        <w:tc>
          <w:tcPr>
            <w:tcW w:w="1435" w:type="dxa"/>
            <w:vAlign w:val="center"/>
          </w:tcPr>
          <w:p w:rsidRPr="003C0D8D" w:rsidR="007236F1" w:rsidP="00D6129A" w:rsidRDefault="007236F1" w14:paraId="64E3A1F6" w14:textId="77777777">
            <w:pPr>
              <w:jc w:val="center"/>
              <w:rPr>
                <w:rFonts w:eastAsia="Calibri"/>
              </w:rPr>
            </w:pPr>
            <w:r>
              <w:rPr>
                <w:rFonts w:eastAsia="Calibri"/>
              </w:rPr>
              <w:t>Cruise ship operator</w:t>
            </w:r>
          </w:p>
        </w:tc>
        <w:tc>
          <w:tcPr>
            <w:tcW w:w="2070" w:type="dxa"/>
            <w:vAlign w:val="center"/>
          </w:tcPr>
          <w:p w:rsidRPr="003C0D8D" w:rsidR="007236F1" w:rsidP="00D6129A" w:rsidRDefault="007236F1" w14:paraId="0BC9351C" w14:textId="347048FD">
            <w:pPr>
              <w:rPr>
                <w:rFonts w:eastAsia="Calibri"/>
              </w:rPr>
            </w:pPr>
            <w:r w:rsidRPr="00455E9A">
              <w:t>Enhanced Data Collection During COVID-19 Pandemic</w:t>
            </w:r>
          </w:p>
        </w:tc>
        <w:tc>
          <w:tcPr>
            <w:tcW w:w="1530" w:type="dxa"/>
            <w:vAlign w:val="center"/>
          </w:tcPr>
          <w:p w:rsidRPr="003C0D8D" w:rsidR="007236F1" w:rsidP="00D6129A" w:rsidRDefault="007236F1" w14:paraId="41072560" w14:textId="2A9D1EEF">
            <w:pPr>
              <w:jc w:val="center"/>
              <w:rPr>
                <w:rFonts w:eastAsia="Calibri"/>
              </w:rPr>
            </w:pPr>
            <w:r>
              <w:rPr>
                <w:rFonts w:eastAsia="Calibri"/>
                <w:color w:val="000000"/>
              </w:rPr>
              <w:t>50</w:t>
            </w:r>
          </w:p>
        </w:tc>
        <w:tc>
          <w:tcPr>
            <w:tcW w:w="1620" w:type="dxa"/>
            <w:vAlign w:val="center"/>
          </w:tcPr>
          <w:p w:rsidRPr="003C0D8D" w:rsidR="007236F1" w:rsidP="00D6129A" w:rsidRDefault="007236F1" w14:paraId="4A31A22D" w14:textId="48EA1899">
            <w:pPr>
              <w:jc w:val="center"/>
              <w:rPr>
                <w:rFonts w:eastAsia="Calibri"/>
              </w:rPr>
            </w:pPr>
            <w:r>
              <w:rPr>
                <w:rFonts w:eastAsia="Calibri"/>
              </w:rPr>
              <w:t>52</w:t>
            </w:r>
          </w:p>
        </w:tc>
        <w:tc>
          <w:tcPr>
            <w:tcW w:w="1260" w:type="dxa"/>
            <w:vAlign w:val="center"/>
          </w:tcPr>
          <w:p w:rsidRPr="003C0D8D" w:rsidR="007236F1" w:rsidP="00D6129A" w:rsidRDefault="007236F1" w14:paraId="6D276B11" w14:textId="6857EA3A">
            <w:pPr>
              <w:jc w:val="center"/>
              <w:rPr>
                <w:rFonts w:eastAsia="Calibri"/>
              </w:rPr>
            </w:pPr>
            <w:r>
              <w:rPr>
                <w:rFonts w:eastAsia="Calibri"/>
              </w:rPr>
              <w:t>1</w:t>
            </w:r>
            <w:r w:rsidR="00A25E94">
              <w:rPr>
                <w:rFonts w:eastAsia="Calibri"/>
              </w:rPr>
              <w:t>2</w:t>
            </w:r>
            <w:r>
              <w:rPr>
                <w:rFonts w:eastAsia="Calibri"/>
              </w:rPr>
              <w:t>/60</w:t>
            </w:r>
          </w:p>
        </w:tc>
        <w:tc>
          <w:tcPr>
            <w:tcW w:w="1350" w:type="dxa"/>
            <w:vAlign w:val="center"/>
          </w:tcPr>
          <w:p w:rsidRPr="003C0D8D" w:rsidR="007236F1" w:rsidP="00D6129A" w:rsidRDefault="00FF212E" w14:paraId="1C435966" w14:textId="63E338A2">
            <w:pPr>
              <w:jc w:val="center"/>
              <w:rPr>
                <w:rFonts w:eastAsia="Calibri"/>
              </w:rPr>
            </w:pPr>
            <w:bdo w:val="ltr">
              <w:r w:rsidR="007236F1">
                <w:t>‬</w:t>
              </w:r>
              <w:r w:rsidR="00A25E94">
                <w:rPr>
                  <w:rFonts w:eastAsia="Calibri"/>
                  <w:color w:val="000000"/>
                </w:rPr>
                <w:t>520</w:t>
              </w:r>
              <w:r w:rsidR="004F0982">
                <w:t>‬</w:t>
              </w:r>
              <w:r>
                <w:t>‬</w:t>
              </w:r>
            </w:bdo>
          </w:p>
        </w:tc>
      </w:tr>
      <w:tr w:rsidRPr="003C0D8D" w:rsidR="007236F1" w:rsidTr="00D6129A" w14:paraId="28A98972" w14:textId="77777777">
        <w:tc>
          <w:tcPr>
            <w:tcW w:w="1435" w:type="dxa"/>
            <w:vAlign w:val="center"/>
          </w:tcPr>
          <w:p w:rsidRPr="00062211" w:rsidR="007236F1" w:rsidP="00D6129A" w:rsidRDefault="007236F1" w14:paraId="6D691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7236F1" w:rsidP="00D6129A" w:rsidRDefault="007236F1" w14:paraId="7310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7236F1" w:rsidP="00D6129A" w:rsidRDefault="007236F1" w14:paraId="54B56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4E549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7236F1" w:rsidP="00D6129A" w:rsidRDefault="007236F1" w14:paraId="1E47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7236F1" w:rsidP="00D6129A" w:rsidRDefault="00A25E94" w14:paraId="41104811" w14:textId="231CE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520</w:t>
            </w:r>
          </w:p>
        </w:tc>
      </w:tr>
    </w:tbl>
    <w:p w:rsidR="009D26D4" w:rsidP="004F38B0" w:rsidRDefault="00CA2A51" w14:paraId="10CA411E" w14:textId="6C7012F3">
      <w:pPr>
        <w:spacing w:before="240"/>
        <w:rPr>
          <w:u w:val="single"/>
        </w:rPr>
      </w:pPr>
      <w:r w:rsidRPr="00CA2A51">
        <w:rPr>
          <w:u w:val="single"/>
        </w:rPr>
        <w:t>Privacy</w:t>
      </w:r>
    </w:p>
    <w:p w:rsidR="00CA2A51" w:rsidP="004F38B0" w:rsidRDefault="00CA2A51" w14:paraId="1477E3EE" w14:textId="7110C51C">
      <w:pPr>
        <w:spacing w:before="240"/>
      </w:pPr>
      <w:r>
        <w:t xml:space="preserve">There is no PII collected as part of this </w:t>
      </w:r>
      <w:r w:rsidR="00FA4827">
        <w:t xml:space="preserve">information </w:t>
      </w:r>
      <w:r>
        <w:t xml:space="preserve">collection.  </w:t>
      </w:r>
    </w:p>
    <w:p w:rsidR="00F14922" w:rsidP="004F38B0" w:rsidRDefault="00F14922" w14:paraId="2B66B8D0" w14:textId="79CA9EFB">
      <w:pPr>
        <w:spacing w:before="240"/>
        <w:rPr>
          <w:u w:val="single"/>
        </w:rPr>
      </w:pPr>
      <w:r w:rsidRPr="003B7F41">
        <w:rPr>
          <w:u w:val="single"/>
        </w:rPr>
        <w:t>Attachments</w:t>
      </w:r>
    </w:p>
    <w:p w:rsidR="00F14922" w:rsidP="004F38B0" w:rsidRDefault="00F14922" w14:paraId="6D420661" w14:textId="1AADE54F">
      <w:pPr>
        <w:spacing w:before="240"/>
      </w:pPr>
      <w:r>
        <w:t xml:space="preserve">Attachment A – </w:t>
      </w:r>
      <w:r w:rsidRPr="00455E9A">
        <w:t>Enhanced Data Collection During COVID-19 Pandemic</w:t>
      </w:r>
      <w:r w:rsidR="00B55CA2">
        <w:t xml:space="preserve"> (</w:t>
      </w:r>
      <w:proofErr w:type="spellStart"/>
      <w:r w:rsidR="00B55CA2">
        <w:t>REDCap</w:t>
      </w:r>
      <w:proofErr w:type="spellEnd"/>
      <w:r w:rsidR="00B55CA2">
        <w:t>)</w:t>
      </w:r>
    </w:p>
    <w:p w:rsidRPr="00F14922" w:rsidR="00F14922" w:rsidP="004F38B0" w:rsidRDefault="00F14922" w14:paraId="0065137F" w14:textId="77777777">
      <w:pPr>
        <w:spacing w:before="240"/>
      </w:pPr>
    </w:p>
    <w:sectPr w:rsidRPr="00F14922" w:rsidR="00F14922" w:rsidSect="00D558B5">
      <w:footerReference w:type="default" r:id="rId12"/>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54724" w14:textId="77777777" w:rsidR="00F14922" w:rsidRDefault="00F14922" w:rsidP="00620223">
      <w:r>
        <w:separator/>
      </w:r>
    </w:p>
  </w:endnote>
  <w:endnote w:type="continuationSeparator" w:id="0">
    <w:p w14:paraId="5F6DC734" w14:textId="77777777" w:rsidR="00F14922" w:rsidRDefault="00F14922"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105F2290" w:rsidR="00F14922" w:rsidRDefault="00F1492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F14922" w:rsidRDefault="00F1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96EA" w14:textId="77777777" w:rsidR="00F14922" w:rsidRDefault="00F14922" w:rsidP="00620223">
      <w:r>
        <w:separator/>
      </w:r>
    </w:p>
  </w:footnote>
  <w:footnote w:type="continuationSeparator" w:id="0">
    <w:p w14:paraId="2EDB2296" w14:textId="77777777" w:rsidR="00F14922" w:rsidRDefault="00F14922" w:rsidP="0062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E6AEF"/>
    <w:multiLevelType w:val="hybridMultilevel"/>
    <w:tmpl w:val="0B7AC972"/>
    <w:lvl w:ilvl="0" w:tplc="2850107E">
      <w:start w:val="2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
  </w:num>
  <w:num w:numId="4">
    <w:abstractNumId w:val="15"/>
  </w:num>
  <w:num w:numId="5">
    <w:abstractNumId w:val="5"/>
  </w:num>
  <w:num w:numId="6">
    <w:abstractNumId w:val="11"/>
  </w:num>
  <w:num w:numId="7">
    <w:abstractNumId w:val="7"/>
  </w:num>
  <w:num w:numId="8">
    <w:abstractNumId w:val="1"/>
  </w:num>
  <w:num w:numId="9">
    <w:abstractNumId w:val="10"/>
  </w:num>
  <w:num w:numId="10">
    <w:abstractNumId w:val="13"/>
  </w:num>
  <w:num w:numId="11">
    <w:abstractNumId w:val="4"/>
  </w:num>
  <w:num w:numId="12">
    <w:abstractNumId w:val="0"/>
  </w:num>
  <w:num w:numId="13">
    <w:abstractNumId w:val="6"/>
  </w:num>
  <w:num w:numId="14">
    <w:abstractNumId w:val="8"/>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28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4E00"/>
    <w:rsid w:val="000520C5"/>
    <w:rsid w:val="00054BA0"/>
    <w:rsid w:val="00083D63"/>
    <w:rsid w:val="000A3007"/>
    <w:rsid w:val="000A64A9"/>
    <w:rsid w:val="000C030C"/>
    <w:rsid w:val="000C2875"/>
    <w:rsid w:val="000C5EF1"/>
    <w:rsid w:val="000C6D41"/>
    <w:rsid w:val="000E68A6"/>
    <w:rsid w:val="00103C6C"/>
    <w:rsid w:val="00132D2C"/>
    <w:rsid w:val="0015353D"/>
    <w:rsid w:val="001557FA"/>
    <w:rsid w:val="00170D8D"/>
    <w:rsid w:val="0017686F"/>
    <w:rsid w:val="00177C07"/>
    <w:rsid w:val="00181D6C"/>
    <w:rsid w:val="001B4FDB"/>
    <w:rsid w:val="001D3846"/>
    <w:rsid w:val="001D5256"/>
    <w:rsid w:val="001D633A"/>
    <w:rsid w:val="001E4973"/>
    <w:rsid w:val="001E658A"/>
    <w:rsid w:val="00206F3F"/>
    <w:rsid w:val="002103F9"/>
    <w:rsid w:val="0021339B"/>
    <w:rsid w:val="00215DEC"/>
    <w:rsid w:val="00222BBB"/>
    <w:rsid w:val="00225FEC"/>
    <w:rsid w:val="002278CB"/>
    <w:rsid w:val="00237C8D"/>
    <w:rsid w:val="00237EF1"/>
    <w:rsid w:val="00242C5B"/>
    <w:rsid w:val="00244AC4"/>
    <w:rsid w:val="00245DD7"/>
    <w:rsid w:val="0025246A"/>
    <w:rsid w:val="00271A42"/>
    <w:rsid w:val="00277D67"/>
    <w:rsid w:val="002A17BA"/>
    <w:rsid w:val="002C1F01"/>
    <w:rsid w:val="002D44F8"/>
    <w:rsid w:val="002F4297"/>
    <w:rsid w:val="00306EC2"/>
    <w:rsid w:val="00307ADB"/>
    <w:rsid w:val="00322EFE"/>
    <w:rsid w:val="003648CC"/>
    <w:rsid w:val="0036553A"/>
    <w:rsid w:val="0038451C"/>
    <w:rsid w:val="00384696"/>
    <w:rsid w:val="00390E3F"/>
    <w:rsid w:val="00394D6D"/>
    <w:rsid w:val="00396256"/>
    <w:rsid w:val="003A52C8"/>
    <w:rsid w:val="003B7F41"/>
    <w:rsid w:val="003E6CB1"/>
    <w:rsid w:val="003E76A1"/>
    <w:rsid w:val="003F17AA"/>
    <w:rsid w:val="003F2449"/>
    <w:rsid w:val="00413EAA"/>
    <w:rsid w:val="00441559"/>
    <w:rsid w:val="00443A75"/>
    <w:rsid w:val="00454EAE"/>
    <w:rsid w:val="0045517E"/>
    <w:rsid w:val="00455E9A"/>
    <w:rsid w:val="00467691"/>
    <w:rsid w:val="00473430"/>
    <w:rsid w:val="00481386"/>
    <w:rsid w:val="00484EB9"/>
    <w:rsid w:val="0049339F"/>
    <w:rsid w:val="00493A7B"/>
    <w:rsid w:val="004A05CA"/>
    <w:rsid w:val="004A4980"/>
    <w:rsid w:val="004C1DA3"/>
    <w:rsid w:val="004E6B21"/>
    <w:rsid w:val="004F0982"/>
    <w:rsid w:val="004F38B0"/>
    <w:rsid w:val="004F60AF"/>
    <w:rsid w:val="005029F7"/>
    <w:rsid w:val="005033B2"/>
    <w:rsid w:val="00520A02"/>
    <w:rsid w:val="005214BD"/>
    <w:rsid w:val="005254E7"/>
    <w:rsid w:val="005379FF"/>
    <w:rsid w:val="0054270F"/>
    <w:rsid w:val="00551BA2"/>
    <w:rsid w:val="00556740"/>
    <w:rsid w:val="005617E2"/>
    <w:rsid w:val="005707CF"/>
    <w:rsid w:val="00582BB5"/>
    <w:rsid w:val="00584F91"/>
    <w:rsid w:val="00596A0D"/>
    <w:rsid w:val="005A3A7E"/>
    <w:rsid w:val="005B59CF"/>
    <w:rsid w:val="005B7D8B"/>
    <w:rsid w:val="005C2F64"/>
    <w:rsid w:val="005E193F"/>
    <w:rsid w:val="005E23B1"/>
    <w:rsid w:val="00615281"/>
    <w:rsid w:val="00620223"/>
    <w:rsid w:val="00641974"/>
    <w:rsid w:val="00653102"/>
    <w:rsid w:val="00682A38"/>
    <w:rsid w:val="00694C0B"/>
    <w:rsid w:val="006A0D58"/>
    <w:rsid w:val="006B64E9"/>
    <w:rsid w:val="006D27D3"/>
    <w:rsid w:val="006D542F"/>
    <w:rsid w:val="006E3BD6"/>
    <w:rsid w:val="006F0D92"/>
    <w:rsid w:val="006F4D79"/>
    <w:rsid w:val="006F539D"/>
    <w:rsid w:val="00714399"/>
    <w:rsid w:val="007236F1"/>
    <w:rsid w:val="00735EC5"/>
    <w:rsid w:val="00737E98"/>
    <w:rsid w:val="007507B7"/>
    <w:rsid w:val="007529D7"/>
    <w:rsid w:val="00782E0A"/>
    <w:rsid w:val="007A0147"/>
    <w:rsid w:val="007A095A"/>
    <w:rsid w:val="007A7082"/>
    <w:rsid w:val="007A7B28"/>
    <w:rsid w:val="007B21D6"/>
    <w:rsid w:val="007E5291"/>
    <w:rsid w:val="00811963"/>
    <w:rsid w:val="008132B5"/>
    <w:rsid w:val="00813D23"/>
    <w:rsid w:val="0082019D"/>
    <w:rsid w:val="00860912"/>
    <w:rsid w:val="0086301C"/>
    <w:rsid w:val="00864E81"/>
    <w:rsid w:val="00866E60"/>
    <w:rsid w:val="00893D90"/>
    <w:rsid w:val="008A52F0"/>
    <w:rsid w:val="008C086A"/>
    <w:rsid w:val="008C456F"/>
    <w:rsid w:val="008C6E29"/>
    <w:rsid w:val="008D6058"/>
    <w:rsid w:val="008D6FF4"/>
    <w:rsid w:val="008F5EEF"/>
    <w:rsid w:val="008F6042"/>
    <w:rsid w:val="009176B7"/>
    <w:rsid w:val="009239A9"/>
    <w:rsid w:val="0092435E"/>
    <w:rsid w:val="00925CF3"/>
    <w:rsid w:val="00932450"/>
    <w:rsid w:val="00933834"/>
    <w:rsid w:val="0093457E"/>
    <w:rsid w:val="0095101E"/>
    <w:rsid w:val="00952F0D"/>
    <w:rsid w:val="009657DA"/>
    <w:rsid w:val="00987051"/>
    <w:rsid w:val="009B565A"/>
    <w:rsid w:val="009C5D92"/>
    <w:rsid w:val="009D26D4"/>
    <w:rsid w:val="009F3CD5"/>
    <w:rsid w:val="00A00742"/>
    <w:rsid w:val="00A01572"/>
    <w:rsid w:val="00A1450F"/>
    <w:rsid w:val="00A14D84"/>
    <w:rsid w:val="00A25E94"/>
    <w:rsid w:val="00A57113"/>
    <w:rsid w:val="00A7139F"/>
    <w:rsid w:val="00A90260"/>
    <w:rsid w:val="00A92426"/>
    <w:rsid w:val="00A93B41"/>
    <w:rsid w:val="00AA00BD"/>
    <w:rsid w:val="00AB4445"/>
    <w:rsid w:val="00AC4405"/>
    <w:rsid w:val="00AD66D6"/>
    <w:rsid w:val="00AF0062"/>
    <w:rsid w:val="00AF5F26"/>
    <w:rsid w:val="00AF6B86"/>
    <w:rsid w:val="00B14EDA"/>
    <w:rsid w:val="00B27555"/>
    <w:rsid w:val="00B2757E"/>
    <w:rsid w:val="00B55735"/>
    <w:rsid w:val="00B55CA2"/>
    <w:rsid w:val="00B80C0D"/>
    <w:rsid w:val="00BB1CB8"/>
    <w:rsid w:val="00BB2AB9"/>
    <w:rsid w:val="00BB45A1"/>
    <w:rsid w:val="00BE3F98"/>
    <w:rsid w:val="00C101F7"/>
    <w:rsid w:val="00C11E0A"/>
    <w:rsid w:val="00C132E6"/>
    <w:rsid w:val="00C146ED"/>
    <w:rsid w:val="00C16779"/>
    <w:rsid w:val="00C31616"/>
    <w:rsid w:val="00C82867"/>
    <w:rsid w:val="00C8304C"/>
    <w:rsid w:val="00C85859"/>
    <w:rsid w:val="00CA2A51"/>
    <w:rsid w:val="00CB3C63"/>
    <w:rsid w:val="00CE1405"/>
    <w:rsid w:val="00D25333"/>
    <w:rsid w:val="00D333B7"/>
    <w:rsid w:val="00D34C78"/>
    <w:rsid w:val="00D379EE"/>
    <w:rsid w:val="00D4046E"/>
    <w:rsid w:val="00D477FD"/>
    <w:rsid w:val="00D540AB"/>
    <w:rsid w:val="00D558B5"/>
    <w:rsid w:val="00D6129A"/>
    <w:rsid w:val="00D70948"/>
    <w:rsid w:val="00D70B67"/>
    <w:rsid w:val="00D74ECA"/>
    <w:rsid w:val="00D909A3"/>
    <w:rsid w:val="00DA1DE5"/>
    <w:rsid w:val="00DB7589"/>
    <w:rsid w:val="00DC46D7"/>
    <w:rsid w:val="00DC57CC"/>
    <w:rsid w:val="00DD06CA"/>
    <w:rsid w:val="00DE00FC"/>
    <w:rsid w:val="00DE4758"/>
    <w:rsid w:val="00DE7FBE"/>
    <w:rsid w:val="00E00873"/>
    <w:rsid w:val="00E06889"/>
    <w:rsid w:val="00E13784"/>
    <w:rsid w:val="00E30037"/>
    <w:rsid w:val="00E33F2F"/>
    <w:rsid w:val="00E34CF3"/>
    <w:rsid w:val="00E42FAB"/>
    <w:rsid w:val="00E44857"/>
    <w:rsid w:val="00E6785E"/>
    <w:rsid w:val="00E736A3"/>
    <w:rsid w:val="00E91CA5"/>
    <w:rsid w:val="00E93F63"/>
    <w:rsid w:val="00E947C7"/>
    <w:rsid w:val="00E95DBD"/>
    <w:rsid w:val="00EA14C4"/>
    <w:rsid w:val="00EB1547"/>
    <w:rsid w:val="00EC04CD"/>
    <w:rsid w:val="00EC1019"/>
    <w:rsid w:val="00ED7972"/>
    <w:rsid w:val="00EE53C4"/>
    <w:rsid w:val="00EF55A2"/>
    <w:rsid w:val="00F14922"/>
    <w:rsid w:val="00F16D41"/>
    <w:rsid w:val="00F2094E"/>
    <w:rsid w:val="00F2232D"/>
    <w:rsid w:val="00F33021"/>
    <w:rsid w:val="00F3772F"/>
    <w:rsid w:val="00F5323E"/>
    <w:rsid w:val="00F64EB0"/>
    <w:rsid w:val="00F801C2"/>
    <w:rsid w:val="00F809DB"/>
    <w:rsid w:val="00F92A71"/>
    <w:rsid w:val="00F92D5A"/>
    <w:rsid w:val="00F96596"/>
    <w:rsid w:val="00FA4827"/>
    <w:rsid w:val="00FB092F"/>
    <w:rsid w:val="00FE68F5"/>
    <w:rsid w:val="00FF0FB9"/>
    <w:rsid w:val="00FF16CE"/>
    <w:rsid w:val="00FF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F96596"/>
    <w:rPr>
      <w:color w:val="605E5C"/>
      <w:shd w:val="clear" w:color="auto" w:fill="E1DFDD"/>
    </w:rPr>
  </w:style>
  <w:style w:type="character" w:styleId="FollowedHyperlink">
    <w:name w:val="FollowedHyperlink"/>
    <w:basedOn w:val="DefaultParagraphFont"/>
    <w:uiPriority w:val="99"/>
    <w:semiHidden/>
    <w:unhideWhenUsed/>
    <w:rsid w:val="00813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34096188">
      <w:bodyDiv w:val="1"/>
      <w:marLeft w:val="0"/>
      <w:marRight w:val="0"/>
      <w:marTop w:val="0"/>
      <w:marBottom w:val="0"/>
      <w:divBdr>
        <w:top w:val="none" w:sz="0" w:space="0" w:color="auto"/>
        <w:left w:val="none" w:sz="0" w:space="0" w:color="auto"/>
        <w:bottom w:val="none" w:sz="0" w:space="0" w:color="auto"/>
        <w:right w:val="none" w:sz="0" w:space="0" w:color="auto"/>
      </w:divBdr>
    </w:div>
    <w:div w:id="995107470">
      <w:bodyDiv w:val="1"/>
      <w:marLeft w:val="0"/>
      <w:marRight w:val="0"/>
      <w:marTop w:val="0"/>
      <w:marBottom w:val="0"/>
      <w:divBdr>
        <w:top w:val="none" w:sz="0" w:space="0" w:color="auto"/>
        <w:left w:val="none" w:sz="0" w:space="0" w:color="auto"/>
        <w:bottom w:val="none" w:sz="0" w:space="0" w:color="auto"/>
        <w:right w:val="none" w:sz="0" w:space="0" w:color="auto"/>
      </w:divBdr>
    </w:div>
    <w:div w:id="119611811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42629592">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1816755962">
      <w:bodyDiv w:val="1"/>
      <w:marLeft w:val="0"/>
      <w:marRight w:val="0"/>
      <w:marTop w:val="0"/>
      <w:marBottom w:val="0"/>
      <w:divBdr>
        <w:top w:val="none" w:sz="0" w:space="0" w:color="auto"/>
        <w:left w:val="none" w:sz="0" w:space="0" w:color="auto"/>
        <w:bottom w:val="none" w:sz="0" w:space="0" w:color="auto"/>
        <w:right w:val="none" w:sz="0" w:space="0" w:color="auto"/>
      </w:divBdr>
    </w:div>
    <w:div w:id="2066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ject-redcap.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quarantine/maritime/recommendations-for-ships.html" TargetMode="External"/><Relationship Id="rId5" Type="http://schemas.openxmlformats.org/officeDocument/2006/relationships/footnotes" Target="footnotes.xml"/><Relationship Id="rId10" Type="http://schemas.openxmlformats.org/officeDocument/2006/relationships/hyperlink" Target="https://www.cdc.gov/coronavirus/2019-ncov/hcp/testing-overview.html" TargetMode="External"/><Relationship Id="rId4" Type="http://schemas.openxmlformats.org/officeDocument/2006/relationships/webSettings" Target="webSettings.xml"/><Relationship Id="rId9" Type="http://schemas.openxmlformats.org/officeDocument/2006/relationships/hyperlink" Target="https://wwwn.cdc.gov/nndss/conditions/coronavirus-disease-2019-covid-19/case-definition/20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JReichard</dc:creator>
  <cp:lastModifiedBy>De La Motte Hurst, Christopher (CDC/DDID/NCEZID/DGMQ)</cp:lastModifiedBy>
  <cp:revision>19</cp:revision>
  <dcterms:created xsi:type="dcterms:W3CDTF">2020-07-17T17:45:00Z</dcterms:created>
  <dcterms:modified xsi:type="dcterms:W3CDTF">2020-07-22T00:20:00Z</dcterms:modified>
</cp:coreProperties>
</file>