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23769" w:rsidP="002A0C48" w:rsidRDefault="00F3386B" w14:paraId="1809C000" w14:textId="77777777">
      <w:pPr>
        <w:jc w:val="center"/>
      </w:pPr>
      <w:r>
        <w:t>UNITED STATES FOOD &amp; DRUG ADMINISTRATION</w:t>
      </w:r>
      <w:r>
        <w:tab/>
      </w:r>
    </w:p>
    <w:p w:rsidR="00F3386B" w:rsidP="002A0C48" w:rsidRDefault="00F3386B" w14:paraId="49177593" w14:textId="77777777">
      <w:pPr>
        <w:jc w:val="center"/>
      </w:pPr>
    </w:p>
    <w:p w:rsidRPr="00F551A0" w:rsidR="00F551A0" w:rsidP="002A0C48" w:rsidRDefault="00F551A0" w14:paraId="24067460" w14:textId="77777777">
      <w:pPr>
        <w:spacing w:line="480" w:lineRule="auto"/>
        <w:jc w:val="center"/>
        <w:rPr>
          <w:rFonts w:eastAsia="SimSun"/>
        </w:rPr>
      </w:pPr>
      <w:r w:rsidRPr="00F551A0">
        <w:rPr>
          <w:rFonts w:eastAsia="SimSun"/>
        </w:rPr>
        <w:t>Laboratory Accreditation for Analyses of Foods</w:t>
      </w:r>
    </w:p>
    <w:p w:rsidRPr="0022007D" w:rsidR="00F551A0" w:rsidP="002A0C48" w:rsidRDefault="00F551A0" w14:paraId="26AB56E6" w14:textId="42111ECB">
      <w:pPr>
        <w:jc w:val="center"/>
        <w:rPr>
          <w:u w:val="single"/>
        </w:rPr>
      </w:pPr>
      <w:r w:rsidRPr="0022007D">
        <w:rPr>
          <w:u w:val="single"/>
        </w:rPr>
        <w:t>OMB Control No. 0910-</w:t>
      </w:r>
      <w:r w:rsidR="00783BC4">
        <w:rPr>
          <w:u w:val="single"/>
        </w:rPr>
        <w:t>0</w:t>
      </w:r>
      <w:r w:rsidR="00C13E5E">
        <w:rPr>
          <w:u w:val="single"/>
        </w:rPr>
        <w:t>898</w:t>
      </w:r>
    </w:p>
    <w:p w:rsidR="0022007D" w:rsidP="002A0C48" w:rsidRDefault="0022007D" w14:paraId="16318F19" w14:textId="77777777">
      <w:pPr>
        <w:jc w:val="center"/>
      </w:pPr>
    </w:p>
    <w:p w:rsidRPr="009A1674" w:rsidR="00EB7538" w:rsidP="002A0C48" w:rsidRDefault="00F551A0" w14:paraId="064B67E2" w14:textId="77777777">
      <w:pPr>
        <w:jc w:val="center"/>
      </w:pPr>
      <w:r>
        <w:t xml:space="preserve">RIN:  </w:t>
      </w:r>
      <w:r w:rsidRPr="009A1674" w:rsidR="00EB7538">
        <w:t>0910-</w:t>
      </w:r>
      <w:r w:rsidR="00376625">
        <w:t>AH31</w:t>
      </w:r>
      <w:r w:rsidRPr="009A1674" w:rsidDel="00376625" w:rsidR="00376625">
        <w:t xml:space="preserve"> </w:t>
      </w:r>
      <w:r w:rsidRPr="009A1674" w:rsidR="00A35D42">
        <w:br/>
      </w:r>
    </w:p>
    <w:p w:rsidRPr="00F551A0" w:rsidR="00810FF1" w:rsidP="002A0C48" w:rsidRDefault="00EB7538" w14:paraId="15DD0C9D" w14:textId="77777777">
      <w:r w:rsidRPr="009A1674">
        <w:t>SUPPORTING STATEM</w:t>
      </w:r>
      <w:r w:rsidR="00F551A0">
        <w:t>ENT</w:t>
      </w:r>
      <w:r w:rsidR="0022007D">
        <w:t xml:space="preserve"> </w:t>
      </w:r>
      <w:r w:rsidRPr="0022007D" w:rsidR="0022007D">
        <w:rPr>
          <w:b/>
          <w:bCs/>
        </w:rPr>
        <w:t>Part A:  Justification</w:t>
      </w:r>
    </w:p>
    <w:p w:rsidRPr="00473390" w:rsidR="0097244E" w:rsidP="002A0C48" w:rsidRDefault="00EB7538" w14:paraId="5C39AFC3" w14:textId="77777777">
      <w:pPr>
        <w:numPr>
          <w:ilvl w:val="0"/>
          <w:numId w:val="1"/>
        </w:numPr>
        <w:tabs>
          <w:tab w:val="clear" w:pos="720"/>
        </w:tabs>
        <w:spacing w:before="100" w:beforeAutospacing="1" w:after="100" w:afterAutospacing="1"/>
        <w:rPr>
          <w:u w:val="single"/>
        </w:rPr>
      </w:pPr>
      <w:r w:rsidRPr="002746DB">
        <w:rPr>
          <w:u w:val="single"/>
        </w:rPr>
        <w:t>Circumstances Making the Collection of Information Necessary</w:t>
      </w:r>
    </w:p>
    <w:p w:rsidR="00B25085" w:rsidP="002A0C48" w:rsidRDefault="0022007D" w14:paraId="1C3C1EB4" w14:textId="2983919B">
      <w:pPr>
        <w:pStyle w:val="StyleNormalDoublespaceTimesNewRoman"/>
        <w:spacing w:line="240" w:lineRule="auto"/>
        <w:ind w:left="720"/>
        <w:rPr>
          <w:szCs w:val="24"/>
        </w:rPr>
      </w:pPr>
      <w:r>
        <w:rPr>
          <w:szCs w:val="24"/>
        </w:rPr>
        <w:t xml:space="preserve">This information collection supports agency rulemaking.  </w:t>
      </w:r>
      <w:r w:rsidR="0097244E">
        <w:rPr>
          <w:szCs w:val="24"/>
        </w:rPr>
        <w:t xml:space="preserve">The </w:t>
      </w:r>
      <w:r>
        <w:rPr>
          <w:rFonts w:cs="Futura Book"/>
          <w:color w:val="000000"/>
        </w:rPr>
        <w:t xml:space="preserve">FDA </w:t>
      </w:r>
      <w:r w:rsidR="0097244E">
        <w:rPr>
          <w:rFonts w:cs="Futura Book"/>
          <w:color w:val="000000"/>
        </w:rPr>
        <w:t xml:space="preserve">Food Safety Modernization Act (“FSMA”) (Public Law 111-353) section 202(a) added section 422 </w:t>
      </w:r>
      <w:r w:rsidR="00211320">
        <w:rPr>
          <w:rFonts w:cs="Futura Book"/>
          <w:color w:val="000000"/>
        </w:rPr>
        <w:t xml:space="preserve">(codified at 21 U.S.C. 350k) </w:t>
      </w:r>
      <w:r w:rsidR="0097244E">
        <w:rPr>
          <w:rFonts w:cs="Futura Book"/>
          <w:color w:val="000000"/>
        </w:rPr>
        <w:t>to the Federal Food</w:t>
      </w:r>
      <w:r w:rsidR="004A48C6">
        <w:rPr>
          <w:rFonts w:cs="Futura Book"/>
          <w:color w:val="000000"/>
        </w:rPr>
        <w:t>,</w:t>
      </w:r>
      <w:r w:rsidR="0097244E">
        <w:rPr>
          <w:rFonts w:cs="Futura Book"/>
          <w:color w:val="000000"/>
        </w:rPr>
        <w:t xml:space="preserve"> Drug</w:t>
      </w:r>
      <w:r w:rsidR="004A48C6">
        <w:rPr>
          <w:rFonts w:cs="Futura Book"/>
          <w:color w:val="000000"/>
        </w:rPr>
        <w:t>,</w:t>
      </w:r>
      <w:r w:rsidR="0097244E">
        <w:rPr>
          <w:rFonts w:cs="Futura Book"/>
          <w:color w:val="000000"/>
        </w:rPr>
        <w:t xml:space="preserve"> and Cosmetic Act (“FD&amp;C Act”</w:t>
      </w:r>
      <w:r>
        <w:rPr>
          <w:rFonts w:cs="Futura Book"/>
          <w:color w:val="000000"/>
        </w:rPr>
        <w:t xml:space="preserve">).  Section 422 </w:t>
      </w:r>
      <w:r w:rsidR="004A48C6">
        <w:rPr>
          <w:rFonts w:cs="Futura Book"/>
          <w:color w:val="000000"/>
        </w:rPr>
        <w:t>of the FD&amp;C Act</w:t>
      </w:r>
      <w:r>
        <w:rPr>
          <w:rFonts w:cs="Futura Book"/>
          <w:color w:val="000000"/>
        </w:rPr>
        <w:t xml:space="preserve"> </w:t>
      </w:r>
      <w:r w:rsidR="0097244E">
        <w:rPr>
          <w:rFonts w:cs="Futura Book"/>
          <w:color w:val="000000"/>
        </w:rPr>
        <w:t xml:space="preserve">requires </w:t>
      </w:r>
      <w:r>
        <w:rPr>
          <w:rFonts w:cs="Futura Book"/>
          <w:color w:val="000000"/>
        </w:rPr>
        <w:t xml:space="preserve">FDA </w:t>
      </w:r>
      <w:r w:rsidR="0097244E">
        <w:rPr>
          <w:rFonts w:cs="Futura Book"/>
          <w:color w:val="000000"/>
        </w:rPr>
        <w:t xml:space="preserve">to </w:t>
      </w:r>
      <w:r w:rsidR="0097244E">
        <w:rPr>
          <w:szCs w:val="24"/>
        </w:rPr>
        <w:t>establish a program for the testing of food by accredited laboratories</w:t>
      </w:r>
      <w:r w:rsidR="0038537C">
        <w:rPr>
          <w:szCs w:val="24"/>
        </w:rPr>
        <w:t>;</w:t>
      </w:r>
      <w:r w:rsidR="008B1A9C">
        <w:rPr>
          <w:szCs w:val="24"/>
        </w:rPr>
        <w:t xml:space="preserve"> to establish a publicly available registry of recognized </w:t>
      </w:r>
      <w:r w:rsidR="00E3032B">
        <w:rPr>
          <w:szCs w:val="24"/>
        </w:rPr>
        <w:t>accreditation bodies and laboratories recognized by</w:t>
      </w:r>
      <w:r w:rsidR="003D7291">
        <w:rPr>
          <w:szCs w:val="24"/>
        </w:rPr>
        <w:t xml:space="preserve"> an accreditation body; and to require reports to the Secretary </w:t>
      </w:r>
      <w:r w:rsidR="00E17944">
        <w:rPr>
          <w:szCs w:val="24"/>
        </w:rPr>
        <w:t xml:space="preserve">of any changes that would affect the recognition of such accreditation body or the accreditation of </w:t>
      </w:r>
      <w:r w:rsidR="00E92280">
        <w:rPr>
          <w:szCs w:val="24"/>
        </w:rPr>
        <w:t xml:space="preserve">such laboratory.  Accordingly, </w:t>
      </w:r>
      <w:r w:rsidR="000C4EEA">
        <w:rPr>
          <w:szCs w:val="24"/>
        </w:rPr>
        <w:t>w</w:t>
      </w:r>
      <w:r>
        <w:rPr>
          <w:szCs w:val="24"/>
        </w:rPr>
        <w:t xml:space="preserve">e are proposing regulations in </w:t>
      </w:r>
      <w:r w:rsidR="00A5523B">
        <w:rPr>
          <w:szCs w:val="24"/>
        </w:rPr>
        <w:t xml:space="preserve">21 CFR </w:t>
      </w:r>
      <w:r w:rsidR="00830CF9">
        <w:rPr>
          <w:szCs w:val="24"/>
        </w:rPr>
        <w:t xml:space="preserve">part </w:t>
      </w:r>
      <w:r w:rsidR="00A5523B">
        <w:rPr>
          <w:szCs w:val="24"/>
        </w:rPr>
        <w:t xml:space="preserve">1 </w:t>
      </w:r>
      <w:r w:rsidR="00830CF9">
        <w:rPr>
          <w:szCs w:val="24"/>
        </w:rPr>
        <w:t xml:space="preserve">subpart </w:t>
      </w:r>
      <w:r w:rsidR="00A5523B">
        <w:rPr>
          <w:szCs w:val="24"/>
        </w:rPr>
        <w:t>R</w:t>
      </w:r>
      <w:r w:rsidR="007A57C9">
        <w:rPr>
          <w:szCs w:val="24"/>
        </w:rPr>
        <w:t xml:space="preserve">:  </w:t>
      </w:r>
      <w:r w:rsidRPr="007A57C9" w:rsidR="0069481C">
        <w:rPr>
          <w:i/>
          <w:iCs/>
          <w:szCs w:val="24"/>
        </w:rPr>
        <w:t>Laboratory Accreditation for Analyses of Foods</w:t>
      </w:r>
      <w:r w:rsidR="007A57C9">
        <w:rPr>
          <w:szCs w:val="24"/>
        </w:rPr>
        <w:t>.</w:t>
      </w:r>
      <w:r w:rsidR="00AF4357">
        <w:rPr>
          <w:szCs w:val="24"/>
        </w:rPr>
        <w:t xml:space="preserve">  </w:t>
      </w:r>
      <w:r w:rsidR="00477F92">
        <w:rPr>
          <w:szCs w:val="24"/>
        </w:rPr>
        <w:t xml:space="preserve">Respondents to the information collection </w:t>
      </w:r>
      <w:r w:rsidR="00415DD5">
        <w:rPr>
          <w:szCs w:val="24"/>
        </w:rPr>
        <w:t xml:space="preserve">are </w:t>
      </w:r>
      <w:r w:rsidR="00636DA2">
        <w:rPr>
          <w:szCs w:val="24"/>
        </w:rPr>
        <w:t>accreditation bodies</w:t>
      </w:r>
      <w:r w:rsidR="0042285D">
        <w:rPr>
          <w:szCs w:val="24"/>
        </w:rPr>
        <w:t xml:space="preserve"> seeking recognition from FDA, recognized accreditation bodies, laboratories seeking accreditation from recognized accreditation bodies, and accredited laboratories</w:t>
      </w:r>
      <w:r w:rsidR="00532894">
        <w:rPr>
          <w:szCs w:val="24"/>
        </w:rPr>
        <w:t xml:space="preserve">.  </w:t>
      </w:r>
      <w:r w:rsidR="00926090">
        <w:rPr>
          <w:szCs w:val="24"/>
        </w:rPr>
        <w:t>P</w:t>
      </w:r>
      <w:r w:rsidR="00532894">
        <w:rPr>
          <w:szCs w:val="24"/>
        </w:rPr>
        <w:t xml:space="preserve">articipation in this </w:t>
      </w:r>
      <w:r w:rsidR="0048436E">
        <w:rPr>
          <w:szCs w:val="24"/>
        </w:rPr>
        <w:t>program is voluntary for laboratories</w:t>
      </w:r>
      <w:r w:rsidR="00B85000">
        <w:rPr>
          <w:szCs w:val="24"/>
        </w:rPr>
        <w:t xml:space="preserve"> and accreditation bodies</w:t>
      </w:r>
      <w:r w:rsidR="00C56E17">
        <w:rPr>
          <w:szCs w:val="24"/>
        </w:rPr>
        <w:t>;</w:t>
      </w:r>
      <w:r w:rsidR="0048436E">
        <w:rPr>
          <w:szCs w:val="24"/>
        </w:rPr>
        <w:t xml:space="preserve"> </w:t>
      </w:r>
      <w:r w:rsidR="00B25085">
        <w:rPr>
          <w:szCs w:val="24"/>
        </w:rPr>
        <w:t xml:space="preserve">however </w:t>
      </w:r>
      <w:r w:rsidR="00926090">
        <w:rPr>
          <w:szCs w:val="24"/>
        </w:rPr>
        <w:t xml:space="preserve">only </w:t>
      </w:r>
      <w:r w:rsidR="00CE1902">
        <w:rPr>
          <w:szCs w:val="24"/>
        </w:rPr>
        <w:t xml:space="preserve">recognized accreditation bodies </w:t>
      </w:r>
      <w:r w:rsidR="009321F9">
        <w:rPr>
          <w:szCs w:val="24"/>
        </w:rPr>
        <w:t xml:space="preserve">would be able to </w:t>
      </w:r>
      <w:r w:rsidR="00926090">
        <w:rPr>
          <w:szCs w:val="24"/>
        </w:rPr>
        <w:t xml:space="preserve">accredit </w:t>
      </w:r>
      <w:r w:rsidR="0048436E">
        <w:rPr>
          <w:szCs w:val="24"/>
        </w:rPr>
        <w:t>laboratories to conduct</w:t>
      </w:r>
      <w:r w:rsidR="00B71002">
        <w:rPr>
          <w:szCs w:val="24"/>
        </w:rPr>
        <w:t xml:space="preserve"> food testing as spe</w:t>
      </w:r>
      <w:r w:rsidR="00B25085">
        <w:rPr>
          <w:szCs w:val="24"/>
        </w:rPr>
        <w:t>cified in the regulations.</w:t>
      </w:r>
    </w:p>
    <w:p w:rsidR="00B25085" w:rsidP="002A0C48" w:rsidRDefault="00B25085" w14:paraId="4FE5AD5E" w14:textId="77777777">
      <w:pPr>
        <w:pStyle w:val="StyleNormalDoublespaceTimesNewRoman"/>
        <w:spacing w:line="240" w:lineRule="auto"/>
        <w:ind w:left="720"/>
        <w:rPr>
          <w:szCs w:val="24"/>
        </w:rPr>
      </w:pPr>
    </w:p>
    <w:p w:rsidRPr="00131AAA" w:rsidR="00A41713" w:rsidP="002A0C48" w:rsidRDefault="00B25085" w14:paraId="6E17CF05" w14:textId="33DBC629">
      <w:pPr>
        <w:pStyle w:val="StyleNormalDoublespaceTimesNewRoman"/>
        <w:spacing w:line="240" w:lineRule="auto"/>
        <w:ind w:left="720"/>
        <w:rPr>
          <w:szCs w:val="24"/>
        </w:rPr>
      </w:pPr>
      <w:r>
        <w:rPr>
          <w:szCs w:val="24"/>
        </w:rPr>
        <w:t xml:space="preserve">We therefore request OMB approval for the information collection provisions </w:t>
      </w:r>
      <w:r w:rsidR="009917BB">
        <w:rPr>
          <w:szCs w:val="24"/>
        </w:rPr>
        <w:t>found in 21 CFR part 1</w:t>
      </w:r>
      <w:r w:rsidR="00F3498F">
        <w:rPr>
          <w:szCs w:val="24"/>
        </w:rPr>
        <w:t>,</w:t>
      </w:r>
      <w:r w:rsidR="009917BB">
        <w:rPr>
          <w:szCs w:val="24"/>
        </w:rPr>
        <w:t xml:space="preserve"> </w:t>
      </w:r>
      <w:r w:rsidR="00845BA0">
        <w:rPr>
          <w:szCs w:val="24"/>
        </w:rPr>
        <w:t xml:space="preserve">new </w:t>
      </w:r>
      <w:r w:rsidR="009917BB">
        <w:rPr>
          <w:szCs w:val="24"/>
        </w:rPr>
        <w:t xml:space="preserve">subpart </w:t>
      </w:r>
      <w:r w:rsidR="00267351">
        <w:rPr>
          <w:szCs w:val="24"/>
        </w:rPr>
        <w:t>R</w:t>
      </w:r>
      <w:r w:rsidR="009917BB">
        <w:rPr>
          <w:szCs w:val="24"/>
        </w:rPr>
        <w:t xml:space="preserve">, </w:t>
      </w:r>
      <w:r w:rsidR="00673B12">
        <w:rPr>
          <w:szCs w:val="24"/>
        </w:rPr>
        <w:t xml:space="preserve">and </w:t>
      </w:r>
      <w:r w:rsidR="009917BB">
        <w:rPr>
          <w:szCs w:val="24"/>
        </w:rPr>
        <w:t>discussed in this supporting statement.</w:t>
      </w:r>
    </w:p>
    <w:p w:rsidRPr="002746DB" w:rsidR="008B30AB" w:rsidP="002A0C48" w:rsidRDefault="00EB7538" w14:paraId="2FDE9CB4" w14:textId="77777777">
      <w:pPr>
        <w:numPr>
          <w:ilvl w:val="0"/>
          <w:numId w:val="1"/>
        </w:numPr>
        <w:tabs>
          <w:tab w:val="clear" w:pos="720"/>
        </w:tabs>
        <w:spacing w:before="100" w:beforeAutospacing="1" w:after="100" w:afterAutospacing="1"/>
        <w:rPr>
          <w:u w:val="single"/>
        </w:rPr>
      </w:pPr>
      <w:r w:rsidRPr="002746DB">
        <w:rPr>
          <w:u w:val="single"/>
        </w:rPr>
        <w:t xml:space="preserve">Purpose and Use of the Information Collection </w:t>
      </w:r>
    </w:p>
    <w:p w:rsidR="00CF7451" w:rsidP="002A0C48" w:rsidRDefault="00025D1C" w14:paraId="4F5F17BB" w14:textId="4A3EFD1F">
      <w:pPr>
        <w:ind w:left="720"/>
      </w:pPr>
      <w:r>
        <w:t xml:space="preserve">Establishing </w:t>
      </w:r>
      <w:r w:rsidR="00BB4F87">
        <w:t>the</w:t>
      </w:r>
      <w:r w:rsidR="00FC039D">
        <w:t xml:space="preserve"> laboratory accreditation program </w:t>
      </w:r>
      <w:r w:rsidR="00D70670">
        <w:t xml:space="preserve">will </w:t>
      </w:r>
      <w:r w:rsidR="00BB4F87">
        <w:t xml:space="preserve">help fulfill </w:t>
      </w:r>
      <w:r>
        <w:t>FDA</w:t>
      </w:r>
      <w:r w:rsidR="00655BED">
        <w:t>’s</w:t>
      </w:r>
      <w:r>
        <w:t xml:space="preserve"> </w:t>
      </w:r>
      <w:r w:rsidR="00BB4F87">
        <w:t xml:space="preserve">mandate to </w:t>
      </w:r>
      <w:r>
        <w:t xml:space="preserve">ensure the safety of the U.S. food supply and protect U.S. consumers by </w:t>
      </w:r>
      <w:r w:rsidR="00777AC6">
        <w:t xml:space="preserve">administering </w:t>
      </w:r>
      <w:r>
        <w:t>appropriate oversight of certain food testing that is of importance to public health.</w:t>
      </w:r>
      <w:r w:rsidR="00284D22">
        <w:t xml:space="preserve">  </w:t>
      </w:r>
      <w:r>
        <w:t>It will also</w:t>
      </w:r>
      <w:r w:rsidR="00791716">
        <w:t xml:space="preserve"> help</w:t>
      </w:r>
      <w:r>
        <w:t xml:space="preserve"> ensure that the testing is done in accordance with appropriate model standards which will help produce consistently reliable and valid test results.</w:t>
      </w:r>
      <w:r w:rsidR="00E425E4">
        <w:t xml:space="preserve">  </w:t>
      </w:r>
    </w:p>
    <w:p w:rsidRPr="004C6979" w:rsidR="002746DB" w:rsidP="002A0C48" w:rsidRDefault="00EB7538" w14:paraId="4CE5A40B" w14:textId="77777777">
      <w:pPr>
        <w:numPr>
          <w:ilvl w:val="0"/>
          <w:numId w:val="1"/>
        </w:numPr>
        <w:tabs>
          <w:tab w:val="clear" w:pos="720"/>
        </w:tabs>
        <w:spacing w:before="100" w:beforeAutospacing="1" w:after="100" w:afterAutospacing="1"/>
        <w:ind w:right="-1440"/>
        <w:rPr>
          <w:u w:val="single"/>
        </w:rPr>
      </w:pPr>
      <w:r w:rsidRPr="004C6979">
        <w:rPr>
          <w:u w:val="single"/>
        </w:rPr>
        <w:t xml:space="preserve">Use of Improved Information Technology and Burden Reduction </w:t>
      </w:r>
    </w:p>
    <w:p w:rsidRPr="007A57C9" w:rsidR="00A96221" w:rsidP="002A0C48" w:rsidRDefault="00AD52A5" w14:paraId="20D30A65" w14:textId="10EC1802">
      <w:pPr>
        <w:ind w:left="720"/>
      </w:pPr>
      <w:r w:rsidRPr="00AD52A5">
        <w:t xml:space="preserve">The </w:t>
      </w:r>
      <w:r w:rsidR="00DF3D12">
        <w:t xml:space="preserve">regulations </w:t>
      </w:r>
      <w:r w:rsidR="00E76E21">
        <w:t>require</w:t>
      </w:r>
      <w:r w:rsidR="007679C7">
        <w:t xml:space="preserve"> </w:t>
      </w:r>
      <w:r w:rsidR="000364CB">
        <w:t xml:space="preserve">respondents </w:t>
      </w:r>
      <w:r w:rsidR="00E76E21">
        <w:t xml:space="preserve">to maintain and </w:t>
      </w:r>
      <w:r w:rsidR="000439B1">
        <w:t xml:space="preserve">electronically </w:t>
      </w:r>
      <w:r w:rsidR="00E76E21">
        <w:t xml:space="preserve">submit </w:t>
      </w:r>
      <w:r w:rsidR="004D1808">
        <w:t>certain</w:t>
      </w:r>
      <w:r w:rsidR="00E76E21">
        <w:t xml:space="preserve"> test results, reports, notification</w:t>
      </w:r>
      <w:r w:rsidR="000364CB">
        <w:t>s</w:t>
      </w:r>
      <w:r w:rsidR="007679C7">
        <w:t>, and other records</w:t>
      </w:r>
      <w:r w:rsidR="00E76E21">
        <w:t xml:space="preserve"> to FDA.</w:t>
      </w:r>
      <w:r w:rsidR="000364CB">
        <w:t xml:space="preserve">  We are currently planning and developing </w:t>
      </w:r>
      <w:r w:rsidR="00D978F1">
        <w:t>information technology</w:t>
      </w:r>
      <w:r w:rsidR="00396795">
        <w:t xml:space="preserve"> </w:t>
      </w:r>
      <w:r w:rsidR="00DF3D12">
        <w:t xml:space="preserve">system </w:t>
      </w:r>
      <w:r w:rsidR="000364CB">
        <w:t xml:space="preserve">improvements </w:t>
      </w:r>
      <w:r w:rsidR="00D978F1">
        <w:t xml:space="preserve">to </w:t>
      </w:r>
      <w:r w:rsidR="00DF3D12">
        <w:t>facilitate the information collection for both FDA and respondents.</w:t>
      </w:r>
    </w:p>
    <w:p w:rsidR="00D03349" w:rsidRDefault="00D03349" w14:paraId="3A37115D" w14:textId="77777777">
      <w:pPr>
        <w:rPr>
          <w:u w:val="single"/>
        </w:rPr>
      </w:pPr>
      <w:r>
        <w:rPr>
          <w:u w:val="single"/>
        </w:rPr>
        <w:br w:type="page"/>
      </w:r>
    </w:p>
    <w:p w:rsidRPr="002746DB" w:rsidR="002746DB" w:rsidP="002A0C48" w:rsidRDefault="00EB7538" w14:paraId="5B429AB5" w14:textId="275D1D3A">
      <w:pPr>
        <w:numPr>
          <w:ilvl w:val="0"/>
          <w:numId w:val="1"/>
        </w:numPr>
        <w:tabs>
          <w:tab w:val="clear" w:pos="720"/>
        </w:tabs>
        <w:spacing w:before="100" w:beforeAutospacing="1" w:after="100" w:afterAutospacing="1"/>
        <w:rPr>
          <w:u w:val="single"/>
        </w:rPr>
      </w:pPr>
      <w:r w:rsidRPr="002746DB">
        <w:rPr>
          <w:u w:val="single"/>
        </w:rPr>
        <w:lastRenderedPageBreak/>
        <w:t xml:space="preserve">Efforts to Identify Duplication and Use of Similar Information </w:t>
      </w:r>
    </w:p>
    <w:p w:rsidRPr="007A57C9" w:rsidR="007A57C9" w:rsidP="002A0C48" w:rsidRDefault="007A57C9" w14:paraId="2535FFAD" w14:textId="77777777">
      <w:pPr>
        <w:spacing w:before="100" w:beforeAutospacing="1" w:after="100" w:afterAutospacing="1"/>
        <w:ind w:left="720"/>
      </w:pPr>
      <w:r>
        <w:t>We are unaware of duplicative information collection.</w:t>
      </w:r>
    </w:p>
    <w:p w:rsidRPr="007A57C9" w:rsidR="008B0EFA" w:rsidP="002A0C48" w:rsidRDefault="00EB7538" w14:paraId="239E553C" w14:textId="65A9BA3E">
      <w:pPr>
        <w:numPr>
          <w:ilvl w:val="0"/>
          <w:numId w:val="1"/>
        </w:numPr>
        <w:tabs>
          <w:tab w:val="clear" w:pos="720"/>
        </w:tabs>
        <w:spacing w:before="100" w:beforeAutospacing="1" w:after="100" w:afterAutospacing="1"/>
        <w:rPr>
          <w:u w:val="single"/>
        </w:rPr>
      </w:pPr>
      <w:r w:rsidRPr="004C6979">
        <w:rPr>
          <w:u w:val="single"/>
        </w:rPr>
        <w:t>Impact on Small Businesses or Other Small Entities</w:t>
      </w:r>
    </w:p>
    <w:p w:rsidR="00987C3F" w:rsidP="002A0C48" w:rsidRDefault="007035E6" w14:paraId="7093BDC8" w14:textId="476DCB4A">
      <w:pPr>
        <w:autoSpaceDE w:val="0"/>
        <w:autoSpaceDN w:val="0"/>
        <w:adjustRightInd w:val="0"/>
        <w:ind w:left="720"/>
        <w:rPr>
          <w:snapToGrid w:val="0"/>
          <w:szCs w:val="20"/>
        </w:rPr>
      </w:pPr>
      <w:r>
        <w:rPr>
          <w:snapToGrid w:val="0"/>
          <w:szCs w:val="20"/>
        </w:rPr>
        <w:t>Although</w:t>
      </w:r>
      <w:r w:rsidR="00607CA1">
        <w:rPr>
          <w:snapToGrid w:val="0"/>
          <w:szCs w:val="20"/>
        </w:rPr>
        <w:t xml:space="preserve"> we </w:t>
      </w:r>
      <w:r w:rsidR="00CA06EB">
        <w:rPr>
          <w:snapToGrid w:val="0"/>
          <w:szCs w:val="20"/>
        </w:rPr>
        <w:t>estimate that all respondents to the information collection are small businesses</w:t>
      </w:r>
      <w:r w:rsidR="006D4459">
        <w:rPr>
          <w:snapToGrid w:val="0"/>
          <w:szCs w:val="20"/>
        </w:rPr>
        <w:t xml:space="preserve">, we do not believe </w:t>
      </w:r>
      <w:r w:rsidR="00A550A2">
        <w:rPr>
          <w:snapToGrid w:val="0"/>
          <w:szCs w:val="20"/>
        </w:rPr>
        <w:t>it poses undue burden on those entities.</w:t>
      </w:r>
      <w:r w:rsidR="00721576">
        <w:rPr>
          <w:snapToGrid w:val="0"/>
          <w:szCs w:val="20"/>
        </w:rPr>
        <w:t xml:space="preserve">  </w:t>
      </w:r>
      <w:r w:rsidR="003E209D">
        <w:rPr>
          <w:snapToGrid w:val="0"/>
          <w:szCs w:val="20"/>
        </w:rPr>
        <w:t xml:space="preserve">At the same time, </w:t>
      </w:r>
      <w:r w:rsidR="00721576">
        <w:rPr>
          <w:snapToGrid w:val="0"/>
          <w:szCs w:val="20"/>
        </w:rPr>
        <w:t xml:space="preserve">FDA offers </w:t>
      </w:r>
      <w:r w:rsidR="002A790F">
        <w:rPr>
          <w:snapToGrid w:val="0"/>
          <w:szCs w:val="20"/>
        </w:rPr>
        <w:t xml:space="preserve">small business assistance through resources on our website </w:t>
      </w:r>
      <w:r w:rsidR="00987C3F">
        <w:rPr>
          <w:snapToGrid w:val="0"/>
          <w:szCs w:val="20"/>
        </w:rPr>
        <w:t xml:space="preserve">at:  </w:t>
      </w:r>
      <w:hyperlink w:history="1" r:id="rId8">
        <w:r w:rsidRPr="007E0A0B" w:rsidR="00987C3F">
          <w:rPr>
            <w:rStyle w:val="Hyperlink"/>
            <w:snapToGrid w:val="0"/>
            <w:szCs w:val="20"/>
          </w:rPr>
          <w:t>www.fda.gov/industry/small-business-assistance</w:t>
        </w:r>
      </w:hyperlink>
      <w:r w:rsidR="00987C3F">
        <w:rPr>
          <w:snapToGrid w:val="0"/>
          <w:szCs w:val="20"/>
        </w:rPr>
        <w:t>.</w:t>
      </w:r>
    </w:p>
    <w:p w:rsidRPr="004C6979" w:rsidR="00CD77C3" w:rsidP="002A0C48" w:rsidRDefault="00EB7538" w14:paraId="7D36935A" w14:textId="77777777">
      <w:pPr>
        <w:numPr>
          <w:ilvl w:val="0"/>
          <w:numId w:val="1"/>
        </w:numPr>
        <w:tabs>
          <w:tab w:val="clear" w:pos="720"/>
        </w:tabs>
        <w:spacing w:before="100" w:beforeAutospacing="1" w:after="100" w:afterAutospacing="1"/>
        <w:rPr>
          <w:u w:val="single"/>
        </w:rPr>
      </w:pPr>
      <w:r w:rsidRPr="004C6979">
        <w:rPr>
          <w:u w:val="single"/>
        </w:rPr>
        <w:t>Consequences of Collecting the Information Less Frequently</w:t>
      </w:r>
    </w:p>
    <w:p w:rsidRPr="007A57C9" w:rsidR="007A57C9" w:rsidP="002A0C48" w:rsidRDefault="007A57C9" w14:paraId="31BFDA4F" w14:textId="4B1FA18E">
      <w:pPr>
        <w:spacing w:before="100" w:beforeAutospacing="1" w:after="100" w:afterAutospacing="1"/>
        <w:ind w:left="720"/>
      </w:pPr>
      <w:r>
        <w:t>The information collection schedule is consistent with current statutory and regulatory requirements.</w:t>
      </w:r>
      <w:r w:rsidR="005C2115">
        <w:t xml:space="preserve">  </w:t>
      </w:r>
    </w:p>
    <w:p w:rsidR="00CD77C3" w:rsidP="002A0C48" w:rsidRDefault="00EB7538" w14:paraId="2826D0DB" w14:textId="77777777">
      <w:pPr>
        <w:numPr>
          <w:ilvl w:val="0"/>
          <w:numId w:val="1"/>
        </w:numPr>
        <w:tabs>
          <w:tab w:val="clear" w:pos="720"/>
        </w:tabs>
        <w:spacing w:before="100" w:beforeAutospacing="1" w:after="100" w:afterAutospacing="1"/>
        <w:rPr>
          <w:u w:val="single"/>
        </w:rPr>
      </w:pPr>
      <w:r w:rsidRPr="004C6979">
        <w:rPr>
          <w:u w:val="single"/>
        </w:rPr>
        <w:t>Special Circumstances Relating to the Guidelines of 5 CFR 1320.5</w:t>
      </w:r>
    </w:p>
    <w:p w:rsidRPr="000D7C89" w:rsidR="000D7C89" w:rsidP="002A0C48" w:rsidRDefault="00671D34" w14:paraId="74273853" w14:textId="69570B5C">
      <w:pPr>
        <w:spacing w:before="100" w:beforeAutospacing="1" w:after="100" w:afterAutospacing="1"/>
        <w:ind w:left="720"/>
      </w:pPr>
      <w:r w:rsidRPr="00671D34">
        <w:t xml:space="preserve">Section 422(a)(7) </w:t>
      </w:r>
      <w:r w:rsidR="00557D2F">
        <w:t xml:space="preserve">of the FD&amp;C Act </w:t>
      </w:r>
      <w:r w:rsidRPr="00671D34">
        <w:t xml:space="preserve">provides that FDA shall reevaluate accreditation bodies recognized under the program no less than once every 5 years.  Accordingly, </w:t>
      </w:r>
      <w:r w:rsidR="00DF3D12">
        <w:t xml:space="preserve">the regulations establish </w:t>
      </w:r>
      <w:r w:rsidR="00024F26">
        <w:t xml:space="preserve">such a record retention schedule in </w:t>
      </w:r>
      <w:r w:rsidR="005B43DE">
        <w:t>21 CFR 1.11</w:t>
      </w:r>
      <w:r w:rsidR="00E86351">
        <w:t>24</w:t>
      </w:r>
      <w:r w:rsidR="00176FBD">
        <w:t>.</w:t>
      </w:r>
    </w:p>
    <w:p w:rsidR="00CD77C3" w:rsidP="002A0C48" w:rsidRDefault="00EB7538" w14:paraId="1FA8AF08" w14:textId="77777777">
      <w:pPr>
        <w:numPr>
          <w:ilvl w:val="0"/>
          <w:numId w:val="1"/>
        </w:numPr>
        <w:tabs>
          <w:tab w:val="clear" w:pos="720"/>
        </w:tabs>
        <w:spacing w:before="100" w:beforeAutospacing="1" w:after="100" w:afterAutospacing="1"/>
        <w:rPr>
          <w:u w:val="single"/>
        </w:rPr>
      </w:pPr>
      <w:r w:rsidRPr="004C6979">
        <w:rPr>
          <w:u w:val="single"/>
        </w:rPr>
        <w:t>Comments in Response to the Federal Register Notice and Efforts to Consult Outside the Agency</w:t>
      </w:r>
    </w:p>
    <w:p w:rsidR="00705086" w:rsidP="002A0C48" w:rsidRDefault="000262ED" w14:paraId="254F8885" w14:textId="23789316">
      <w:pPr>
        <w:ind w:left="720"/>
      </w:pPr>
      <w:r>
        <w:t>In a</w:t>
      </w:r>
      <w:r w:rsidR="00916098">
        <w:t xml:space="preserve">ccordance with </w:t>
      </w:r>
      <w:r w:rsidR="005E3816">
        <w:t xml:space="preserve">44 U.S.C. </w:t>
      </w:r>
      <w:r w:rsidRPr="00591F34" w:rsidR="00705086">
        <w:t>350</w:t>
      </w:r>
      <w:r w:rsidR="00916098">
        <w:t>5</w:t>
      </w:r>
      <w:r w:rsidRPr="00591F34" w:rsidR="00705086">
        <w:t xml:space="preserve">(c)(2)(B), </w:t>
      </w:r>
      <w:r w:rsidR="005E3816">
        <w:t xml:space="preserve">we published </w:t>
      </w:r>
      <w:r w:rsidR="00D87CEE">
        <w:t xml:space="preserve">a </w:t>
      </w:r>
      <w:r w:rsidR="00146780">
        <w:t xml:space="preserve">notice of </w:t>
      </w:r>
      <w:r w:rsidR="00D87CEE">
        <w:t>proposed rule</w:t>
      </w:r>
      <w:r w:rsidR="00146780">
        <w:t>making</w:t>
      </w:r>
      <w:r w:rsidR="00D87CEE">
        <w:t xml:space="preserve"> in the </w:t>
      </w:r>
      <w:r w:rsidRPr="008B0A16" w:rsidR="00BB0D7D">
        <w:rPr>
          <w:u w:val="single"/>
        </w:rPr>
        <w:t>Federal Register</w:t>
      </w:r>
      <w:r w:rsidR="00BB0D7D">
        <w:t xml:space="preserve"> </w:t>
      </w:r>
      <w:r w:rsidR="00916098">
        <w:t xml:space="preserve">of </w:t>
      </w:r>
      <w:r w:rsidR="00197042">
        <w:t xml:space="preserve">November 4, </w:t>
      </w:r>
      <w:r w:rsidR="004A2137">
        <w:t xml:space="preserve">2019 (84 FR 59452) soliciting public comment on the information collection.  </w:t>
      </w:r>
      <w:r w:rsidR="00840F65">
        <w:t>In response to request</w:t>
      </w:r>
      <w:r w:rsidR="00A21DAC">
        <w:t>s</w:t>
      </w:r>
      <w:r w:rsidR="00840F65">
        <w:t xml:space="preserve"> from interested parties, </w:t>
      </w:r>
      <w:r w:rsidR="00DF3D12">
        <w:t xml:space="preserve">we </w:t>
      </w:r>
      <w:r w:rsidR="00916098">
        <w:t>extended the comment period to</w:t>
      </w:r>
      <w:r w:rsidR="008026DC">
        <w:t xml:space="preserve"> </w:t>
      </w:r>
      <w:r w:rsidR="00ED37CC">
        <w:t xml:space="preserve">July </w:t>
      </w:r>
      <w:r w:rsidR="00134F54">
        <w:t xml:space="preserve">6, 2020 </w:t>
      </w:r>
      <w:r w:rsidR="00DA6C83">
        <w:t>(</w:t>
      </w:r>
      <w:r w:rsidR="00076496">
        <w:t>see 85 FR 11</w:t>
      </w:r>
      <w:r w:rsidR="008C0671">
        <w:t xml:space="preserve">893 and </w:t>
      </w:r>
      <w:r w:rsidR="00DA6C83">
        <w:t>85 FR</w:t>
      </w:r>
      <w:r w:rsidR="0026016B">
        <w:t xml:space="preserve"> 19114</w:t>
      </w:r>
      <w:r w:rsidR="00165629">
        <w:t>)</w:t>
      </w:r>
      <w:r w:rsidR="00DA6C83">
        <w:t xml:space="preserve"> </w:t>
      </w:r>
      <w:r w:rsidR="00134F54">
        <w:t xml:space="preserve">to </w:t>
      </w:r>
      <w:r w:rsidR="008026DC">
        <w:t xml:space="preserve">provide additional </w:t>
      </w:r>
      <w:r w:rsidR="0026016B">
        <w:t xml:space="preserve">time </w:t>
      </w:r>
      <w:r w:rsidR="008026DC">
        <w:t xml:space="preserve">for public comment.  </w:t>
      </w:r>
      <w:r w:rsidR="00DF3D12">
        <w:t xml:space="preserve">Although </w:t>
      </w:r>
      <w:r w:rsidR="003558B6">
        <w:t>about 70 comment</w:t>
      </w:r>
      <w:r w:rsidR="00DF3D12">
        <w:t>s were received in response to the proposed rulemaking, none suggest</w:t>
      </w:r>
      <w:r w:rsidR="002A7740">
        <w:t>ed</w:t>
      </w:r>
      <w:r w:rsidR="00DF3D12">
        <w:t xml:space="preserve"> </w:t>
      </w:r>
      <w:r w:rsidR="00E12269">
        <w:t xml:space="preserve">that </w:t>
      </w:r>
      <w:r w:rsidR="00DF3D12">
        <w:t xml:space="preserve">FDA revise its burden estimate of the information collection or offered alternative figures.  </w:t>
      </w:r>
      <w:r w:rsidR="0039377A">
        <w:t>A small number of comments suggest</w:t>
      </w:r>
      <w:r w:rsidR="002A7740">
        <w:t>ed</w:t>
      </w:r>
      <w:r w:rsidR="0039377A">
        <w:t xml:space="preserve"> that</w:t>
      </w:r>
      <w:r w:rsidR="004B43D6">
        <w:t xml:space="preserve"> only 8-10 accreditation bodies </w:t>
      </w:r>
      <w:r w:rsidR="00AC63B0">
        <w:t>would apply to be recognized</w:t>
      </w:r>
      <w:r w:rsidR="00037E07">
        <w:t xml:space="preserve"> based on </w:t>
      </w:r>
      <w:r w:rsidR="006E756B">
        <w:t>experience with accreditation bodies that participate in the Accredited Third-Party Certi</w:t>
      </w:r>
      <w:r w:rsidR="009656C4">
        <w:t>fication program.  As a result</w:t>
      </w:r>
      <w:r w:rsidR="00E71524">
        <w:t xml:space="preserve"> of the comments regarding accreditation body participation and </w:t>
      </w:r>
      <w:r w:rsidR="00D44FD5">
        <w:t>upon further review of laboratories that currently conduct food testing covered by the regulations</w:t>
      </w:r>
      <w:r w:rsidR="00DF3D12">
        <w:t xml:space="preserve">, we have adjusted the </w:t>
      </w:r>
      <w:r w:rsidR="00711A16">
        <w:t xml:space="preserve">number of respondents </w:t>
      </w:r>
      <w:r w:rsidR="00F16E57">
        <w:t xml:space="preserve">to better reflect </w:t>
      </w:r>
      <w:r w:rsidR="00AF5D00">
        <w:t>our estimate</w:t>
      </w:r>
      <w:r w:rsidR="004661DA">
        <w:t>s</w:t>
      </w:r>
      <w:r w:rsidR="00AF5D00">
        <w:t xml:space="preserve"> of </w:t>
      </w:r>
      <w:r w:rsidR="00F16E57">
        <w:t xml:space="preserve">the number of </w:t>
      </w:r>
      <w:r w:rsidR="00AF5D00">
        <w:t xml:space="preserve">accreditation bodies </w:t>
      </w:r>
      <w:r w:rsidR="002E34DD">
        <w:t xml:space="preserve">(4) </w:t>
      </w:r>
      <w:r w:rsidR="00AF5D00">
        <w:t xml:space="preserve">and laboratories </w:t>
      </w:r>
      <w:r w:rsidR="002E34DD">
        <w:t xml:space="preserve">(170) </w:t>
      </w:r>
      <w:r w:rsidR="00AF5D00">
        <w:t xml:space="preserve">that may decide to participate.  </w:t>
      </w:r>
      <w:r w:rsidR="001A4C07">
        <w:t>T</w:t>
      </w:r>
      <w:r w:rsidR="00CB2495">
        <w:t xml:space="preserve">he </w:t>
      </w:r>
      <w:r w:rsidR="00227A81">
        <w:t>change in the number of respondents</w:t>
      </w:r>
      <w:r w:rsidR="00BD3FAB">
        <w:t xml:space="preserve"> also impacted</w:t>
      </w:r>
      <w:r w:rsidR="00227A81">
        <w:t xml:space="preserve"> the number of responses per respondent for recognized accreditation bodies </w:t>
      </w:r>
      <w:r w:rsidR="002511F1">
        <w:t>under § 1.11</w:t>
      </w:r>
      <w:r w:rsidR="00B6247A">
        <w:t>23</w:t>
      </w:r>
      <w:r w:rsidR="00BD3FAB">
        <w:t>, which</w:t>
      </w:r>
      <w:r w:rsidR="00B6247A">
        <w:t xml:space="preserve"> </w:t>
      </w:r>
      <w:r w:rsidR="000A42CF">
        <w:t xml:space="preserve">increased from </w:t>
      </w:r>
      <w:r w:rsidRPr="00E30E7D" w:rsidR="000A42CF">
        <w:t>12 to 48</w:t>
      </w:r>
      <w:r w:rsidR="000A42CF">
        <w:t xml:space="preserve"> in the final rule to account for fewer recognized accreditation bodies </w:t>
      </w:r>
      <w:r w:rsidR="002511F1">
        <w:t xml:space="preserve">submitting </w:t>
      </w:r>
      <w:r w:rsidR="00B6247A">
        <w:t xml:space="preserve">reports regarding a greater number of </w:t>
      </w:r>
      <w:r w:rsidR="008F1151">
        <w:t xml:space="preserve">LAAF-accredited </w:t>
      </w:r>
      <w:r w:rsidR="00B6247A">
        <w:t>labo</w:t>
      </w:r>
      <w:r w:rsidR="003764F0">
        <w:t>r</w:t>
      </w:r>
      <w:r w:rsidR="00B6247A">
        <w:t>atories.</w:t>
      </w:r>
      <w:r w:rsidR="00227A81">
        <w:t xml:space="preserve"> </w:t>
      </w:r>
      <w:r w:rsidR="00DA3D40">
        <w:t>We</w:t>
      </w:r>
      <w:r w:rsidR="00B61105">
        <w:t xml:space="preserve"> included additional reporting </w:t>
      </w:r>
      <w:r w:rsidR="00503EB1">
        <w:t>burden for §§ 1.1116</w:t>
      </w:r>
      <w:r w:rsidR="007153BF">
        <w:t xml:space="preserve"> and</w:t>
      </w:r>
      <w:r w:rsidR="00503EB1">
        <w:t xml:space="preserve"> 1.1140</w:t>
      </w:r>
      <w:r w:rsidR="007153BF">
        <w:t xml:space="preserve"> to account for notices of intent to </w:t>
      </w:r>
      <w:r w:rsidR="00193FD0">
        <w:t>relinquish recognition and LAAF-accreditation, respectively.</w:t>
      </w:r>
      <w:r w:rsidR="006B7602">
        <w:t xml:space="preserve">  We</w:t>
      </w:r>
      <w:r w:rsidR="00027988">
        <w:t xml:space="preserve"> also included recordkeeping burden for </w:t>
      </w:r>
      <w:r w:rsidR="00B75F9B">
        <w:t xml:space="preserve">LAAF-accredited laboratories </w:t>
      </w:r>
      <w:r w:rsidR="00027988">
        <w:t>§1.1154</w:t>
      </w:r>
      <w:r w:rsidR="006A34C8">
        <w:t xml:space="preserve"> which was inadvertently omitted f</w:t>
      </w:r>
      <w:r w:rsidR="00B75F9B">
        <w:t>rom</w:t>
      </w:r>
      <w:r w:rsidR="006A34C8">
        <w:t xml:space="preserve"> the proposed rule supporting statement. </w:t>
      </w:r>
    </w:p>
    <w:p w:rsidR="003A3218" w:rsidP="002A0C48" w:rsidRDefault="003A3218" w14:paraId="7182F5F0" w14:textId="4821ED86">
      <w:pPr>
        <w:ind w:left="720"/>
      </w:pPr>
    </w:p>
    <w:p w:rsidRPr="004C6979" w:rsidR="00CD77C3" w:rsidP="002A0C48" w:rsidRDefault="00EB7538" w14:paraId="77351C26" w14:textId="77777777">
      <w:pPr>
        <w:numPr>
          <w:ilvl w:val="0"/>
          <w:numId w:val="1"/>
        </w:numPr>
        <w:tabs>
          <w:tab w:val="clear" w:pos="720"/>
        </w:tabs>
        <w:spacing w:before="100" w:beforeAutospacing="1" w:after="100" w:afterAutospacing="1"/>
        <w:rPr>
          <w:u w:val="single"/>
        </w:rPr>
      </w:pPr>
      <w:r w:rsidRPr="004C6979">
        <w:rPr>
          <w:u w:val="single"/>
        </w:rPr>
        <w:lastRenderedPageBreak/>
        <w:t>Explanation of Any Payment or Gift to Respondents</w:t>
      </w:r>
    </w:p>
    <w:p w:rsidR="00CD77C3" w:rsidP="002A0C48" w:rsidRDefault="00D35E71" w14:paraId="4B85C2BC" w14:textId="77777777">
      <w:pPr>
        <w:ind w:left="720"/>
      </w:pPr>
      <w:r>
        <w:t xml:space="preserve">This information collection does </w:t>
      </w:r>
      <w:r w:rsidR="00D87CEE">
        <w:t xml:space="preserve">not </w:t>
      </w:r>
      <w:r>
        <w:t>provide for payments or gifts to respondents.</w:t>
      </w:r>
    </w:p>
    <w:p w:rsidR="00FA27A8" w:rsidRDefault="00FA27A8" w14:paraId="58E57A17" w14:textId="5D574727">
      <w:pPr>
        <w:rPr>
          <w:u w:val="single"/>
        </w:rPr>
      </w:pPr>
    </w:p>
    <w:p w:rsidRPr="004C6979" w:rsidR="00CD77C3" w:rsidP="002A0C48" w:rsidRDefault="00EB7538" w14:paraId="658C738C" w14:textId="77783065">
      <w:pPr>
        <w:numPr>
          <w:ilvl w:val="0"/>
          <w:numId w:val="1"/>
        </w:numPr>
        <w:tabs>
          <w:tab w:val="clear" w:pos="720"/>
        </w:tabs>
        <w:spacing w:before="100" w:beforeAutospacing="1" w:after="100" w:afterAutospacing="1"/>
        <w:rPr>
          <w:u w:val="single"/>
        </w:rPr>
      </w:pPr>
      <w:r w:rsidRPr="004C6979">
        <w:rPr>
          <w:u w:val="single"/>
        </w:rPr>
        <w:t>Assurance of Confidentiality Provided to Respondents</w:t>
      </w:r>
    </w:p>
    <w:p w:rsidR="00C64EB7" w:rsidP="00C64EB7" w:rsidRDefault="00C64EB7" w14:paraId="0440D64E" w14:textId="4E984E09">
      <w:pPr>
        <w:pStyle w:val="ListParagraph"/>
      </w:pPr>
      <w:r w:rsidRPr="002F06C9">
        <w:t>The collection does not specify confidentiality.  However, reports and records submitted to FDA are subject to FDA regulations on the release of information found in 21 CFR part 20.  Confidential commercial information is protected from disclosure under FOIA in accordance with sections 5 U.S.C. 552(a) and (b) and by 21 CFR part 20.  To the extent that § 20.64 applies, we will honor the confidentiality of any data in investigation records compiled for law enforcement purposes.</w:t>
      </w:r>
    </w:p>
    <w:p w:rsidR="00C64EB7" w:rsidP="00C64EB7" w:rsidRDefault="00C64EB7" w14:paraId="40FFB351" w14:textId="2C8EF654">
      <w:pPr>
        <w:pStyle w:val="ListParagraph"/>
      </w:pPr>
    </w:p>
    <w:p w:rsidRPr="002F06C9" w:rsidR="009C3EE1" w:rsidP="009C3EE1" w:rsidRDefault="009C3EE1" w14:paraId="09E1ED17" w14:textId="77777777">
      <w:pPr>
        <w:ind w:left="720"/>
      </w:pPr>
      <w:r w:rsidRPr="002F06C9">
        <w:rPr>
          <w:i/>
          <w:iCs/>
        </w:rPr>
        <w:t>Privacy Act</w:t>
      </w:r>
    </w:p>
    <w:p w:rsidRPr="002F06C9" w:rsidR="009C3EE1" w:rsidP="009C3EE1" w:rsidRDefault="009C3EE1" w14:paraId="3B512E6C" w14:textId="77777777">
      <w:pPr>
        <w:ind w:left="720"/>
      </w:pPr>
    </w:p>
    <w:p w:rsidR="009C3EE1" w:rsidP="009C3EE1" w:rsidRDefault="009C3EE1" w14:paraId="346EBF60" w14:textId="47EE9AF6">
      <w:pPr>
        <w:ind w:left="720"/>
      </w:pPr>
      <w:r w:rsidRPr="002F06C9">
        <w:t>In preparing this supporting statement, we consulted with the FDA Privacy Office to ensure appropriate handling of information collected.  This information collection request (ICR) is collecting personally identifiable information (PII) or other data of a personal nature.  Information is collected when LAAF-accredited laboratories submit information about the qualifications of laboratory analysts, such as a curriculum vitae, and documentation of an individual sampler’s qualifications.</w:t>
      </w:r>
      <w:r>
        <w:t xml:space="preserve">  </w:t>
      </w:r>
      <w:r w:rsidR="000644FA">
        <w:t xml:space="preserve">The </w:t>
      </w:r>
      <w:r>
        <w:t xml:space="preserve">PII </w:t>
      </w:r>
      <w:r w:rsidR="000644FA">
        <w:t xml:space="preserve">submitted is expected to include typical curriculum vitae content such as name and contact information and professional background. This </w:t>
      </w:r>
      <w:r>
        <w:t>is collected in the context of the individual’s professional capacity.  The purpose of the collection is to help</w:t>
      </w:r>
      <w:r w:rsidR="00052162">
        <w:t xml:space="preserve"> ensure</w:t>
      </w:r>
      <w:r>
        <w:t xml:space="preserve"> </w:t>
      </w:r>
      <w:r w:rsidR="00D951C5">
        <w:t>that</w:t>
      </w:r>
      <w:r>
        <w:t xml:space="preserve"> persons involved in the collection and analysis of food testing samples are qualified to perform those tasks.  These information collections are described in 21 CFR §§ 1.1149(a)(1) and 1.1152(d)(12).</w:t>
      </w:r>
    </w:p>
    <w:p w:rsidR="009C3EE1" w:rsidP="009C3EE1" w:rsidRDefault="009C3EE1" w14:paraId="17B08D0F" w14:textId="77777777"/>
    <w:p w:rsidRPr="002F06C9" w:rsidR="00C64EB7" w:rsidP="009C3EE1" w:rsidRDefault="009C3EE1" w14:paraId="038CCE6F" w14:textId="51FDEB44">
      <w:pPr>
        <w:pStyle w:val="ListParagraph"/>
      </w:pPr>
      <w:r>
        <w:t xml:space="preserve">We determined that although PII is collected, the collection is not subject to the Privacy Act of 1974, and the particular notice and other requirements of the </w:t>
      </w:r>
      <w:r w:rsidR="000644FA">
        <w:t xml:space="preserve">Privacy </w:t>
      </w:r>
      <w:r>
        <w:t>Act do not apply.  Specifically, we do not use name or any other personal identifier to retrieve records from the information collected.</w:t>
      </w:r>
    </w:p>
    <w:p w:rsidRPr="004C6979" w:rsidR="004C6979" w:rsidP="002A0C48" w:rsidRDefault="00EB7538" w14:paraId="36A681B9" w14:textId="77777777">
      <w:pPr>
        <w:numPr>
          <w:ilvl w:val="0"/>
          <w:numId w:val="1"/>
        </w:numPr>
        <w:tabs>
          <w:tab w:val="clear" w:pos="720"/>
        </w:tabs>
        <w:spacing w:before="100" w:beforeAutospacing="1" w:after="100" w:afterAutospacing="1"/>
        <w:rPr>
          <w:u w:val="single"/>
        </w:rPr>
      </w:pPr>
      <w:r w:rsidRPr="004C6979">
        <w:rPr>
          <w:u w:val="single"/>
        </w:rPr>
        <w:t>Justification for Sensitive Questions</w:t>
      </w:r>
    </w:p>
    <w:p w:rsidR="004C6979" w:rsidP="002A0C48" w:rsidRDefault="004166FD" w14:paraId="2CCB7238" w14:textId="1487C1BA">
      <w:pPr>
        <w:pStyle w:val="BodyText2"/>
        <w:ind w:left="720"/>
      </w:pPr>
      <w:r>
        <w:t>This information collection does not contain questions of a sensitive nature.</w:t>
      </w:r>
    </w:p>
    <w:p w:rsidR="008360FA" w:rsidRDefault="008360FA" w14:paraId="371FA6C1" w14:textId="544D1E11">
      <w:pPr>
        <w:rPr>
          <w:szCs w:val="20"/>
        </w:rPr>
      </w:pPr>
      <w:r>
        <w:br w:type="page"/>
      </w:r>
    </w:p>
    <w:p w:rsidRPr="007A57C9" w:rsidR="004C6979" w:rsidP="002A0C48" w:rsidRDefault="00EB7538" w14:paraId="13E9AA49" w14:textId="77777777">
      <w:pPr>
        <w:numPr>
          <w:ilvl w:val="0"/>
          <w:numId w:val="1"/>
        </w:numPr>
        <w:tabs>
          <w:tab w:val="clear" w:pos="720"/>
        </w:tabs>
        <w:spacing w:before="100" w:beforeAutospacing="1" w:after="100" w:afterAutospacing="1"/>
        <w:rPr>
          <w:u w:val="single"/>
        </w:rPr>
      </w:pPr>
      <w:r w:rsidRPr="004C6979">
        <w:rPr>
          <w:u w:val="single"/>
        </w:rPr>
        <w:lastRenderedPageBreak/>
        <w:t>Estimates of Annualized Burden Hours and Costs</w:t>
      </w:r>
    </w:p>
    <w:p w:rsidRPr="00CF5486" w:rsidR="004C6979" w:rsidP="002A0C48" w:rsidRDefault="008B0E29" w14:paraId="06366121" w14:textId="6D7459A4">
      <w:pPr>
        <w:ind w:left="720"/>
        <w:rPr>
          <w:i/>
          <w:iCs/>
        </w:rPr>
      </w:pPr>
      <w:r w:rsidRPr="00CF5486">
        <w:rPr>
          <w:i/>
          <w:iCs/>
        </w:rPr>
        <w:t xml:space="preserve">12a. </w:t>
      </w:r>
      <w:r w:rsidRPr="00CF5486" w:rsidR="00411D11">
        <w:rPr>
          <w:i/>
          <w:iCs/>
        </w:rPr>
        <w:t xml:space="preserve">Annualized </w:t>
      </w:r>
      <w:r w:rsidRPr="00CF5486" w:rsidR="004C6979">
        <w:rPr>
          <w:i/>
          <w:iCs/>
        </w:rPr>
        <w:t>Hour Burden Estimate</w:t>
      </w:r>
    </w:p>
    <w:p w:rsidR="0085576E" w:rsidP="00D752A5" w:rsidRDefault="0085576E" w14:paraId="6A01904E" w14:textId="529D20D3">
      <w:pPr>
        <w:rPr>
          <w:i/>
        </w:rPr>
      </w:pPr>
    </w:p>
    <w:tbl>
      <w:tblPr>
        <w:tblW w:w="4825" w:type="pct"/>
        <w:tblInd w:w="4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421"/>
        <w:gridCol w:w="1351"/>
        <w:gridCol w:w="1351"/>
        <w:gridCol w:w="1170"/>
        <w:gridCol w:w="1170"/>
        <w:gridCol w:w="986"/>
      </w:tblGrid>
      <w:tr w:rsidRPr="005C6A2D" w:rsidR="00080C3B" w:rsidTr="00F03B0C" w14:paraId="78BA549E" w14:textId="77777777">
        <w:trPr>
          <w:cantSplit/>
          <w:trHeight w:val="20"/>
          <w:tblHeader/>
        </w:trPr>
        <w:tc>
          <w:tcPr>
            <w:tcW w:w="5000" w:type="pct"/>
            <w:gridSpan w:val="6"/>
            <w:tcBorders>
              <w:top w:val="nil"/>
              <w:left w:val="nil"/>
              <w:bottom w:val="single" w:color="auto" w:sz="4" w:space="0"/>
              <w:right w:val="nil"/>
            </w:tcBorders>
            <w:hideMark/>
          </w:tcPr>
          <w:p w:rsidRPr="001878E5" w:rsidR="00080C3B" w:rsidP="00C65E10" w:rsidRDefault="00080C3B" w14:paraId="51F32AB5" w14:textId="4CEC2E85">
            <w:pPr>
              <w:keepNext/>
              <w:jc w:val="center"/>
              <w:rPr>
                <w:sz w:val="20"/>
                <w:szCs w:val="20"/>
              </w:rPr>
            </w:pPr>
            <w:r w:rsidRPr="001878E5">
              <w:rPr>
                <w:sz w:val="20"/>
                <w:szCs w:val="20"/>
              </w:rPr>
              <w:t xml:space="preserve">Table </w:t>
            </w:r>
            <w:r>
              <w:rPr>
                <w:sz w:val="20"/>
                <w:szCs w:val="20"/>
              </w:rPr>
              <w:t>1</w:t>
            </w:r>
            <w:r w:rsidRPr="001878E5">
              <w:rPr>
                <w:sz w:val="20"/>
                <w:szCs w:val="20"/>
              </w:rPr>
              <w:t>--Estimated Annual Reporting Burden</w:t>
            </w:r>
          </w:p>
        </w:tc>
      </w:tr>
      <w:tr w:rsidRPr="00EB4986" w:rsidR="00F03B0C" w:rsidTr="00F03B0C" w14:paraId="52A735AC" w14:textId="77777777">
        <w:trPr>
          <w:cantSplit/>
          <w:trHeight w:val="20"/>
          <w:tblHeader/>
        </w:trPr>
        <w:tc>
          <w:tcPr>
            <w:tcW w:w="1810" w:type="pct"/>
            <w:tcBorders>
              <w:top w:val="single" w:color="auto" w:sz="4" w:space="0"/>
              <w:left w:val="single" w:color="auto" w:sz="4" w:space="0"/>
              <w:bottom w:val="single" w:color="auto" w:sz="4" w:space="0"/>
              <w:right w:val="single" w:color="auto" w:sz="4" w:space="0"/>
            </w:tcBorders>
            <w:hideMark/>
          </w:tcPr>
          <w:p w:rsidRPr="001878E5" w:rsidR="00080C3B" w:rsidP="00C65E10" w:rsidRDefault="00080C3B" w14:paraId="1F4D1CB3" w14:textId="77777777">
            <w:pPr>
              <w:keepNext/>
              <w:jc w:val="center"/>
              <w:rPr>
                <w:sz w:val="20"/>
                <w:szCs w:val="20"/>
              </w:rPr>
            </w:pPr>
            <w:r w:rsidRPr="001878E5">
              <w:rPr>
                <w:sz w:val="20"/>
                <w:szCs w:val="20"/>
              </w:rPr>
              <w:t>21 CFR Part 1, Subpart R citation; IC Activity</w:t>
            </w:r>
          </w:p>
        </w:tc>
        <w:tc>
          <w:tcPr>
            <w:tcW w:w="715" w:type="pct"/>
            <w:tcBorders>
              <w:top w:val="single" w:color="auto" w:sz="4" w:space="0"/>
              <w:left w:val="single" w:color="auto" w:sz="4" w:space="0"/>
              <w:bottom w:val="single" w:color="auto" w:sz="4" w:space="0"/>
              <w:right w:val="single" w:color="auto" w:sz="4" w:space="0"/>
            </w:tcBorders>
            <w:hideMark/>
          </w:tcPr>
          <w:p w:rsidRPr="001878E5" w:rsidR="00080C3B" w:rsidP="00C65E10" w:rsidRDefault="00080C3B" w14:paraId="6C52B6B2" w14:textId="77777777">
            <w:pPr>
              <w:keepNext/>
              <w:jc w:val="center"/>
              <w:rPr>
                <w:sz w:val="20"/>
                <w:szCs w:val="20"/>
              </w:rPr>
            </w:pPr>
            <w:r w:rsidRPr="001878E5">
              <w:rPr>
                <w:sz w:val="20"/>
                <w:szCs w:val="20"/>
              </w:rPr>
              <w:t>No. of Respondents</w:t>
            </w:r>
          </w:p>
        </w:tc>
        <w:tc>
          <w:tcPr>
            <w:tcW w:w="715" w:type="pct"/>
            <w:tcBorders>
              <w:top w:val="single" w:color="auto" w:sz="4" w:space="0"/>
              <w:left w:val="single" w:color="auto" w:sz="4" w:space="0"/>
              <w:bottom w:val="single" w:color="auto" w:sz="4" w:space="0"/>
              <w:right w:val="single" w:color="auto" w:sz="4" w:space="0"/>
            </w:tcBorders>
            <w:hideMark/>
          </w:tcPr>
          <w:p w:rsidRPr="001878E5" w:rsidR="00080C3B" w:rsidP="00C65E10" w:rsidRDefault="00080C3B" w14:paraId="3C37C94B" w14:textId="77777777">
            <w:pPr>
              <w:keepNext/>
              <w:jc w:val="center"/>
              <w:rPr>
                <w:sz w:val="20"/>
                <w:szCs w:val="20"/>
              </w:rPr>
            </w:pPr>
            <w:r w:rsidRPr="001878E5">
              <w:rPr>
                <w:bCs/>
                <w:sz w:val="20"/>
                <w:szCs w:val="20"/>
              </w:rPr>
              <w:t>No. of Responses per Respondent</w:t>
            </w:r>
          </w:p>
        </w:tc>
        <w:tc>
          <w:tcPr>
            <w:tcW w:w="619" w:type="pct"/>
            <w:tcBorders>
              <w:top w:val="single" w:color="auto" w:sz="4" w:space="0"/>
              <w:left w:val="single" w:color="auto" w:sz="4" w:space="0"/>
              <w:bottom w:val="single" w:color="auto" w:sz="4" w:space="0"/>
              <w:right w:val="single" w:color="auto" w:sz="4" w:space="0"/>
            </w:tcBorders>
            <w:hideMark/>
          </w:tcPr>
          <w:p w:rsidRPr="001878E5" w:rsidR="00080C3B" w:rsidP="00C65E10" w:rsidRDefault="00080C3B" w14:paraId="43321B30" w14:textId="77777777">
            <w:pPr>
              <w:keepNext/>
              <w:jc w:val="center"/>
              <w:rPr>
                <w:sz w:val="20"/>
                <w:szCs w:val="20"/>
              </w:rPr>
            </w:pPr>
            <w:r w:rsidRPr="001878E5">
              <w:rPr>
                <w:sz w:val="20"/>
                <w:szCs w:val="20"/>
              </w:rPr>
              <w:t>Total Annual Responses</w:t>
            </w:r>
          </w:p>
        </w:tc>
        <w:tc>
          <w:tcPr>
            <w:tcW w:w="619" w:type="pct"/>
            <w:tcBorders>
              <w:top w:val="single" w:color="auto" w:sz="4" w:space="0"/>
              <w:left w:val="single" w:color="auto" w:sz="4" w:space="0"/>
              <w:bottom w:val="single" w:color="auto" w:sz="4" w:space="0"/>
              <w:right w:val="single" w:color="auto" w:sz="4" w:space="0"/>
            </w:tcBorders>
            <w:hideMark/>
          </w:tcPr>
          <w:p w:rsidRPr="001878E5" w:rsidR="00080C3B" w:rsidP="00C65E10" w:rsidRDefault="00080C3B" w14:paraId="7449CB37" w14:textId="77777777">
            <w:pPr>
              <w:keepNext/>
              <w:jc w:val="center"/>
              <w:rPr>
                <w:sz w:val="20"/>
                <w:szCs w:val="20"/>
              </w:rPr>
            </w:pPr>
            <w:r w:rsidRPr="001878E5">
              <w:rPr>
                <w:bCs/>
                <w:sz w:val="20"/>
                <w:szCs w:val="20"/>
              </w:rPr>
              <w:t>Average Burden per Response (in hours)</w:t>
            </w:r>
          </w:p>
        </w:tc>
        <w:tc>
          <w:tcPr>
            <w:tcW w:w="523" w:type="pct"/>
            <w:tcBorders>
              <w:top w:val="single" w:color="auto" w:sz="4" w:space="0"/>
              <w:left w:val="single" w:color="auto" w:sz="4" w:space="0"/>
              <w:bottom w:val="single" w:color="auto" w:sz="4" w:space="0"/>
              <w:right w:val="single" w:color="auto" w:sz="4" w:space="0"/>
            </w:tcBorders>
            <w:hideMark/>
          </w:tcPr>
          <w:p w:rsidRPr="001878E5" w:rsidR="00080C3B" w:rsidP="00C65E10" w:rsidRDefault="00080C3B" w14:paraId="4E05E175" w14:textId="77777777">
            <w:pPr>
              <w:keepNext/>
              <w:jc w:val="center"/>
              <w:rPr>
                <w:sz w:val="20"/>
                <w:szCs w:val="20"/>
              </w:rPr>
            </w:pPr>
            <w:r w:rsidRPr="001878E5">
              <w:rPr>
                <w:sz w:val="20"/>
                <w:szCs w:val="20"/>
              </w:rPr>
              <w:t>Total Hours</w:t>
            </w:r>
          </w:p>
        </w:tc>
      </w:tr>
      <w:tr w:rsidRPr="00EB4986" w:rsidR="00F03B0C" w:rsidTr="00F03B0C" w14:paraId="5F320A14" w14:textId="77777777">
        <w:trPr>
          <w:cantSplit/>
          <w:trHeight w:val="20"/>
        </w:trPr>
        <w:tc>
          <w:tcPr>
            <w:tcW w:w="1810" w:type="pct"/>
            <w:tcBorders>
              <w:top w:val="single" w:color="auto" w:sz="4" w:space="0"/>
              <w:left w:val="single" w:color="auto" w:sz="4" w:space="0"/>
              <w:bottom w:val="single" w:color="auto" w:sz="4" w:space="0"/>
              <w:right w:val="single" w:color="auto" w:sz="4" w:space="0"/>
            </w:tcBorders>
            <w:shd w:val="clear" w:color="auto" w:fill="auto"/>
          </w:tcPr>
          <w:p w:rsidRPr="001878E5" w:rsidR="00080C3B" w:rsidP="00C65E10" w:rsidRDefault="00080C3B" w14:paraId="73C2DE19" w14:textId="77777777">
            <w:pPr>
              <w:keepNext/>
              <w:rPr>
                <w:sz w:val="20"/>
                <w:szCs w:val="20"/>
              </w:rPr>
            </w:pPr>
            <w:r w:rsidRPr="001878E5">
              <w:rPr>
                <w:sz w:val="20"/>
                <w:szCs w:val="20"/>
              </w:rPr>
              <w:t>§§ 1.1113</w:t>
            </w:r>
            <w:r>
              <w:rPr>
                <w:sz w:val="20"/>
                <w:szCs w:val="20"/>
              </w:rPr>
              <w:t xml:space="preserve"> and </w:t>
            </w:r>
            <w:r w:rsidRPr="001878E5">
              <w:rPr>
                <w:sz w:val="20"/>
                <w:szCs w:val="20"/>
              </w:rPr>
              <w:t>1.11</w:t>
            </w:r>
            <w:r>
              <w:rPr>
                <w:sz w:val="20"/>
                <w:szCs w:val="20"/>
              </w:rPr>
              <w:t>14</w:t>
            </w:r>
            <w:r w:rsidRPr="001878E5">
              <w:rPr>
                <w:sz w:val="20"/>
                <w:szCs w:val="20"/>
              </w:rPr>
              <w:t>; Accreditation bodies (ABs) application for recognition (one-time submission)</w:t>
            </w:r>
          </w:p>
        </w:tc>
        <w:tc>
          <w:tcPr>
            <w:tcW w:w="715" w:type="pct"/>
            <w:tcBorders>
              <w:top w:val="single" w:color="auto" w:sz="4" w:space="0"/>
              <w:left w:val="single" w:color="auto" w:sz="4" w:space="0"/>
              <w:bottom w:val="single" w:color="auto" w:sz="4" w:space="0"/>
              <w:right w:val="single" w:color="auto" w:sz="4" w:space="0"/>
            </w:tcBorders>
            <w:shd w:val="clear" w:color="auto" w:fill="auto"/>
          </w:tcPr>
          <w:p w:rsidRPr="001878E5" w:rsidR="00080C3B" w:rsidP="00C65E10" w:rsidRDefault="00080C3B" w14:paraId="15CF6463" w14:textId="77777777">
            <w:pPr>
              <w:keepNext/>
              <w:jc w:val="right"/>
              <w:rPr>
                <w:sz w:val="20"/>
                <w:szCs w:val="20"/>
              </w:rPr>
            </w:pPr>
            <w:r>
              <w:rPr>
                <w:sz w:val="20"/>
                <w:szCs w:val="20"/>
              </w:rPr>
              <w:t>4</w:t>
            </w:r>
          </w:p>
        </w:tc>
        <w:tc>
          <w:tcPr>
            <w:tcW w:w="715" w:type="pct"/>
            <w:tcBorders>
              <w:top w:val="single" w:color="auto" w:sz="4" w:space="0"/>
              <w:left w:val="single" w:color="auto" w:sz="4" w:space="0"/>
              <w:bottom w:val="single" w:color="auto" w:sz="4" w:space="0"/>
              <w:right w:val="single" w:color="auto" w:sz="4" w:space="0"/>
            </w:tcBorders>
            <w:shd w:val="clear" w:color="auto" w:fill="auto"/>
          </w:tcPr>
          <w:p w:rsidRPr="001878E5" w:rsidR="00080C3B" w:rsidP="00C65E10" w:rsidRDefault="00080C3B" w14:paraId="504AF4D1" w14:textId="77777777">
            <w:pPr>
              <w:keepNext/>
              <w:jc w:val="right"/>
              <w:rPr>
                <w:sz w:val="20"/>
                <w:szCs w:val="20"/>
              </w:rPr>
            </w:pPr>
            <w:r w:rsidRPr="001878E5">
              <w:rPr>
                <w:sz w:val="20"/>
                <w:szCs w:val="20"/>
              </w:rPr>
              <w:t>1</w:t>
            </w:r>
          </w:p>
        </w:tc>
        <w:tc>
          <w:tcPr>
            <w:tcW w:w="619" w:type="pct"/>
            <w:tcBorders>
              <w:top w:val="single" w:color="auto" w:sz="4" w:space="0"/>
              <w:left w:val="single" w:color="auto" w:sz="4" w:space="0"/>
              <w:bottom w:val="single" w:color="auto" w:sz="4" w:space="0"/>
              <w:right w:val="single" w:color="auto" w:sz="4" w:space="0"/>
            </w:tcBorders>
            <w:shd w:val="clear" w:color="auto" w:fill="auto"/>
          </w:tcPr>
          <w:p w:rsidRPr="001878E5" w:rsidR="00080C3B" w:rsidDel="007D6A46" w:rsidP="00C65E10" w:rsidRDefault="00080C3B" w14:paraId="669EE15F" w14:textId="77777777">
            <w:pPr>
              <w:keepNext/>
              <w:jc w:val="right"/>
              <w:rPr>
                <w:sz w:val="20"/>
                <w:szCs w:val="20"/>
              </w:rPr>
            </w:pPr>
            <w:r>
              <w:rPr>
                <w:sz w:val="20"/>
                <w:szCs w:val="20"/>
              </w:rPr>
              <w:t>4</w:t>
            </w:r>
          </w:p>
        </w:tc>
        <w:tc>
          <w:tcPr>
            <w:tcW w:w="619" w:type="pct"/>
            <w:tcBorders>
              <w:top w:val="single" w:color="auto" w:sz="4" w:space="0"/>
              <w:left w:val="single" w:color="auto" w:sz="4" w:space="0"/>
              <w:bottom w:val="single" w:color="auto" w:sz="4" w:space="0"/>
              <w:right w:val="single" w:color="auto" w:sz="4" w:space="0"/>
            </w:tcBorders>
            <w:shd w:val="clear" w:color="auto" w:fill="auto"/>
          </w:tcPr>
          <w:p w:rsidRPr="001878E5" w:rsidR="00080C3B" w:rsidP="00C65E10" w:rsidRDefault="00080C3B" w14:paraId="7838E57B" w14:textId="77777777">
            <w:pPr>
              <w:keepNext/>
              <w:jc w:val="right"/>
              <w:rPr>
                <w:sz w:val="20"/>
                <w:szCs w:val="20"/>
              </w:rPr>
            </w:pPr>
            <w:r w:rsidRPr="001878E5">
              <w:rPr>
                <w:sz w:val="20"/>
                <w:szCs w:val="20"/>
              </w:rPr>
              <w:t>20</w:t>
            </w:r>
          </w:p>
        </w:tc>
        <w:tc>
          <w:tcPr>
            <w:tcW w:w="523" w:type="pct"/>
            <w:tcBorders>
              <w:top w:val="single" w:color="auto" w:sz="4" w:space="0"/>
              <w:left w:val="single" w:color="auto" w:sz="4" w:space="0"/>
              <w:bottom w:val="single" w:color="auto" w:sz="4" w:space="0"/>
              <w:right w:val="single" w:color="auto" w:sz="4" w:space="0"/>
            </w:tcBorders>
            <w:shd w:val="clear" w:color="auto" w:fill="auto"/>
          </w:tcPr>
          <w:p w:rsidRPr="001878E5" w:rsidR="00080C3B" w:rsidDel="007D6A46" w:rsidP="00C65E10" w:rsidRDefault="00080C3B" w14:paraId="39C89612" w14:textId="77777777">
            <w:pPr>
              <w:keepNext/>
              <w:jc w:val="right"/>
              <w:rPr>
                <w:sz w:val="20"/>
                <w:szCs w:val="20"/>
              </w:rPr>
            </w:pPr>
            <w:r>
              <w:rPr>
                <w:sz w:val="20"/>
                <w:szCs w:val="20"/>
              </w:rPr>
              <w:t>80</w:t>
            </w:r>
          </w:p>
        </w:tc>
      </w:tr>
      <w:tr w:rsidRPr="00EB4986" w:rsidR="00F03B0C" w:rsidTr="00F03B0C" w14:paraId="2786026A" w14:textId="77777777">
        <w:trPr>
          <w:cantSplit/>
          <w:trHeight w:val="20"/>
        </w:trPr>
        <w:tc>
          <w:tcPr>
            <w:tcW w:w="1810" w:type="pct"/>
            <w:tcBorders>
              <w:top w:val="single" w:color="auto" w:sz="4" w:space="0"/>
              <w:left w:val="single" w:color="auto" w:sz="4" w:space="0"/>
              <w:bottom w:val="single" w:color="auto" w:sz="4" w:space="0"/>
              <w:right w:val="single" w:color="auto" w:sz="4" w:space="0"/>
            </w:tcBorders>
          </w:tcPr>
          <w:p w:rsidRPr="001878E5" w:rsidR="00080C3B" w:rsidP="00C65E10" w:rsidRDefault="00080C3B" w14:paraId="1DB97D6E" w14:textId="77777777">
            <w:pPr>
              <w:keepNext/>
              <w:rPr>
                <w:sz w:val="20"/>
                <w:szCs w:val="20"/>
              </w:rPr>
            </w:pPr>
            <w:r w:rsidRPr="001878E5">
              <w:rPr>
                <w:sz w:val="20"/>
                <w:szCs w:val="20"/>
              </w:rPr>
              <w:t>§</w:t>
            </w:r>
            <w:r>
              <w:rPr>
                <w:sz w:val="20"/>
                <w:szCs w:val="20"/>
              </w:rPr>
              <w:t>§ 1.1113 and</w:t>
            </w:r>
            <w:r w:rsidRPr="001878E5">
              <w:rPr>
                <w:sz w:val="20"/>
                <w:szCs w:val="20"/>
              </w:rPr>
              <w:t xml:space="preserve"> 1.11</w:t>
            </w:r>
            <w:r>
              <w:rPr>
                <w:sz w:val="20"/>
                <w:szCs w:val="20"/>
              </w:rPr>
              <w:t>14</w:t>
            </w:r>
            <w:r w:rsidRPr="001878E5">
              <w:rPr>
                <w:sz w:val="20"/>
                <w:szCs w:val="20"/>
              </w:rPr>
              <w:t>; ABs</w:t>
            </w:r>
            <w:r>
              <w:rPr>
                <w:sz w:val="20"/>
                <w:szCs w:val="20"/>
              </w:rPr>
              <w:t>--</w:t>
            </w:r>
            <w:r w:rsidRPr="001878E5">
              <w:rPr>
                <w:sz w:val="20"/>
                <w:szCs w:val="20"/>
              </w:rPr>
              <w:t>application for renewal of recognition</w:t>
            </w:r>
          </w:p>
        </w:tc>
        <w:tc>
          <w:tcPr>
            <w:tcW w:w="715" w:type="pct"/>
            <w:tcBorders>
              <w:top w:val="single" w:color="auto" w:sz="4" w:space="0"/>
              <w:left w:val="single" w:color="auto" w:sz="4" w:space="0"/>
              <w:bottom w:val="single" w:color="auto" w:sz="4" w:space="0"/>
              <w:right w:val="single" w:color="auto" w:sz="4" w:space="0"/>
            </w:tcBorders>
          </w:tcPr>
          <w:p w:rsidR="00080C3B" w:rsidP="00C65E10" w:rsidRDefault="00080C3B" w14:paraId="700DA878" w14:textId="77777777">
            <w:pPr>
              <w:keepNext/>
              <w:jc w:val="right"/>
              <w:rPr>
                <w:sz w:val="20"/>
                <w:szCs w:val="20"/>
              </w:rPr>
            </w:pPr>
            <w:r>
              <w:rPr>
                <w:sz w:val="20"/>
                <w:szCs w:val="20"/>
              </w:rPr>
              <w:t>4</w:t>
            </w:r>
          </w:p>
        </w:tc>
        <w:tc>
          <w:tcPr>
            <w:tcW w:w="715" w:type="pct"/>
            <w:tcBorders>
              <w:top w:val="single" w:color="auto" w:sz="4" w:space="0"/>
              <w:left w:val="single" w:color="auto" w:sz="4" w:space="0"/>
              <w:bottom w:val="single" w:color="auto" w:sz="4" w:space="0"/>
              <w:right w:val="single" w:color="auto" w:sz="4" w:space="0"/>
            </w:tcBorders>
          </w:tcPr>
          <w:p w:rsidRPr="001878E5" w:rsidR="00080C3B" w:rsidP="00C65E10" w:rsidRDefault="00080C3B" w14:paraId="5704F6AF" w14:textId="77777777">
            <w:pPr>
              <w:keepNext/>
              <w:jc w:val="right"/>
              <w:rPr>
                <w:sz w:val="20"/>
                <w:szCs w:val="20"/>
              </w:rPr>
            </w:pPr>
            <w:r>
              <w:rPr>
                <w:sz w:val="20"/>
                <w:szCs w:val="20"/>
              </w:rPr>
              <w:t>1</w:t>
            </w:r>
          </w:p>
        </w:tc>
        <w:tc>
          <w:tcPr>
            <w:tcW w:w="619" w:type="pct"/>
            <w:tcBorders>
              <w:top w:val="single" w:color="auto" w:sz="4" w:space="0"/>
              <w:left w:val="single" w:color="auto" w:sz="4" w:space="0"/>
              <w:bottom w:val="single" w:color="auto" w:sz="4" w:space="0"/>
              <w:right w:val="single" w:color="auto" w:sz="4" w:space="0"/>
            </w:tcBorders>
          </w:tcPr>
          <w:p w:rsidR="00080C3B" w:rsidP="00C65E10" w:rsidRDefault="00080C3B" w14:paraId="74787169" w14:textId="77777777">
            <w:pPr>
              <w:keepNext/>
              <w:jc w:val="right"/>
              <w:rPr>
                <w:sz w:val="20"/>
                <w:szCs w:val="20"/>
              </w:rPr>
            </w:pPr>
            <w:r>
              <w:rPr>
                <w:sz w:val="20"/>
                <w:szCs w:val="20"/>
              </w:rPr>
              <w:t>4</w:t>
            </w:r>
          </w:p>
        </w:tc>
        <w:tc>
          <w:tcPr>
            <w:tcW w:w="619" w:type="pct"/>
            <w:tcBorders>
              <w:top w:val="single" w:color="auto" w:sz="4" w:space="0"/>
              <w:left w:val="single" w:color="auto" w:sz="4" w:space="0"/>
              <w:bottom w:val="single" w:color="auto" w:sz="4" w:space="0"/>
              <w:right w:val="single" w:color="auto" w:sz="4" w:space="0"/>
            </w:tcBorders>
          </w:tcPr>
          <w:p w:rsidRPr="001878E5" w:rsidR="00080C3B" w:rsidP="00C65E10" w:rsidRDefault="00080C3B" w14:paraId="4BA3C12E" w14:textId="77777777">
            <w:pPr>
              <w:keepNext/>
              <w:jc w:val="right"/>
              <w:rPr>
                <w:sz w:val="20"/>
                <w:szCs w:val="20"/>
              </w:rPr>
            </w:pPr>
            <w:r>
              <w:rPr>
                <w:sz w:val="20"/>
                <w:szCs w:val="20"/>
              </w:rPr>
              <w:t>3.6</w:t>
            </w:r>
          </w:p>
        </w:tc>
        <w:tc>
          <w:tcPr>
            <w:tcW w:w="523" w:type="pct"/>
            <w:tcBorders>
              <w:top w:val="single" w:color="auto" w:sz="4" w:space="0"/>
              <w:left w:val="single" w:color="auto" w:sz="4" w:space="0"/>
              <w:bottom w:val="single" w:color="auto" w:sz="4" w:space="0"/>
              <w:right w:val="single" w:color="auto" w:sz="4" w:space="0"/>
            </w:tcBorders>
          </w:tcPr>
          <w:p w:rsidR="00080C3B" w:rsidP="00C65E10" w:rsidRDefault="00080C3B" w14:paraId="6436DB40" w14:textId="77777777">
            <w:pPr>
              <w:keepNext/>
              <w:jc w:val="right"/>
              <w:rPr>
                <w:sz w:val="20"/>
                <w:szCs w:val="20"/>
              </w:rPr>
            </w:pPr>
            <w:r>
              <w:rPr>
                <w:sz w:val="20"/>
                <w:szCs w:val="20"/>
              </w:rPr>
              <w:t>14.4</w:t>
            </w:r>
          </w:p>
        </w:tc>
      </w:tr>
      <w:tr w:rsidRPr="00EB4986" w:rsidR="00F03B0C" w:rsidTr="00F03B0C" w14:paraId="435B38E9" w14:textId="77777777">
        <w:trPr>
          <w:cantSplit/>
          <w:trHeight w:val="20"/>
        </w:trPr>
        <w:tc>
          <w:tcPr>
            <w:tcW w:w="1810" w:type="pct"/>
            <w:tcBorders>
              <w:top w:val="single" w:color="auto" w:sz="4" w:space="0"/>
              <w:left w:val="single" w:color="auto" w:sz="4" w:space="0"/>
              <w:bottom w:val="single" w:color="auto" w:sz="4" w:space="0"/>
              <w:right w:val="single" w:color="auto" w:sz="4" w:space="0"/>
            </w:tcBorders>
          </w:tcPr>
          <w:p w:rsidRPr="00243780" w:rsidR="00080C3B" w:rsidP="00C65E10" w:rsidRDefault="00080C3B" w14:paraId="5B176004" w14:textId="4B07079F">
            <w:pPr>
              <w:keepNext/>
              <w:rPr>
                <w:sz w:val="20"/>
                <w:szCs w:val="20"/>
              </w:rPr>
            </w:pPr>
            <w:r>
              <w:rPr>
                <w:sz w:val="20"/>
                <w:szCs w:val="20"/>
              </w:rPr>
              <w:t>§ 1.1116(a) and (b); ABs</w:t>
            </w:r>
            <w:r w:rsidR="00171EE4">
              <w:rPr>
                <w:sz w:val="20"/>
                <w:szCs w:val="20"/>
              </w:rPr>
              <w:t>-</w:t>
            </w:r>
            <w:r>
              <w:rPr>
                <w:sz w:val="20"/>
                <w:szCs w:val="20"/>
              </w:rPr>
              <w:t>- notices of intent to relinquish, records custodian</w:t>
            </w:r>
          </w:p>
        </w:tc>
        <w:tc>
          <w:tcPr>
            <w:tcW w:w="715" w:type="pct"/>
            <w:tcBorders>
              <w:top w:val="single" w:color="auto" w:sz="4" w:space="0"/>
              <w:left w:val="single" w:color="auto" w:sz="4" w:space="0"/>
              <w:bottom w:val="single" w:color="auto" w:sz="4" w:space="0"/>
              <w:right w:val="single" w:color="auto" w:sz="4" w:space="0"/>
            </w:tcBorders>
          </w:tcPr>
          <w:p w:rsidR="00080C3B" w:rsidP="00C65E10" w:rsidRDefault="00080C3B" w14:paraId="2ACB6C8B" w14:textId="77777777">
            <w:pPr>
              <w:keepNext/>
              <w:jc w:val="right"/>
              <w:rPr>
                <w:sz w:val="20"/>
                <w:szCs w:val="20"/>
              </w:rPr>
            </w:pPr>
            <w:r>
              <w:rPr>
                <w:sz w:val="20"/>
                <w:szCs w:val="20"/>
              </w:rPr>
              <w:t>0</w:t>
            </w:r>
          </w:p>
        </w:tc>
        <w:tc>
          <w:tcPr>
            <w:tcW w:w="715" w:type="pct"/>
            <w:tcBorders>
              <w:top w:val="single" w:color="auto" w:sz="4" w:space="0"/>
              <w:left w:val="single" w:color="auto" w:sz="4" w:space="0"/>
              <w:bottom w:val="single" w:color="auto" w:sz="4" w:space="0"/>
              <w:right w:val="single" w:color="auto" w:sz="4" w:space="0"/>
            </w:tcBorders>
          </w:tcPr>
          <w:p w:rsidR="00080C3B" w:rsidP="00C65E10" w:rsidRDefault="00080C3B" w14:paraId="590FEA55" w14:textId="77777777">
            <w:pPr>
              <w:keepNext/>
              <w:jc w:val="right"/>
              <w:rPr>
                <w:sz w:val="20"/>
                <w:szCs w:val="20"/>
              </w:rPr>
            </w:pPr>
            <w:r>
              <w:rPr>
                <w:sz w:val="20"/>
                <w:szCs w:val="20"/>
              </w:rPr>
              <w:t>3</w:t>
            </w:r>
          </w:p>
        </w:tc>
        <w:tc>
          <w:tcPr>
            <w:tcW w:w="619" w:type="pct"/>
            <w:tcBorders>
              <w:top w:val="single" w:color="auto" w:sz="4" w:space="0"/>
              <w:left w:val="single" w:color="auto" w:sz="4" w:space="0"/>
              <w:bottom w:val="single" w:color="auto" w:sz="4" w:space="0"/>
              <w:right w:val="single" w:color="auto" w:sz="4" w:space="0"/>
            </w:tcBorders>
          </w:tcPr>
          <w:p w:rsidR="00080C3B" w:rsidP="00C65E10" w:rsidRDefault="00080C3B" w14:paraId="529DB6EA" w14:textId="77777777">
            <w:pPr>
              <w:keepNext/>
              <w:jc w:val="right"/>
              <w:rPr>
                <w:sz w:val="20"/>
                <w:szCs w:val="20"/>
              </w:rPr>
            </w:pPr>
            <w:r>
              <w:rPr>
                <w:sz w:val="20"/>
                <w:szCs w:val="20"/>
              </w:rPr>
              <w:t>0</w:t>
            </w:r>
          </w:p>
        </w:tc>
        <w:tc>
          <w:tcPr>
            <w:tcW w:w="619" w:type="pct"/>
            <w:tcBorders>
              <w:top w:val="single" w:color="auto" w:sz="4" w:space="0"/>
              <w:left w:val="single" w:color="auto" w:sz="4" w:space="0"/>
              <w:bottom w:val="single" w:color="auto" w:sz="4" w:space="0"/>
              <w:right w:val="single" w:color="auto" w:sz="4" w:space="0"/>
            </w:tcBorders>
          </w:tcPr>
          <w:p w:rsidR="00080C3B" w:rsidP="00C65E10" w:rsidRDefault="00080C3B" w14:paraId="077F0867" w14:textId="77777777">
            <w:pPr>
              <w:keepNext/>
              <w:jc w:val="right"/>
              <w:rPr>
                <w:sz w:val="20"/>
                <w:szCs w:val="20"/>
              </w:rPr>
            </w:pPr>
            <w:r>
              <w:rPr>
                <w:sz w:val="20"/>
                <w:szCs w:val="20"/>
              </w:rPr>
              <w:t>3</w:t>
            </w:r>
          </w:p>
        </w:tc>
        <w:tc>
          <w:tcPr>
            <w:tcW w:w="523" w:type="pct"/>
            <w:tcBorders>
              <w:top w:val="single" w:color="auto" w:sz="4" w:space="0"/>
              <w:left w:val="single" w:color="auto" w:sz="4" w:space="0"/>
              <w:bottom w:val="single" w:color="auto" w:sz="4" w:space="0"/>
              <w:right w:val="single" w:color="auto" w:sz="4" w:space="0"/>
            </w:tcBorders>
          </w:tcPr>
          <w:p w:rsidR="00080C3B" w:rsidP="00C65E10" w:rsidRDefault="00080C3B" w14:paraId="2F71FF48" w14:textId="77777777">
            <w:pPr>
              <w:keepNext/>
              <w:jc w:val="right"/>
              <w:rPr>
                <w:sz w:val="20"/>
                <w:szCs w:val="20"/>
              </w:rPr>
            </w:pPr>
            <w:r>
              <w:rPr>
                <w:sz w:val="20"/>
                <w:szCs w:val="20"/>
              </w:rPr>
              <w:t>0</w:t>
            </w:r>
          </w:p>
        </w:tc>
      </w:tr>
      <w:tr w:rsidRPr="00EB4986" w:rsidR="00F03B0C" w:rsidTr="00F03B0C" w14:paraId="45C52C14" w14:textId="77777777">
        <w:trPr>
          <w:cantSplit/>
          <w:trHeight w:val="20"/>
        </w:trPr>
        <w:tc>
          <w:tcPr>
            <w:tcW w:w="1810" w:type="pct"/>
            <w:tcBorders>
              <w:top w:val="single" w:color="auto" w:sz="4" w:space="0"/>
              <w:left w:val="single" w:color="auto" w:sz="4" w:space="0"/>
              <w:bottom w:val="single" w:color="auto" w:sz="4" w:space="0"/>
              <w:right w:val="single" w:color="auto" w:sz="4" w:space="0"/>
            </w:tcBorders>
            <w:hideMark/>
          </w:tcPr>
          <w:p w:rsidRPr="00243780" w:rsidR="00080C3B" w:rsidP="00C65E10" w:rsidRDefault="00080C3B" w14:paraId="1DA30EA0" w14:textId="77777777">
            <w:pPr>
              <w:keepNext/>
              <w:rPr>
                <w:sz w:val="20"/>
                <w:szCs w:val="20"/>
              </w:rPr>
            </w:pPr>
            <w:r w:rsidRPr="00243780">
              <w:rPr>
                <w:sz w:val="20"/>
                <w:szCs w:val="20"/>
              </w:rPr>
              <w:t>§ 1.1123; ABs-- reports, notifications, and documentation requirements</w:t>
            </w:r>
          </w:p>
        </w:tc>
        <w:tc>
          <w:tcPr>
            <w:tcW w:w="715" w:type="pct"/>
            <w:tcBorders>
              <w:top w:val="single" w:color="auto" w:sz="4" w:space="0"/>
              <w:left w:val="single" w:color="auto" w:sz="4" w:space="0"/>
              <w:bottom w:val="single" w:color="auto" w:sz="4" w:space="0"/>
              <w:right w:val="single" w:color="auto" w:sz="4" w:space="0"/>
            </w:tcBorders>
            <w:hideMark/>
          </w:tcPr>
          <w:p w:rsidRPr="001878E5" w:rsidR="00080C3B" w:rsidP="00C65E10" w:rsidRDefault="00080C3B" w14:paraId="1374CAA6" w14:textId="77777777">
            <w:pPr>
              <w:keepNext/>
              <w:jc w:val="right"/>
              <w:rPr>
                <w:sz w:val="20"/>
                <w:szCs w:val="20"/>
              </w:rPr>
            </w:pPr>
            <w:r>
              <w:rPr>
                <w:sz w:val="20"/>
                <w:szCs w:val="20"/>
              </w:rPr>
              <w:t>4</w:t>
            </w:r>
          </w:p>
        </w:tc>
        <w:tc>
          <w:tcPr>
            <w:tcW w:w="715" w:type="pct"/>
            <w:tcBorders>
              <w:top w:val="single" w:color="auto" w:sz="4" w:space="0"/>
              <w:left w:val="single" w:color="auto" w:sz="4" w:space="0"/>
              <w:bottom w:val="single" w:color="auto" w:sz="4" w:space="0"/>
              <w:right w:val="single" w:color="auto" w:sz="4" w:space="0"/>
            </w:tcBorders>
            <w:hideMark/>
          </w:tcPr>
          <w:p w:rsidRPr="001878E5" w:rsidR="00080C3B" w:rsidP="00C65E10" w:rsidRDefault="00080C3B" w14:paraId="028EF077" w14:textId="77777777">
            <w:pPr>
              <w:keepNext/>
              <w:jc w:val="right"/>
              <w:rPr>
                <w:sz w:val="20"/>
                <w:szCs w:val="20"/>
              </w:rPr>
            </w:pPr>
            <w:r>
              <w:rPr>
                <w:sz w:val="20"/>
                <w:szCs w:val="20"/>
              </w:rPr>
              <w:t>42</w:t>
            </w:r>
          </w:p>
        </w:tc>
        <w:tc>
          <w:tcPr>
            <w:tcW w:w="619" w:type="pct"/>
            <w:tcBorders>
              <w:top w:val="single" w:color="auto" w:sz="4" w:space="0"/>
              <w:left w:val="single" w:color="auto" w:sz="4" w:space="0"/>
              <w:bottom w:val="single" w:color="auto" w:sz="4" w:space="0"/>
              <w:right w:val="single" w:color="auto" w:sz="4" w:space="0"/>
            </w:tcBorders>
            <w:hideMark/>
          </w:tcPr>
          <w:p w:rsidRPr="001878E5" w:rsidR="00080C3B" w:rsidP="00C65E10" w:rsidRDefault="00080C3B" w14:paraId="40ABB483" w14:textId="77777777">
            <w:pPr>
              <w:keepNext/>
              <w:jc w:val="right"/>
              <w:rPr>
                <w:sz w:val="20"/>
                <w:szCs w:val="20"/>
              </w:rPr>
            </w:pPr>
            <w:r>
              <w:rPr>
                <w:sz w:val="20"/>
                <w:szCs w:val="20"/>
              </w:rPr>
              <w:t>168</w:t>
            </w:r>
          </w:p>
        </w:tc>
        <w:tc>
          <w:tcPr>
            <w:tcW w:w="619" w:type="pct"/>
            <w:tcBorders>
              <w:top w:val="single" w:color="auto" w:sz="4" w:space="0"/>
              <w:left w:val="single" w:color="auto" w:sz="4" w:space="0"/>
              <w:bottom w:val="single" w:color="auto" w:sz="4" w:space="0"/>
              <w:right w:val="single" w:color="auto" w:sz="4" w:space="0"/>
            </w:tcBorders>
            <w:hideMark/>
          </w:tcPr>
          <w:p w:rsidRPr="001878E5" w:rsidR="00080C3B" w:rsidP="00C65E10" w:rsidRDefault="00080C3B" w14:paraId="1638D0AC" w14:textId="77777777">
            <w:pPr>
              <w:keepNext/>
              <w:jc w:val="right"/>
              <w:rPr>
                <w:sz w:val="20"/>
                <w:szCs w:val="20"/>
              </w:rPr>
            </w:pPr>
            <w:r>
              <w:rPr>
                <w:sz w:val="20"/>
                <w:szCs w:val="20"/>
              </w:rPr>
              <w:t>1.75</w:t>
            </w:r>
          </w:p>
        </w:tc>
        <w:tc>
          <w:tcPr>
            <w:tcW w:w="523" w:type="pct"/>
            <w:tcBorders>
              <w:top w:val="single" w:color="auto" w:sz="4" w:space="0"/>
              <w:left w:val="single" w:color="auto" w:sz="4" w:space="0"/>
              <w:bottom w:val="single" w:color="auto" w:sz="4" w:space="0"/>
              <w:right w:val="single" w:color="auto" w:sz="4" w:space="0"/>
            </w:tcBorders>
            <w:hideMark/>
          </w:tcPr>
          <w:p w:rsidRPr="001878E5" w:rsidR="00080C3B" w:rsidP="00C65E10" w:rsidRDefault="00080C3B" w14:paraId="1CAA211E" w14:textId="77777777">
            <w:pPr>
              <w:keepNext/>
              <w:jc w:val="right"/>
              <w:rPr>
                <w:sz w:val="20"/>
                <w:szCs w:val="20"/>
              </w:rPr>
            </w:pPr>
            <w:r>
              <w:rPr>
                <w:sz w:val="20"/>
                <w:szCs w:val="20"/>
              </w:rPr>
              <w:t>294</w:t>
            </w:r>
          </w:p>
        </w:tc>
      </w:tr>
      <w:tr w:rsidRPr="00EB4986" w:rsidR="00F03B0C" w:rsidTr="00F03B0C" w14:paraId="1609F7AB" w14:textId="77777777">
        <w:trPr>
          <w:cantSplit/>
          <w:trHeight w:val="20"/>
        </w:trPr>
        <w:tc>
          <w:tcPr>
            <w:tcW w:w="1810" w:type="pct"/>
            <w:tcBorders>
              <w:top w:val="single" w:color="auto" w:sz="4" w:space="0"/>
              <w:left w:val="single" w:color="auto" w:sz="4" w:space="0"/>
              <w:bottom w:val="single" w:color="auto" w:sz="4" w:space="0"/>
              <w:right w:val="single" w:color="auto" w:sz="4" w:space="0"/>
            </w:tcBorders>
            <w:shd w:val="clear" w:color="auto" w:fill="auto"/>
          </w:tcPr>
          <w:p w:rsidRPr="00243780" w:rsidR="00080C3B" w:rsidP="00C65E10" w:rsidRDefault="00080C3B" w14:paraId="3838CD3D" w14:textId="77777777">
            <w:pPr>
              <w:rPr>
                <w:sz w:val="20"/>
                <w:szCs w:val="20"/>
              </w:rPr>
            </w:pPr>
            <w:r w:rsidRPr="00243780">
              <w:rPr>
                <w:sz w:val="20"/>
                <w:szCs w:val="20"/>
              </w:rPr>
              <w:t>§§ 1.1138 and 1.1139; laboratories--submission of application for LAAF-accreditation (one-time submission)</w:t>
            </w:r>
          </w:p>
        </w:tc>
        <w:tc>
          <w:tcPr>
            <w:tcW w:w="715" w:type="pct"/>
            <w:tcBorders>
              <w:top w:val="single" w:color="auto" w:sz="4" w:space="0"/>
              <w:left w:val="single" w:color="auto" w:sz="4" w:space="0"/>
              <w:bottom w:val="single" w:color="auto" w:sz="4" w:space="0"/>
              <w:right w:val="single" w:color="auto" w:sz="4" w:space="0"/>
            </w:tcBorders>
            <w:shd w:val="clear" w:color="auto" w:fill="auto"/>
          </w:tcPr>
          <w:p w:rsidRPr="001878E5" w:rsidR="00080C3B" w:rsidP="00C65E10" w:rsidRDefault="00080C3B" w14:paraId="76266C0F" w14:textId="77777777">
            <w:pPr>
              <w:jc w:val="right"/>
              <w:rPr>
                <w:sz w:val="20"/>
                <w:szCs w:val="20"/>
              </w:rPr>
            </w:pPr>
            <w:r>
              <w:rPr>
                <w:sz w:val="20"/>
                <w:szCs w:val="20"/>
              </w:rPr>
              <w:t>170</w:t>
            </w:r>
          </w:p>
        </w:tc>
        <w:tc>
          <w:tcPr>
            <w:tcW w:w="715" w:type="pct"/>
            <w:tcBorders>
              <w:top w:val="single" w:color="auto" w:sz="4" w:space="0"/>
              <w:left w:val="single" w:color="auto" w:sz="4" w:space="0"/>
              <w:bottom w:val="single" w:color="auto" w:sz="4" w:space="0"/>
              <w:right w:val="single" w:color="auto" w:sz="4" w:space="0"/>
            </w:tcBorders>
            <w:shd w:val="clear" w:color="auto" w:fill="auto"/>
          </w:tcPr>
          <w:p w:rsidRPr="001878E5" w:rsidR="00080C3B" w:rsidP="00C65E10" w:rsidRDefault="00080C3B" w14:paraId="3B0C5F8E" w14:textId="77777777">
            <w:pPr>
              <w:jc w:val="right"/>
              <w:rPr>
                <w:sz w:val="20"/>
                <w:szCs w:val="20"/>
              </w:rPr>
            </w:pPr>
            <w:r w:rsidRPr="001878E5">
              <w:rPr>
                <w:sz w:val="20"/>
                <w:szCs w:val="20"/>
              </w:rPr>
              <w:t>1</w:t>
            </w:r>
          </w:p>
        </w:tc>
        <w:tc>
          <w:tcPr>
            <w:tcW w:w="619" w:type="pct"/>
            <w:tcBorders>
              <w:top w:val="single" w:color="auto" w:sz="4" w:space="0"/>
              <w:left w:val="single" w:color="auto" w:sz="4" w:space="0"/>
              <w:bottom w:val="single" w:color="auto" w:sz="4" w:space="0"/>
              <w:right w:val="single" w:color="auto" w:sz="4" w:space="0"/>
            </w:tcBorders>
            <w:shd w:val="clear" w:color="auto" w:fill="auto"/>
          </w:tcPr>
          <w:p w:rsidRPr="001878E5" w:rsidR="00080C3B" w:rsidDel="002D5500" w:rsidP="00C65E10" w:rsidRDefault="00080C3B" w14:paraId="64BA97D6" w14:textId="77777777">
            <w:pPr>
              <w:jc w:val="right"/>
              <w:rPr>
                <w:sz w:val="20"/>
                <w:szCs w:val="20"/>
              </w:rPr>
            </w:pPr>
            <w:r>
              <w:rPr>
                <w:sz w:val="20"/>
                <w:szCs w:val="20"/>
              </w:rPr>
              <w:t>170</w:t>
            </w:r>
          </w:p>
        </w:tc>
        <w:tc>
          <w:tcPr>
            <w:tcW w:w="619" w:type="pct"/>
            <w:tcBorders>
              <w:top w:val="single" w:color="auto" w:sz="4" w:space="0"/>
              <w:left w:val="single" w:color="auto" w:sz="4" w:space="0"/>
              <w:bottom w:val="single" w:color="auto" w:sz="4" w:space="0"/>
              <w:right w:val="single" w:color="auto" w:sz="4" w:space="0"/>
            </w:tcBorders>
            <w:shd w:val="clear" w:color="auto" w:fill="auto"/>
          </w:tcPr>
          <w:p w:rsidRPr="001878E5" w:rsidR="00080C3B" w:rsidDel="002D5500" w:rsidP="00C65E10" w:rsidRDefault="00080C3B" w14:paraId="655FD0FF" w14:textId="77777777">
            <w:pPr>
              <w:jc w:val="right"/>
              <w:rPr>
                <w:sz w:val="20"/>
                <w:szCs w:val="20"/>
              </w:rPr>
            </w:pPr>
            <w:r w:rsidRPr="001878E5">
              <w:rPr>
                <w:sz w:val="20"/>
                <w:szCs w:val="20"/>
              </w:rPr>
              <w:t>20</w:t>
            </w:r>
          </w:p>
        </w:tc>
        <w:tc>
          <w:tcPr>
            <w:tcW w:w="523" w:type="pct"/>
            <w:tcBorders>
              <w:top w:val="single" w:color="auto" w:sz="4" w:space="0"/>
              <w:left w:val="single" w:color="auto" w:sz="4" w:space="0"/>
              <w:bottom w:val="single" w:color="auto" w:sz="4" w:space="0"/>
              <w:right w:val="single" w:color="auto" w:sz="4" w:space="0"/>
            </w:tcBorders>
            <w:shd w:val="clear" w:color="auto" w:fill="auto"/>
          </w:tcPr>
          <w:p w:rsidRPr="001878E5" w:rsidR="00080C3B" w:rsidP="00C65E10" w:rsidRDefault="00080C3B" w14:paraId="27E1A1D4" w14:textId="77777777">
            <w:pPr>
              <w:jc w:val="right"/>
              <w:rPr>
                <w:sz w:val="20"/>
                <w:szCs w:val="20"/>
              </w:rPr>
            </w:pPr>
            <w:r>
              <w:rPr>
                <w:sz w:val="20"/>
                <w:szCs w:val="20"/>
              </w:rPr>
              <w:t>3,400</w:t>
            </w:r>
          </w:p>
        </w:tc>
      </w:tr>
      <w:tr w:rsidRPr="00EB4986" w:rsidR="00F03B0C" w:rsidTr="00F03B0C" w14:paraId="2949C983" w14:textId="77777777">
        <w:trPr>
          <w:cantSplit/>
          <w:trHeight w:val="20"/>
        </w:trPr>
        <w:tc>
          <w:tcPr>
            <w:tcW w:w="1810" w:type="pct"/>
            <w:tcBorders>
              <w:top w:val="single" w:color="auto" w:sz="4" w:space="0"/>
              <w:left w:val="single" w:color="auto" w:sz="4" w:space="0"/>
              <w:bottom w:val="single" w:color="auto" w:sz="4" w:space="0"/>
              <w:right w:val="single" w:color="auto" w:sz="4" w:space="0"/>
            </w:tcBorders>
            <w:shd w:val="clear" w:color="auto" w:fill="auto"/>
          </w:tcPr>
          <w:p w:rsidRPr="00243780" w:rsidR="00080C3B" w:rsidP="00C65E10" w:rsidRDefault="00080C3B" w14:paraId="176F10B3" w14:textId="77777777">
            <w:pPr>
              <w:rPr>
                <w:sz w:val="20"/>
                <w:szCs w:val="20"/>
              </w:rPr>
            </w:pPr>
            <w:r>
              <w:rPr>
                <w:sz w:val="20"/>
                <w:szCs w:val="20"/>
              </w:rPr>
              <w:t>§ 1.1140(a); laboratories – notices of intent to relinquish, records custodian</w:t>
            </w:r>
          </w:p>
        </w:tc>
        <w:tc>
          <w:tcPr>
            <w:tcW w:w="715" w:type="pct"/>
            <w:tcBorders>
              <w:top w:val="single" w:color="auto" w:sz="4" w:space="0"/>
              <w:left w:val="single" w:color="auto" w:sz="4" w:space="0"/>
              <w:bottom w:val="single" w:color="auto" w:sz="4" w:space="0"/>
              <w:right w:val="single" w:color="auto" w:sz="4" w:space="0"/>
            </w:tcBorders>
            <w:shd w:val="clear" w:color="auto" w:fill="auto"/>
          </w:tcPr>
          <w:p w:rsidR="00080C3B" w:rsidP="00C65E10" w:rsidRDefault="00080C3B" w14:paraId="1AE051A3" w14:textId="77777777">
            <w:pPr>
              <w:jc w:val="right"/>
              <w:rPr>
                <w:sz w:val="20"/>
                <w:szCs w:val="20"/>
              </w:rPr>
            </w:pPr>
            <w:r>
              <w:rPr>
                <w:sz w:val="20"/>
                <w:szCs w:val="20"/>
              </w:rPr>
              <w:t>2</w:t>
            </w:r>
          </w:p>
        </w:tc>
        <w:tc>
          <w:tcPr>
            <w:tcW w:w="715" w:type="pct"/>
            <w:tcBorders>
              <w:top w:val="single" w:color="auto" w:sz="4" w:space="0"/>
              <w:left w:val="single" w:color="auto" w:sz="4" w:space="0"/>
              <w:bottom w:val="single" w:color="auto" w:sz="4" w:space="0"/>
              <w:right w:val="single" w:color="auto" w:sz="4" w:space="0"/>
            </w:tcBorders>
            <w:shd w:val="clear" w:color="auto" w:fill="auto"/>
          </w:tcPr>
          <w:p w:rsidRPr="001878E5" w:rsidR="00080C3B" w:rsidP="00C65E10" w:rsidRDefault="00080C3B" w14:paraId="2AA88CF1" w14:textId="77777777">
            <w:pPr>
              <w:jc w:val="right"/>
              <w:rPr>
                <w:sz w:val="20"/>
                <w:szCs w:val="20"/>
              </w:rPr>
            </w:pPr>
            <w:r>
              <w:rPr>
                <w:sz w:val="20"/>
                <w:szCs w:val="20"/>
              </w:rPr>
              <w:t>3</w:t>
            </w:r>
          </w:p>
        </w:tc>
        <w:tc>
          <w:tcPr>
            <w:tcW w:w="619" w:type="pct"/>
            <w:tcBorders>
              <w:top w:val="single" w:color="auto" w:sz="4" w:space="0"/>
              <w:left w:val="single" w:color="auto" w:sz="4" w:space="0"/>
              <w:bottom w:val="single" w:color="auto" w:sz="4" w:space="0"/>
              <w:right w:val="single" w:color="auto" w:sz="4" w:space="0"/>
            </w:tcBorders>
            <w:shd w:val="clear" w:color="auto" w:fill="auto"/>
          </w:tcPr>
          <w:p w:rsidR="00080C3B" w:rsidP="00C65E10" w:rsidRDefault="00080C3B" w14:paraId="1F33D245" w14:textId="77777777">
            <w:pPr>
              <w:jc w:val="right"/>
              <w:rPr>
                <w:sz w:val="20"/>
                <w:szCs w:val="20"/>
              </w:rPr>
            </w:pPr>
            <w:r>
              <w:rPr>
                <w:sz w:val="20"/>
                <w:szCs w:val="20"/>
              </w:rPr>
              <w:t>6</w:t>
            </w:r>
          </w:p>
        </w:tc>
        <w:tc>
          <w:tcPr>
            <w:tcW w:w="619" w:type="pct"/>
            <w:tcBorders>
              <w:top w:val="single" w:color="auto" w:sz="4" w:space="0"/>
              <w:left w:val="single" w:color="auto" w:sz="4" w:space="0"/>
              <w:bottom w:val="single" w:color="auto" w:sz="4" w:space="0"/>
              <w:right w:val="single" w:color="auto" w:sz="4" w:space="0"/>
            </w:tcBorders>
            <w:shd w:val="clear" w:color="auto" w:fill="auto"/>
          </w:tcPr>
          <w:p w:rsidRPr="001878E5" w:rsidR="00080C3B" w:rsidP="00C65E10" w:rsidRDefault="00080C3B" w14:paraId="221656F1" w14:textId="77777777">
            <w:pPr>
              <w:jc w:val="right"/>
              <w:rPr>
                <w:sz w:val="20"/>
                <w:szCs w:val="20"/>
              </w:rPr>
            </w:pPr>
            <w:r>
              <w:rPr>
                <w:sz w:val="20"/>
                <w:szCs w:val="20"/>
              </w:rPr>
              <w:t>1</w:t>
            </w:r>
          </w:p>
        </w:tc>
        <w:tc>
          <w:tcPr>
            <w:tcW w:w="523" w:type="pct"/>
            <w:tcBorders>
              <w:top w:val="single" w:color="auto" w:sz="4" w:space="0"/>
              <w:left w:val="single" w:color="auto" w:sz="4" w:space="0"/>
              <w:bottom w:val="single" w:color="auto" w:sz="4" w:space="0"/>
              <w:right w:val="single" w:color="auto" w:sz="4" w:space="0"/>
            </w:tcBorders>
            <w:shd w:val="clear" w:color="auto" w:fill="auto"/>
          </w:tcPr>
          <w:p w:rsidR="00080C3B" w:rsidP="00C65E10" w:rsidRDefault="00080C3B" w14:paraId="4E122607" w14:textId="77777777">
            <w:pPr>
              <w:jc w:val="right"/>
              <w:rPr>
                <w:sz w:val="20"/>
                <w:szCs w:val="20"/>
              </w:rPr>
            </w:pPr>
            <w:r>
              <w:rPr>
                <w:sz w:val="20"/>
                <w:szCs w:val="20"/>
              </w:rPr>
              <w:t>6</w:t>
            </w:r>
          </w:p>
        </w:tc>
      </w:tr>
      <w:tr w:rsidRPr="00EB4986" w:rsidR="00F03B0C" w:rsidTr="00F03B0C" w14:paraId="0DEAB3D7" w14:textId="77777777">
        <w:trPr>
          <w:cantSplit/>
          <w:trHeight w:val="20"/>
        </w:trPr>
        <w:tc>
          <w:tcPr>
            <w:tcW w:w="1810" w:type="pct"/>
            <w:tcBorders>
              <w:top w:val="single" w:color="auto" w:sz="4" w:space="0"/>
              <w:left w:val="single" w:color="auto" w:sz="4" w:space="0"/>
              <w:bottom w:val="single" w:color="auto" w:sz="4" w:space="0"/>
              <w:right w:val="single" w:color="auto" w:sz="4" w:space="0"/>
            </w:tcBorders>
            <w:hideMark/>
          </w:tcPr>
          <w:p w:rsidRPr="00243780" w:rsidR="00080C3B" w:rsidP="00C65E10" w:rsidRDefault="00080C3B" w14:paraId="0EC480CF" w14:textId="77777777">
            <w:pPr>
              <w:rPr>
                <w:sz w:val="20"/>
                <w:szCs w:val="20"/>
              </w:rPr>
            </w:pPr>
            <w:r w:rsidRPr="00243780">
              <w:rPr>
                <w:sz w:val="20"/>
                <w:szCs w:val="20"/>
              </w:rPr>
              <w:t>§§ 1.1149(a) and 1.1152(c)(1), (2); laboratories--submission of sampling plan, sample collection report, and sampler qualifications</w:t>
            </w:r>
          </w:p>
        </w:tc>
        <w:tc>
          <w:tcPr>
            <w:tcW w:w="715" w:type="pct"/>
            <w:tcBorders>
              <w:top w:val="single" w:color="auto" w:sz="4" w:space="0"/>
              <w:left w:val="single" w:color="auto" w:sz="4" w:space="0"/>
              <w:bottom w:val="single" w:color="auto" w:sz="4" w:space="0"/>
              <w:right w:val="single" w:color="auto" w:sz="4" w:space="0"/>
            </w:tcBorders>
          </w:tcPr>
          <w:p w:rsidRPr="001878E5" w:rsidR="00080C3B" w:rsidP="00C65E10" w:rsidRDefault="00080C3B" w14:paraId="238E2CFD" w14:textId="77777777">
            <w:pPr>
              <w:jc w:val="right"/>
              <w:rPr>
                <w:sz w:val="20"/>
                <w:szCs w:val="20"/>
              </w:rPr>
            </w:pPr>
            <w:r>
              <w:rPr>
                <w:sz w:val="20"/>
                <w:szCs w:val="20"/>
              </w:rPr>
              <w:t>170</w:t>
            </w:r>
          </w:p>
        </w:tc>
        <w:tc>
          <w:tcPr>
            <w:tcW w:w="715" w:type="pct"/>
            <w:tcBorders>
              <w:top w:val="single" w:color="auto" w:sz="4" w:space="0"/>
              <w:left w:val="single" w:color="auto" w:sz="4" w:space="0"/>
              <w:bottom w:val="single" w:color="auto" w:sz="4" w:space="0"/>
              <w:right w:val="single" w:color="auto" w:sz="4" w:space="0"/>
            </w:tcBorders>
          </w:tcPr>
          <w:p w:rsidRPr="001878E5" w:rsidR="00080C3B" w:rsidP="00C65E10" w:rsidRDefault="00080C3B" w14:paraId="2060AAB2" w14:textId="77777777">
            <w:pPr>
              <w:jc w:val="right"/>
              <w:rPr>
                <w:sz w:val="20"/>
                <w:szCs w:val="20"/>
              </w:rPr>
            </w:pPr>
            <w:r>
              <w:rPr>
                <w:sz w:val="20"/>
                <w:szCs w:val="20"/>
              </w:rPr>
              <w:t>25</w:t>
            </w:r>
          </w:p>
        </w:tc>
        <w:tc>
          <w:tcPr>
            <w:tcW w:w="619" w:type="pct"/>
            <w:tcBorders>
              <w:top w:val="single" w:color="auto" w:sz="4" w:space="0"/>
              <w:left w:val="single" w:color="auto" w:sz="4" w:space="0"/>
              <w:bottom w:val="single" w:color="auto" w:sz="4" w:space="0"/>
              <w:right w:val="single" w:color="auto" w:sz="4" w:space="0"/>
            </w:tcBorders>
          </w:tcPr>
          <w:p w:rsidRPr="001878E5" w:rsidR="00080C3B" w:rsidP="00C65E10" w:rsidRDefault="00080C3B" w14:paraId="37813EC3" w14:textId="77777777">
            <w:pPr>
              <w:jc w:val="right"/>
              <w:rPr>
                <w:sz w:val="20"/>
                <w:szCs w:val="20"/>
              </w:rPr>
            </w:pPr>
            <w:r>
              <w:rPr>
                <w:sz w:val="20"/>
                <w:szCs w:val="20"/>
              </w:rPr>
              <w:t>4,250</w:t>
            </w:r>
          </w:p>
        </w:tc>
        <w:tc>
          <w:tcPr>
            <w:tcW w:w="619" w:type="pct"/>
            <w:tcBorders>
              <w:top w:val="single" w:color="auto" w:sz="4" w:space="0"/>
              <w:left w:val="single" w:color="auto" w:sz="4" w:space="0"/>
              <w:bottom w:val="single" w:color="auto" w:sz="4" w:space="0"/>
              <w:right w:val="single" w:color="auto" w:sz="4" w:space="0"/>
            </w:tcBorders>
          </w:tcPr>
          <w:p w:rsidRPr="001878E5" w:rsidR="00080C3B" w:rsidP="00C65E10" w:rsidRDefault="00080C3B" w14:paraId="74519F58" w14:textId="77777777">
            <w:pPr>
              <w:jc w:val="right"/>
              <w:rPr>
                <w:sz w:val="20"/>
                <w:szCs w:val="20"/>
              </w:rPr>
            </w:pPr>
            <w:r w:rsidRPr="001878E5">
              <w:rPr>
                <w:sz w:val="20"/>
                <w:szCs w:val="20"/>
              </w:rPr>
              <w:t>1.75</w:t>
            </w:r>
          </w:p>
        </w:tc>
        <w:tc>
          <w:tcPr>
            <w:tcW w:w="523" w:type="pct"/>
            <w:tcBorders>
              <w:top w:val="single" w:color="auto" w:sz="4" w:space="0"/>
              <w:left w:val="single" w:color="auto" w:sz="4" w:space="0"/>
              <w:bottom w:val="single" w:color="auto" w:sz="4" w:space="0"/>
              <w:right w:val="single" w:color="auto" w:sz="4" w:space="0"/>
            </w:tcBorders>
          </w:tcPr>
          <w:p w:rsidRPr="001878E5" w:rsidR="00080C3B" w:rsidP="00C65E10" w:rsidRDefault="00080C3B" w14:paraId="7A5AF15F" w14:textId="77777777">
            <w:pPr>
              <w:jc w:val="right"/>
              <w:rPr>
                <w:sz w:val="20"/>
                <w:szCs w:val="20"/>
              </w:rPr>
            </w:pPr>
            <w:r>
              <w:rPr>
                <w:sz w:val="20"/>
                <w:szCs w:val="20"/>
              </w:rPr>
              <w:t>7,437.5</w:t>
            </w:r>
          </w:p>
        </w:tc>
      </w:tr>
      <w:tr w:rsidRPr="00EB4986" w:rsidR="00F03B0C" w:rsidTr="00F03B0C" w14:paraId="5C4BAA89" w14:textId="77777777">
        <w:trPr>
          <w:cantSplit/>
          <w:trHeight w:val="20"/>
        </w:trPr>
        <w:tc>
          <w:tcPr>
            <w:tcW w:w="1810" w:type="pct"/>
            <w:tcBorders>
              <w:top w:val="single" w:color="auto" w:sz="4" w:space="0"/>
              <w:left w:val="single" w:color="auto" w:sz="4" w:space="0"/>
              <w:bottom w:val="single" w:color="auto" w:sz="4" w:space="0"/>
              <w:right w:val="single" w:color="auto" w:sz="4" w:space="0"/>
            </w:tcBorders>
            <w:shd w:val="clear" w:color="auto" w:fill="auto"/>
            <w:hideMark/>
          </w:tcPr>
          <w:p w:rsidRPr="00243780" w:rsidR="00080C3B" w:rsidP="00C65E10" w:rsidRDefault="00080C3B" w14:paraId="0001E8FF" w14:textId="77777777">
            <w:pPr>
              <w:rPr>
                <w:sz w:val="20"/>
                <w:szCs w:val="20"/>
              </w:rPr>
            </w:pPr>
            <w:r w:rsidRPr="00243780">
              <w:rPr>
                <w:sz w:val="20"/>
                <w:szCs w:val="20"/>
              </w:rPr>
              <w:t>§§ 1.1152(d) and 1.1153(a); laboratories--qualification to submit abridged analytical reports (one-time submission)</w:t>
            </w:r>
          </w:p>
        </w:tc>
        <w:tc>
          <w:tcPr>
            <w:tcW w:w="715" w:type="pct"/>
            <w:tcBorders>
              <w:top w:val="single" w:color="auto" w:sz="4" w:space="0"/>
              <w:left w:val="single" w:color="auto" w:sz="4" w:space="0"/>
              <w:bottom w:val="single" w:color="auto" w:sz="4" w:space="0"/>
              <w:right w:val="single" w:color="auto" w:sz="4" w:space="0"/>
            </w:tcBorders>
            <w:shd w:val="clear" w:color="auto" w:fill="auto"/>
          </w:tcPr>
          <w:p w:rsidRPr="001878E5" w:rsidR="00080C3B" w:rsidP="00C65E10" w:rsidRDefault="00080C3B" w14:paraId="6454205A" w14:textId="77777777">
            <w:pPr>
              <w:jc w:val="right"/>
              <w:rPr>
                <w:sz w:val="20"/>
                <w:szCs w:val="20"/>
              </w:rPr>
            </w:pPr>
            <w:r>
              <w:rPr>
                <w:sz w:val="20"/>
                <w:szCs w:val="20"/>
              </w:rPr>
              <w:t>170</w:t>
            </w:r>
          </w:p>
        </w:tc>
        <w:tc>
          <w:tcPr>
            <w:tcW w:w="715" w:type="pct"/>
            <w:tcBorders>
              <w:top w:val="single" w:color="auto" w:sz="4" w:space="0"/>
              <w:left w:val="single" w:color="auto" w:sz="4" w:space="0"/>
              <w:bottom w:val="single" w:color="auto" w:sz="4" w:space="0"/>
              <w:right w:val="single" w:color="auto" w:sz="4" w:space="0"/>
            </w:tcBorders>
            <w:shd w:val="clear" w:color="auto" w:fill="auto"/>
          </w:tcPr>
          <w:p w:rsidRPr="001878E5" w:rsidR="00080C3B" w:rsidP="00C65E10" w:rsidRDefault="00080C3B" w14:paraId="0A6A12DD" w14:textId="77777777">
            <w:pPr>
              <w:jc w:val="right"/>
              <w:rPr>
                <w:sz w:val="20"/>
                <w:szCs w:val="20"/>
              </w:rPr>
            </w:pPr>
            <w:r w:rsidRPr="001878E5">
              <w:rPr>
                <w:sz w:val="20"/>
                <w:szCs w:val="20"/>
              </w:rPr>
              <w:t>10</w:t>
            </w:r>
          </w:p>
        </w:tc>
        <w:tc>
          <w:tcPr>
            <w:tcW w:w="619" w:type="pct"/>
            <w:tcBorders>
              <w:top w:val="single" w:color="auto" w:sz="4" w:space="0"/>
              <w:left w:val="single" w:color="auto" w:sz="4" w:space="0"/>
              <w:bottom w:val="single" w:color="auto" w:sz="4" w:space="0"/>
              <w:right w:val="single" w:color="auto" w:sz="4" w:space="0"/>
            </w:tcBorders>
            <w:shd w:val="clear" w:color="auto" w:fill="auto"/>
          </w:tcPr>
          <w:p w:rsidRPr="001878E5" w:rsidR="00080C3B" w:rsidP="00C65E10" w:rsidRDefault="00080C3B" w14:paraId="2262546C" w14:textId="77777777">
            <w:pPr>
              <w:jc w:val="right"/>
              <w:rPr>
                <w:sz w:val="20"/>
                <w:szCs w:val="20"/>
              </w:rPr>
            </w:pPr>
            <w:r>
              <w:rPr>
                <w:sz w:val="20"/>
                <w:szCs w:val="20"/>
              </w:rPr>
              <w:t>1,700</w:t>
            </w:r>
          </w:p>
        </w:tc>
        <w:tc>
          <w:tcPr>
            <w:tcW w:w="619" w:type="pct"/>
            <w:tcBorders>
              <w:top w:val="single" w:color="auto" w:sz="4" w:space="0"/>
              <w:left w:val="single" w:color="auto" w:sz="4" w:space="0"/>
              <w:bottom w:val="single" w:color="auto" w:sz="4" w:space="0"/>
              <w:right w:val="single" w:color="auto" w:sz="4" w:space="0"/>
            </w:tcBorders>
            <w:shd w:val="clear" w:color="auto" w:fill="auto"/>
          </w:tcPr>
          <w:p w:rsidRPr="001878E5" w:rsidR="00080C3B" w:rsidP="00C65E10" w:rsidRDefault="00080C3B" w14:paraId="314D6630" w14:textId="77777777">
            <w:pPr>
              <w:jc w:val="right"/>
              <w:rPr>
                <w:sz w:val="20"/>
                <w:szCs w:val="20"/>
              </w:rPr>
            </w:pPr>
            <w:r w:rsidRPr="001878E5">
              <w:rPr>
                <w:sz w:val="20"/>
                <w:szCs w:val="20"/>
              </w:rPr>
              <w:t>2</w:t>
            </w:r>
          </w:p>
        </w:tc>
        <w:tc>
          <w:tcPr>
            <w:tcW w:w="523" w:type="pct"/>
            <w:tcBorders>
              <w:top w:val="single" w:color="auto" w:sz="4" w:space="0"/>
              <w:left w:val="single" w:color="auto" w:sz="4" w:space="0"/>
              <w:bottom w:val="single" w:color="auto" w:sz="4" w:space="0"/>
              <w:right w:val="single" w:color="auto" w:sz="4" w:space="0"/>
            </w:tcBorders>
            <w:shd w:val="clear" w:color="auto" w:fill="auto"/>
          </w:tcPr>
          <w:p w:rsidRPr="001878E5" w:rsidR="00080C3B" w:rsidP="00C65E10" w:rsidRDefault="00080C3B" w14:paraId="015606B3" w14:textId="77777777">
            <w:pPr>
              <w:jc w:val="right"/>
              <w:rPr>
                <w:sz w:val="20"/>
                <w:szCs w:val="20"/>
              </w:rPr>
            </w:pPr>
            <w:r>
              <w:rPr>
                <w:sz w:val="20"/>
                <w:szCs w:val="20"/>
              </w:rPr>
              <w:t>3,400</w:t>
            </w:r>
          </w:p>
        </w:tc>
      </w:tr>
      <w:tr w:rsidRPr="00EB4986" w:rsidR="00F03B0C" w:rsidTr="00F03B0C" w14:paraId="7852F0E6" w14:textId="77777777">
        <w:trPr>
          <w:cantSplit/>
          <w:trHeight w:val="20"/>
        </w:trPr>
        <w:tc>
          <w:tcPr>
            <w:tcW w:w="1810" w:type="pct"/>
            <w:tcBorders>
              <w:top w:val="single" w:color="auto" w:sz="4" w:space="0"/>
              <w:left w:val="single" w:color="auto" w:sz="4" w:space="0"/>
              <w:bottom w:val="single" w:color="auto" w:sz="4" w:space="0"/>
              <w:right w:val="single" w:color="auto" w:sz="4" w:space="0"/>
            </w:tcBorders>
            <w:hideMark/>
          </w:tcPr>
          <w:p w:rsidRPr="00243780" w:rsidR="00080C3B" w:rsidP="00C65E10" w:rsidRDefault="00080C3B" w14:paraId="5DDA3BBC" w14:textId="77777777">
            <w:pPr>
              <w:rPr>
                <w:sz w:val="20"/>
                <w:szCs w:val="20"/>
              </w:rPr>
            </w:pPr>
            <w:r w:rsidRPr="00243780">
              <w:rPr>
                <w:sz w:val="20"/>
                <w:szCs w:val="20"/>
              </w:rPr>
              <w:t>§ 1.1153; laboratories--abridged analytical reports submissions</w:t>
            </w:r>
          </w:p>
        </w:tc>
        <w:tc>
          <w:tcPr>
            <w:tcW w:w="715" w:type="pct"/>
            <w:tcBorders>
              <w:top w:val="single" w:color="auto" w:sz="4" w:space="0"/>
              <w:left w:val="single" w:color="auto" w:sz="4" w:space="0"/>
              <w:bottom w:val="single" w:color="auto" w:sz="4" w:space="0"/>
              <w:right w:val="single" w:color="auto" w:sz="4" w:space="0"/>
            </w:tcBorders>
          </w:tcPr>
          <w:p w:rsidRPr="001878E5" w:rsidR="00080C3B" w:rsidP="00C65E10" w:rsidRDefault="00080C3B" w14:paraId="18328B2B" w14:textId="77777777">
            <w:pPr>
              <w:jc w:val="right"/>
              <w:rPr>
                <w:sz w:val="20"/>
                <w:szCs w:val="20"/>
              </w:rPr>
            </w:pPr>
            <w:r>
              <w:rPr>
                <w:sz w:val="20"/>
                <w:szCs w:val="20"/>
              </w:rPr>
              <w:t>170</w:t>
            </w:r>
          </w:p>
        </w:tc>
        <w:tc>
          <w:tcPr>
            <w:tcW w:w="715" w:type="pct"/>
            <w:tcBorders>
              <w:top w:val="single" w:color="auto" w:sz="4" w:space="0"/>
              <w:left w:val="single" w:color="auto" w:sz="4" w:space="0"/>
              <w:bottom w:val="single" w:color="auto" w:sz="4" w:space="0"/>
              <w:right w:val="single" w:color="auto" w:sz="4" w:space="0"/>
            </w:tcBorders>
          </w:tcPr>
          <w:p w:rsidRPr="001878E5" w:rsidR="00080C3B" w:rsidP="00C65E10" w:rsidRDefault="00080C3B" w14:paraId="6611AB5D" w14:textId="77777777">
            <w:pPr>
              <w:jc w:val="right"/>
              <w:rPr>
                <w:sz w:val="20"/>
                <w:szCs w:val="20"/>
              </w:rPr>
            </w:pPr>
            <w:r>
              <w:rPr>
                <w:sz w:val="20"/>
                <w:szCs w:val="20"/>
              </w:rPr>
              <w:t>25</w:t>
            </w:r>
          </w:p>
        </w:tc>
        <w:tc>
          <w:tcPr>
            <w:tcW w:w="619" w:type="pct"/>
            <w:tcBorders>
              <w:top w:val="single" w:color="auto" w:sz="4" w:space="0"/>
              <w:left w:val="single" w:color="auto" w:sz="4" w:space="0"/>
              <w:bottom w:val="single" w:color="auto" w:sz="4" w:space="0"/>
              <w:right w:val="single" w:color="auto" w:sz="4" w:space="0"/>
            </w:tcBorders>
          </w:tcPr>
          <w:p w:rsidRPr="001878E5" w:rsidR="00080C3B" w:rsidP="00C65E10" w:rsidRDefault="00080C3B" w14:paraId="4EE7F835" w14:textId="77777777">
            <w:pPr>
              <w:jc w:val="right"/>
              <w:rPr>
                <w:sz w:val="20"/>
                <w:szCs w:val="20"/>
              </w:rPr>
            </w:pPr>
            <w:r>
              <w:rPr>
                <w:sz w:val="20"/>
                <w:szCs w:val="20"/>
              </w:rPr>
              <w:t>4,250</w:t>
            </w:r>
          </w:p>
        </w:tc>
        <w:tc>
          <w:tcPr>
            <w:tcW w:w="619" w:type="pct"/>
            <w:tcBorders>
              <w:top w:val="single" w:color="auto" w:sz="4" w:space="0"/>
              <w:left w:val="single" w:color="auto" w:sz="4" w:space="0"/>
              <w:bottom w:val="single" w:color="auto" w:sz="4" w:space="0"/>
              <w:right w:val="single" w:color="auto" w:sz="4" w:space="0"/>
            </w:tcBorders>
          </w:tcPr>
          <w:p w:rsidRPr="001878E5" w:rsidR="00080C3B" w:rsidP="00C65E10" w:rsidRDefault="00080C3B" w14:paraId="3429F8E6" w14:textId="77777777">
            <w:pPr>
              <w:jc w:val="right"/>
              <w:rPr>
                <w:sz w:val="20"/>
                <w:szCs w:val="20"/>
              </w:rPr>
            </w:pPr>
            <w:r w:rsidRPr="001878E5">
              <w:rPr>
                <w:sz w:val="20"/>
                <w:szCs w:val="20"/>
              </w:rPr>
              <w:t>1.</w:t>
            </w:r>
            <w:r>
              <w:rPr>
                <w:sz w:val="20"/>
                <w:szCs w:val="20"/>
              </w:rPr>
              <w:t>16</w:t>
            </w:r>
          </w:p>
        </w:tc>
        <w:tc>
          <w:tcPr>
            <w:tcW w:w="523" w:type="pct"/>
            <w:tcBorders>
              <w:top w:val="single" w:color="auto" w:sz="4" w:space="0"/>
              <w:left w:val="single" w:color="auto" w:sz="4" w:space="0"/>
              <w:bottom w:val="single" w:color="auto" w:sz="4" w:space="0"/>
              <w:right w:val="single" w:color="auto" w:sz="4" w:space="0"/>
            </w:tcBorders>
          </w:tcPr>
          <w:p w:rsidRPr="001878E5" w:rsidR="00080C3B" w:rsidP="00C65E10" w:rsidRDefault="00080C3B" w14:paraId="493E5BC2" w14:textId="77777777">
            <w:pPr>
              <w:jc w:val="right"/>
              <w:rPr>
                <w:sz w:val="20"/>
                <w:szCs w:val="20"/>
              </w:rPr>
            </w:pPr>
            <w:r>
              <w:rPr>
                <w:sz w:val="20"/>
                <w:szCs w:val="20"/>
              </w:rPr>
              <w:t>4,930</w:t>
            </w:r>
          </w:p>
        </w:tc>
      </w:tr>
      <w:tr w:rsidRPr="00EB4986" w:rsidR="00F03B0C" w:rsidTr="00F03B0C" w14:paraId="0D1424A0" w14:textId="77777777">
        <w:trPr>
          <w:cantSplit/>
          <w:trHeight w:val="20"/>
        </w:trPr>
        <w:tc>
          <w:tcPr>
            <w:tcW w:w="1810" w:type="pct"/>
            <w:tcBorders>
              <w:top w:val="single" w:color="auto" w:sz="4" w:space="0"/>
              <w:left w:val="single" w:color="auto" w:sz="4" w:space="0"/>
              <w:bottom w:val="single" w:color="auto" w:sz="4" w:space="0"/>
              <w:right w:val="single" w:color="auto" w:sz="4" w:space="0"/>
            </w:tcBorders>
            <w:hideMark/>
          </w:tcPr>
          <w:p w:rsidRPr="00D425D5" w:rsidR="00080C3B" w:rsidP="00C65E10" w:rsidRDefault="00080C3B" w14:paraId="20F09613" w14:textId="77777777">
            <w:pPr>
              <w:rPr>
                <w:sz w:val="20"/>
                <w:szCs w:val="20"/>
              </w:rPr>
            </w:pPr>
            <w:r w:rsidRPr="00D425D5">
              <w:rPr>
                <w:sz w:val="20"/>
                <w:szCs w:val="20"/>
              </w:rPr>
              <w:t>§ 1.1152(c)(4) and (5); laboratories--validation and verification studies submissions</w:t>
            </w:r>
          </w:p>
        </w:tc>
        <w:tc>
          <w:tcPr>
            <w:tcW w:w="715" w:type="pct"/>
            <w:tcBorders>
              <w:top w:val="single" w:color="auto" w:sz="4" w:space="0"/>
              <w:left w:val="single" w:color="auto" w:sz="4" w:space="0"/>
              <w:bottom w:val="single" w:color="auto" w:sz="4" w:space="0"/>
              <w:right w:val="single" w:color="auto" w:sz="4" w:space="0"/>
            </w:tcBorders>
          </w:tcPr>
          <w:p w:rsidRPr="001878E5" w:rsidR="00080C3B" w:rsidP="00C65E10" w:rsidRDefault="00080C3B" w14:paraId="48BA2DBE" w14:textId="77777777">
            <w:pPr>
              <w:jc w:val="right"/>
              <w:rPr>
                <w:sz w:val="20"/>
                <w:szCs w:val="20"/>
              </w:rPr>
            </w:pPr>
            <w:r w:rsidRPr="001878E5">
              <w:rPr>
                <w:sz w:val="20"/>
                <w:szCs w:val="20"/>
              </w:rPr>
              <w:t>9</w:t>
            </w:r>
          </w:p>
        </w:tc>
        <w:tc>
          <w:tcPr>
            <w:tcW w:w="715" w:type="pct"/>
            <w:tcBorders>
              <w:top w:val="single" w:color="auto" w:sz="4" w:space="0"/>
              <w:left w:val="single" w:color="auto" w:sz="4" w:space="0"/>
              <w:bottom w:val="single" w:color="auto" w:sz="4" w:space="0"/>
              <w:right w:val="single" w:color="auto" w:sz="4" w:space="0"/>
            </w:tcBorders>
          </w:tcPr>
          <w:p w:rsidRPr="001878E5" w:rsidR="00080C3B" w:rsidP="00C65E10" w:rsidRDefault="00080C3B" w14:paraId="2979BFDF" w14:textId="77777777">
            <w:pPr>
              <w:jc w:val="right"/>
              <w:rPr>
                <w:sz w:val="20"/>
                <w:szCs w:val="20"/>
              </w:rPr>
            </w:pPr>
            <w:r w:rsidRPr="001878E5">
              <w:rPr>
                <w:sz w:val="20"/>
                <w:szCs w:val="20"/>
              </w:rPr>
              <w:t>1</w:t>
            </w:r>
          </w:p>
        </w:tc>
        <w:tc>
          <w:tcPr>
            <w:tcW w:w="619" w:type="pct"/>
            <w:tcBorders>
              <w:top w:val="single" w:color="auto" w:sz="4" w:space="0"/>
              <w:left w:val="single" w:color="auto" w:sz="4" w:space="0"/>
              <w:bottom w:val="single" w:color="auto" w:sz="4" w:space="0"/>
              <w:right w:val="single" w:color="auto" w:sz="4" w:space="0"/>
            </w:tcBorders>
          </w:tcPr>
          <w:p w:rsidRPr="001878E5" w:rsidR="00080C3B" w:rsidP="00C65E10" w:rsidRDefault="00080C3B" w14:paraId="3EC28C6D" w14:textId="77777777">
            <w:pPr>
              <w:jc w:val="right"/>
              <w:rPr>
                <w:sz w:val="20"/>
                <w:szCs w:val="20"/>
              </w:rPr>
            </w:pPr>
            <w:r w:rsidRPr="001878E5">
              <w:rPr>
                <w:sz w:val="20"/>
                <w:szCs w:val="20"/>
              </w:rPr>
              <w:t>9</w:t>
            </w:r>
          </w:p>
        </w:tc>
        <w:tc>
          <w:tcPr>
            <w:tcW w:w="619" w:type="pct"/>
            <w:tcBorders>
              <w:top w:val="single" w:color="auto" w:sz="4" w:space="0"/>
              <w:left w:val="single" w:color="auto" w:sz="4" w:space="0"/>
              <w:bottom w:val="single" w:color="auto" w:sz="4" w:space="0"/>
              <w:right w:val="single" w:color="auto" w:sz="4" w:space="0"/>
            </w:tcBorders>
          </w:tcPr>
          <w:p w:rsidRPr="001878E5" w:rsidR="00080C3B" w:rsidP="00C65E10" w:rsidRDefault="00080C3B" w14:paraId="48921733" w14:textId="77777777">
            <w:pPr>
              <w:jc w:val="right"/>
              <w:rPr>
                <w:sz w:val="20"/>
                <w:szCs w:val="20"/>
              </w:rPr>
            </w:pPr>
            <w:r w:rsidRPr="001878E5">
              <w:rPr>
                <w:sz w:val="20"/>
                <w:szCs w:val="20"/>
              </w:rPr>
              <w:t xml:space="preserve">.25 </w:t>
            </w:r>
          </w:p>
          <w:p w:rsidRPr="001878E5" w:rsidR="00080C3B" w:rsidP="00C65E10" w:rsidRDefault="00080C3B" w14:paraId="2790E50F" w14:textId="77777777">
            <w:pPr>
              <w:jc w:val="right"/>
              <w:rPr>
                <w:sz w:val="20"/>
                <w:szCs w:val="20"/>
              </w:rPr>
            </w:pPr>
            <w:r w:rsidRPr="001878E5">
              <w:rPr>
                <w:sz w:val="20"/>
                <w:szCs w:val="20"/>
              </w:rPr>
              <w:t>(15 mins.)</w:t>
            </w:r>
          </w:p>
        </w:tc>
        <w:tc>
          <w:tcPr>
            <w:tcW w:w="523" w:type="pct"/>
            <w:tcBorders>
              <w:top w:val="single" w:color="auto" w:sz="4" w:space="0"/>
              <w:left w:val="single" w:color="auto" w:sz="4" w:space="0"/>
              <w:bottom w:val="single" w:color="auto" w:sz="4" w:space="0"/>
              <w:right w:val="single" w:color="auto" w:sz="4" w:space="0"/>
            </w:tcBorders>
          </w:tcPr>
          <w:p w:rsidRPr="001878E5" w:rsidR="00080C3B" w:rsidP="00C65E10" w:rsidRDefault="00080C3B" w14:paraId="7CB028A4" w14:textId="77777777">
            <w:pPr>
              <w:jc w:val="right"/>
              <w:rPr>
                <w:sz w:val="20"/>
                <w:szCs w:val="20"/>
              </w:rPr>
            </w:pPr>
            <w:r w:rsidRPr="001878E5">
              <w:rPr>
                <w:sz w:val="20"/>
                <w:szCs w:val="20"/>
              </w:rPr>
              <w:t>2.25</w:t>
            </w:r>
          </w:p>
        </w:tc>
      </w:tr>
      <w:tr w:rsidRPr="00EB4986" w:rsidR="00F03B0C" w:rsidTr="00F03B0C" w14:paraId="2177A1E5" w14:textId="77777777">
        <w:trPr>
          <w:cantSplit/>
          <w:trHeight w:val="20"/>
        </w:trPr>
        <w:tc>
          <w:tcPr>
            <w:tcW w:w="1810" w:type="pct"/>
            <w:tcBorders>
              <w:top w:val="single" w:color="auto" w:sz="4" w:space="0"/>
              <w:left w:val="single" w:color="auto" w:sz="4" w:space="0"/>
              <w:bottom w:val="single" w:color="auto" w:sz="4" w:space="0"/>
              <w:right w:val="single" w:color="auto" w:sz="4" w:space="0"/>
            </w:tcBorders>
          </w:tcPr>
          <w:p w:rsidRPr="00243780" w:rsidR="00080C3B" w:rsidP="00C65E10" w:rsidRDefault="00080C3B" w14:paraId="58CDCA24" w14:textId="77777777">
            <w:pPr>
              <w:rPr>
                <w:sz w:val="20"/>
                <w:szCs w:val="20"/>
              </w:rPr>
            </w:pPr>
            <w:r w:rsidRPr="00243780">
              <w:rPr>
                <w:sz w:val="20"/>
                <w:szCs w:val="20"/>
              </w:rPr>
              <w:t>§ 1.1149(c); laboratories--advance notice of sampling submissions</w:t>
            </w:r>
          </w:p>
        </w:tc>
        <w:tc>
          <w:tcPr>
            <w:tcW w:w="715" w:type="pct"/>
            <w:tcBorders>
              <w:top w:val="single" w:color="auto" w:sz="4" w:space="0"/>
              <w:left w:val="single" w:color="auto" w:sz="4" w:space="0"/>
              <w:bottom w:val="single" w:color="auto" w:sz="4" w:space="0"/>
              <w:right w:val="single" w:color="auto" w:sz="4" w:space="0"/>
            </w:tcBorders>
          </w:tcPr>
          <w:p w:rsidRPr="001878E5" w:rsidR="00080C3B" w:rsidP="00C65E10" w:rsidRDefault="00080C3B" w14:paraId="69D0B3DF" w14:textId="77777777">
            <w:pPr>
              <w:jc w:val="right"/>
              <w:rPr>
                <w:sz w:val="20"/>
                <w:szCs w:val="20"/>
              </w:rPr>
            </w:pPr>
            <w:r>
              <w:rPr>
                <w:sz w:val="20"/>
                <w:szCs w:val="20"/>
              </w:rPr>
              <w:t>170</w:t>
            </w:r>
          </w:p>
        </w:tc>
        <w:tc>
          <w:tcPr>
            <w:tcW w:w="715" w:type="pct"/>
            <w:tcBorders>
              <w:top w:val="single" w:color="auto" w:sz="4" w:space="0"/>
              <w:left w:val="single" w:color="auto" w:sz="4" w:space="0"/>
              <w:bottom w:val="single" w:color="auto" w:sz="4" w:space="0"/>
              <w:right w:val="single" w:color="auto" w:sz="4" w:space="0"/>
            </w:tcBorders>
          </w:tcPr>
          <w:p w:rsidRPr="001878E5" w:rsidR="00080C3B" w:rsidP="00C65E10" w:rsidRDefault="00080C3B" w14:paraId="06916854" w14:textId="77777777">
            <w:pPr>
              <w:jc w:val="right"/>
              <w:rPr>
                <w:sz w:val="20"/>
                <w:szCs w:val="20"/>
              </w:rPr>
            </w:pPr>
            <w:r>
              <w:rPr>
                <w:sz w:val="20"/>
                <w:szCs w:val="20"/>
              </w:rPr>
              <w:t>1</w:t>
            </w:r>
          </w:p>
        </w:tc>
        <w:tc>
          <w:tcPr>
            <w:tcW w:w="619" w:type="pct"/>
            <w:tcBorders>
              <w:top w:val="single" w:color="auto" w:sz="4" w:space="0"/>
              <w:left w:val="single" w:color="auto" w:sz="4" w:space="0"/>
              <w:bottom w:val="single" w:color="auto" w:sz="4" w:space="0"/>
              <w:right w:val="single" w:color="auto" w:sz="4" w:space="0"/>
            </w:tcBorders>
          </w:tcPr>
          <w:p w:rsidRPr="001878E5" w:rsidR="00080C3B" w:rsidP="00C65E10" w:rsidRDefault="00080C3B" w14:paraId="135C0ABA" w14:textId="77777777">
            <w:pPr>
              <w:jc w:val="right"/>
              <w:rPr>
                <w:sz w:val="20"/>
                <w:szCs w:val="20"/>
              </w:rPr>
            </w:pPr>
            <w:r>
              <w:rPr>
                <w:sz w:val="20"/>
                <w:szCs w:val="20"/>
              </w:rPr>
              <w:t>170</w:t>
            </w:r>
          </w:p>
        </w:tc>
        <w:tc>
          <w:tcPr>
            <w:tcW w:w="619" w:type="pct"/>
            <w:tcBorders>
              <w:top w:val="single" w:color="auto" w:sz="4" w:space="0"/>
              <w:left w:val="single" w:color="auto" w:sz="4" w:space="0"/>
              <w:bottom w:val="single" w:color="auto" w:sz="4" w:space="0"/>
              <w:right w:val="single" w:color="auto" w:sz="4" w:space="0"/>
            </w:tcBorders>
          </w:tcPr>
          <w:p w:rsidRPr="001878E5" w:rsidR="00080C3B" w:rsidP="00C65E10" w:rsidRDefault="00080C3B" w14:paraId="4D143B7D" w14:textId="77777777">
            <w:pPr>
              <w:jc w:val="right"/>
              <w:rPr>
                <w:sz w:val="20"/>
                <w:szCs w:val="20"/>
              </w:rPr>
            </w:pPr>
            <w:r w:rsidRPr="001878E5">
              <w:rPr>
                <w:sz w:val="20"/>
                <w:szCs w:val="20"/>
              </w:rPr>
              <w:t>1.5</w:t>
            </w:r>
          </w:p>
        </w:tc>
        <w:tc>
          <w:tcPr>
            <w:tcW w:w="523" w:type="pct"/>
            <w:tcBorders>
              <w:top w:val="single" w:color="auto" w:sz="4" w:space="0"/>
              <w:left w:val="single" w:color="auto" w:sz="4" w:space="0"/>
              <w:bottom w:val="single" w:color="auto" w:sz="4" w:space="0"/>
              <w:right w:val="single" w:color="auto" w:sz="4" w:space="0"/>
            </w:tcBorders>
          </w:tcPr>
          <w:p w:rsidRPr="001878E5" w:rsidR="00080C3B" w:rsidP="00C65E10" w:rsidRDefault="00080C3B" w14:paraId="1C3B13E9" w14:textId="77777777">
            <w:pPr>
              <w:jc w:val="right"/>
              <w:rPr>
                <w:sz w:val="20"/>
                <w:szCs w:val="20"/>
              </w:rPr>
            </w:pPr>
            <w:r>
              <w:rPr>
                <w:sz w:val="20"/>
                <w:szCs w:val="20"/>
              </w:rPr>
              <w:t>255</w:t>
            </w:r>
          </w:p>
        </w:tc>
      </w:tr>
      <w:tr w:rsidRPr="00EB4986" w:rsidR="00F03B0C" w:rsidTr="00F03B0C" w14:paraId="071C7651" w14:textId="77777777">
        <w:trPr>
          <w:cantSplit/>
          <w:trHeight w:val="20"/>
        </w:trPr>
        <w:tc>
          <w:tcPr>
            <w:tcW w:w="1810" w:type="pct"/>
            <w:tcBorders>
              <w:top w:val="single" w:color="auto" w:sz="4" w:space="0"/>
              <w:left w:val="single" w:color="auto" w:sz="4" w:space="0"/>
              <w:bottom w:val="single" w:color="auto" w:sz="4" w:space="0"/>
              <w:right w:val="single" w:color="auto" w:sz="4" w:space="0"/>
            </w:tcBorders>
          </w:tcPr>
          <w:p w:rsidRPr="00D425D5" w:rsidR="00080C3B" w:rsidP="00C65E10" w:rsidRDefault="00080C3B" w14:paraId="058A9647" w14:textId="77777777">
            <w:pPr>
              <w:rPr>
                <w:sz w:val="20"/>
                <w:szCs w:val="20"/>
              </w:rPr>
            </w:pPr>
            <w:r w:rsidRPr="00D425D5">
              <w:rPr>
                <w:sz w:val="20"/>
                <w:szCs w:val="20"/>
              </w:rPr>
              <w:t xml:space="preserve">§ 1.1152(f); laboratories--immediate notification </w:t>
            </w:r>
          </w:p>
        </w:tc>
        <w:tc>
          <w:tcPr>
            <w:tcW w:w="715" w:type="pct"/>
            <w:tcBorders>
              <w:top w:val="single" w:color="auto" w:sz="4" w:space="0"/>
              <w:left w:val="single" w:color="auto" w:sz="4" w:space="0"/>
              <w:bottom w:val="single" w:color="auto" w:sz="4" w:space="0"/>
              <w:right w:val="single" w:color="auto" w:sz="4" w:space="0"/>
            </w:tcBorders>
          </w:tcPr>
          <w:p w:rsidRPr="001878E5" w:rsidR="00080C3B" w:rsidP="00C65E10" w:rsidRDefault="00080C3B" w14:paraId="30B3CB3B" w14:textId="77777777">
            <w:pPr>
              <w:jc w:val="right"/>
              <w:rPr>
                <w:sz w:val="20"/>
                <w:szCs w:val="20"/>
              </w:rPr>
            </w:pPr>
            <w:r>
              <w:rPr>
                <w:sz w:val="20"/>
                <w:szCs w:val="20"/>
              </w:rPr>
              <w:t>170</w:t>
            </w:r>
          </w:p>
        </w:tc>
        <w:tc>
          <w:tcPr>
            <w:tcW w:w="715" w:type="pct"/>
            <w:tcBorders>
              <w:top w:val="single" w:color="auto" w:sz="4" w:space="0"/>
              <w:left w:val="single" w:color="auto" w:sz="4" w:space="0"/>
              <w:bottom w:val="single" w:color="auto" w:sz="4" w:space="0"/>
              <w:right w:val="single" w:color="auto" w:sz="4" w:space="0"/>
            </w:tcBorders>
          </w:tcPr>
          <w:p w:rsidRPr="001878E5" w:rsidR="00080C3B" w:rsidP="00C65E10" w:rsidRDefault="00080C3B" w14:paraId="7C885B11" w14:textId="77777777">
            <w:pPr>
              <w:jc w:val="right"/>
              <w:rPr>
                <w:sz w:val="20"/>
                <w:szCs w:val="20"/>
              </w:rPr>
            </w:pPr>
            <w:r w:rsidRPr="001878E5">
              <w:rPr>
                <w:sz w:val="20"/>
                <w:szCs w:val="20"/>
              </w:rPr>
              <w:t>1.5</w:t>
            </w:r>
          </w:p>
        </w:tc>
        <w:tc>
          <w:tcPr>
            <w:tcW w:w="619" w:type="pct"/>
            <w:tcBorders>
              <w:top w:val="single" w:color="auto" w:sz="4" w:space="0"/>
              <w:left w:val="single" w:color="auto" w:sz="4" w:space="0"/>
              <w:bottom w:val="single" w:color="auto" w:sz="4" w:space="0"/>
              <w:right w:val="single" w:color="auto" w:sz="4" w:space="0"/>
            </w:tcBorders>
          </w:tcPr>
          <w:p w:rsidRPr="001878E5" w:rsidR="00080C3B" w:rsidP="00C65E10" w:rsidRDefault="00080C3B" w14:paraId="161A83B4" w14:textId="77777777">
            <w:pPr>
              <w:jc w:val="right"/>
              <w:rPr>
                <w:sz w:val="20"/>
                <w:szCs w:val="20"/>
              </w:rPr>
            </w:pPr>
            <w:r>
              <w:rPr>
                <w:sz w:val="20"/>
                <w:szCs w:val="20"/>
              </w:rPr>
              <w:t>255</w:t>
            </w:r>
          </w:p>
        </w:tc>
        <w:tc>
          <w:tcPr>
            <w:tcW w:w="619" w:type="pct"/>
            <w:tcBorders>
              <w:top w:val="single" w:color="auto" w:sz="4" w:space="0"/>
              <w:left w:val="single" w:color="auto" w:sz="4" w:space="0"/>
              <w:bottom w:val="single" w:color="auto" w:sz="4" w:space="0"/>
              <w:right w:val="single" w:color="auto" w:sz="4" w:space="0"/>
            </w:tcBorders>
          </w:tcPr>
          <w:p w:rsidRPr="001878E5" w:rsidR="00080C3B" w:rsidP="00C65E10" w:rsidRDefault="00080C3B" w14:paraId="123B52DB" w14:textId="77777777">
            <w:pPr>
              <w:jc w:val="right"/>
              <w:rPr>
                <w:sz w:val="20"/>
                <w:szCs w:val="20"/>
              </w:rPr>
            </w:pPr>
            <w:r w:rsidRPr="001878E5">
              <w:rPr>
                <w:sz w:val="20"/>
                <w:szCs w:val="20"/>
              </w:rPr>
              <w:t>.25</w:t>
            </w:r>
          </w:p>
        </w:tc>
        <w:tc>
          <w:tcPr>
            <w:tcW w:w="523" w:type="pct"/>
            <w:tcBorders>
              <w:top w:val="single" w:color="auto" w:sz="4" w:space="0"/>
              <w:left w:val="single" w:color="auto" w:sz="4" w:space="0"/>
              <w:bottom w:val="single" w:color="auto" w:sz="4" w:space="0"/>
              <w:right w:val="single" w:color="auto" w:sz="4" w:space="0"/>
            </w:tcBorders>
          </w:tcPr>
          <w:p w:rsidRPr="001878E5" w:rsidR="00080C3B" w:rsidP="00C65E10" w:rsidRDefault="00080C3B" w14:paraId="08E65375" w14:textId="77777777">
            <w:pPr>
              <w:jc w:val="right"/>
              <w:rPr>
                <w:sz w:val="20"/>
                <w:szCs w:val="20"/>
              </w:rPr>
            </w:pPr>
            <w:r>
              <w:rPr>
                <w:sz w:val="20"/>
                <w:szCs w:val="20"/>
              </w:rPr>
              <w:t>63.75</w:t>
            </w:r>
          </w:p>
        </w:tc>
      </w:tr>
      <w:tr w:rsidRPr="00EB4986" w:rsidR="00F03B0C" w:rsidTr="00F03B0C" w14:paraId="081C0729" w14:textId="77777777">
        <w:trPr>
          <w:cantSplit/>
          <w:trHeight w:val="20"/>
        </w:trPr>
        <w:tc>
          <w:tcPr>
            <w:tcW w:w="1810" w:type="pct"/>
            <w:tcBorders>
              <w:top w:val="single" w:color="auto" w:sz="4" w:space="0"/>
              <w:left w:val="single" w:color="auto" w:sz="4" w:space="0"/>
              <w:bottom w:val="single" w:color="auto" w:sz="4" w:space="0"/>
              <w:right w:val="single" w:color="auto" w:sz="4" w:space="0"/>
            </w:tcBorders>
          </w:tcPr>
          <w:p w:rsidRPr="00430765" w:rsidR="00080C3B" w:rsidP="00C65E10" w:rsidRDefault="00080C3B" w14:paraId="69F3A77D" w14:textId="77777777">
            <w:pPr>
              <w:rPr>
                <w:sz w:val="20"/>
                <w:szCs w:val="20"/>
              </w:rPr>
            </w:pPr>
            <w:r w:rsidRPr="00430765">
              <w:rPr>
                <w:sz w:val="20"/>
                <w:szCs w:val="20"/>
              </w:rPr>
              <w:t>§§ 1.1142; 1.1171; 1.1173; and 1.1174; requests in response to FDA action</w:t>
            </w:r>
          </w:p>
        </w:tc>
        <w:tc>
          <w:tcPr>
            <w:tcW w:w="715" w:type="pct"/>
            <w:tcBorders>
              <w:top w:val="single" w:color="auto" w:sz="4" w:space="0"/>
              <w:left w:val="single" w:color="auto" w:sz="4" w:space="0"/>
              <w:bottom w:val="single" w:color="auto" w:sz="4" w:space="0"/>
              <w:right w:val="single" w:color="auto" w:sz="4" w:space="0"/>
            </w:tcBorders>
          </w:tcPr>
          <w:p w:rsidRPr="001878E5" w:rsidR="00080C3B" w:rsidP="00C65E10" w:rsidRDefault="00080C3B" w14:paraId="436D4ABD" w14:textId="77777777">
            <w:pPr>
              <w:jc w:val="right"/>
              <w:rPr>
                <w:sz w:val="20"/>
                <w:szCs w:val="20"/>
              </w:rPr>
            </w:pPr>
            <w:r>
              <w:rPr>
                <w:sz w:val="20"/>
                <w:szCs w:val="20"/>
              </w:rPr>
              <w:t>1</w:t>
            </w:r>
          </w:p>
        </w:tc>
        <w:tc>
          <w:tcPr>
            <w:tcW w:w="715" w:type="pct"/>
            <w:tcBorders>
              <w:top w:val="single" w:color="auto" w:sz="4" w:space="0"/>
              <w:left w:val="single" w:color="auto" w:sz="4" w:space="0"/>
              <w:bottom w:val="single" w:color="auto" w:sz="4" w:space="0"/>
              <w:right w:val="single" w:color="auto" w:sz="4" w:space="0"/>
            </w:tcBorders>
          </w:tcPr>
          <w:p w:rsidRPr="001878E5" w:rsidR="00080C3B" w:rsidP="00C65E10" w:rsidRDefault="00080C3B" w14:paraId="52D916D1" w14:textId="77777777">
            <w:pPr>
              <w:jc w:val="right"/>
              <w:rPr>
                <w:sz w:val="20"/>
                <w:szCs w:val="20"/>
              </w:rPr>
            </w:pPr>
            <w:r>
              <w:rPr>
                <w:sz w:val="20"/>
                <w:szCs w:val="20"/>
              </w:rPr>
              <w:t>1</w:t>
            </w:r>
          </w:p>
        </w:tc>
        <w:tc>
          <w:tcPr>
            <w:tcW w:w="619" w:type="pct"/>
            <w:tcBorders>
              <w:top w:val="single" w:color="auto" w:sz="4" w:space="0"/>
              <w:left w:val="single" w:color="auto" w:sz="4" w:space="0"/>
              <w:bottom w:val="single" w:color="auto" w:sz="4" w:space="0"/>
              <w:right w:val="single" w:color="auto" w:sz="4" w:space="0"/>
            </w:tcBorders>
          </w:tcPr>
          <w:p w:rsidRPr="001878E5" w:rsidR="00080C3B" w:rsidP="00C65E10" w:rsidRDefault="00080C3B" w14:paraId="6D4D27D0" w14:textId="77777777">
            <w:pPr>
              <w:jc w:val="right"/>
              <w:rPr>
                <w:sz w:val="20"/>
                <w:szCs w:val="20"/>
              </w:rPr>
            </w:pPr>
            <w:r>
              <w:rPr>
                <w:sz w:val="20"/>
                <w:szCs w:val="20"/>
              </w:rPr>
              <w:t>1</w:t>
            </w:r>
          </w:p>
        </w:tc>
        <w:tc>
          <w:tcPr>
            <w:tcW w:w="619" w:type="pct"/>
            <w:tcBorders>
              <w:top w:val="single" w:color="auto" w:sz="4" w:space="0"/>
              <w:left w:val="single" w:color="auto" w:sz="4" w:space="0"/>
              <w:bottom w:val="single" w:color="auto" w:sz="4" w:space="0"/>
              <w:right w:val="single" w:color="auto" w:sz="4" w:space="0"/>
            </w:tcBorders>
          </w:tcPr>
          <w:p w:rsidRPr="001878E5" w:rsidR="00080C3B" w:rsidP="00C65E10" w:rsidRDefault="00080C3B" w14:paraId="43FD593D" w14:textId="77777777">
            <w:pPr>
              <w:jc w:val="right"/>
              <w:rPr>
                <w:sz w:val="20"/>
                <w:szCs w:val="20"/>
              </w:rPr>
            </w:pPr>
            <w:r>
              <w:rPr>
                <w:sz w:val="20"/>
                <w:szCs w:val="20"/>
              </w:rPr>
              <w:t>1</w:t>
            </w:r>
          </w:p>
        </w:tc>
        <w:tc>
          <w:tcPr>
            <w:tcW w:w="523" w:type="pct"/>
            <w:tcBorders>
              <w:top w:val="single" w:color="auto" w:sz="4" w:space="0"/>
              <w:left w:val="single" w:color="auto" w:sz="4" w:space="0"/>
              <w:bottom w:val="single" w:color="auto" w:sz="4" w:space="0"/>
              <w:right w:val="single" w:color="auto" w:sz="4" w:space="0"/>
            </w:tcBorders>
          </w:tcPr>
          <w:p w:rsidRPr="001878E5" w:rsidR="00080C3B" w:rsidP="00C65E10" w:rsidRDefault="00080C3B" w14:paraId="69554A9B" w14:textId="77777777">
            <w:pPr>
              <w:jc w:val="right"/>
              <w:rPr>
                <w:sz w:val="20"/>
                <w:szCs w:val="20"/>
              </w:rPr>
            </w:pPr>
            <w:r>
              <w:rPr>
                <w:sz w:val="20"/>
                <w:szCs w:val="20"/>
              </w:rPr>
              <w:t>1</w:t>
            </w:r>
          </w:p>
        </w:tc>
      </w:tr>
      <w:tr w:rsidRPr="00EB4986" w:rsidR="00F03B0C" w:rsidTr="00F03B0C" w14:paraId="39A441D9" w14:textId="77777777">
        <w:trPr>
          <w:cantSplit/>
          <w:trHeight w:val="20"/>
        </w:trPr>
        <w:tc>
          <w:tcPr>
            <w:tcW w:w="1810" w:type="pct"/>
            <w:tcBorders>
              <w:top w:val="single" w:color="auto" w:sz="4" w:space="0"/>
              <w:left w:val="single" w:color="auto" w:sz="4" w:space="0"/>
              <w:bottom w:val="single" w:color="auto" w:sz="4" w:space="0"/>
              <w:right w:val="single" w:color="auto" w:sz="4" w:space="0"/>
            </w:tcBorders>
            <w:hideMark/>
          </w:tcPr>
          <w:p w:rsidRPr="001878E5" w:rsidR="00080C3B" w:rsidP="00C65E10" w:rsidRDefault="00080C3B" w14:paraId="364B641F" w14:textId="77777777">
            <w:pPr>
              <w:rPr>
                <w:sz w:val="20"/>
                <w:szCs w:val="20"/>
              </w:rPr>
            </w:pPr>
            <w:r w:rsidRPr="001878E5">
              <w:rPr>
                <w:sz w:val="20"/>
                <w:szCs w:val="20"/>
              </w:rPr>
              <w:t>Total</w:t>
            </w:r>
          </w:p>
        </w:tc>
        <w:tc>
          <w:tcPr>
            <w:tcW w:w="715" w:type="pct"/>
            <w:tcBorders>
              <w:top w:val="single" w:color="auto" w:sz="4" w:space="0"/>
              <w:left w:val="single" w:color="auto" w:sz="4" w:space="0"/>
              <w:bottom w:val="single" w:color="auto" w:sz="4" w:space="0"/>
              <w:right w:val="single" w:color="auto" w:sz="4" w:space="0"/>
            </w:tcBorders>
          </w:tcPr>
          <w:p w:rsidRPr="001878E5" w:rsidR="00080C3B" w:rsidP="00C65E10" w:rsidRDefault="00080C3B" w14:paraId="054CC3E5" w14:textId="77777777">
            <w:pPr>
              <w:jc w:val="right"/>
              <w:rPr>
                <w:sz w:val="20"/>
                <w:szCs w:val="20"/>
              </w:rPr>
            </w:pPr>
          </w:p>
        </w:tc>
        <w:tc>
          <w:tcPr>
            <w:tcW w:w="715" w:type="pct"/>
            <w:tcBorders>
              <w:top w:val="single" w:color="auto" w:sz="4" w:space="0"/>
              <w:left w:val="single" w:color="auto" w:sz="4" w:space="0"/>
              <w:bottom w:val="single" w:color="auto" w:sz="4" w:space="0"/>
              <w:right w:val="single" w:color="auto" w:sz="4" w:space="0"/>
            </w:tcBorders>
          </w:tcPr>
          <w:p w:rsidRPr="001878E5" w:rsidR="00080C3B" w:rsidP="00C65E10" w:rsidRDefault="00080C3B" w14:paraId="6D03D85E" w14:textId="77777777">
            <w:pPr>
              <w:jc w:val="right"/>
              <w:rPr>
                <w:sz w:val="20"/>
                <w:szCs w:val="20"/>
              </w:rPr>
            </w:pPr>
          </w:p>
        </w:tc>
        <w:tc>
          <w:tcPr>
            <w:tcW w:w="619" w:type="pct"/>
            <w:tcBorders>
              <w:top w:val="single" w:color="auto" w:sz="4" w:space="0"/>
              <w:left w:val="single" w:color="auto" w:sz="4" w:space="0"/>
              <w:bottom w:val="single" w:color="auto" w:sz="4" w:space="0"/>
              <w:right w:val="single" w:color="auto" w:sz="4" w:space="0"/>
            </w:tcBorders>
          </w:tcPr>
          <w:p w:rsidRPr="001878E5" w:rsidR="00080C3B" w:rsidP="00C65E10" w:rsidRDefault="009D5E4E" w14:paraId="4790867C" w14:textId="3D9BEF7B">
            <w:pPr>
              <w:jc w:val="right"/>
              <w:rPr>
                <w:sz w:val="20"/>
                <w:szCs w:val="20"/>
              </w:rPr>
            </w:pPr>
            <w:r>
              <w:rPr>
                <w:sz w:val="20"/>
                <w:szCs w:val="20"/>
              </w:rPr>
              <w:fldChar w:fldCharType="begin"/>
            </w:r>
            <w:r>
              <w:rPr>
                <w:sz w:val="20"/>
                <w:szCs w:val="20"/>
              </w:rPr>
              <w:instrText xml:space="preserve"> =SUM(ABOVE) </w:instrText>
            </w:r>
            <w:r>
              <w:rPr>
                <w:sz w:val="20"/>
                <w:szCs w:val="20"/>
              </w:rPr>
              <w:fldChar w:fldCharType="separate"/>
            </w:r>
            <w:r>
              <w:rPr>
                <w:noProof/>
                <w:sz w:val="20"/>
                <w:szCs w:val="20"/>
              </w:rPr>
              <w:t>10,987</w:t>
            </w:r>
            <w:r>
              <w:rPr>
                <w:sz w:val="20"/>
                <w:szCs w:val="20"/>
              </w:rPr>
              <w:fldChar w:fldCharType="end"/>
            </w:r>
          </w:p>
        </w:tc>
        <w:tc>
          <w:tcPr>
            <w:tcW w:w="619" w:type="pct"/>
            <w:tcBorders>
              <w:top w:val="single" w:color="auto" w:sz="4" w:space="0"/>
              <w:left w:val="single" w:color="auto" w:sz="4" w:space="0"/>
              <w:bottom w:val="single" w:color="auto" w:sz="4" w:space="0"/>
              <w:right w:val="single" w:color="auto" w:sz="4" w:space="0"/>
            </w:tcBorders>
          </w:tcPr>
          <w:p w:rsidRPr="001878E5" w:rsidR="00080C3B" w:rsidP="00C65E10" w:rsidRDefault="00080C3B" w14:paraId="0E841219" w14:textId="77777777">
            <w:pPr>
              <w:jc w:val="right"/>
              <w:rPr>
                <w:sz w:val="20"/>
                <w:szCs w:val="20"/>
              </w:rPr>
            </w:pPr>
          </w:p>
        </w:tc>
        <w:tc>
          <w:tcPr>
            <w:tcW w:w="523" w:type="pct"/>
            <w:tcBorders>
              <w:top w:val="single" w:color="auto" w:sz="4" w:space="0"/>
              <w:left w:val="single" w:color="auto" w:sz="4" w:space="0"/>
              <w:bottom w:val="single" w:color="auto" w:sz="4" w:space="0"/>
              <w:right w:val="single" w:color="auto" w:sz="4" w:space="0"/>
            </w:tcBorders>
          </w:tcPr>
          <w:p w:rsidRPr="001878E5" w:rsidR="00080C3B" w:rsidP="00C65E10" w:rsidRDefault="00080C3B" w14:paraId="7BB714C2" w14:textId="77777777">
            <w:pPr>
              <w:jc w:val="right"/>
              <w:rPr>
                <w:sz w:val="20"/>
                <w:szCs w:val="20"/>
              </w:rPr>
            </w:pPr>
            <w:r>
              <w:rPr>
                <w:sz w:val="20"/>
                <w:szCs w:val="20"/>
              </w:rPr>
              <w:t>19,883.9</w:t>
            </w:r>
          </w:p>
        </w:tc>
      </w:tr>
    </w:tbl>
    <w:p w:rsidR="00FF6F8C" w:rsidP="00A24537" w:rsidRDefault="00FF6F8C" w14:paraId="681494A9" w14:textId="77777777">
      <w:pPr>
        <w:tabs>
          <w:tab w:val="left" w:pos="720"/>
        </w:tabs>
        <w:ind w:left="720"/>
      </w:pPr>
    </w:p>
    <w:p w:rsidR="00FD2E7F" w:rsidP="00FD2E7F" w:rsidRDefault="00FD2E7F" w14:paraId="2BEB0320" w14:textId="5D76F1B4">
      <w:pPr>
        <w:tabs>
          <w:tab w:val="left" w:pos="720"/>
        </w:tabs>
        <w:ind w:left="720"/>
        <w:rPr>
          <w:u w:val="single"/>
        </w:rPr>
      </w:pPr>
      <w:r w:rsidRPr="00FD2E7F">
        <w:rPr>
          <w:i/>
          <w:iCs/>
          <w:u w:val="single"/>
        </w:rPr>
        <w:t>Reporting:</w:t>
      </w:r>
      <w:r w:rsidRPr="00C75A01">
        <w:rPr>
          <w:u w:val="single"/>
        </w:rPr>
        <w:t xml:space="preserve"> </w:t>
      </w:r>
      <w:r w:rsidRPr="0066000E">
        <w:t>Consistent with estimates in our final regulatory impact analysis (FRIA) (see section II.F, Costs of this Rule), we estimate a total of 174 respondents.  We estimate that 5 to 80 accreditation bodies could apply for FDA recognition under</w:t>
      </w:r>
      <w:r w:rsidRPr="0066000E" w:rsidR="000028D0">
        <w:t xml:space="preserve"> the regulations</w:t>
      </w:r>
      <w:r w:rsidRPr="0066000E">
        <w:t xml:space="preserve"> and assume that 4 accreditation bodies will apply for FDA recognition.  We estimate 170 laboratories will participate in the program.  The reporting burden includes a burden of 20,640 hours associated with one-time submissions.  In this analysis, we annualize the one-time submission burden using a 3-year period horizon and zero percent discount rate, for an annualized one-</w:t>
      </w:r>
      <w:r w:rsidRPr="0066000E">
        <w:lastRenderedPageBreak/>
        <w:t>time reporting burden of 6,880 hours.  Cumulatively, this results in a total annual reporting burden of 19,883.9 hours, as reflected in table 1.</w:t>
      </w:r>
    </w:p>
    <w:p w:rsidRPr="003472F8" w:rsidR="003472F8" w:rsidP="00FD2E7F" w:rsidRDefault="003472F8" w14:paraId="03B0C01A" w14:textId="77777777">
      <w:pPr>
        <w:tabs>
          <w:tab w:val="left" w:pos="720"/>
        </w:tabs>
        <w:ind w:left="720"/>
        <w:rPr>
          <w:u w:val="single"/>
        </w:rPr>
      </w:pPr>
    </w:p>
    <w:p w:rsidRPr="00A27704" w:rsidR="00FD2E7F" w:rsidP="00FD2E7F" w:rsidRDefault="00FD2E7F" w14:paraId="71E3BC50" w14:textId="43F68A15">
      <w:pPr>
        <w:tabs>
          <w:tab w:val="left" w:pos="720"/>
        </w:tabs>
        <w:ind w:left="720"/>
      </w:pPr>
      <w:r w:rsidRPr="00A27704">
        <w:t xml:space="preserve">Section 1.1114 requires an accreditation body seeking initial recognition to submit an application to FDA demonstrating it meets the eligibility requirements described in § 1.1113.  The burden to prepare and submit an application is an initial burden and, once realized, would apply only to respondents new to the program.  We estimate this process would take one analyst between 40 and 80 hours to compile all the relevant information, prepare for an assessment, complete </w:t>
      </w:r>
      <w:r w:rsidR="00D02B1E">
        <w:t xml:space="preserve">the </w:t>
      </w:r>
      <w:r w:rsidRPr="00A27704">
        <w:t>initial application process, and submit the application.  For this analysis we assume a middle value of 60 hours.  Also for this analysis, we use a 3-year period horizon and zero percent discount rate to convert the one-time submission burden to an annualized figure (i.e., 60 hours ÷ by 3 = 20 hours).  Annually this results in 80 hours of burden for initial applications submitted by 4 accreditation bodies (4 applications × 20 hours per application), as reflected in row 1.</w:t>
      </w:r>
    </w:p>
    <w:p w:rsidRPr="00A27704" w:rsidR="003472F8" w:rsidP="00FD2E7F" w:rsidRDefault="003472F8" w14:paraId="29B2F00C" w14:textId="77777777">
      <w:pPr>
        <w:tabs>
          <w:tab w:val="left" w:pos="720"/>
        </w:tabs>
        <w:ind w:left="720"/>
      </w:pPr>
    </w:p>
    <w:p w:rsidRPr="00A27704" w:rsidR="00FD2E7F" w:rsidP="00FD2E7F" w:rsidRDefault="00FD2E7F" w14:paraId="48BC3329" w14:textId="641C2729">
      <w:pPr>
        <w:tabs>
          <w:tab w:val="left" w:pos="720"/>
        </w:tabs>
        <w:ind w:left="720"/>
      </w:pPr>
      <w:r w:rsidRPr="00A27704">
        <w:t>Section 1.1114 requires a recognized accreditation body to apply for renewal of recognition at least every 5 years.  We believe renewal would take less time than an initial application because much of the information will have already been compiled and therefore assume between 20 and 40 hours.  For this analysis we use a middle value and calculate that each recognized accreditation body will spend 30 hours every 5 years to complete and submit an application for renewal of its recognition.  This results in 6 hours per year (30 hours ÷ 5 years) for each accreditation body.  Because we use a 3-year period horizon and zero percent discount rate for this analysis, we annualize that figure to three-fifths or 3.6.  We multiply this figure by 4 accreditation bodies for a total of 14.4 hours annually for the submission of renewal of applications (4 applications × 3.6 hours per application), as reflected in row 2.</w:t>
      </w:r>
    </w:p>
    <w:p w:rsidRPr="00A27704" w:rsidR="003472F8" w:rsidP="00FD2E7F" w:rsidRDefault="003472F8" w14:paraId="4335514E" w14:textId="77777777">
      <w:pPr>
        <w:tabs>
          <w:tab w:val="left" w:pos="720"/>
        </w:tabs>
        <w:ind w:left="720"/>
      </w:pPr>
    </w:p>
    <w:p w:rsidRPr="00A27704" w:rsidR="00FD2E7F" w:rsidP="00FD2E7F" w:rsidRDefault="00FD2E7F" w14:paraId="77038D86" w14:textId="6D5D7FF3">
      <w:pPr>
        <w:tabs>
          <w:tab w:val="left" w:pos="720"/>
        </w:tabs>
        <w:ind w:left="720"/>
      </w:pPr>
      <w:r w:rsidRPr="00A27704">
        <w:t xml:space="preserve">Section 1.1116 requires that if a recognized accreditation body voluntarily chooses to relinquish or not renew its recognition, it must notify FDA and the laboratories it LAAF-accredits of its intention to depart the program at least 60 days ahead of the departure.  The recognized accreditation body must also provide FDA with the name and contact information of the custodian who will maintain and make available to FDA requisite program records.  We estimate a 1% voluntary departure rate, which equates to the departure of 0.04 recognized accreditation body annually.  We estimate it would take a recognized accreditation body one hour for each of the three required notices.  Accordingly, with rounding, the estimate for the burden associated with § 1.1116 is zero (0.04 recognized accreditation body </w:t>
      </w:r>
      <w:r w:rsidRPr="00A27704" w:rsidR="00DF6968">
        <w:t>×</w:t>
      </w:r>
      <w:r w:rsidRPr="00A27704">
        <w:t xml:space="preserve"> 3 notices = .12 annual responses, which rounds to 0; 0 annual response </w:t>
      </w:r>
      <w:r w:rsidRPr="00A27704" w:rsidR="00DF6968">
        <w:t>×</w:t>
      </w:r>
      <w:r w:rsidRPr="00A27704">
        <w:t xml:space="preserve"> 3 hours = 0 total hours), as reflected in row 3.</w:t>
      </w:r>
    </w:p>
    <w:p w:rsidRPr="00A27704" w:rsidR="003472F8" w:rsidP="00FD2E7F" w:rsidRDefault="003472F8" w14:paraId="0DF73256" w14:textId="77777777">
      <w:pPr>
        <w:tabs>
          <w:tab w:val="left" w:pos="720"/>
        </w:tabs>
        <w:ind w:left="720"/>
      </w:pPr>
    </w:p>
    <w:p w:rsidRPr="00A27704" w:rsidR="00FD2E7F" w:rsidP="00FD2E7F" w:rsidRDefault="00FD2E7F" w14:paraId="5E594184" w14:textId="0E3063A6">
      <w:pPr>
        <w:tabs>
          <w:tab w:val="left" w:pos="720"/>
        </w:tabs>
        <w:ind w:left="720"/>
      </w:pPr>
      <w:r w:rsidRPr="00A27704">
        <w:t xml:space="preserve">Section 1.1123 requires a recognized accreditation body to submit certain reports, notifications, and documentation to FDA, including significant changes affecting its accreditation program or the accreditation status of laboratories it LAAF-accredits, and ensure FDA has access to these and other records.  We estimate recognized accreditation bodies would incur a burden of 3.5 hours per month, or 42 hours per year, complying with the reporting requirements of § 1.1123 and the recordkeeping requirements of § 1.1124.  For this analysis, we identify recordkeeping and reporting burdens separately and assume 21 of the 42 hours (i.e., 1.75 hours per month) would be spent meeting the reporting requirements of § </w:t>
      </w:r>
      <w:r w:rsidRPr="00A27704">
        <w:lastRenderedPageBreak/>
        <w:t xml:space="preserve">1.1123.  Annually, this results in 294 hours (4 recognized accreditation bodies × 42 responses per accreditation body </w:t>
      </w:r>
      <w:r w:rsidRPr="00A27704" w:rsidR="00DF6968">
        <w:t>×</w:t>
      </w:r>
      <w:r w:rsidRPr="00A27704">
        <w:t xml:space="preserve"> 1.75 hours per response), as reflected in row 4.</w:t>
      </w:r>
    </w:p>
    <w:p w:rsidRPr="00A27704" w:rsidR="003472F8" w:rsidP="00FD2E7F" w:rsidRDefault="003472F8" w14:paraId="154A0976" w14:textId="77777777">
      <w:pPr>
        <w:tabs>
          <w:tab w:val="left" w:pos="720"/>
        </w:tabs>
        <w:ind w:left="720"/>
      </w:pPr>
    </w:p>
    <w:p w:rsidRPr="00A27704" w:rsidR="00FD2E7F" w:rsidP="00FD2E7F" w:rsidRDefault="00FD2E7F" w14:paraId="21335E44" w14:textId="27174070">
      <w:pPr>
        <w:tabs>
          <w:tab w:val="left" w:pos="720"/>
        </w:tabs>
        <w:ind w:left="720"/>
      </w:pPr>
      <w:r w:rsidRPr="00A27704">
        <w:t>Section 1.1139 requires a laboratory seeking LAAF-accreditation to submit an application to a recognized accreditation body, demonstrating that it meets the eligibility requirements specified in § 1.1138.  We estimate 170 laboratories will apply and assume it would take one analyst an average of 60 hours to compile all the relevant information</w:t>
      </w:r>
      <w:r w:rsidR="00D02B1E">
        <w:t>;</w:t>
      </w:r>
      <w:r w:rsidRPr="00A27704">
        <w:t xml:space="preserve"> however</w:t>
      </w:r>
      <w:r w:rsidR="00D02B1E">
        <w:t>,</w:t>
      </w:r>
      <w:r w:rsidRPr="00A27704">
        <w:t xml:space="preserve"> we regard the burden as a one-time burden and therefore have annualized it by 3 years (20 hours annually).  This results in an annual reporting burden for initial applications by 170 laboratories would be 3,400 hours (170 applications × 20 hours per application), as reflected in row 5.</w:t>
      </w:r>
    </w:p>
    <w:p w:rsidRPr="00A27704" w:rsidR="003472F8" w:rsidP="00FD2E7F" w:rsidRDefault="003472F8" w14:paraId="5AAD94B1" w14:textId="77777777">
      <w:pPr>
        <w:tabs>
          <w:tab w:val="left" w:pos="720"/>
        </w:tabs>
        <w:ind w:left="720"/>
      </w:pPr>
    </w:p>
    <w:p w:rsidR="00FD2E7F" w:rsidP="00FD2E7F" w:rsidRDefault="00FD2E7F" w14:paraId="4AB40D1A" w14:textId="238C5C27">
      <w:pPr>
        <w:tabs>
          <w:tab w:val="left" w:pos="720"/>
        </w:tabs>
        <w:ind w:left="720"/>
      </w:pPr>
      <w:r w:rsidRPr="00A27704">
        <w:t xml:space="preserve">Section 1.1140 provides that if a laboratory voluntarily chooses to relinquish or not renew its LAAF-accreditation, it must notify FDA and its recognized accreditation body of its intention to do so at least 60 days ahead of the departure.  If the laboratory is voluntarily relinquishing or not renewing all methods within its scope, it must also provide FDA with the name and contact information of the custodian who will maintain and make available to FDA requisite program records.  We estimate a 1% program departure rate, which equates to the departure of 1.70 LAAF-accredited laboratories each year, which we round to 2.  We estimate it would take a laboratory one hour for each of the three required notices.  Accordingly, we estimate a burden of 6 hours per year under § 1.1140 (2 laboratories </w:t>
      </w:r>
      <w:r w:rsidRPr="00A27704" w:rsidR="00DF6968">
        <w:t>×</w:t>
      </w:r>
      <w:r w:rsidRPr="00A27704">
        <w:t xml:space="preserve"> 3 notices = 6 annual responses; 6 annual responses </w:t>
      </w:r>
      <w:r w:rsidRPr="00A27704" w:rsidR="00DF6968">
        <w:t>×</w:t>
      </w:r>
      <w:r w:rsidRPr="00A27704">
        <w:t xml:space="preserve"> 1 hour = 6 total hours), as reflected in row 6.</w:t>
      </w:r>
    </w:p>
    <w:p w:rsidRPr="00A27704" w:rsidR="001D132C" w:rsidP="00FD2E7F" w:rsidRDefault="001D132C" w14:paraId="5AB8116B" w14:textId="77777777">
      <w:pPr>
        <w:tabs>
          <w:tab w:val="left" w:pos="720"/>
        </w:tabs>
        <w:ind w:left="720"/>
      </w:pPr>
    </w:p>
    <w:p w:rsidRPr="00A27704" w:rsidR="00FD2E7F" w:rsidP="00FD2E7F" w:rsidRDefault="00FD2E7F" w14:paraId="78677356" w14:textId="7AB3C7D8">
      <w:pPr>
        <w:tabs>
          <w:tab w:val="left" w:pos="720"/>
        </w:tabs>
        <w:ind w:left="720"/>
      </w:pPr>
      <w:r w:rsidRPr="00A27704">
        <w:t xml:space="preserve">Section 1.1152(a) through (e) requires a LAAF-accredited laboratory to submit test results of testing required to be conducted under the LAAF program and include supporting documentation.  As discussed in our supporting statement, only a percentage of that testing would be defined as information collection under the PRA.  For this analysis we assume a mean figure of 4,065 test result and supporting documentation submissions (4,065.2 rounded to the nearest integer) as the basis for factoring a corresponding information collection burden.  This figure is derived using lower and upper bound estimates of submissions we expect under the </w:t>
      </w:r>
      <w:r w:rsidR="00842B5D">
        <w:t>regulations</w:t>
      </w:r>
      <w:r w:rsidRPr="00A27704">
        <w:t>.  To allow for adjustment and potential increase we have added 50 submissions for a total of 4,115.</w:t>
      </w:r>
    </w:p>
    <w:p w:rsidRPr="00A27704" w:rsidR="003472F8" w:rsidP="00FD2E7F" w:rsidRDefault="003472F8" w14:paraId="582D8AFD" w14:textId="77777777">
      <w:pPr>
        <w:tabs>
          <w:tab w:val="left" w:pos="720"/>
        </w:tabs>
        <w:ind w:left="720"/>
      </w:pPr>
    </w:p>
    <w:p w:rsidRPr="00A27704" w:rsidR="00FD2E7F" w:rsidP="00FD2E7F" w:rsidRDefault="00FD2E7F" w14:paraId="33C0A2BA" w14:textId="678F8991">
      <w:pPr>
        <w:tabs>
          <w:tab w:val="left" w:pos="720"/>
        </w:tabs>
        <w:ind w:left="720"/>
      </w:pPr>
      <w:r w:rsidRPr="00A27704">
        <w:t>Section 1.1152(c)(1) requires a LAAF-accredited laboratory to submit a sample collection plan and sample collection report (the contents of which are described in § 1.1149(a)) with each test result.  Under § 1.1152(c)(2), a LAAF-accredited laboratory must include documentation of the sampler’s qualifications the first time the sampler collects a sample.  We assume that it would take 30 minutes to 1 hour to compile a sampling plan, 30 minutes to 1 hour to compile a sample collection report, and an average of 10 to 20 minutes to obtain the sampling plan, sample collection report, and sampler’s qualifications.  Using a middle value of 1.5 hours to generate the sampling plan and the sample collection report, and a middle value of 15 minutes (.25 hours) to obtain those two documents and documentation of the sampler’s qualifications, we calculate a total of time per test results of 1.75 hours (1.5 + .25).  When multiplied together the total reporting burden for the submission of sampling plans, sample collection reports, and sampler qualification requirements (170 accredited laboratories × 25 sampling plans and sample collection reports × 1.75 hours) is 7,437.5 hours, as reflected in row 7.</w:t>
      </w:r>
    </w:p>
    <w:p w:rsidRPr="00A27704" w:rsidR="003472F8" w:rsidP="00FD2E7F" w:rsidRDefault="003472F8" w14:paraId="6018870A" w14:textId="77777777">
      <w:pPr>
        <w:tabs>
          <w:tab w:val="left" w:pos="720"/>
        </w:tabs>
        <w:ind w:left="720"/>
      </w:pPr>
    </w:p>
    <w:p w:rsidRPr="00A27704" w:rsidR="00FD2E7F" w:rsidP="00FD2E7F" w:rsidRDefault="00FD2E7F" w14:paraId="002F9669" w14:textId="114D8FBA">
      <w:pPr>
        <w:tabs>
          <w:tab w:val="left" w:pos="720"/>
        </w:tabs>
        <w:ind w:left="720"/>
      </w:pPr>
      <w:r w:rsidRPr="00A27704">
        <w:t>Section 1.1153(a) allows a LAAF-accredited laboratory to qualify to submit abridged analytical reports in lieu of full analytical reports.  We expect this will be a one-time burden, but we may revisit this assumption in the future based on actual rates of revocation of permission to submit abridged analytical reports.  We assume that each LAAF-accredited laboratory would submit 10 consecutive full analytical reports (for the middle value of 2 major food testing disciplines per laboratory) to qualify to submit abridged analytical reports.  We also assume that a LAAF-accredited laboratory will spend 4 to 8 hours to compile and submit a full analytical report, and we use the middle value of 6 hours for this analysis.  For initial or one-time burdens we use a 3-year period horizon and zero percent discount rate to convert the one-time burden to an annualized figure (2 hours).  When multiplied together, this results in a total reporting burden for the LAAF-accredited laboratories to qualify to submit abridged analytical reports of 3,400 hours (170 laboratories × 10 full analytical reports each × 2 hours per analytical report), as reflected in row 8.</w:t>
      </w:r>
    </w:p>
    <w:p w:rsidRPr="00A27704" w:rsidR="003472F8" w:rsidP="00FD2E7F" w:rsidRDefault="003472F8" w14:paraId="5D2E3E6E" w14:textId="77777777">
      <w:pPr>
        <w:tabs>
          <w:tab w:val="left" w:pos="720"/>
        </w:tabs>
        <w:ind w:left="720"/>
      </w:pPr>
    </w:p>
    <w:p w:rsidRPr="00A27704" w:rsidR="00FD2E7F" w:rsidP="00FD2E7F" w:rsidRDefault="00FD2E7F" w14:paraId="3CA9EFA5" w14:textId="7286B4F9">
      <w:pPr>
        <w:tabs>
          <w:tab w:val="left" w:pos="720"/>
        </w:tabs>
        <w:ind w:left="720"/>
      </w:pPr>
      <w:r w:rsidRPr="00A27704">
        <w:t>Once a LAAF-accredited laboratory qualifies to submit abridged analytical reports, we assume it will submit abridged analytical reports to us thereafter.  We may revisit this assumption in the future based on actual rates of revocation of permission to submit abridged analytical reports.  We estimate the burden to compile and submit an abridged analytical report to be between 25 percent and 33 percent of the burden of compiling and submitting a full analytical report, and we use a middle value of 29 percent here.  Thus, using these figures we calculate it would take a LAAF-accredited laboratory 1.16 hours to compile and submit an abridged analytical report (29 percent × 4 hours).  This results in an annual total reporting burden for the 170 LAAF-accredited laboratories to compile and submit abridged analytical reports of approximately 4,930 hours (170 laboratories × 25 abridged analytical reports × 1.16 hours per abridged analytical report), as reflected in row 9.</w:t>
      </w:r>
    </w:p>
    <w:p w:rsidRPr="00A27704" w:rsidR="003472F8" w:rsidP="00FD2E7F" w:rsidRDefault="003472F8" w14:paraId="2E37D75E" w14:textId="77777777">
      <w:pPr>
        <w:tabs>
          <w:tab w:val="left" w:pos="720"/>
        </w:tabs>
        <w:ind w:left="720"/>
      </w:pPr>
    </w:p>
    <w:p w:rsidRPr="00A27704" w:rsidR="00FD2E7F" w:rsidP="00FD2E7F" w:rsidRDefault="00FD2E7F" w14:paraId="5E5B5AF1" w14:textId="5E0691D8">
      <w:pPr>
        <w:tabs>
          <w:tab w:val="left" w:pos="720"/>
        </w:tabs>
        <w:ind w:left="720"/>
      </w:pPr>
      <w:r w:rsidRPr="00A27704">
        <w:t xml:space="preserve">The </w:t>
      </w:r>
      <w:r w:rsidRPr="00A27704" w:rsidR="000028D0">
        <w:t xml:space="preserve">regulations </w:t>
      </w:r>
      <w:r w:rsidRPr="00A27704">
        <w:t xml:space="preserve">require a LAAF-accredited laboratory to submit verification and validation studies to FDA as part of an analytical report.  The ISO/IEC 17025:2017 standard requires the use of validated and verified methods for food testing.  However, the </w:t>
      </w:r>
      <w:r w:rsidRPr="00A27704" w:rsidR="000028D0">
        <w:t xml:space="preserve">regulations </w:t>
      </w:r>
      <w:r w:rsidRPr="00A27704">
        <w:t xml:space="preserve">require additional verification studies over and above the requirements of ISO/IEC 17025:2017.  Additional studies may include information to verify that a method previously validated for a specific food item is also valid for a different food item, in what is called a “matrix extension.”  We estimate that the additional time burden of requiring a LAAF-accredited laboratory to submit verification studies such as matrix extensions under </w:t>
      </w:r>
      <w:r w:rsidR="00283123">
        <w:t>the regulations</w:t>
      </w:r>
      <w:r w:rsidRPr="00A27704">
        <w:t xml:space="preserve"> to be a middle value of approximately 3 percent of the time burden incurred by laboratories to maintain accreditation to ISO/IEC 17025:2017 (the FRIA estimates a range of 1 percent to 5 percent).  In the FRIA we also note that internal FDA experts suggest that between 5 percent and 30 percent of import food testing results require verification studies such as matrix extensions.  We use a middle value of 17.5 percent for this analysis.</w:t>
      </w:r>
    </w:p>
    <w:p w:rsidRPr="00A27704" w:rsidR="003472F8" w:rsidP="00FD2E7F" w:rsidRDefault="003472F8" w14:paraId="4B831B5E" w14:textId="77777777">
      <w:pPr>
        <w:tabs>
          <w:tab w:val="left" w:pos="720"/>
        </w:tabs>
        <w:ind w:left="720"/>
      </w:pPr>
    </w:p>
    <w:p w:rsidRPr="00A27704" w:rsidR="00FD2E7F" w:rsidP="00FD2E7F" w:rsidRDefault="00FD2E7F" w14:paraId="71BCBB25" w14:textId="70E190EC">
      <w:pPr>
        <w:tabs>
          <w:tab w:val="left" w:pos="720"/>
        </w:tabs>
        <w:ind w:left="720"/>
      </w:pPr>
      <w:r w:rsidRPr="00A27704">
        <w:t xml:space="preserve">Regarding validation requirements, we assume that methods used to test shell eggs, sprouts, and bottled drinking water are either already validated or the costs of doing so would be included in the costs to maintain ISO/IEC 17025:2017 accreditation.  Consequently, we assume that shell eggs, sprouts, and bottled drinking water producers would incur no burden </w:t>
      </w:r>
      <w:r w:rsidRPr="00A27704">
        <w:lastRenderedPageBreak/>
        <w:t>from this requirement beyond the requirement to meet the validation requirements of ISO/IEC 17025:2017.</w:t>
      </w:r>
    </w:p>
    <w:p w:rsidRPr="00A27704" w:rsidR="003472F8" w:rsidP="00FD2E7F" w:rsidRDefault="003472F8" w14:paraId="7A54EDC2" w14:textId="77777777">
      <w:pPr>
        <w:tabs>
          <w:tab w:val="left" w:pos="720"/>
        </w:tabs>
        <w:ind w:left="720"/>
      </w:pPr>
    </w:p>
    <w:p w:rsidRPr="00A27704" w:rsidR="00FD2E7F" w:rsidP="00FD2E7F" w:rsidRDefault="00FD2E7F" w14:paraId="70647459" w14:textId="0C331790">
      <w:pPr>
        <w:tabs>
          <w:tab w:val="left" w:pos="720"/>
        </w:tabs>
        <w:ind w:left="720"/>
      </w:pPr>
      <w:r w:rsidRPr="00A27704">
        <w:t>We estimate the time required to perform a matrix extension is a middle value of 34 hours (the FRIA estimates a range of 22 to 46 hours).  We do not distinguish between the burden of reporting the study and the burden of conducting the study.  We assume 25 percent of the 34 hours (8.5 hours) is attributable to the associated reporting burden.  Because we estimate that the additional time burden of requiring laboratories to submit verification studies such as matrix extensions under</w:t>
      </w:r>
      <w:r w:rsidRPr="00A27704" w:rsidR="000028D0">
        <w:t xml:space="preserve"> the regulations</w:t>
      </w:r>
      <w:r w:rsidRPr="00A27704">
        <w:t xml:space="preserve"> would be approximately 3 percent of the time burden incurred by laboratories to maintain accreditation to ISO/IEC 17025:2017, we multiply 8.5 hours by 3 percent to get the additional reporting burden of .255 hours (15.3 minutes, which we round to 15 minutes, which is .25 hours) per study imposed by the verification study submission requirements.  To estimate the number of test results that would require matrix extensions, we multiply the number of import testing results that would be submitted to us under </w:t>
      </w:r>
      <w:r w:rsidR="00283123">
        <w:t>the regulations</w:t>
      </w:r>
      <w:r w:rsidRPr="00A27704">
        <w:t xml:space="preserve"> annually that are subject to PRA requirements (50) by the share of test results submitted to us for import food testing that require matrix extensions (17.5 percent), for a total of 8.75 matrix extensions per year.  This equates to an average of .3241 matrix extensions per LAAF-accredited laboratory conducting food testing for imports (8.75 ÷ 27).  Because the number of respondents and the annual responses per respondent in a PRA analysis must be whole numbers, we instead estimate that nine LAAF-accredited laboratories (27 × .3241, rounded to 9 from 8.75) will submit one full verification study to FDA annually.  Therefore, the annual reporting burden of requiring the submission of validation and verification studies is 2.25 hours (9 accredited laboratories × 1 verification studies × .25 hours per study), as reflected in row 10.</w:t>
      </w:r>
    </w:p>
    <w:p w:rsidRPr="00A27704" w:rsidR="003472F8" w:rsidP="00FD2E7F" w:rsidRDefault="003472F8" w14:paraId="0C61BBD4" w14:textId="77777777">
      <w:pPr>
        <w:tabs>
          <w:tab w:val="left" w:pos="720"/>
        </w:tabs>
        <w:ind w:left="720"/>
      </w:pPr>
    </w:p>
    <w:p w:rsidRPr="00A27704" w:rsidR="00FD2E7F" w:rsidP="00FD2E7F" w:rsidRDefault="00FD2E7F" w14:paraId="58D0688D" w14:textId="30D84654">
      <w:pPr>
        <w:tabs>
          <w:tab w:val="left" w:pos="720"/>
        </w:tabs>
        <w:ind w:left="720"/>
      </w:pPr>
      <w:r w:rsidRPr="00A27704">
        <w:t xml:space="preserve">Under section 1.1149(c), FDA may require under certain circumstances, that a LAAF-accredited laboratory submit an advance notice of sampling to FDA before each of the next several occasions that the sampler will a collect a sample that the LAAF-accredited laboratory will analyze under the LAAF program.  We assume that it would take a laboratory analyst between </w:t>
      </w:r>
      <w:r w:rsidR="000145F0">
        <w:t>one</w:t>
      </w:r>
      <w:r w:rsidRPr="00A27704" w:rsidR="000145F0">
        <w:t xml:space="preserve"> </w:t>
      </w:r>
      <w:r w:rsidRPr="00A27704">
        <w:t xml:space="preserve">and </w:t>
      </w:r>
      <w:r w:rsidR="000145F0">
        <w:t>two</w:t>
      </w:r>
      <w:r w:rsidRPr="00A27704">
        <w:t xml:space="preserve"> hours to compile and submit the required information, and we assume that between one percent and five percent of all test results submitted annually under the LAAF program will be subject to the advance notice of sampling requirement.  For this analysis we assume middle values of 1.5 hours and three percent, respectively.  Thus, we estimate that 123.45 test results (4,115 × 3%) will require submission of advance notice of sampling under the</w:t>
      </w:r>
      <w:r w:rsidRPr="00A27704" w:rsidR="000028D0">
        <w:t xml:space="preserve"> regulations</w:t>
      </w:r>
      <w:r w:rsidRPr="00A27704">
        <w:t>.  For this analysis we assume that each of the estimated 170 LAAF-accredited laboratories will be required to submit three advance notices sampling annually</w:t>
      </w:r>
      <w:r w:rsidRPr="00A27704" w:rsidR="000028D0">
        <w:t>.</w:t>
      </w:r>
      <w:r w:rsidRPr="00A27704">
        <w:t xml:space="preserve"> (123.45 ÷ 170 = 0.74; rounded to 1).  Thus, the annual reporting burden on LAAF-accredited laboratories for the advance notice of sampling requirement would be 255 hours (170 laboratories × 1 advance notices of sampling × 1.5 hours), as reflected in row 11.</w:t>
      </w:r>
    </w:p>
    <w:p w:rsidRPr="00A27704" w:rsidR="003472F8" w:rsidP="00FD2E7F" w:rsidRDefault="003472F8" w14:paraId="28222406" w14:textId="77777777">
      <w:pPr>
        <w:tabs>
          <w:tab w:val="left" w:pos="720"/>
        </w:tabs>
        <w:ind w:left="720"/>
      </w:pPr>
    </w:p>
    <w:p w:rsidRPr="00A27704" w:rsidR="00FD2E7F" w:rsidP="00FD2E7F" w:rsidRDefault="00FD2E7F" w14:paraId="4E47CA8E" w14:textId="31B4C293">
      <w:pPr>
        <w:tabs>
          <w:tab w:val="left" w:pos="720"/>
        </w:tabs>
        <w:ind w:left="720"/>
      </w:pPr>
      <w:r w:rsidRPr="00A27704">
        <w:t>Section 1.1152(f) requires a LAAF-accredited laboratory to notify FDA and the recognized accreditation body of any changes that affect the laboratory’s LAAF-accreditation.  Note, however, that a LAAF-accredited laboratory is not required to notify FDA of changes that the recognized accreditation body must provide to FDA under § 1.1123(d).  As a conservative estimate, we assume that each LAAF-accredited laboratory will have some change requiring notification of its recognized accreditation body, and for half of those changes the LAAF-</w:t>
      </w:r>
      <w:r w:rsidRPr="00A27704">
        <w:lastRenderedPageBreak/>
        <w:t>accredited laboratory will also need to notify FDA.  We estimate it will take a LAAF-accredited laboratory 15 minutes per notification.  Thus, we estimate the burden associated with § 1.1152(f) would be 63.75 hours (170 accredited laboratories × 1.5 notifications × 0.25 hours per notification), as reflected in row 12.</w:t>
      </w:r>
    </w:p>
    <w:p w:rsidRPr="00A27704" w:rsidR="003472F8" w:rsidP="00FD2E7F" w:rsidRDefault="003472F8" w14:paraId="6B180BEA" w14:textId="77777777">
      <w:pPr>
        <w:tabs>
          <w:tab w:val="left" w:pos="720"/>
        </w:tabs>
        <w:ind w:left="720"/>
      </w:pPr>
    </w:p>
    <w:p w:rsidRPr="00C75A01" w:rsidR="0004390A" w:rsidP="00FD2E7F" w:rsidRDefault="00FD2E7F" w14:paraId="4133DE00" w14:textId="44349E96">
      <w:pPr>
        <w:tabs>
          <w:tab w:val="left" w:pos="720"/>
        </w:tabs>
        <w:ind w:left="720"/>
        <w:rPr>
          <w:u w:val="single"/>
        </w:rPr>
      </w:pPr>
      <w:r w:rsidRPr="00A27704">
        <w:t>Sections 1.1142, 1.1171, 1.1173, and 1.1174 provide for requests to FDA.  Specifically, § 1.1142 provides for requests for reinstatement of LAAF accreditation; § 1.1171 provides for requests for reconsideration of denials; and §§ 1.1173 and 1.1174 provide for requests for hearings.  Because this is a new collection, we estimate a cumulative total of 1 respondent and 1 burden hour, as reflected in row 13.</w:t>
      </w:r>
    </w:p>
    <w:p w:rsidR="00BD6032" w:rsidP="00FD2E7F" w:rsidRDefault="00BD6032" w14:paraId="32A17350" w14:textId="330ABFCB">
      <w:pPr>
        <w:tabs>
          <w:tab w:val="left" w:pos="720"/>
        </w:tabs>
        <w:ind w:left="720"/>
        <w:rPr>
          <w:u w:val="single"/>
        </w:rPr>
      </w:pPr>
    </w:p>
    <w:tbl>
      <w:tblPr>
        <w:tblW w:w="4688" w:type="pct"/>
        <w:tblInd w:w="6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519"/>
        <w:gridCol w:w="1440"/>
        <w:gridCol w:w="1441"/>
        <w:gridCol w:w="1080"/>
        <w:gridCol w:w="1440"/>
        <w:gridCol w:w="1261"/>
        <w:tblGridChange w:id="0">
          <w:tblGrid>
            <w:gridCol w:w="2519"/>
            <w:gridCol w:w="1440"/>
            <w:gridCol w:w="1441"/>
            <w:gridCol w:w="1080"/>
            <w:gridCol w:w="1440"/>
            <w:gridCol w:w="1261"/>
          </w:tblGrid>
        </w:tblGridChange>
      </w:tblGrid>
      <w:tr w:rsidRPr="005300B7" w:rsidR="00BD6032" w:rsidTr="00F03B0C" w14:paraId="327ABED7" w14:textId="77777777">
        <w:trPr>
          <w:cantSplit/>
          <w:trHeight w:val="20"/>
          <w:tblHeader/>
        </w:trPr>
        <w:tc>
          <w:tcPr>
            <w:tcW w:w="5000" w:type="pct"/>
            <w:gridSpan w:val="6"/>
            <w:tcBorders>
              <w:top w:val="nil"/>
              <w:left w:val="nil"/>
              <w:bottom w:val="single" w:color="auto" w:sz="4" w:space="0"/>
              <w:right w:val="nil"/>
            </w:tcBorders>
            <w:hideMark/>
          </w:tcPr>
          <w:p w:rsidRPr="001878E5" w:rsidR="00BD6032" w:rsidP="00C65E10" w:rsidRDefault="00BD6032" w14:paraId="65D4DEF8" w14:textId="21FF430B">
            <w:pPr>
              <w:jc w:val="center"/>
              <w:rPr>
                <w:sz w:val="20"/>
                <w:szCs w:val="20"/>
              </w:rPr>
            </w:pPr>
            <w:r w:rsidRPr="001878E5">
              <w:rPr>
                <w:sz w:val="20"/>
                <w:szCs w:val="20"/>
              </w:rPr>
              <w:t xml:space="preserve">Table </w:t>
            </w:r>
            <w:r>
              <w:rPr>
                <w:sz w:val="20"/>
                <w:szCs w:val="20"/>
              </w:rPr>
              <w:t>2</w:t>
            </w:r>
            <w:r w:rsidRPr="001878E5">
              <w:rPr>
                <w:sz w:val="20"/>
                <w:szCs w:val="20"/>
              </w:rPr>
              <w:t>--Estimated Annual Recordkeeping Burden</w:t>
            </w:r>
          </w:p>
        </w:tc>
      </w:tr>
      <w:tr w:rsidRPr="005300B7" w:rsidR="00F03B0C" w:rsidTr="00F03B0C" w14:paraId="6506548E" w14:textId="77777777">
        <w:trPr>
          <w:cantSplit/>
          <w:trHeight w:val="20"/>
          <w:tblHeader/>
        </w:trPr>
        <w:tc>
          <w:tcPr>
            <w:tcW w:w="1372" w:type="pct"/>
            <w:tcBorders>
              <w:top w:val="single" w:color="auto" w:sz="4" w:space="0"/>
              <w:left w:val="single" w:color="auto" w:sz="4" w:space="0"/>
              <w:bottom w:val="single" w:color="auto" w:sz="4" w:space="0"/>
              <w:right w:val="single" w:color="auto" w:sz="4" w:space="0"/>
            </w:tcBorders>
            <w:hideMark/>
          </w:tcPr>
          <w:p w:rsidRPr="001878E5" w:rsidR="00BD6032" w:rsidP="00C65E10" w:rsidRDefault="00BD6032" w14:paraId="29F8036A" w14:textId="77777777">
            <w:pPr>
              <w:jc w:val="center"/>
              <w:rPr>
                <w:sz w:val="20"/>
                <w:szCs w:val="20"/>
              </w:rPr>
            </w:pPr>
            <w:r w:rsidRPr="001878E5">
              <w:rPr>
                <w:sz w:val="20"/>
                <w:szCs w:val="20"/>
              </w:rPr>
              <w:t>21 CFR part 1, subpart R; IC Activity</w:t>
            </w:r>
          </w:p>
        </w:tc>
        <w:tc>
          <w:tcPr>
            <w:tcW w:w="784" w:type="pct"/>
            <w:tcBorders>
              <w:top w:val="single" w:color="auto" w:sz="4" w:space="0"/>
              <w:left w:val="single" w:color="auto" w:sz="4" w:space="0"/>
              <w:bottom w:val="single" w:color="auto" w:sz="4" w:space="0"/>
              <w:right w:val="single" w:color="auto" w:sz="4" w:space="0"/>
            </w:tcBorders>
            <w:hideMark/>
          </w:tcPr>
          <w:p w:rsidRPr="001878E5" w:rsidR="00BD6032" w:rsidP="00C65E10" w:rsidRDefault="00BD6032" w14:paraId="2AA7D406" w14:textId="77777777">
            <w:pPr>
              <w:jc w:val="center"/>
              <w:rPr>
                <w:sz w:val="20"/>
                <w:szCs w:val="20"/>
              </w:rPr>
            </w:pPr>
            <w:r w:rsidRPr="001878E5">
              <w:rPr>
                <w:sz w:val="20"/>
                <w:szCs w:val="20"/>
              </w:rPr>
              <w:t>No. of Recordkeepers</w:t>
            </w:r>
          </w:p>
        </w:tc>
        <w:tc>
          <w:tcPr>
            <w:tcW w:w="785" w:type="pct"/>
            <w:tcBorders>
              <w:top w:val="single" w:color="auto" w:sz="4" w:space="0"/>
              <w:left w:val="single" w:color="auto" w:sz="4" w:space="0"/>
              <w:bottom w:val="single" w:color="auto" w:sz="4" w:space="0"/>
              <w:right w:val="single" w:color="auto" w:sz="4" w:space="0"/>
            </w:tcBorders>
            <w:hideMark/>
          </w:tcPr>
          <w:p w:rsidRPr="001878E5" w:rsidR="00BD6032" w:rsidP="00C65E10" w:rsidRDefault="00BD6032" w14:paraId="037DADD8" w14:textId="77777777">
            <w:pPr>
              <w:jc w:val="center"/>
              <w:rPr>
                <w:sz w:val="20"/>
                <w:szCs w:val="20"/>
              </w:rPr>
            </w:pPr>
            <w:r w:rsidRPr="001878E5">
              <w:rPr>
                <w:bCs/>
                <w:sz w:val="20"/>
                <w:szCs w:val="20"/>
              </w:rPr>
              <w:t>No. of Records per Recordkeeper</w:t>
            </w:r>
          </w:p>
        </w:tc>
        <w:tc>
          <w:tcPr>
            <w:tcW w:w="588" w:type="pct"/>
            <w:tcBorders>
              <w:top w:val="single" w:color="auto" w:sz="4" w:space="0"/>
              <w:left w:val="single" w:color="auto" w:sz="4" w:space="0"/>
              <w:bottom w:val="single" w:color="auto" w:sz="4" w:space="0"/>
              <w:right w:val="single" w:color="auto" w:sz="4" w:space="0"/>
            </w:tcBorders>
            <w:hideMark/>
          </w:tcPr>
          <w:p w:rsidRPr="001878E5" w:rsidR="00BD6032" w:rsidP="00C65E10" w:rsidRDefault="00BD6032" w14:paraId="0782EBC6" w14:textId="77777777">
            <w:pPr>
              <w:jc w:val="center"/>
              <w:rPr>
                <w:sz w:val="20"/>
                <w:szCs w:val="20"/>
              </w:rPr>
            </w:pPr>
            <w:r w:rsidRPr="001878E5">
              <w:rPr>
                <w:sz w:val="20"/>
                <w:szCs w:val="20"/>
              </w:rPr>
              <w:t>Total Annual Records</w:t>
            </w:r>
          </w:p>
        </w:tc>
        <w:tc>
          <w:tcPr>
            <w:tcW w:w="784" w:type="pct"/>
            <w:tcBorders>
              <w:top w:val="single" w:color="auto" w:sz="4" w:space="0"/>
              <w:left w:val="single" w:color="auto" w:sz="4" w:space="0"/>
              <w:bottom w:val="single" w:color="auto" w:sz="4" w:space="0"/>
              <w:right w:val="single" w:color="auto" w:sz="4" w:space="0"/>
            </w:tcBorders>
            <w:hideMark/>
          </w:tcPr>
          <w:p w:rsidRPr="001878E5" w:rsidR="00BD6032" w:rsidP="00C65E10" w:rsidRDefault="00BD6032" w14:paraId="449BB62A" w14:textId="77777777">
            <w:pPr>
              <w:jc w:val="center"/>
              <w:rPr>
                <w:sz w:val="20"/>
                <w:szCs w:val="20"/>
              </w:rPr>
            </w:pPr>
            <w:r w:rsidRPr="001878E5">
              <w:rPr>
                <w:bCs/>
                <w:sz w:val="20"/>
                <w:szCs w:val="20"/>
              </w:rPr>
              <w:t>Average Burden per Recordkeeping (in hours)</w:t>
            </w:r>
          </w:p>
        </w:tc>
        <w:tc>
          <w:tcPr>
            <w:tcW w:w="687" w:type="pct"/>
            <w:tcBorders>
              <w:top w:val="single" w:color="auto" w:sz="4" w:space="0"/>
              <w:left w:val="single" w:color="auto" w:sz="4" w:space="0"/>
              <w:bottom w:val="single" w:color="auto" w:sz="4" w:space="0"/>
              <w:right w:val="single" w:color="auto" w:sz="4" w:space="0"/>
            </w:tcBorders>
            <w:hideMark/>
          </w:tcPr>
          <w:p w:rsidRPr="001878E5" w:rsidR="00BD6032" w:rsidP="00C65E10" w:rsidRDefault="00BD6032" w14:paraId="24A83BAE" w14:textId="77777777">
            <w:pPr>
              <w:jc w:val="center"/>
              <w:rPr>
                <w:sz w:val="20"/>
                <w:szCs w:val="20"/>
              </w:rPr>
            </w:pPr>
            <w:r w:rsidRPr="001878E5">
              <w:rPr>
                <w:sz w:val="20"/>
                <w:szCs w:val="20"/>
              </w:rPr>
              <w:t>Total Hours</w:t>
            </w:r>
          </w:p>
        </w:tc>
      </w:tr>
      <w:tr w:rsidRPr="005300B7" w:rsidR="00F03B0C" w:rsidTr="00F03B0C" w14:paraId="51849B0D" w14:textId="77777777">
        <w:trPr>
          <w:cantSplit/>
          <w:trHeight w:val="20"/>
        </w:trPr>
        <w:tc>
          <w:tcPr>
            <w:tcW w:w="1372" w:type="pct"/>
            <w:tcBorders>
              <w:top w:val="single" w:color="auto" w:sz="4" w:space="0"/>
              <w:left w:val="single" w:color="auto" w:sz="4" w:space="0"/>
              <w:bottom w:val="single" w:color="auto" w:sz="4" w:space="0"/>
              <w:right w:val="single" w:color="auto" w:sz="4" w:space="0"/>
            </w:tcBorders>
          </w:tcPr>
          <w:p w:rsidRPr="001878E5" w:rsidR="00BD6032" w:rsidP="00C65E10" w:rsidRDefault="00BD6032" w14:paraId="3EE6BD54" w14:textId="77777777">
            <w:pPr>
              <w:rPr>
                <w:sz w:val="20"/>
                <w:szCs w:val="20"/>
              </w:rPr>
            </w:pPr>
            <w:r w:rsidRPr="001878E5">
              <w:rPr>
                <w:sz w:val="20"/>
                <w:szCs w:val="20"/>
              </w:rPr>
              <w:t>§ 1.11</w:t>
            </w:r>
            <w:r>
              <w:rPr>
                <w:sz w:val="20"/>
                <w:szCs w:val="20"/>
              </w:rPr>
              <w:t>1</w:t>
            </w:r>
            <w:r w:rsidRPr="001878E5">
              <w:rPr>
                <w:sz w:val="20"/>
                <w:szCs w:val="20"/>
              </w:rPr>
              <w:t>3</w:t>
            </w:r>
            <w:r>
              <w:rPr>
                <w:sz w:val="20"/>
                <w:szCs w:val="20"/>
              </w:rPr>
              <w:t>;</w:t>
            </w:r>
            <w:r w:rsidRPr="001878E5">
              <w:rPr>
                <w:sz w:val="20"/>
                <w:szCs w:val="20"/>
              </w:rPr>
              <w:t xml:space="preserve"> recordkeeping associated with ISO/IEC 17011</w:t>
            </w:r>
            <w:r>
              <w:rPr>
                <w:sz w:val="20"/>
                <w:szCs w:val="20"/>
              </w:rPr>
              <w:t>:2017</w:t>
            </w:r>
            <w:r w:rsidRPr="001878E5">
              <w:rPr>
                <w:sz w:val="20"/>
                <w:szCs w:val="20"/>
              </w:rPr>
              <w:t xml:space="preserve"> </w:t>
            </w:r>
          </w:p>
        </w:tc>
        <w:tc>
          <w:tcPr>
            <w:tcW w:w="784" w:type="pct"/>
            <w:tcBorders>
              <w:top w:val="single" w:color="auto" w:sz="4" w:space="0"/>
              <w:left w:val="single" w:color="auto" w:sz="4" w:space="0"/>
              <w:bottom w:val="single" w:color="auto" w:sz="4" w:space="0"/>
              <w:right w:val="single" w:color="auto" w:sz="4" w:space="0"/>
            </w:tcBorders>
          </w:tcPr>
          <w:p w:rsidRPr="001878E5" w:rsidR="00BD6032" w:rsidP="00C65E10" w:rsidRDefault="00BD6032" w14:paraId="34FA0F04" w14:textId="77777777">
            <w:pPr>
              <w:jc w:val="right"/>
              <w:rPr>
                <w:sz w:val="20"/>
                <w:szCs w:val="20"/>
              </w:rPr>
            </w:pPr>
            <w:r>
              <w:rPr>
                <w:sz w:val="20"/>
                <w:szCs w:val="20"/>
              </w:rPr>
              <w:t>4</w:t>
            </w:r>
          </w:p>
        </w:tc>
        <w:tc>
          <w:tcPr>
            <w:tcW w:w="785" w:type="pct"/>
            <w:tcBorders>
              <w:top w:val="single" w:color="auto" w:sz="4" w:space="0"/>
              <w:left w:val="single" w:color="auto" w:sz="4" w:space="0"/>
              <w:bottom w:val="single" w:color="auto" w:sz="4" w:space="0"/>
              <w:right w:val="single" w:color="auto" w:sz="4" w:space="0"/>
            </w:tcBorders>
          </w:tcPr>
          <w:p w:rsidRPr="001878E5" w:rsidR="00BD6032" w:rsidP="00C65E10" w:rsidRDefault="00BD6032" w14:paraId="781EDB93" w14:textId="77777777">
            <w:pPr>
              <w:jc w:val="right"/>
              <w:rPr>
                <w:sz w:val="20"/>
                <w:szCs w:val="20"/>
              </w:rPr>
            </w:pPr>
            <w:r w:rsidRPr="001878E5">
              <w:rPr>
                <w:sz w:val="20"/>
                <w:szCs w:val="20"/>
              </w:rPr>
              <w:t>1</w:t>
            </w:r>
          </w:p>
        </w:tc>
        <w:tc>
          <w:tcPr>
            <w:tcW w:w="588" w:type="pct"/>
            <w:tcBorders>
              <w:top w:val="single" w:color="auto" w:sz="4" w:space="0"/>
              <w:left w:val="single" w:color="auto" w:sz="4" w:space="0"/>
              <w:bottom w:val="single" w:color="auto" w:sz="4" w:space="0"/>
              <w:right w:val="single" w:color="auto" w:sz="4" w:space="0"/>
            </w:tcBorders>
          </w:tcPr>
          <w:p w:rsidRPr="001878E5" w:rsidR="00BD6032" w:rsidP="00C65E10" w:rsidRDefault="00BD6032" w14:paraId="52DA8F69" w14:textId="77777777">
            <w:pPr>
              <w:jc w:val="right"/>
              <w:rPr>
                <w:sz w:val="20"/>
                <w:szCs w:val="20"/>
              </w:rPr>
            </w:pPr>
            <w:r>
              <w:rPr>
                <w:sz w:val="20"/>
                <w:szCs w:val="20"/>
              </w:rPr>
              <w:t>4</w:t>
            </w:r>
          </w:p>
        </w:tc>
        <w:tc>
          <w:tcPr>
            <w:tcW w:w="784" w:type="pct"/>
            <w:tcBorders>
              <w:top w:val="single" w:color="auto" w:sz="4" w:space="0"/>
              <w:left w:val="single" w:color="auto" w:sz="4" w:space="0"/>
              <w:bottom w:val="single" w:color="auto" w:sz="4" w:space="0"/>
              <w:right w:val="single" w:color="auto" w:sz="4" w:space="0"/>
            </w:tcBorders>
          </w:tcPr>
          <w:p w:rsidRPr="001878E5" w:rsidR="00BD6032" w:rsidP="00C65E10" w:rsidRDefault="00BD6032" w14:paraId="25BC9679" w14:textId="77777777">
            <w:pPr>
              <w:jc w:val="right"/>
              <w:rPr>
                <w:sz w:val="20"/>
                <w:szCs w:val="20"/>
              </w:rPr>
            </w:pPr>
            <w:r w:rsidRPr="001878E5">
              <w:rPr>
                <w:sz w:val="20"/>
                <w:szCs w:val="20"/>
              </w:rPr>
              <w:t>1</w:t>
            </w:r>
          </w:p>
        </w:tc>
        <w:tc>
          <w:tcPr>
            <w:tcW w:w="687" w:type="pct"/>
            <w:tcBorders>
              <w:top w:val="single" w:color="auto" w:sz="4" w:space="0"/>
              <w:left w:val="single" w:color="auto" w:sz="4" w:space="0"/>
              <w:bottom w:val="single" w:color="auto" w:sz="4" w:space="0"/>
              <w:right w:val="single" w:color="auto" w:sz="4" w:space="0"/>
            </w:tcBorders>
          </w:tcPr>
          <w:p w:rsidRPr="001878E5" w:rsidR="00BD6032" w:rsidP="00C65E10" w:rsidRDefault="00BD6032" w14:paraId="4EE565F1" w14:textId="77777777">
            <w:pPr>
              <w:jc w:val="right"/>
              <w:rPr>
                <w:sz w:val="20"/>
                <w:szCs w:val="20"/>
              </w:rPr>
            </w:pPr>
            <w:r>
              <w:rPr>
                <w:sz w:val="20"/>
                <w:szCs w:val="20"/>
              </w:rPr>
              <w:t>4</w:t>
            </w:r>
          </w:p>
        </w:tc>
      </w:tr>
      <w:tr w:rsidRPr="005300B7" w:rsidR="00F03B0C" w:rsidTr="00F03B0C" w14:paraId="7EE29D4B" w14:textId="77777777">
        <w:trPr>
          <w:cantSplit/>
          <w:trHeight w:val="20"/>
        </w:trPr>
        <w:tc>
          <w:tcPr>
            <w:tcW w:w="1372" w:type="pct"/>
            <w:tcBorders>
              <w:top w:val="single" w:color="auto" w:sz="4" w:space="0"/>
              <w:left w:val="single" w:color="auto" w:sz="4" w:space="0"/>
              <w:bottom w:val="single" w:color="auto" w:sz="4" w:space="0"/>
              <w:right w:val="single" w:color="auto" w:sz="4" w:space="0"/>
            </w:tcBorders>
            <w:hideMark/>
          </w:tcPr>
          <w:p w:rsidRPr="001878E5" w:rsidR="00BD6032" w:rsidP="00C65E10" w:rsidRDefault="00BD6032" w14:paraId="673D2D05" w14:textId="77777777">
            <w:pPr>
              <w:rPr>
                <w:sz w:val="20"/>
                <w:szCs w:val="20"/>
              </w:rPr>
            </w:pPr>
            <w:r w:rsidRPr="001878E5">
              <w:rPr>
                <w:sz w:val="20"/>
                <w:szCs w:val="20"/>
              </w:rPr>
              <w:t>§ 1.1124; ABs</w:t>
            </w:r>
            <w:r>
              <w:rPr>
                <w:sz w:val="20"/>
                <w:szCs w:val="20"/>
              </w:rPr>
              <w:t>--</w:t>
            </w:r>
            <w:r w:rsidRPr="001878E5">
              <w:rPr>
                <w:sz w:val="20"/>
                <w:szCs w:val="20"/>
              </w:rPr>
              <w:t>additional recordkeeping requirements</w:t>
            </w:r>
          </w:p>
        </w:tc>
        <w:tc>
          <w:tcPr>
            <w:tcW w:w="784" w:type="pct"/>
            <w:tcBorders>
              <w:top w:val="single" w:color="auto" w:sz="4" w:space="0"/>
              <w:left w:val="single" w:color="auto" w:sz="4" w:space="0"/>
              <w:bottom w:val="single" w:color="auto" w:sz="4" w:space="0"/>
              <w:right w:val="single" w:color="auto" w:sz="4" w:space="0"/>
            </w:tcBorders>
            <w:hideMark/>
          </w:tcPr>
          <w:p w:rsidRPr="001878E5" w:rsidR="00BD6032" w:rsidP="00C65E10" w:rsidRDefault="00BD6032" w14:paraId="30F4F6DA" w14:textId="77777777">
            <w:pPr>
              <w:jc w:val="right"/>
              <w:rPr>
                <w:sz w:val="20"/>
                <w:szCs w:val="20"/>
              </w:rPr>
            </w:pPr>
            <w:r>
              <w:rPr>
                <w:sz w:val="20"/>
                <w:szCs w:val="20"/>
              </w:rPr>
              <w:t>4</w:t>
            </w:r>
          </w:p>
        </w:tc>
        <w:tc>
          <w:tcPr>
            <w:tcW w:w="785" w:type="pct"/>
            <w:tcBorders>
              <w:top w:val="single" w:color="auto" w:sz="4" w:space="0"/>
              <w:left w:val="single" w:color="auto" w:sz="4" w:space="0"/>
              <w:bottom w:val="single" w:color="auto" w:sz="4" w:space="0"/>
              <w:right w:val="single" w:color="auto" w:sz="4" w:space="0"/>
            </w:tcBorders>
            <w:hideMark/>
          </w:tcPr>
          <w:p w:rsidRPr="001878E5" w:rsidR="00BD6032" w:rsidP="00C65E10" w:rsidRDefault="00BD6032" w14:paraId="40AEE176" w14:textId="77777777">
            <w:pPr>
              <w:jc w:val="right"/>
              <w:rPr>
                <w:sz w:val="20"/>
                <w:szCs w:val="20"/>
              </w:rPr>
            </w:pPr>
            <w:r w:rsidRPr="001878E5">
              <w:rPr>
                <w:sz w:val="20"/>
                <w:szCs w:val="20"/>
              </w:rPr>
              <w:t>1</w:t>
            </w:r>
          </w:p>
        </w:tc>
        <w:tc>
          <w:tcPr>
            <w:tcW w:w="588" w:type="pct"/>
            <w:tcBorders>
              <w:top w:val="single" w:color="auto" w:sz="4" w:space="0"/>
              <w:left w:val="single" w:color="auto" w:sz="4" w:space="0"/>
              <w:bottom w:val="single" w:color="auto" w:sz="4" w:space="0"/>
              <w:right w:val="single" w:color="auto" w:sz="4" w:space="0"/>
            </w:tcBorders>
            <w:hideMark/>
          </w:tcPr>
          <w:p w:rsidRPr="001878E5" w:rsidR="00BD6032" w:rsidP="00C65E10" w:rsidRDefault="00BD6032" w14:paraId="100C44A9" w14:textId="77777777">
            <w:pPr>
              <w:jc w:val="right"/>
              <w:rPr>
                <w:sz w:val="20"/>
                <w:szCs w:val="20"/>
              </w:rPr>
            </w:pPr>
            <w:r>
              <w:rPr>
                <w:sz w:val="20"/>
                <w:szCs w:val="20"/>
              </w:rPr>
              <w:t>4</w:t>
            </w:r>
          </w:p>
        </w:tc>
        <w:tc>
          <w:tcPr>
            <w:tcW w:w="784" w:type="pct"/>
            <w:tcBorders>
              <w:top w:val="single" w:color="auto" w:sz="4" w:space="0"/>
              <w:left w:val="single" w:color="auto" w:sz="4" w:space="0"/>
              <w:bottom w:val="single" w:color="auto" w:sz="4" w:space="0"/>
              <w:right w:val="single" w:color="auto" w:sz="4" w:space="0"/>
            </w:tcBorders>
            <w:hideMark/>
          </w:tcPr>
          <w:p w:rsidRPr="001878E5" w:rsidR="00BD6032" w:rsidP="00C65E10" w:rsidRDefault="00BD6032" w14:paraId="41B2C43D" w14:textId="77777777">
            <w:pPr>
              <w:jc w:val="right"/>
              <w:rPr>
                <w:sz w:val="20"/>
                <w:szCs w:val="20"/>
              </w:rPr>
            </w:pPr>
            <w:r>
              <w:rPr>
                <w:sz w:val="20"/>
                <w:szCs w:val="20"/>
              </w:rPr>
              <w:t>21</w:t>
            </w:r>
          </w:p>
        </w:tc>
        <w:tc>
          <w:tcPr>
            <w:tcW w:w="687" w:type="pct"/>
            <w:tcBorders>
              <w:top w:val="single" w:color="auto" w:sz="4" w:space="0"/>
              <w:left w:val="single" w:color="auto" w:sz="4" w:space="0"/>
              <w:bottom w:val="single" w:color="auto" w:sz="4" w:space="0"/>
              <w:right w:val="single" w:color="auto" w:sz="4" w:space="0"/>
            </w:tcBorders>
            <w:hideMark/>
          </w:tcPr>
          <w:p w:rsidRPr="001878E5" w:rsidR="00BD6032" w:rsidP="00C65E10" w:rsidRDefault="00BD6032" w14:paraId="021F1E86" w14:textId="77777777">
            <w:pPr>
              <w:jc w:val="right"/>
              <w:rPr>
                <w:sz w:val="20"/>
                <w:szCs w:val="20"/>
              </w:rPr>
            </w:pPr>
            <w:r>
              <w:rPr>
                <w:sz w:val="20"/>
                <w:szCs w:val="20"/>
              </w:rPr>
              <w:t>84</w:t>
            </w:r>
          </w:p>
        </w:tc>
      </w:tr>
      <w:tr w:rsidRPr="005300B7" w:rsidR="00F03B0C" w:rsidTr="00F03B0C" w14:paraId="7A6B5906" w14:textId="77777777">
        <w:trPr>
          <w:cantSplit/>
          <w:trHeight w:val="20"/>
        </w:trPr>
        <w:tc>
          <w:tcPr>
            <w:tcW w:w="1372" w:type="pct"/>
            <w:tcBorders>
              <w:top w:val="single" w:color="auto" w:sz="4" w:space="0"/>
              <w:left w:val="single" w:color="auto" w:sz="4" w:space="0"/>
              <w:bottom w:val="single" w:color="auto" w:sz="4" w:space="0"/>
              <w:right w:val="single" w:color="auto" w:sz="4" w:space="0"/>
            </w:tcBorders>
          </w:tcPr>
          <w:p w:rsidRPr="001878E5" w:rsidR="00BD6032" w:rsidP="00C65E10" w:rsidRDefault="00BD6032" w14:paraId="56B9434D" w14:textId="77777777">
            <w:pPr>
              <w:rPr>
                <w:sz w:val="20"/>
                <w:szCs w:val="20"/>
              </w:rPr>
            </w:pPr>
            <w:r w:rsidRPr="001878E5">
              <w:rPr>
                <w:sz w:val="20"/>
                <w:szCs w:val="20"/>
              </w:rPr>
              <w:t>§ 1.1138; laboratories</w:t>
            </w:r>
            <w:r>
              <w:rPr>
                <w:sz w:val="20"/>
                <w:szCs w:val="20"/>
              </w:rPr>
              <w:t>--</w:t>
            </w:r>
            <w:r w:rsidRPr="001878E5">
              <w:rPr>
                <w:sz w:val="20"/>
                <w:szCs w:val="20"/>
              </w:rPr>
              <w:t>becoming accredited to ISO/IEC 17025</w:t>
            </w:r>
            <w:r>
              <w:rPr>
                <w:sz w:val="20"/>
                <w:szCs w:val="20"/>
              </w:rPr>
              <w:t>:2017</w:t>
            </w:r>
            <w:r w:rsidRPr="001878E5">
              <w:rPr>
                <w:sz w:val="20"/>
                <w:szCs w:val="20"/>
              </w:rPr>
              <w:t xml:space="preserve"> (one-time)</w:t>
            </w:r>
          </w:p>
        </w:tc>
        <w:tc>
          <w:tcPr>
            <w:tcW w:w="784" w:type="pct"/>
            <w:tcBorders>
              <w:top w:val="single" w:color="auto" w:sz="4" w:space="0"/>
              <w:left w:val="single" w:color="auto" w:sz="4" w:space="0"/>
              <w:bottom w:val="single" w:color="auto" w:sz="4" w:space="0"/>
              <w:right w:val="single" w:color="auto" w:sz="4" w:space="0"/>
            </w:tcBorders>
          </w:tcPr>
          <w:p w:rsidRPr="001878E5" w:rsidR="00BD6032" w:rsidP="00C65E10" w:rsidRDefault="00BD6032" w14:paraId="1C57D7E3" w14:textId="77777777">
            <w:pPr>
              <w:jc w:val="right"/>
              <w:rPr>
                <w:sz w:val="20"/>
                <w:szCs w:val="20"/>
              </w:rPr>
            </w:pPr>
            <w:r>
              <w:rPr>
                <w:sz w:val="20"/>
                <w:szCs w:val="20"/>
              </w:rPr>
              <w:t>9</w:t>
            </w:r>
          </w:p>
        </w:tc>
        <w:tc>
          <w:tcPr>
            <w:tcW w:w="785" w:type="pct"/>
            <w:tcBorders>
              <w:top w:val="single" w:color="auto" w:sz="4" w:space="0"/>
              <w:left w:val="single" w:color="auto" w:sz="4" w:space="0"/>
              <w:bottom w:val="single" w:color="auto" w:sz="4" w:space="0"/>
              <w:right w:val="single" w:color="auto" w:sz="4" w:space="0"/>
            </w:tcBorders>
          </w:tcPr>
          <w:p w:rsidRPr="001878E5" w:rsidR="00BD6032" w:rsidP="00C65E10" w:rsidRDefault="00BD6032" w14:paraId="7101DD0E" w14:textId="77777777">
            <w:pPr>
              <w:jc w:val="right"/>
              <w:rPr>
                <w:sz w:val="20"/>
                <w:szCs w:val="20"/>
              </w:rPr>
            </w:pPr>
            <w:r w:rsidRPr="001878E5">
              <w:rPr>
                <w:sz w:val="20"/>
                <w:szCs w:val="20"/>
              </w:rPr>
              <w:t>1</w:t>
            </w:r>
          </w:p>
        </w:tc>
        <w:tc>
          <w:tcPr>
            <w:tcW w:w="588" w:type="pct"/>
            <w:tcBorders>
              <w:top w:val="single" w:color="auto" w:sz="4" w:space="0"/>
              <w:left w:val="single" w:color="auto" w:sz="4" w:space="0"/>
              <w:bottom w:val="single" w:color="auto" w:sz="4" w:space="0"/>
              <w:right w:val="single" w:color="auto" w:sz="4" w:space="0"/>
            </w:tcBorders>
          </w:tcPr>
          <w:p w:rsidRPr="001878E5" w:rsidR="00BD6032" w:rsidP="00C65E10" w:rsidRDefault="00BD6032" w14:paraId="6F8A47C3" w14:textId="77777777">
            <w:pPr>
              <w:jc w:val="right"/>
              <w:rPr>
                <w:sz w:val="20"/>
                <w:szCs w:val="20"/>
              </w:rPr>
            </w:pPr>
            <w:r>
              <w:rPr>
                <w:sz w:val="20"/>
                <w:szCs w:val="20"/>
              </w:rPr>
              <w:t>9</w:t>
            </w:r>
          </w:p>
        </w:tc>
        <w:tc>
          <w:tcPr>
            <w:tcW w:w="784" w:type="pct"/>
            <w:tcBorders>
              <w:top w:val="single" w:color="auto" w:sz="4" w:space="0"/>
              <w:left w:val="single" w:color="auto" w:sz="4" w:space="0"/>
              <w:bottom w:val="single" w:color="auto" w:sz="4" w:space="0"/>
              <w:right w:val="single" w:color="auto" w:sz="4" w:space="0"/>
            </w:tcBorders>
          </w:tcPr>
          <w:p w:rsidRPr="001878E5" w:rsidR="00BD6032" w:rsidP="00C65E10" w:rsidRDefault="00BD6032" w14:paraId="26EFF06A" w14:textId="77777777">
            <w:pPr>
              <w:jc w:val="right"/>
              <w:rPr>
                <w:sz w:val="20"/>
                <w:szCs w:val="20"/>
              </w:rPr>
            </w:pPr>
            <w:r w:rsidRPr="001878E5">
              <w:rPr>
                <w:sz w:val="20"/>
                <w:szCs w:val="20"/>
              </w:rPr>
              <w:t>91.06</w:t>
            </w:r>
          </w:p>
        </w:tc>
        <w:tc>
          <w:tcPr>
            <w:tcW w:w="687" w:type="pct"/>
            <w:tcBorders>
              <w:top w:val="single" w:color="auto" w:sz="4" w:space="0"/>
              <w:left w:val="single" w:color="auto" w:sz="4" w:space="0"/>
              <w:bottom w:val="single" w:color="auto" w:sz="4" w:space="0"/>
              <w:right w:val="single" w:color="auto" w:sz="4" w:space="0"/>
            </w:tcBorders>
          </w:tcPr>
          <w:p w:rsidRPr="001878E5" w:rsidR="00BD6032" w:rsidP="00C65E10" w:rsidRDefault="00BD6032" w14:paraId="5DE6CDA0" w14:textId="1761B378">
            <w:pPr>
              <w:jc w:val="right"/>
              <w:rPr>
                <w:sz w:val="20"/>
                <w:szCs w:val="20"/>
              </w:rPr>
            </w:pPr>
            <w:r>
              <w:rPr>
                <w:sz w:val="20"/>
                <w:szCs w:val="20"/>
              </w:rPr>
              <w:t>819.</w:t>
            </w:r>
            <w:r w:rsidR="00CF59FD">
              <w:rPr>
                <w:sz w:val="20"/>
                <w:szCs w:val="20"/>
              </w:rPr>
              <w:t>54</w:t>
            </w:r>
          </w:p>
        </w:tc>
      </w:tr>
      <w:tr w:rsidRPr="005300B7" w:rsidR="00F03B0C" w:rsidTr="00F03B0C" w14:paraId="7DC3E871" w14:textId="77777777">
        <w:trPr>
          <w:cantSplit/>
          <w:trHeight w:val="20"/>
        </w:trPr>
        <w:tc>
          <w:tcPr>
            <w:tcW w:w="1372" w:type="pct"/>
            <w:tcBorders>
              <w:top w:val="single" w:color="auto" w:sz="4" w:space="0"/>
              <w:left w:val="single" w:color="auto" w:sz="4" w:space="0"/>
              <w:bottom w:val="single" w:color="auto" w:sz="4" w:space="0"/>
              <w:right w:val="single" w:color="auto" w:sz="4" w:space="0"/>
            </w:tcBorders>
            <w:hideMark/>
          </w:tcPr>
          <w:p w:rsidRPr="001878E5" w:rsidR="00BD6032" w:rsidP="00C65E10" w:rsidRDefault="00BD6032" w14:paraId="03433C96" w14:textId="77777777">
            <w:pPr>
              <w:rPr>
                <w:sz w:val="20"/>
                <w:szCs w:val="20"/>
              </w:rPr>
            </w:pPr>
            <w:r w:rsidRPr="001878E5">
              <w:rPr>
                <w:sz w:val="20"/>
                <w:szCs w:val="20"/>
              </w:rPr>
              <w:t>§ 1.11</w:t>
            </w:r>
            <w:r>
              <w:rPr>
                <w:sz w:val="20"/>
                <w:szCs w:val="20"/>
              </w:rPr>
              <w:t>38</w:t>
            </w:r>
            <w:r w:rsidRPr="001878E5">
              <w:rPr>
                <w:sz w:val="20"/>
                <w:szCs w:val="20"/>
              </w:rPr>
              <w:t>; laboratories</w:t>
            </w:r>
            <w:r>
              <w:rPr>
                <w:sz w:val="20"/>
                <w:szCs w:val="20"/>
              </w:rPr>
              <w:t>--</w:t>
            </w:r>
            <w:r w:rsidRPr="001878E5">
              <w:rPr>
                <w:sz w:val="20"/>
                <w:szCs w:val="20"/>
              </w:rPr>
              <w:t>maintaining ISO/IEC 17025</w:t>
            </w:r>
            <w:r>
              <w:rPr>
                <w:sz w:val="20"/>
                <w:szCs w:val="20"/>
              </w:rPr>
              <w:t>:2017</w:t>
            </w:r>
            <w:r w:rsidRPr="001878E5">
              <w:rPr>
                <w:sz w:val="20"/>
                <w:szCs w:val="20"/>
              </w:rPr>
              <w:t xml:space="preserve"> accreditation </w:t>
            </w:r>
          </w:p>
        </w:tc>
        <w:tc>
          <w:tcPr>
            <w:tcW w:w="784" w:type="pct"/>
            <w:tcBorders>
              <w:top w:val="single" w:color="auto" w:sz="4" w:space="0"/>
              <w:left w:val="single" w:color="auto" w:sz="4" w:space="0"/>
              <w:bottom w:val="single" w:color="auto" w:sz="4" w:space="0"/>
              <w:right w:val="single" w:color="auto" w:sz="4" w:space="0"/>
            </w:tcBorders>
            <w:hideMark/>
          </w:tcPr>
          <w:p w:rsidRPr="001878E5" w:rsidR="00BD6032" w:rsidP="00C65E10" w:rsidRDefault="00BD6032" w14:paraId="4577EE47" w14:textId="77777777">
            <w:pPr>
              <w:jc w:val="right"/>
              <w:rPr>
                <w:sz w:val="20"/>
                <w:szCs w:val="20"/>
              </w:rPr>
            </w:pPr>
            <w:r>
              <w:rPr>
                <w:sz w:val="20"/>
                <w:szCs w:val="20"/>
              </w:rPr>
              <w:t>170</w:t>
            </w:r>
          </w:p>
        </w:tc>
        <w:tc>
          <w:tcPr>
            <w:tcW w:w="785" w:type="pct"/>
            <w:tcBorders>
              <w:top w:val="single" w:color="auto" w:sz="4" w:space="0"/>
              <w:left w:val="single" w:color="auto" w:sz="4" w:space="0"/>
              <w:bottom w:val="single" w:color="auto" w:sz="4" w:space="0"/>
              <w:right w:val="single" w:color="auto" w:sz="4" w:space="0"/>
            </w:tcBorders>
            <w:hideMark/>
          </w:tcPr>
          <w:p w:rsidRPr="001878E5" w:rsidR="00BD6032" w:rsidP="00C65E10" w:rsidRDefault="00BD6032" w14:paraId="24FD04F2" w14:textId="77777777">
            <w:pPr>
              <w:jc w:val="right"/>
              <w:rPr>
                <w:sz w:val="20"/>
                <w:szCs w:val="20"/>
              </w:rPr>
            </w:pPr>
            <w:r w:rsidRPr="001878E5">
              <w:rPr>
                <w:sz w:val="20"/>
                <w:szCs w:val="20"/>
              </w:rPr>
              <w:t>1</w:t>
            </w:r>
          </w:p>
        </w:tc>
        <w:tc>
          <w:tcPr>
            <w:tcW w:w="588" w:type="pct"/>
            <w:tcBorders>
              <w:top w:val="single" w:color="auto" w:sz="4" w:space="0"/>
              <w:left w:val="single" w:color="auto" w:sz="4" w:space="0"/>
              <w:bottom w:val="single" w:color="auto" w:sz="4" w:space="0"/>
              <w:right w:val="single" w:color="auto" w:sz="4" w:space="0"/>
            </w:tcBorders>
            <w:hideMark/>
          </w:tcPr>
          <w:p w:rsidRPr="001878E5" w:rsidR="00BD6032" w:rsidP="00C65E10" w:rsidRDefault="00BD6032" w14:paraId="19B378A8" w14:textId="77777777">
            <w:pPr>
              <w:jc w:val="right"/>
              <w:rPr>
                <w:sz w:val="20"/>
                <w:szCs w:val="20"/>
              </w:rPr>
            </w:pPr>
            <w:r>
              <w:rPr>
                <w:sz w:val="20"/>
                <w:szCs w:val="20"/>
              </w:rPr>
              <w:t>170</w:t>
            </w:r>
          </w:p>
        </w:tc>
        <w:tc>
          <w:tcPr>
            <w:tcW w:w="784" w:type="pct"/>
            <w:tcBorders>
              <w:top w:val="single" w:color="auto" w:sz="4" w:space="0"/>
              <w:left w:val="single" w:color="auto" w:sz="4" w:space="0"/>
              <w:bottom w:val="single" w:color="auto" w:sz="4" w:space="0"/>
              <w:right w:val="single" w:color="auto" w:sz="4" w:space="0"/>
            </w:tcBorders>
            <w:hideMark/>
          </w:tcPr>
          <w:p w:rsidRPr="001878E5" w:rsidR="00BD6032" w:rsidP="00C65E10" w:rsidRDefault="00BD6032" w14:paraId="1528761D" w14:textId="77777777">
            <w:pPr>
              <w:jc w:val="right"/>
              <w:rPr>
                <w:sz w:val="20"/>
                <w:szCs w:val="20"/>
              </w:rPr>
            </w:pPr>
            <w:r w:rsidRPr="001878E5">
              <w:rPr>
                <w:sz w:val="20"/>
                <w:szCs w:val="20"/>
              </w:rPr>
              <w:t>889.53</w:t>
            </w:r>
          </w:p>
        </w:tc>
        <w:tc>
          <w:tcPr>
            <w:tcW w:w="687" w:type="pct"/>
            <w:tcBorders>
              <w:top w:val="single" w:color="auto" w:sz="4" w:space="0"/>
              <w:left w:val="single" w:color="auto" w:sz="4" w:space="0"/>
              <w:bottom w:val="single" w:color="auto" w:sz="4" w:space="0"/>
              <w:right w:val="single" w:color="auto" w:sz="4" w:space="0"/>
            </w:tcBorders>
            <w:hideMark/>
          </w:tcPr>
          <w:p w:rsidRPr="001878E5" w:rsidR="00BD6032" w:rsidP="00C65E10" w:rsidRDefault="00BD6032" w14:paraId="4C47E909" w14:textId="77777777">
            <w:pPr>
              <w:jc w:val="right"/>
              <w:rPr>
                <w:sz w:val="20"/>
                <w:szCs w:val="20"/>
              </w:rPr>
            </w:pPr>
            <w:r>
              <w:rPr>
                <w:sz w:val="20"/>
                <w:szCs w:val="20"/>
              </w:rPr>
              <w:t>151,220.10</w:t>
            </w:r>
          </w:p>
        </w:tc>
      </w:tr>
      <w:tr w:rsidRPr="005300B7" w:rsidR="00F03B0C" w:rsidTr="00F03B0C" w14:paraId="100ACCF1" w14:textId="77777777">
        <w:trPr>
          <w:cantSplit/>
          <w:trHeight w:val="20"/>
        </w:trPr>
        <w:tc>
          <w:tcPr>
            <w:tcW w:w="1372" w:type="pct"/>
            <w:tcBorders>
              <w:top w:val="single" w:color="auto" w:sz="4" w:space="0"/>
              <w:left w:val="single" w:color="auto" w:sz="4" w:space="0"/>
              <w:bottom w:val="single" w:color="auto" w:sz="4" w:space="0"/>
              <w:right w:val="single" w:color="auto" w:sz="4" w:space="0"/>
            </w:tcBorders>
          </w:tcPr>
          <w:p w:rsidRPr="001878E5" w:rsidR="00BD6032" w:rsidP="00C65E10" w:rsidRDefault="00BD6032" w14:paraId="5FB91FA6" w14:textId="77777777">
            <w:pPr>
              <w:rPr>
                <w:sz w:val="20"/>
                <w:szCs w:val="20"/>
              </w:rPr>
            </w:pPr>
            <w:r>
              <w:rPr>
                <w:sz w:val="20"/>
                <w:szCs w:val="20"/>
              </w:rPr>
              <w:t>§ 1.1154; laboratories—additional recordkeeping requirements</w:t>
            </w:r>
          </w:p>
        </w:tc>
        <w:tc>
          <w:tcPr>
            <w:tcW w:w="784" w:type="pct"/>
            <w:tcBorders>
              <w:top w:val="single" w:color="auto" w:sz="4" w:space="0"/>
              <w:left w:val="single" w:color="auto" w:sz="4" w:space="0"/>
              <w:bottom w:val="single" w:color="auto" w:sz="4" w:space="0"/>
              <w:right w:val="single" w:color="auto" w:sz="4" w:space="0"/>
            </w:tcBorders>
          </w:tcPr>
          <w:p w:rsidRPr="001878E5" w:rsidR="00BD6032" w:rsidP="00C65E10" w:rsidRDefault="00BD6032" w14:paraId="5C001305" w14:textId="77777777">
            <w:pPr>
              <w:jc w:val="right"/>
              <w:rPr>
                <w:sz w:val="20"/>
                <w:szCs w:val="20"/>
              </w:rPr>
            </w:pPr>
            <w:r>
              <w:rPr>
                <w:sz w:val="20"/>
                <w:szCs w:val="20"/>
              </w:rPr>
              <w:t>170</w:t>
            </w:r>
          </w:p>
        </w:tc>
        <w:tc>
          <w:tcPr>
            <w:tcW w:w="785" w:type="pct"/>
            <w:tcBorders>
              <w:top w:val="single" w:color="auto" w:sz="4" w:space="0"/>
              <w:left w:val="single" w:color="auto" w:sz="4" w:space="0"/>
              <w:bottom w:val="single" w:color="auto" w:sz="4" w:space="0"/>
              <w:right w:val="single" w:color="auto" w:sz="4" w:space="0"/>
            </w:tcBorders>
          </w:tcPr>
          <w:p w:rsidRPr="001878E5" w:rsidR="00BD6032" w:rsidP="00C65E10" w:rsidRDefault="00BD6032" w14:paraId="09E6A05B" w14:textId="77777777">
            <w:pPr>
              <w:jc w:val="right"/>
              <w:rPr>
                <w:sz w:val="20"/>
                <w:szCs w:val="20"/>
              </w:rPr>
            </w:pPr>
            <w:r>
              <w:rPr>
                <w:sz w:val="20"/>
                <w:szCs w:val="20"/>
              </w:rPr>
              <w:t>1</w:t>
            </w:r>
          </w:p>
        </w:tc>
        <w:tc>
          <w:tcPr>
            <w:tcW w:w="588" w:type="pct"/>
            <w:tcBorders>
              <w:top w:val="single" w:color="auto" w:sz="4" w:space="0"/>
              <w:left w:val="single" w:color="auto" w:sz="4" w:space="0"/>
              <w:bottom w:val="single" w:color="auto" w:sz="4" w:space="0"/>
              <w:right w:val="single" w:color="auto" w:sz="4" w:space="0"/>
            </w:tcBorders>
          </w:tcPr>
          <w:p w:rsidRPr="001878E5" w:rsidR="00BD6032" w:rsidP="00C65E10" w:rsidRDefault="00BD6032" w14:paraId="6FA267FF" w14:textId="77777777">
            <w:pPr>
              <w:jc w:val="right"/>
              <w:rPr>
                <w:sz w:val="20"/>
                <w:szCs w:val="20"/>
              </w:rPr>
            </w:pPr>
            <w:r>
              <w:rPr>
                <w:sz w:val="20"/>
                <w:szCs w:val="20"/>
              </w:rPr>
              <w:t>170</w:t>
            </w:r>
          </w:p>
        </w:tc>
        <w:tc>
          <w:tcPr>
            <w:tcW w:w="784" w:type="pct"/>
            <w:tcBorders>
              <w:top w:val="single" w:color="auto" w:sz="4" w:space="0"/>
              <w:left w:val="single" w:color="auto" w:sz="4" w:space="0"/>
              <w:bottom w:val="single" w:color="auto" w:sz="4" w:space="0"/>
              <w:right w:val="single" w:color="auto" w:sz="4" w:space="0"/>
            </w:tcBorders>
          </w:tcPr>
          <w:p w:rsidRPr="001878E5" w:rsidR="00BD6032" w:rsidP="00C65E10" w:rsidRDefault="00BD6032" w14:paraId="447C9088" w14:textId="77777777">
            <w:pPr>
              <w:jc w:val="right"/>
              <w:rPr>
                <w:sz w:val="20"/>
                <w:szCs w:val="20"/>
              </w:rPr>
            </w:pPr>
            <w:r>
              <w:rPr>
                <w:sz w:val="20"/>
                <w:szCs w:val="20"/>
              </w:rPr>
              <w:t>12</w:t>
            </w:r>
          </w:p>
        </w:tc>
        <w:tc>
          <w:tcPr>
            <w:tcW w:w="687" w:type="pct"/>
            <w:tcBorders>
              <w:top w:val="single" w:color="auto" w:sz="4" w:space="0"/>
              <w:left w:val="single" w:color="auto" w:sz="4" w:space="0"/>
              <w:bottom w:val="single" w:color="auto" w:sz="4" w:space="0"/>
              <w:right w:val="single" w:color="auto" w:sz="4" w:space="0"/>
            </w:tcBorders>
          </w:tcPr>
          <w:p w:rsidRPr="001878E5" w:rsidR="00BD6032" w:rsidP="00C65E10" w:rsidRDefault="00BD6032" w14:paraId="79C184A6" w14:textId="77777777">
            <w:pPr>
              <w:jc w:val="right"/>
              <w:rPr>
                <w:sz w:val="20"/>
                <w:szCs w:val="20"/>
              </w:rPr>
            </w:pPr>
            <w:r>
              <w:rPr>
                <w:sz w:val="20"/>
                <w:szCs w:val="20"/>
              </w:rPr>
              <w:t>2,040</w:t>
            </w:r>
          </w:p>
        </w:tc>
      </w:tr>
      <w:tr w:rsidRPr="005300B7" w:rsidR="00F03B0C" w:rsidTr="00F03B0C" w14:paraId="1B1C4758" w14:textId="77777777">
        <w:trPr>
          <w:cantSplit/>
          <w:trHeight w:val="20"/>
        </w:trPr>
        <w:tc>
          <w:tcPr>
            <w:tcW w:w="1372" w:type="pct"/>
            <w:tcBorders>
              <w:top w:val="single" w:color="auto" w:sz="4" w:space="0"/>
              <w:left w:val="single" w:color="auto" w:sz="4" w:space="0"/>
              <w:bottom w:val="single" w:color="auto" w:sz="4" w:space="0"/>
              <w:right w:val="single" w:color="auto" w:sz="4" w:space="0"/>
            </w:tcBorders>
            <w:hideMark/>
          </w:tcPr>
          <w:p w:rsidRPr="001878E5" w:rsidR="00BD6032" w:rsidP="00C65E10" w:rsidRDefault="00BD6032" w14:paraId="0964FE1D" w14:textId="77777777">
            <w:pPr>
              <w:rPr>
                <w:sz w:val="20"/>
                <w:szCs w:val="20"/>
              </w:rPr>
            </w:pPr>
            <w:r w:rsidRPr="001878E5">
              <w:rPr>
                <w:sz w:val="20"/>
                <w:szCs w:val="20"/>
              </w:rPr>
              <w:t>Total</w:t>
            </w:r>
          </w:p>
        </w:tc>
        <w:tc>
          <w:tcPr>
            <w:tcW w:w="784" w:type="pct"/>
            <w:tcBorders>
              <w:top w:val="single" w:color="auto" w:sz="4" w:space="0"/>
              <w:left w:val="single" w:color="auto" w:sz="4" w:space="0"/>
              <w:bottom w:val="single" w:color="auto" w:sz="4" w:space="0"/>
              <w:right w:val="single" w:color="auto" w:sz="4" w:space="0"/>
            </w:tcBorders>
          </w:tcPr>
          <w:p w:rsidRPr="001878E5" w:rsidR="00BD6032" w:rsidP="00C65E10" w:rsidRDefault="00BD6032" w14:paraId="027559BC" w14:textId="77777777">
            <w:pPr>
              <w:jc w:val="right"/>
              <w:rPr>
                <w:sz w:val="20"/>
                <w:szCs w:val="20"/>
              </w:rPr>
            </w:pPr>
          </w:p>
        </w:tc>
        <w:tc>
          <w:tcPr>
            <w:tcW w:w="785" w:type="pct"/>
            <w:tcBorders>
              <w:top w:val="single" w:color="auto" w:sz="4" w:space="0"/>
              <w:left w:val="single" w:color="auto" w:sz="4" w:space="0"/>
              <w:bottom w:val="single" w:color="auto" w:sz="4" w:space="0"/>
              <w:right w:val="single" w:color="auto" w:sz="4" w:space="0"/>
            </w:tcBorders>
          </w:tcPr>
          <w:p w:rsidRPr="001878E5" w:rsidR="00BD6032" w:rsidP="00C65E10" w:rsidRDefault="00BD6032" w14:paraId="6B002170" w14:textId="77777777">
            <w:pPr>
              <w:jc w:val="right"/>
              <w:rPr>
                <w:sz w:val="20"/>
                <w:szCs w:val="20"/>
              </w:rPr>
            </w:pPr>
          </w:p>
        </w:tc>
        <w:tc>
          <w:tcPr>
            <w:tcW w:w="588" w:type="pct"/>
            <w:tcBorders>
              <w:top w:val="single" w:color="auto" w:sz="4" w:space="0"/>
              <w:left w:val="single" w:color="auto" w:sz="4" w:space="0"/>
              <w:bottom w:val="single" w:color="auto" w:sz="4" w:space="0"/>
              <w:right w:val="single" w:color="auto" w:sz="4" w:space="0"/>
            </w:tcBorders>
          </w:tcPr>
          <w:p w:rsidRPr="001878E5" w:rsidR="00BD6032" w:rsidP="00C65E10" w:rsidRDefault="0036752D" w14:paraId="7F0FC2F7" w14:textId="7A75C8C8">
            <w:pPr>
              <w:jc w:val="right"/>
              <w:rPr>
                <w:sz w:val="20"/>
                <w:szCs w:val="20"/>
              </w:rPr>
            </w:pPr>
            <w:r>
              <w:rPr>
                <w:sz w:val="20"/>
                <w:szCs w:val="20"/>
              </w:rPr>
              <w:fldChar w:fldCharType="begin"/>
            </w:r>
            <w:r>
              <w:rPr>
                <w:sz w:val="20"/>
                <w:szCs w:val="20"/>
              </w:rPr>
              <w:instrText xml:space="preserve"> =SUM(ABOVE) </w:instrText>
            </w:r>
            <w:r>
              <w:rPr>
                <w:sz w:val="20"/>
                <w:szCs w:val="20"/>
              </w:rPr>
              <w:fldChar w:fldCharType="separate"/>
            </w:r>
            <w:r>
              <w:rPr>
                <w:noProof/>
                <w:sz w:val="20"/>
                <w:szCs w:val="20"/>
              </w:rPr>
              <w:t>357</w:t>
            </w:r>
            <w:r>
              <w:rPr>
                <w:sz w:val="20"/>
                <w:szCs w:val="20"/>
              </w:rPr>
              <w:fldChar w:fldCharType="end"/>
            </w:r>
          </w:p>
        </w:tc>
        <w:tc>
          <w:tcPr>
            <w:tcW w:w="784" w:type="pct"/>
            <w:tcBorders>
              <w:top w:val="single" w:color="auto" w:sz="4" w:space="0"/>
              <w:left w:val="single" w:color="auto" w:sz="4" w:space="0"/>
              <w:bottom w:val="single" w:color="auto" w:sz="4" w:space="0"/>
              <w:right w:val="single" w:color="auto" w:sz="4" w:space="0"/>
            </w:tcBorders>
          </w:tcPr>
          <w:p w:rsidRPr="001878E5" w:rsidR="00BD6032" w:rsidP="00C65E10" w:rsidRDefault="00BD6032" w14:paraId="1AB789A0" w14:textId="77777777">
            <w:pPr>
              <w:jc w:val="right"/>
              <w:rPr>
                <w:sz w:val="20"/>
                <w:szCs w:val="20"/>
              </w:rPr>
            </w:pPr>
          </w:p>
        </w:tc>
        <w:tc>
          <w:tcPr>
            <w:tcW w:w="687" w:type="pct"/>
            <w:tcBorders>
              <w:top w:val="single" w:color="auto" w:sz="4" w:space="0"/>
              <w:left w:val="single" w:color="auto" w:sz="4" w:space="0"/>
              <w:bottom w:val="single" w:color="auto" w:sz="4" w:space="0"/>
              <w:right w:val="single" w:color="auto" w:sz="4" w:space="0"/>
            </w:tcBorders>
          </w:tcPr>
          <w:p w:rsidRPr="001878E5" w:rsidR="00BD6032" w:rsidP="00C65E10" w:rsidRDefault="00BD6032" w14:paraId="0E277766" w14:textId="77777777">
            <w:pPr>
              <w:jc w:val="right"/>
              <w:rPr>
                <w:sz w:val="20"/>
                <w:szCs w:val="20"/>
              </w:rPr>
            </w:pPr>
            <w:r>
              <w:rPr>
                <w:sz w:val="20"/>
                <w:szCs w:val="20"/>
              </w:rPr>
              <w:t>154,167.64</w:t>
            </w:r>
          </w:p>
        </w:tc>
      </w:tr>
    </w:tbl>
    <w:p w:rsidRPr="00BD6032" w:rsidR="00BD6032" w:rsidP="00FD2E7F" w:rsidRDefault="00BD6032" w14:paraId="3E6C8FC9" w14:textId="77777777">
      <w:pPr>
        <w:tabs>
          <w:tab w:val="left" w:pos="720"/>
        </w:tabs>
        <w:ind w:left="720"/>
        <w:rPr>
          <w:u w:val="single"/>
        </w:rPr>
      </w:pPr>
    </w:p>
    <w:p w:rsidR="00836435" w:rsidP="00836435" w:rsidRDefault="00836435" w14:paraId="4CCFD448" w14:textId="37235B96">
      <w:pPr>
        <w:tabs>
          <w:tab w:val="left" w:pos="720"/>
        </w:tabs>
        <w:ind w:left="720"/>
        <w:rPr>
          <w:u w:val="single"/>
        </w:rPr>
      </w:pPr>
      <w:r w:rsidRPr="00836435">
        <w:rPr>
          <w:i/>
          <w:iCs/>
          <w:u w:val="single"/>
        </w:rPr>
        <w:t>Recordkeeping</w:t>
      </w:r>
      <w:r w:rsidRPr="00A27704">
        <w:rPr>
          <w:i/>
          <w:iCs/>
        </w:rPr>
        <w:t>:</w:t>
      </w:r>
      <w:r w:rsidRPr="00A27704">
        <w:t xml:space="preserve"> We estimate the annual recordkeeping requirements be 154,167.64, as reflected in table 2.</w:t>
      </w:r>
    </w:p>
    <w:p w:rsidRPr="00836435" w:rsidR="00925DE5" w:rsidP="00836435" w:rsidRDefault="00925DE5" w14:paraId="178EB7FE" w14:textId="77777777">
      <w:pPr>
        <w:tabs>
          <w:tab w:val="left" w:pos="720"/>
        </w:tabs>
        <w:ind w:left="720"/>
        <w:rPr>
          <w:u w:val="single"/>
        </w:rPr>
      </w:pPr>
    </w:p>
    <w:p w:rsidRPr="00A27704" w:rsidR="00836435" w:rsidP="00836435" w:rsidRDefault="00836435" w14:paraId="5C0FB6C1" w14:textId="274D75F9">
      <w:pPr>
        <w:tabs>
          <w:tab w:val="left" w:pos="720"/>
        </w:tabs>
        <w:ind w:left="720"/>
      </w:pPr>
      <w:r w:rsidRPr="00A27704">
        <w:t>Section 1.1113 requires a recognized accreditation body to meet the requirements of ISO/IEC 17011:2017.  While ISO/IEC 17011:2017 includes recordkeeping requirements, as noted above we estimate that all 4 of the accreditation bodies that we estimate will apply to become recognized currently adhere to ISO/IEC 17011:2017.  We therefore regard these activities as usual and customary; however, we include a place holder of one response and one burden hour for each respondent, as reflected in row 1.</w:t>
      </w:r>
    </w:p>
    <w:p w:rsidRPr="00A27704" w:rsidR="007663C1" w:rsidP="00836435" w:rsidRDefault="007663C1" w14:paraId="61B39C62" w14:textId="77777777">
      <w:pPr>
        <w:tabs>
          <w:tab w:val="left" w:pos="720"/>
        </w:tabs>
        <w:ind w:left="720"/>
      </w:pPr>
    </w:p>
    <w:p w:rsidRPr="00A27704" w:rsidR="00836435" w:rsidP="00836435" w:rsidRDefault="00836435" w14:paraId="61E2F9D4" w14:textId="42834E04">
      <w:pPr>
        <w:tabs>
          <w:tab w:val="left" w:pos="720"/>
        </w:tabs>
        <w:ind w:left="720"/>
      </w:pPr>
      <w:r w:rsidRPr="00A27704">
        <w:t xml:space="preserve">Section 1.1124 requires maintenance of certain records in addition to those required by ISO/IEC 17011:2017.  We estimate that a recognized accreditation body will incur a burden of 12 hours per year to comply with both the recordkeeping requirements of § 1.1124 and the reporting requirements of § 1.1123.  For this analysis, we identify the recordkeeping and reporting burdens separately, assuming 21 of those 42 annual hours would be spent complying with the recordkeeping requirements of § 1.1124.  Thus, the annual recordkeeping </w:t>
      </w:r>
      <w:r w:rsidRPr="00A27704">
        <w:lastRenderedPageBreak/>
        <w:t>burden for the 4 recognized accreditation bodies to meet the additional recordkeeping requirements of § 1.1124 would be 84 hours, as reflected in row 2.</w:t>
      </w:r>
    </w:p>
    <w:p w:rsidRPr="00A27704" w:rsidR="007663C1" w:rsidP="00836435" w:rsidRDefault="007663C1" w14:paraId="4254D74E" w14:textId="77777777">
      <w:pPr>
        <w:tabs>
          <w:tab w:val="left" w:pos="720"/>
        </w:tabs>
        <w:ind w:left="720"/>
      </w:pPr>
    </w:p>
    <w:p w:rsidRPr="00A27704" w:rsidR="00836435" w:rsidP="00836435" w:rsidRDefault="00836435" w14:paraId="5B97338C" w14:textId="1F1BB55F">
      <w:pPr>
        <w:tabs>
          <w:tab w:val="left" w:pos="720"/>
        </w:tabs>
        <w:ind w:left="720"/>
      </w:pPr>
      <w:r w:rsidRPr="00A27704">
        <w:t xml:space="preserve">Section 1.1138 requires a laboratory to be ISO/IEC 17025:2017-accredited, including meeting its recordkeeping requirements, to become LAAF-accredited under the </w:t>
      </w:r>
      <w:r w:rsidR="009B2FF8">
        <w:t>regulations</w:t>
      </w:r>
      <w:r w:rsidRPr="00A27704">
        <w:t>.  We estimate that 7 to 10 laboratories not currently accredited to ISO/IEC 17025:2017 would become so accredited to participate in the LAAF program.  For this estimate, we assume the middle value of 8.5 laboratories, which we round up to 9, would become ISO/IEC 17025-accredited to participate in the LAAF program.  The burden to become ISO/IEC 17025:2017-accredited is an initial burden and, once realized, would apply only to respondents becoming accredited to ISO/IEC 17025:2017 to participate in the LAAF program.  We estimate that it would take a mean of 91.06 hours for the associated recordkeeping activities.  In this analysis, we annualize this recordkeeping burden using a 3-year period horizon and zero percent discount rate, for an annualized recordkeeping burden of 819.</w:t>
      </w:r>
      <w:r w:rsidRPr="00A27704" w:rsidR="00CF59FD">
        <w:t>54</w:t>
      </w:r>
      <w:r w:rsidRPr="00A27704">
        <w:t>, as reflected in row 3.</w:t>
      </w:r>
    </w:p>
    <w:p w:rsidRPr="00A27704" w:rsidR="007663C1" w:rsidP="00836435" w:rsidRDefault="007663C1" w14:paraId="36675151" w14:textId="77777777">
      <w:pPr>
        <w:tabs>
          <w:tab w:val="left" w:pos="720"/>
        </w:tabs>
        <w:ind w:left="720"/>
      </w:pPr>
    </w:p>
    <w:p w:rsidRPr="00A27704" w:rsidR="00836435" w:rsidP="00836435" w:rsidRDefault="00836435" w14:paraId="52A17386" w14:textId="34A757FC">
      <w:pPr>
        <w:tabs>
          <w:tab w:val="left" w:pos="720"/>
        </w:tabs>
        <w:ind w:left="720"/>
      </w:pPr>
      <w:r w:rsidRPr="00A27704">
        <w:t>Section 1.1138 requires a LAAF-accredited laboratory to maintain conformance with ISO/IEC 17025:2017, including its recordkeeping requirements.  As discussed in our NPRM, we estimate a mean of 889.53 hours for this recordkeeping.  This results in an annual burden of 151,220.10 hours, as reflected in row 4.</w:t>
      </w:r>
    </w:p>
    <w:p w:rsidRPr="00A27704" w:rsidR="007663C1" w:rsidP="00836435" w:rsidRDefault="007663C1" w14:paraId="12E723EF" w14:textId="77777777">
      <w:pPr>
        <w:tabs>
          <w:tab w:val="left" w:pos="720"/>
        </w:tabs>
        <w:ind w:left="720"/>
      </w:pPr>
    </w:p>
    <w:p w:rsidR="00836435" w:rsidP="00836435" w:rsidRDefault="00836435" w14:paraId="16D9CA94" w14:textId="485A42F1">
      <w:pPr>
        <w:tabs>
          <w:tab w:val="left" w:pos="720"/>
        </w:tabs>
        <w:ind w:left="720"/>
        <w:rPr>
          <w:u w:val="single"/>
        </w:rPr>
      </w:pPr>
      <w:r w:rsidRPr="00A27704">
        <w:t>Section 1.1154 requires maintenance of certain records in addition to those required by ISO/IEC 17025:2017.  We estimate that a LAAF-accredited laboratory will incur a burden of about 1 hour per month (12 hours per year) to comply with the recordkeeping requirements in § 1.1154.  This results in an annual burden of 2,040 hours, as reflected in row 5.</w:t>
      </w:r>
    </w:p>
    <w:p w:rsidRPr="00836435" w:rsidR="007663C1" w:rsidP="00836435" w:rsidRDefault="007663C1" w14:paraId="49C6FD74" w14:textId="77777777">
      <w:pPr>
        <w:tabs>
          <w:tab w:val="left" w:pos="720"/>
        </w:tabs>
        <w:ind w:left="720"/>
        <w:rPr>
          <w:u w:val="single"/>
        </w:rPr>
      </w:pPr>
    </w:p>
    <w:p w:rsidR="00560333" w:rsidP="002A0C48" w:rsidRDefault="00560333" w14:paraId="7765DDF9" w14:textId="77777777">
      <w:pPr>
        <w:rPr>
          <w:i/>
        </w:rPr>
      </w:pPr>
    </w:p>
    <w:p w:rsidRPr="004870F9" w:rsidR="00A93ED9" w:rsidP="00CC7253" w:rsidRDefault="00A93ED9" w14:paraId="1A018AE7" w14:textId="77777777">
      <w:pPr>
        <w:pStyle w:val="BodyText2"/>
        <w:ind w:left="720"/>
        <w:rPr>
          <w:i/>
          <w:iCs/>
        </w:rPr>
      </w:pPr>
      <w:r w:rsidRPr="004870F9">
        <w:rPr>
          <w:i/>
          <w:iCs/>
        </w:rPr>
        <w:t xml:space="preserve">12b. </w:t>
      </w:r>
      <w:r w:rsidRPr="004870F9" w:rsidR="00411D11">
        <w:rPr>
          <w:i/>
          <w:iCs/>
        </w:rPr>
        <w:t>Annualized Cost Burden Estimate</w:t>
      </w:r>
    </w:p>
    <w:p w:rsidR="00A93ED9" w:rsidP="002A0C48" w:rsidRDefault="00A93ED9" w14:paraId="483A73B1" w14:textId="77777777">
      <w:pPr>
        <w:pStyle w:val="BodyText2"/>
        <w:ind w:left="720"/>
      </w:pPr>
    </w:p>
    <w:p w:rsidRPr="00B144D4" w:rsidR="007039B0" w:rsidP="002A0C48" w:rsidRDefault="007039B0" w14:paraId="05753ADA" w14:textId="4A97924D">
      <w:pPr>
        <w:pStyle w:val="BodyText2"/>
        <w:ind w:left="720"/>
      </w:pPr>
      <w:r w:rsidRPr="00B144D4">
        <w:rPr>
          <w:szCs w:val="24"/>
        </w:rPr>
        <w:t>We estimate that the annualized reporting cost burden under the</w:t>
      </w:r>
      <w:r w:rsidR="00052162">
        <w:rPr>
          <w:szCs w:val="24"/>
        </w:rPr>
        <w:t xml:space="preserve"> regulations</w:t>
      </w:r>
      <w:r w:rsidRPr="00B144D4">
        <w:rPr>
          <w:szCs w:val="24"/>
        </w:rPr>
        <w:t xml:space="preserve"> would be </w:t>
      </w:r>
      <w:r w:rsidR="00FB5B63">
        <w:rPr>
          <w:szCs w:val="24"/>
        </w:rPr>
        <w:t>$</w:t>
      </w:r>
      <w:r w:rsidRPr="00D605EA" w:rsidR="00D605EA">
        <w:rPr>
          <w:szCs w:val="24"/>
        </w:rPr>
        <w:t>1,535,568.04</w:t>
      </w:r>
      <w:r w:rsidRPr="007244F5">
        <w:rPr>
          <w:szCs w:val="24"/>
        </w:rPr>
        <w:t xml:space="preserve"> (see Table 3 below) and the </w:t>
      </w:r>
      <w:r w:rsidR="002454D1">
        <w:rPr>
          <w:szCs w:val="24"/>
        </w:rPr>
        <w:t>annual</w:t>
      </w:r>
      <w:r w:rsidR="00F46EBB">
        <w:rPr>
          <w:szCs w:val="24"/>
        </w:rPr>
        <w:t>ized</w:t>
      </w:r>
      <w:r w:rsidRPr="0014588F" w:rsidR="00611D3B">
        <w:rPr>
          <w:szCs w:val="24"/>
        </w:rPr>
        <w:t xml:space="preserve"> recordkeeping cost burden</w:t>
      </w:r>
      <w:r w:rsidRPr="002A4B4D" w:rsidR="00611D3B">
        <w:rPr>
          <w:szCs w:val="24"/>
        </w:rPr>
        <w:t xml:space="preserve"> under the </w:t>
      </w:r>
      <w:r w:rsidR="00C43499">
        <w:rPr>
          <w:szCs w:val="24"/>
        </w:rPr>
        <w:t>regulations</w:t>
      </w:r>
      <w:r w:rsidRPr="002A4B4D" w:rsidR="00611D3B">
        <w:rPr>
          <w:szCs w:val="24"/>
        </w:rPr>
        <w:t xml:space="preserve"> would be </w:t>
      </w:r>
      <w:r w:rsidRPr="007244F5" w:rsidR="00BC02B0">
        <w:rPr>
          <w:szCs w:val="24"/>
        </w:rPr>
        <w:t>$</w:t>
      </w:r>
      <w:r w:rsidRPr="00375CBC" w:rsidR="00375CBC">
        <w:rPr>
          <w:szCs w:val="24"/>
        </w:rPr>
        <w:t>11,887,310.64</w:t>
      </w:r>
      <w:r w:rsidRPr="007244F5" w:rsidR="00611D3B">
        <w:rPr>
          <w:szCs w:val="24"/>
        </w:rPr>
        <w:t xml:space="preserve"> (see Table 4 below), for a total</w:t>
      </w:r>
      <w:r w:rsidR="005222D6">
        <w:rPr>
          <w:szCs w:val="24"/>
        </w:rPr>
        <w:t xml:space="preserve"> annualized</w:t>
      </w:r>
      <w:r w:rsidRPr="007244F5" w:rsidR="00611D3B">
        <w:rPr>
          <w:szCs w:val="24"/>
        </w:rPr>
        <w:t xml:space="preserve"> information collection burden</w:t>
      </w:r>
      <w:r w:rsidR="005222D6">
        <w:rPr>
          <w:szCs w:val="24"/>
        </w:rPr>
        <w:t xml:space="preserve"> cost estimate</w:t>
      </w:r>
      <w:r w:rsidRPr="007244F5" w:rsidR="00611D3B">
        <w:rPr>
          <w:szCs w:val="24"/>
        </w:rPr>
        <w:t xml:space="preserve"> of $</w:t>
      </w:r>
      <w:r w:rsidR="00C92C40">
        <w:rPr>
          <w:szCs w:val="24"/>
        </w:rPr>
        <w:t>13,422,878.68</w:t>
      </w:r>
      <w:r w:rsidRPr="007244F5" w:rsidR="00611D3B">
        <w:rPr>
          <w:szCs w:val="24"/>
        </w:rPr>
        <w:t>.</w:t>
      </w:r>
    </w:p>
    <w:p w:rsidR="00C06B2D" w:rsidP="002A0C48" w:rsidRDefault="00C06B2D" w14:paraId="7D5F5FBC" w14:textId="77777777">
      <w:pPr>
        <w:pStyle w:val="BodyText2"/>
        <w:ind w:left="720"/>
      </w:pPr>
    </w:p>
    <w:p w:rsidR="00396F98" w:rsidP="002A0C48" w:rsidRDefault="00611D3B" w14:paraId="4EE8A562" w14:textId="0509D0FC">
      <w:pPr>
        <w:pStyle w:val="BodyText2"/>
        <w:ind w:left="720"/>
      </w:pPr>
      <w:r>
        <w:t xml:space="preserve">We believe that recordkeeping and reporting requirements of the </w:t>
      </w:r>
      <w:r w:rsidR="00E3091B">
        <w:t xml:space="preserve">final </w:t>
      </w:r>
      <w:r w:rsidR="00052162">
        <w:t xml:space="preserve">regulations </w:t>
      </w:r>
      <w:r>
        <w:t>are conducted by personnel with differing wage rates</w:t>
      </w:r>
      <w:r w:rsidR="00F44533">
        <w:t xml:space="preserve">, in accordance with the </w:t>
      </w:r>
      <w:r w:rsidR="006963C0">
        <w:t>FRIA</w:t>
      </w:r>
      <w:r w:rsidR="00F44533">
        <w:t xml:space="preserve">. </w:t>
      </w:r>
      <w:r w:rsidR="00396F98">
        <w:t xml:space="preserve">With respect to the reporting burden on accreditation bodies under the </w:t>
      </w:r>
      <w:r w:rsidR="009B2FF8">
        <w:t>regulations</w:t>
      </w:r>
      <w:r w:rsidR="00396F98">
        <w:t>:</w:t>
      </w:r>
    </w:p>
    <w:p w:rsidR="00396F98" w:rsidP="002A0C48" w:rsidRDefault="00396F98" w14:paraId="4E1D84A1" w14:textId="77777777">
      <w:pPr>
        <w:pStyle w:val="BodyText2"/>
        <w:ind w:left="720"/>
      </w:pPr>
    </w:p>
    <w:p w:rsidRPr="00B144D4" w:rsidR="00396F98" w:rsidP="002A0C48" w:rsidRDefault="00396F98" w14:paraId="5D760122" w14:textId="1ABC10F1">
      <w:pPr>
        <w:pStyle w:val="BodyText2"/>
        <w:numPr>
          <w:ilvl w:val="0"/>
          <w:numId w:val="51"/>
        </w:numPr>
      </w:pPr>
      <w:r>
        <w:t xml:space="preserve">We expect the reporting burden </w:t>
      </w:r>
      <w:r w:rsidR="00334B29">
        <w:t xml:space="preserve">on accreditation bodies </w:t>
      </w:r>
      <w:r w:rsidR="000941DB">
        <w:t xml:space="preserve">to apply for recognition or </w:t>
      </w:r>
      <w:r w:rsidR="00D45780">
        <w:t xml:space="preserve">apply for renewal of recognition </w:t>
      </w:r>
      <w:r>
        <w:t>under §</w:t>
      </w:r>
      <w:r w:rsidR="00D45780">
        <w:t>§</w:t>
      </w:r>
      <w:r>
        <w:t xml:space="preserve"> 1.</w:t>
      </w:r>
      <w:r w:rsidR="006A6D3B">
        <w:t>1113</w:t>
      </w:r>
      <w:r>
        <w:t xml:space="preserve"> and </w:t>
      </w:r>
      <w:r w:rsidR="00094B09">
        <w:t>1.1114</w:t>
      </w:r>
      <w:r>
        <w:t xml:space="preserve"> to be conducted by personnel at the level of a Lawyer</w:t>
      </w:r>
      <w:r w:rsidR="00AD154D">
        <w:t xml:space="preserve"> (see </w:t>
      </w:r>
      <w:r w:rsidR="00094B09">
        <w:t>F</w:t>
      </w:r>
      <w:r w:rsidR="00AD154D">
        <w:t xml:space="preserve">RIA at p. </w:t>
      </w:r>
      <w:r w:rsidR="005250E7">
        <w:t>88</w:t>
      </w:r>
      <w:r w:rsidR="00AD154D">
        <w:t>)</w:t>
      </w:r>
      <w:r>
        <w:t>, as</w:t>
      </w:r>
      <w:r w:rsidRPr="00DF6516">
        <w:rPr>
          <w:szCs w:val="24"/>
        </w:rPr>
        <w:t xml:space="preserve"> reported in the Bure</w:t>
      </w:r>
      <w:r>
        <w:rPr>
          <w:szCs w:val="24"/>
        </w:rPr>
        <w:t xml:space="preserve">au of Labor Statistics, May </w:t>
      </w:r>
      <w:r w:rsidR="001574F3">
        <w:rPr>
          <w:szCs w:val="24"/>
        </w:rPr>
        <w:t>2020</w:t>
      </w:r>
      <w:r w:rsidRPr="00DF6516" w:rsidR="001574F3">
        <w:rPr>
          <w:szCs w:val="24"/>
        </w:rPr>
        <w:t xml:space="preserve"> </w:t>
      </w:r>
      <w:r w:rsidRPr="00DF6516">
        <w:rPr>
          <w:szCs w:val="24"/>
        </w:rPr>
        <w:t xml:space="preserve">National Occupational Survey under occupation code </w:t>
      </w:r>
      <w:r>
        <w:rPr>
          <w:szCs w:val="24"/>
        </w:rPr>
        <w:t xml:space="preserve">23-1011. </w:t>
      </w:r>
      <w:r w:rsidRPr="00DF6516">
        <w:rPr>
          <w:szCs w:val="24"/>
        </w:rPr>
        <w:t>We multiply the wage by two to account for overhead to obtain a fully loaded hourly wage of $</w:t>
      </w:r>
      <w:r w:rsidR="00F9072A">
        <w:rPr>
          <w:szCs w:val="24"/>
        </w:rPr>
        <w:t>143.18</w:t>
      </w:r>
      <w:r w:rsidRPr="00DF6516">
        <w:rPr>
          <w:szCs w:val="24"/>
        </w:rPr>
        <w:t xml:space="preserve"> for a </w:t>
      </w:r>
      <w:r>
        <w:rPr>
          <w:szCs w:val="24"/>
        </w:rPr>
        <w:t>Lawyer</w:t>
      </w:r>
      <w:r w:rsidRPr="00DF6516">
        <w:rPr>
          <w:szCs w:val="24"/>
        </w:rPr>
        <w:t>.</w:t>
      </w:r>
      <w:r>
        <w:rPr>
          <w:szCs w:val="24"/>
        </w:rPr>
        <w:t xml:space="preserve">  </w:t>
      </w:r>
    </w:p>
    <w:p w:rsidRPr="0014588F" w:rsidR="00396F98" w:rsidP="002A0C48" w:rsidRDefault="00396F98" w14:paraId="13165DBB" w14:textId="77777777">
      <w:pPr>
        <w:pStyle w:val="BodyText2"/>
        <w:ind w:left="1440"/>
      </w:pPr>
    </w:p>
    <w:p w:rsidRPr="00B144D4" w:rsidR="00396F98" w:rsidP="002A0C48" w:rsidRDefault="00396F98" w14:paraId="5C168362" w14:textId="2FAB3BE5">
      <w:pPr>
        <w:pStyle w:val="BodyText2"/>
        <w:numPr>
          <w:ilvl w:val="0"/>
          <w:numId w:val="51"/>
        </w:numPr>
      </w:pPr>
      <w:r>
        <w:rPr>
          <w:szCs w:val="24"/>
        </w:rPr>
        <w:t xml:space="preserve">We expect </w:t>
      </w:r>
      <w:r>
        <w:t>the reporting burden</w:t>
      </w:r>
      <w:r w:rsidR="005D089E">
        <w:t xml:space="preserve"> on accreditation bodies</w:t>
      </w:r>
      <w:r>
        <w:t xml:space="preserve"> under § 1.1123 (</w:t>
      </w:r>
      <w:r w:rsidR="006837F1">
        <w:t>reports, notifications, and documentation</w:t>
      </w:r>
      <w:r w:rsidR="00592103">
        <w:t xml:space="preserve"> requirements</w:t>
      </w:r>
      <w:r>
        <w:t xml:space="preserve">) to be conducted by accreditation body </w:t>
      </w:r>
      <w:r>
        <w:lastRenderedPageBreak/>
        <w:t>personnel at the level of Microbiologist</w:t>
      </w:r>
      <w:r w:rsidR="00AD154D">
        <w:t xml:space="preserve"> (see </w:t>
      </w:r>
      <w:r w:rsidR="00592103">
        <w:t>F</w:t>
      </w:r>
      <w:r w:rsidR="00AD154D">
        <w:t xml:space="preserve">RIA at p. </w:t>
      </w:r>
      <w:r w:rsidR="00C10318">
        <w:t>92-93</w:t>
      </w:r>
      <w:r w:rsidR="00AD154D">
        <w:t>)</w:t>
      </w:r>
      <w:r>
        <w:t>, as</w:t>
      </w:r>
      <w:r w:rsidRPr="00DF6516">
        <w:rPr>
          <w:szCs w:val="24"/>
        </w:rPr>
        <w:t xml:space="preserve"> reported in the Bure</w:t>
      </w:r>
      <w:r>
        <w:rPr>
          <w:szCs w:val="24"/>
        </w:rPr>
        <w:t xml:space="preserve">au of Labor Statistics, May </w:t>
      </w:r>
      <w:r w:rsidR="00592103">
        <w:rPr>
          <w:szCs w:val="24"/>
        </w:rPr>
        <w:t>2020</w:t>
      </w:r>
      <w:r w:rsidRPr="00DF6516" w:rsidR="00592103">
        <w:rPr>
          <w:szCs w:val="24"/>
        </w:rPr>
        <w:t xml:space="preserve"> </w:t>
      </w:r>
      <w:r w:rsidRPr="00DF6516">
        <w:rPr>
          <w:szCs w:val="24"/>
        </w:rPr>
        <w:t>National Occupational Survey under occupation code 19-1022</w:t>
      </w:r>
      <w:r>
        <w:rPr>
          <w:szCs w:val="24"/>
        </w:rPr>
        <w:t xml:space="preserve">.  </w:t>
      </w:r>
      <w:r w:rsidRPr="00DF6516">
        <w:rPr>
          <w:szCs w:val="24"/>
        </w:rPr>
        <w:t>We multiply the wage by two to account for overhead to obtain a fully loaded hourly wage of $</w:t>
      </w:r>
      <w:r w:rsidR="00EF14B6">
        <w:rPr>
          <w:szCs w:val="24"/>
        </w:rPr>
        <w:t>88.30</w:t>
      </w:r>
      <w:r w:rsidRPr="00DF6516">
        <w:rPr>
          <w:szCs w:val="24"/>
        </w:rPr>
        <w:t xml:space="preserve"> for a Microbiologist.</w:t>
      </w:r>
    </w:p>
    <w:p w:rsidR="00396F98" w:rsidP="002A0C48" w:rsidRDefault="00396F98" w14:paraId="66BB2622" w14:textId="77777777">
      <w:pPr>
        <w:pStyle w:val="BodyText2"/>
        <w:ind w:left="720"/>
        <w:rPr>
          <w:szCs w:val="24"/>
        </w:rPr>
      </w:pPr>
    </w:p>
    <w:p w:rsidRPr="005912AE" w:rsidR="00396F98" w:rsidP="002A0C48" w:rsidRDefault="00396F98" w14:paraId="34B2D6E5" w14:textId="64A3145C">
      <w:pPr>
        <w:pStyle w:val="BodyText2"/>
        <w:ind w:left="720"/>
      </w:pPr>
      <w:r w:rsidRPr="005912AE">
        <w:t xml:space="preserve">With respect to the reporting burden on laboratories under the </w:t>
      </w:r>
      <w:r w:rsidR="009B2FF8">
        <w:t>regulations</w:t>
      </w:r>
      <w:r w:rsidRPr="005912AE">
        <w:t>:</w:t>
      </w:r>
    </w:p>
    <w:p w:rsidRPr="005912AE" w:rsidR="00C47AF7" w:rsidP="002A0C48" w:rsidRDefault="00C47AF7" w14:paraId="4BEAE249" w14:textId="77777777">
      <w:pPr>
        <w:pStyle w:val="BodyText2"/>
        <w:ind w:left="720"/>
      </w:pPr>
    </w:p>
    <w:p w:rsidRPr="005912AE" w:rsidR="009B0825" w:rsidP="002A0C48" w:rsidRDefault="00712597" w14:paraId="0CF7F539" w14:textId="5D04BF92">
      <w:pPr>
        <w:pStyle w:val="BodyText2"/>
        <w:numPr>
          <w:ilvl w:val="0"/>
          <w:numId w:val="52"/>
        </w:numPr>
      </w:pPr>
      <w:r w:rsidRPr="005912AE">
        <w:rPr>
          <w:szCs w:val="24"/>
        </w:rPr>
        <w:t>We expect the reporting burden</w:t>
      </w:r>
      <w:r w:rsidRPr="005912AE" w:rsidR="00C47AF7">
        <w:rPr>
          <w:szCs w:val="24"/>
        </w:rPr>
        <w:t xml:space="preserve"> on laboratories</w:t>
      </w:r>
      <w:r w:rsidRPr="005912AE">
        <w:rPr>
          <w:szCs w:val="24"/>
        </w:rPr>
        <w:t xml:space="preserve"> </w:t>
      </w:r>
      <w:r w:rsidRPr="005912AE">
        <w:t>under §</w:t>
      </w:r>
      <w:r w:rsidR="000754E6">
        <w:t>§</w:t>
      </w:r>
      <w:r w:rsidRPr="005912AE">
        <w:t xml:space="preserve"> 1.</w:t>
      </w:r>
      <w:r w:rsidRPr="005912AE" w:rsidR="000754E6">
        <w:t>11</w:t>
      </w:r>
      <w:r w:rsidR="000754E6">
        <w:t>38</w:t>
      </w:r>
      <w:r w:rsidR="000504D2">
        <w:t xml:space="preserve"> and 1.1139</w:t>
      </w:r>
      <w:r w:rsidRPr="005912AE" w:rsidR="000754E6">
        <w:t xml:space="preserve"> </w:t>
      </w:r>
      <w:r w:rsidRPr="005912AE">
        <w:t xml:space="preserve">(the application for accreditation) to be conducted by laboratory personnel at the level of a </w:t>
      </w:r>
      <w:r w:rsidR="00A409DE">
        <w:t>Food Scientist</w:t>
      </w:r>
      <w:r w:rsidR="00F62F42">
        <w:t xml:space="preserve"> and Technologist</w:t>
      </w:r>
      <w:r w:rsidRPr="005912AE" w:rsidR="00A409DE">
        <w:t xml:space="preserve"> </w:t>
      </w:r>
      <w:r w:rsidRPr="005912AE" w:rsidR="00AD154D">
        <w:t xml:space="preserve">(see </w:t>
      </w:r>
      <w:r w:rsidR="00402A9A">
        <w:t>F</w:t>
      </w:r>
      <w:r w:rsidRPr="005912AE" w:rsidR="00402A9A">
        <w:t xml:space="preserve">RIA </w:t>
      </w:r>
      <w:r w:rsidRPr="005912AE" w:rsidR="00AD154D">
        <w:t xml:space="preserve">at p. </w:t>
      </w:r>
      <w:r w:rsidR="00402A9A">
        <w:t>103</w:t>
      </w:r>
      <w:r w:rsidRPr="005912AE" w:rsidR="00AD154D">
        <w:t>)</w:t>
      </w:r>
      <w:r w:rsidRPr="005912AE">
        <w:t>, as</w:t>
      </w:r>
      <w:r w:rsidRPr="005912AE">
        <w:rPr>
          <w:szCs w:val="24"/>
        </w:rPr>
        <w:t xml:space="preserve"> reported in the Bureau of Labor Statistics, May </w:t>
      </w:r>
      <w:r w:rsidR="005138B6">
        <w:rPr>
          <w:szCs w:val="24"/>
        </w:rPr>
        <w:t>2020</w:t>
      </w:r>
      <w:r w:rsidRPr="005912AE" w:rsidR="005138B6">
        <w:rPr>
          <w:szCs w:val="24"/>
        </w:rPr>
        <w:t xml:space="preserve"> </w:t>
      </w:r>
      <w:r w:rsidRPr="005912AE">
        <w:rPr>
          <w:szCs w:val="24"/>
        </w:rPr>
        <w:t xml:space="preserve">National Occupational Survey under occupation code </w:t>
      </w:r>
      <w:r w:rsidR="00F62F42">
        <w:rPr>
          <w:szCs w:val="24"/>
        </w:rPr>
        <w:t>11</w:t>
      </w:r>
      <w:r w:rsidR="0000629E">
        <w:rPr>
          <w:szCs w:val="24"/>
        </w:rPr>
        <w:t>-9121</w:t>
      </w:r>
      <w:r w:rsidR="000A4009">
        <w:rPr>
          <w:szCs w:val="24"/>
        </w:rPr>
        <w:t>, at the</w:t>
      </w:r>
      <w:r w:rsidRPr="005912AE">
        <w:rPr>
          <w:szCs w:val="24"/>
        </w:rPr>
        <w:t xml:space="preserve"> fully loaded hourly wage of $</w:t>
      </w:r>
      <w:r w:rsidR="002467B2">
        <w:rPr>
          <w:szCs w:val="24"/>
        </w:rPr>
        <w:t>77.10</w:t>
      </w:r>
      <w:r w:rsidRPr="005912AE">
        <w:rPr>
          <w:szCs w:val="24"/>
        </w:rPr>
        <w:t>.</w:t>
      </w:r>
    </w:p>
    <w:p w:rsidRPr="00823B09" w:rsidR="009B0825" w:rsidP="002A0C48" w:rsidRDefault="009B0825" w14:paraId="1F8731FF" w14:textId="77777777">
      <w:pPr>
        <w:pStyle w:val="BodyText2"/>
        <w:ind w:left="1440"/>
        <w:rPr>
          <w:highlight w:val="lightGray"/>
        </w:rPr>
      </w:pPr>
    </w:p>
    <w:p w:rsidRPr="005912AE" w:rsidR="009B0825" w:rsidP="002A0C48" w:rsidRDefault="009B0825" w14:paraId="2095D682" w14:textId="60BCA5ED">
      <w:pPr>
        <w:pStyle w:val="BodyText2"/>
        <w:numPr>
          <w:ilvl w:val="0"/>
          <w:numId w:val="52"/>
        </w:numPr>
      </w:pPr>
      <w:r w:rsidRPr="005912AE">
        <w:rPr>
          <w:szCs w:val="24"/>
        </w:rPr>
        <w:t>We expect the reporting burden</w:t>
      </w:r>
      <w:r w:rsidRPr="005912AE" w:rsidR="00C47AF7">
        <w:rPr>
          <w:szCs w:val="24"/>
        </w:rPr>
        <w:t xml:space="preserve"> on laboratories</w:t>
      </w:r>
      <w:r w:rsidRPr="005912AE">
        <w:rPr>
          <w:szCs w:val="24"/>
        </w:rPr>
        <w:t xml:space="preserve"> under §§ </w:t>
      </w:r>
      <w:r w:rsidR="00737BA1">
        <w:rPr>
          <w:szCs w:val="24"/>
        </w:rPr>
        <w:t>1.1149, 1.1152, and 1.1153</w:t>
      </w:r>
      <w:r w:rsidR="0033108B">
        <w:rPr>
          <w:szCs w:val="24"/>
        </w:rPr>
        <w:t xml:space="preserve"> </w:t>
      </w:r>
      <w:r w:rsidRPr="005912AE">
        <w:rPr>
          <w:szCs w:val="24"/>
        </w:rPr>
        <w:t xml:space="preserve">(submission of sampling plans, sample collection reports, sampler qualifications, analytical reports (including qualifying to submit abridged analytical reports and submission of abridged analytical reports), validation studies, verification studies, and advance notices of sampling) </w:t>
      </w:r>
      <w:r w:rsidRPr="005912AE">
        <w:t>to be conducted by laboratory personnel at the level of a Food Scientist and Technologist</w:t>
      </w:r>
      <w:r w:rsidRPr="005912AE" w:rsidR="00AD154D">
        <w:t xml:space="preserve"> (see </w:t>
      </w:r>
      <w:r w:rsidR="00E65EEA">
        <w:t>F</w:t>
      </w:r>
      <w:r w:rsidRPr="005912AE" w:rsidR="00E65EEA">
        <w:t xml:space="preserve">RIA </w:t>
      </w:r>
      <w:r w:rsidRPr="005912AE" w:rsidR="00AD154D">
        <w:t>at p</w:t>
      </w:r>
      <w:r w:rsidR="00E710C7">
        <w:t>p</w:t>
      </w:r>
      <w:r w:rsidRPr="005912AE" w:rsidR="00AD154D">
        <w:t xml:space="preserve">. </w:t>
      </w:r>
      <w:r w:rsidR="0035235C">
        <w:t>107</w:t>
      </w:r>
      <w:r w:rsidR="00E710C7">
        <w:t>-113</w:t>
      </w:r>
      <w:r w:rsidRPr="005912AE" w:rsidR="00AD154D">
        <w:t>)</w:t>
      </w:r>
      <w:r w:rsidRPr="005912AE">
        <w:t>, as</w:t>
      </w:r>
      <w:r w:rsidRPr="005912AE">
        <w:rPr>
          <w:szCs w:val="24"/>
        </w:rPr>
        <w:t xml:space="preserve"> reported in the Bureau of Labor Statistics, May </w:t>
      </w:r>
      <w:r w:rsidR="0060599E">
        <w:rPr>
          <w:szCs w:val="24"/>
        </w:rPr>
        <w:t>2020</w:t>
      </w:r>
      <w:r w:rsidRPr="005912AE" w:rsidR="0060599E">
        <w:rPr>
          <w:szCs w:val="24"/>
        </w:rPr>
        <w:t xml:space="preserve"> </w:t>
      </w:r>
      <w:r w:rsidRPr="005912AE">
        <w:rPr>
          <w:szCs w:val="24"/>
        </w:rPr>
        <w:t xml:space="preserve">National Occupational Survey under occupation code </w:t>
      </w:r>
      <w:r w:rsidR="009B18B9">
        <w:rPr>
          <w:szCs w:val="24"/>
        </w:rPr>
        <w:t>11-9121</w:t>
      </w:r>
      <w:r w:rsidRPr="005912AE" w:rsidR="0041212C">
        <w:rPr>
          <w:szCs w:val="24"/>
        </w:rPr>
        <w:t xml:space="preserve">. </w:t>
      </w:r>
      <w:r w:rsidRPr="005912AE">
        <w:rPr>
          <w:szCs w:val="24"/>
        </w:rPr>
        <w:t>We multiply the wage by two to account for overhead to obtain a fully loaded hourly wage of $</w:t>
      </w:r>
      <w:r w:rsidR="0060599E">
        <w:rPr>
          <w:szCs w:val="24"/>
        </w:rPr>
        <w:t>77.10</w:t>
      </w:r>
      <w:r w:rsidRPr="005912AE">
        <w:rPr>
          <w:szCs w:val="24"/>
        </w:rPr>
        <w:t xml:space="preserve"> for a </w:t>
      </w:r>
      <w:r w:rsidRPr="005912AE">
        <w:t>Food Scientist and Technologist</w:t>
      </w:r>
      <w:r w:rsidRPr="005912AE">
        <w:rPr>
          <w:szCs w:val="24"/>
        </w:rPr>
        <w:t>.</w:t>
      </w:r>
    </w:p>
    <w:p w:rsidR="00396F98" w:rsidP="002A0C48" w:rsidRDefault="00396F98" w14:paraId="2F530F05" w14:textId="77777777">
      <w:pPr>
        <w:pStyle w:val="BodyText2"/>
      </w:pPr>
    </w:p>
    <w:p w:rsidR="00396F98" w:rsidP="002A0C48" w:rsidRDefault="00396F98" w14:paraId="20740BD5" w14:textId="5F50EBD4">
      <w:pPr>
        <w:pStyle w:val="BodyText2"/>
        <w:ind w:left="720"/>
      </w:pPr>
      <w:r>
        <w:t xml:space="preserve">With respect to the recordkeeping burden on accreditation bodies under the </w:t>
      </w:r>
      <w:r w:rsidR="009B2FF8">
        <w:t>regulations</w:t>
      </w:r>
      <w:r>
        <w:t>:</w:t>
      </w:r>
    </w:p>
    <w:p w:rsidR="00426B6F" w:rsidP="002A0C48" w:rsidRDefault="00426B6F" w14:paraId="1EF6BC21" w14:textId="77777777">
      <w:pPr>
        <w:pStyle w:val="BodyText2"/>
        <w:ind w:left="720"/>
      </w:pPr>
    </w:p>
    <w:p w:rsidR="00426B6F" w:rsidP="002A0C48" w:rsidRDefault="00426B6F" w14:paraId="7A9BF7FB" w14:textId="09312481">
      <w:pPr>
        <w:pStyle w:val="BodyText2"/>
        <w:numPr>
          <w:ilvl w:val="0"/>
          <w:numId w:val="53"/>
        </w:numPr>
      </w:pPr>
      <w:r>
        <w:t>We expect the recordkeeping burden</w:t>
      </w:r>
      <w:r w:rsidR="00EF3637">
        <w:t xml:space="preserve"> on </w:t>
      </w:r>
      <w:r w:rsidR="00530CBA">
        <w:t>accreditation bodies</w:t>
      </w:r>
      <w:r>
        <w:t xml:space="preserve"> under § 1.1124 (the recordkeeping requirements</w:t>
      </w:r>
      <w:r w:rsidR="00D55802">
        <w:t xml:space="preserve"> in addition to those of ISO/IEC 17011</w:t>
      </w:r>
      <w:r w:rsidR="006E7C76">
        <w:t>:2017</w:t>
      </w:r>
      <w:r>
        <w:t>) to be conducted by accreditation body personnel at the level of Microbiologist</w:t>
      </w:r>
      <w:r w:rsidR="00D55802">
        <w:t xml:space="preserve"> (see </w:t>
      </w:r>
      <w:r w:rsidR="006E7C76">
        <w:t xml:space="preserve">FRIA </w:t>
      </w:r>
      <w:r w:rsidR="00D55802">
        <w:t xml:space="preserve">at p. </w:t>
      </w:r>
      <w:r w:rsidR="003A7E4C">
        <w:t>92-93</w:t>
      </w:r>
      <w:r w:rsidR="00D55802">
        <w:t>)</w:t>
      </w:r>
      <w:r>
        <w:t>, as</w:t>
      </w:r>
      <w:r w:rsidRPr="00DF6516">
        <w:rPr>
          <w:szCs w:val="24"/>
        </w:rPr>
        <w:t xml:space="preserve"> reported in the Bure</w:t>
      </w:r>
      <w:r>
        <w:rPr>
          <w:szCs w:val="24"/>
        </w:rPr>
        <w:t xml:space="preserve">au of Labor Statistics, May </w:t>
      </w:r>
      <w:r w:rsidR="006E7C76">
        <w:rPr>
          <w:szCs w:val="24"/>
        </w:rPr>
        <w:t>2020</w:t>
      </w:r>
      <w:r w:rsidRPr="00DF6516" w:rsidR="006E7C76">
        <w:rPr>
          <w:szCs w:val="24"/>
        </w:rPr>
        <w:t xml:space="preserve"> </w:t>
      </w:r>
      <w:r w:rsidRPr="00DF6516">
        <w:rPr>
          <w:szCs w:val="24"/>
        </w:rPr>
        <w:t>National Occupational Survey under occupation code 19-1022</w:t>
      </w:r>
      <w:r w:rsidR="000A4009">
        <w:rPr>
          <w:szCs w:val="24"/>
        </w:rPr>
        <w:t>, at the</w:t>
      </w:r>
      <w:r w:rsidRPr="00DF6516">
        <w:rPr>
          <w:szCs w:val="24"/>
        </w:rPr>
        <w:t xml:space="preserve"> fully loaded hourly wage of $</w:t>
      </w:r>
      <w:r w:rsidR="00720EA2">
        <w:rPr>
          <w:szCs w:val="24"/>
        </w:rPr>
        <w:t>88.30</w:t>
      </w:r>
      <w:r w:rsidRPr="00DF6516">
        <w:rPr>
          <w:szCs w:val="24"/>
        </w:rPr>
        <w:t>.</w:t>
      </w:r>
    </w:p>
    <w:p w:rsidR="00396F98" w:rsidP="002A0C48" w:rsidRDefault="00396F98" w14:paraId="4C8548A7" w14:textId="77777777">
      <w:pPr>
        <w:pStyle w:val="BodyText2"/>
        <w:ind w:left="720"/>
      </w:pPr>
    </w:p>
    <w:p w:rsidR="00396F98" w:rsidP="002A0C48" w:rsidRDefault="00396F98" w14:paraId="3040FADF" w14:textId="3E741F20">
      <w:pPr>
        <w:pStyle w:val="BodyText2"/>
        <w:ind w:left="720"/>
      </w:pPr>
      <w:r>
        <w:t xml:space="preserve">With respect to the recordkeeping burden on laboratories under the </w:t>
      </w:r>
      <w:r w:rsidR="009B2FF8">
        <w:t>regulations</w:t>
      </w:r>
      <w:r>
        <w:t>:</w:t>
      </w:r>
    </w:p>
    <w:p w:rsidR="00426B6F" w:rsidP="002A0C48" w:rsidRDefault="00426B6F" w14:paraId="47E50C70" w14:textId="77777777">
      <w:pPr>
        <w:pStyle w:val="BodyText2"/>
        <w:ind w:left="720"/>
      </w:pPr>
    </w:p>
    <w:p w:rsidR="00426B6F" w:rsidP="002A0C48" w:rsidRDefault="001C4E36" w14:paraId="391AECD8" w14:textId="25094BCD">
      <w:pPr>
        <w:pStyle w:val="BodyText2"/>
        <w:numPr>
          <w:ilvl w:val="0"/>
          <w:numId w:val="53"/>
        </w:numPr>
      </w:pPr>
      <w:r>
        <w:t>W</w:t>
      </w:r>
      <w:r w:rsidR="00426B6F">
        <w:t xml:space="preserve">e expect the recordkeeping burden </w:t>
      </w:r>
      <w:r w:rsidR="00EF3637">
        <w:t xml:space="preserve">on laboratories </w:t>
      </w:r>
      <w:r w:rsidR="00426B6F">
        <w:t xml:space="preserve">under § </w:t>
      </w:r>
      <w:r w:rsidR="00426B6F">
        <w:rPr>
          <w:szCs w:val="24"/>
        </w:rPr>
        <w:t>1.1138 (</w:t>
      </w:r>
      <w:r w:rsidR="00A44860">
        <w:rPr>
          <w:szCs w:val="24"/>
        </w:rPr>
        <w:t xml:space="preserve">attaining and maintaining </w:t>
      </w:r>
      <w:r w:rsidR="00426B6F">
        <w:rPr>
          <w:szCs w:val="24"/>
        </w:rPr>
        <w:t>ISO/IEC 17025</w:t>
      </w:r>
      <w:r w:rsidR="003C1769">
        <w:rPr>
          <w:szCs w:val="24"/>
        </w:rPr>
        <w:t>:2017</w:t>
      </w:r>
      <w:r w:rsidR="00AA76B8">
        <w:rPr>
          <w:szCs w:val="24"/>
        </w:rPr>
        <w:t>-accreditation</w:t>
      </w:r>
      <w:r w:rsidR="00426B6F">
        <w:rPr>
          <w:szCs w:val="24"/>
        </w:rPr>
        <w:t>)</w:t>
      </w:r>
      <w:r w:rsidR="000C7B61">
        <w:rPr>
          <w:szCs w:val="24"/>
        </w:rPr>
        <w:t xml:space="preserve"> and § 1.1154 (</w:t>
      </w:r>
      <w:r w:rsidR="00324758">
        <w:rPr>
          <w:szCs w:val="24"/>
        </w:rPr>
        <w:t>additional recordkeeping requirements)</w:t>
      </w:r>
      <w:r w:rsidR="00426B6F">
        <w:rPr>
          <w:szCs w:val="24"/>
        </w:rPr>
        <w:t xml:space="preserve"> </w:t>
      </w:r>
      <w:r w:rsidR="00426B6F">
        <w:t xml:space="preserve">to be conducted by laboratory personnel at the level of </w:t>
      </w:r>
      <w:r w:rsidR="00EF3637">
        <w:t>Food Scientist and Technologist</w:t>
      </w:r>
      <w:r w:rsidR="00973764">
        <w:t xml:space="preserve"> (</w:t>
      </w:r>
      <w:r>
        <w:t xml:space="preserve">in accordance with the </w:t>
      </w:r>
      <w:r w:rsidR="00522653">
        <w:t xml:space="preserve">FRIA’s </w:t>
      </w:r>
      <w:r>
        <w:t xml:space="preserve">assumptions about who would conduct analytical activities for accredited laboratories, </w:t>
      </w:r>
      <w:r w:rsidR="00973764">
        <w:t xml:space="preserve">see </w:t>
      </w:r>
      <w:r w:rsidR="00522653">
        <w:t xml:space="preserve">FRIA </w:t>
      </w:r>
      <w:r w:rsidR="00973764">
        <w:t xml:space="preserve">at p. </w:t>
      </w:r>
      <w:r w:rsidR="00086A86">
        <w:t>95</w:t>
      </w:r>
      <w:r w:rsidR="00973764">
        <w:t xml:space="preserve">), </w:t>
      </w:r>
      <w:r w:rsidR="00EF3637">
        <w:t xml:space="preserve">as reported in the Bureau of Labor Statistics, May </w:t>
      </w:r>
      <w:r w:rsidR="001B194B">
        <w:t xml:space="preserve">2020 </w:t>
      </w:r>
      <w:r w:rsidR="00EF3637">
        <w:t xml:space="preserve">National Occupational Survey under occupation code </w:t>
      </w:r>
      <w:r w:rsidR="0054234B">
        <w:t>11-9121</w:t>
      </w:r>
      <w:r w:rsidR="000A4009">
        <w:t xml:space="preserve">, at the </w:t>
      </w:r>
      <w:r w:rsidR="00EF3637">
        <w:t>fully loaded hourly wage of $</w:t>
      </w:r>
      <w:r w:rsidR="001B194B">
        <w:t>77.10</w:t>
      </w:r>
      <w:r w:rsidRPr="00DF6516" w:rsidR="00426B6F">
        <w:rPr>
          <w:szCs w:val="24"/>
        </w:rPr>
        <w:t>.</w:t>
      </w:r>
    </w:p>
    <w:p w:rsidR="003740BC" w:rsidP="002A0C48" w:rsidRDefault="003740BC" w14:paraId="58FCF13C" w14:textId="77777777">
      <w:pPr>
        <w:pStyle w:val="BodyText2"/>
        <w:ind w:left="720"/>
      </w:pP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160"/>
        <w:gridCol w:w="1800"/>
        <w:gridCol w:w="2394"/>
        <w:gridCol w:w="1926"/>
      </w:tblGrid>
      <w:tr w:rsidRPr="007244F5" w:rsidR="005C699E" w:rsidTr="00041030" w14:paraId="1D78BC63" w14:textId="77777777">
        <w:tc>
          <w:tcPr>
            <w:tcW w:w="8280" w:type="dxa"/>
            <w:gridSpan w:val="4"/>
            <w:shd w:val="clear" w:color="auto" w:fill="auto"/>
          </w:tcPr>
          <w:p w:rsidRPr="007244F5" w:rsidR="005C699E" w:rsidP="002A0C48" w:rsidRDefault="005C699E" w14:paraId="7ABF71AC" w14:textId="4183F2A8">
            <w:pPr>
              <w:jc w:val="center"/>
              <w:rPr>
                <w:sz w:val="20"/>
                <w:szCs w:val="20"/>
              </w:rPr>
            </w:pPr>
            <w:r w:rsidRPr="00CB50DD">
              <w:rPr>
                <w:sz w:val="20"/>
                <w:szCs w:val="20"/>
              </w:rPr>
              <w:t>Table 3</w:t>
            </w:r>
            <w:r w:rsidR="006F401F">
              <w:rPr>
                <w:sz w:val="20"/>
                <w:szCs w:val="20"/>
              </w:rPr>
              <w:t>--</w:t>
            </w:r>
            <w:r w:rsidRPr="00CB50DD">
              <w:rPr>
                <w:sz w:val="20"/>
                <w:szCs w:val="20"/>
              </w:rPr>
              <w:t>Estimated Annual Reporting Burden Cost</w:t>
            </w:r>
          </w:p>
        </w:tc>
      </w:tr>
      <w:tr w:rsidRPr="007244F5" w:rsidR="00C06B2D" w:rsidTr="00B86DFA" w14:paraId="7F11E709" w14:textId="77777777">
        <w:tc>
          <w:tcPr>
            <w:tcW w:w="2160" w:type="dxa"/>
            <w:shd w:val="clear" w:color="auto" w:fill="auto"/>
          </w:tcPr>
          <w:p w:rsidRPr="007244F5" w:rsidR="00C06B2D" w:rsidP="002A0C48" w:rsidRDefault="00921FEC" w14:paraId="3BDFE0D5" w14:textId="77777777">
            <w:pPr>
              <w:rPr>
                <w:b/>
                <w:sz w:val="20"/>
                <w:szCs w:val="20"/>
              </w:rPr>
            </w:pPr>
            <w:r w:rsidRPr="007244F5">
              <w:rPr>
                <w:b/>
                <w:sz w:val="20"/>
                <w:szCs w:val="20"/>
              </w:rPr>
              <w:t>Type of Respondent</w:t>
            </w:r>
          </w:p>
        </w:tc>
        <w:tc>
          <w:tcPr>
            <w:tcW w:w="1800" w:type="dxa"/>
            <w:shd w:val="clear" w:color="auto" w:fill="auto"/>
          </w:tcPr>
          <w:p w:rsidRPr="007244F5" w:rsidR="00C06B2D" w:rsidP="002A0C48" w:rsidRDefault="00921FEC" w14:paraId="16C10E11" w14:textId="77777777">
            <w:pPr>
              <w:rPr>
                <w:b/>
                <w:sz w:val="20"/>
                <w:szCs w:val="20"/>
              </w:rPr>
            </w:pPr>
            <w:r w:rsidRPr="007244F5">
              <w:rPr>
                <w:b/>
                <w:sz w:val="20"/>
                <w:szCs w:val="20"/>
              </w:rPr>
              <w:t>Total Burden Hours</w:t>
            </w:r>
          </w:p>
        </w:tc>
        <w:tc>
          <w:tcPr>
            <w:tcW w:w="2394" w:type="dxa"/>
            <w:shd w:val="clear" w:color="auto" w:fill="auto"/>
          </w:tcPr>
          <w:p w:rsidRPr="007244F5" w:rsidR="00C06B2D" w:rsidP="002A0C48" w:rsidRDefault="0034557A" w14:paraId="07456EFB" w14:textId="77777777">
            <w:pPr>
              <w:rPr>
                <w:b/>
                <w:sz w:val="20"/>
                <w:szCs w:val="20"/>
              </w:rPr>
            </w:pPr>
            <w:r w:rsidRPr="00CB50DD">
              <w:rPr>
                <w:b/>
                <w:sz w:val="20"/>
                <w:szCs w:val="20"/>
              </w:rPr>
              <w:t xml:space="preserve">Fully Loaded </w:t>
            </w:r>
            <w:r w:rsidRPr="007244F5" w:rsidR="00921FEC">
              <w:rPr>
                <w:b/>
                <w:sz w:val="20"/>
                <w:szCs w:val="20"/>
              </w:rPr>
              <w:t>Hourly Wage</w:t>
            </w:r>
          </w:p>
        </w:tc>
        <w:tc>
          <w:tcPr>
            <w:tcW w:w="1926" w:type="dxa"/>
            <w:shd w:val="clear" w:color="auto" w:fill="auto"/>
          </w:tcPr>
          <w:p w:rsidRPr="007244F5" w:rsidR="00C06B2D" w:rsidP="002A0C48" w:rsidRDefault="00921FEC" w14:paraId="0DBF4DA2" w14:textId="77777777">
            <w:pPr>
              <w:rPr>
                <w:b/>
                <w:sz w:val="20"/>
                <w:szCs w:val="20"/>
              </w:rPr>
            </w:pPr>
            <w:r w:rsidRPr="007244F5">
              <w:rPr>
                <w:b/>
                <w:sz w:val="20"/>
                <w:szCs w:val="20"/>
              </w:rPr>
              <w:t>Total Respondent Costs</w:t>
            </w:r>
          </w:p>
        </w:tc>
      </w:tr>
      <w:tr w:rsidRPr="007244F5" w:rsidR="005C699E" w:rsidTr="00B86DFA" w14:paraId="7A201768" w14:textId="77777777">
        <w:tc>
          <w:tcPr>
            <w:tcW w:w="2160" w:type="dxa"/>
            <w:shd w:val="clear" w:color="auto" w:fill="auto"/>
          </w:tcPr>
          <w:p w:rsidRPr="007244F5" w:rsidR="005C699E" w:rsidP="002A0C48" w:rsidRDefault="005C699E" w14:paraId="6CD94465" w14:textId="77777777">
            <w:pPr>
              <w:rPr>
                <w:sz w:val="20"/>
                <w:szCs w:val="20"/>
              </w:rPr>
            </w:pPr>
            <w:r w:rsidRPr="007244F5">
              <w:rPr>
                <w:sz w:val="20"/>
                <w:szCs w:val="20"/>
              </w:rPr>
              <w:t>Lawyer</w:t>
            </w:r>
          </w:p>
        </w:tc>
        <w:tc>
          <w:tcPr>
            <w:tcW w:w="1800" w:type="dxa"/>
            <w:shd w:val="clear" w:color="auto" w:fill="auto"/>
          </w:tcPr>
          <w:p w:rsidRPr="007244F5" w:rsidR="005C699E" w:rsidP="002A0C48" w:rsidRDefault="00450F71" w14:paraId="6621C7E8" w14:textId="70ADCB51">
            <w:pPr>
              <w:rPr>
                <w:sz w:val="20"/>
                <w:szCs w:val="20"/>
              </w:rPr>
            </w:pPr>
            <w:r>
              <w:rPr>
                <w:sz w:val="20"/>
                <w:szCs w:val="20"/>
              </w:rPr>
              <w:t>94.4</w:t>
            </w:r>
          </w:p>
        </w:tc>
        <w:tc>
          <w:tcPr>
            <w:tcW w:w="2394" w:type="dxa"/>
            <w:shd w:val="clear" w:color="auto" w:fill="auto"/>
          </w:tcPr>
          <w:p w:rsidRPr="007244F5" w:rsidR="005C699E" w:rsidP="002A0C48" w:rsidRDefault="0034557A" w14:paraId="38FEFACE" w14:textId="362BF922">
            <w:pPr>
              <w:rPr>
                <w:sz w:val="20"/>
                <w:szCs w:val="20"/>
              </w:rPr>
            </w:pPr>
            <w:r w:rsidRPr="00CB50DD">
              <w:rPr>
                <w:sz w:val="20"/>
                <w:szCs w:val="20"/>
              </w:rPr>
              <w:t>$</w:t>
            </w:r>
            <w:r w:rsidR="00873757">
              <w:rPr>
                <w:sz w:val="20"/>
                <w:szCs w:val="20"/>
              </w:rPr>
              <w:t>143.18</w:t>
            </w:r>
          </w:p>
        </w:tc>
        <w:tc>
          <w:tcPr>
            <w:tcW w:w="1926" w:type="dxa"/>
            <w:shd w:val="clear" w:color="auto" w:fill="auto"/>
          </w:tcPr>
          <w:p w:rsidRPr="007244F5" w:rsidR="005C699E" w:rsidP="002A0C48" w:rsidRDefault="007B24FE" w14:paraId="28E87D6A" w14:textId="483BC07D">
            <w:pPr>
              <w:jc w:val="right"/>
              <w:rPr>
                <w:sz w:val="20"/>
                <w:szCs w:val="20"/>
              </w:rPr>
            </w:pPr>
            <w:r>
              <w:rPr>
                <w:sz w:val="20"/>
                <w:szCs w:val="20"/>
              </w:rPr>
              <w:t>$</w:t>
            </w:r>
            <w:r w:rsidR="00E27633">
              <w:rPr>
                <w:sz w:val="20"/>
                <w:szCs w:val="20"/>
              </w:rPr>
              <w:t>13,516.19</w:t>
            </w:r>
          </w:p>
        </w:tc>
      </w:tr>
      <w:tr w:rsidRPr="007244F5" w:rsidR="003D04F6" w:rsidTr="00B86DFA" w14:paraId="69C3078A" w14:textId="77777777">
        <w:tc>
          <w:tcPr>
            <w:tcW w:w="2160" w:type="dxa"/>
            <w:shd w:val="clear" w:color="auto" w:fill="auto"/>
          </w:tcPr>
          <w:p w:rsidRPr="007244F5" w:rsidR="003D04F6" w:rsidP="002A0C48" w:rsidRDefault="003D04F6" w14:paraId="3C2EF10F" w14:textId="77777777">
            <w:pPr>
              <w:rPr>
                <w:sz w:val="20"/>
                <w:szCs w:val="20"/>
              </w:rPr>
            </w:pPr>
            <w:r w:rsidRPr="007244F5">
              <w:rPr>
                <w:sz w:val="20"/>
                <w:szCs w:val="20"/>
              </w:rPr>
              <w:t>Microbiologist</w:t>
            </w:r>
          </w:p>
        </w:tc>
        <w:tc>
          <w:tcPr>
            <w:tcW w:w="1800" w:type="dxa"/>
            <w:shd w:val="clear" w:color="auto" w:fill="auto"/>
          </w:tcPr>
          <w:p w:rsidRPr="007244F5" w:rsidR="003D04F6" w:rsidP="002A0C48" w:rsidRDefault="007B05C6" w14:paraId="6FE2A516" w14:textId="565DC614">
            <w:pPr>
              <w:rPr>
                <w:sz w:val="20"/>
                <w:szCs w:val="20"/>
              </w:rPr>
            </w:pPr>
            <w:r>
              <w:rPr>
                <w:sz w:val="20"/>
                <w:szCs w:val="20"/>
              </w:rPr>
              <w:t>294</w:t>
            </w:r>
          </w:p>
        </w:tc>
        <w:tc>
          <w:tcPr>
            <w:tcW w:w="2394" w:type="dxa"/>
            <w:shd w:val="clear" w:color="auto" w:fill="auto"/>
          </w:tcPr>
          <w:p w:rsidRPr="007244F5" w:rsidR="003D04F6" w:rsidP="002A0C48" w:rsidRDefault="001A499F" w14:paraId="64E4389F" w14:textId="66E339C4">
            <w:pPr>
              <w:rPr>
                <w:sz w:val="20"/>
                <w:szCs w:val="20"/>
              </w:rPr>
            </w:pPr>
            <w:r w:rsidRPr="007244F5">
              <w:rPr>
                <w:sz w:val="20"/>
                <w:szCs w:val="20"/>
              </w:rPr>
              <w:t>$</w:t>
            </w:r>
            <w:r w:rsidR="00873757">
              <w:rPr>
                <w:sz w:val="20"/>
                <w:szCs w:val="20"/>
              </w:rPr>
              <w:t>88.30</w:t>
            </w:r>
          </w:p>
        </w:tc>
        <w:tc>
          <w:tcPr>
            <w:tcW w:w="1926" w:type="dxa"/>
            <w:shd w:val="clear" w:color="auto" w:fill="auto"/>
          </w:tcPr>
          <w:p w:rsidRPr="007244F5" w:rsidR="003D04F6" w:rsidP="002A0C48" w:rsidRDefault="00D1558A" w14:paraId="225D20E0" w14:textId="26C1C801">
            <w:pPr>
              <w:jc w:val="right"/>
              <w:rPr>
                <w:sz w:val="20"/>
                <w:szCs w:val="20"/>
              </w:rPr>
            </w:pPr>
            <w:r>
              <w:rPr>
                <w:sz w:val="20"/>
                <w:szCs w:val="20"/>
              </w:rPr>
              <w:t>$25,960.20</w:t>
            </w:r>
          </w:p>
        </w:tc>
      </w:tr>
      <w:tr w:rsidRPr="007244F5" w:rsidR="00235FDE" w:rsidTr="00B86DFA" w14:paraId="3DF8ECA8" w14:textId="77777777">
        <w:tc>
          <w:tcPr>
            <w:tcW w:w="2160" w:type="dxa"/>
            <w:shd w:val="clear" w:color="auto" w:fill="auto"/>
          </w:tcPr>
          <w:p w:rsidRPr="007244F5" w:rsidR="00235FDE" w:rsidP="002A0C48" w:rsidRDefault="00235FDE" w14:paraId="7A0534FC" w14:textId="49EAB536">
            <w:pPr>
              <w:rPr>
                <w:sz w:val="20"/>
                <w:szCs w:val="20"/>
              </w:rPr>
            </w:pPr>
            <w:r w:rsidRPr="007244F5">
              <w:rPr>
                <w:sz w:val="20"/>
                <w:szCs w:val="20"/>
              </w:rPr>
              <w:lastRenderedPageBreak/>
              <w:t>Food Scientist and Technologist</w:t>
            </w:r>
          </w:p>
        </w:tc>
        <w:tc>
          <w:tcPr>
            <w:tcW w:w="1800" w:type="dxa"/>
            <w:shd w:val="clear" w:color="auto" w:fill="auto"/>
          </w:tcPr>
          <w:p w:rsidRPr="007244F5" w:rsidR="00235FDE" w:rsidP="002A0C48" w:rsidRDefault="00295793" w14:paraId="34CEB16A" w14:textId="6684DD95">
            <w:pPr>
              <w:rPr>
                <w:sz w:val="20"/>
                <w:szCs w:val="20"/>
              </w:rPr>
            </w:pPr>
            <w:r>
              <w:rPr>
                <w:sz w:val="20"/>
                <w:szCs w:val="20"/>
              </w:rPr>
              <w:t>19,488.5</w:t>
            </w:r>
          </w:p>
        </w:tc>
        <w:tc>
          <w:tcPr>
            <w:tcW w:w="2394" w:type="dxa"/>
            <w:shd w:val="clear" w:color="auto" w:fill="auto"/>
          </w:tcPr>
          <w:p w:rsidRPr="007244F5" w:rsidR="00235FDE" w:rsidP="002A0C48" w:rsidRDefault="00DD1CF5" w14:paraId="787911BC" w14:textId="753755CB">
            <w:pPr>
              <w:rPr>
                <w:sz w:val="20"/>
                <w:szCs w:val="20"/>
              </w:rPr>
            </w:pPr>
            <w:r w:rsidRPr="007244F5">
              <w:rPr>
                <w:sz w:val="20"/>
                <w:szCs w:val="20"/>
              </w:rPr>
              <w:t>$</w:t>
            </w:r>
            <w:r w:rsidR="0063239C">
              <w:rPr>
                <w:sz w:val="20"/>
                <w:szCs w:val="20"/>
              </w:rPr>
              <w:t>77.10</w:t>
            </w:r>
          </w:p>
        </w:tc>
        <w:tc>
          <w:tcPr>
            <w:tcW w:w="1926" w:type="dxa"/>
            <w:shd w:val="clear" w:color="auto" w:fill="auto"/>
          </w:tcPr>
          <w:p w:rsidRPr="007244F5" w:rsidR="00235FDE" w:rsidP="002A0C48" w:rsidRDefault="00295793" w14:paraId="57AA5E85" w14:textId="6F0DFAD5">
            <w:pPr>
              <w:jc w:val="right"/>
              <w:rPr>
                <w:sz w:val="20"/>
                <w:szCs w:val="20"/>
              </w:rPr>
            </w:pPr>
            <w:r>
              <w:rPr>
                <w:sz w:val="20"/>
                <w:szCs w:val="20"/>
              </w:rPr>
              <w:t>$1,502,563.35</w:t>
            </w:r>
          </w:p>
        </w:tc>
      </w:tr>
      <w:tr w:rsidRPr="007244F5" w:rsidR="003740BC" w:rsidTr="00B86DFA" w14:paraId="6F1ADE53" w14:textId="77777777">
        <w:tc>
          <w:tcPr>
            <w:tcW w:w="6354" w:type="dxa"/>
            <w:gridSpan w:val="3"/>
            <w:shd w:val="clear" w:color="auto" w:fill="auto"/>
          </w:tcPr>
          <w:p w:rsidRPr="007244F5" w:rsidR="003740BC" w:rsidP="002A0C48" w:rsidRDefault="003740BC" w14:paraId="119BC8CB" w14:textId="77777777">
            <w:pPr>
              <w:rPr>
                <w:b/>
                <w:sz w:val="20"/>
                <w:szCs w:val="20"/>
              </w:rPr>
            </w:pPr>
            <w:r w:rsidRPr="007244F5">
              <w:rPr>
                <w:b/>
                <w:sz w:val="20"/>
                <w:szCs w:val="20"/>
              </w:rPr>
              <w:t>Total</w:t>
            </w:r>
          </w:p>
        </w:tc>
        <w:tc>
          <w:tcPr>
            <w:tcW w:w="1926" w:type="dxa"/>
            <w:shd w:val="clear" w:color="auto" w:fill="auto"/>
          </w:tcPr>
          <w:p w:rsidRPr="007244F5" w:rsidR="003740BC" w:rsidP="002A0C48" w:rsidRDefault="000A7FAC" w14:paraId="2072CC78" w14:textId="659827DF">
            <w:pPr>
              <w:jc w:val="right"/>
              <w:rPr>
                <w:b/>
                <w:sz w:val="20"/>
                <w:szCs w:val="20"/>
              </w:rPr>
            </w:pPr>
            <w:r>
              <w:rPr>
                <w:b/>
                <w:sz w:val="20"/>
                <w:szCs w:val="20"/>
              </w:rPr>
              <w:t>$</w:t>
            </w:r>
            <w:bookmarkStart w:name="_Hlk86169629" w:id="1"/>
            <w:r w:rsidR="0063701F">
              <w:rPr>
                <w:b/>
                <w:sz w:val="20"/>
                <w:szCs w:val="20"/>
              </w:rPr>
              <w:t>1,535,568.04</w:t>
            </w:r>
            <w:bookmarkEnd w:id="1"/>
          </w:p>
        </w:tc>
      </w:tr>
    </w:tbl>
    <w:p w:rsidR="003740BC" w:rsidP="002A0C48" w:rsidRDefault="003740BC" w14:paraId="74D001F9" w14:textId="77777777">
      <w:pPr>
        <w:pStyle w:val="BodyText2"/>
        <w:ind w:left="720"/>
      </w:pP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160"/>
        <w:gridCol w:w="1800"/>
        <w:gridCol w:w="2394"/>
        <w:gridCol w:w="1926"/>
      </w:tblGrid>
      <w:tr w:rsidRPr="001D4F89" w:rsidR="005C699E" w:rsidTr="00041030" w14:paraId="77CEA701" w14:textId="77777777">
        <w:tc>
          <w:tcPr>
            <w:tcW w:w="8280" w:type="dxa"/>
            <w:gridSpan w:val="4"/>
            <w:shd w:val="clear" w:color="auto" w:fill="auto"/>
          </w:tcPr>
          <w:p w:rsidRPr="001D4F89" w:rsidR="005C699E" w:rsidP="002A0C48" w:rsidRDefault="005C699E" w14:paraId="6AE895FB" w14:textId="7E00E374">
            <w:pPr>
              <w:jc w:val="center"/>
              <w:rPr>
                <w:sz w:val="20"/>
                <w:szCs w:val="20"/>
              </w:rPr>
            </w:pPr>
            <w:r>
              <w:rPr>
                <w:sz w:val="20"/>
                <w:szCs w:val="20"/>
              </w:rPr>
              <w:t>Table 4</w:t>
            </w:r>
            <w:r w:rsidR="006F401F">
              <w:rPr>
                <w:sz w:val="20"/>
                <w:szCs w:val="20"/>
              </w:rPr>
              <w:t>--</w:t>
            </w:r>
            <w:r>
              <w:rPr>
                <w:sz w:val="20"/>
                <w:szCs w:val="20"/>
              </w:rPr>
              <w:t>Estimated Annual Recordkeeping Burden Cost</w:t>
            </w:r>
          </w:p>
        </w:tc>
      </w:tr>
      <w:tr w:rsidRPr="001D4F89" w:rsidR="005C699E" w:rsidTr="00041030" w14:paraId="7328876B" w14:textId="77777777">
        <w:tc>
          <w:tcPr>
            <w:tcW w:w="2160" w:type="dxa"/>
            <w:shd w:val="clear" w:color="auto" w:fill="auto"/>
          </w:tcPr>
          <w:p w:rsidRPr="001D4F89" w:rsidR="005C699E" w:rsidP="002A0C48" w:rsidRDefault="005C699E" w14:paraId="4DE9D610" w14:textId="77777777">
            <w:pPr>
              <w:rPr>
                <w:b/>
                <w:sz w:val="20"/>
                <w:szCs w:val="20"/>
              </w:rPr>
            </w:pPr>
            <w:r w:rsidRPr="001D4F89">
              <w:rPr>
                <w:b/>
                <w:sz w:val="20"/>
                <w:szCs w:val="20"/>
              </w:rPr>
              <w:t>Type of Respondent</w:t>
            </w:r>
          </w:p>
        </w:tc>
        <w:tc>
          <w:tcPr>
            <w:tcW w:w="1800" w:type="dxa"/>
            <w:shd w:val="clear" w:color="auto" w:fill="auto"/>
          </w:tcPr>
          <w:p w:rsidRPr="001D4F89" w:rsidR="005C699E" w:rsidP="002A0C48" w:rsidRDefault="005C699E" w14:paraId="1EC5F1AA" w14:textId="77777777">
            <w:pPr>
              <w:rPr>
                <w:b/>
                <w:sz w:val="20"/>
                <w:szCs w:val="20"/>
              </w:rPr>
            </w:pPr>
            <w:r w:rsidRPr="001D4F89">
              <w:rPr>
                <w:b/>
                <w:sz w:val="20"/>
                <w:szCs w:val="20"/>
              </w:rPr>
              <w:t>Total Burden Hours</w:t>
            </w:r>
          </w:p>
        </w:tc>
        <w:tc>
          <w:tcPr>
            <w:tcW w:w="2394" w:type="dxa"/>
            <w:shd w:val="clear" w:color="auto" w:fill="auto"/>
          </w:tcPr>
          <w:p w:rsidRPr="001D4F89" w:rsidR="005C699E" w:rsidP="002A0C48" w:rsidRDefault="005C699E" w14:paraId="2AD4D609" w14:textId="77777777">
            <w:pPr>
              <w:rPr>
                <w:b/>
                <w:sz w:val="20"/>
                <w:szCs w:val="20"/>
              </w:rPr>
            </w:pPr>
            <w:r w:rsidRPr="001D4F89">
              <w:rPr>
                <w:b/>
                <w:sz w:val="20"/>
                <w:szCs w:val="20"/>
              </w:rPr>
              <w:t>Hourly Wage Rate</w:t>
            </w:r>
          </w:p>
        </w:tc>
        <w:tc>
          <w:tcPr>
            <w:tcW w:w="1926" w:type="dxa"/>
            <w:shd w:val="clear" w:color="auto" w:fill="auto"/>
          </w:tcPr>
          <w:p w:rsidRPr="001D4F89" w:rsidR="005C699E" w:rsidP="002A0C48" w:rsidRDefault="005C699E" w14:paraId="4223D17D" w14:textId="77777777">
            <w:pPr>
              <w:rPr>
                <w:b/>
                <w:sz w:val="20"/>
                <w:szCs w:val="20"/>
              </w:rPr>
            </w:pPr>
            <w:r w:rsidRPr="001D4F89">
              <w:rPr>
                <w:b/>
                <w:sz w:val="20"/>
                <w:szCs w:val="20"/>
              </w:rPr>
              <w:t>Total Respondent Costs</w:t>
            </w:r>
          </w:p>
        </w:tc>
      </w:tr>
      <w:tr w:rsidRPr="001D4F89" w:rsidR="005C699E" w:rsidTr="00041030" w14:paraId="76264D0A" w14:textId="77777777">
        <w:tc>
          <w:tcPr>
            <w:tcW w:w="2160" w:type="dxa"/>
            <w:shd w:val="clear" w:color="auto" w:fill="auto"/>
          </w:tcPr>
          <w:p w:rsidRPr="001D4F89" w:rsidR="005C699E" w:rsidP="002A0C48" w:rsidRDefault="005C699E" w14:paraId="74DFF9FF" w14:textId="77777777">
            <w:pPr>
              <w:rPr>
                <w:sz w:val="20"/>
                <w:szCs w:val="20"/>
              </w:rPr>
            </w:pPr>
            <w:r w:rsidRPr="001D4F89">
              <w:rPr>
                <w:sz w:val="20"/>
                <w:szCs w:val="20"/>
              </w:rPr>
              <w:t>Microbiologist</w:t>
            </w:r>
          </w:p>
        </w:tc>
        <w:tc>
          <w:tcPr>
            <w:tcW w:w="1800" w:type="dxa"/>
            <w:shd w:val="clear" w:color="auto" w:fill="auto"/>
          </w:tcPr>
          <w:p w:rsidRPr="001D4F89" w:rsidR="005C699E" w:rsidP="002A0C48" w:rsidRDefault="00100008" w14:paraId="4F869BA7" w14:textId="31FE809C">
            <w:pPr>
              <w:rPr>
                <w:sz w:val="20"/>
                <w:szCs w:val="20"/>
              </w:rPr>
            </w:pPr>
            <w:r>
              <w:rPr>
                <w:sz w:val="20"/>
                <w:szCs w:val="20"/>
              </w:rPr>
              <w:t>88</w:t>
            </w:r>
          </w:p>
        </w:tc>
        <w:tc>
          <w:tcPr>
            <w:tcW w:w="2394" w:type="dxa"/>
            <w:shd w:val="clear" w:color="auto" w:fill="auto"/>
          </w:tcPr>
          <w:p w:rsidRPr="001D4F89" w:rsidR="005C699E" w:rsidP="002A0C48" w:rsidRDefault="005C699E" w14:paraId="7A0E44C9" w14:textId="0BB161D1">
            <w:pPr>
              <w:rPr>
                <w:sz w:val="20"/>
                <w:szCs w:val="20"/>
              </w:rPr>
            </w:pPr>
            <w:r w:rsidRPr="001D4F89">
              <w:rPr>
                <w:sz w:val="20"/>
                <w:szCs w:val="20"/>
              </w:rPr>
              <w:t>$</w:t>
            </w:r>
            <w:r w:rsidR="00873757">
              <w:rPr>
                <w:sz w:val="20"/>
                <w:szCs w:val="20"/>
              </w:rPr>
              <w:t>88.30</w:t>
            </w:r>
          </w:p>
        </w:tc>
        <w:tc>
          <w:tcPr>
            <w:tcW w:w="1926" w:type="dxa"/>
            <w:shd w:val="clear" w:color="auto" w:fill="auto"/>
          </w:tcPr>
          <w:p w:rsidRPr="001D4F89" w:rsidR="005C699E" w:rsidP="002A0C48" w:rsidRDefault="00100008" w14:paraId="1071BB2C" w14:textId="07C59826">
            <w:pPr>
              <w:jc w:val="right"/>
              <w:rPr>
                <w:sz w:val="20"/>
                <w:szCs w:val="20"/>
              </w:rPr>
            </w:pPr>
            <w:r>
              <w:rPr>
                <w:sz w:val="20"/>
                <w:szCs w:val="20"/>
              </w:rPr>
              <w:t>$7,770.40</w:t>
            </w:r>
          </w:p>
        </w:tc>
      </w:tr>
      <w:tr w:rsidRPr="001D4F89" w:rsidR="005C699E" w:rsidTr="00041030" w14:paraId="2D8C2D87" w14:textId="77777777">
        <w:tc>
          <w:tcPr>
            <w:tcW w:w="2160" w:type="dxa"/>
            <w:shd w:val="clear" w:color="auto" w:fill="auto"/>
          </w:tcPr>
          <w:p w:rsidRPr="001D4F89" w:rsidR="005C699E" w:rsidP="002A0C48" w:rsidRDefault="005C699E" w14:paraId="36667278" w14:textId="4C36A831">
            <w:pPr>
              <w:rPr>
                <w:sz w:val="20"/>
                <w:szCs w:val="20"/>
              </w:rPr>
            </w:pPr>
            <w:r w:rsidRPr="001D4F89">
              <w:rPr>
                <w:sz w:val="20"/>
                <w:szCs w:val="20"/>
              </w:rPr>
              <w:t>Food Scientist and Technologist</w:t>
            </w:r>
          </w:p>
        </w:tc>
        <w:tc>
          <w:tcPr>
            <w:tcW w:w="1800" w:type="dxa"/>
            <w:shd w:val="clear" w:color="auto" w:fill="auto"/>
          </w:tcPr>
          <w:p w:rsidRPr="001D4F89" w:rsidR="005C699E" w:rsidP="002A0C48" w:rsidRDefault="00C250ED" w14:paraId="1342268F" w14:textId="71EE15C5">
            <w:pPr>
              <w:rPr>
                <w:sz w:val="20"/>
                <w:szCs w:val="20"/>
              </w:rPr>
            </w:pPr>
            <w:r>
              <w:rPr>
                <w:sz w:val="20"/>
                <w:szCs w:val="20"/>
              </w:rPr>
              <w:t>154,079.64</w:t>
            </w:r>
          </w:p>
        </w:tc>
        <w:tc>
          <w:tcPr>
            <w:tcW w:w="2394" w:type="dxa"/>
            <w:shd w:val="clear" w:color="auto" w:fill="auto"/>
          </w:tcPr>
          <w:p w:rsidRPr="001D4F89" w:rsidR="005C699E" w:rsidP="002A0C48" w:rsidRDefault="005C699E" w14:paraId="6BCE01EE" w14:textId="2F0254AF">
            <w:pPr>
              <w:rPr>
                <w:sz w:val="20"/>
                <w:szCs w:val="20"/>
              </w:rPr>
            </w:pPr>
            <w:r w:rsidRPr="001D4F89">
              <w:rPr>
                <w:sz w:val="20"/>
                <w:szCs w:val="20"/>
              </w:rPr>
              <w:t>$</w:t>
            </w:r>
            <w:r w:rsidR="00873757">
              <w:rPr>
                <w:sz w:val="20"/>
                <w:szCs w:val="20"/>
              </w:rPr>
              <w:t>77.10</w:t>
            </w:r>
          </w:p>
        </w:tc>
        <w:tc>
          <w:tcPr>
            <w:tcW w:w="1926" w:type="dxa"/>
            <w:shd w:val="clear" w:color="auto" w:fill="auto"/>
          </w:tcPr>
          <w:p w:rsidRPr="001D4F89" w:rsidR="005C699E" w:rsidP="002A0C48" w:rsidRDefault="004C4BFE" w14:paraId="592CFA53" w14:textId="33435441">
            <w:pPr>
              <w:jc w:val="right"/>
              <w:rPr>
                <w:sz w:val="20"/>
                <w:szCs w:val="20"/>
              </w:rPr>
            </w:pPr>
            <w:r>
              <w:rPr>
                <w:sz w:val="20"/>
                <w:szCs w:val="20"/>
              </w:rPr>
              <w:t>$11,879,</w:t>
            </w:r>
            <w:r w:rsidR="008319A3">
              <w:rPr>
                <w:sz w:val="20"/>
                <w:szCs w:val="20"/>
              </w:rPr>
              <w:t>540.24</w:t>
            </w:r>
          </w:p>
        </w:tc>
      </w:tr>
      <w:tr w:rsidRPr="001D4F89" w:rsidR="005C699E" w:rsidTr="00041030" w14:paraId="2DE38716" w14:textId="77777777">
        <w:tc>
          <w:tcPr>
            <w:tcW w:w="6354" w:type="dxa"/>
            <w:gridSpan w:val="3"/>
            <w:shd w:val="clear" w:color="auto" w:fill="auto"/>
          </w:tcPr>
          <w:p w:rsidRPr="001D4F89" w:rsidR="005C699E" w:rsidP="002A0C48" w:rsidRDefault="005C699E" w14:paraId="75BB52AE" w14:textId="77777777">
            <w:pPr>
              <w:rPr>
                <w:b/>
                <w:sz w:val="20"/>
                <w:szCs w:val="20"/>
              </w:rPr>
            </w:pPr>
            <w:r w:rsidRPr="001D4F89">
              <w:rPr>
                <w:b/>
                <w:sz w:val="20"/>
                <w:szCs w:val="20"/>
              </w:rPr>
              <w:t>Total</w:t>
            </w:r>
          </w:p>
        </w:tc>
        <w:tc>
          <w:tcPr>
            <w:tcW w:w="1926" w:type="dxa"/>
            <w:shd w:val="clear" w:color="auto" w:fill="auto"/>
          </w:tcPr>
          <w:p w:rsidRPr="001D4F89" w:rsidR="005C699E" w:rsidP="002A0C48" w:rsidRDefault="003A5927" w14:paraId="2E5FD7B8" w14:textId="569DF875">
            <w:pPr>
              <w:jc w:val="right"/>
              <w:rPr>
                <w:b/>
                <w:sz w:val="20"/>
                <w:szCs w:val="20"/>
              </w:rPr>
            </w:pPr>
            <w:r>
              <w:rPr>
                <w:b/>
                <w:sz w:val="20"/>
                <w:szCs w:val="20"/>
              </w:rPr>
              <w:t>$11,887,310.64</w:t>
            </w:r>
          </w:p>
        </w:tc>
      </w:tr>
    </w:tbl>
    <w:p w:rsidRPr="004C6979" w:rsidR="004C6979" w:rsidP="002A0C48" w:rsidRDefault="00EB7538" w14:paraId="0CC21749" w14:textId="77777777">
      <w:pPr>
        <w:numPr>
          <w:ilvl w:val="0"/>
          <w:numId w:val="1"/>
        </w:numPr>
        <w:tabs>
          <w:tab w:val="clear" w:pos="720"/>
        </w:tabs>
        <w:spacing w:before="100" w:beforeAutospacing="1" w:after="100" w:afterAutospacing="1"/>
        <w:rPr>
          <w:u w:val="single"/>
        </w:rPr>
      </w:pPr>
      <w:r w:rsidRPr="004C6979">
        <w:rPr>
          <w:u w:val="single"/>
        </w:rPr>
        <w:t>Estimates of Other Total Annual Cost</w:t>
      </w:r>
      <w:r w:rsidR="007C75B1">
        <w:rPr>
          <w:u w:val="single"/>
        </w:rPr>
        <w:t>s</w:t>
      </w:r>
      <w:r w:rsidRPr="004C6979">
        <w:rPr>
          <w:u w:val="single"/>
        </w:rPr>
        <w:t xml:space="preserve"> to Respondents and</w:t>
      </w:r>
      <w:r w:rsidR="00350523">
        <w:rPr>
          <w:u w:val="single"/>
        </w:rPr>
        <w:t>/or Recordkeepers/Capital Costs</w:t>
      </w:r>
    </w:p>
    <w:p w:rsidR="00350523" w:rsidP="002A0C48" w:rsidRDefault="00350523" w14:paraId="0D03F928" w14:textId="790D24EB">
      <w:pPr>
        <w:ind w:left="720"/>
      </w:pPr>
      <w:r>
        <w:t>There are no capital, start-up, operating</w:t>
      </w:r>
      <w:r w:rsidR="00BF5C69">
        <w:t>,</w:t>
      </w:r>
      <w:r>
        <w:t xml:space="preserve"> or maintenance costs associated with this information collection.</w:t>
      </w:r>
    </w:p>
    <w:p w:rsidRPr="004C6979" w:rsidR="004C6979" w:rsidP="002A0C48" w:rsidRDefault="00EB7538" w14:paraId="6C7A1865" w14:textId="77777777">
      <w:pPr>
        <w:numPr>
          <w:ilvl w:val="0"/>
          <w:numId w:val="1"/>
        </w:numPr>
        <w:tabs>
          <w:tab w:val="clear" w:pos="720"/>
        </w:tabs>
        <w:spacing w:before="100" w:beforeAutospacing="1" w:after="100" w:afterAutospacing="1"/>
        <w:rPr>
          <w:u w:val="single"/>
        </w:rPr>
      </w:pPr>
      <w:r w:rsidRPr="004C6979">
        <w:rPr>
          <w:u w:val="single"/>
        </w:rPr>
        <w:t>Annualized Cost to the Federal Government</w:t>
      </w:r>
    </w:p>
    <w:p w:rsidR="00F76882" w:rsidP="002A0C48" w:rsidRDefault="00B64A74" w14:paraId="4EB73468" w14:textId="16C4F024">
      <w:pPr>
        <w:ind w:left="720"/>
      </w:pPr>
      <w:r>
        <w:t>Management of the information collection</w:t>
      </w:r>
      <w:r w:rsidR="00A961EE">
        <w:t xml:space="preserve"> is covered by existing resource allocations for full time employee</w:t>
      </w:r>
      <w:r w:rsidR="008A151B">
        <w:t>s and information technology development.  Therefore, we estimate no cost</w:t>
      </w:r>
      <w:r w:rsidR="009756A1">
        <w:t>s</w:t>
      </w:r>
      <w:r w:rsidR="008A151B">
        <w:t xml:space="preserve"> to the </w:t>
      </w:r>
      <w:r w:rsidR="009F6717">
        <w:t>Federal government.</w:t>
      </w:r>
      <w:r w:rsidR="00EB2487">
        <w:t xml:space="preserve"> </w:t>
      </w:r>
      <w:r w:rsidR="00586062">
        <w:t xml:space="preserve"> </w:t>
      </w:r>
    </w:p>
    <w:p w:rsidR="004C6979" w:rsidP="002A0C48" w:rsidRDefault="00EB7538" w14:paraId="5564FED7" w14:textId="77777777">
      <w:pPr>
        <w:numPr>
          <w:ilvl w:val="0"/>
          <w:numId w:val="1"/>
        </w:numPr>
        <w:tabs>
          <w:tab w:val="clear" w:pos="720"/>
        </w:tabs>
        <w:spacing w:before="100" w:beforeAutospacing="1" w:after="100" w:afterAutospacing="1"/>
        <w:rPr>
          <w:u w:val="single"/>
        </w:rPr>
      </w:pPr>
      <w:r w:rsidRPr="004C6979">
        <w:rPr>
          <w:u w:val="single"/>
        </w:rPr>
        <w:t>Explanation for Program Changes or Adjustments</w:t>
      </w:r>
    </w:p>
    <w:p w:rsidRPr="004C6979" w:rsidR="00D61559" w:rsidP="002A0C48" w:rsidRDefault="00D61559" w14:paraId="1E9156F9" w14:textId="4DEC0CB0">
      <w:pPr>
        <w:spacing w:before="100" w:beforeAutospacing="1" w:after="100" w:afterAutospacing="1"/>
        <w:ind w:left="720"/>
        <w:rPr>
          <w:u w:val="single"/>
        </w:rPr>
      </w:pPr>
      <w:r>
        <w:t xml:space="preserve">This is a new </w:t>
      </w:r>
      <w:r w:rsidR="001351F7">
        <w:t>information collection request.</w:t>
      </w:r>
      <w:r w:rsidR="00F03B0C">
        <w:t xml:space="preserve">  We have adjusted estimates from our proposed rule as discussed in </w:t>
      </w:r>
      <w:r w:rsidRPr="00673B12" w:rsidR="00F03B0C">
        <w:rPr>
          <w:i/>
          <w:iCs/>
        </w:rPr>
        <w:t>Question 8</w:t>
      </w:r>
      <w:r w:rsidR="00F03B0C">
        <w:t>, above.</w:t>
      </w:r>
    </w:p>
    <w:p w:rsidRPr="004C6979" w:rsidR="004C6979" w:rsidP="002A0C48" w:rsidRDefault="00D61559" w14:paraId="48C25244" w14:textId="77777777">
      <w:pPr>
        <w:numPr>
          <w:ilvl w:val="0"/>
          <w:numId w:val="1"/>
        </w:numPr>
        <w:tabs>
          <w:tab w:val="clear" w:pos="720"/>
        </w:tabs>
        <w:spacing w:before="100" w:beforeAutospacing="1" w:after="100" w:afterAutospacing="1"/>
        <w:rPr>
          <w:u w:val="single"/>
        </w:rPr>
      </w:pPr>
      <w:r w:rsidRPr="007244F5">
        <w:rPr>
          <w:u w:val="single"/>
        </w:rPr>
        <w:t>P</w:t>
      </w:r>
      <w:r w:rsidRPr="004C6979" w:rsidR="00EB7538">
        <w:rPr>
          <w:u w:val="single"/>
        </w:rPr>
        <w:t>lans for Tabulation and Publication and Project Time Schedule</w:t>
      </w:r>
    </w:p>
    <w:p w:rsidR="003E4AC6" w:rsidP="002A0C48" w:rsidRDefault="001C279C" w14:paraId="61DAE34D" w14:textId="4516A598">
      <w:pPr>
        <w:ind w:left="720"/>
      </w:pPr>
      <w:r>
        <w:t>Upon implementation of</w:t>
      </w:r>
      <w:r w:rsidR="00052162">
        <w:t xml:space="preserve"> 21 CFR 1.1109</w:t>
      </w:r>
      <w:r w:rsidR="001D2BB1">
        <w:t xml:space="preserve"> </w:t>
      </w:r>
      <w:r w:rsidR="0068103C">
        <w:t>and c</w:t>
      </w:r>
      <w:r w:rsidR="00914C3D">
        <w:t>onsistent with</w:t>
      </w:r>
      <w:r w:rsidR="00052162">
        <w:t xml:space="preserve"> provisions </w:t>
      </w:r>
      <w:r w:rsidR="00914C3D">
        <w:t>in section 422</w:t>
      </w:r>
      <w:r w:rsidR="00FB7B4F">
        <w:t>(a)(1)(</w:t>
      </w:r>
      <w:r w:rsidR="00F463CA">
        <w:t>B</w:t>
      </w:r>
      <w:r w:rsidR="00161062">
        <w:t>)</w:t>
      </w:r>
      <w:r w:rsidR="001D2BB1">
        <w:t xml:space="preserve"> </w:t>
      </w:r>
      <w:r w:rsidR="00090D17">
        <w:t>of the FD&amp;C Act</w:t>
      </w:r>
      <w:r w:rsidR="00161062">
        <w:t xml:space="preserve">, </w:t>
      </w:r>
      <w:r w:rsidR="003E4AC6">
        <w:t xml:space="preserve">FDA will </w:t>
      </w:r>
      <w:r w:rsidR="00052162">
        <w:t xml:space="preserve">maintain </w:t>
      </w:r>
      <w:r w:rsidR="003E4AC6">
        <w:t xml:space="preserve">on its website a publicly available registry of recognized accreditation bodies and </w:t>
      </w:r>
      <w:r w:rsidR="00115E07">
        <w:t>LAAF-</w:t>
      </w:r>
      <w:r w:rsidR="003E4AC6">
        <w:t>accredited laboratories.</w:t>
      </w:r>
    </w:p>
    <w:p w:rsidRPr="004B6DFD" w:rsidR="00EC34A6" w:rsidP="002A0C48" w:rsidRDefault="00EB7538" w14:paraId="7A479312" w14:textId="149B2C9A">
      <w:pPr>
        <w:numPr>
          <w:ilvl w:val="0"/>
          <w:numId w:val="1"/>
        </w:numPr>
        <w:tabs>
          <w:tab w:val="clear" w:pos="720"/>
        </w:tabs>
        <w:spacing w:before="100" w:beforeAutospacing="1" w:after="100" w:afterAutospacing="1"/>
        <w:rPr>
          <w:u w:val="single"/>
        </w:rPr>
      </w:pPr>
      <w:r w:rsidRPr="004C6979">
        <w:rPr>
          <w:u w:val="single"/>
        </w:rPr>
        <w:t>Reason(s) Display of OMB Expiration Date is Inappropriate</w:t>
      </w:r>
    </w:p>
    <w:p w:rsidR="00D951C5" w:rsidP="002A0C48" w:rsidRDefault="00555AF1" w14:paraId="3085D275" w14:textId="6EB03C84">
      <w:pPr>
        <w:ind w:left="720"/>
      </w:pPr>
      <w:r>
        <w:t>As described above</w:t>
      </w:r>
      <w:r w:rsidR="00390C77">
        <w:t xml:space="preserve"> in </w:t>
      </w:r>
      <w:r w:rsidRPr="004343BD" w:rsidR="00390C77">
        <w:rPr>
          <w:i/>
          <w:iCs/>
        </w:rPr>
        <w:t>Question 3</w:t>
      </w:r>
      <w:r>
        <w:t xml:space="preserve">, </w:t>
      </w:r>
      <w:r w:rsidR="00052162">
        <w:t xml:space="preserve">to support </w:t>
      </w:r>
      <w:r>
        <w:t xml:space="preserve">implementation of </w:t>
      </w:r>
      <w:r w:rsidR="00052162">
        <w:t xml:space="preserve">the regulatory requirements regarding maintenance and electronic submission of </w:t>
      </w:r>
      <w:r>
        <w:t>certain test results, reports, notifications, and other records to FDA</w:t>
      </w:r>
      <w:r w:rsidR="00052162">
        <w:t>, we are currently developing information collection systems</w:t>
      </w:r>
      <w:r>
        <w:t xml:space="preserve">.  </w:t>
      </w:r>
      <w:r w:rsidR="00D951C5">
        <w:t>FDA will incorporate both the OMB control number and expiration date into the technological components of the information collection.</w:t>
      </w:r>
    </w:p>
    <w:p w:rsidR="00D951C5" w:rsidP="002A0C48" w:rsidRDefault="00D951C5" w14:paraId="0B77F5E2" w14:textId="77777777">
      <w:pPr>
        <w:ind w:left="720"/>
      </w:pPr>
    </w:p>
    <w:p w:rsidR="0067166E" w:rsidP="002A0C48" w:rsidRDefault="00D951C5" w14:paraId="43309EFE" w14:textId="5DDB74FF">
      <w:pPr>
        <w:ind w:left="720"/>
      </w:pPr>
      <w:r>
        <w:t xml:space="preserve">At the same time, we note that </w:t>
      </w:r>
      <w:r w:rsidR="00555AF1">
        <w:t xml:space="preserve">the regulations </w:t>
      </w:r>
      <w:r w:rsidR="009C6548">
        <w:t>incorporate</w:t>
      </w:r>
      <w:r w:rsidR="00555AF1">
        <w:t xml:space="preserve"> proprietary standards, and the OMB control number and expiration date would not appear on those </w:t>
      </w:r>
      <w:r w:rsidR="009C6548">
        <w:t>documents</w:t>
      </w:r>
      <w:r>
        <w:t xml:space="preserve">.  </w:t>
      </w:r>
      <w:r w:rsidR="003E702C">
        <w:t>Specifically, the</w:t>
      </w:r>
      <w:r w:rsidR="004C0F73">
        <w:t xml:space="preserve"> following </w:t>
      </w:r>
      <w:r w:rsidR="00F061D9">
        <w:t>p</w:t>
      </w:r>
      <w:r w:rsidR="00334674">
        <w:t>ropriet</w:t>
      </w:r>
      <w:r w:rsidR="009E6A65">
        <w:t>a</w:t>
      </w:r>
      <w:r w:rsidR="00334674">
        <w:t>ry standards</w:t>
      </w:r>
      <w:r>
        <w:t xml:space="preserve"> are incorporated by reference</w:t>
      </w:r>
      <w:r w:rsidR="004C0F73">
        <w:t>:</w:t>
      </w:r>
      <w:r w:rsidR="009E6A65">
        <w:t xml:space="preserve"> </w:t>
      </w:r>
    </w:p>
    <w:p w:rsidR="0067166E" w:rsidP="002A0C48" w:rsidRDefault="0067166E" w14:paraId="126C023A" w14:textId="77777777">
      <w:pPr>
        <w:ind w:left="720"/>
      </w:pPr>
    </w:p>
    <w:p w:rsidR="0067166E" w:rsidP="002A0C48" w:rsidRDefault="0067166E" w14:paraId="6D703717" w14:textId="320CDA26">
      <w:pPr>
        <w:numPr>
          <w:ilvl w:val="0"/>
          <w:numId w:val="57"/>
        </w:numPr>
        <w:tabs>
          <w:tab w:val="clear" w:pos="720"/>
        </w:tabs>
        <w:ind w:left="1080"/>
      </w:pPr>
      <w:r w:rsidRPr="0067166E">
        <w:t>ISO/IEC 17011:2017, “</w:t>
      </w:r>
      <w:r w:rsidRPr="0067166E">
        <w:rPr>
          <w:i/>
          <w:iCs/>
        </w:rPr>
        <w:t>Conformity Assessment--Requirements for Accreditation Bodies Accrediting Conformity Assessment Bodies</w:t>
      </w:r>
      <w:r w:rsidRPr="0067166E">
        <w:t>,” Second edition, November 2017</w:t>
      </w:r>
      <w:r w:rsidR="004A00A2">
        <w:t>;</w:t>
      </w:r>
      <w:r w:rsidRPr="0067166E">
        <w:t xml:space="preserve"> and</w:t>
      </w:r>
    </w:p>
    <w:p w:rsidRPr="0067166E" w:rsidR="004A00A2" w:rsidP="002A0C48" w:rsidRDefault="004A00A2" w14:paraId="0DD25E12" w14:textId="77777777">
      <w:pPr>
        <w:ind w:left="1080"/>
      </w:pPr>
    </w:p>
    <w:p w:rsidRPr="0067166E" w:rsidR="0067166E" w:rsidP="002A0C48" w:rsidRDefault="0067166E" w14:paraId="04FE63AC" w14:textId="77777777">
      <w:pPr>
        <w:numPr>
          <w:ilvl w:val="0"/>
          <w:numId w:val="57"/>
        </w:numPr>
        <w:tabs>
          <w:tab w:val="clear" w:pos="720"/>
        </w:tabs>
        <w:ind w:left="1080"/>
      </w:pPr>
      <w:r w:rsidRPr="0067166E">
        <w:t>ISO/IEC 17025:2017, “</w:t>
      </w:r>
      <w:r w:rsidRPr="0067166E">
        <w:rPr>
          <w:i/>
          <w:iCs/>
        </w:rPr>
        <w:t>General Requirements for the Competence of Testing and Calibration Laboratories</w:t>
      </w:r>
      <w:r w:rsidRPr="0067166E">
        <w:t>,” Third edition, November 2017.</w:t>
      </w:r>
    </w:p>
    <w:p w:rsidR="0087481A" w:rsidP="002A0C48" w:rsidRDefault="0087481A" w14:paraId="4A9AD598" w14:textId="0E3D3173">
      <w:pPr>
        <w:ind w:left="720"/>
      </w:pPr>
    </w:p>
    <w:p w:rsidR="007C3D33" w:rsidP="00471751" w:rsidRDefault="007C3D33" w14:paraId="5C9EBAE7" w14:textId="41F3198E">
      <w:pPr>
        <w:keepNext/>
        <w:ind w:left="720"/>
        <w:contextualSpacing/>
      </w:pPr>
      <w:r>
        <w:t>The</w:t>
      </w:r>
      <w:r w:rsidR="001F3589">
        <w:t>se</w:t>
      </w:r>
      <w:r>
        <w:t xml:space="preserve"> standards may be examined at FDA’s Dockets Management Staff</w:t>
      </w:r>
      <w:r w:rsidR="00471751">
        <w:t>,</w:t>
      </w:r>
      <w:r w:rsidRPr="00E3313A" w:rsidR="00E3313A">
        <w:t xml:space="preserve"> 5630 Fishers Lane, Rm. 1061, Rockville, MD 20852, 240-402-7500</w:t>
      </w:r>
      <w:r>
        <w:t>.</w:t>
      </w:r>
      <w:r w:rsidR="00471751">
        <w:t xml:space="preserve">  </w:t>
      </w:r>
      <w:r>
        <w:t xml:space="preserve">The standards are available for purchase from the International Organization for Standardization (ISO), </w:t>
      </w:r>
      <w:r>
        <w:rPr>
          <w:lang w:val="en"/>
        </w:rPr>
        <w:t>Chemin de Blandonnet 8, CP 401, 1214 Vernier,</w:t>
      </w:r>
      <w:r>
        <w:t xml:space="preserve"> Geneva, Switzerland, +41 22 749 01 11, central@iso.org (https://www.iso.org/store.html) or from any other source from which the user is assured that the copy to be received is an accurate version of the standard.</w:t>
      </w:r>
    </w:p>
    <w:p w:rsidR="00EB7538" w:rsidP="002A0C48" w:rsidRDefault="00EB7538" w14:paraId="71CAB242" w14:textId="262840B1">
      <w:pPr>
        <w:numPr>
          <w:ilvl w:val="0"/>
          <w:numId w:val="1"/>
        </w:numPr>
        <w:tabs>
          <w:tab w:val="clear" w:pos="720"/>
        </w:tabs>
        <w:spacing w:before="100" w:beforeAutospacing="1" w:after="100" w:afterAutospacing="1"/>
        <w:rPr>
          <w:u w:val="single"/>
        </w:rPr>
      </w:pPr>
      <w:r w:rsidRPr="004C6979">
        <w:rPr>
          <w:u w:val="single"/>
        </w:rPr>
        <w:t>Exceptions to Certification for Paperwork Reduction Act Submissions</w:t>
      </w:r>
    </w:p>
    <w:p w:rsidRPr="004C6979" w:rsidR="002746DB" w:rsidP="002A0C48" w:rsidRDefault="00132A71" w14:paraId="08257CE0" w14:textId="77777777">
      <w:pPr>
        <w:spacing w:before="100" w:beforeAutospacing="1" w:after="100" w:afterAutospacing="1"/>
        <w:ind w:firstLine="720"/>
        <w:rPr>
          <w:b/>
        </w:rPr>
      </w:pPr>
      <w:r>
        <w:t>There are no exceptions to the certification.</w:t>
      </w:r>
    </w:p>
    <w:sectPr w:rsidRPr="004C6979" w:rsidR="002746DB" w:rsidSect="007F7E35">
      <w:footerReference w:type="even" r:id="rId9"/>
      <w:footerReference w:type="default" r:id="rId10"/>
      <w:pgSz w:w="12240" w:h="15840" w:code="1"/>
      <w:pgMar w:top="1440" w:right="1296" w:bottom="1440"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3F6747" w14:textId="77777777" w:rsidR="00B111C8" w:rsidRDefault="00B111C8">
      <w:r>
        <w:separator/>
      </w:r>
    </w:p>
  </w:endnote>
  <w:endnote w:type="continuationSeparator" w:id="0">
    <w:p w14:paraId="207969C8" w14:textId="77777777" w:rsidR="00B111C8" w:rsidRDefault="00B111C8">
      <w:r>
        <w:continuationSeparator/>
      </w:r>
    </w:p>
  </w:endnote>
  <w:endnote w:type="continuationNotice" w:id="1">
    <w:p w14:paraId="4CDDDE61" w14:textId="77777777" w:rsidR="00B111C8" w:rsidRDefault="00B111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Futura Book">
    <w:altName w:val="Century Gothic"/>
    <w:panose1 w:val="00000000000000000000"/>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D37C2D" w14:textId="77777777" w:rsidR="00512789" w:rsidRDefault="00512789"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F4F9534" w14:textId="77777777" w:rsidR="00512789" w:rsidRDefault="005127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612C6F" w14:textId="77777777" w:rsidR="00512789" w:rsidRDefault="00512789"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040F1">
      <w:rPr>
        <w:rStyle w:val="PageNumber"/>
        <w:noProof/>
      </w:rPr>
      <w:t>12</w:t>
    </w:r>
    <w:r>
      <w:rPr>
        <w:rStyle w:val="PageNumber"/>
      </w:rPr>
      <w:fldChar w:fldCharType="end"/>
    </w:r>
  </w:p>
  <w:p w14:paraId="7AF247FB" w14:textId="77777777" w:rsidR="00512789" w:rsidRDefault="005127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B4B9E3" w14:textId="77777777" w:rsidR="00B111C8" w:rsidRDefault="00B111C8">
      <w:r>
        <w:separator/>
      </w:r>
    </w:p>
  </w:footnote>
  <w:footnote w:type="continuationSeparator" w:id="0">
    <w:p w14:paraId="66508931" w14:textId="77777777" w:rsidR="00B111C8" w:rsidRDefault="00B111C8">
      <w:r>
        <w:continuationSeparator/>
      </w:r>
    </w:p>
  </w:footnote>
  <w:footnote w:type="continuationNotice" w:id="1">
    <w:p w14:paraId="755D9E00" w14:textId="77777777" w:rsidR="00B111C8" w:rsidRDefault="00B111C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04945206"/>
    <w:multiLevelType w:val="hybridMultilevel"/>
    <w:tmpl w:val="0CFED3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7E20BFA"/>
    <w:multiLevelType w:val="hybridMultilevel"/>
    <w:tmpl w:val="34504924"/>
    <w:lvl w:ilvl="0" w:tplc="04090001">
      <w:start w:val="1"/>
      <w:numFmt w:val="bullet"/>
      <w:lvlText w:val=""/>
      <w:lvlJc w:val="left"/>
      <w:pPr>
        <w:ind w:left="1509" w:hanging="360"/>
      </w:pPr>
      <w:rPr>
        <w:rFonts w:ascii="Symbol" w:hAnsi="Symbol" w:hint="default"/>
      </w:rPr>
    </w:lvl>
    <w:lvl w:ilvl="1" w:tplc="04090003" w:tentative="1">
      <w:start w:val="1"/>
      <w:numFmt w:val="bullet"/>
      <w:lvlText w:val="o"/>
      <w:lvlJc w:val="left"/>
      <w:pPr>
        <w:ind w:left="2229" w:hanging="360"/>
      </w:pPr>
      <w:rPr>
        <w:rFonts w:ascii="Courier New" w:hAnsi="Courier New" w:cs="Courier New" w:hint="default"/>
      </w:rPr>
    </w:lvl>
    <w:lvl w:ilvl="2" w:tplc="04090005" w:tentative="1">
      <w:start w:val="1"/>
      <w:numFmt w:val="bullet"/>
      <w:lvlText w:val=""/>
      <w:lvlJc w:val="left"/>
      <w:pPr>
        <w:ind w:left="2949" w:hanging="360"/>
      </w:pPr>
      <w:rPr>
        <w:rFonts w:ascii="Wingdings" w:hAnsi="Wingdings" w:hint="default"/>
      </w:rPr>
    </w:lvl>
    <w:lvl w:ilvl="3" w:tplc="04090001" w:tentative="1">
      <w:start w:val="1"/>
      <w:numFmt w:val="bullet"/>
      <w:lvlText w:val=""/>
      <w:lvlJc w:val="left"/>
      <w:pPr>
        <w:ind w:left="3669" w:hanging="360"/>
      </w:pPr>
      <w:rPr>
        <w:rFonts w:ascii="Symbol" w:hAnsi="Symbol" w:hint="default"/>
      </w:rPr>
    </w:lvl>
    <w:lvl w:ilvl="4" w:tplc="04090003" w:tentative="1">
      <w:start w:val="1"/>
      <w:numFmt w:val="bullet"/>
      <w:lvlText w:val="o"/>
      <w:lvlJc w:val="left"/>
      <w:pPr>
        <w:ind w:left="4389" w:hanging="360"/>
      </w:pPr>
      <w:rPr>
        <w:rFonts w:ascii="Courier New" w:hAnsi="Courier New" w:cs="Courier New" w:hint="default"/>
      </w:rPr>
    </w:lvl>
    <w:lvl w:ilvl="5" w:tplc="04090005" w:tentative="1">
      <w:start w:val="1"/>
      <w:numFmt w:val="bullet"/>
      <w:lvlText w:val=""/>
      <w:lvlJc w:val="left"/>
      <w:pPr>
        <w:ind w:left="5109" w:hanging="360"/>
      </w:pPr>
      <w:rPr>
        <w:rFonts w:ascii="Wingdings" w:hAnsi="Wingdings" w:hint="default"/>
      </w:rPr>
    </w:lvl>
    <w:lvl w:ilvl="6" w:tplc="04090001" w:tentative="1">
      <w:start w:val="1"/>
      <w:numFmt w:val="bullet"/>
      <w:lvlText w:val=""/>
      <w:lvlJc w:val="left"/>
      <w:pPr>
        <w:ind w:left="5829" w:hanging="360"/>
      </w:pPr>
      <w:rPr>
        <w:rFonts w:ascii="Symbol" w:hAnsi="Symbol" w:hint="default"/>
      </w:rPr>
    </w:lvl>
    <w:lvl w:ilvl="7" w:tplc="04090003" w:tentative="1">
      <w:start w:val="1"/>
      <w:numFmt w:val="bullet"/>
      <w:lvlText w:val="o"/>
      <w:lvlJc w:val="left"/>
      <w:pPr>
        <w:ind w:left="6549" w:hanging="360"/>
      </w:pPr>
      <w:rPr>
        <w:rFonts w:ascii="Courier New" w:hAnsi="Courier New" w:cs="Courier New" w:hint="default"/>
      </w:rPr>
    </w:lvl>
    <w:lvl w:ilvl="8" w:tplc="04090005" w:tentative="1">
      <w:start w:val="1"/>
      <w:numFmt w:val="bullet"/>
      <w:lvlText w:val=""/>
      <w:lvlJc w:val="left"/>
      <w:pPr>
        <w:ind w:left="7269" w:hanging="360"/>
      </w:pPr>
      <w:rPr>
        <w:rFonts w:ascii="Wingdings" w:hAnsi="Wingdings" w:hint="default"/>
      </w:rPr>
    </w:lvl>
  </w:abstractNum>
  <w:abstractNum w:abstractNumId="4" w15:restartNumberingAfterBreak="0">
    <w:nsid w:val="08926DD0"/>
    <w:multiLevelType w:val="hybridMultilevel"/>
    <w:tmpl w:val="473049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B3A6ACE"/>
    <w:multiLevelType w:val="hybridMultilevel"/>
    <w:tmpl w:val="44EA2790"/>
    <w:lvl w:ilvl="0" w:tplc="17F0BFD2">
      <w:start w:val="1"/>
      <w:numFmt w:val="bullet"/>
      <w:lvlText w:val=""/>
      <w:lvlJc w:val="left"/>
      <w:pPr>
        <w:tabs>
          <w:tab w:val="num" w:pos="1440"/>
        </w:tabs>
        <w:ind w:left="1440" w:hanging="360"/>
      </w:pPr>
      <w:rPr>
        <w:rFonts w:ascii="Symbol" w:hAnsi="Symbol" w:hint="default"/>
        <w:color w:val="auto"/>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0DED6575"/>
    <w:multiLevelType w:val="hybridMultilevel"/>
    <w:tmpl w:val="1292BFC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15:restartNumberingAfterBreak="0">
    <w:nsid w:val="14B91F04"/>
    <w:multiLevelType w:val="hybridMultilevel"/>
    <w:tmpl w:val="0764FE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E2515D4"/>
    <w:multiLevelType w:val="hybridMultilevel"/>
    <w:tmpl w:val="3A8806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277157EF"/>
    <w:multiLevelType w:val="hybridMultilevel"/>
    <w:tmpl w:val="ABC400BA"/>
    <w:lvl w:ilvl="0" w:tplc="3A180F6A">
      <w:start w:val="1"/>
      <w:numFmt w:val="upperLetter"/>
      <w:pStyle w:val="Heading2"/>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CA6BBF"/>
    <w:multiLevelType w:val="hybridMultilevel"/>
    <w:tmpl w:val="B4AEF0E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A3F6F8E"/>
    <w:multiLevelType w:val="hybridMultilevel"/>
    <w:tmpl w:val="F3F0DD98"/>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2" w15:restartNumberingAfterBreak="0">
    <w:nsid w:val="2E385D16"/>
    <w:multiLevelType w:val="hybridMultilevel"/>
    <w:tmpl w:val="06B489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2133949"/>
    <w:multiLevelType w:val="hybridMultilevel"/>
    <w:tmpl w:val="EE1E77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329D65D6"/>
    <w:multiLevelType w:val="hybridMultilevel"/>
    <w:tmpl w:val="35AA02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60E004A"/>
    <w:multiLevelType w:val="hybridMultilevel"/>
    <w:tmpl w:val="78E44F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99D09AB"/>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A4D4A06"/>
    <w:multiLevelType w:val="hybridMultilevel"/>
    <w:tmpl w:val="116E13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A727494"/>
    <w:multiLevelType w:val="hybridMultilevel"/>
    <w:tmpl w:val="33C2E1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3D9D7543"/>
    <w:multiLevelType w:val="hybridMultilevel"/>
    <w:tmpl w:val="C9F689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E811088"/>
    <w:multiLevelType w:val="hybridMultilevel"/>
    <w:tmpl w:val="CADE4A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E935420"/>
    <w:multiLevelType w:val="multilevel"/>
    <w:tmpl w:val="3604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1AB03BC"/>
    <w:multiLevelType w:val="hybridMultilevel"/>
    <w:tmpl w:val="CB806EC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434F798B"/>
    <w:multiLevelType w:val="hybridMultilevel"/>
    <w:tmpl w:val="4D5AF6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3623B9A"/>
    <w:multiLevelType w:val="hybridMultilevel"/>
    <w:tmpl w:val="AB50C12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25" w15:restartNumberingAfterBreak="0">
    <w:nsid w:val="45912058"/>
    <w:multiLevelType w:val="hybridMultilevel"/>
    <w:tmpl w:val="063EBFB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482E5952"/>
    <w:multiLevelType w:val="hybridMultilevel"/>
    <w:tmpl w:val="3EEAE5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97E1B52"/>
    <w:multiLevelType w:val="hybridMultilevel"/>
    <w:tmpl w:val="9AA886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0" w15:restartNumberingAfterBreak="0">
    <w:nsid w:val="4D422FFD"/>
    <w:multiLevelType w:val="hybridMultilevel"/>
    <w:tmpl w:val="69FEA0E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4D5C0C3F"/>
    <w:multiLevelType w:val="hybridMultilevel"/>
    <w:tmpl w:val="C9A0A8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4F594495"/>
    <w:multiLevelType w:val="hybridMultilevel"/>
    <w:tmpl w:val="F306B620"/>
    <w:lvl w:ilvl="0" w:tplc="0409000F">
      <w:start w:val="1"/>
      <w:numFmt w:val="decimal"/>
      <w:lvlText w:val="%1."/>
      <w:lvlJc w:val="left"/>
      <w:pPr>
        <w:ind w:left="720" w:hanging="360"/>
      </w:pPr>
      <w:rPr>
        <w:rFonts w:cs="Times New Roman"/>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50272BC2"/>
    <w:multiLevelType w:val="hybridMultilevel"/>
    <w:tmpl w:val="9B1C2E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03A1327"/>
    <w:multiLevelType w:val="hybridMultilevel"/>
    <w:tmpl w:val="D930ACD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50A4594D"/>
    <w:multiLevelType w:val="hybridMultilevel"/>
    <w:tmpl w:val="A8BA880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52B10A5B"/>
    <w:multiLevelType w:val="hybridMultilevel"/>
    <w:tmpl w:val="F4C6EC1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545632BB"/>
    <w:multiLevelType w:val="hybridMultilevel"/>
    <w:tmpl w:val="006C6F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59A01E43"/>
    <w:multiLevelType w:val="hybridMultilevel"/>
    <w:tmpl w:val="351826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5ADB58CB"/>
    <w:multiLevelType w:val="hybridMultilevel"/>
    <w:tmpl w:val="A57AC9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5B9A63D6"/>
    <w:multiLevelType w:val="hybridMultilevel"/>
    <w:tmpl w:val="707CAA4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5D3632B9"/>
    <w:multiLevelType w:val="hybridMultilevel"/>
    <w:tmpl w:val="4552EA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65012B74"/>
    <w:multiLevelType w:val="hybridMultilevel"/>
    <w:tmpl w:val="56DCAA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658B58D1"/>
    <w:multiLevelType w:val="hybridMultilevel"/>
    <w:tmpl w:val="420412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4" w15:restartNumberingAfterBreak="0">
    <w:nsid w:val="68DA5096"/>
    <w:multiLevelType w:val="hybridMultilevel"/>
    <w:tmpl w:val="AC744B6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45" w15:restartNumberingAfterBreak="0">
    <w:nsid w:val="70DC063A"/>
    <w:multiLevelType w:val="hybridMultilevel"/>
    <w:tmpl w:val="403C87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2FB651B"/>
    <w:multiLevelType w:val="hybridMultilevel"/>
    <w:tmpl w:val="0566598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7" w15:restartNumberingAfterBreak="0">
    <w:nsid w:val="73346864"/>
    <w:multiLevelType w:val="hybridMultilevel"/>
    <w:tmpl w:val="06C6322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8" w15:restartNumberingAfterBreak="0">
    <w:nsid w:val="739F61EA"/>
    <w:multiLevelType w:val="hybridMultilevel"/>
    <w:tmpl w:val="4344FD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9" w15:restartNumberingAfterBreak="0">
    <w:nsid w:val="748555CD"/>
    <w:multiLevelType w:val="hybridMultilevel"/>
    <w:tmpl w:val="D14ABF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77567685"/>
    <w:multiLevelType w:val="hybridMultilevel"/>
    <w:tmpl w:val="1FEE56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1" w15:restartNumberingAfterBreak="0">
    <w:nsid w:val="77DC103B"/>
    <w:multiLevelType w:val="hybridMultilevel"/>
    <w:tmpl w:val="AB600B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2" w15:restartNumberingAfterBreak="0">
    <w:nsid w:val="787168E8"/>
    <w:multiLevelType w:val="hybridMultilevel"/>
    <w:tmpl w:val="D0DAF1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7D1010E7"/>
    <w:multiLevelType w:val="hybridMultilevel"/>
    <w:tmpl w:val="E59E9A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7FE538FE"/>
    <w:multiLevelType w:val="hybridMultilevel"/>
    <w:tmpl w:val="30D832A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6"/>
  </w:num>
  <w:num w:numId="2">
    <w:abstractNumId w:val="28"/>
  </w:num>
  <w:num w:numId="3">
    <w:abstractNumId w:val="0"/>
    <w:lvlOverride w:ilvl="0">
      <w:lvl w:ilvl="0">
        <w:numFmt w:val="bullet"/>
        <w:lvlText w:val=""/>
        <w:legacy w:legacy="1" w:legacySpace="0" w:legacyIndent="360"/>
        <w:lvlJc w:val="left"/>
        <w:pPr>
          <w:ind w:left="720" w:hanging="360"/>
        </w:pPr>
        <w:rPr>
          <w:rFonts w:ascii="Symbol" w:hAnsi="Symbol" w:hint="default"/>
        </w:rPr>
      </w:lvl>
    </w:lvlOverride>
  </w:num>
  <w:num w:numId="4">
    <w:abstractNumId w:val="35"/>
  </w:num>
  <w:num w:numId="5">
    <w:abstractNumId w:val="12"/>
  </w:num>
  <w:num w:numId="6">
    <w:abstractNumId w:val="39"/>
  </w:num>
  <w:num w:numId="7">
    <w:abstractNumId w:val="47"/>
  </w:num>
  <w:num w:numId="8">
    <w:abstractNumId w:val="8"/>
  </w:num>
  <w:num w:numId="9">
    <w:abstractNumId w:val="40"/>
  </w:num>
  <w:num w:numId="10">
    <w:abstractNumId w:val="34"/>
  </w:num>
  <w:num w:numId="11">
    <w:abstractNumId w:val="14"/>
  </w:num>
  <w:num w:numId="12">
    <w:abstractNumId w:val="51"/>
  </w:num>
  <w:num w:numId="13">
    <w:abstractNumId w:val="31"/>
  </w:num>
  <w:num w:numId="14">
    <w:abstractNumId w:val="13"/>
  </w:num>
  <w:num w:numId="15">
    <w:abstractNumId w:val="25"/>
  </w:num>
  <w:num w:numId="16">
    <w:abstractNumId w:val="23"/>
  </w:num>
  <w:num w:numId="17">
    <w:abstractNumId w:val="46"/>
  </w:num>
  <w:num w:numId="18">
    <w:abstractNumId w:val="50"/>
  </w:num>
  <w:num w:numId="19">
    <w:abstractNumId w:val="48"/>
  </w:num>
  <w:num w:numId="20">
    <w:abstractNumId w:val="30"/>
  </w:num>
  <w:num w:numId="21">
    <w:abstractNumId w:val="22"/>
  </w:num>
  <w:num w:numId="22">
    <w:abstractNumId w:val="7"/>
  </w:num>
  <w:num w:numId="23">
    <w:abstractNumId w:val="43"/>
  </w:num>
  <w:num w:numId="24">
    <w:abstractNumId w:val="36"/>
  </w:num>
  <w:num w:numId="25">
    <w:abstractNumId w:val="18"/>
  </w:num>
  <w:num w:numId="26">
    <w:abstractNumId w:val="11"/>
  </w:num>
  <w:num w:numId="27">
    <w:abstractNumId w:val="54"/>
  </w:num>
  <w:num w:numId="28">
    <w:abstractNumId w:val="44"/>
  </w:num>
  <w:num w:numId="29">
    <w:abstractNumId w:val="10"/>
  </w:num>
  <w:num w:numId="30">
    <w:abstractNumId w:val="29"/>
  </w:num>
  <w:num w:numId="31">
    <w:abstractNumId w:val="5"/>
  </w:num>
  <w:num w:numId="32">
    <w:abstractNumId w:val="1"/>
  </w:num>
  <w:num w:numId="33">
    <w:abstractNumId w:val="33"/>
  </w:num>
  <w:num w:numId="34">
    <w:abstractNumId w:val="49"/>
  </w:num>
  <w:num w:numId="35">
    <w:abstractNumId w:val="19"/>
  </w:num>
  <w:num w:numId="36">
    <w:abstractNumId w:val="41"/>
  </w:num>
  <w:num w:numId="37">
    <w:abstractNumId w:val="15"/>
  </w:num>
  <w:num w:numId="38">
    <w:abstractNumId w:val="37"/>
  </w:num>
  <w:num w:numId="39">
    <w:abstractNumId w:val="42"/>
  </w:num>
  <w:num w:numId="40">
    <w:abstractNumId w:val="4"/>
  </w:num>
  <w:num w:numId="41">
    <w:abstractNumId w:val="6"/>
  </w:num>
  <w:num w:numId="42">
    <w:abstractNumId w:val="53"/>
  </w:num>
  <w:num w:numId="43">
    <w:abstractNumId w:val="17"/>
  </w:num>
  <w:num w:numId="44">
    <w:abstractNumId w:val="32"/>
    <w:lvlOverride w:ilvl="0">
      <w:startOverride w:val="1"/>
    </w:lvlOverride>
    <w:lvlOverride w:ilvl="1"/>
    <w:lvlOverride w:ilvl="2"/>
    <w:lvlOverride w:ilvl="3"/>
    <w:lvlOverride w:ilvl="4"/>
    <w:lvlOverride w:ilvl="5"/>
    <w:lvlOverride w:ilvl="6"/>
    <w:lvlOverride w:ilvl="7"/>
    <w:lvlOverride w:ilvl="8"/>
  </w:num>
  <w:num w:numId="45">
    <w:abstractNumId w:val="32"/>
  </w:num>
  <w:num w:numId="46">
    <w:abstractNumId w:val="24"/>
  </w:num>
  <w:num w:numId="47">
    <w:abstractNumId w:val="45"/>
  </w:num>
  <w:num w:numId="48">
    <w:abstractNumId w:val="52"/>
  </w:num>
  <w:num w:numId="49">
    <w:abstractNumId w:val="26"/>
  </w:num>
  <w:num w:numId="50">
    <w:abstractNumId w:val="3"/>
  </w:num>
  <w:num w:numId="51">
    <w:abstractNumId w:val="27"/>
  </w:num>
  <w:num w:numId="52">
    <w:abstractNumId w:val="20"/>
  </w:num>
  <w:num w:numId="53">
    <w:abstractNumId w:val="38"/>
  </w:num>
  <w:num w:numId="54">
    <w:abstractNumId w:val="9"/>
  </w:num>
  <w:num w:numId="55">
    <w:abstractNumId w:val="9"/>
    <w:lvlOverride w:ilvl="0">
      <w:startOverride w:val="1"/>
    </w:lvlOverride>
  </w:num>
  <w:num w:numId="56">
    <w:abstractNumId w:val="2"/>
  </w:num>
  <w:num w:numId="57">
    <w:abstractNumId w:val="2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0164A"/>
    <w:rsid w:val="00001B93"/>
    <w:rsid w:val="00001DA1"/>
    <w:rsid w:val="000028D0"/>
    <w:rsid w:val="00004993"/>
    <w:rsid w:val="0000629E"/>
    <w:rsid w:val="00007C24"/>
    <w:rsid w:val="00010377"/>
    <w:rsid w:val="000115E7"/>
    <w:rsid w:val="00012760"/>
    <w:rsid w:val="0001345E"/>
    <w:rsid w:val="000139BB"/>
    <w:rsid w:val="000145F0"/>
    <w:rsid w:val="000167E8"/>
    <w:rsid w:val="00017466"/>
    <w:rsid w:val="00017580"/>
    <w:rsid w:val="0001768C"/>
    <w:rsid w:val="00021D1D"/>
    <w:rsid w:val="00021DD5"/>
    <w:rsid w:val="00022BB1"/>
    <w:rsid w:val="00023CA8"/>
    <w:rsid w:val="00023D43"/>
    <w:rsid w:val="00024F26"/>
    <w:rsid w:val="0002594C"/>
    <w:rsid w:val="00025D1C"/>
    <w:rsid w:val="000262ED"/>
    <w:rsid w:val="00026CDB"/>
    <w:rsid w:val="00027988"/>
    <w:rsid w:val="00030445"/>
    <w:rsid w:val="00030E19"/>
    <w:rsid w:val="0003172D"/>
    <w:rsid w:val="00031A2C"/>
    <w:rsid w:val="00032EBA"/>
    <w:rsid w:val="00033340"/>
    <w:rsid w:val="000359AB"/>
    <w:rsid w:val="00035F90"/>
    <w:rsid w:val="000364CB"/>
    <w:rsid w:val="00037E07"/>
    <w:rsid w:val="000409AD"/>
    <w:rsid w:val="00040B0B"/>
    <w:rsid w:val="00041030"/>
    <w:rsid w:val="00042002"/>
    <w:rsid w:val="000424B3"/>
    <w:rsid w:val="0004336F"/>
    <w:rsid w:val="000434F1"/>
    <w:rsid w:val="0004365A"/>
    <w:rsid w:val="0004374C"/>
    <w:rsid w:val="0004390A"/>
    <w:rsid w:val="00043921"/>
    <w:rsid w:val="000439B1"/>
    <w:rsid w:val="00043C7F"/>
    <w:rsid w:val="00043E99"/>
    <w:rsid w:val="00044F6A"/>
    <w:rsid w:val="00046C5F"/>
    <w:rsid w:val="00046DAB"/>
    <w:rsid w:val="00047457"/>
    <w:rsid w:val="000477AA"/>
    <w:rsid w:val="000504D2"/>
    <w:rsid w:val="0005132B"/>
    <w:rsid w:val="00051C4B"/>
    <w:rsid w:val="00052162"/>
    <w:rsid w:val="0005232E"/>
    <w:rsid w:val="000530C2"/>
    <w:rsid w:val="00054B3A"/>
    <w:rsid w:val="000557FC"/>
    <w:rsid w:val="00055865"/>
    <w:rsid w:val="00057474"/>
    <w:rsid w:val="00060E3C"/>
    <w:rsid w:val="0006103B"/>
    <w:rsid w:val="00062681"/>
    <w:rsid w:val="00062E3F"/>
    <w:rsid w:val="00063323"/>
    <w:rsid w:val="0006349D"/>
    <w:rsid w:val="000640E4"/>
    <w:rsid w:val="000644FA"/>
    <w:rsid w:val="000650B6"/>
    <w:rsid w:val="0006511C"/>
    <w:rsid w:val="0006570F"/>
    <w:rsid w:val="00066C50"/>
    <w:rsid w:val="000701AB"/>
    <w:rsid w:val="00070A81"/>
    <w:rsid w:val="00071D3F"/>
    <w:rsid w:val="00073298"/>
    <w:rsid w:val="0007375F"/>
    <w:rsid w:val="00073C17"/>
    <w:rsid w:val="0007484C"/>
    <w:rsid w:val="000754E6"/>
    <w:rsid w:val="00075B27"/>
    <w:rsid w:val="00075DE8"/>
    <w:rsid w:val="00076496"/>
    <w:rsid w:val="00077793"/>
    <w:rsid w:val="00077933"/>
    <w:rsid w:val="00077E80"/>
    <w:rsid w:val="00080A1D"/>
    <w:rsid w:val="00080C3B"/>
    <w:rsid w:val="00080D16"/>
    <w:rsid w:val="00081F69"/>
    <w:rsid w:val="00082E1B"/>
    <w:rsid w:val="00085026"/>
    <w:rsid w:val="0008689E"/>
    <w:rsid w:val="00086A86"/>
    <w:rsid w:val="00086D6C"/>
    <w:rsid w:val="000905C8"/>
    <w:rsid w:val="00090742"/>
    <w:rsid w:val="00090D17"/>
    <w:rsid w:val="00092AE8"/>
    <w:rsid w:val="0009307F"/>
    <w:rsid w:val="00093E66"/>
    <w:rsid w:val="000941DB"/>
    <w:rsid w:val="00094B09"/>
    <w:rsid w:val="0009564E"/>
    <w:rsid w:val="000957C9"/>
    <w:rsid w:val="000A07D7"/>
    <w:rsid w:val="000A1051"/>
    <w:rsid w:val="000A1254"/>
    <w:rsid w:val="000A19BE"/>
    <w:rsid w:val="000A3060"/>
    <w:rsid w:val="000A30D4"/>
    <w:rsid w:val="000A3CC8"/>
    <w:rsid w:val="000A4009"/>
    <w:rsid w:val="000A42CF"/>
    <w:rsid w:val="000A4977"/>
    <w:rsid w:val="000A4FF9"/>
    <w:rsid w:val="000A579F"/>
    <w:rsid w:val="000A5A0A"/>
    <w:rsid w:val="000A5CB5"/>
    <w:rsid w:val="000A5DC2"/>
    <w:rsid w:val="000A69C4"/>
    <w:rsid w:val="000A6A67"/>
    <w:rsid w:val="000A7B5C"/>
    <w:rsid w:val="000A7ECA"/>
    <w:rsid w:val="000A7FAC"/>
    <w:rsid w:val="000B10AC"/>
    <w:rsid w:val="000B130C"/>
    <w:rsid w:val="000B332C"/>
    <w:rsid w:val="000B3E8D"/>
    <w:rsid w:val="000B4C9C"/>
    <w:rsid w:val="000B54BE"/>
    <w:rsid w:val="000B5DD7"/>
    <w:rsid w:val="000B5E38"/>
    <w:rsid w:val="000B60CA"/>
    <w:rsid w:val="000B6A25"/>
    <w:rsid w:val="000C0438"/>
    <w:rsid w:val="000C0A77"/>
    <w:rsid w:val="000C2945"/>
    <w:rsid w:val="000C2954"/>
    <w:rsid w:val="000C3A42"/>
    <w:rsid w:val="000C3CFD"/>
    <w:rsid w:val="000C4A2B"/>
    <w:rsid w:val="000C4EEA"/>
    <w:rsid w:val="000C4EF5"/>
    <w:rsid w:val="000C4F4C"/>
    <w:rsid w:val="000C503C"/>
    <w:rsid w:val="000C560C"/>
    <w:rsid w:val="000C5823"/>
    <w:rsid w:val="000C75E3"/>
    <w:rsid w:val="000C7698"/>
    <w:rsid w:val="000C7B61"/>
    <w:rsid w:val="000D01CB"/>
    <w:rsid w:val="000D1004"/>
    <w:rsid w:val="000D325F"/>
    <w:rsid w:val="000D48FD"/>
    <w:rsid w:val="000D51C9"/>
    <w:rsid w:val="000D5BF0"/>
    <w:rsid w:val="000D6A71"/>
    <w:rsid w:val="000D7268"/>
    <w:rsid w:val="000D77C7"/>
    <w:rsid w:val="000D7C32"/>
    <w:rsid w:val="000D7C89"/>
    <w:rsid w:val="000E1734"/>
    <w:rsid w:val="000E1C64"/>
    <w:rsid w:val="000E2754"/>
    <w:rsid w:val="000E2F76"/>
    <w:rsid w:val="000E3316"/>
    <w:rsid w:val="000E3321"/>
    <w:rsid w:val="000E4DA0"/>
    <w:rsid w:val="000E5259"/>
    <w:rsid w:val="000E6865"/>
    <w:rsid w:val="000F053F"/>
    <w:rsid w:val="000F0A26"/>
    <w:rsid w:val="000F0EE8"/>
    <w:rsid w:val="000F1CFC"/>
    <w:rsid w:val="000F26F3"/>
    <w:rsid w:val="000F3E9A"/>
    <w:rsid w:val="000F403C"/>
    <w:rsid w:val="000F561C"/>
    <w:rsid w:val="000F584A"/>
    <w:rsid w:val="000F6EE0"/>
    <w:rsid w:val="000F7119"/>
    <w:rsid w:val="00100008"/>
    <w:rsid w:val="00100739"/>
    <w:rsid w:val="00100E31"/>
    <w:rsid w:val="001015DD"/>
    <w:rsid w:val="00101B01"/>
    <w:rsid w:val="00102D7E"/>
    <w:rsid w:val="00103119"/>
    <w:rsid w:val="00103A20"/>
    <w:rsid w:val="00104678"/>
    <w:rsid w:val="00104693"/>
    <w:rsid w:val="00104F83"/>
    <w:rsid w:val="00106913"/>
    <w:rsid w:val="001073EC"/>
    <w:rsid w:val="00107885"/>
    <w:rsid w:val="001079B4"/>
    <w:rsid w:val="001120C2"/>
    <w:rsid w:val="00112D7A"/>
    <w:rsid w:val="00112FDD"/>
    <w:rsid w:val="00114FC4"/>
    <w:rsid w:val="00115E07"/>
    <w:rsid w:val="00116EA5"/>
    <w:rsid w:val="001179DE"/>
    <w:rsid w:val="00117AB1"/>
    <w:rsid w:val="001204B5"/>
    <w:rsid w:val="0012098E"/>
    <w:rsid w:val="0012217F"/>
    <w:rsid w:val="0012329C"/>
    <w:rsid w:val="00123CA7"/>
    <w:rsid w:val="00124B26"/>
    <w:rsid w:val="00124C5D"/>
    <w:rsid w:val="00124D2D"/>
    <w:rsid w:val="0013052B"/>
    <w:rsid w:val="001306F3"/>
    <w:rsid w:val="00131AAA"/>
    <w:rsid w:val="00131CD9"/>
    <w:rsid w:val="00132A71"/>
    <w:rsid w:val="00133152"/>
    <w:rsid w:val="001343F5"/>
    <w:rsid w:val="00134F54"/>
    <w:rsid w:val="00134FA7"/>
    <w:rsid w:val="001351F7"/>
    <w:rsid w:val="00135271"/>
    <w:rsid w:val="00135281"/>
    <w:rsid w:val="00135C84"/>
    <w:rsid w:val="0013787B"/>
    <w:rsid w:val="00137950"/>
    <w:rsid w:val="0014070F"/>
    <w:rsid w:val="001410C0"/>
    <w:rsid w:val="00142267"/>
    <w:rsid w:val="001423BD"/>
    <w:rsid w:val="00142DAE"/>
    <w:rsid w:val="00143062"/>
    <w:rsid w:val="001439C2"/>
    <w:rsid w:val="0014588F"/>
    <w:rsid w:val="00146360"/>
    <w:rsid w:val="0014664E"/>
    <w:rsid w:val="00146719"/>
    <w:rsid w:val="00146780"/>
    <w:rsid w:val="00147C58"/>
    <w:rsid w:val="001501C8"/>
    <w:rsid w:val="001503BA"/>
    <w:rsid w:val="001505C7"/>
    <w:rsid w:val="0015158E"/>
    <w:rsid w:val="00152F29"/>
    <w:rsid w:val="00153119"/>
    <w:rsid w:val="00153CBA"/>
    <w:rsid w:val="00153F94"/>
    <w:rsid w:val="00154CBC"/>
    <w:rsid w:val="0015505C"/>
    <w:rsid w:val="001574F3"/>
    <w:rsid w:val="00157A4C"/>
    <w:rsid w:val="00157ACF"/>
    <w:rsid w:val="00160389"/>
    <w:rsid w:val="00160DA5"/>
    <w:rsid w:val="00161062"/>
    <w:rsid w:val="001617CD"/>
    <w:rsid w:val="0016366B"/>
    <w:rsid w:val="00164465"/>
    <w:rsid w:val="00164524"/>
    <w:rsid w:val="00164FB3"/>
    <w:rsid w:val="00165629"/>
    <w:rsid w:val="00165686"/>
    <w:rsid w:val="001660AF"/>
    <w:rsid w:val="00167197"/>
    <w:rsid w:val="00170753"/>
    <w:rsid w:val="001710FC"/>
    <w:rsid w:val="00171EE4"/>
    <w:rsid w:val="00173975"/>
    <w:rsid w:val="00173A38"/>
    <w:rsid w:val="0017459A"/>
    <w:rsid w:val="001757C4"/>
    <w:rsid w:val="00176FBD"/>
    <w:rsid w:val="00180D05"/>
    <w:rsid w:val="001814B4"/>
    <w:rsid w:val="00181F35"/>
    <w:rsid w:val="001825DA"/>
    <w:rsid w:val="00183BBB"/>
    <w:rsid w:val="00185270"/>
    <w:rsid w:val="00186B8C"/>
    <w:rsid w:val="00192035"/>
    <w:rsid w:val="001928BB"/>
    <w:rsid w:val="00193211"/>
    <w:rsid w:val="00193FD0"/>
    <w:rsid w:val="00194D28"/>
    <w:rsid w:val="00194F25"/>
    <w:rsid w:val="00195BFB"/>
    <w:rsid w:val="00196EFC"/>
    <w:rsid w:val="00197042"/>
    <w:rsid w:val="001973BD"/>
    <w:rsid w:val="001975EC"/>
    <w:rsid w:val="00197E0C"/>
    <w:rsid w:val="001A070D"/>
    <w:rsid w:val="001A118C"/>
    <w:rsid w:val="001A268C"/>
    <w:rsid w:val="001A3B5A"/>
    <w:rsid w:val="001A411F"/>
    <w:rsid w:val="001A499F"/>
    <w:rsid w:val="001A4C07"/>
    <w:rsid w:val="001A5B2F"/>
    <w:rsid w:val="001A5D3B"/>
    <w:rsid w:val="001A685B"/>
    <w:rsid w:val="001A6AC6"/>
    <w:rsid w:val="001A7097"/>
    <w:rsid w:val="001B194B"/>
    <w:rsid w:val="001B2E86"/>
    <w:rsid w:val="001B4619"/>
    <w:rsid w:val="001B5A45"/>
    <w:rsid w:val="001B5D7B"/>
    <w:rsid w:val="001B70DD"/>
    <w:rsid w:val="001B7CE9"/>
    <w:rsid w:val="001C074E"/>
    <w:rsid w:val="001C0ECB"/>
    <w:rsid w:val="001C0FA0"/>
    <w:rsid w:val="001C279C"/>
    <w:rsid w:val="001C316E"/>
    <w:rsid w:val="001C3A24"/>
    <w:rsid w:val="001C452C"/>
    <w:rsid w:val="001C4E36"/>
    <w:rsid w:val="001C5F6C"/>
    <w:rsid w:val="001D0058"/>
    <w:rsid w:val="001D132C"/>
    <w:rsid w:val="001D24FD"/>
    <w:rsid w:val="001D2850"/>
    <w:rsid w:val="001D2BB1"/>
    <w:rsid w:val="001D495A"/>
    <w:rsid w:val="001D5DF4"/>
    <w:rsid w:val="001D65DA"/>
    <w:rsid w:val="001D6AC2"/>
    <w:rsid w:val="001E06C0"/>
    <w:rsid w:val="001E0D20"/>
    <w:rsid w:val="001E1A8D"/>
    <w:rsid w:val="001E1E87"/>
    <w:rsid w:val="001E242C"/>
    <w:rsid w:val="001E244C"/>
    <w:rsid w:val="001E34B0"/>
    <w:rsid w:val="001E3D1C"/>
    <w:rsid w:val="001E6B33"/>
    <w:rsid w:val="001E7424"/>
    <w:rsid w:val="001E7961"/>
    <w:rsid w:val="001E7CC6"/>
    <w:rsid w:val="001E7E58"/>
    <w:rsid w:val="001F1437"/>
    <w:rsid w:val="001F3059"/>
    <w:rsid w:val="001F3589"/>
    <w:rsid w:val="001F6F8B"/>
    <w:rsid w:val="001F7F5B"/>
    <w:rsid w:val="00200DF2"/>
    <w:rsid w:val="0020225E"/>
    <w:rsid w:val="0020239E"/>
    <w:rsid w:val="002040F1"/>
    <w:rsid w:val="0020411D"/>
    <w:rsid w:val="00204CCF"/>
    <w:rsid w:val="0020547F"/>
    <w:rsid w:val="00205949"/>
    <w:rsid w:val="00205ADB"/>
    <w:rsid w:val="00205E78"/>
    <w:rsid w:val="00210D5C"/>
    <w:rsid w:val="00211160"/>
    <w:rsid w:val="00211320"/>
    <w:rsid w:val="00211446"/>
    <w:rsid w:val="002116D6"/>
    <w:rsid w:val="0021200D"/>
    <w:rsid w:val="002126E6"/>
    <w:rsid w:val="00212F3E"/>
    <w:rsid w:val="002132F4"/>
    <w:rsid w:val="00213F6F"/>
    <w:rsid w:val="0021408A"/>
    <w:rsid w:val="00214370"/>
    <w:rsid w:val="00214CC9"/>
    <w:rsid w:val="002159F3"/>
    <w:rsid w:val="00215C61"/>
    <w:rsid w:val="00216306"/>
    <w:rsid w:val="0021649D"/>
    <w:rsid w:val="00217652"/>
    <w:rsid w:val="002179DC"/>
    <w:rsid w:val="00217FB8"/>
    <w:rsid w:val="0022007D"/>
    <w:rsid w:val="002211B3"/>
    <w:rsid w:val="00221C86"/>
    <w:rsid w:val="002232EA"/>
    <w:rsid w:val="00223406"/>
    <w:rsid w:val="00224D47"/>
    <w:rsid w:val="002252A7"/>
    <w:rsid w:val="00225575"/>
    <w:rsid w:val="0022564F"/>
    <w:rsid w:val="002259EF"/>
    <w:rsid w:val="00225BC6"/>
    <w:rsid w:val="00227A81"/>
    <w:rsid w:val="00231CAF"/>
    <w:rsid w:val="002321CE"/>
    <w:rsid w:val="00232A61"/>
    <w:rsid w:val="00233D39"/>
    <w:rsid w:val="00233DC5"/>
    <w:rsid w:val="00233EE3"/>
    <w:rsid w:val="002349E1"/>
    <w:rsid w:val="00234A4B"/>
    <w:rsid w:val="0023531B"/>
    <w:rsid w:val="00235FDE"/>
    <w:rsid w:val="002365B8"/>
    <w:rsid w:val="002367C4"/>
    <w:rsid w:val="00241E15"/>
    <w:rsid w:val="002427A5"/>
    <w:rsid w:val="00242ED1"/>
    <w:rsid w:val="002442D3"/>
    <w:rsid w:val="002444BB"/>
    <w:rsid w:val="00244B65"/>
    <w:rsid w:val="002454D1"/>
    <w:rsid w:val="00245586"/>
    <w:rsid w:val="0024588A"/>
    <w:rsid w:val="002467B2"/>
    <w:rsid w:val="0024706A"/>
    <w:rsid w:val="002508F4"/>
    <w:rsid w:val="00250FC4"/>
    <w:rsid w:val="002511F1"/>
    <w:rsid w:val="002528F1"/>
    <w:rsid w:val="0025301A"/>
    <w:rsid w:val="00253E6D"/>
    <w:rsid w:val="00254069"/>
    <w:rsid w:val="00254B90"/>
    <w:rsid w:val="002565C1"/>
    <w:rsid w:val="00257587"/>
    <w:rsid w:val="002600D1"/>
    <w:rsid w:val="0026016B"/>
    <w:rsid w:val="002609FC"/>
    <w:rsid w:val="00260B75"/>
    <w:rsid w:val="00261E6A"/>
    <w:rsid w:val="00263085"/>
    <w:rsid w:val="00263A61"/>
    <w:rsid w:val="002640E7"/>
    <w:rsid w:val="00267351"/>
    <w:rsid w:val="002677FB"/>
    <w:rsid w:val="00267DCC"/>
    <w:rsid w:val="00267E1D"/>
    <w:rsid w:val="00267E8B"/>
    <w:rsid w:val="00270748"/>
    <w:rsid w:val="00270EAE"/>
    <w:rsid w:val="002710A5"/>
    <w:rsid w:val="002713E9"/>
    <w:rsid w:val="0027142A"/>
    <w:rsid w:val="002720DA"/>
    <w:rsid w:val="00272165"/>
    <w:rsid w:val="002734E5"/>
    <w:rsid w:val="0027361F"/>
    <w:rsid w:val="00273A1A"/>
    <w:rsid w:val="00273BD0"/>
    <w:rsid w:val="002746DB"/>
    <w:rsid w:val="00274D96"/>
    <w:rsid w:val="002753AF"/>
    <w:rsid w:val="0027544E"/>
    <w:rsid w:val="00275B7E"/>
    <w:rsid w:val="00276034"/>
    <w:rsid w:val="0027618C"/>
    <w:rsid w:val="0027688F"/>
    <w:rsid w:val="00277F0A"/>
    <w:rsid w:val="00280C55"/>
    <w:rsid w:val="00280CAF"/>
    <w:rsid w:val="00281AF3"/>
    <w:rsid w:val="00282586"/>
    <w:rsid w:val="002827DE"/>
    <w:rsid w:val="00282F09"/>
    <w:rsid w:val="00283123"/>
    <w:rsid w:val="00283827"/>
    <w:rsid w:val="00283DF4"/>
    <w:rsid w:val="002847B4"/>
    <w:rsid w:val="00284D22"/>
    <w:rsid w:val="0028557E"/>
    <w:rsid w:val="00285787"/>
    <w:rsid w:val="00286042"/>
    <w:rsid w:val="00286DB1"/>
    <w:rsid w:val="00290616"/>
    <w:rsid w:val="00291469"/>
    <w:rsid w:val="00291EE2"/>
    <w:rsid w:val="00291F62"/>
    <w:rsid w:val="002940A1"/>
    <w:rsid w:val="00295252"/>
    <w:rsid w:val="00295793"/>
    <w:rsid w:val="0029663A"/>
    <w:rsid w:val="0029675D"/>
    <w:rsid w:val="00297532"/>
    <w:rsid w:val="002A0C48"/>
    <w:rsid w:val="002A0F11"/>
    <w:rsid w:val="002A1210"/>
    <w:rsid w:val="002A1B9B"/>
    <w:rsid w:val="002A20C6"/>
    <w:rsid w:val="002A22D4"/>
    <w:rsid w:val="002A4118"/>
    <w:rsid w:val="002A443F"/>
    <w:rsid w:val="002A4539"/>
    <w:rsid w:val="002A4B4D"/>
    <w:rsid w:val="002A4C37"/>
    <w:rsid w:val="002A7740"/>
    <w:rsid w:val="002A790F"/>
    <w:rsid w:val="002A793D"/>
    <w:rsid w:val="002B1ADA"/>
    <w:rsid w:val="002B1B56"/>
    <w:rsid w:val="002B20B5"/>
    <w:rsid w:val="002B4E72"/>
    <w:rsid w:val="002C08A1"/>
    <w:rsid w:val="002C15CC"/>
    <w:rsid w:val="002C16C3"/>
    <w:rsid w:val="002C188A"/>
    <w:rsid w:val="002C2D9D"/>
    <w:rsid w:val="002C54CF"/>
    <w:rsid w:val="002D04B1"/>
    <w:rsid w:val="002D14D8"/>
    <w:rsid w:val="002D224B"/>
    <w:rsid w:val="002D2782"/>
    <w:rsid w:val="002D46D8"/>
    <w:rsid w:val="002D4799"/>
    <w:rsid w:val="002D54B6"/>
    <w:rsid w:val="002D5500"/>
    <w:rsid w:val="002D5CD3"/>
    <w:rsid w:val="002D68C5"/>
    <w:rsid w:val="002D7095"/>
    <w:rsid w:val="002D7505"/>
    <w:rsid w:val="002D7576"/>
    <w:rsid w:val="002E012F"/>
    <w:rsid w:val="002E01A6"/>
    <w:rsid w:val="002E100E"/>
    <w:rsid w:val="002E1E59"/>
    <w:rsid w:val="002E2399"/>
    <w:rsid w:val="002E34DD"/>
    <w:rsid w:val="002E3FA4"/>
    <w:rsid w:val="002E4C8F"/>
    <w:rsid w:val="002E4F06"/>
    <w:rsid w:val="002E5A84"/>
    <w:rsid w:val="002E6B43"/>
    <w:rsid w:val="002E6FAF"/>
    <w:rsid w:val="002F0E84"/>
    <w:rsid w:val="002F0FBA"/>
    <w:rsid w:val="002F11BD"/>
    <w:rsid w:val="002F1BC1"/>
    <w:rsid w:val="002F34BC"/>
    <w:rsid w:val="002F4141"/>
    <w:rsid w:val="002F50AD"/>
    <w:rsid w:val="002F58B4"/>
    <w:rsid w:val="002F5983"/>
    <w:rsid w:val="002F6F6F"/>
    <w:rsid w:val="002F7BC2"/>
    <w:rsid w:val="003009C8"/>
    <w:rsid w:val="00300A18"/>
    <w:rsid w:val="003012EA"/>
    <w:rsid w:val="00302FF0"/>
    <w:rsid w:val="003058A8"/>
    <w:rsid w:val="00305D37"/>
    <w:rsid w:val="00305E13"/>
    <w:rsid w:val="00305E61"/>
    <w:rsid w:val="00306561"/>
    <w:rsid w:val="00306BFE"/>
    <w:rsid w:val="00306FBE"/>
    <w:rsid w:val="00307EF4"/>
    <w:rsid w:val="0031094D"/>
    <w:rsid w:val="003109F7"/>
    <w:rsid w:val="003113FF"/>
    <w:rsid w:val="00311D92"/>
    <w:rsid w:val="00312042"/>
    <w:rsid w:val="00312B19"/>
    <w:rsid w:val="0031602A"/>
    <w:rsid w:val="00317846"/>
    <w:rsid w:val="003204A8"/>
    <w:rsid w:val="00320B38"/>
    <w:rsid w:val="0032220C"/>
    <w:rsid w:val="0032277F"/>
    <w:rsid w:val="003228F8"/>
    <w:rsid w:val="003234A7"/>
    <w:rsid w:val="00324758"/>
    <w:rsid w:val="00324CA5"/>
    <w:rsid w:val="003265A7"/>
    <w:rsid w:val="003276F9"/>
    <w:rsid w:val="00327A6D"/>
    <w:rsid w:val="00330110"/>
    <w:rsid w:val="003303FE"/>
    <w:rsid w:val="0033108B"/>
    <w:rsid w:val="003315FC"/>
    <w:rsid w:val="00331BC6"/>
    <w:rsid w:val="00331FFF"/>
    <w:rsid w:val="00332953"/>
    <w:rsid w:val="00334104"/>
    <w:rsid w:val="00334674"/>
    <w:rsid w:val="00334923"/>
    <w:rsid w:val="00334B29"/>
    <w:rsid w:val="003352B2"/>
    <w:rsid w:val="00335D77"/>
    <w:rsid w:val="00336A9B"/>
    <w:rsid w:val="003376B8"/>
    <w:rsid w:val="00340568"/>
    <w:rsid w:val="0034284B"/>
    <w:rsid w:val="00342BB9"/>
    <w:rsid w:val="00343AFA"/>
    <w:rsid w:val="00343F0A"/>
    <w:rsid w:val="0034557A"/>
    <w:rsid w:val="003472F8"/>
    <w:rsid w:val="00350523"/>
    <w:rsid w:val="0035099F"/>
    <w:rsid w:val="0035189D"/>
    <w:rsid w:val="0035228A"/>
    <w:rsid w:val="0035235C"/>
    <w:rsid w:val="003536A7"/>
    <w:rsid w:val="00353D99"/>
    <w:rsid w:val="00353DE9"/>
    <w:rsid w:val="00353FC1"/>
    <w:rsid w:val="003544E7"/>
    <w:rsid w:val="003558B6"/>
    <w:rsid w:val="00356BEA"/>
    <w:rsid w:val="00357BE9"/>
    <w:rsid w:val="00361831"/>
    <w:rsid w:val="00361DC9"/>
    <w:rsid w:val="0036399A"/>
    <w:rsid w:val="00363E42"/>
    <w:rsid w:val="00364200"/>
    <w:rsid w:val="003666BC"/>
    <w:rsid w:val="00366ECE"/>
    <w:rsid w:val="003670D4"/>
    <w:rsid w:val="00367246"/>
    <w:rsid w:val="0036752D"/>
    <w:rsid w:val="00367ED8"/>
    <w:rsid w:val="0037073D"/>
    <w:rsid w:val="00372D5A"/>
    <w:rsid w:val="003740BC"/>
    <w:rsid w:val="00374AEC"/>
    <w:rsid w:val="00374F45"/>
    <w:rsid w:val="00375B03"/>
    <w:rsid w:val="00375CBC"/>
    <w:rsid w:val="00376053"/>
    <w:rsid w:val="003764F0"/>
    <w:rsid w:val="00376625"/>
    <w:rsid w:val="00377310"/>
    <w:rsid w:val="00377E55"/>
    <w:rsid w:val="003801A3"/>
    <w:rsid w:val="00380AB0"/>
    <w:rsid w:val="00380E8A"/>
    <w:rsid w:val="00382882"/>
    <w:rsid w:val="00383909"/>
    <w:rsid w:val="00383A7D"/>
    <w:rsid w:val="00383D90"/>
    <w:rsid w:val="00384F4E"/>
    <w:rsid w:val="00385067"/>
    <w:rsid w:val="003851D7"/>
    <w:rsid w:val="0038537C"/>
    <w:rsid w:val="00385B5A"/>
    <w:rsid w:val="00385BBF"/>
    <w:rsid w:val="00385C57"/>
    <w:rsid w:val="00390C77"/>
    <w:rsid w:val="003911B5"/>
    <w:rsid w:val="00391C84"/>
    <w:rsid w:val="0039377A"/>
    <w:rsid w:val="003944C0"/>
    <w:rsid w:val="00395A6F"/>
    <w:rsid w:val="00395C3B"/>
    <w:rsid w:val="00396795"/>
    <w:rsid w:val="00396F98"/>
    <w:rsid w:val="00397804"/>
    <w:rsid w:val="00397E39"/>
    <w:rsid w:val="003A1A27"/>
    <w:rsid w:val="003A21CE"/>
    <w:rsid w:val="003A3218"/>
    <w:rsid w:val="003A4573"/>
    <w:rsid w:val="003A4923"/>
    <w:rsid w:val="003A4C15"/>
    <w:rsid w:val="003A4F9F"/>
    <w:rsid w:val="003A50CC"/>
    <w:rsid w:val="003A5770"/>
    <w:rsid w:val="003A5927"/>
    <w:rsid w:val="003A5F5E"/>
    <w:rsid w:val="003A6357"/>
    <w:rsid w:val="003A6674"/>
    <w:rsid w:val="003A69A7"/>
    <w:rsid w:val="003A6E73"/>
    <w:rsid w:val="003A6F97"/>
    <w:rsid w:val="003A7E4C"/>
    <w:rsid w:val="003B42B3"/>
    <w:rsid w:val="003B4B60"/>
    <w:rsid w:val="003B6384"/>
    <w:rsid w:val="003B6FFB"/>
    <w:rsid w:val="003C095E"/>
    <w:rsid w:val="003C1769"/>
    <w:rsid w:val="003C1A67"/>
    <w:rsid w:val="003C264B"/>
    <w:rsid w:val="003C31EF"/>
    <w:rsid w:val="003C49F0"/>
    <w:rsid w:val="003C4EBB"/>
    <w:rsid w:val="003C53ED"/>
    <w:rsid w:val="003C55A7"/>
    <w:rsid w:val="003C5C47"/>
    <w:rsid w:val="003C6229"/>
    <w:rsid w:val="003C6876"/>
    <w:rsid w:val="003C7460"/>
    <w:rsid w:val="003C7BF2"/>
    <w:rsid w:val="003D0267"/>
    <w:rsid w:val="003D04F6"/>
    <w:rsid w:val="003D114B"/>
    <w:rsid w:val="003D1531"/>
    <w:rsid w:val="003D235D"/>
    <w:rsid w:val="003D2713"/>
    <w:rsid w:val="003D3401"/>
    <w:rsid w:val="003D4242"/>
    <w:rsid w:val="003D444D"/>
    <w:rsid w:val="003D4F06"/>
    <w:rsid w:val="003D6713"/>
    <w:rsid w:val="003D6817"/>
    <w:rsid w:val="003D69EC"/>
    <w:rsid w:val="003D7291"/>
    <w:rsid w:val="003E07C8"/>
    <w:rsid w:val="003E13C4"/>
    <w:rsid w:val="003E209D"/>
    <w:rsid w:val="003E244C"/>
    <w:rsid w:val="003E4489"/>
    <w:rsid w:val="003E4AC6"/>
    <w:rsid w:val="003E4C82"/>
    <w:rsid w:val="003E4EC6"/>
    <w:rsid w:val="003E527E"/>
    <w:rsid w:val="003E553E"/>
    <w:rsid w:val="003E657A"/>
    <w:rsid w:val="003E670A"/>
    <w:rsid w:val="003E67F1"/>
    <w:rsid w:val="003E702C"/>
    <w:rsid w:val="003E7078"/>
    <w:rsid w:val="003E7D71"/>
    <w:rsid w:val="003F1428"/>
    <w:rsid w:val="003F1826"/>
    <w:rsid w:val="003F2391"/>
    <w:rsid w:val="003F2CCF"/>
    <w:rsid w:val="003F2D40"/>
    <w:rsid w:val="003F3DF5"/>
    <w:rsid w:val="003F450A"/>
    <w:rsid w:val="003F55CB"/>
    <w:rsid w:val="003F5689"/>
    <w:rsid w:val="003F656D"/>
    <w:rsid w:val="003F7870"/>
    <w:rsid w:val="004007EB"/>
    <w:rsid w:val="00402A9A"/>
    <w:rsid w:val="00404A07"/>
    <w:rsid w:val="0040539C"/>
    <w:rsid w:val="0040774C"/>
    <w:rsid w:val="00410A19"/>
    <w:rsid w:val="00410B03"/>
    <w:rsid w:val="00411D11"/>
    <w:rsid w:val="0041212C"/>
    <w:rsid w:val="00412466"/>
    <w:rsid w:val="004128E0"/>
    <w:rsid w:val="0041485F"/>
    <w:rsid w:val="00415DD5"/>
    <w:rsid w:val="00415E23"/>
    <w:rsid w:val="00415FE1"/>
    <w:rsid w:val="00416107"/>
    <w:rsid w:val="004166FD"/>
    <w:rsid w:val="0041670D"/>
    <w:rsid w:val="00417B3C"/>
    <w:rsid w:val="004226EA"/>
    <w:rsid w:val="0042285D"/>
    <w:rsid w:val="004238D2"/>
    <w:rsid w:val="00424061"/>
    <w:rsid w:val="004244BD"/>
    <w:rsid w:val="00425EC8"/>
    <w:rsid w:val="00426B6F"/>
    <w:rsid w:val="00430021"/>
    <w:rsid w:val="00431471"/>
    <w:rsid w:val="0043183F"/>
    <w:rsid w:val="00431E57"/>
    <w:rsid w:val="00432A17"/>
    <w:rsid w:val="00432DFB"/>
    <w:rsid w:val="004331BD"/>
    <w:rsid w:val="00433A14"/>
    <w:rsid w:val="00433CDA"/>
    <w:rsid w:val="004343BD"/>
    <w:rsid w:val="00434DBA"/>
    <w:rsid w:val="004355FB"/>
    <w:rsid w:val="00435C22"/>
    <w:rsid w:val="0043624F"/>
    <w:rsid w:val="00437CF6"/>
    <w:rsid w:val="00437FD6"/>
    <w:rsid w:val="00440A0C"/>
    <w:rsid w:val="004416AC"/>
    <w:rsid w:val="00442708"/>
    <w:rsid w:val="00442A3C"/>
    <w:rsid w:val="00442D16"/>
    <w:rsid w:val="00442E76"/>
    <w:rsid w:val="004433F7"/>
    <w:rsid w:val="0044351D"/>
    <w:rsid w:val="00443969"/>
    <w:rsid w:val="00443F50"/>
    <w:rsid w:val="004443F1"/>
    <w:rsid w:val="0044642F"/>
    <w:rsid w:val="004467CA"/>
    <w:rsid w:val="00447D3A"/>
    <w:rsid w:val="00447D74"/>
    <w:rsid w:val="00450948"/>
    <w:rsid w:val="00450A74"/>
    <w:rsid w:val="00450F71"/>
    <w:rsid w:val="00451294"/>
    <w:rsid w:val="004512E6"/>
    <w:rsid w:val="0045164E"/>
    <w:rsid w:val="004546BF"/>
    <w:rsid w:val="004550AF"/>
    <w:rsid w:val="004555E4"/>
    <w:rsid w:val="004579BC"/>
    <w:rsid w:val="004600E8"/>
    <w:rsid w:val="00460141"/>
    <w:rsid w:val="00460424"/>
    <w:rsid w:val="00463B6F"/>
    <w:rsid w:val="00464E03"/>
    <w:rsid w:val="0046511A"/>
    <w:rsid w:val="00465350"/>
    <w:rsid w:val="004653D8"/>
    <w:rsid w:val="00465DA4"/>
    <w:rsid w:val="004661DA"/>
    <w:rsid w:val="00466281"/>
    <w:rsid w:val="00466475"/>
    <w:rsid w:val="00466489"/>
    <w:rsid w:val="0046657C"/>
    <w:rsid w:val="00466BD8"/>
    <w:rsid w:val="0046750C"/>
    <w:rsid w:val="00471751"/>
    <w:rsid w:val="00473390"/>
    <w:rsid w:val="00475845"/>
    <w:rsid w:val="00475A98"/>
    <w:rsid w:val="00475DBE"/>
    <w:rsid w:val="0047701B"/>
    <w:rsid w:val="00477568"/>
    <w:rsid w:val="00477BDB"/>
    <w:rsid w:val="00477F92"/>
    <w:rsid w:val="00480AE9"/>
    <w:rsid w:val="00480DC8"/>
    <w:rsid w:val="004810DD"/>
    <w:rsid w:val="00482A78"/>
    <w:rsid w:val="00482D21"/>
    <w:rsid w:val="00483A5E"/>
    <w:rsid w:val="0048436E"/>
    <w:rsid w:val="004846BF"/>
    <w:rsid w:val="00484BEF"/>
    <w:rsid w:val="00485CC1"/>
    <w:rsid w:val="004870F9"/>
    <w:rsid w:val="00487222"/>
    <w:rsid w:val="00487272"/>
    <w:rsid w:val="0048747E"/>
    <w:rsid w:val="00487AF7"/>
    <w:rsid w:val="00491080"/>
    <w:rsid w:val="004913E3"/>
    <w:rsid w:val="00491A17"/>
    <w:rsid w:val="00491E85"/>
    <w:rsid w:val="00495642"/>
    <w:rsid w:val="0049583D"/>
    <w:rsid w:val="0049605A"/>
    <w:rsid w:val="004A00A2"/>
    <w:rsid w:val="004A2137"/>
    <w:rsid w:val="004A255D"/>
    <w:rsid w:val="004A36E5"/>
    <w:rsid w:val="004A403F"/>
    <w:rsid w:val="004A430E"/>
    <w:rsid w:val="004A48C6"/>
    <w:rsid w:val="004A5892"/>
    <w:rsid w:val="004A5A8B"/>
    <w:rsid w:val="004A60D9"/>
    <w:rsid w:val="004A63D8"/>
    <w:rsid w:val="004B1782"/>
    <w:rsid w:val="004B2276"/>
    <w:rsid w:val="004B2CFC"/>
    <w:rsid w:val="004B3117"/>
    <w:rsid w:val="004B43D6"/>
    <w:rsid w:val="004B4465"/>
    <w:rsid w:val="004B4A8E"/>
    <w:rsid w:val="004B5197"/>
    <w:rsid w:val="004B5E1D"/>
    <w:rsid w:val="004B6DFD"/>
    <w:rsid w:val="004B6EF3"/>
    <w:rsid w:val="004B7946"/>
    <w:rsid w:val="004C01F7"/>
    <w:rsid w:val="004C0F73"/>
    <w:rsid w:val="004C14EA"/>
    <w:rsid w:val="004C1515"/>
    <w:rsid w:val="004C161E"/>
    <w:rsid w:val="004C262E"/>
    <w:rsid w:val="004C4BCF"/>
    <w:rsid w:val="004C4BFE"/>
    <w:rsid w:val="004C52FB"/>
    <w:rsid w:val="004C6979"/>
    <w:rsid w:val="004C6DD6"/>
    <w:rsid w:val="004C72B6"/>
    <w:rsid w:val="004C79C8"/>
    <w:rsid w:val="004D0300"/>
    <w:rsid w:val="004D1344"/>
    <w:rsid w:val="004D166A"/>
    <w:rsid w:val="004D1808"/>
    <w:rsid w:val="004D19CE"/>
    <w:rsid w:val="004D3108"/>
    <w:rsid w:val="004D3E7A"/>
    <w:rsid w:val="004D42FE"/>
    <w:rsid w:val="004D5B13"/>
    <w:rsid w:val="004D62D5"/>
    <w:rsid w:val="004D6873"/>
    <w:rsid w:val="004D7456"/>
    <w:rsid w:val="004E09D5"/>
    <w:rsid w:val="004E0A53"/>
    <w:rsid w:val="004E2A0C"/>
    <w:rsid w:val="004E3EB9"/>
    <w:rsid w:val="004E408B"/>
    <w:rsid w:val="004E475D"/>
    <w:rsid w:val="004E4969"/>
    <w:rsid w:val="004E5DC9"/>
    <w:rsid w:val="004E6BEF"/>
    <w:rsid w:val="004E6C2F"/>
    <w:rsid w:val="004E6C6B"/>
    <w:rsid w:val="004E7686"/>
    <w:rsid w:val="004E7D6B"/>
    <w:rsid w:val="004F0B14"/>
    <w:rsid w:val="004F1C67"/>
    <w:rsid w:val="004F5800"/>
    <w:rsid w:val="004F594B"/>
    <w:rsid w:val="004F61E1"/>
    <w:rsid w:val="004F73A7"/>
    <w:rsid w:val="00500E42"/>
    <w:rsid w:val="00502118"/>
    <w:rsid w:val="0050213A"/>
    <w:rsid w:val="00502571"/>
    <w:rsid w:val="005026E8"/>
    <w:rsid w:val="0050275A"/>
    <w:rsid w:val="00502B3F"/>
    <w:rsid w:val="00502E6C"/>
    <w:rsid w:val="00503EB1"/>
    <w:rsid w:val="00504D5D"/>
    <w:rsid w:val="00507B0F"/>
    <w:rsid w:val="0051074A"/>
    <w:rsid w:val="005107C5"/>
    <w:rsid w:val="00510B5B"/>
    <w:rsid w:val="00512789"/>
    <w:rsid w:val="00513194"/>
    <w:rsid w:val="00513789"/>
    <w:rsid w:val="005138B6"/>
    <w:rsid w:val="005141C3"/>
    <w:rsid w:val="0051431A"/>
    <w:rsid w:val="005179B0"/>
    <w:rsid w:val="005212CF"/>
    <w:rsid w:val="005216E0"/>
    <w:rsid w:val="005222D6"/>
    <w:rsid w:val="00522653"/>
    <w:rsid w:val="005228F5"/>
    <w:rsid w:val="00523310"/>
    <w:rsid w:val="00523502"/>
    <w:rsid w:val="00523999"/>
    <w:rsid w:val="005246EA"/>
    <w:rsid w:val="005250E7"/>
    <w:rsid w:val="00525879"/>
    <w:rsid w:val="00526694"/>
    <w:rsid w:val="00526A66"/>
    <w:rsid w:val="0052782C"/>
    <w:rsid w:val="005300C6"/>
    <w:rsid w:val="00530CBA"/>
    <w:rsid w:val="00530DD9"/>
    <w:rsid w:val="0053266B"/>
    <w:rsid w:val="00532894"/>
    <w:rsid w:val="005328B8"/>
    <w:rsid w:val="0053347E"/>
    <w:rsid w:val="005345FD"/>
    <w:rsid w:val="00535A53"/>
    <w:rsid w:val="0053669E"/>
    <w:rsid w:val="00536EEC"/>
    <w:rsid w:val="005402D9"/>
    <w:rsid w:val="0054039E"/>
    <w:rsid w:val="005420EF"/>
    <w:rsid w:val="0054234B"/>
    <w:rsid w:val="00544138"/>
    <w:rsid w:val="00544614"/>
    <w:rsid w:val="00545BE2"/>
    <w:rsid w:val="00546F1D"/>
    <w:rsid w:val="005470E1"/>
    <w:rsid w:val="00550755"/>
    <w:rsid w:val="00551725"/>
    <w:rsid w:val="0055256E"/>
    <w:rsid w:val="00552668"/>
    <w:rsid w:val="00552DE7"/>
    <w:rsid w:val="005534C4"/>
    <w:rsid w:val="005534EB"/>
    <w:rsid w:val="00554075"/>
    <w:rsid w:val="00555AF1"/>
    <w:rsid w:val="00557D2F"/>
    <w:rsid w:val="00560333"/>
    <w:rsid w:val="00560B6B"/>
    <w:rsid w:val="00561DAC"/>
    <w:rsid w:val="00563ACB"/>
    <w:rsid w:val="00564F32"/>
    <w:rsid w:val="00565EAC"/>
    <w:rsid w:val="0056629B"/>
    <w:rsid w:val="00566FBF"/>
    <w:rsid w:val="00567B3E"/>
    <w:rsid w:val="005700FE"/>
    <w:rsid w:val="005723D9"/>
    <w:rsid w:val="00573BA9"/>
    <w:rsid w:val="00573DC1"/>
    <w:rsid w:val="00575203"/>
    <w:rsid w:val="00575AE0"/>
    <w:rsid w:val="005763BD"/>
    <w:rsid w:val="00577407"/>
    <w:rsid w:val="00577F66"/>
    <w:rsid w:val="00580C57"/>
    <w:rsid w:val="00582194"/>
    <w:rsid w:val="00582234"/>
    <w:rsid w:val="00582246"/>
    <w:rsid w:val="005839EC"/>
    <w:rsid w:val="00584583"/>
    <w:rsid w:val="00585902"/>
    <w:rsid w:val="00586062"/>
    <w:rsid w:val="00586068"/>
    <w:rsid w:val="005873CE"/>
    <w:rsid w:val="005905FF"/>
    <w:rsid w:val="00590EEB"/>
    <w:rsid w:val="005912AE"/>
    <w:rsid w:val="00591F34"/>
    <w:rsid w:val="00592103"/>
    <w:rsid w:val="00592267"/>
    <w:rsid w:val="005925AA"/>
    <w:rsid w:val="00593A96"/>
    <w:rsid w:val="00595DC1"/>
    <w:rsid w:val="00596108"/>
    <w:rsid w:val="005971E0"/>
    <w:rsid w:val="005A08ED"/>
    <w:rsid w:val="005A200A"/>
    <w:rsid w:val="005A2117"/>
    <w:rsid w:val="005A241D"/>
    <w:rsid w:val="005A3892"/>
    <w:rsid w:val="005A3D18"/>
    <w:rsid w:val="005A4099"/>
    <w:rsid w:val="005A4467"/>
    <w:rsid w:val="005A6E3A"/>
    <w:rsid w:val="005A7216"/>
    <w:rsid w:val="005B0585"/>
    <w:rsid w:val="005B1A5A"/>
    <w:rsid w:val="005B1CA8"/>
    <w:rsid w:val="005B2A05"/>
    <w:rsid w:val="005B2A8C"/>
    <w:rsid w:val="005B3203"/>
    <w:rsid w:val="005B43DE"/>
    <w:rsid w:val="005B4418"/>
    <w:rsid w:val="005B558C"/>
    <w:rsid w:val="005B58C5"/>
    <w:rsid w:val="005B5B99"/>
    <w:rsid w:val="005B671B"/>
    <w:rsid w:val="005B7157"/>
    <w:rsid w:val="005B79D0"/>
    <w:rsid w:val="005B7B6A"/>
    <w:rsid w:val="005C1539"/>
    <w:rsid w:val="005C17B7"/>
    <w:rsid w:val="005C2115"/>
    <w:rsid w:val="005C38B2"/>
    <w:rsid w:val="005C41B5"/>
    <w:rsid w:val="005C4D96"/>
    <w:rsid w:val="005C5029"/>
    <w:rsid w:val="005C55C2"/>
    <w:rsid w:val="005C5C3C"/>
    <w:rsid w:val="005C6218"/>
    <w:rsid w:val="005C699E"/>
    <w:rsid w:val="005C6A7A"/>
    <w:rsid w:val="005C745C"/>
    <w:rsid w:val="005C74A4"/>
    <w:rsid w:val="005C7CF6"/>
    <w:rsid w:val="005D089E"/>
    <w:rsid w:val="005D14FE"/>
    <w:rsid w:val="005D1F31"/>
    <w:rsid w:val="005D28AA"/>
    <w:rsid w:val="005D30AF"/>
    <w:rsid w:val="005D37FC"/>
    <w:rsid w:val="005D3FA2"/>
    <w:rsid w:val="005D407B"/>
    <w:rsid w:val="005D4A51"/>
    <w:rsid w:val="005D4DF5"/>
    <w:rsid w:val="005D59F5"/>
    <w:rsid w:val="005D7999"/>
    <w:rsid w:val="005D7A0B"/>
    <w:rsid w:val="005E03B7"/>
    <w:rsid w:val="005E072C"/>
    <w:rsid w:val="005E0858"/>
    <w:rsid w:val="005E1961"/>
    <w:rsid w:val="005E2E65"/>
    <w:rsid w:val="005E3816"/>
    <w:rsid w:val="005E3C8F"/>
    <w:rsid w:val="005E426A"/>
    <w:rsid w:val="005E4F20"/>
    <w:rsid w:val="005E66C9"/>
    <w:rsid w:val="005E744E"/>
    <w:rsid w:val="005E7FCA"/>
    <w:rsid w:val="005F1ECF"/>
    <w:rsid w:val="005F2990"/>
    <w:rsid w:val="005F33A8"/>
    <w:rsid w:val="005F3F82"/>
    <w:rsid w:val="005F403B"/>
    <w:rsid w:val="005F47BF"/>
    <w:rsid w:val="005F6163"/>
    <w:rsid w:val="005F7575"/>
    <w:rsid w:val="00602344"/>
    <w:rsid w:val="00603B81"/>
    <w:rsid w:val="00603DAF"/>
    <w:rsid w:val="00603E6A"/>
    <w:rsid w:val="00604816"/>
    <w:rsid w:val="00605257"/>
    <w:rsid w:val="0060599E"/>
    <w:rsid w:val="00605BE1"/>
    <w:rsid w:val="00606CFA"/>
    <w:rsid w:val="00607CA1"/>
    <w:rsid w:val="00607CBA"/>
    <w:rsid w:val="00607E03"/>
    <w:rsid w:val="006119A9"/>
    <w:rsid w:val="00611D3B"/>
    <w:rsid w:val="00611D6B"/>
    <w:rsid w:val="006124B5"/>
    <w:rsid w:val="00612EF9"/>
    <w:rsid w:val="00612F36"/>
    <w:rsid w:val="00613DE1"/>
    <w:rsid w:val="00615AF9"/>
    <w:rsid w:val="00615EB4"/>
    <w:rsid w:val="00616196"/>
    <w:rsid w:val="00616DCF"/>
    <w:rsid w:val="006205A2"/>
    <w:rsid w:val="006219C9"/>
    <w:rsid w:val="00622685"/>
    <w:rsid w:val="0062279C"/>
    <w:rsid w:val="006230BB"/>
    <w:rsid w:val="006233B7"/>
    <w:rsid w:val="00623587"/>
    <w:rsid w:val="00624BE6"/>
    <w:rsid w:val="006300BC"/>
    <w:rsid w:val="00630FA8"/>
    <w:rsid w:val="00631F28"/>
    <w:rsid w:val="00631F8C"/>
    <w:rsid w:val="0063239C"/>
    <w:rsid w:val="006326EC"/>
    <w:rsid w:val="00632820"/>
    <w:rsid w:val="0063358D"/>
    <w:rsid w:val="00635A58"/>
    <w:rsid w:val="00636119"/>
    <w:rsid w:val="00636DA2"/>
    <w:rsid w:val="0063701F"/>
    <w:rsid w:val="00637B1A"/>
    <w:rsid w:val="00641CF8"/>
    <w:rsid w:val="00641DD5"/>
    <w:rsid w:val="00641E82"/>
    <w:rsid w:val="006443CE"/>
    <w:rsid w:val="006453E8"/>
    <w:rsid w:val="00646E07"/>
    <w:rsid w:val="00647F36"/>
    <w:rsid w:val="00650775"/>
    <w:rsid w:val="00650ADC"/>
    <w:rsid w:val="0065298F"/>
    <w:rsid w:val="006530D7"/>
    <w:rsid w:val="00654121"/>
    <w:rsid w:val="00654163"/>
    <w:rsid w:val="006549C2"/>
    <w:rsid w:val="0065525A"/>
    <w:rsid w:val="00655684"/>
    <w:rsid w:val="00655BED"/>
    <w:rsid w:val="0066000E"/>
    <w:rsid w:val="006604AD"/>
    <w:rsid w:val="00661CFF"/>
    <w:rsid w:val="00662317"/>
    <w:rsid w:val="00662F92"/>
    <w:rsid w:val="00663A42"/>
    <w:rsid w:val="00663AA6"/>
    <w:rsid w:val="0066413C"/>
    <w:rsid w:val="006641C7"/>
    <w:rsid w:val="00665DFC"/>
    <w:rsid w:val="006676C4"/>
    <w:rsid w:val="006678F2"/>
    <w:rsid w:val="0067095D"/>
    <w:rsid w:val="00670BE2"/>
    <w:rsid w:val="0067166E"/>
    <w:rsid w:val="00671D34"/>
    <w:rsid w:val="006728BD"/>
    <w:rsid w:val="00672E2A"/>
    <w:rsid w:val="00673B12"/>
    <w:rsid w:val="00674A80"/>
    <w:rsid w:val="0067502A"/>
    <w:rsid w:val="006754F9"/>
    <w:rsid w:val="00676750"/>
    <w:rsid w:val="006770B8"/>
    <w:rsid w:val="00677991"/>
    <w:rsid w:val="00680FA2"/>
    <w:rsid w:val="0068103C"/>
    <w:rsid w:val="006822B4"/>
    <w:rsid w:val="00682878"/>
    <w:rsid w:val="00682C6C"/>
    <w:rsid w:val="006837F1"/>
    <w:rsid w:val="00683CA4"/>
    <w:rsid w:val="006843E2"/>
    <w:rsid w:val="006846B7"/>
    <w:rsid w:val="00684D5A"/>
    <w:rsid w:val="006854FD"/>
    <w:rsid w:val="00686B41"/>
    <w:rsid w:val="00691368"/>
    <w:rsid w:val="00692130"/>
    <w:rsid w:val="00692856"/>
    <w:rsid w:val="0069436E"/>
    <w:rsid w:val="0069481C"/>
    <w:rsid w:val="006949D1"/>
    <w:rsid w:val="0069516E"/>
    <w:rsid w:val="00695893"/>
    <w:rsid w:val="00695B3E"/>
    <w:rsid w:val="006963C0"/>
    <w:rsid w:val="006A039E"/>
    <w:rsid w:val="006A11A4"/>
    <w:rsid w:val="006A14AD"/>
    <w:rsid w:val="006A1563"/>
    <w:rsid w:val="006A26C6"/>
    <w:rsid w:val="006A34C8"/>
    <w:rsid w:val="006A4528"/>
    <w:rsid w:val="006A4B82"/>
    <w:rsid w:val="006A4FC4"/>
    <w:rsid w:val="006A4FFE"/>
    <w:rsid w:val="006A5733"/>
    <w:rsid w:val="006A5DFD"/>
    <w:rsid w:val="006A67B5"/>
    <w:rsid w:val="006A6D3B"/>
    <w:rsid w:val="006A7D5D"/>
    <w:rsid w:val="006B0535"/>
    <w:rsid w:val="006B1092"/>
    <w:rsid w:val="006B109B"/>
    <w:rsid w:val="006B27F6"/>
    <w:rsid w:val="006B49F9"/>
    <w:rsid w:val="006B4E51"/>
    <w:rsid w:val="006B4EEA"/>
    <w:rsid w:val="006B5F4B"/>
    <w:rsid w:val="006B6C68"/>
    <w:rsid w:val="006B7602"/>
    <w:rsid w:val="006C04C4"/>
    <w:rsid w:val="006C1709"/>
    <w:rsid w:val="006C1E46"/>
    <w:rsid w:val="006C3C88"/>
    <w:rsid w:val="006C41B1"/>
    <w:rsid w:val="006C479A"/>
    <w:rsid w:val="006C4A7B"/>
    <w:rsid w:val="006C4F07"/>
    <w:rsid w:val="006C55B7"/>
    <w:rsid w:val="006C60B9"/>
    <w:rsid w:val="006C6932"/>
    <w:rsid w:val="006C7105"/>
    <w:rsid w:val="006C7603"/>
    <w:rsid w:val="006C76A2"/>
    <w:rsid w:val="006C79C7"/>
    <w:rsid w:val="006C7ED8"/>
    <w:rsid w:val="006D10D6"/>
    <w:rsid w:val="006D14B9"/>
    <w:rsid w:val="006D239F"/>
    <w:rsid w:val="006D32E7"/>
    <w:rsid w:val="006D405B"/>
    <w:rsid w:val="006D4459"/>
    <w:rsid w:val="006D47A6"/>
    <w:rsid w:val="006D48C4"/>
    <w:rsid w:val="006D5D57"/>
    <w:rsid w:val="006D676A"/>
    <w:rsid w:val="006D6D57"/>
    <w:rsid w:val="006D7CD1"/>
    <w:rsid w:val="006E37A3"/>
    <w:rsid w:val="006E43FB"/>
    <w:rsid w:val="006E4865"/>
    <w:rsid w:val="006E4DB1"/>
    <w:rsid w:val="006E546B"/>
    <w:rsid w:val="006E5E9D"/>
    <w:rsid w:val="006E5EC6"/>
    <w:rsid w:val="006E756B"/>
    <w:rsid w:val="006E76B1"/>
    <w:rsid w:val="006E7C76"/>
    <w:rsid w:val="006F00CD"/>
    <w:rsid w:val="006F0275"/>
    <w:rsid w:val="006F1CBA"/>
    <w:rsid w:val="006F2929"/>
    <w:rsid w:val="006F2B31"/>
    <w:rsid w:val="006F3F15"/>
    <w:rsid w:val="006F401F"/>
    <w:rsid w:val="006F4D6D"/>
    <w:rsid w:val="006F5421"/>
    <w:rsid w:val="006F5FEE"/>
    <w:rsid w:val="006F69EE"/>
    <w:rsid w:val="006F6EAE"/>
    <w:rsid w:val="006F7008"/>
    <w:rsid w:val="007002E4"/>
    <w:rsid w:val="00701E92"/>
    <w:rsid w:val="00702532"/>
    <w:rsid w:val="00702924"/>
    <w:rsid w:val="007035E6"/>
    <w:rsid w:val="00703785"/>
    <w:rsid w:val="007039B0"/>
    <w:rsid w:val="00704930"/>
    <w:rsid w:val="00704DA1"/>
    <w:rsid w:val="00705086"/>
    <w:rsid w:val="0070526C"/>
    <w:rsid w:val="00705838"/>
    <w:rsid w:val="00706676"/>
    <w:rsid w:val="007071CB"/>
    <w:rsid w:val="00707C58"/>
    <w:rsid w:val="00707FB1"/>
    <w:rsid w:val="00710BE0"/>
    <w:rsid w:val="00711A16"/>
    <w:rsid w:val="0071228D"/>
    <w:rsid w:val="007122E1"/>
    <w:rsid w:val="00712597"/>
    <w:rsid w:val="007130F1"/>
    <w:rsid w:val="00713204"/>
    <w:rsid w:val="00715021"/>
    <w:rsid w:val="007153BF"/>
    <w:rsid w:val="007159D6"/>
    <w:rsid w:val="0071643C"/>
    <w:rsid w:val="007164A0"/>
    <w:rsid w:val="0071732F"/>
    <w:rsid w:val="00717ABA"/>
    <w:rsid w:val="00717AF4"/>
    <w:rsid w:val="007200BD"/>
    <w:rsid w:val="00720D71"/>
    <w:rsid w:val="00720EA2"/>
    <w:rsid w:val="00721576"/>
    <w:rsid w:val="00721EED"/>
    <w:rsid w:val="00722394"/>
    <w:rsid w:val="007224FE"/>
    <w:rsid w:val="007226A0"/>
    <w:rsid w:val="007235D7"/>
    <w:rsid w:val="00723921"/>
    <w:rsid w:val="007244F5"/>
    <w:rsid w:val="00725158"/>
    <w:rsid w:val="007253E6"/>
    <w:rsid w:val="007257C9"/>
    <w:rsid w:val="007275D6"/>
    <w:rsid w:val="00727DB4"/>
    <w:rsid w:val="0073021C"/>
    <w:rsid w:val="00731FCB"/>
    <w:rsid w:val="00732571"/>
    <w:rsid w:val="00732A5F"/>
    <w:rsid w:val="00736282"/>
    <w:rsid w:val="00736298"/>
    <w:rsid w:val="0073646C"/>
    <w:rsid w:val="00736CA2"/>
    <w:rsid w:val="00736D15"/>
    <w:rsid w:val="00736EE3"/>
    <w:rsid w:val="00737BA1"/>
    <w:rsid w:val="007404F8"/>
    <w:rsid w:val="00741D89"/>
    <w:rsid w:val="00741FDE"/>
    <w:rsid w:val="007435CB"/>
    <w:rsid w:val="00743B14"/>
    <w:rsid w:val="0074400E"/>
    <w:rsid w:val="00745683"/>
    <w:rsid w:val="00745A8F"/>
    <w:rsid w:val="00745C87"/>
    <w:rsid w:val="00745D32"/>
    <w:rsid w:val="007476AD"/>
    <w:rsid w:val="00750239"/>
    <w:rsid w:val="00750701"/>
    <w:rsid w:val="0075112A"/>
    <w:rsid w:val="00751442"/>
    <w:rsid w:val="007515B7"/>
    <w:rsid w:val="00751BA7"/>
    <w:rsid w:val="00752BE1"/>
    <w:rsid w:val="00752E6C"/>
    <w:rsid w:val="00753410"/>
    <w:rsid w:val="00753443"/>
    <w:rsid w:val="00754497"/>
    <w:rsid w:val="00754BB0"/>
    <w:rsid w:val="00755326"/>
    <w:rsid w:val="00757D81"/>
    <w:rsid w:val="00760030"/>
    <w:rsid w:val="007611D9"/>
    <w:rsid w:val="0076359E"/>
    <w:rsid w:val="007637EB"/>
    <w:rsid w:val="00763BD2"/>
    <w:rsid w:val="007646FF"/>
    <w:rsid w:val="0076490F"/>
    <w:rsid w:val="00764A9F"/>
    <w:rsid w:val="00765B11"/>
    <w:rsid w:val="007663C1"/>
    <w:rsid w:val="007679C7"/>
    <w:rsid w:val="00767D09"/>
    <w:rsid w:val="00770EC0"/>
    <w:rsid w:val="00771478"/>
    <w:rsid w:val="00772E12"/>
    <w:rsid w:val="00772EE5"/>
    <w:rsid w:val="007737DF"/>
    <w:rsid w:val="00773967"/>
    <w:rsid w:val="00773C4C"/>
    <w:rsid w:val="00774B54"/>
    <w:rsid w:val="00775042"/>
    <w:rsid w:val="0077627D"/>
    <w:rsid w:val="00776429"/>
    <w:rsid w:val="00777AC6"/>
    <w:rsid w:val="00777B31"/>
    <w:rsid w:val="00781B1A"/>
    <w:rsid w:val="007832D4"/>
    <w:rsid w:val="00783BC4"/>
    <w:rsid w:val="00786B27"/>
    <w:rsid w:val="00786CD3"/>
    <w:rsid w:val="00786D83"/>
    <w:rsid w:val="007877F0"/>
    <w:rsid w:val="00787C39"/>
    <w:rsid w:val="007901BE"/>
    <w:rsid w:val="00791716"/>
    <w:rsid w:val="00792416"/>
    <w:rsid w:val="00792F09"/>
    <w:rsid w:val="00793985"/>
    <w:rsid w:val="00795D18"/>
    <w:rsid w:val="00795DF3"/>
    <w:rsid w:val="007A332A"/>
    <w:rsid w:val="007A373C"/>
    <w:rsid w:val="007A40F2"/>
    <w:rsid w:val="007A49FF"/>
    <w:rsid w:val="007A57C9"/>
    <w:rsid w:val="007A6008"/>
    <w:rsid w:val="007A64D2"/>
    <w:rsid w:val="007B05C6"/>
    <w:rsid w:val="007B0FB5"/>
    <w:rsid w:val="007B115F"/>
    <w:rsid w:val="007B219F"/>
    <w:rsid w:val="007B225C"/>
    <w:rsid w:val="007B24FE"/>
    <w:rsid w:val="007B26EE"/>
    <w:rsid w:val="007B489D"/>
    <w:rsid w:val="007B5068"/>
    <w:rsid w:val="007B5656"/>
    <w:rsid w:val="007B5BFB"/>
    <w:rsid w:val="007B7AAD"/>
    <w:rsid w:val="007C0B45"/>
    <w:rsid w:val="007C0DF3"/>
    <w:rsid w:val="007C2705"/>
    <w:rsid w:val="007C284C"/>
    <w:rsid w:val="007C2CC6"/>
    <w:rsid w:val="007C2E18"/>
    <w:rsid w:val="007C3D33"/>
    <w:rsid w:val="007C5B42"/>
    <w:rsid w:val="007C6ECB"/>
    <w:rsid w:val="007C71C3"/>
    <w:rsid w:val="007C75B1"/>
    <w:rsid w:val="007D0E87"/>
    <w:rsid w:val="007D1184"/>
    <w:rsid w:val="007D2A1C"/>
    <w:rsid w:val="007D2A61"/>
    <w:rsid w:val="007D3128"/>
    <w:rsid w:val="007D3D17"/>
    <w:rsid w:val="007D3DFC"/>
    <w:rsid w:val="007D3F06"/>
    <w:rsid w:val="007D6A46"/>
    <w:rsid w:val="007E0120"/>
    <w:rsid w:val="007E1AF1"/>
    <w:rsid w:val="007E2510"/>
    <w:rsid w:val="007E2F07"/>
    <w:rsid w:val="007E3374"/>
    <w:rsid w:val="007E47E6"/>
    <w:rsid w:val="007E4B41"/>
    <w:rsid w:val="007E53D8"/>
    <w:rsid w:val="007E5A57"/>
    <w:rsid w:val="007E7AD0"/>
    <w:rsid w:val="007E7CCC"/>
    <w:rsid w:val="007F02CA"/>
    <w:rsid w:val="007F137D"/>
    <w:rsid w:val="007F1761"/>
    <w:rsid w:val="007F1B67"/>
    <w:rsid w:val="007F1F42"/>
    <w:rsid w:val="007F321D"/>
    <w:rsid w:val="007F7E35"/>
    <w:rsid w:val="008011FC"/>
    <w:rsid w:val="008022B5"/>
    <w:rsid w:val="008026DC"/>
    <w:rsid w:val="00803A89"/>
    <w:rsid w:val="0080517E"/>
    <w:rsid w:val="00805EB5"/>
    <w:rsid w:val="0080776D"/>
    <w:rsid w:val="00807AF1"/>
    <w:rsid w:val="00807F5E"/>
    <w:rsid w:val="00810145"/>
    <w:rsid w:val="008108FA"/>
    <w:rsid w:val="00810BC0"/>
    <w:rsid w:val="00810FF1"/>
    <w:rsid w:val="00811479"/>
    <w:rsid w:val="0081156E"/>
    <w:rsid w:val="00811CFC"/>
    <w:rsid w:val="00813412"/>
    <w:rsid w:val="00815A65"/>
    <w:rsid w:val="00815D04"/>
    <w:rsid w:val="00816F4E"/>
    <w:rsid w:val="00817266"/>
    <w:rsid w:val="00820360"/>
    <w:rsid w:val="0082038A"/>
    <w:rsid w:val="0082147F"/>
    <w:rsid w:val="0082190F"/>
    <w:rsid w:val="00822336"/>
    <w:rsid w:val="00823587"/>
    <w:rsid w:val="00823B09"/>
    <w:rsid w:val="00823DF6"/>
    <w:rsid w:val="00823DFA"/>
    <w:rsid w:val="00824315"/>
    <w:rsid w:val="008268E2"/>
    <w:rsid w:val="00826A8E"/>
    <w:rsid w:val="00826C56"/>
    <w:rsid w:val="00827397"/>
    <w:rsid w:val="00830CF9"/>
    <w:rsid w:val="0083112D"/>
    <w:rsid w:val="008317CE"/>
    <w:rsid w:val="008319A3"/>
    <w:rsid w:val="00831B15"/>
    <w:rsid w:val="00831E63"/>
    <w:rsid w:val="008321D9"/>
    <w:rsid w:val="008332DD"/>
    <w:rsid w:val="008342A3"/>
    <w:rsid w:val="00835A7E"/>
    <w:rsid w:val="00835C22"/>
    <w:rsid w:val="008360FA"/>
    <w:rsid w:val="00836435"/>
    <w:rsid w:val="00840150"/>
    <w:rsid w:val="008402C3"/>
    <w:rsid w:val="00840E43"/>
    <w:rsid w:val="00840F65"/>
    <w:rsid w:val="0084198D"/>
    <w:rsid w:val="008426F0"/>
    <w:rsid w:val="00842B5D"/>
    <w:rsid w:val="00842D8D"/>
    <w:rsid w:val="00843752"/>
    <w:rsid w:val="008437C6"/>
    <w:rsid w:val="0084479F"/>
    <w:rsid w:val="0084554D"/>
    <w:rsid w:val="00845BA0"/>
    <w:rsid w:val="0084764D"/>
    <w:rsid w:val="0084791A"/>
    <w:rsid w:val="00847DD5"/>
    <w:rsid w:val="008507AE"/>
    <w:rsid w:val="00850C09"/>
    <w:rsid w:val="0085118E"/>
    <w:rsid w:val="00852378"/>
    <w:rsid w:val="00853DE6"/>
    <w:rsid w:val="0085576E"/>
    <w:rsid w:val="00855975"/>
    <w:rsid w:val="00855F1E"/>
    <w:rsid w:val="0085725E"/>
    <w:rsid w:val="008601CF"/>
    <w:rsid w:val="0086207E"/>
    <w:rsid w:val="00862C02"/>
    <w:rsid w:val="00863020"/>
    <w:rsid w:val="00863248"/>
    <w:rsid w:val="008635FD"/>
    <w:rsid w:val="00866DD9"/>
    <w:rsid w:val="00867D0D"/>
    <w:rsid w:val="00870B5A"/>
    <w:rsid w:val="00870D58"/>
    <w:rsid w:val="00871BAF"/>
    <w:rsid w:val="00872798"/>
    <w:rsid w:val="00873599"/>
    <w:rsid w:val="00873757"/>
    <w:rsid w:val="00873DBB"/>
    <w:rsid w:val="0087481A"/>
    <w:rsid w:val="00874EE0"/>
    <w:rsid w:val="0087732D"/>
    <w:rsid w:val="008773FE"/>
    <w:rsid w:val="00881C84"/>
    <w:rsid w:val="008840FE"/>
    <w:rsid w:val="008841F0"/>
    <w:rsid w:val="00884DEB"/>
    <w:rsid w:val="008850C0"/>
    <w:rsid w:val="00885322"/>
    <w:rsid w:val="00885B09"/>
    <w:rsid w:val="00885CD1"/>
    <w:rsid w:val="008867E6"/>
    <w:rsid w:val="008870CD"/>
    <w:rsid w:val="00887636"/>
    <w:rsid w:val="008879EB"/>
    <w:rsid w:val="00887A56"/>
    <w:rsid w:val="0089118C"/>
    <w:rsid w:val="008918ED"/>
    <w:rsid w:val="00891940"/>
    <w:rsid w:val="00892400"/>
    <w:rsid w:val="00892473"/>
    <w:rsid w:val="008929AF"/>
    <w:rsid w:val="008936EF"/>
    <w:rsid w:val="00893917"/>
    <w:rsid w:val="008942FF"/>
    <w:rsid w:val="00895375"/>
    <w:rsid w:val="008961B8"/>
    <w:rsid w:val="00897AE4"/>
    <w:rsid w:val="00897D38"/>
    <w:rsid w:val="008A1201"/>
    <w:rsid w:val="008A151B"/>
    <w:rsid w:val="008A209D"/>
    <w:rsid w:val="008A22BB"/>
    <w:rsid w:val="008A4750"/>
    <w:rsid w:val="008A4D24"/>
    <w:rsid w:val="008A515F"/>
    <w:rsid w:val="008A57DC"/>
    <w:rsid w:val="008A5BB4"/>
    <w:rsid w:val="008A6A23"/>
    <w:rsid w:val="008B0A16"/>
    <w:rsid w:val="008B0E29"/>
    <w:rsid w:val="008B0EFA"/>
    <w:rsid w:val="008B10C7"/>
    <w:rsid w:val="008B1237"/>
    <w:rsid w:val="008B1362"/>
    <w:rsid w:val="008B15EF"/>
    <w:rsid w:val="008B1A9C"/>
    <w:rsid w:val="008B2311"/>
    <w:rsid w:val="008B30AB"/>
    <w:rsid w:val="008B310D"/>
    <w:rsid w:val="008B318C"/>
    <w:rsid w:val="008B3288"/>
    <w:rsid w:val="008B3D85"/>
    <w:rsid w:val="008B4219"/>
    <w:rsid w:val="008B48EA"/>
    <w:rsid w:val="008B4941"/>
    <w:rsid w:val="008B4D7C"/>
    <w:rsid w:val="008B54A8"/>
    <w:rsid w:val="008B5D1A"/>
    <w:rsid w:val="008B5D92"/>
    <w:rsid w:val="008C0671"/>
    <w:rsid w:val="008C0C49"/>
    <w:rsid w:val="008C11AE"/>
    <w:rsid w:val="008C3D82"/>
    <w:rsid w:val="008C4053"/>
    <w:rsid w:val="008C6A1C"/>
    <w:rsid w:val="008C6E42"/>
    <w:rsid w:val="008C7399"/>
    <w:rsid w:val="008C73CD"/>
    <w:rsid w:val="008C7692"/>
    <w:rsid w:val="008C7E7E"/>
    <w:rsid w:val="008D0780"/>
    <w:rsid w:val="008D1BB1"/>
    <w:rsid w:val="008D3EAE"/>
    <w:rsid w:val="008D3F32"/>
    <w:rsid w:val="008D43A7"/>
    <w:rsid w:val="008D5228"/>
    <w:rsid w:val="008D577B"/>
    <w:rsid w:val="008D7230"/>
    <w:rsid w:val="008D7FDE"/>
    <w:rsid w:val="008E069E"/>
    <w:rsid w:val="008E2A9F"/>
    <w:rsid w:val="008E2F63"/>
    <w:rsid w:val="008E527B"/>
    <w:rsid w:val="008E5F55"/>
    <w:rsid w:val="008E6193"/>
    <w:rsid w:val="008E6CE4"/>
    <w:rsid w:val="008E6D8B"/>
    <w:rsid w:val="008E6ED1"/>
    <w:rsid w:val="008F1151"/>
    <w:rsid w:val="008F17B8"/>
    <w:rsid w:val="008F1DFE"/>
    <w:rsid w:val="008F3216"/>
    <w:rsid w:val="008F5183"/>
    <w:rsid w:val="008F560A"/>
    <w:rsid w:val="008F5D34"/>
    <w:rsid w:val="008F7803"/>
    <w:rsid w:val="008F7BE9"/>
    <w:rsid w:val="009001A8"/>
    <w:rsid w:val="0090062B"/>
    <w:rsid w:val="00900CAA"/>
    <w:rsid w:val="009011FD"/>
    <w:rsid w:val="00902966"/>
    <w:rsid w:val="0090408C"/>
    <w:rsid w:val="00904E5B"/>
    <w:rsid w:val="00905838"/>
    <w:rsid w:val="00905DEF"/>
    <w:rsid w:val="00905E73"/>
    <w:rsid w:val="00906899"/>
    <w:rsid w:val="009115BD"/>
    <w:rsid w:val="00911648"/>
    <w:rsid w:val="00913462"/>
    <w:rsid w:val="009135BD"/>
    <w:rsid w:val="00913B43"/>
    <w:rsid w:val="00913BEA"/>
    <w:rsid w:val="00914652"/>
    <w:rsid w:val="0091481E"/>
    <w:rsid w:val="009148CC"/>
    <w:rsid w:val="00914C3D"/>
    <w:rsid w:val="009158A6"/>
    <w:rsid w:val="00915ACA"/>
    <w:rsid w:val="00915DAD"/>
    <w:rsid w:val="00915E7E"/>
    <w:rsid w:val="00916098"/>
    <w:rsid w:val="009202FF"/>
    <w:rsid w:val="00920DD0"/>
    <w:rsid w:val="00920DF9"/>
    <w:rsid w:val="009218BC"/>
    <w:rsid w:val="00921E1E"/>
    <w:rsid w:val="00921FEC"/>
    <w:rsid w:val="0092217C"/>
    <w:rsid w:val="0092291C"/>
    <w:rsid w:val="00922B42"/>
    <w:rsid w:val="00923781"/>
    <w:rsid w:val="0092492E"/>
    <w:rsid w:val="00925DE5"/>
    <w:rsid w:val="00926090"/>
    <w:rsid w:val="0092612D"/>
    <w:rsid w:val="00927006"/>
    <w:rsid w:val="00927138"/>
    <w:rsid w:val="009271A2"/>
    <w:rsid w:val="00927787"/>
    <w:rsid w:val="009279C9"/>
    <w:rsid w:val="00930203"/>
    <w:rsid w:val="00930E67"/>
    <w:rsid w:val="009311D2"/>
    <w:rsid w:val="009311E6"/>
    <w:rsid w:val="00931275"/>
    <w:rsid w:val="009321F9"/>
    <w:rsid w:val="00934F83"/>
    <w:rsid w:val="009367B2"/>
    <w:rsid w:val="00936A28"/>
    <w:rsid w:val="00936AC7"/>
    <w:rsid w:val="00937742"/>
    <w:rsid w:val="00941176"/>
    <w:rsid w:val="0094120B"/>
    <w:rsid w:val="00941402"/>
    <w:rsid w:val="00941853"/>
    <w:rsid w:val="009432C2"/>
    <w:rsid w:val="00943DE2"/>
    <w:rsid w:val="009443E5"/>
    <w:rsid w:val="009443EE"/>
    <w:rsid w:val="0094451D"/>
    <w:rsid w:val="00944ED8"/>
    <w:rsid w:val="00945AFF"/>
    <w:rsid w:val="00945CB1"/>
    <w:rsid w:val="0094711B"/>
    <w:rsid w:val="00950352"/>
    <w:rsid w:val="009508F6"/>
    <w:rsid w:val="009517BF"/>
    <w:rsid w:val="00951BAF"/>
    <w:rsid w:val="0095215D"/>
    <w:rsid w:val="00952E65"/>
    <w:rsid w:val="00953983"/>
    <w:rsid w:val="00953B64"/>
    <w:rsid w:val="009546EF"/>
    <w:rsid w:val="00955570"/>
    <w:rsid w:val="009562B3"/>
    <w:rsid w:val="00956459"/>
    <w:rsid w:val="00956B64"/>
    <w:rsid w:val="00956FA9"/>
    <w:rsid w:val="00957AD0"/>
    <w:rsid w:val="00960027"/>
    <w:rsid w:val="00960482"/>
    <w:rsid w:val="00960BFC"/>
    <w:rsid w:val="00960E49"/>
    <w:rsid w:val="009612C5"/>
    <w:rsid w:val="00962405"/>
    <w:rsid w:val="0096307E"/>
    <w:rsid w:val="00963544"/>
    <w:rsid w:val="0096420E"/>
    <w:rsid w:val="00964781"/>
    <w:rsid w:val="009649CE"/>
    <w:rsid w:val="00964A69"/>
    <w:rsid w:val="009656C4"/>
    <w:rsid w:val="0096582E"/>
    <w:rsid w:val="00965F7C"/>
    <w:rsid w:val="00966559"/>
    <w:rsid w:val="009709DD"/>
    <w:rsid w:val="00970DAF"/>
    <w:rsid w:val="0097244E"/>
    <w:rsid w:val="00973764"/>
    <w:rsid w:val="009746E1"/>
    <w:rsid w:val="00974D6E"/>
    <w:rsid w:val="00974DBF"/>
    <w:rsid w:val="009756A1"/>
    <w:rsid w:val="009775B4"/>
    <w:rsid w:val="00977F8D"/>
    <w:rsid w:val="00980835"/>
    <w:rsid w:val="009827B9"/>
    <w:rsid w:val="00982F62"/>
    <w:rsid w:val="00983387"/>
    <w:rsid w:val="00983DB2"/>
    <w:rsid w:val="00986DC0"/>
    <w:rsid w:val="00987C3F"/>
    <w:rsid w:val="00991141"/>
    <w:rsid w:val="009917BB"/>
    <w:rsid w:val="0099190F"/>
    <w:rsid w:val="009922BB"/>
    <w:rsid w:val="00992A8F"/>
    <w:rsid w:val="00992B16"/>
    <w:rsid w:val="00993693"/>
    <w:rsid w:val="009936AF"/>
    <w:rsid w:val="00994E3D"/>
    <w:rsid w:val="00994E97"/>
    <w:rsid w:val="00995000"/>
    <w:rsid w:val="009966C6"/>
    <w:rsid w:val="0099777B"/>
    <w:rsid w:val="0099777F"/>
    <w:rsid w:val="00997E89"/>
    <w:rsid w:val="009A1674"/>
    <w:rsid w:val="009A16A3"/>
    <w:rsid w:val="009A1B5E"/>
    <w:rsid w:val="009A2231"/>
    <w:rsid w:val="009A259E"/>
    <w:rsid w:val="009A33CE"/>
    <w:rsid w:val="009A38F4"/>
    <w:rsid w:val="009A6FF1"/>
    <w:rsid w:val="009B07D1"/>
    <w:rsid w:val="009B0825"/>
    <w:rsid w:val="009B10E0"/>
    <w:rsid w:val="009B18A4"/>
    <w:rsid w:val="009B18B9"/>
    <w:rsid w:val="009B223C"/>
    <w:rsid w:val="009B2FF8"/>
    <w:rsid w:val="009B376F"/>
    <w:rsid w:val="009B47FD"/>
    <w:rsid w:val="009B4C09"/>
    <w:rsid w:val="009B703E"/>
    <w:rsid w:val="009C0265"/>
    <w:rsid w:val="009C081E"/>
    <w:rsid w:val="009C14D2"/>
    <w:rsid w:val="009C15D0"/>
    <w:rsid w:val="009C1722"/>
    <w:rsid w:val="009C180B"/>
    <w:rsid w:val="009C1F68"/>
    <w:rsid w:val="009C255B"/>
    <w:rsid w:val="009C25F6"/>
    <w:rsid w:val="009C29FA"/>
    <w:rsid w:val="009C2DBF"/>
    <w:rsid w:val="009C3EE1"/>
    <w:rsid w:val="009C4DD2"/>
    <w:rsid w:val="009C5068"/>
    <w:rsid w:val="009C5398"/>
    <w:rsid w:val="009C580C"/>
    <w:rsid w:val="009C6548"/>
    <w:rsid w:val="009C684F"/>
    <w:rsid w:val="009D074C"/>
    <w:rsid w:val="009D23DE"/>
    <w:rsid w:val="009D2AD5"/>
    <w:rsid w:val="009D3081"/>
    <w:rsid w:val="009D3B36"/>
    <w:rsid w:val="009D4661"/>
    <w:rsid w:val="009D5498"/>
    <w:rsid w:val="009D563D"/>
    <w:rsid w:val="009D5E4E"/>
    <w:rsid w:val="009D5FC3"/>
    <w:rsid w:val="009D6BAA"/>
    <w:rsid w:val="009D6F9A"/>
    <w:rsid w:val="009D6FFD"/>
    <w:rsid w:val="009D701C"/>
    <w:rsid w:val="009D7CF5"/>
    <w:rsid w:val="009E162D"/>
    <w:rsid w:val="009E244C"/>
    <w:rsid w:val="009E6A65"/>
    <w:rsid w:val="009E6DA3"/>
    <w:rsid w:val="009E6FEA"/>
    <w:rsid w:val="009E7B0A"/>
    <w:rsid w:val="009F157F"/>
    <w:rsid w:val="009F1C3F"/>
    <w:rsid w:val="009F1E42"/>
    <w:rsid w:val="009F1F1D"/>
    <w:rsid w:val="009F2AD6"/>
    <w:rsid w:val="009F2B4F"/>
    <w:rsid w:val="009F3005"/>
    <w:rsid w:val="009F35C2"/>
    <w:rsid w:val="009F5487"/>
    <w:rsid w:val="009F5583"/>
    <w:rsid w:val="009F5EA3"/>
    <w:rsid w:val="009F66B5"/>
    <w:rsid w:val="009F6717"/>
    <w:rsid w:val="009F7574"/>
    <w:rsid w:val="009F7DDC"/>
    <w:rsid w:val="00A00016"/>
    <w:rsid w:val="00A0054B"/>
    <w:rsid w:val="00A010E7"/>
    <w:rsid w:val="00A01404"/>
    <w:rsid w:val="00A017CD"/>
    <w:rsid w:val="00A026F6"/>
    <w:rsid w:val="00A02C32"/>
    <w:rsid w:val="00A02D6C"/>
    <w:rsid w:val="00A03926"/>
    <w:rsid w:val="00A0523A"/>
    <w:rsid w:val="00A0594F"/>
    <w:rsid w:val="00A05EC2"/>
    <w:rsid w:val="00A0783B"/>
    <w:rsid w:val="00A079D7"/>
    <w:rsid w:val="00A07B0C"/>
    <w:rsid w:val="00A11621"/>
    <w:rsid w:val="00A13517"/>
    <w:rsid w:val="00A13D58"/>
    <w:rsid w:val="00A14404"/>
    <w:rsid w:val="00A158A4"/>
    <w:rsid w:val="00A16221"/>
    <w:rsid w:val="00A203F1"/>
    <w:rsid w:val="00A20A7D"/>
    <w:rsid w:val="00A20B8F"/>
    <w:rsid w:val="00A2150C"/>
    <w:rsid w:val="00A21584"/>
    <w:rsid w:val="00A21DAC"/>
    <w:rsid w:val="00A21DF1"/>
    <w:rsid w:val="00A2311D"/>
    <w:rsid w:val="00A24537"/>
    <w:rsid w:val="00A2464A"/>
    <w:rsid w:val="00A252C6"/>
    <w:rsid w:val="00A25E3E"/>
    <w:rsid w:val="00A2659A"/>
    <w:rsid w:val="00A26B9D"/>
    <w:rsid w:val="00A27704"/>
    <w:rsid w:val="00A3052E"/>
    <w:rsid w:val="00A30801"/>
    <w:rsid w:val="00A31457"/>
    <w:rsid w:val="00A32CC7"/>
    <w:rsid w:val="00A3414F"/>
    <w:rsid w:val="00A34519"/>
    <w:rsid w:val="00A35D42"/>
    <w:rsid w:val="00A3636D"/>
    <w:rsid w:val="00A3636E"/>
    <w:rsid w:val="00A36456"/>
    <w:rsid w:val="00A36EC8"/>
    <w:rsid w:val="00A409DE"/>
    <w:rsid w:val="00A4100C"/>
    <w:rsid w:val="00A41538"/>
    <w:rsid w:val="00A41713"/>
    <w:rsid w:val="00A4184F"/>
    <w:rsid w:val="00A4192C"/>
    <w:rsid w:val="00A41A94"/>
    <w:rsid w:val="00A42AFC"/>
    <w:rsid w:val="00A43272"/>
    <w:rsid w:val="00A4338F"/>
    <w:rsid w:val="00A43BBF"/>
    <w:rsid w:val="00A43D1E"/>
    <w:rsid w:val="00A43E05"/>
    <w:rsid w:val="00A44860"/>
    <w:rsid w:val="00A46CCF"/>
    <w:rsid w:val="00A47CBA"/>
    <w:rsid w:val="00A47E30"/>
    <w:rsid w:val="00A47F4D"/>
    <w:rsid w:val="00A50CDD"/>
    <w:rsid w:val="00A52136"/>
    <w:rsid w:val="00A53451"/>
    <w:rsid w:val="00A54C58"/>
    <w:rsid w:val="00A550A2"/>
    <w:rsid w:val="00A5523B"/>
    <w:rsid w:val="00A56A97"/>
    <w:rsid w:val="00A56FD0"/>
    <w:rsid w:val="00A57AAA"/>
    <w:rsid w:val="00A602DB"/>
    <w:rsid w:val="00A627F8"/>
    <w:rsid w:val="00A62DF9"/>
    <w:rsid w:val="00A630DE"/>
    <w:rsid w:val="00A64F5B"/>
    <w:rsid w:val="00A6621F"/>
    <w:rsid w:val="00A66357"/>
    <w:rsid w:val="00A66A53"/>
    <w:rsid w:val="00A679AD"/>
    <w:rsid w:val="00A67D14"/>
    <w:rsid w:val="00A700F1"/>
    <w:rsid w:val="00A70317"/>
    <w:rsid w:val="00A70426"/>
    <w:rsid w:val="00A70D50"/>
    <w:rsid w:val="00A71794"/>
    <w:rsid w:val="00A72637"/>
    <w:rsid w:val="00A750CC"/>
    <w:rsid w:val="00A763F7"/>
    <w:rsid w:val="00A77AF9"/>
    <w:rsid w:val="00A80E0E"/>
    <w:rsid w:val="00A816EA"/>
    <w:rsid w:val="00A82751"/>
    <w:rsid w:val="00A83218"/>
    <w:rsid w:val="00A84494"/>
    <w:rsid w:val="00A85A5F"/>
    <w:rsid w:val="00A86227"/>
    <w:rsid w:val="00A86C4F"/>
    <w:rsid w:val="00A90361"/>
    <w:rsid w:val="00A906EC"/>
    <w:rsid w:val="00A91E10"/>
    <w:rsid w:val="00A91E9A"/>
    <w:rsid w:val="00A92F35"/>
    <w:rsid w:val="00A93ED9"/>
    <w:rsid w:val="00A93F7D"/>
    <w:rsid w:val="00A94F6A"/>
    <w:rsid w:val="00A961EE"/>
    <w:rsid w:val="00A96221"/>
    <w:rsid w:val="00A970CF"/>
    <w:rsid w:val="00A97D33"/>
    <w:rsid w:val="00AA1223"/>
    <w:rsid w:val="00AA2C40"/>
    <w:rsid w:val="00AA657D"/>
    <w:rsid w:val="00AA66B7"/>
    <w:rsid w:val="00AA66DE"/>
    <w:rsid w:val="00AA76B8"/>
    <w:rsid w:val="00AA7F22"/>
    <w:rsid w:val="00AB2BD1"/>
    <w:rsid w:val="00AB52AD"/>
    <w:rsid w:val="00AB5D63"/>
    <w:rsid w:val="00AB5EEA"/>
    <w:rsid w:val="00AB66D1"/>
    <w:rsid w:val="00AC00BE"/>
    <w:rsid w:val="00AC0A69"/>
    <w:rsid w:val="00AC0F06"/>
    <w:rsid w:val="00AC1AFE"/>
    <w:rsid w:val="00AC2668"/>
    <w:rsid w:val="00AC2F24"/>
    <w:rsid w:val="00AC2F69"/>
    <w:rsid w:val="00AC4334"/>
    <w:rsid w:val="00AC500C"/>
    <w:rsid w:val="00AC547E"/>
    <w:rsid w:val="00AC63B0"/>
    <w:rsid w:val="00AC67C4"/>
    <w:rsid w:val="00AC6A99"/>
    <w:rsid w:val="00AC6AFE"/>
    <w:rsid w:val="00AC7644"/>
    <w:rsid w:val="00AD0F31"/>
    <w:rsid w:val="00AD154D"/>
    <w:rsid w:val="00AD27F3"/>
    <w:rsid w:val="00AD28AF"/>
    <w:rsid w:val="00AD3C10"/>
    <w:rsid w:val="00AD4D69"/>
    <w:rsid w:val="00AD4DFF"/>
    <w:rsid w:val="00AD52A5"/>
    <w:rsid w:val="00AD53DC"/>
    <w:rsid w:val="00AD5A5D"/>
    <w:rsid w:val="00AD6834"/>
    <w:rsid w:val="00AD7477"/>
    <w:rsid w:val="00AD7718"/>
    <w:rsid w:val="00AD7FBE"/>
    <w:rsid w:val="00AE1A57"/>
    <w:rsid w:val="00AE298D"/>
    <w:rsid w:val="00AE3C2B"/>
    <w:rsid w:val="00AE3D9D"/>
    <w:rsid w:val="00AE3F41"/>
    <w:rsid w:val="00AE6392"/>
    <w:rsid w:val="00AE6550"/>
    <w:rsid w:val="00AE68B1"/>
    <w:rsid w:val="00AE6A9D"/>
    <w:rsid w:val="00AE7343"/>
    <w:rsid w:val="00AE7CF8"/>
    <w:rsid w:val="00AF0B2A"/>
    <w:rsid w:val="00AF1449"/>
    <w:rsid w:val="00AF3060"/>
    <w:rsid w:val="00AF4357"/>
    <w:rsid w:val="00AF45BB"/>
    <w:rsid w:val="00AF4D03"/>
    <w:rsid w:val="00AF4EB8"/>
    <w:rsid w:val="00AF5A99"/>
    <w:rsid w:val="00AF5D00"/>
    <w:rsid w:val="00AF6953"/>
    <w:rsid w:val="00AF78C9"/>
    <w:rsid w:val="00AF7C74"/>
    <w:rsid w:val="00AF7D77"/>
    <w:rsid w:val="00B018F5"/>
    <w:rsid w:val="00B02176"/>
    <w:rsid w:val="00B02B42"/>
    <w:rsid w:val="00B02E7B"/>
    <w:rsid w:val="00B052D8"/>
    <w:rsid w:val="00B055EF"/>
    <w:rsid w:val="00B1026C"/>
    <w:rsid w:val="00B111C8"/>
    <w:rsid w:val="00B12310"/>
    <w:rsid w:val="00B128C1"/>
    <w:rsid w:val="00B1290B"/>
    <w:rsid w:val="00B13430"/>
    <w:rsid w:val="00B13CA4"/>
    <w:rsid w:val="00B144D4"/>
    <w:rsid w:val="00B14CD2"/>
    <w:rsid w:val="00B150E1"/>
    <w:rsid w:val="00B15446"/>
    <w:rsid w:val="00B16242"/>
    <w:rsid w:val="00B21BC1"/>
    <w:rsid w:val="00B223B9"/>
    <w:rsid w:val="00B23238"/>
    <w:rsid w:val="00B23769"/>
    <w:rsid w:val="00B2409B"/>
    <w:rsid w:val="00B25085"/>
    <w:rsid w:val="00B2558B"/>
    <w:rsid w:val="00B2664C"/>
    <w:rsid w:val="00B27224"/>
    <w:rsid w:val="00B2738C"/>
    <w:rsid w:val="00B27D9D"/>
    <w:rsid w:val="00B32CAA"/>
    <w:rsid w:val="00B33779"/>
    <w:rsid w:val="00B33C42"/>
    <w:rsid w:val="00B33C6B"/>
    <w:rsid w:val="00B34F04"/>
    <w:rsid w:val="00B40403"/>
    <w:rsid w:val="00B405DB"/>
    <w:rsid w:val="00B43A1B"/>
    <w:rsid w:val="00B446E0"/>
    <w:rsid w:val="00B45959"/>
    <w:rsid w:val="00B46823"/>
    <w:rsid w:val="00B46A62"/>
    <w:rsid w:val="00B474C4"/>
    <w:rsid w:val="00B50041"/>
    <w:rsid w:val="00B50470"/>
    <w:rsid w:val="00B50BD3"/>
    <w:rsid w:val="00B50F4A"/>
    <w:rsid w:val="00B51734"/>
    <w:rsid w:val="00B51B8E"/>
    <w:rsid w:val="00B52234"/>
    <w:rsid w:val="00B53302"/>
    <w:rsid w:val="00B53BFB"/>
    <w:rsid w:val="00B55603"/>
    <w:rsid w:val="00B559C9"/>
    <w:rsid w:val="00B55D42"/>
    <w:rsid w:val="00B56DFB"/>
    <w:rsid w:val="00B5702D"/>
    <w:rsid w:val="00B61105"/>
    <w:rsid w:val="00B6247A"/>
    <w:rsid w:val="00B62D5E"/>
    <w:rsid w:val="00B63ABE"/>
    <w:rsid w:val="00B64471"/>
    <w:rsid w:val="00B64A74"/>
    <w:rsid w:val="00B65454"/>
    <w:rsid w:val="00B67BBE"/>
    <w:rsid w:val="00B70750"/>
    <w:rsid w:val="00B70899"/>
    <w:rsid w:val="00B71002"/>
    <w:rsid w:val="00B71061"/>
    <w:rsid w:val="00B7116E"/>
    <w:rsid w:val="00B74E07"/>
    <w:rsid w:val="00B757E4"/>
    <w:rsid w:val="00B75F9B"/>
    <w:rsid w:val="00B7603E"/>
    <w:rsid w:val="00B763CB"/>
    <w:rsid w:val="00B76907"/>
    <w:rsid w:val="00B77614"/>
    <w:rsid w:val="00B77CA4"/>
    <w:rsid w:val="00B80907"/>
    <w:rsid w:val="00B80EB7"/>
    <w:rsid w:val="00B81075"/>
    <w:rsid w:val="00B81409"/>
    <w:rsid w:val="00B81808"/>
    <w:rsid w:val="00B85000"/>
    <w:rsid w:val="00B85F16"/>
    <w:rsid w:val="00B863E5"/>
    <w:rsid w:val="00B86414"/>
    <w:rsid w:val="00B86DFA"/>
    <w:rsid w:val="00B872E6"/>
    <w:rsid w:val="00B87B31"/>
    <w:rsid w:val="00B91901"/>
    <w:rsid w:val="00B91BB1"/>
    <w:rsid w:val="00B920E9"/>
    <w:rsid w:val="00B92406"/>
    <w:rsid w:val="00B92818"/>
    <w:rsid w:val="00B92EBE"/>
    <w:rsid w:val="00B93137"/>
    <w:rsid w:val="00B936D0"/>
    <w:rsid w:val="00B956E3"/>
    <w:rsid w:val="00B959FF"/>
    <w:rsid w:val="00B9636D"/>
    <w:rsid w:val="00B9653B"/>
    <w:rsid w:val="00B97142"/>
    <w:rsid w:val="00BA10CA"/>
    <w:rsid w:val="00BA1529"/>
    <w:rsid w:val="00BA2856"/>
    <w:rsid w:val="00BA2857"/>
    <w:rsid w:val="00BA34C5"/>
    <w:rsid w:val="00BA3648"/>
    <w:rsid w:val="00BA5BD3"/>
    <w:rsid w:val="00BA6411"/>
    <w:rsid w:val="00BA643B"/>
    <w:rsid w:val="00BA75BB"/>
    <w:rsid w:val="00BB0D7D"/>
    <w:rsid w:val="00BB20E5"/>
    <w:rsid w:val="00BB24F5"/>
    <w:rsid w:val="00BB2B89"/>
    <w:rsid w:val="00BB3B25"/>
    <w:rsid w:val="00BB4F64"/>
    <w:rsid w:val="00BB4F87"/>
    <w:rsid w:val="00BB56FE"/>
    <w:rsid w:val="00BB57E6"/>
    <w:rsid w:val="00BB6333"/>
    <w:rsid w:val="00BC02B0"/>
    <w:rsid w:val="00BC32D3"/>
    <w:rsid w:val="00BC46B0"/>
    <w:rsid w:val="00BC57F4"/>
    <w:rsid w:val="00BC5992"/>
    <w:rsid w:val="00BC6155"/>
    <w:rsid w:val="00BC730D"/>
    <w:rsid w:val="00BD0304"/>
    <w:rsid w:val="00BD052B"/>
    <w:rsid w:val="00BD0947"/>
    <w:rsid w:val="00BD097A"/>
    <w:rsid w:val="00BD0C0D"/>
    <w:rsid w:val="00BD1038"/>
    <w:rsid w:val="00BD1AE5"/>
    <w:rsid w:val="00BD3D5B"/>
    <w:rsid w:val="00BD3FAB"/>
    <w:rsid w:val="00BD589D"/>
    <w:rsid w:val="00BD6002"/>
    <w:rsid w:val="00BD6032"/>
    <w:rsid w:val="00BD63CD"/>
    <w:rsid w:val="00BD78D6"/>
    <w:rsid w:val="00BE0316"/>
    <w:rsid w:val="00BE0BA5"/>
    <w:rsid w:val="00BE17AC"/>
    <w:rsid w:val="00BE17FA"/>
    <w:rsid w:val="00BE2D26"/>
    <w:rsid w:val="00BE3600"/>
    <w:rsid w:val="00BE584C"/>
    <w:rsid w:val="00BE5A51"/>
    <w:rsid w:val="00BE6E5B"/>
    <w:rsid w:val="00BE6ECF"/>
    <w:rsid w:val="00BE734F"/>
    <w:rsid w:val="00BF085B"/>
    <w:rsid w:val="00BF0970"/>
    <w:rsid w:val="00BF0974"/>
    <w:rsid w:val="00BF13D5"/>
    <w:rsid w:val="00BF1AA0"/>
    <w:rsid w:val="00BF250A"/>
    <w:rsid w:val="00BF4A53"/>
    <w:rsid w:val="00BF525D"/>
    <w:rsid w:val="00BF5296"/>
    <w:rsid w:val="00BF5396"/>
    <w:rsid w:val="00BF54BE"/>
    <w:rsid w:val="00BF59D1"/>
    <w:rsid w:val="00BF5C69"/>
    <w:rsid w:val="00BF6312"/>
    <w:rsid w:val="00BF6642"/>
    <w:rsid w:val="00BF762C"/>
    <w:rsid w:val="00C006EC"/>
    <w:rsid w:val="00C009AD"/>
    <w:rsid w:val="00C0140C"/>
    <w:rsid w:val="00C01E1F"/>
    <w:rsid w:val="00C01F6F"/>
    <w:rsid w:val="00C03215"/>
    <w:rsid w:val="00C034E0"/>
    <w:rsid w:val="00C03DCB"/>
    <w:rsid w:val="00C046B9"/>
    <w:rsid w:val="00C04840"/>
    <w:rsid w:val="00C05AE4"/>
    <w:rsid w:val="00C05BA6"/>
    <w:rsid w:val="00C05BD4"/>
    <w:rsid w:val="00C061FB"/>
    <w:rsid w:val="00C06B2D"/>
    <w:rsid w:val="00C0778A"/>
    <w:rsid w:val="00C10318"/>
    <w:rsid w:val="00C1116B"/>
    <w:rsid w:val="00C11CB8"/>
    <w:rsid w:val="00C124C3"/>
    <w:rsid w:val="00C12E5B"/>
    <w:rsid w:val="00C13775"/>
    <w:rsid w:val="00C13E5E"/>
    <w:rsid w:val="00C14420"/>
    <w:rsid w:val="00C149AB"/>
    <w:rsid w:val="00C153DF"/>
    <w:rsid w:val="00C15FF1"/>
    <w:rsid w:val="00C16C5E"/>
    <w:rsid w:val="00C16EFE"/>
    <w:rsid w:val="00C208AF"/>
    <w:rsid w:val="00C20F09"/>
    <w:rsid w:val="00C21140"/>
    <w:rsid w:val="00C22263"/>
    <w:rsid w:val="00C24147"/>
    <w:rsid w:val="00C24D41"/>
    <w:rsid w:val="00C250ED"/>
    <w:rsid w:val="00C25AED"/>
    <w:rsid w:val="00C25C61"/>
    <w:rsid w:val="00C268D0"/>
    <w:rsid w:val="00C26D4B"/>
    <w:rsid w:val="00C2757D"/>
    <w:rsid w:val="00C27A37"/>
    <w:rsid w:val="00C27E26"/>
    <w:rsid w:val="00C3129A"/>
    <w:rsid w:val="00C31813"/>
    <w:rsid w:val="00C31CC9"/>
    <w:rsid w:val="00C32411"/>
    <w:rsid w:val="00C3260B"/>
    <w:rsid w:val="00C339A8"/>
    <w:rsid w:val="00C34367"/>
    <w:rsid w:val="00C3444E"/>
    <w:rsid w:val="00C34F96"/>
    <w:rsid w:val="00C35893"/>
    <w:rsid w:val="00C35E2A"/>
    <w:rsid w:val="00C36020"/>
    <w:rsid w:val="00C36E87"/>
    <w:rsid w:val="00C37163"/>
    <w:rsid w:val="00C40151"/>
    <w:rsid w:val="00C40694"/>
    <w:rsid w:val="00C410C7"/>
    <w:rsid w:val="00C410F5"/>
    <w:rsid w:val="00C41523"/>
    <w:rsid w:val="00C41912"/>
    <w:rsid w:val="00C41E6A"/>
    <w:rsid w:val="00C42FF7"/>
    <w:rsid w:val="00C43499"/>
    <w:rsid w:val="00C437C7"/>
    <w:rsid w:val="00C43A40"/>
    <w:rsid w:val="00C43C04"/>
    <w:rsid w:val="00C47AF7"/>
    <w:rsid w:val="00C47F00"/>
    <w:rsid w:val="00C50B15"/>
    <w:rsid w:val="00C50B2A"/>
    <w:rsid w:val="00C514E1"/>
    <w:rsid w:val="00C5222D"/>
    <w:rsid w:val="00C5294D"/>
    <w:rsid w:val="00C546DD"/>
    <w:rsid w:val="00C547AA"/>
    <w:rsid w:val="00C5580F"/>
    <w:rsid w:val="00C56E17"/>
    <w:rsid w:val="00C576D6"/>
    <w:rsid w:val="00C616A0"/>
    <w:rsid w:val="00C6357A"/>
    <w:rsid w:val="00C645FB"/>
    <w:rsid w:val="00C649F7"/>
    <w:rsid w:val="00C64EB7"/>
    <w:rsid w:val="00C66E18"/>
    <w:rsid w:val="00C70542"/>
    <w:rsid w:val="00C72480"/>
    <w:rsid w:val="00C74326"/>
    <w:rsid w:val="00C74540"/>
    <w:rsid w:val="00C75A01"/>
    <w:rsid w:val="00C75CBF"/>
    <w:rsid w:val="00C76FA0"/>
    <w:rsid w:val="00C76FD4"/>
    <w:rsid w:val="00C8034A"/>
    <w:rsid w:val="00C80B9F"/>
    <w:rsid w:val="00C815B2"/>
    <w:rsid w:val="00C8245C"/>
    <w:rsid w:val="00C82CC4"/>
    <w:rsid w:val="00C82E4F"/>
    <w:rsid w:val="00C83221"/>
    <w:rsid w:val="00C83836"/>
    <w:rsid w:val="00C84711"/>
    <w:rsid w:val="00C84A8B"/>
    <w:rsid w:val="00C850B6"/>
    <w:rsid w:val="00C86580"/>
    <w:rsid w:val="00C86602"/>
    <w:rsid w:val="00C86A45"/>
    <w:rsid w:val="00C875D6"/>
    <w:rsid w:val="00C87BA5"/>
    <w:rsid w:val="00C90643"/>
    <w:rsid w:val="00C92030"/>
    <w:rsid w:val="00C92C08"/>
    <w:rsid w:val="00C92C40"/>
    <w:rsid w:val="00C9332C"/>
    <w:rsid w:val="00C93B16"/>
    <w:rsid w:val="00C93DBF"/>
    <w:rsid w:val="00C947DC"/>
    <w:rsid w:val="00C94A83"/>
    <w:rsid w:val="00C95D59"/>
    <w:rsid w:val="00C974DF"/>
    <w:rsid w:val="00C977E5"/>
    <w:rsid w:val="00C97C8B"/>
    <w:rsid w:val="00CA045D"/>
    <w:rsid w:val="00CA06EB"/>
    <w:rsid w:val="00CA16B1"/>
    <w:rsid w:val="00CA2EDD"/>
    <w:rsid w:val="00CA33C3"/>
    <w:rsid w:val="00CA3417"/>
    <w:rsid w:val="00CA4815"/>
    <w:rsid w:val="00CA4B3D"/>
    <w:rsid w:val="00CA5000"/>
    <w:rsid w:val="00CA6945"/>
    <w:rsid w:val="00CA6D9D"/>
    <w:rsid w:val="00CA7C78"/>
    <w:rsid w:val="00CA7D32"/>
    <w:rsid w:val="00CB037B"/>
    <w:rsid w:val="00CB0D97"/>
    <w:rsid w:val="00CB1080"/>
    <w:rsid w:val="00CB1B1C"/>
    <w:rsid w:val="00CB2495"/>
    <w:rsid w:val="00CB2CEB"/>
    <w:rsid w:val="00CB389F"/>
    <w:rsid w:val="00CB3908"/>
    <w:rsid w:val="00CB50DD"/>
    <w:rsid w:val="00CB5C62"/>
    <w:rsid w:val="00CB5D22"/>
    <w:rsid w:val="00CB6E59"/>
    <w:rsid w:val="00CC01C7"/>
    <w:rsid w:val="00CC0629"/>
    <w:rsid w:val="00CC2894"/>
    <w:rsid w:val="00CC3FB6"/>
    <w:rsid w:val="00CC64FC"/>
    <w:rsid w:val="00CC69C6"/>
    <w:rsid w:val="00CC6AB4"/>
    <w:rsid w:val="00CC6C8D"/>
    <w:rsid w:val="00CC6F22"/>
    <w:rsid w:val="00CC7253"/>
    <w:rsid w:val="00CD0BFC"/>
    <w:rsid w:val="00CD1136"/>
    <w:rsid w:val="00CD2A3A"/>
    <w:rsid w:val="00CD2C4E"/>
    <w:rsid w:val="00CD438E"/>
    <w:rsid w:val="00CD77C3"/>
    <w:rsid w:val="00CD7901"/>
    <w:rsid w:val="00CE0957"/>
    <w:rsid w:val="00CE0FDC"/>
    <w:rsid w:val="00CE112C"/>
    <w:rsid w:val="00CE1902"/>
    <w:rsid w:val="00CE1E4C"/>
    <w:rsid w:val="00CE254B"/>
    <w:rsid w:val="00CE35F1"/>
    <w:rsid w:val="00CE4DEF"/>
    <w:rsid w:val="00CE6A1D"/>
    <w:rsid w:val="00CE77BD"/>
    <w:rsid w:val="00CE7F07"/>
    <w:rsid w:val="00CF038E"/>
    <w:rsid w:val="00CF061B"/>
    <w:rsid w:val="00CF0BC7"/>
    <w:rsid w:val="00CF1F49"/>
    <w:rsid w:val="00CF22AE"/>
    <w:rsid w:val="00CF3805"/>
    <w:rsid w:val="00CF46D7"/>
    <w:rsid w:val="00CF5486"/>
    <w:rsid w:val="00CF55D4"/>
    <w:rsid w:val="00CF59FD"/>
    <w:rsid w:val="00CF6B87"/>
    <w:rsid w:val="00CF7451"/>
    <w:rsid w:val="00CF7528"/>
    <w:rsid w:val="00CF7876"/>
    <w:rsid w:val="00CF7C5E"/>
    <w:rsid w:val="00CF7F9E"/>
    <w:rsid w:val="00D006F4"/>
    <w:rsid w:val="00D007CD"/>
    <w:rsid w:val="00D0135D"/>
    <w:rsid w:val="00D01B44"/>
    <w:rsid w:val="00D02228"/>
    <w:rsid w:val="00D02B1E"/>
    <w:rsid w:val="00D03181"/>
    <w:rsid w:val="00D03349"/>
    <w:rsid w:val="00D034CA"/>
    <w:rsid w:val="00D06B0A"/>
    <w:rsid w:val="00D07960"/>
    <w:rsid w:val="00D10CFB"/>
    <w:rsid w:val="00D1115F"/>
    <w:rsid w:val="00D12B98"/>
    <w:rsid w:val="00D13E05"/>
    <w:rsid w:val="00D14C18"/>
    <w:rsid w:val="00D1558A"/>
    <w:rsid w:val="00D15D49"/>
    <w:rsid w:val="00D16593"/>
    <w:rsid w:val="00D16FA5"/>
    <w:rsid w:val="00D209FC"/>
    <w:rsid w:val="00D215DF"/>
    <w:rsid w:val="00D22657"/>
    <w:rsid w:val="00D23203"/>
    <w:rsid w:val="00D23E12"/>
    <w:rsid w:val="00D25F19"/>
    <w:rsid w:val="00D267F5"/>
    <w:rsid w:val="00D26FA9"/>
    <w:rsid w:val="00D30CA2"/>
    <w:rsid w:val="00D31384"/>
    <w:rsid w:val="00D3345B"/>
    <w:rsid w:val="00D340F7"/>
    <w:rsid w:val="00D34814"/>
    <w:rsid w:val="00D35E71"/>
    <w:rsid w:val="00D364C4"/>
    <w:rsid w:val="00D40342"/>
    <w:rsid w:val="00D404B1"/>
    <w:rsid w:val="00D408E0"/>
    <w:rsid w:val="00D415D4"/>
    <w:rsid w:val="00D423F3"/>
    <w:rsid w:val="00D42A5D"/>
    <w:rsid w:val="00D447C4"/>
    <w:rsid w:val="00D44FD5"/>
    <w:rsid w:val="00D45780"/>
    <w:rsid w:val="00D47406"/>
    <w:rsid w:val="00D4775D"/>
    <w:rsid w:val="00D47FD5"/>
    <w:rsid w:val="00D5086F"/>
    <w:rsid w:val="00D510C7"/>
    <w:rsid w:val="00D52C62"/>
    <w:rsid w:val="00D534B7"/>
    <w:rsid w:val="00D53B9F"/>
    <w:rsid w:val="00D53C2A"/>
    <w:rsid w:val="00D53E73"/>
    <w:rsid w:val="00D557D2"/>
    <w:rsid w:val="00D55802"/>
    <w:rsid w:val="00D6028E"/>
    <w:rsid w:val="00D605EA"/>
    <w:rsid w:val="00D6069D"/>
    <w:rsid w:val="00D6077B"/>
    <w:rsid w:val="00D607E5"/>
    <w:rsid w:val="00D608DA"/>
    <w:rsid w:val="00D61559"/>
    <w:rsid w:val="00D62321"/>
    <w:rsid w:val="00D624BE"/>
    <w:rsid w:val="00D634B8"/>
    <w:rsid w:val="00D641B2"/>
    <w:rsid w:val="00D6460B"/>
    <w:rsid w:val="00D64843"/>
    <w:rsid w:val="00D6565A"/>
    <w:rsid w:val="00D65A2C"/>
    <w:rsid w:val="00D70670"/>
    <w:rsid w:val="00D714EE"/>
    <w:rsid w:val="00D71C95"/>
    <w:rsid w:val="00D72889"/>
    <w:rsid w:val="00D730BF"/>
    <w:rsid w:val="00D74D0A"/>
    <w:rsid w:val="00D752A5"/>
    <w:rsid w:val="00D752CA"/>
    <w:rsid w:val="00D7598B"/>
    <w:rsid w:val="00D75C20"/>
    <w:rsid w:val="00D761CB"/>
    <w:rsid w:val="00D7726C"/>
    <w:rsid w:val="00D80E33"/>
    <w:rsid w:val="00D810F6"/>
    <w:rsid w:val="00D81268"/>
    <w:rsid w:val="00D81931"/>
    <w:rsid w:val="00D82921"/>
    <w:rsid w:val="00D8385B"/>
    <w:rsid w:val="00D841CD"/>
    <w:rsid w:val="00D848F7"/>
    <w:rsid w:val="00D86B56"/>
    <w:rsid w:val="00D87CEE"/>
    <w:rsid w:val="00D9236B"/>
    <w:rsid w:val="00D92B1F"/>
    <w:rsid w:val="00D9340A"/>
    <w:rsid w:val="00D938EA"/>
    <w:rsid w:val="00D93FAA"/>
    <w:rsid w:val="00D951C5"/>
    <w:rsid w:val="00D954B4"/>
    <w:rsid w:val="00D95A98"/>
    <w:rsid w:val="00D96042"/>
    <w:rsid w:val="00D96FA6"/>
    <w:rsid w:val="00D978F1"/>
    <w:rsid w:val="00D97A26"/>
    <w:rsid w:val="00DA17C9"/>
    <w:rsid w:val="00DA185B"/>
    <w:rsid w:val="00DA1873"/>
    <w:rsid w:val="00DA33F8"/>
    <w:rsid w:val="00DA3B6A"/>
    <w:rsid w:val="00DA3D40"/>
    <w:rsid w:val="00DA51E1"/>
    <w:rsid w:val="00DA5218"/>
    <w:rsid w:val="00DA6C83"/>
    <w:rsid w:val="00DB0EE9"/>
    <w:rsid w:val="00DB11B4"/>
    <w:rsid w:val="00DB1787"/>
    <w:rsid w:val="00DB5289"/>
    <w:rsid w:val="00DB606A"/>
    <w:rsid w:val="00DB660F"/>
    <w:rsid w:val="00DB6713"/>
    <w:rsid w:val="00DC0B17"/>
    <w:rsid w:val="00DC1A9B"/>
    <w:rsid w:val="00DC20C3"/>
    <w:rsid w:val="00DC3788"/>
    <w:rsid w:val="00DC3E0C"/>
    <w:rsid w:val="00DC446B"/>
    <w:rsid w:val="00DC4F5B"/>
    <w:rsid w:val="00DC76C7"/>
    <w:rsid w:val="00DC77D1"/>
    <w:rsid w:val="00DD09F5"/>
    <w:rsid w:val="00DD1CF5"/>
    <w:rsid w:val="00DD2C65"/>
    <w:rsid w:val="00DD4166"/>
    <w:rsid w:val="00DD4201"/>
    <w:rsid w:val="00DD523D"/>
    <w:rsid w:val="00DD54A2"/>
    <w:rsid w:val="00DD5507"/>
    <w:rsid w:val="00DD5E9F"/>
    <w:rsid w:val="00DD6E15"/>
    <w:rsid w:val="00DD7F4B"/>
    <w:rsid w:val="00DE0279"/>
    <w:rsid w:val="00DE13AD"/>
    <w:rsid w:val="00DE268A"/>
    <w:rsid w:val="00DE4129"/>
    <w:rsid w:val="00DE4931"/>
    <w:rsid w:val="00DE5711"/>
    <w:rsid w:val="00DE665A"/>
    <w:rsid w:val="00DE6EAB"/>
    <w:rsid w:val="00DE75E3"/>
    <w:rsid w:val="00DF0197"/>
    <w:rsid w:val="00DF1491"/>
    <w:rsid w:val="00DF1901"/>
    <w:rsid w:val="00DF25FC"/>
    <w:rsid w:val="00DF3D12"/>
    <w:rsid w:val="00DF55D0"/>
    <w:rsid w:val="00DF6006"/>
    <w:rsid w:val="00DF6516"/>
    <w:rsid w:val="00DF6968"/>
    <w:rsid w:val="00DF6B7C"/>
    <w:rsid w:val="00E0064F"/>
    <w:rsid w:val="00E00EA0"/>
    <w:rsid w:val="00E0205A"/>
    <w:rsid w:val="00E02427"/>
    <w:rsid w:val="00E02487"/>
    <w:rsid w:val="00E030F4"/>
    <w:rsid w:val="00E04563"/>
    <w:rsid w:val="00E0667B"/>
    <w:rsid w:val="00E069FD"/>
    <w:rsid w:val="00E0738F"/>
    <w:rsid w:val="00E10064"/>
    <w:rsid w:val="00E1047B"/>
    <w:rsid w:val="00E11032"/>
    <w:rsid w:val="00E12269"/>
    <w:rsid w:val="00E1227B"/>
    <w:rsid w:val="00E12C7B"/>
    <w:rsid w:val="00E13633"/>
    <w:rsid w:val="00E138F1"/>
    <w:rsid w:val="00E14A3C"/>
    <w:rsid w:val="00E15254"/>
    <w:rsid w:val="00E16253"/>
    <w:rsid w:val="00E162EE"/>
    <w:rsid w:val="00E17944"/>
    <w:rsid w:val="00E20B97"/>
    <w:rsid w:val="00E21903"/>
    <w:rsid w:val="00E22855"/>
    <w:rsid w:val="00E2309D"/>
    <w:rsid w:val="00E2344D"/>
    <w:rsid w:val="00E234D7"/>
    <w:rsid w:val="00E2370B"/>
    <w:rsid w:val="00E26758"/>
    <w:rsid w:val="00E26F80"/>
    <w:rsid w:val="00E27112"/>
    <w:rsid w:val="00E271FA"/>
    <w:rsid w:val="00E27633"/>
    <w:rsid w:val="00E27955"/>
    <w:rsid w:val="00E3032B"/>
    <w:rsid w:val="00E3091B"/>
    <w:rsid w:val="00E30E7D"/>
    <w:rsid w:val="00E31059"/>
    <w:rsid w:val="00E31228"/>
    <w:rsid w:val="00E31F70"/>
    <w:rsid w:val="00E32724"/>
    <w:rsid w:val="00E330BF"/>
    <w:rsid w:val="00E3313A"/>
    <w:rsid w:val="00E33162"/>
    <w:rsid w:val="00E3341A"/>
    <w:rsid w:val="00E34F83"/>
    <w:rsid w:val="00E36308"/>
    <w:rsid w:val="00E40B3F"/>
    <w:rsid w:val="00E42338"/>
    <w:rsid w:val="00E423FC"/>
    <w:rsid w:val="00E425E4"/>
    <w:rsid w:val="00E4357B"/>
    <w:rsid w:val="00E43BCD"/>
    <w:rsid w:val="00E4411F"/>
    <w:rsid w:val="00E45120"/>
    <w:rsid w:val="00E45940"/>
    <w:rsid w:val="00E45D6E"/>
    <w:rsid w:val="00E46962"/>
    <w:rsid w:val="00E46AAF"/>
    <w:rsid w:val="00E46CC3"/>
    <w:rsid w:val="00E47F64"/>
    <w:rsid w:val="00E47F83"/>
    <w:rsid w:val="00E507F6"/>
    <w:rsid w:val="00E539B2"/>
    <w:rsid w:val="00E53EBE"/>
    <w:rsid w:val="00E553FD"/>
    <w:rsid w:val="00E559C0"/>
    <w:rsid w:val="00E55A65"/>
    <w:rsid w:val="00E5617F"/>
    <w:rsid w:val="00E56418"/>
    <w:rsid w:val="00E565FA"/>
    <w:rsid w:val="00E566E2"/>
    <w:rsid w:val="00E6011C"/>
    <w:rsid w:val="00E607C9"/>
    <w:rsid w:val="00E63C13"/>
    <w:rsid w:val="00E63C84"/>
    <w:rsid w:val="00E63DE5"/>
    <w:rsid w:val="00E65A37"/>
    <w:rsid w:val="00E65EEA"/>
    <w:rsid w:val="00E668D5"/>
    <w:rsid w:val="00E70872"/>
    <w:rsid w:val="00E70D31"/>
    <w:rsid w:val="00E710C7"/>
    <w:rsid w:val="00E713E6"/>
    <w:rsid w:val="00E71524"/>
    <w:rsid w:val="00E719AE"/>
    <w:rsid w:val="00E75E35"/>
    <w:rsid w:val="00E76389"/>
    <w:rsid w:val="00E76E21"/>
    <w:rsid w:val="00E77B48"/>
    <w:rsid w:val="00E77BA5"/>
    <w:rsid w:val="00E80004"/>
    <w:rsid w:val="00E80FC2"/>
    <w:rsid w:val="00E8441F"/>
    <w:rsid w:val="00E8450F"/>
    <w:rsid w:val="00E852AF"/>
    <w:rsid w:val="00E858B7"/>
    <w:rsid w:val="00E86351"/>
    <w:rsid w:val="00E86714"/>
    <w:rsid w:val="00E87216"/>
    <w:rsid w:val="00E9020B"/>
    <w:rsid w:val="00E90502"/>
    <w:rsid w:val="00E91799"/>
    <w:rsid w:val="00E91AC1"/>
    <w:rsid w:val="00E91CEB"/>
    <w:rsid w:val="00E92280"/>
    <w:rsid w:val="00E94A70"/>
    <w:rsid w:val="00E95C49"/>
    <w:rsid w:val="00E9718A"/>
    <w:rsid w:val="00EA0A60"/>
    <w:rsid w:val="00EA1342"/>
    <w:rsid w:val="00EA15E8"/>
    <w:rsid w:val="00EA1843"/>
    <w:rsid w:val="00EA1AD8"/>
    <w:rsid w:val="00EA1EB5"/>
    <w:rsid w:val="00EA21FE"/>
    <w:rsid w:val="00EA2EE5"/>
    <w:rsid w:val="00EA3127"/>
    <w:rsid w:val="00EA34E3"/>
    <w:rsid w:val="00EA4759"/>
    <w:rsid w:val="00EA5F27"/>
    <w:rsid w:val="00EA6ED9"/>
    <w:rsid w:val="00EA7AAD"/>
    <w:rsid w:val="00EB022E"/>
    <w:rsid w:val="00EB0732"/>
    <w:rsid w:val="00EB2487"/>
    <w:rsid w:val="00EB264A"/>
    <w:rsid w:val="00EB447E"/>
    <w:rsid w:val="00EB563C"/>
    <w:rsid w:val="00EB68FA"/>
    <w:rsid w:val="00EB7538"/>
    <w:rsid w:val="00EC34A6"/>
    <w:rsid w:val="00EC427D"/>
    <w:rsid w:val="00ED1425"/>
    <w:rsid w:val="00ED1945"/>
    <w:rsid w:val="00ED30A6"/>
    <w:rsid w:val="00ED3769"/>
    <w:rsid w:val="00ED37CC"/>
    <w:rsid w:val="00ED37F1"/>
    <w:rsid w:val="00ED527A"/>
    <w:rsid w:val="00ED6291"/>
    <w:rsid w:val="00ED74C7"/>
    <w:rsid w:val="00ED7B9B"/>
    <w:rsid w:val="00EE177B"/>
    <w:rsid w:val="00EE3B45"/>
    <w:rsid w:val="00EE5686"/>
    <w:rsid w:val="00EE58D5"/>
    <w:rsid w:val="00EE6468"/>
    <w:rsid w:val="00EE6550"/>
    <w:rsid w:val="00EE6867"/>
    <w:rsid w:val="00EE6DB8"/>
    <w:rsid w:val="00EE6FBC"/>
    <w:rsid w:val="00EE7A5E"/>
    <w:rsid w:val="00EF06B3"/>
    <w:rsid w:val="00EF0D21"/>
    <w:rsid w:val="00EF0E3A"/>
    <w:rsid w:val="00EF14B6"/>
    <w:rsid w:val="00EF183E"/>
    <w:rsid w:val="00EF1A12"/>
    <w:rsid w:val="00EF1A48"/>
    <w:rsid w:val="00EF261D"/>
    <w:rsid w:val="00EF2CB8"/>
    <w:rsid w:val="00EF3637"/>
    <w:rsid w:val="00EF393C"/>
    <w:rsid w:val="00EF3C3F"/>
    <w:rsid w:val="00EF458A"/>
    <w:rsid w:val="00EF47AB"/>
    <w:rsid w:val="00EF4B34"/>
    <w:rsid w:val="00EF5234"/>
    <w:rsid w:val="00EF731C"/>
    <w:rsid w:val="00EF75F0"/>
    <w:rsid w:val="00EF7A71"/>
    <w:rsid w:val="00F0024B"/>
    <w:rsid w:val="00F005CA"/>
    <w:rsid w:val="00F02297"/>
    <w:rsid w:val="00F022A0"/>
    <w:rsid w:val="00F02B32"/>
    <w:rsid w:val="00F03B0C"/>
    <w:rsid w:val="00F03C32"/>
    <w:rsid w:val="00F05C83"/>
    <w:rsid w:val="00F061D9"/>
    <w:rsid w:val="00F0651A"/>
    <w:rsid w:val="00F0655B"/>
    <w:rsid w:val="00F06A41"/>
    <w:rsid w:val="00F06CE0"/>
    <w:rsid w:val="00F06D31"/>
    <w:rsid w:val="00F07B4E"/>
    <w:rsid w:val="00F117F3"/>
    <w:rsid w:val="00F12027"/>
    <w:rsid w:val="00F1224F"/>
    <w:rsid w:val="00F12EEB"/>
    <w:rsid w:val="00F1379E"/>
    <w:rsid w:val="00F153A9"/>
    <w:rsid w:val="00F164EE"/>
    <w:rsid w:val="00F16CFB"/>
    <w:rsid w:val="00F16E57"/>
    <w:rsid w:val="00F17158"/>
    <w:rsid w:val="00F174E5"/>
    <w:rsid w:val="00F207A4"/>
    <w:rsid w:val="00F20C63"/>
    <w:rsid w:val="00F212B3"/>
    <w:rsid w:val="00F245E0"/>
    <w:rsid w:val="00F24EA8"/>
    <w:rsid w:val="00F25085"/>
    <w:rsid w:val="00F27E5F"/>
    <w:rsid w:val="00F3016D"/>
    <w:rsid w:val="00F30931"/>
    <w:rsid w:val="00F31197"/>
    <w:rsid w:val="00F315DF"/>
    <w:rsid w:val="00F3386B"/>
    <w:rsid w:val="00F338F8"/>
    <w:rsid w:val="00F34361"/>
    <w:rsid w:val="00F346F9"/>
    <w:rsid w:val="00F347C1"/>
    <w:rsid w:val="00F3498F"/>
    <w:rsid w:val="00F355AC"/>
    <w:rsid w:val="00F37287"/>
    <w:rsid w:val="00F37499"/>
    <w:rsid w:val="00F37F94"/>
    <w:rsid w:val="00F404DE"/>
    <w:rsid w:val="00F407EA"/>
    <w:rsid w:val="00F40F2F"/>
    <w:rsid w:val="00F416C0"/>
    <w:rsid w:val="00F431E5"/>
    <w:rsid w:val="00F44533"/>
    <w:rsid w:val="00F45C1E"/>
    <w:rsid w:val="00F4608F"/>
    <w:rsid w:val="00F463CA"/>
    <w:rsid w:val="00F46EBB"/>
    <w:rsid w:val="00F477C4"/>
    <w:rsid w:val="00F50915"/>
    <w:rsid w:val="00F5252C"/>
    <w:rsid w:val="00F5265F"/>
    <w:rsid w:val="00F53B2C"/>
    <w:rsid w:val="00F551A0"/>
    <w:rsid w:val="00F55540"/>
    <w:rsid w:val="00F55548"/>
    <w:rsid w:val="00F55AC4"/>
    <w:rsid w:val="00F56EC3"/>
    <w:rsid w:val="00F57DC4"/>
    <w:rsid w:val="00F60928"/>
    <w:rsid w:val="00F62561"/>
    <w:rsid w:val="00F62928"/>
    <w:rsid w:val="00F62B3F"/>
    <w:rsid w:val="00F62F42"/>
    <w:rsid w:val="00F64C44"/>
    <w:rsid w:val="00F64E46"/>
    <w:rsid w:val="00F66330"/>
    <w:rsid w:val="00F71A5A"/>
    <w:rsid w:val="00F724B6"/>
    <w:rsid w:val="00F72722"/>
    <w:rsid w:val="00F731F9"/>
    <w:rsid w:val="00F73510"/>
    <w:rsid w:val="00F743C7"/>
    <w:rsid w:val="00F74ED1"/>
    <w:rsid w:val="00F74F6E"/>
    <w:rsid w:val="00F75CF1"/>
    <w:rsid w:val="00F76882"/>
    <w:rsid w:val="00F769E0"/>
    <w:rsid w:val="00F77D4B"/>
    <w:rsid w:val="00F80FE3"/>
    <w:rsid w:val="00F810E5"/>
    <w:rsid w:val="00F81C23"/>
    <w:rsid w:val="00F83B86"/>
    <w:rsid w:val="00F841CA"/>
    <w:rsid w:val="00F844B0"/>
    <w:rsid w:val="00F84D69"/>
    <w:rsid w:val="00F86211"/>
    <w:rsid w:val="00F86B3D"/>
    <w:rsid w:val="00F87B87"/>
    <w:rsid w:val="00F87D78"/>
    <w:rsid w:val="00F9072A"/>
    <w:rsid w:val="00F9159A"/>
    <w:rsid w:val="00F92B6C"/>
    <w:rsid w:val="00F9555A"/>
    <w:rsid w:val="00F958C4"/>
    <w:rsid w:val="00F96402"/>
    <w:rsid w:val="00FA19C4"/>
    <w:rsid w:val="00FA1ED2"/>
    <w:rsid w:val="00FA1F88"/>
    <w:rsid w:val="00FA2102"/>
    <w:rsid w:val="00FA27A8"/>
    <w:rsid w:val="00FA43C8"/>
    <w:rsid w:val="00FA610F"/>
    <w:rsid w:val="00FA75FE"/>
    <w:rsid w:val="00FB0DAF"/>
    <w:rsid w:val="00FB1032"/>
    <w:rsid w:val="00FB17D3"/>
    <w:rsid w:val="00FB1CD6"/>
    <w:rsid w:val="00FB21A6"/>
    <w:rsid w:val="00FB2448"/>
    <w:rsid w:val="00FB2659"/>
    <w:rsid w:val="00FB28D9"/>
    <w:rsid w:val="00FB2D75"/>
    <w:rsid w:val="00FB3479"/>
    <w:rsid w:val="00FB47A9"/>
    <w:rsid w:val="00FB48CA"/>
    <w:rsid w:val="00FB4FE6"/>
    <w:rsid w:val="00FB5B63"/>
    <w:rsid w:val="00FB5C80"/>
    <w:rsid w:val="00FB6177"/>
    <w:rsid w:val="00FB74BA"/>
    <w:rsid w:val="00FB7B4F"/>
    <w:rsid w:val="00FB7E42"/>
    <w:rsid w:val="00FC039D"/>
    <w:rsid w:val="00FC0C22"/>
    <w:rsid w:val="00FC17F9"/>
    <w:rsid w:val="00FC2C4F"/>
    <w:rsid w:val="00FC3440"/>
    <w:rsid w:val="00FC4203"/>
    <w:rsid w:val="00FC528C"/>
    <w:rsid w:val="00FC5C58"/>
    <w:rsid w:val="00FC652B"/>
    <w:rsid w:val="00FC6B2D"/>
    <w:rsid w:val="00FC6BDE"/>
    <w:rsid w:val="00FC6E48"/>
    <w:rsid w:val="00FD1332"/>
    <w:rsid w:val="00FD27EF"/>
    <w:rsid w:val="00FD2E7F"/>
    <w:rsid w:val="00FD48AD"/>
    <w:rsid w:val="00FD5052"/>
    <w:rsid w:val="00FD524B"/>
    <w:rsid w:val="00FD5624"/>
    <w:rsid w:val="00FD75CE"/>
    <w:rsid w:val="00FE0698"/>
    <w:rsid w:val="00FE32D1"/>
    <w:rsid w:val="00FE36F5"/>
    <w:rsid w:val="00FE3746"/>
    <w:rsid w:val="00FE37AC"/>
    <w:rsid w:val="00FE528E"/>
    <w:rsid w:val="00FE5DFE"/>
    <w:rsid w:val="00FE5F87"/>
    <w:rsid w:val="00FE680E"/>
    <w:rsid w:val="00FE72D1"/>
    <w:rsid w:val="00FE7B56"/>
    <w:rsid w:val="00FF0CC0"/>
    <w:rsid w:val="00FF5BFE"/>
    <w:rsid w:val="00FF6276"/>
    <w:rsid w:val="00FF6F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2BB2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6CCF"/>
    <w:rPr>
      <w:sz w:val="24"/>
      <w:szCs w:val="24"/>
    </w:rPr>
  </w:style>
  <w:style w:type="paragraph" w:styleId="Heading2">
    <w:name w:val="heading 2"/>
    <w:basedOn w:val="Normal"/>
    <w:next w:val="Normal"/>
    <w:link w:val="Heading2Char"/>
    <w:unhideWhenUsed/>
    <w:qFormat/>
    <w:rsid w:val="00D40342"/>
    <w:pPr>
      <w:keepNext/>
      <w:keepLines/>
      <w:numPr>
        <w:numId w:val="54"/>
      </w:numPr>
      <w:spacing w:before="200" w:after="120" w:line="276" w:lineRule="auto"/>
      <w:ind w:left="360"/>
      <w:outlineLvl w:val="1"/>
    </w:pPr>
    <w:rPr>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uiPriority w:val="99"/>
    <w:semiHidden/>
    <w:rsid w:val="00254069"/>
    <w:rPr>
      <w:rFonts w:ascii="Tahoma" w:hAnsi="Tahoma" w:cs="Tahoma"/>
      <w:sz w:val="16"/>
      <w:szCs w:val="16"/>
    </w:rPr>
  </w:style>
  <w:style w:type="table" w:styleId="TableGrid">
    <w:name w:val="Table Grid"/>
    <w:basedOn w:val="TableNormal"/>
    <w:uiPriority w:val="59"/>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FootnoteText">
    <w:name w:val="footnote text"/>
    <w:basedOn w:val="Normal"/>
    <w:link w:val="FootnoteTextChar"/>
    <w:uiPriority w:val="99"/>
    <w:unhideWhenUsed/>
    <w:rsid w:val="0097244E"/>
    <w:rPr>
      <w:rFonts w:eastAsia="SimSun"/>
      <w:sz w:val="20"/>
      <w:szCs w:val="20"/>
    </w:rPr>
  </w:style>
  <w:style w:type="character" w:customStyle="1" w:styleId="FootnoteTextChar">
    <w:name w:val="Footnote Text Char"/>
    <w:link w:val="FootnoteText"/>
    <w:uiPriority w:val="99"/>
    <w:rsid w:val="0097244E"/>
    <w:rPr>
      <w:rFonts w:eastAsia="SimSun"/>
    </w:rPr>
  </w:style>
  <w:style w:type="character" w:customStyle="1" w:styleId="StyleNormalDoublespaceTimesNewRomanChar">
    <w:name w:val="Style Normal Double space + Times New Roman Char"/>
    <w:link w:val="StyleNormalDoublespaceTimesNewRoman"/>
    <w:locked/>
    <w:rsid w:val="0097244E"/>
    <w:rPr>
      <w:sz w:val="24"/>
    </w:rPr>
  </w:style>
  <w:style w:type="paragraph" w:customStyle="1" w:styleId="StyleNormalDoublespaceTimesNewRoman">
    <w:name w:val="Style Normal Double space + Times New Roman"/>
    <w:basedOn w:val="Normal"/>
    <w:link w:val="StyleNormalDoublespaceTimesNewRomanChar"/>
    <w:rsid w:val="0097244E"/>
    <w:pPr>
      <w:spacing w:line="480" w:lineRule="auto"/>
    </w:pPr>
    <w:rPr>
      <w:szCs w:val="20"/>
    </w:rPr>
  </w:style>
  <w:style w:type="character" w:styleId="FootnoteReference">
    <w:name w:val="footnote reference"/>
    <w:uiPriority w:val="99"/>
    <w:unhideWhenUsed/>
    <w:rsid w:val="0097244E"/>
    <w:rPr>
      <w:rFonts w:ascii="Times New Roman" w:hAnsi="Times New Roman" w:cs="Times New Roman" w:hint="default"/>
      <w:vertAlign w:val="superscript"/>
    </w:rPr>
  </w:style>
  <w:style w:type="character" w:styleId="CommentReference">
    <w:name w:val="annotation reference"/>
    <w:uiPriority w:val="99"/>
    <w:rsid w:val="00473390"/>
    <w:rPr>
      <w:sz w:val="16"/>
      <w:szCs w:val="16"/>
    </w:rPr>
  </w:style>
  <w:style w:type="paragraph" w:styleId="CommentText">
    <w:name w:val="annotation text"/>
    <w:basedOn w:val="Normal"/>
    <w:link w:val="CommentTextChar"/>
    <w:uiPriority w:val="99"/>
    <w:rsid w:val="00473390"/>
    <w:rPr>
      <w:sz w:val="20"/>
      <w:szCs w:val="20"/>
    </w:rPr>
  </w:style>
  <w:style w:type="character" w:customStyle="1" w:styleId="CommentTextChar">
    <w:name w:val="Comment Text Char"/>
    <w:basedOn w:val="DefaultParagraphFont"/>
    <w:link w:val="CommentText"/>
    <w:uiPriority w:val="99"/>
    <w:rsid w:val="00473390"/>
  </w:style>
  <w:style w:type="paragraph" w:styleId="CommentSubject">
    <w:name w:val="annotation subject"/>
    <w:basedOn w:val="CommentText"/>
    <w:next w:val="CommentText"/>
    <w:link w:val="CommentSubjectChar"/>
    <w:rsid w:val="00473390"/>
    <w:rPr>
      <w:b/>
      <w:bCs/>
    </w:rPr>
  </w:style>
  <w:style w:type="character" w:customStyle="1" w:styleId="CommentSubjectChar">
    <w:name w:val="Comment Subject Char"/>
    <w:link w:val="CommentSubject"/>
    <w:rsid w:val="00473390"/>
    <w:rPr>
      <w:b/>
      <w:bCs/>
    </w:rPr>
  </w:style>
  <w:style w:type="character" w:styleId="Hyperlink">
    <w:name w:val="Hyperlink"/>
    <w:uiPriority w:val="99"/>
    <w:unhideWhenUsed/>
    <w:rsid w:val="00CE7F07"/>
    <w:rPr>
      <w:color w:val="0000FF"/>
      <w:u w:val="single"/>
    </w:rPr>
  </w:style>
  <w:style w:type="paragraph" w:styleId="Revision">
    <w:name w:val="Revision"/>
    <w:hidden/>
    <w:uiPriority w:val="99"/>
    <w:semiHidden/>
    <w:rsid w:val="00A90361"/>
    <w:rPr>
      <w:sz w:val="24"/>
      <w:szCs w:val="24"/>
    </w:rPr>
  </w:style>
  <w:style w:type="paragraph" w:styleId="ListParagraph">
    <w:name w:val="List Paragraph"/>
    <w:basedOn w:val="Normal"/>
    <w:uiPriority w:val="34"/>
    <w:qFormat/>
    <w:rsid w:val="00E63C13"/>
    <w:pPr>
      <w:ind w:left="720"/>
    </w:pPr>
  </w:style>
  <w:style w:type="character" w:customStyle="1" w:styleId="p">
    <w:name w:val="p"/>
    <w:rsid w:val="000D7C89"/>
  </w:style>
  <w:style w:type="paragraph" w:styleId="NoSpacing">
    <w:name w:val="No Spacing"/>
    <w:uiPriority w:val="1"/>
    <w:qFormat/>
    <w:rsid w:val="00560333"/>
    <w:rPr>
      <w:rFonts w:ascii="Calibri" w:eastAsia="Calibri" w:hAnsi="Calibri"/>
      <w:sz w:val="22"/>
      <w:szCs w:val="22"/>
    </w:rPr>
  </w:style>
  <w:style w:type="character" w:customStyle="1" w:styleId="documentbody">
    <w:name w:val="documentbody"/>
    <w:rsid w:val="000409AD"/>
    <w:rPr>
      <w:rFonts w:ascii="Times New Roman" w:hAnsi="Times New Roman" w:cs="Times New Roman" w:hint="default"/>
    </w:rPr>
  </w:style>
  <w:style w:type="character" w:customStyle="1" w:styleId="Heading2Char">
    <w:name w:val="Heading 2 Char"/>
    <w:link w:val="Heading2"/>
    <w:rsid w:val="00D40342"/>
    <w:rPr>
      <w:b/>
      <w:bCs/>
      <w:sz w:val="24"/>
      <w:szCs w:val="26"/>
    </w:rPr>
  </w:style>
  <w:style w:type="character" w:customStyle="1" w:styleId="BalloonTextChar">
    <w:name w:val="Balloon Text Char"/>
    <w:link w:val="BalloonText"/>
    <w:uiPriority w:val="99"/>
    <w:semiHidden/>
    <w:locked/>
    <w:rsid w:val="00D40342"/>
    <w:rPr>
      <w:rFonts w:ascii="Tahoma" w:hAnsi="Tahoma" w:cs="Tahoma"/>
      <w:sz w:val="16"/>
      <w:szCs w:val="16"/>
    </w:rPr>
  </w:style>
  <w:style w:type="paragraph" w:styleId="Header">
    <w:name w:val="header"/>
    <w:basedOn w:val="Normal"/>
    <w:link w:val="HeaderChar"/>
    <w:rsid w:val="000C4EEA"/>
    <w:pPr>
      <w:tabs>
        <w:tab w:val="center" w:pos="4680"/>
        <w:tab w:val="right" w:pos="9360"/>
      </w:tabs>
    </w:pPr>
  </w:style>
  <w:style w:type="character" w:customStyle="1" w:styleId="HeaderChar">
    <w:name w:val="Header Char"/>
    <w:link w:val="Header"/>
    <w:rsid w:val="000C4EEA"/>
    <w:rPr>
      <w:sz w:val="24"/>
      <w:szCs w:val="24"/>
    </w:rPr>
  </w:style>
  <w:style w:type="character" w:styleId="UnresolvedMention">
    <w:name w:val="Unresolved Mention"/>
    <w:basedOn w:val="DefaultParagraphFont"/>
    <w:uiPriority w:val="99"/>
    <w:semiHidden/>
    <w:unhideWhenUsed/>
    <w:rsid w:val="00CC3FB6"/>
    <w:rPr>
      <w:color w:val="605E5C"/>
      <w:shd w:val="clear" w:color="auto" w:fill="E1DFDD"/>
    </w:rPr>
  </w:style>
  <w:style w:type="character" w:styleId="FollowedHyperlink">
    <w:name w:val="FollowedHyperlink"/>
    <w:basedOn w:val="DefaultParagraphFont"/>
    <w:rsid w:val="00E668D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8230843">
      <w:bodyDiv w:val="1"/>
      <w:marLeft w:val="0"/>
      <w:marRight w:val="0"/>
      <w:marTop w:val="0"/>
      <w:marBottom w:val="0"/>
      <w:divBdr>
        <w:top w:val="none" w:sz="0" w:space="0" w:color="auto"/>
        <w:left w:val="none" w:sz="0" w:space="0" w:color="auto"/>
        <w:bottom w:val="none" w:sz="0" w:space="0" w:color="auto"/>
        <w:right w:val="none" w:sz="0" w:space="0" w:color="auto"/>
      </w:divBdr>
    </w:div>
    <w:div w:id="763497220">
      <w:bodyDiv w:val="1"/>
      <w:marLeft w:val="0"/>
      <w:marRight w:val="0"/>
      <w:marTop w:val="0"/>
      <w:marBottom w:val="0"/>
      <w:divBdr>
        <w:top w:val="none" w:sz="0" w:space="0" w:color="auto"/>
        <w:left w:val="none" w:sz="0" w:space="0" w:color="auto"/>
        <w:bottom w:val="none" w:sz="0" w:space="0" w:color="auto"/>
        <w:right w:val="none" w:sz="0" w:space="0" w:color="auto"/>
      </w:divBdr>
    </w:div>
    <w:div w:id="875507355">
      <w:bodyDiv w:val="1"/>
      <w:marLeft w:val="0"/>
      <w:marRight w:val="0"/>
      <w:marTop w:val="0"/>
      <w:marBottom w:val="0"/>
      <w:divBdr>
        <w:top w:val="none" w:sz="0" w:space="0" w:color="auto"/>
        <w:left w:val="none" w:sz="0" w:space="0" w:color="auto"/>
        <w:bottom w:val="none" w:sz="0" w:space="0" w:color="auto"/>
        <w:right w:val="none" w:sz="0" w:space="0" w:color="auto"/>
      </w:divBdr>
    </w:div>
    <w:div w:id="1039940692">
      <w:bodyDiv w:val="1"/>
      <w:marLeft w:val="0"/>
      <w:marRight w:val="0"/>
      <w:marTop w:val="0"/>
      <w:marBottom w:val="0"/>
      <w:divBdr>
        <w:top w:val="none" w:sz="0" w:space="0" w:color="auto"/>
        <w:left w:val="none" w:sz="0" w:space="0" w:color="auto"/>
        <w:bottom w:val="none" w:sz="0" w:space="0" w:color="auto"/>
        <w:right w:val="none" w:sz="0" w:space="0" w:color="auto"/>
      </w:divBdr>
    </w:div>
    <w:div w:id="1188527055">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93438094">
      <w:bodyDiv w:val="1"/>
      <w:marLeft w:val="0"/>
      <w:marRight w:val="0"/>
      <w:marTop w:val="0"/>
      <w:marBottom w:val="0"/>
      <w:divBdr>
        <w:top w:val="none" w:sz="0" w:space="0" w:color="auto"/>
        <w:left w:val="none" w:sz="0" w:space="0" w:color="auto"/>
        <w:bottom w:val="none" w:sz="0" w:space="0" w:color="auto"/>
        <w:right w:val="none" w:sz="0" w:space="0" w:color="auto"/>
      </w:divBdr>
    </w:div>
    <w:div w:id="1577544595">
      <w:bodyDiv w:val="1"/>
      <w:marLeft w:val="0"/>
      <w:marRight w:val="0"/>
      <w:marTop w:val="0"/>
      <w:marBottom w:val="0"/>
      <w:divBdr>
        <w:top w:val="none" w:sz="0" w:space="0" w:color="auto"/>
        <w:left w:val="none" w:sz="0" w:space="0" w:color="auto"/>
        <w:bottom w:val="none" w:sz="0" w:space="0" w:color="auto"/>
        <w:right w:val="none" w:sz="0" w:space="0" w:color="auto"/>
      </w:divBdr>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756050096">
      <w:bodyDiv w:val="1"/>
      <w:marLeft w:val="0"/>
      <w:marRight w:val="0"/>
      <w:marTop w:val="0"/>
      <w:marBottom w:val="0"/>
      <w:divBdr>
        <w:top w:val="none" w:sz="0" w:space="0" w:color="auto"/>
        <w:left w:val="none" w:sz="0" w:space="0" w:color="auto"/>
        <w:bottom w:val="none" w:sz="0" w:space="0" w:color="auto"/>
        <w:right w:val="none" w:sz="0" w:space="0" w:color="auto"/>
      </w:divBdr>
    </w:div>
    <w:div w:id="1762798139">
      <w:bodyDiv w:val="1"/>
      <w:marLeft w:val="0"/>
      <w:marRight w:val="0"/>
      <w:marTop w:val="0"/>
      <w:marBottom w:val="0"/>
      <w:divBdr>
        <w:top w:val="none" w:sz="0" w:space="0" w:color="auto"/>
        <w:left w:val="none" w:sz="0" w:space="0" w:color="auto"/>
        <w:bottom w:val="none" w:sz="0" w:space="0" w:color="auto"/>
        <w:right w:val="none" w:sz="0" w:space="0" w:color="auto"/>
      </w:divBdr>
    </w:div>
    <w:div w:id="1784300689">
      <w:bodyDiv w:val="1"/>
      <w:marLeft w:val="0"/>
      <w:marRight w:val="0"/>
      <w:marTop w:val="0"/>
      <w:marBottom w:val="0"/>
      <w:divBdr>
        <w:top w:val="none" w:sz="0" w:space="0" w:color="auto"/>
        <w:left w:val="none" w:sz="0" w:space="0" w:color="auto"/>
        <w:bottom w:val="none" w:sz="0" w:space="0" w:color="auto"/>
        <w:right w:val="none" w:sz="0" w:space="0" w:color="auto"/>
      </w:divBdr>
    </w:div>
    <w:div w:id="1880782107">
      <w:bodyDiv w:val="1"/>
      <w:marLeft w:val="0"/>
      <w:marRight w:val="0"/>
      <w:marTop w:val="0"/>
      <w:marBottom w:val="0"/>
      <w:divBdr>
        <w:top w:val="none" w:sz="0" w:space="0" w:color="auto"/>
        <w:left w:val="none" w:sz="0" w:space="0" w:color="auto"/>
        <w:bottom w:val="none" w:sz="0" w:space="0" w:color="auto"/>
        <w:right w:val="none" w:sz="0" w:space="0" w:color="auto"/>
      </w:divBdr>
    </w:div>
    <w:div w:id="2001149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da.gov/industry/small-business-assistan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666C93-AAC9-408F-BFF9-1FCE938BD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5349</Words>
  <Characters>30491</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2021-11-29T13:51:00Z</dcterms:created>
  <dcterms:modified xsi:type="dcterms:W3CDTF">2021-11-29T13:52:00Z</dcterms:modified>
</cp:coreProperties>
</file>