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160" w:rsidRDefault="00F67160" w:rsidP="00F67160">
      <w:pPr>
        <w:spacing w:after="0" w:line="288" w:lineRule="auto"/>
        <w:outlineLvl w:val="2"/>
        <w:rPr>
          <w:rFonts w:ascii="Courier New" w:eastAsia="Times New Roman" w:hAnsi="Courier New" w:cs="Courier New"/>
          <w:b/>
          <w:bCs/>
          <w:color w:val="000000"/>
          <w:sz w:val="24"/>
          <w:szCs w:val="24"/>
          <w:lang w:val="en"/>
        </w:rPr>
      </w:pPr>
      <w:bookmarkStart w:id="0" w:name="_GoBack"/>
      <w:bookmarkEnd w:id="0"/>
      <w:r>
        <w:rPr>
          <w:rFonts w:ascii="Courier New" w:eastAsia="Times New Roman" w:hAnsi="Courier New" w:cs="Courier New"/>
          <w:b/>
          <w:bCs/>
          <w:color w:val="000000"/>
          <w:sz w:val="24"/>
          <w:szCs w:val="24"/>
          <w:lang w:val="en"/>
        </w:rPr>
        <w:t xml:space="preserve">Reporting requirements highlighted in </w:t>
      </w:r>
      <w:r w:rsidRPr="00F67160">
        <w:rPr>
          <w:rFonts w:ascii="Courier New" w:eastAsia="Times New Roman" w:hAnsi="Courier New" w:cs="Courier New"/>
          <w:b/>
          <w:bCs/>
          <w:color w:val="000000"/>
          <w:sz w:val="24"/>
          <w:szCs w:val="24"/>
          <w:highlight w:val="yellow"/>
          <w:lang w:val="en"/>
        </w:rPr>
        <w:t>yellow</w:t>
      </w:r>
      <w:r>
        <w:rPr>
          <w:rFonts w:ascii="Courier New" w:eastAsia="Times New Roman" w:hAnsi="Courier New" w:cs="Courier New"/>
          <w:b/>
          <w:bCs/>
          <w:color w:val="000000"/>
          <w:sz w:val="24"/>
          <w:szCs w:val="24"/>
          <w:lang w:val="en"/>
        </w:rPr>
        <w:t>.</w:t>
      </w:r>
    </w:p>
    <w:p w:rsidR="00F67160" w:rsidRDefault="00F67160" w:rsidP="00F67160">
      <w:pPr>
        <w:spacing w:after="0" w:line="288" w:lineRule="auto"/>
        <w:outlineLvl w:val="2"/>
        <w:rPr>
          <w:rFonts w:ascii="Courier New" w:eastAsia="Times New Roman" w:hAnsi="Courier New" w:cs="Courier New"/>
          <w:b/>
          <w:bCs/>
          <w:color w:val="000000"/>
          <w:sz w:val="24"/>
          <w:szCs w:val="24"/>
          <w:lang w:val="en"/>
        </w:rPr>
      </w:pPr>
      <w:r>
        <w:rPr>
          <w:rFonts w:ascii="Courier New" w:eastAsia="Times New Roman" w:hAnsi="Courier New" w:cs="Courier New"/>
          <w:b/>
          <w:bCs/>
          <w:color w:val="000000"/>
          <w:sz w:val="24"/>
          <w:szCs w:val="24"/>
          <w:lang w:val="en"/>
        </w:rPr>
        <w:t xml:space="preserve">Recordkeeping requirements highlighted in </w:t>
      </w:r>
      <w:r w:rsidRPr="00F67160">
        <w:rPr>
          <w:rFonts w:ascii="Courier New" w:eastAsia="Times New Roman" w:hAnsi="Courier New" w:cs="Courier New"/>
          <w:b/>
          <w:bCs/>
          <w:color w:val="000000"/>
          <w:sz w:val="24"/>
          <w:szCs w:val="24"/>
          <w:highlight w:val="cyan"/>
          <w:lang w:val="en"/>
        </w:rPr>
        <w:t>blue</w:t>
      </w:r>
      <w:r>
        <w:rPr>
          <w:rFonts w:ascii="Courier New" w:eastAsia="Times New Roman" w:hAnsi="Courier New" w:cs="Courier New"/>
          <w:b/>
          <w:bCs/>
          <w:color w:val="000000"/>
          <w:sz w:val="24"/>
          <w:szCs w:val="24"/>
          <w:lang w:val="en"/>
        </w:rPr>
        <w:t>.</w:t>
      </w:r>
    </w:p>
    <w:p w:rsidR="00F67160" w:rsidRPr="00F67160" w:rsidRDefault="00F67160" w:rsidP="00F67160">
      <w:pPr>
        <w:spacing w:before="240" w:after="0" w:line="288" w:lineRule="auto"/>
        <w:outlineLvl w:val="2"/>
        <w:rPr>
          <w:rFonts w:ascii="Courier New" w:eastAsia="Times New Roman" w:hAnsi="Courier New" w:cs="Courier New"/>
          <w:b/>
          <w:bCs/>
          <w:color w:val="000000"/>
          <w:sz w:val="24"/>
          <w:szCs w:val="24"/>
          <w:lang w:val="en"/>
        </w:rPr>
      </w:pPr>
      <w:r>
        <w:rPr>
          <w:rFonts w:ascii="Courier New" w:eastAsia="Times New Roman" w:hAnsi="Courier New" w:cs="Courier New"/>
          <w:b/>
          <w:bCs/>
          <w:color w:val="000000"/>
          <w:sz w:val="24"/>
          <w:szCs w:val="24"/>
          <w:lang w:val="en"/>
        </w:rPr>
        <w:t xml:space="preserve">FAR </w:t>
      </w:r>
      <w:r w:rsidRPr="00F67160">
        <w:rPr>
          <w:rFonts w:ascii="Courier New" w:eastAsia="Times New Roman" w:hAnsi="Courier New" w:cs="Courier New"/>
          <w:b/>
          <w:bCs/>
          <w:color w:val="000000"/>
          <w:sz w:val="24"/>
          <w:szCs w:val="24"/>
          <w:lang w:val="en"/>
        </w:rPr>
        <w:t>52.245-1 Government Property.</w:t>
      </w:r>
    </w:p>
    <w:p w:rsidR="00F67160" w:rsidRPr="00F67160" w:rsidRDefault="00F67160" w:rsidP="00F67160">
      <w:pPr>
        <w:tabs>
          <w:tab w:val="left" w:pos="360"/>
        </w:tabs>
        <w:spacing w:after="0"/>
        <w:ind w:left="360"/>
        <w:rPr>
          <w:rFonts w:ascii="Courier New" w:hAnsi="Courier New" w:cs="Courier New"/>
          <w:sz w:val="24"/>
          <w:szCs w:val="24"/>
        </w:rPr>
      </w:pPr>
      <w:bookmarkStart w:id="1" w:name="wp1152736"/>
      <w:bookmarkEnd w:id="1"/>
      <w:r>
        <w:rPr>
          <w:rFonts w:ascii="Courier New" w:hAnsi="Courier New" w:cs="Courier New"/>
          <w:sz w:val="24"/>
          <w:szCs w:val="24"/>
        </w:rPr>
        <w:t xml:space="preserve">* * </w:t>
      </w:r>
      <w:r w:rsidRPr="00F67160">
        <w:rPr>
          <w:rFonts w:ascii="Courier New" w:hAnsi="Courier New" w:cs="Courier New"/>
          <w:sz w:val="24"/>
          <w:szCs w:val="24"/>
        </w:rPr>
        <w:t xml:space="preserve">* * * </w:t>
      </w:r>
    </w:p>
    <w:p w:rsidR="00226EF5" w:rsidRPr="00F67160" w:rsidRDefault="00F67160" w:rsidP="00226EF5">
      <w:pPr>
        <w:tabs>
          <w:tab w:val="left" w:pos="360"/>
        </w:tabs>
        <w:spacing w:after="0"/>
        <w:rPr>
          <w:rFonts w:ascii="Courier New" w:hAnsi="Courier New" w:cs="Courier New"/>
          <w:sz w:val="24"/>
          <w:szCs w:val="24"/>
        </w:rPr>
      </w:pPr>
      <w:r>
        <w:rPr>
          <w:rFonts w:ascii="Courier New" w:hAnsi="Courier New" w:cs="Courier New"/>
          <w:sz w:val="24"/>
          <w:szCs w:val="24"/>
        </w:rPr>
        <w:tab/>
      </w:r>
      <w:r w:rsidR="00226EF5" w:rsidRPr="00F67160">
        <w:rPr>
          <w:rFonts w:ascii="Courier New" w:hAnsi="Courier New" w:cs="Courier New"/>
          <w:sz w:val="24"/>
          <w:szCs w:val="24"/>
          <w:highlight w:val="yellow"/>
        </w:rPr>
        <w:t xml:space="preserve">(f) </w:t>
      </w:r>
      <w:r w:rsidR="00226EF5" w:rsidRPr="00F67160">
        <w:rPr>
          <w:rFonts w:ascii="Courier New" w:hAnsi="Courier New" w:cs="Courier New"/>
          <w:i/>
          <w:iCs/>
          <w:sz w:val="24"/>
          <w:szCs w:val="24"/>
          <w:highlight w:val="yellow"/>
        </w:rPr>
        <w:t>Contractor plans and systems.</w:t>
      </w:r>
      <w:r w:rsidR="00226EF5" w:rsidRPr="00F67160">
        <w:rPr>
          <w:rFonts w:ascii="Courier New" w:hAnsi="Courier New" w:cs="Courier New"/>
          <w:sz w:val="24"/>
          <w:szCs w:val="24"/>
        </w:rPr>
        <w:t xml:space="preserve"> </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t>(1) Contractors shall establish and implement property management plans, systems, and procedures at the contract, program, site or entity level to enable the following outcomes:</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 xml:space="preserve">(i) </w:t>
      </w:r>
      <w:r w:rsidRPr="00F67160">
        <w:rPr>
          <w:rFonts w:ascii="Courier New" w:hAnsi="Courier New" w:cs="Courier New"/>
          <w:i/>
          <w:iCs/>
          <w:sz w:val="24"/>
          <w:szCs w:val="24"/>
        </w:rPr>
        <w:t>Acquisition of Property.</w:t>
      </w:r>
      <w:r w:rsidRPr="00F67160">
        <w:rPr>
          <w:rFonts w:ascii="Courier New" w:hAnsi="Courier New" w:cs="Courier New"/>
          <w:sz w:val="24"/>
          <w:szCs w:val="24"/>
        </w:rPr>
        <w:t xml:space="preserve"> The Contractor shall document that all property was acquired consistent with its engineering, production planning, and property control operations.</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highlight w:val="yellow"/>
        </w:rPr>
        <w:t xml:space="preserve">(ii) </w:t>
      </w:r>
      <w:r w:rsidRPr="00F67160">
        <w:rPr>
          <w:rFonts w:ascii="Courier New" w:hAnsi="Courier New" w:cs="Courier New"/>
          <w:i/>
          <w:iCs/>
          <w:sz w:val="24"/>
          <w:szCs w:val="24"/>
          <w:highlight w:val="yellow"/>
        </w:rPr>
        <w:t>Receipt of Government Property.</w:t>
      </w:r>
      <w:r w:rsidRPr="00F67160">
        <w:rPr>
          <w:rFonts w:ascii="Courier New" w:hAnsi="Courier New" w:cs="Courier New"/>
          <w:sz w:val="24"/>
          <w:szCs w:val="24"/>
          <w:highlight w:val="yellow"/>
        </w:rPr>
        <w:t xml:space="preserve"> The Contractor shall receive Government property and document the receipt, record the information necessary to meet the record requirements of paragraph (f)(1)(iii)(A)(1) through (5) of this clause, identify as Government owned in a manner appropriate to the type of property (</w:t>
      </w:r>
      <w:r w:rsidRPr="00F67160">
        <w:rPr>
          <w:rFonts w:ascii="Courier New" w:hAnsi="Courier New" w:cs="Courier New"/>
          <w:i/>
          <w:iCs/>
          <w:sz w:val="24"/>
          <w:szCs w:val="24"/>
          <w:highlight w:val="yellow"/>
        </w:rPr>
        <w:t>e.g.</w:t>
      </w:r>
      <w:r w:rsidRPr="00F67160">
        <w:rPr>
          <w:rFonts w:ascii="Courier New" w:hAnsi="Courier New" w:cs="Courier New"/>
          <w:sz w:val="24"/>
          <w:szCs w:val="24"/>
          <w:highlight w:val="yellow"/>
        </w:rPr>
        <w:t>, stamp, tag, mark, or other identification), and manage any discrepancies incident to shipment.</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highlight w:val="yellow"/>
        </w:rPr>
        <w:t xml:space="preserve">(A) </w:t>
      </w:r>
      <w:r w:rsidRPr="00F67160">
        <w:rPr>
          <w:rFonts w:ascii="Courier New" w:hAnsi="Courier New" w:cs="Courier New"/>
          <w:i/>
          <w:iCs/>
          <w:sz w:val="24"/>
          <w:szCs w:val="24"/>
          <w:highlight w:val="yellow"/>
        </w:rPr>
        <w:t>Government-furnished property.</w:t>
      </w:r>
      <w:r w:rsidRPr="00F67160">
        <w:rPr>
          <w:rFonts w:ascii="Courier New" w:hAnsi="Courier New" w:cs="Courier New"/>
          <w:sz w:val="24"/>
          <w:szCs w:val="24"/>
          <w:highlight w:val="yellow"/>
        </w:rPr>
        <w:t xml:space="preserve">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 xml:space="preserve">(B) </w:t>
      </w:r>
      <w:r w:rsidRPr="00F67160">
        <w:rPr>
          <w:rFonts w:ascii="Courier New" w:hAnsi="Courier New" w:cs="Courier New"/>
          <w:i/>
          <w:iCs/>
          <w:sz w:val="24"/>
          <w:szCs w:val="24"/>
        </w:rPr>
        <w:t>Contractor-acquired property.</w:t>
      </w:r>
      <w:r w:rsidRPr="00F67160">
        <w:rPr>
          <w:rFonts w:ascii="Courier New" w:hAnsi="Courier New" w:cs="Courier New"/>
          <w:sz w:val="24"/>
          <w:szCs w:val="24"/>
        </w:rPr>
        <w:t xml:space="preserve"> The Contractor shall take all actions necessary to adjust for overages, shortages, damage and/or other discrepancies discovered upon receipt, in shipment of Contractor-acquired property from a vendor or supplier, so as to ensure the proper allocability and allowability of associated costs.</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highlight w:val="cyan"/>
        </w:rPr>
        <w:t xml:space="preserve">(iii) </w:t>
      </w:r>
      <w:r w:rsidRPr="00F67160">
        <w:rPr>
          <w:rFonts w:ascii="Courier New" w:hAnsi="Courier New" w:cs="Courier New"/>
          <w:i/>
          <w:iCs/>
          <w:sz w:val="24"/>
          <w:szCs w:val="24"/>
          <w:highlight w:val="cyan"/>
        </w:rPr>
        <w:t>Records of Government property.</w:t>
      </w:r>
      <w:r w:rsidRPr="00F67160">
        <w:rPr>
          <w:rFonts w:ascii="Courier New" w:hAnsi="Courier New" w:cs="Courier New"/>
          <w:sz w:val="24"/>
          <w:szCs w:val="24"/>
          <w:highlight w:val="cyan"/>
        </w:rPr>
        <w:t xml:space="preserve"> The Contractor shall create and maintain records of all Government property accountable to the contract, including Government-furnished and Contractor-acquired property.</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(A) Property records shall enable a complete, current, auditable record of all transactions and shall, unless otherwise approved by the Property Administrator, contain the following:</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1</w:t>
      </w:r>
      <w:r w:rsidRPr="00F67160">
        <w:rPr>
          <w:rFonts w:ascii="Courier New" w:hAnsi="Courier New" w:cs="Courier New"/>
          <w:sz w:val="24"/>
          <w:szCs w:val="24"/>
        </w:rPr>
        <w:t xml:space="preserve">) The name, part number and description, National Stock Number (if needed for additional item identification </w:t>
      </w:r>
      <w:r w:rsidRPr="00F67160">
        <w:rPr>
          <w:rFonts w:ascii="Courier New" w:hAnsi="Courier New" w:cs="Courier New"/>
          <w:sz w:val="24"/>
          <w:szCs w:val="24"/>
        </w:rPr>
        <w:lastRenderedPageBreak/>
        <w:t>tracking and/or disposition), and other data elements as necessary and required in accordance with the terms and conditions of the contract.</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2</w:t>
      </w:r>
      <w:r w:rsidRPr="00F67160">
        <w:rPr>
          <w:rFonts w:ascii="Courier New" w:hAnsi="Courier New" w:cs="Courier New"/>
          <w:sz w:val="24"/>
          <w:szCs w:val="24"/>
        </w:rPr>
        <w:t>) Quantity received (or fabricated), issued, and balance-on-hand.</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3</w:t>
      </w:r>
      <w:r w:rsidRPr="00F67160">
        <w:rPr>
          <w:rFonts w:ascii="Courier New" w:hAnsi="Courier New" w:cs="Courier New"/>
          <w:sz w:val="24"/>
          <w:szCs w:val="24"/>
        </w:rPr>
        <w:t>) Unit acquisition cost.</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4</w:t>
      </w:r>
      <w:r w:rsidRPr="00F67160">
        <w:rPr>
          <w:rFonts w:ascii="Courier New" w:hAnsi="Courier New" w:cs="Courier New"/>
          <w:sz w:val="24"/>
          <w:szCs w:val="24"/>
        </w:rPr>
        <w:t>) Unique-item identifier or equivalent (if available and necessary for individual item tracking).</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5</w:t>
      </w:r>
      <w:r w:rsidRPr="00F67160">
        <w:rPr>
          <w:rFonts w:ascii="Courier New" w:hAnsi="Courier New" w:cs="Courier New"/>
          <w:sz w:val="24"/>
          <w:szCs w:val="24"/>
        </w:rPr>
        <w:t>) Unit of measure.</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6</w:t>
      </w:r>
      <w:r w:rsidRPr="00F67160">
        <w:rPr>
          <w:rFonts w:ascii="Courier New" w:hAnsi="Courier New" w:cs="Courier New"/>
          <w:sz w:val="24"/>
          <w:szCs w:val="24"/>
        </w:rPr>
        <w:t>) Accountable contract number or equivalent code designation.</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7</w:t>
      </w:r>
      <w:r w:rsidRPr="00F67160">
        <w:rPr>
          <w:rFonts w:ascii="Courier New" w:hAnsi="Courier New" w:cs="Courier New"/>
          <w:sz w:val="24"/>
          <w:szCs w:val="24"/>
        </w:rPr>
        <w:t>) Location.</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8</w:t>
      </w:r>
      <w:r w:rsidRPr="00F67160">
        <w:rPr>
          <w:rFonts w:ascii="Courier New" w:hAnsi="Courier New" w:cs="Courier New"/>
          <w:sz w:val="24"/>
          <w:szCs w:val="24"/>
        </w:rPr>
        <w:t>) Disposition.</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9</w:t>
      </w:r>
      <w:r w:rsidRPr="00F67160">
        <w:rPr>
          <w:rFonts w:ascii="Courier New" w:hAnsi="Courier New" w:cs="Courier New"/>
          <w:sz w:val="24"/>
          <w:szCs w:val="24"/>
        </w:rPr>
        <w:t>) Posting reference and date of transaction.</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10</w:t>
      </w:r>
      <w:r w:rsidRPr="00F67160">
        <w:rPr>
          <w:rFonts w:ascii="Courier New" w:hAnsi="Courier New" w:cs="Courier New"/>
          <w:sz w:val="24"/>
          <w:szCs w:val="24"/>
        </w:rPr>
        <w:t>) Date placed in service (if required in accordance with the terms and conditions of the contract).</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 xml:space="preserve">(B) </w:t>
      </w:r>
      <w:r w:rsidRPr="00F67160">
        <w:rPr>
          <w:rFonts w:ascii="Courier New" w:hAnsi="Courier New" w:cs="Courier New"/>
          <w:i/>
          <w:iCs/>
          <w:sz w:val="24"/>
          <w:szCs w:val="24"/>
        </w:rPr>
        <w:t>Use of a Receipt and Issue System for Government Material.</w:t>
      </w:r>
      <w:r w:rsidRPr="00F67160">
        <w:rPr>
          <w:rFonts w:ascii="Courier New" w:hAnsi="Courier New" w:cs="Courier New"/>
          <w:sz w:val="24"/>
          <w:szCs w:val="24"/>
        </w:rPr>
        <w:t xml:space="preserve"> When approved by the Property Administrator, the Contractor may maintain, in lieu of formal property records, a file of appropriately cross-referenced documents evidencing receipt, issue, and use of material that is issued for immediate consumption.</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 xml:space="preserve">(iv) </w:t>
      </w:r>
      <w:r w:rsidRPr="00F67160">
        <w:rPr>
          <w:rFonts w:ascii="Courier New" w:hAnsi="Courier New" w:cs="Courier New"/>
          <w:i/>
          <w:iCs/>
          <w:sz w:val="24"/>
          <w:szCs w:val="24"/>
        </w:rPr>
        <w:t>Physical inventory.</w:t>
      </w:r>
      <w:r w:rsidRPr="00F67160">
        <w:rPr>
          <w:rFonts w:ascii="Courier New" w:hAnsi="Courier New" w:cs="Courier New"/>
          <w:sz w:val="24"/>
          <w:szCs w:val="24"/>
        </w:rPr>
        <w:t xml:space="preserve"> The Contractor shall periodically perform, record, and disclose physical inventory results. A final physical inventory shall be performed upon contract completion or termination. The Property Administrator may waive this final inventory requirement, depending on the circumstances (</w:t>
      </w:r>
      <w:r w:rsidRPr="00F67160">
        <w:rPr>
          <w:rFonts w:ascii="Courier New" w:hAnsi="Courier New" w:cs="Courier New"/>
          <w:i/>
          <w:iCs/>
          <w:sz w:val="24"/>
          <w:szCs w:val="24"/>
        </w:rPr>
        <w:t>e.g.</w:t>
      </w:r>
      <w:r w:rsidRPr="00F67160">
        <w:rPr>
          <w:rFonts w:ascii="Courier New" w:hAnsi="Courier New" w:cs="Courier New"/>
          <w:sz w:val="24"/>
          <w:szCs w:val="24"/>
        </w:rPr>
        <w:t>, overall reliability of the Contractor's system or the property is to be transferred to a follow-on contract).</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 xml:space="preserve">(v) </w:t>
      </w:r>
      <w:r w:rsidRPr="00F67160">
        <w:rPr>
          <w:rFonts w:ascii="Courier New" w:hAnsi="Courier New" w:cs="Courier New"/>
          <w:i/>
          <w:iCs/>
          <w:sz w:val="24"/>
          <w:szCs w:val="24"/>
        </w:rPr>
        <w:t>Subcontractor control.</w:t>
      </w:r>
      <w:r w:rsidRPr="00F67160">
        <w:rPr>
          <w:rFonts w:ascii="Courier New" w:hAnsi="Courier New" w:cs="Courier New"/>
          <w:sz w:val="24"/>
          <w:szCs w:val="24"/>
        </w:rPr>
        <w:t xml:space="preserve"> </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(A) The Contractor shall award subcontracts that clearly identify items to be provided and the extent of any restrictions or limitations on their use. The Contractor shall ensure appropriate flow down of contract terms and conditions (</w:t>
      </w:r>
      <w:r w:rsidRPr="00F67160">
        <w:rPr>
          <w:rFonts w:ascii="Courier New" w:hAnsi="Courier New" w:cs="Courier New"/>
          <w:i/>
          <w:iCs/>
          <w:sz w:val="24"/>
          <w:szCs w:val="24"/>
        </w:rPr>
        <w:t>e.g.,</w:t>
      </w:r>
      <w:r w:rsidRPr="00F67160">
        <w:rPr>
          <w:rFonts w:ascii="Courier New" w:hAnsi="Courier New" w:cs="Courier New"/>
          <w:sz w:val="24"/>
          <w:szCs w:val="24"/>
        </w:rPr>
        <w:t xml:space="preserve"> extent of liability for loss of Government property.</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(B) The Contractor shall assure its subcontracts are properly administered and reviews are periodically performed to determine the adequacy of the subcontractor's property management system.</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highlight w:val="yellow"/>
        </w:rPr>
        <w:t xml:space="preserve">(vi) </w:t>
      </w:r>
      <w:r w:rsidRPr="00F67160">
        <w:rPr>
          <w:rFonts w:ascii="Courier New" w:hAnsi="Courier New" w:cs="Courier New"/>
          <w:i/>
          <w:iCs/>
          <w:sz w:val="24"/>
          <w:szCs w:val="24"/>
          <w:highlight w:val="yellow"/>
        </w:rPr>
        <w:t>Reports.</w:t>
      </w:r>
      <w:r w:rsidRPr="00F67160">
        <w:rPr>
          <w:rFonts w:ascii="Courier New" w:hAnsi="Courier New" w:cs="Courier New"/>
          <w:sz w:val="24"/>
          <w:szCs w:val="24"/>
          <w:highlight w:val="yellow"/>
        </w:rPr>
        <w:t xml:space="preserve"> The Contractor shall have a process to create and provide reports of discrepancies, loss of Government property, physical inventory results, audits and self-assessments, corrective actions, and other property-related reports as directed by the Contracting Officer.</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 xml:space="preserve">(vii) </w:t>
      </w:r>
      <w:r w:rsidRPr="00F67160">
        <w:rPr>
          <w:rFonts w:ascii="Courier New" w:hAnsi="Courier New" w:cs="Courier New"/>
          <w:i/>
          <w:iCs/>
          <w:sz w:val="24"/>
          <w:szCs w:val="24"/>
        </w:rPr>
        <w:t>Relief of stewardship responsibility and liability.</w:t>
      </w:r>
      <w:r w:rsidRPr="00F67160">
        <w:rPr>
          <w:rFonts w:ascii="Courier New" w:hAnsi="Courier New" w:cs="Courier New"/>
          <w:sz w:val="24"/>
          <w:szCs w:val="24"/>
        </w:rPr>
        <w:t xml:space="preserve"> The Contractor shall have a process to enable the prompt recognition, investigation, disclosure and reporting of loss of Government property, including losses that occur at subcontractor or alternate site locations.</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(A) This process shall include the corrective actions necessary to prevent recurrence.</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(B) Unless otherwise directed by the Property Administrator, the Contractor shall investigate and report to the Government all incidents of property loss as soon as the facts become known. Such reports shall, at a minimum, contain the following information:</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1</w:t>
      </w:r>
      <w:r w:rsidRPr="00F67160">
        <w:rPr>
          <w:rFonts w:ascii="Courier New" w:hAnsi="Courier New" w:cs="Courier New"/>
          <w:sz w:val="24"/>
          <w:szCs w:val="24"/>
        </w:rPr>
        <w:t>) Date of incident (if known).</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2</w:t>
      </w:r>
      <w:r w:rsidRPr="00F67160">
        <w:rPr>
          <w:rFonts w:ascii="Courier New" w:hAnsi="Courier New" w:cs="Courier New"/>
          <w:sz w:val="24"/>
          <w:szCs w:val="24"/>
        </w:rPr>
        <w:t>) The data elements required under paragraph (f)(1)(iii)(A) of this clause.</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3</w:t>
      </w:r>
      <w:r w:rsidRPr="00F67160">
        <w:rPr>
          <w:rFonts w:ascii="Courier New" w:hAnsi="Courier New" w:cs="Courier New"/>
          <w:sz w:val="24"/>
          <w:szCs w:val="24"/>
        </w:rPr>
        <w:t>) Quantity.</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4</w:t>
      </w:r>
      <w:r w:rsidRPr="00F67160">
        <w:rPr>
          <w:rFonts w:ascii="Courier New" w:hAnsi="Courier New" w:cs="Courier New"/>
          <w:sz w:val="24"/>
          <w:szCs w:val="24"/>
        </w:rPr>
        <w:t>) Accountable contract number.</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5</w:t>
      </w:r>
      <w:r w:rsidRPr="00F67160">
        <w:rPr>
          <w:rFonts w:ascii="Courier New" w:hAnsi="Courier New" w:cs="Courier New"/>
          <w:sz w:val="24"/>
          <w:szCs w:val="24"/>
        </w:rPr>
        <w:t>) A statement indicating current or future need.</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6</w:t>
      </w:r>
      <w:r w:rsidRPr="00F67160">
        <w:rPr>
          <w:rFonts w:ascii="Courier New" w:hAnsi="Courier New" w:cs="Courier New"/>
          <w:sz w:val="24"/>
          <w:szCs w:val="24"/>
        </w:rPr>
        <w:t>) Unit acquisition cost, or if applicable, estimated sales proceeds, estimated repair or replacement costs.</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7</w:t>
      </w:r>
      <w:r w:rsidRPr="00F67160">
        <w:rPr>
          <w:rFonts w:ascii="Courier New" w:hAnsi="Courier New" w:cs="Courier New"/>
          <w:sz w:val="24"/>
          <w:szCs w:val="24"/>
        </w:rPr>
        <w:t>) All known interests in commingled material of which includes Government material.</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8</w:t>
      </w:r>
      <w:r w:rsidRPr="00F67160">
        <w:rPr>
          <w:rFonts w:ascii="Courier New" w:hAnsi="Courier New" w:cs="Courier New"/>
          <w:sz w:val="24"/>
          <w:szCs w:val="24"/>
        </w:rPr>
        <w:t>) Cause and corrective action taken or to be taken to prevent recurrence.</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9</w:t>
      </w:r>
      <w:r w:rsidRPr="00F67160">
        <w:rPr>
          <w:rFonts w:ascii="Courier New" w:hAnsi="Courier New" w:cs="Courier New"/>
          <w:sz w:val="24"/>
          <w:szCs w:val="24"/>
        </w:rPr>
        <w:t>) A statement that the Government will receive compensation covering the loss of Government property, in the event the Contractor was or will be reimbursed or compensated.</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10</w:t>
      </w:r>
      <w:r w:rsidRPr="00F67160">
        <w:rPr>
          <w:rFonts w:ascii="Courier New" w:hAnsi="Courier New" w:cs="Courier New"/>
          <w:sz w:val="24"/>
          <w:szCs w:val="24"/>
        </w:rPr>
        <w:t>) Copies of all supporting documentation.</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11</w:t>
      </w:r>
      <w:r w:rsidRPr="00F67160">
        <w:rPr>
          <w:rFonts w:ascii="Courier New" w:hAnsi="Courier New" w:cs="Courier New"/>
          <w:sz w:val="24"/>
          <w:szCs w:val="24"/>
        </w:rPr>
        <w:t>) Last known location.</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12</w:t>
      </w:r>
      <w:r w:rsidRPr="00F67160">
        <w:rPr>
          <w:rFonts w:ascii="Courier New" w:hAnsi="Courier New" w:cs="Courier New"/>
          <w:sz w:val="24"/>
          <w:szCs w:val="24"/>
        </w:rPr>
        <w:t>) A statement that the property did or did not contain sensitive, export controlled, hazardous, or toxic material, and that the appropriate agencies and authorities were notified.</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(C) Unless the contract provides otherwise, the Contractor shall be relieved of stewardship responsibility and liability for property when—</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1</w:t>
      </w:r>
      <w:r w:rsidRPr="00F67160">
        <w:rPr>
          <w:rFonts w:ascii="Courier New" w:hAnsi="Courier New" w:cs="Courier New"/>
          <w:sz w:val="24"/>
          <w:szCs w:val="24"/>
        </w:rPr>
        <w:t>) Such property is consumed or expended, reasonably and properly, or otherwise accounted for, in the performance of the contract, including reasonable inventory adjustments of material as determined by the Property Administrator;</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2</w:t>
      </w:r>
      <w:r w:rsidRPr="00F67160">
        <w:rPr>
          <w:rFonts w:ascii="Courier New" w:hAnsi="Courier New" w:cs="Courier New"/>
          <w:sz w:val="24"/>
          <w:szCs w:val="24"/>
        </w:rPr>
        <w:t>) Property Administrator grants relief of responsibility and liability for loss of Government property;</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3</w:t>
      </w:r>
      <w:r w:rsidRPr="00F67160">
        <w:rPr>
          <w:rFonts w:ascii="Courier New" w:hAnsi="Courier New" w:cs="Courier New"/>
          <w:sz w:val="24"/>
          <w:szCs w:val="24"/>
        </w:rPr>
        <w:t>) Property is delivered or shipped from the Contractor's plant, under Government instructions, except when shipment is to a subcontractor or other location of the Contractor; or</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w:t>
      </w:r>
      <w:r w:rsidRPr="00F67160">
        <w:rPr>
          <w:rFonts w:ascii="Courier New" w:hAnsi="Courier New" w:cs="Courier New"/>
          <w:i/>
          <w:iCs/>
          <w:sz w:val="24"/>
          <w:szCs w:val="24"/>
        </w:rPr>
        <w:t>4</w:t>
      </w:r>
      <w:r w:rsidRPr="00F67160">
        <w:rPr>
          <w:rFonts w:ascii="Courier New" w:hAnsi="Courier New" w:cs="Courier New"/>
          <w:sz w:val="24"/>
          <w:szCs w:val="24"/>
        </w:rPr>
        <w:t>) Property is disposed of in accordance with paragraphs (j) and (k) of this clause.</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 xml:space="preserve">(viii) </w:t>
      </w:r>
      <w:r w:rsidRPr="00F67160">
        <w:rPr>
          <w:rFonts w:ascii="Courier New" w:hAnsi="Courier New" w:cs="Courier New"/>
          <w:i/>
          <w:iCs/>
          <w:sz w:val="24"/>
          <w:szCs w:val="24"/>
        </w:rPr>
        <w:t>Utilizing Government property.</w:t>
      </w:r>
      <w:r w:rsidRPr="00F67160">
        <w:rPr>
          <w:rFonts w:ascii="Courier New" w:hAnsi="Courier New" w:cs="Courier New"/>
          <w:sz w:val="24"/>
          <w:szCs w:val="24"/>
        </w:rPr>
        <w:t xml:space="preserve"> (A) The Contractor shall utilize, consume, move, and store Government Property only as authorized under this contract. The Contractor shall promptly disclose and report Government property in its possession that is excess to contract performance.</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(B) Unless otherwise authorized in this contract or by the Property Administrator the Contractor shall not commingle Government material with material not owned by the Government.</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 xml:space="preserve">(ix) </w:t>
      </w:r>
      <w:r w:rsidRPr="00F67160">
        <w:rPr>
          <w:rFonts w:ascii="Courier New" w:hAnsi="Courier New" w:cs="Courier New"/>
          <w:i/>
          <w:iCs/>
          <w:sz w:val="24"/>
          <w:szCs w:val="24"/>
        </w:rPr>
        <w:t>Maintenance.</w:t>
      </w:r>
      <w:r w:rsidRPr="00F67160">
        <w:rPr>
          <w:rFonts w:ascii="Courier New" w:hAnsi="Courier New" w:cs="Courier New"/>
          <w:sz w:val="24"/>
          <w:szCs w:val="24"/>
        </w:rPr>
        <w:t xml:space="preserv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Pr="00F67160">
        <w:rPr>
          <w:rFonts w:ascii="Courier New" w:hAnsi="Courier New" w:cs="Courier New"/>
          <w:sz w:val="24"/>
          <w:szCs w:val="24"/>
        </w:rPr>
        <w:tab/>
      </w:r>
      <w:r w:rsidRPr="00F67160">
        <w:rPr>
          <w:rFonts w:ascii="Courier New" w:hAnsi="Courier New" w:cs="Courier New"/>
          <w:sz w:val="24"/>
          <w:szCs w:val="24"/>
        </w:rPr>
        <w:tab/>
        <w:t xml:space="preserve">(x) </w:t>
      </w:r>
      <w:r w:rsidRPr="00F67160">
        <w:rPr>
          <w:rFonts w:ascii="Courier New" w:hAnsi="Courier New" w:cs="Courier New"/>
          <w:i/>
          <w:iCs/>
          <w:sz w:val="24"/>
          <w:szCs w:val="24"/>
        </w:rPr>
        <w:t>Property closeout.</w:t>
      </w:r>
      <w:r w:rsidRPr="00F67160">
        <w:rPr>
          <w:rFonts w:ascii="Courier New" w:hAnsi="Courier New" w:cs="Courier New"/>
          <w:sz w:val="24"/>
          <w:szCs w:val="24"/>
        </w:rPr>
        <w:t xml:space="preserve">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w:t>
      </w:r>
    </w:p>
    <w:p w:rsidR="00226EF5" w:rsidRPr="00F67160" w:rsidRDefault="00226EF5"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ab/>
      </w:r>
      <w:r w:rsidR="00F67160">
        <w:rPr>
          <w:rFonts w:ascii="Courier New" w:hAnsi="Courier New" w:cs="Courier New"/>
          <w:sz w:val="24"/>
          <w:szCs w:val="24"/>
        </w:rPr>
        <w:tab/>
      </w:r>
      <w:r w:rsidRPr="00F67160">
        <w:rPr>
          <w:rFonts w:ascii="Courier New" w:hAnsi="Courier New" w:cs="Courier New"/>
          <w:sz w:val="24"/>
          <w:szCs w:val="24"/>
          <w:highlight w:val="cyan"/>
        </w:rPr>
        <w:t>(2) The Contractor shall establish and maintain Government accounting source data, as may be required by this contract, particularly in the areas of recognition of acquisitions, loss of Government property, and disposition of material and equipment.</w:t>
      </w:r>
    </w:p>
    <w:p w:rsidR="00226EF5" w:rsidRPr="00F67160" w:rsidRDefault="00226EF5" w:rsidP="00226EF5">
      <w:pPr>
        <w:tabs>
          <w:tab w:val="left" w:pos="360"/>
        </w:tabs>
        <w:spacing w:after="0"/>
        <w:rPr>
          <w:rFonts w:ascii="Courier New" w:hAnsi="Courier New" w:cs="Courier New"/>
          <w:sz w:val="24"/>
          <w:szCs w:val="24"/>
        </w:rPr>
      </w:pPr>
    </w:p>
    <w:p w:rsidR="003618BC" w:rsidRPr="00F67160" w:rsidRDefault="00F67160" w:rsidP="00226EF5">
      <w:pPr>
        <w:tabs>
          <w:tab w:val="left" w:pos="360"/>
        </w:tabs>
        <w:spacing w:after="0"/>
        <w:rPr>
          <w:rFonts w:ascii="Courier New" w:hAnsi="Courier New" w:cs="Courier New"/>
          <w:sz w:val="24"/>
          <w:szCs w:val="24"/>
        </w:rPr>
      </w:pPr>
      <w:r w:rsidRPr="00F67160">
        <w:rPr>
          <w:rFonts w:ascii="Courier New" w:hAnsi="Courier New" w:cs="Courier New"/>
          <w:sz w:val="24"/>
          <w:szCs w:val="24"/>
        </w:rPr>
        <w:t>* * * *</w:t>
      </w:r>
      <w:r>
        <w:rPr>
          <w:rFonts w:ascii="Courier New" w:hAnsi="Courier New" w:cs="Courier New"/>
          <w:sz w:val="24"/>
          <w:szCs w:val="24"/>
        </w:rPr>
        <w:t xml:space="preserve"> </w:t>
      </w:r>
      <w:r w:rsidRPr="00F67160">
        <w:rPr>
          <w:rFonts w:ascii="Courier New" w:hAnsi="Courier New" w:cs="Courier New"/>
          <w:sz w:val="24"/>
          <w:szCs w:val="24"/>
        </w:rPr>
        <w:t>*</w:t>
      </w:r>
    </w:p>
    <w:sectPr w:rsidR="003618BC" w:rsidRPr="00F67160" w:rsidSect="00361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52DE1"/>
    <w:multiLevelType w:val="hybridMultilevel"/>
    <w:tmpl w:val="2514D8CE"/>
    <w:lvl w:ilvl="0" w:tplc="9C00240C">
      <w:start w:val="1"/>
      <w:numFmt w:val="bullet"/>
      <w:lvlText w:val=""/>
      <w:lvlJc w:val="left"/>
      <w:pPr>
        <w:ind w:left="720" w:hanging="360"/>
      </w:pPr>
      <w:rPr>
        <w:rFonts w:ascii="Symbol" w:eastAsiaTheme="minorEastAsia"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2761DC"/>
    <w:multiLevelType w:val="hybridMultilevel"/>
    <w:tmpl w:val="15326BC8"/>
    <w:lvl w:ilvl="0" w:tplc="6A56E606">
      <w:start w:val="1"/>
      <w:numFmt w:val="lowerLetter"/>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36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EF5"/>
    <w:rsid w:val="00096CAB"/>
    <w:rsid w:val="001D6822"/>
    <w:rsid w:val="00221376"/>
    <w:rsid w:val="00226EF5"/>
    <w:rsid w:val="003618BC"/>
    <w:rsid w:val="00496525"/>
    <w:rsid w:val="005C40E6"/>
    <w:rsid w:val="0067067A"/>
    <w:rsid w:val="006E4BFA"/>
    <w:rsid w:val="006F33DD"/>
    <w:rsid w:val="00772F7F"/>
    <w:rsid w:val="00A6254E"/>
    <w:rsid w:val="00CA328E"/>
    <w:rsid w:val="00D31C32"/>
    <w:rsid w:val="00D81AD2"/>
    <w:rsid w:val="00D92F27"/>
    <w:rsid w:val="00D95CC0"/>
    <w:rsid w:val="00DB265D"/>
    <w:rsid w:val="00E301A4"/>
    <w:rsid w:val="00E45A22"/>
    <w:rsid w:val="00F01819"/>
    <w:rsid w:val="00F21042"/>
    <w:rsid w:val="00F67160"/>
    <w:rsid w:val="00F9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3DD"/>
    <w:rPr>
      <w:rFonts w:ascii="Tahoma" w:hAnsi="Tahoma" w:cs="Tahoma"/>
      <w:sz w:val="16"/>
      <w:szCs w:val="16"/>
    </w:rPr>
  </w:style>
  <w:style w:type="paragraph" w:styleId="ListParagraph">
    <w:name w:val="List Paragraph"/>
    <w:basedOn w:val="Normal"/>
    <w:uiPriority w:val="34"/>
    <w:qFormat/>
    <w:rsid w:val="00F671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3DD"/>
    <w:rPr>
      <w:rFonts w:ascii="Tahoma" w:hAnsi="Tahoma" w:cs="Tahoma"/>
      <w:sz w:val="16"/>
      <w:szCs w:val="16"/>
    </w:rPr>
  </w:style>
  <w:style w:type="paragraph" w:styleId="ListParagraph">
    <w:name w:val="List Paragraph"/>
    <w:basedOn w:val="Normal"/>
    <w:uiPriority w:val="34"/>
    <w:qFormat/>
    <w:rsid w:val="00F67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569794">
      <w:bodyDiv w:val="1"/>
      <w:marLeft w:val="0"/>
      <w:marRight w:val="0"/>
      <w:marTop w:val="30"/>
      <w:marBottom w:val="750"/>
      <w:divBdr>
        <w:top w:val="none" w:sz="0" w:space="0" w:color="auto"/>
        <w:left w:val="none" w:sz="0" w:space="0" w:color="auto"/>
        <w:bottom w:val="none" w:sz="0" w:space="0" w:color="auto"/>
        <w:right w:val="none" w:sz="0" w:space="0" w:color="auto"/>
      </w:divBdr>
      <w:divsChild>
        <w:div w:id="1201278949">
          <w:marLeft w:val="0"/>
          <w:marRight w:val="0"/>
          <w:marTop w:val="0"/>
          <w:marBottom w:val="0"/>
          <w:divBdr>
            <w:top w:val="none" w:sz="0" w:space="0" w:color="auto"/>
            <w:left w:val="none" w:sz="0" w:space="0" w:color="auto"/>
            <w:bottom w:val="none" w:sz="0" w:space="0" w:color="auto"/>
            <w:right w:val="none" w:sz="0" w:space="0" w:color="auto"/>
          </w:divBdr>
          <w:divsChild>
            <w:div w:id="21349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Overstreet</dc:creator>
  <cp:lastModifiedBy>SYSTEM</cp:lastModifiedBy>
  <cp:revision>2</cp:revision>
  <cp:lastPrinted>2016-08-22T21:44:00Z</cp:lastPrinted>
  <dcterms:created xsi:type="dcterms:W3CDTF">2019-04-15T17:43:00Z</dcterms:created>
  <dcterms:modified xsi:type="dcterms:W3CDTF">2019-04-15T17:43:00Z</dcterms:modified>
</cp:coreProperties>
</file>