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A1B" w:rsidP="00CD5A1B" w:rsidRDefault="009A226A">
      <w:pPr>
        <w:jc w:val="center"/>
      </w:pPr>
      <w:r w:rsidRPr="00B16B3D">
        <w:t>SUPPORTING STATEMENT</w:t>
      </w:r>
    </w:p>
    <w:p w:rsidR="00CD5A1B" w:rsidP="00CD5A1B" w:rsidRDefault="009A226A">
      <w:pPr>
        <w:jc w:val="center"/>
      </w:pPr>
      <w:r w:rsidRPr="00B16B3D">
        <w:t>FOR</w:t>
      </w:r>
      <w:r w:rsidRPr="00B16B3D" w:rsidR="003947BB">
        <w:t xml:space="preserve"> THE PAPERWORK REDUCTION ACT</w:t>
      </w:r>
      <w:r w:rsidR="00CD5A1B">
        <w:t xml:space="preserve"> </w:t>
      </w:r>
      <w:r w:rsidRPr="00B16B3D" w:rsidR="003947BB">
        <w:t>INFORMATION</w:t>
      </w:r>
      <w:r w:rsidRPr="00B16B3D">
        <w:t xml:space="preserve"> </w:t>
      </w:r>
      <w:r w:rsidRPr="00B16B3D" w:rsidR="003947BB">
        <w:t>COLLECTION</w:t>
      </w:r>
    </w:p>
    <w:p w:rsidR="00CD5A1B" w:rsidP="00CD5A1B" w:rsidRDefault="003947BB">
      <w:pPr>
        <w:jc w:val="center"/>
      </w:pPr>
      <w:r w:rsidRPr="00B16B3D">
        <w:t xml:space="preserve">SUBMISSION FOR RULE 15Ga-2 AND </w:t>
      </w:r>
      <w:r w:rsidRPr="00B16B3D" w:rsidR="00D864CC">
        <w:t>FORM ABS-15G</w:t>
      </w:r>
    </w:p>
    <w:p w:rsidRPr="00B16B3D" w:rsidR="009A226A" w:rsidP="00B16B3D" w:rsidRDefault="009A226A"/>
    <w:p w:rsidRPr="00B16B3D" w:rsidR="003947BB" w:rsidP="00B16B3D" w:rsidRDefault="009A226A">
      <w:pPr>
        <w:rPr>
          <w:u w:val="single"/>
        </w:rPr>
      </w:pPr>
      <w:r w:rsidRPr="00B16B3D">
        <w:rPr>
          <w:u w:val="single"/>
        </w:rPr>
        <w:t>JUSTIFICATION</w:t>
      </w:r>
    </w:p>
    <w:p w:rsidRPr="00B16B3D" w:rsidR="009A226A" w:rsidP="00B16B3D" w:rsidRDefault="009A226A"/>
    <w:p w:rsidRPr="00B16B3D" w:rsidR="009A226A" w:rsidP="00B16B3D" w:rsidRDefault="00B16B3D">
      <w:pPr>
        <w:rPr>
          <w:u w:val="single"/>
        </w:rPr>
      </w:pPr>
      <w:r>
        <w:tab/>
        <w:t>1</w:t>
      </w:r>
      <w:r>
        <w:tab/>
      </w:r>
      <w:r w:rsidRPr="00B16B3D" w:rsidR="006D17B4">
        <w:rPr>
          <w:u w:val="single"/>
        </w:rPr>
        <w:t>Circumstances Making the Collection of Information Necessary</w:t>
      </w:r>
    </w:p>
    <w:p w:rsidRPr="00B16B3D" w:rsidR="009A226A" w:rsidP="00B16B3D" w:rsidRDefault="009A226A"/>
    <w:p w:rsidRPr="00B16B3D" w:rsidR="00905370" w:rsidP="00B16B3D" w:rsidRDefault="00905370">
      <w:r w:rsidRPr="00B16B3D">
        <w:tab/>
      </w:r>
      <w:r w:rsidRPr="00B16B3D" w:rsidR="009144FC">
        <w:t>T</w:t>
      </w:r>
      <w:r w:rsidRPr="00B16B3D" w:rsidR="009A226A">
        <w:t xml:space="preserve">he Securities and Exchange Commission (the “Commission”) </w:t>
      </w:r>
      <w:r w:rsidRPr="00B16B3D" w:rsidR="00E03881">
        <w:t>adopted</w:t>
      </w:r>
      <w:r w:rsidRPr="00B16B3D" w:rsidR="009A226A">
        <w:t xml:space="preserve"> amendments to </w:t>
      </w:r>
      <w:r w:rsidRPr="00B16B3D" w:rsidR="001B54AD">
        <w:t xml:space="preserve">certain </w:t>
      </w:r>
      <w:r w:rsidRPr="00B16B3D" w:rsidR="009A226A">
        <w:t xml:space="preserve">rules and form requirements </w:t>
      </w:r>
      <w:r w:rsidRPr="00B16B3D" w:rsidR="008B20CB">
        <w:t>to implement Section 943 of the Dodd-Frank Wall Street Reform and Consumer Protection Act (“the Act”)</w:t>
      </w:r>
      <w:r w:rsidRPr="00B16B3D" w:rsidR="009A226A">
        <w:t xml:space="preserve"> rela</w:t>
      </w:r>
      <w:r w:rsidRPr="00B16B3D" w:rsidR="00433220">
        <w:t>ting to asset-backed securities</w:t>
      </w:r>
      <w:r w:rsidRPr="00B16B3D" w:rsidR="00365414">
        <w:t xml:space="preserve"> (“</w:t>
      </w:r>
      <w:r w:rsidRPr="00B16B3D" w:rsidR="001433F7">
        <w:t>ABS”</w:t>
      </w:r>
      <w:r w:rsidRPr="00B16B3D" w:rsidR="00365414">
        <w:t>)</w:t>
      </w:r>
      <w:r w:rsidRPr="00B16B3D" w:rsidR="00433220">
        <w:t xml:space="preserve">.  </w:t>
      </w:r>
      <w:r w:rsidRPr="00B16B3D" w:rsidR="00D43ACC">
        <w:t xml:space="preserve">The </w:t>
      </w:r>
      <w:r w:rsidRPr="00B16B3D" w:rsidR="00E03881">
        <w:t>amendments</w:t>
      </w:r>
      <w:r w:rsidRPr="00B16B3D" w:rsidR="00D43ACC">
        <w:t xml:space="preserve"> are designed to </w:t>
      </w:r>
      <w:r w:rsidRPr="00B16B3D" w:rsidR="008B20CB">
        <w:t xml:space="preserve">implement the requirements of Section 943 of the Act by providing </w:t>
      </w:r>
      <w:r w:rsidRPr="00B16B3D" w:rsidR="00D43ACC">
        <w:t xml:space="preserve">investors with </w:t>
      </w:r>
      <w:r w:rsidRPr="00B16B3D" w:rsidR="008B20CB">
        <w:t>information regarding the use of representations and warranties in the ABS markets</w:t>
      </w:r>
      <w:r w:rsidRPr="00B16B3D" w:rsidR="00D43ACC">
        <w:t>.</w:t>
      </w:r>
    </w:p>
    <w:p w:rsidRPr="00B16B3D" w:rsidR="00905370" w:rsidP="00B16B3D" w:rsidRDefault="00905370"/>
    <w:p w:rsidRPr="00B16B3D" w:rsidR="005B063C" w:rsidP="00B16B3D" w:rsidRDefault="00905370">
      <w:r w:rsidRPr="00B16B3D">
        <w:tab/>
      </w:r>
      <w:r w:rsidRPr="00B16B3D" w:rsidR="002B2738">
        <w:t>“</w:t>
      </w:r>
      <w:r w:rsidRPr="00B16B3D" w:rsidR="005C4CB8">
        <w:t>Form ABS-15G</w:t>
      </w:r>
      <w:r w:rsidRPr="00B16B3D" w:rsidR="002B2738">
        <w:t xml:space="preserve">” </w:t>
      </w:r>
      <w:r w:rsidRPr="00B16B3D">
        <w:t>is a collection</w:t>
      </w:r>
      <w:r w:rsidRPr="00B16B3D" w:rsidR="002B2738">
        <w:t xml:space="preserve"> of information created by </w:t>
      </w:r>
      <w:r w:rsidRPr="00B16B3D">
        <w:t>Rule 15Ga-1</w:t>
      </w:r>
      <w:r w:rsidRPr="00B16B3D" w:rsidR="002B2738">
        <w:t xml:space="preserve">.  </w:t>
      </w:r>
      <w:r w:rsidRPr="00B16B3D" w:rsidR="005C4CB8">
        <w:t>Form ABS-15G</w:t>
      </w:r>
      <w:r w:rsidRPr="00B16B3D" w:rsidR="001B54AD">
        <w:t xml:space="preserve"> contain</w:t>
      </w:r>
      <w:r w:rsidRPr="00B16B3D">
        <w:t>s</w:t>
      </w:r>
      <w:r w:rsidRPr="00B16B3D" w:rsidR="001B54AD">
        <w:t xml:space="preserve"> disclosures required by Rule 15Ga-1 that require </w:t>
      </w:r>
      <w:proofErr w:type="spellStart"/>
      <w:r w:rsidRPr="00B16B3D" w:rsidR="001B54AD">
        <w:t>securitizers</w:t>
      </w:r>
      <w:proofErr w:type="spellEnd"/>
      <w:r w:rsidRPr="00B16B3D" w:rsidR="001B54AD">
        <w:t xml:space="preserve"> to provide disclosure regarding fulfilled and unfulfilled repurchase requests with respect to asset-backed securities, as required by the Act</w:t>
      </w:r>
      <w:r w:rsidRPr="00B16B3D" w:rsidR="00A47074">
        <w:t xml:space="preserve"> (“Exchange Act-ABS”)</w:t>
      </w:r>
      <w:r w:rsidRPr="00B16B3D" w:rsidR="001B54AD">
        <w:t>.</w:t>
      </w:r>
    </w:p>
    <w:p w:rsidR="005B063C" w:rsidP="00B16B3D" w:rsidRDefault="005B063C"/>
    <w:p w:rsidR="0019386B" w:rsidP="0019386B" w:rsidRDefault="0019386B">
      <w:pPr>
        <w:ind w:firstLine="720"/>
        <w:rPr>
          <w:szCs w:val="24"/>
        </w:rPr>
      </w:pPr>
      <w:r>
        <w:rPr>
          <w:iCs/>
          <w:szCs w:val="24"/>
        </w:rPr>
        <w:t>On August 27, 2014, the Commission adopted Rule 15Ga-2 and amendments to Form ABS-15G.</w:t>
      </w:r>
      <w:r w:rsidR="009D3DE9">
        <w:rPr>
          <w:iCs/>
          <w:szCs w:val="24"/>
        </w:rPr>
        <w:t xml:space="preserve"> </w:t>
      </w:r>
      <w:r>
        <w:rPr>
          <w:iCs/>
          <w:szCs w:val="24"/>
        </w:rPr>
        <w:t xml:space="preserve"> Rule 15Ga-2 requires an issuer or underwriter of certain Exchange Act-ABS that are to be rated by an NRSRO to furnish a Form ABS-15G on the Commission’s Electronic Data Gathering, Analysis, and Retrieval (“EDGAR”) system containing the findings and conclusions of any third-party due diligence report obtained by the issuer or underwriter at least five business days prior to the first sale in the offering. </w:t>
      </w:r>
      <w:r>
        <w:t xml:space="preserve"> </w:t>
      </w:r>
      <w:r>
        <w:rPr>
          <w:iCs/>
          <w:szCs w:val="24"/>
        </w:rPr>
        <w:t xml:space="preserve">Rule 15Ga-2 contains the requirements for disclosure that an issuer or underwriter must provide in Form ABS-15G; the </w:t>
      </w:r>
      <w:r w:rsidR="00A03957">
        <w:rPr>
          <w:iCs/>
          <w:szCs w:val="24"/>
        </w:rPr>
        <w:t>collection of information requirements, however, is</w:t>
      </w:r>
      <w:r>
        <w:rPr>
          <w:iCs/>
          <w:szCs w:val="24"/>
        </w:rPr>
        <w:t xml:space="preserve"> reflected in the burden hours estimated for Form ABS-15G.</w:t>
      </w:r>
      <w:r>
        <w:rPr>
          <w:szCs w:val="24"/>
        </w:rPr>
        <w:t xml:space="preserve"> </w:t>
      </w:r>
    </w:p>
    <w:p w:rsidRPr="00B16B3D" w:rsidR="0019386B" w:rsidP="00B16B3D" w:rsidRDefault="0019386B"/>
    <w:p w:rsidRPr="00B16B3D" w:rsidR="009A226A" w:rsidP="00B16B3D" w:rsidRDefault="00B16B3D">
      <w:pPr>
        <w:rPr>
          <w:u w:val="single"/>
        </w:rPr>
      </w:pPr>
      <w:r>
        <w:tab/>
        <w:t>2.</w:t>
      </w:r>
      <w:r>
        <w:tab/>
      </w:r>
      <w:r w:rsidRPr="00B16B3D" w:rsidR="006D17B4">
        <w:rPr>
          <w:u w:val="single"/>
        </w:rPr>
        <w:t>Purpose and Use of the Information Collection</w:t>
      </w:r>
    </w:p>
    <w:p w:rsidRPr="00B16B3D" w:rsidR="00C10733" w:rsidP="00B16B3D" w:rsidRDefault="00C10733"/>
    <w:p w:rsidR="0019386B" w:rsidP="00B16B3D" w:rsidRDefault="00B16B3D">
      <w:r>
        <w:tab/>
      </w:r>
      <w:r w:rsidRPr="00B16B3D" w:rsidR="00433220">
        <w:t xml:space="preserve">The purpose of the </w:t>
      </w:r>
      <w:r w:rsidRPr="00B16B3D" w:rsidR="00905370">
        <w:t>collection</w:t>
      </w:r>
      <w:r w:rsidRPr="00B16B3D" w:rsidR="00433220">
        <w:t xml:space="preserve"> of information is to </w:t>
      </w:r>
      <w:r w:rsidRPr="00B16B3D" w:rsidR="001B54AD">
        <w:t xml:space="preserve">implement the disclosure requirements of Section 943 of the Act to </w:t>
      </w:r>
      <w:r w:rsidRPr="00B16B3D" w:rsidR="00840A68">
        <w:t xml:space="preserve">provide </w:t>
      </w:r>
      <w:r w:rsidRPr="00B16B3D" w:rsidR="001B54AD">
        <w:t>information regarding the use of representations and warranties in the ABS markets</w:t>
      </w:r>
      <w:r w:rsidR="0019386B">
        <w:t>.</w:t>
      </w:r>
    </w:p>
    <w:p w:rsidR="0019386B" w:rsidP="00B16B3D" w:rsidRDefault="0019386B"/>
    <w:p w:rsidR="0019386B" w:rsidP="0019386B" w:rsidRDefault="0019386B">
      <w:pPr>
        <w:spacing w:before="16" w:line="260" w:lineRule="exact"/>
        <w:ind w:firstLine="720"/>
        <w:rPr>
          <w:spacing w:val="-1"/>
          <w:szCs w:val="24"/>
        </w:rPr>
      </w:pPr>
      <w:r>
        <w:rPr>
          <w:spacing w:val="-1"/>
          <w:szCs w:val="24"/>
        </w:rPr>
        <w:t>The purpose of Rule 15Ga-2 and the amendments</w:t>
      </w:r>
      <w:r>
        <w:t xml:space="preserve"> to </w:t>
      </w:r>
      <w:r>
        <w:rPr>
          <w:spacing w:val="-1"/>
          <w:szCs w:val="24"/>
        </w:rPr>
        <w:t>Form ABS-15G is to implement Section 15E(s</w:t>
      </w:r>
      <w:proofErr w:type="gramStart"/>
      <w:r>
        <w:rPr>
          <w:spacing w:val="-1"/>
          <w:szCs w:val="24"/>
        </w:rPr>
        <w:t>)(</w:t>
      </w:r>
      <w:proofErr w:type="gramEnd"/>
      <w:r>
        <w:rPr>
          <w:spacing w:val="-1"/>
          <w:szCs w:val="24"/>
        </w:rPr>
        <w:t>4)(A) of the Exchange Act as added by Section 932 of the Dodd-Frank Act.  Section 15E(s</w:t>
      </w:r>
      <w:proofErr w:type="gramStart"/>
      <w:r>
        <w:rPr>
          <w:spacing w:val="-1"/>
          <w:szCs w:val="24"/>
        </w:rPr>
        <w:t>)(</w:t>
      </w:r>
      <w:proofErr w:type="gramEnd"/>
      <w:r>
        <w:rPr>
          <w:spacing w:val="-1"/>
          <w:szCs w:val="24"/>
        </w:rPr>
        <w:t xml:space="preserve">4)(A) of the Exchange Act requires the issuer or underwriter of any Exchange Act-ABS to make publicly available the findings and conclusions of any third-party due diligence report obtained by the issuer or underwriter.  </w:t>
      </w:r>
    </w:p>
    <w:p w:rsidR="00373635" w:rsidP="0019386B" w:rsidRDefault="00373635">
      <w:pPr>
        <w:spacing w:before="16" w:line="260" w:lineRule="exact"/>
        <w:rPr>
          <w:spacing w:val="-1"/>
          <w:szCs w:val="24"/>
        </w:rPr>
      </w:pPr>
    </w:p>
    <w:p w:rsidR="0019386B" w:rsidP="0019386B" w:rsidRDefault="0019386B">
      <w:pPr>
        <w:ind w:firstLine="720"/>
        <w:rPr>
          <w:rFonts w:eastAsiaTheme="minorHAnsi"/>
          <w:szCs w:val="24"/>
        </w:rPr>
      </w:pPr>
      <w:r>
        <w:rPr>
          <w:spacing w:val="-1"/>
          <w:szCs w:val="24"/>
        </w:rPr>
        <w:t>Users of credit ratings who may or may not be investors may use the information disclosed about third-party due diligence services on Form ABS-15G pursuant to Rule 15Ga-2 to evaluate the adequacy and</w:t>
      </w:r>
      <w:r>
        <w:rPr>
          <w:szCs w:val="24"/>
        </w:rPr>
        <w:t xml:space="preserve"> level of the reviews of the assets underlying an Exchange Act-ABS performed by the third party</w:t>
      </w:r>
      <w:r>
        <w:rPr>
          <w:iCs/>
          <w:szCs w:val="24"/>
        </w:rPr>
        <w:t xml:space="preserve">. </w:t>
      </w:r>
    </w:p>
    <w:p w:rsidRPr="00B16B3D" w:rsidR="00153055" w:rsidP="00B16B3D" w:rsidRDefault="00153055"/>
    <w:p w:rsidRPr="00B16B3D" w:rsidR="00C10733" w:rsidP="00B16B3D" w:rsidRDefault="00B16B3D">
      <w:r>
        <w:tab/>
        <w:t>3.</w:t>
      </w:r>
      <w:r>
        <w:tab/>
      </w:r>
      <w:r w:rsidRPr="00B16B3D" w:rsidR="006D17B4">
        <w:rPr>
          <w:u w:val="single"/>
        </w:rPr>
        <w:t>Consideration Given to Information Technology</w:t>
      </w:r>
    </w:p>
    <w:p w:rsidRPr="00B16B3D" w:rsidR="00C10733" w:rsidP="00B16B3D" w:rsidRDefault="00C10733"/>
    <w:p w:rsidRPr="00B16B3D" w:rsidR="00433220" w:rsidP="00B16B3D" w:rsidRDefault="00B16B3D">
      <w:r>
        <w:tab/>
      </w:r>
      <w:r w:rsidRPr="00B16B3D" w:rsidR="005C4CB8">
        <w:t>Form ABS-15G</w:t>
      </w:r>
      <w:r w:rsidRPr="00B16B3D" w:rsidR="009574BD">
        <w:t xml:space="preserve"> is </w:t>
      </w:r>
      <w:r w:rsidRPr="00B16B3D" w:rsidR="00C11121">
        <w:t>filed</w:t>
      </w:r>
      <w:r w:rsidRPr="00B16B3D" w:rsidR="00433220">
        <w:t xml:space="preserve"> electronically </w:t>
      </w:r>
      <w:r w:rsidRPr="00B16B3D" w:rsidR="003E6D6D">
        <w:t xml:space="preserve">using the </w:t>
      </w:r>
      <w:r w:rsidRPr="00B16B3D" w:rsidR="00433220">
        <w:t>Commission’s Electronic Data Gathering</w:t>
      </w:r>
      <w:r w:rsidRPr="00B16B3D" w:rsidR="003E6D6D">
        <w:t xml:space="preserve">, Analysis, and </w:t>
      </w:r>
      <w:r w:rsidRPr="00B16B3D" w:rsidR="00433220">
        <w:t xml:space="preserve">Retrieval </w:t>
      </w:r>
      <w:r w:rsidRPr="00B16B3D" w:rsidR="003E6D6D">
        <w:t>(EDGAR) System.</w:t>
      </w:r>
    </w:p>
    <w:p w:rsidRPr="00B16B3D" w:rsidR="00C10733" w:rsidP="00B16B3D" w:rsidRDefault="00C10733"/>
    <w:p w:rsidRPr="00B16B3D" w:rsidR="00C10733" w:rsidP="00B16B3D" w:rsidRDefault="00B16B3D">
      <w:r>
        <w:tab/>
        <w:t>4.</w:t>
      </w:r>
      <w:r>
        <w:tab/>
      </w:r>
      <w:r w:rsidRPr="00B16B3D" w:rsidR="006D17B4">
        <w:rPr>
          <w:u w:val="single"/>
        </w:rPr>
        <w:t>Duplication of Information</w:t>
      </w:r>
    </w:p>
    <w:p w:rsidRPr="00B16B3D" w:rsidR="00C10733" w:rsidP="00B16B3D" w:rsidRDefault="00C10733"/>
    <w:p w:rsidRPr="00B16B3D" w:rsidR="00B431DC" w:rsidP="00B16B3D" w:rsidRDefault="00B16B3D">
      <w:r>
        <w:tab/>
      </w:r>
      <w:r w:rsidRPr="00B16B3D" w:rsidR="00433220">
        <w:t xml:space="preserve">We are not aware of any </w:t>
      </w:r>
      <w:r w:rsidRPr="00B16B3D" w:rsidR="00365414">
        <w:t xml:space="preserve">rules that conflict with or substantially duplicate the </w:t>
      </w:r>
      <w:r w:rsidRPr="00B16B3D" w:rsidR="00905370">
        <w:t>requirements of Form ABS-15G</w:t>
      </w:r>
      <w:r w:rsidRPr="00B16B3D" w:rsidR="00365414">
        <w:t>.</w:t>
      </w:r>
    </w:p>
    <w:p w:rsidRPr="00B16B3D" w:rsidR="00620301" w:rsidP="00B16B3D" w:rsidRDefault="00620301"/>
    <w:p w:rsidRPr="00B16B3D" w:rsidR="00C10733" w:rsidP="00B16B3D" w:rsidRDefault="00B16B3D">
      <w:r>
        <w:tab/>
        <w:t>5.</w:t>
      </w:r>
      <w:r>
        <w:tab/>
      </w:r>
      <w:r w:rsidRPr="00B16B3D" w:rsidR="001A1111">
        <w:rPr>
          <w:u w:val="single"/>
        </w:rPr>
        <w:t>Reducing the Burden on Small Entities</w:t>
      </w:r>
    </w:p>
    <w:p w:rsidRPr="00B16B3D" w:rsidR="00C10733" w:rsidP="00B16B3D" w:rsidRDefault="00C10733"/>
    <w:p w:rsidRPr="00B16B3D" w:rsidR="00C10733" w:rsidP="00B16B3D" w:rsidRDefault="00B16B3D">
      <w:r>
        <w:tab/>
      </w:r>
      <w:r w:rsidRPr="00B16B3D" w:rsidR="009144FC">
        <w:t xml:space="preserve">Form ABS-15G </w:t>
      </w:r>
      <w:r w:rsidRPr="00B16B3D" w:rsidR="00EB2DEE">
        <w:t xml:space="preserve">has little impact on small entities since issuers </w:t>
      </w:r>
      <w:r w:rsidRPr="00B16B3D" w:rsidR="003E6D6D">
        <w:t>who</w:t>
      </w:r>
      <w:r w:rsidRPr="00B16B3D" w:rsidR="00EB2DEE">
        <w:t xml:space="preserve"> qualify as </w:t>
      </w:r>
      <w:r w:rsidRPr="00B16B3D" w:rsidR="00905370">
        <w:t xml:space="preserve">a “small business” or a “small organization” </w:t>
      </w:r>
      <w:r w:rsidRPr="00B16B3D" w:rsidR="00EB2DEE">
        <w:t xml:space="preserve">under the Securities Act and Exchange Act rarely, if ever, are </w:t>
      </w:r>
      <w:proofErr w:type="spellStart"/>
      <w:r w:rsidRPr="00B16B3D" w:rsidR="00EB2DEE">
        <w:t>securitizers</w:t>
      </w:r>
      <w:proofErr w:type="spellEnd"/>
      <w:r w:rsidRPr="00B16B3D" w:rsidR="00EB2DEE">
        <w:t xml:space="preserve"> which are subject to the rule.</w:t>
      </w:r>
    </w:p>
    <w:p w:rsidRPr="00B16B3D" w:rsidR="003947BB" w:rsidP="00B16B3D" w:rsidRDefault="003947BB">
      <w:pPr>
        <w:rPr>
          <w:strike/>
        </w:rPr>
      </w:pPr>
    </w:p>
    <w:p w:rsidRPr="00B16B3D" w:rsidR="00C10733" w:rsidP="00B16B3D" w:rsidRDefault="00B16B3D">
      <w:pPr>
        <w:rPr>
          <w:u w:val="single"/>
        </w:rPr>
      </w:pPr>
      <w:r>
        <w:tab/>
        <w:t>6.</w:t>
      </w:r>
      <w:r>
        <w:tab/>
      </w:r>
      <w:r w:rsidRPr="00B16B3D" w:rsidR="001A1111">
        <w:rPr>
          <w:u w:val="single"/>
        </w:rPr>
        <w:t>Consequences of Not Conducting Collection</w:t>
      </w:r>
    </w:p>
    <w:p w:rsidRPr="00B16B3D" w:rsidR="00C10733" w:rsidP="00B16B3D" w:rsidRDefault="00C10733"/>
    <w:p w:rsidRPr="00B16B3D" w:rsidR="00B431DC" w:rsidP="00B16B3D" w:rsidRDefault="00B16B3D">
      <w:r>
        <w:tab/>
      </w:r>
      <w:r w:rsidRPr="00B16B3D" w:rsidR="00433D07">
        <w:t xml:space="preserve">The objectives of offering disclosure requirements under the Securities Act and the ongoing disclosure requirements under the Exchange Act could not be met with less frequent collection of this information for asset-backed securities. </w:t>
      </w:r>
    </w:p>
    <w:p w:rsidRPr="00B16B3D" w:rsidR="00C10733" w:rsidP="00B16B3D" w:rsidRDefault="00C10733"/>
    <w:p w:rsidRPr="00B16B3D" w:rsidR="00C10733" w:rsidP="00B16B3D" w:rsidRDefault="00B16B3D">
      <w:r>
        <w:tab/>
        <w:t>7.</w:t>
      </w:r>
      <w:r>
        <w:tab/>
      </w:r>
      <w:r w:rsidRPr="00B16B3D" w:rsidR="001A1111">
        <w:rPr>
          <w:u w:val="single"/>
        </w:rPr>
        <w:t>Special Circumstances</w:t>
      </w:r>
    </w:p>
    <w:p w:rsidRPr="00B16B3D" w:rsidR="00433220" w:rsidP="00B16B3D" w:rsidRDefault="00433220"/>
    <w:p w:rsidRPr="00B16B3D" w:rsidR="00B431DC" w:rsidP="00B16B3D" w:rsidRDefault="002D3FFB">
      <w:r>
        <w:tab/>
        <w:t>There are no special circumstances.</w:t>
      </w:r>
    </w:p>
    <w:p w:rsidRPr="00B16B3D" w:rsidR="00926C2C" w:rsidP="00B16B3D" w:rsidRDefault="00926C2C"/>
    <w:p w:rsidRPr="00B16B3D" w:rsidR="00C10733" w:rsidP="00B16B3D" w:rsidRDefault="00B16B3D">
      <w:pPr>
        <w:rPr>
          <w:u w:val="single"/>
        </w:rPr>
      </w:pPr>
      <w:r>
        <w:tab/>
        <w:t>8.</w:t>
      </w:r>
      <w:r>
        <w:tab/>
      </w:r>
      <w:r w:rsidRPr="00B16B3D" w:rsidR="001A1111">
        <w:rPr>
          <w:u w:val="single"/>
        </w:rPr>
        <w:t>Consultation</w:t>
      </w:r>
      <w:r w:rsidRPr="00B16B3D" w:rsidR="00EA0ECB">
        <w:rPr>
          <w:u w:val="single"/>
        </w:rPr>
        <w:t>s</w:t>
      </w:r>
      <w:r w:rsidRPr="00B16B3D" w:rsidR="001A1111">
        <w:rPr>
          <w:u w:val="single"/>
        </w:rPr>
        <w:t xml:space="preserve"> with Persons </w:t>
      </w:r>
      <w:proofErr w:type="gramStart"/>
      <w:r w:rsidRPr="00B16B3D" w:rsidR="001A1111">
        <w:rPr>
          <w:u w:val="single"/>
        </w:rPr>
        <w:t>Outside</w:t>
      </w:r>
      <w:proofErr w:type="gramEnd"/>
      <w:r w:rsidRPr="00B16B3D" w:rsidR="001A1111">
        <w:rPr>
          <w:u w:val="single"/>
        </w:rPr>
        <w:t xml:space="preserve"> the Agency</w:t>
      </w:r>
    </w:p>
    <w:p w:rsidRPr="00B16B3D" w:rsidR="00B918C1" w:rsidP="00B16B3D" w:rsidRDefault="00B918C1"/>
    <w:p w:rsidRPr="00B16B3D" w:rsidR="00C10733" w:rsidP="00B16B3D" w:rsidRDefault="00B16B3D">
      <w:r>
        <w:tab/>
      </w:r>
      <w:r w:rsidRPr="00B16B3D" w:rsidR="001A1111">
        <w:t>No comments were received on this request during the 60-day comment period prior to OMB’s review of this submission.</w:t>
      </w:r>
    </w:p>
    <w:p w:rsidRPr="00B16B3D" w:rsidR="001A1111" w:rsidP="00B16B3D" w:rsidRDefault="001A1111"/>
    <w:p w:rsidRPr="00B16B3D" w:rsidR="00C10733" w:rsidP="00B16B3D" w:rsidRDefault="00B16B3D">
      <w:r>
        <w:tab/>
        <w:t>9.</w:t>
      </w:r>
      <w:r>
        <w:tab/>
      </w:r>
      <w:r w:rsidRPr="00B16B3D" w:rsidR="001A1111">
        <w:rPr>
          <w:u w:val="single"/>
        </w:rPr>
        <w:t>Payment or Gift to Respondents</w:t>
      </w:r>
    </w:p>
    <w:p w:rsidRPr="00B16B3D" w:rsidR="00C10733" w:rsidP="00B16B3D" w:rsidRDefault="00C10733"/>
    <w:p w:rsidRPr="00B16B3D" w:rsidR="00B918C1" w:rsidP="00B16B3D" w:rsidRDefault="00EB2DEE">
      <w:r w:rsidRPr="00B16B3D">
        <w:tab/>
      </w:r>
      <w:r w:rsidRPr="002D3FFB" w:rsidR="002D3FFB">
        <w:t>No payment or gift has been provided to any respondents.</w:t>
      </w:r>
    </w:p>
    <w:p w:rsidRPr="00B16B3D" w:rsidR="00B431DC" w:rsidP="00B16B3D" w:rsidRDefault="00B431DC"/>
    <w:p w:rsidRPr="00B16B3D" w:rsidR="00C10733" w:rsidP="00B16B3D" w:rsidRDefault="00B16B3D">
      <w:r>
        <w:tab/>
        <w:t>10.</w:t>
      </w:r>
      <w:r>
        <w:tab/>
      </w:r>
      <w:r w:rsidRPr="00B16B3D" w:rsidR="001A1111">
        <w:rPr>
          <w:u w:val="single"/>
        </w:rPr>
        <w:t>Confidentiality</w:t>
      </w:r>
    </w:p>
    <w:p w:rsidRPr="00B16B3D" w:rsidR="00C10733" w:rsidP="00B16B3D" w:rsidRDefault="00C10733"/>
    <w:p w:rsidRPr="00B16B3D" w:rsidR="00B431DC" w:rsidP="00B16B3D" w:rsidRDefault="00EB2DEE">
      <w:r w:rsidRPr="00B16B3D">
        <w:tab/>
      </w:r>
      <w:r w:rsidRPr="00B16B3D" w:rsidR="005C4CB8">
        <w:t>Form ABS-15G</w:t>
      </w:r>
      <w:r w:rsidRPr="00B16B3D" w:rsidR="00B918C1">
        <w:t xml:space="preserve"> </w:t>
      </w:r>
      <w:r w:rsidRPr="00B16B3D">
        <w:t>is a public document</w:t>
      </w:r>
      <w:r w:rsidRPr="00B16B3D" w:rsidR="00B918C1">
        <w:t>.</w:t>
      </w:r>
    </w:p>
    <w:p w:rsidR="00A03957" w:rsidP="00B16B3D" w:rsidRDefault="00A03957"/>
    <w:p w:rsidR="00373635" w:rsidP="00B16B3D" w:rsidRDefault="00373635"/>
    <w:p w:rsidR="00373635" w:rsidP="00B16B3D" w:rsidRDefault="00373635"/>
    <w:p w:rsidR="00373635" w:rsidP="00B16B3D" w:rsidRDefault="00373635"/>
    <w:p w:rsidR="00373635" w:rsidP="00B16B3D" w:rsidRDefault="00373635"/>
    <w:p w:rsidRPr="00B16B3D" w:rsidR="00C10733" w:rsidP="00B16B3D" w:rsidRDefault="00B16B3D">
      <w:pPr>
        <w:rPr>
          <w:u w:val="single"/>
        </w:rPr>
      </w:pPr>
      <w:r>
        <w:lastRenderedPageBreak/>
        <w:tab/>
        <w:t>11.</w:t>
      </w:r>
      <w:r>
        <w:tab/>
      </w:r>
      <w:r w:rsidRPr="00B16B3D" w:rsidR="001A1111">
        <w:rPr>
          <w:u w:val="single"/>
        </w:rPr>
        <w:t>Sensitive Questions</w:t>
      </w:r>
    </w:p>
    <w:p w:rsidRPr="00B16B3D" w:rsidR="00B918C1" w:rsidP="00B16B3D" w:rsidRDefault="00B918C1"/>
    <w:p w:rsidRPr="00B16B3D" w:rsidR="0001383B" w:rsidP="00B16B3D" w:rsidRDefault="00B16B3D">
      <w:pPr>
        <w:rPr>
          <w:szCs w:val="24"/>
        </w:rPr>
      </w:pPr>
      <w:r>
        <w:rPr>
          <w:szCs w:val="24"/>
        </w:rPr>
        <w:tab/>
      </w:r>
      <w:r w:rsidRPr="00B16B3D" w:rsidR="002F4CAA">
        <w:rPr>
          <w:szCs w:val="24"/>
        </w:rPr>
        <w:t>No information of a sensitive nature, including social security numbers, will be required under this collection of information. The information collection collects basic Personally Identifiable Information (PII) that may include: name, address and zip code. However, the agency has determined that the information collection does not constitute a system of record for purposes of the Privacy Act. Information is not retrieved by a personal identifier. In accordance with Section 208 of the E-Government Act of 2002, the agency has conducted a Privacy Impact Assessment (PIA) of the EDGAR system, in connection with this collection of information. The EDGAR PIA, published on</w:t>
      </w:r>
      <w:r w:rsidR="002D3FFB">
        <w:rPr>
          <w:szCs w:val="24"/>
        </w:rPr>
        <w:t xml:space="preserve"> February 5, 2020</w:t>
      </w:r>
      <w:bookmarkStart w:name="_GoBack" w:id="0"/>
      <w:bookmarkEnd w:id="0"/>
      <w:r w:rsidRPr="00B16B3D" w:rsidR="002F4CAA">
        <w:rPr>
          <w:szCs w:val="24"/>
        </w:rPr>
        <w:t xml:space="preserve"> is provided as a supplemental document and is also available at https://www.sec.gov/privacy.</w:t>
      </w:r>
    </w:p>
    <w:p w:rsidRPr="00B16B3D" w:rsidR="009144FC" w:rsidP="00B16B3D" w:rsidRDefault="009144FC"/>
    <w:p w:rsidR="00153055" w:rsidP="00B16B3D" w:rsidRDefault="00B16B3D">
      <w:pPr>
        <w:rPr>
          <w:u w:val="single"/>
        </w:rPr>
      </w:pPr>
      <w:r>
        <w:tab/>
        <w:t>12.</w:t>
      </w:r>
      <w:r>
        <w:tab/>
      </w:r>
      <w:r w:rsidRPr="00B16B3D" w:rsidR="00153055">
        <w:rPr>
          <w:u w:val="single"/>
        </w:rPr>
        <w:t>Estimate of Respondent Reporting Burden</w:t>
      </w:r>
    </w:p>
    <w:p w:rsidR="002D3FFB" w:rsidP="00B16B3D" w:rsidRDefault="002D3FFB">
      <w:pPr>
        <w:rPr>
          <w:u w:val="single"/>
        </w:rPr>
      </w:pPr>
    </w:p>
    <w:p w:rsidRPr="002D3FFB" w:rsidR="002D3FFB" w:rsidP="002D3FFB" w:rsidRDefault="002D3FFB">
      <w:pPr>
        <w:widowControl w:val="0"/>
        <w:autoSpaceDE w:val="0"/>
        <w:autoSpaceDN w:val="0"/>
        <w:jc w:val="center"/>
        <w:rPr>
          <w:b/>
          <w:bCs/>
          <w:szCs w:val="24"/>
          <w:lang w:bidi="en-US"/>
        </w:rPr>
      </w:pPr>
      <w:r w:rsidRPr="002D3FFB">
        <w:rPr>
          <w:b/>
          <w:bCs/>
          <w:szCs w:val="24"/>
          <w:lang w:bidi="en-US"/>
        </w:rPr>
        <w:t>Estimated Reporting Burden</w:t>
      </w:r>
    </w:p>
    <w:p w:rsidRPr="002D3FFB" w:rsidR="002D3FFB" w:rsidP="002D3FFB" w:rsidRDefault="002D3FFB">
      <w:pPr>
        <w:widowControl w:val="0"/>
        <w:autoSpaceDE w:val="0"/>
        <w:autoSpaceDN w:val="0"/>
        <w:rPr>
          <w:bCs/>
          <w:szCs w:val="24"/>
          <w:lang w:bidi="en-US"/>
        </w:rPr>
      </w:pPr>
    </w:p>
    <w:tbl>
      <w:tblPr>
        <w:tblpPr w:leftFromText="180" w:rightFromText="180" w:vertAnchor="text" w:horzAnchor="margin" w:tblpXSpec="center" w:tblpY="96"/>
        <w:tblW w:w="6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18"/>
        <w:gridCol w:w="1327"/>
        <w:gridCol w:w="1803"/>
        <w:gridCol w:w="1774"/>
      </w:tblGrid>
      <w:tr w:rsidRPr="002D3FFB" w:rsidR="002D3FFB" w:rsidTr="00B7279E">
        <w:trPr>
          <w:trHeight w:val="559"/>
          <w:tblHeader/>
        </w:trPr>
        <w:tc>
          <w:tcPr>
            <w:tcW w:w="1818" w:type="dxa"/>
          </w:tcPr>
          <w:p w:rsidRPr="002D3FFB" w:rsidR="002D3FFB" w:rsidP="002D3FFB" w:rsidRDefault="002D3FFB">
            <w:pPr>
              <w:widowControl w:val="0"/>
              <w:autoSpaceDE w:val="0"/>
              <w:autoSpaceDN w:val="0"/>
              <w:rPr>
                <w:szCs w:val="24"/>
                <w:lang w:bidi="en-US"/>
              </w:rPr>
            </w:pPr>
            <w:r w:rsidRPr="002D3FFB">
              <w:rPr>
                <w:szCs w:val="24"/>
                <w:lang w:bidi="en-US"/>
              </w:rPr>
              <w:t>Information Collection Title</w:t>
            </w:r>
          </w:p>
        </w:tc>
        <w:tc>
          <w:tcPr>
            <w:tcW w:w="1327" w:type="dxa"/>
          </w:tcPr>
          <w:p w:rsidRPr="002D3FFB" w:rsidR="002D3FFB" w:rsidP="002D3FFB" w:rsidRDefault="002D3FFB">
            <w:pPr>
              <w:widowControl w:val="0"/>
              <w:autoSpaceDE w:val="0"/>
              <w:autoSpaceDN w:val="0"/>
              <w:jc w:val="center"/>
              <w:rPr>
                <w:szCs w:val="24"/>
                <w:lang w:bidi="en-US"/>
              </w:rPr>
            </w:pPr>
            <w:r w:rsidRPr="002D3FFB">
              <w:rPr>
                <w:szCs w:val="24"/>
                <w:lang w:bidi="en-US"/>
              </w:rPr>
              <w:t>OMB Control Number</w:t>
            </w:r>
          </w:p>
        </w:tc>
        <w:tc>
          <w:tcPr>
            <w:tcW w:w="1803" w:type="dxa"/>
          </w:tcPr>
          <w:p w:rsidRPr="002D3FFB" w:rsidR="002D3FFB" w:rsidP="002D3FFB" w:rsidRDefault="002D3FFB">
            <w:pPr>
              <w:widowControl w:val="0"/>
              <w:autoSpaceDE w:val="0"/>
              <w:autoSpaceDN w:val="0"/>
              <w:jc w:val="center"/>
              <w:rPr>
                <w:szCs w:val="24"/>
                <w:lang w:bidi="en-US"/>
              </w:rPr>
            </w:pPr>
            <w:r w:rsidRPr="002D3FFB">
              <w:rPr>
                <w:szCs w:val="24"/>
                <w:lang w:bidi="en-US"/>
              </w:rPr>
              <w:t>Number of Responses</w:t>
            </w:r>
          </w:p>
        </w:tc>
        <w:tc>
          <w:tcPr>
            <w:tcW w:w="1774" w:type="dxa"/>
          </w:tcPr>
          <w:p w:rsidRPr="002D3FFB" w:rsidR="002D3FFB" w:rsidP="002D3FFB" w:rsidRDefault="002D3FFB">
            <w:pPr>
              <w:widowControl w:val="0"/>
              <w:autoSpaceDE w:val="0"/>
              <w:autoSpaceDN w:val="0"/>
              <w:jc w:val="center"/>
              <w:rPr>
                <w:szCs w:val="24"/>
                <w:lang w:bidi="en-US"/>
              </w:rPr>
            </w:pPr>
            <w:r w:rsidRPr="002D3FFB">
              <w:rPr>
                <w:szCs w:val="24"/>
                <w:lang w:bidi="en-US"/>
              </w:rPr>
              <w:t>Burden</w:t>
            </w:r>
          </w:p>
          <w:p w:rsidRPr="002D3FFB" w:rsidR="002D3FFB" w:rsidP="002D3FFB" w:rsidRDefault="002D3FFB">
            <w:pPr>
              <w:widowControl w:val="0"/>
              <w:autoSpaceDE w:val="0"/>
              <w:autoSpaceDN w:val="0"/>
              <w:jc w:val="center"/>
              <w:rPr>
                <w:szCs w:val="24"/>
                <w:lang w:bidi="en-US"/>
              </w:rPr>
            </w:pPr>
            <w:r w:rsidRPr="002D3FFB">
              <w:rPr>
                <w:szCs w:val="24"/>
                <w:lang w:bidi="en-US"/>
              </w:rPr>
              <w:t>Hours</w:t>
            </w:r>
          </w:p>
        </w:tc>
      </w:tr>
      <w:tr w:rsidRPr="002D3FFB" w:rsidR="002D3FFB" w:rsidTr="00B7279E">
        <w:trPr>
          <w:trHeight w:val="559"/>
        </w:trPr>
        <w:tc>
          <w:tcPr>
            <w:tcW w:w="1818" w:type="dxa"/>
            <w:vAlign w:val="center"/>
          </w:tcPr>
          <w:p w:rsidRPr="002D3FFB" w:rsidR="002D3FFB" w:rsidP="002D3FFB" w:rsidRDefault="002D3FFB">
            <w:pPr>
              <w:widowControl w:val="0"/>
              <w:autoSpaceDE w:val="0"/>
              <w:autoSpaceDN w:val="0"/>
              <w:rPr>
                <w:szCs w:val="24"/>
                <w:lang w:bidi="en-US"/>
              </w:rPr>
            </w:pPr>
            <w:r>
              <w:rPr>
                <w:szCs w:val="24"/>
                <w:lang w:bidi="en-US"/>
              </w:rPr>
              <w:t>Form ABS-15G</w:t>
            </w:r>
          </w:p>
        </w:tc>
        <w:tc>
          <w:tcPr>
            <w:tcW w:w="1327" w:type="dxa"/>
            <w:vAlign w:val="center"/>
          </w:tcPr>
          <w:p w:rsidRPr="002D3FFB" w:rsidR="002D3FFB" w:rsidP="002D3FFB" w:rsidRDefault="002D3FFB">
            <w:pPr>
              <w:widowControl w:val="0"/>
              <w:autoSpaceDE w:val="0"/>
              <w:autoSpaceDN w:val="0"/>
              <w:jc w:val="center"/>
              <w:rPr>
                <w:szCs w:val="24"/>
                <w:lang w:bidi="en-US"/>
              </w:rPr>
            </w:pPr>
            <w:r>
              <w:rPr>
                <w:szCs w:val="24"/>
                <w:lang w:bidi="en-US"/>
              </w:rPr>
              <w:t>3235-0675</w:t>
            </w:r>
          </w:p>
        </w:tc>
        <w:tc>
          <w:tcPr>
            <w:tcW w:w="1803" w:type="dxa"/>
            <w:vAlign w:val="center"/>
          </w:tcPr>
          <w:p w:rsidRPr="002D3FFB" w:rsidR="002D3FFB" w:rsidP="002D3FFB" w:rsidRDefault="002D3FFB">
            <w:pPr>
              <w:widowControl w:val="0"/>
              <w:autoSpaceDE w:val="0"/>
              <w:autoSpaceDN w:val="0"/>
              <w:jc w:val="center"/>
              <w:rPr>
                <w:szCs w:val="24"/>
                <w:lang w:bidi="en-US"/>
              </w:rPr>
            </w:pPr>
            <w:r>
              <w:rPr>
                <w:szCs w:val="24"/>
                <w:lang w:bidi="en-US"/>
              </w:rPr>
              <w:t>907</w:t>
            </w:r>
          </w:p>
        </w:tc>
        <w:tc>
          <w:tcPr>
            <w:tcW w:w="1774" w:type="dxa"/>
            <w:vAlign w:val="center"/>
          </w:tcPr>
          <w:p w:rsidRPr="002D3FFB" w:rsidR="002D3FFB" w:rsidP="002D3FFB" w:rsidRDefault="002D3FFB">
            <w:pPr>
              <w:widowControl w:val="0"/>
              <w:autoSpaceDE w:val="0"/>
              <w:autoSpaceDN w:val="0"/>
              <w:jc w:val="center"/>
              <w:rPr>
                <w:szCs w:val="24"/>
                <w:lang w:bidi="en-US"/>
              </w:rPr>
            </w:pPr>
            <w:r>
              <w:rPr>
                <w:szCs w:val="24"/>
                <w:lang w:bidi="en-US"/>
              </w:rPr>
              <w:t>18,519</w:t>
            </w:r>
          </w:p>
        </w:tc>
      </w:tr>
    </w:tbl>
    <w:p w:rsidRPr="00B16B3D" w:rsidR="002D3FFB" w:rsidP="00B16B3D" w:rsidRDefault="002D3FFB"/>
    <w:p w:rsidR="00153055" w:rsidP="00B16B3D" w:rsidRDefault="00153055"/>
    <w:p w:rsidR="00786610" w:rsidP="00B16B3D" w:rsidRDefault="00786610"/>
    <w:p w:rsidR="00786610" w:rsidP="00B16B3D" w:rsidRDefault="00786610"/>
    <w:p w:rsidR="00786610" w:rsidP="00B16B3D" w:rsidRDefault="00786610"/>
    <w:p w:rsidRPr="00B16B3D" w:rsidR="00786610" w:rsidP="00B16B3D" w:rsidRDefault="00786610"/>
    <w:p w:rsidR="00B415E6" w:rsidP="00B16B3D" w:rsidRDefault="00B16B3D">
      <w:r>
        <w:tab/>
      </w:r>
      <w:r w:rsidR="0019386B">
        <w:rPr>
          <w:szCs w:val="24"/>
        </w:rPr>
        <w:t>Form ABS-15G is a collection of information required by Rules 15Ga-1 and 15Ga-2 under the Exchange Act.</w:t>
      </w:r>
      <w:r w:rsidR="009D3DE9">
        <w:rPr>
          <w:szCs w:val="24"/>
        </w:rPr>
        <w:t xml:space="preserve"> </w:t>
      </w:r>
      <w:r w:rsidR="0019386B">
        <w:rPr>
          <w:szCs w:val="24"/>
        </w:rPr>
        <w:t xml:space="preserve"> </w:t>
      </w:r>
      <w:r w:rsidR="00873E7B">
        <w:rPr>
          <w:szCs w:val="24"/>
        </w:rPr>
        <w:t xml:space="preserve">For just Rule 15Ga-1, </w:t>
      </w:r>
      <w:r w:rsidRPr="00B16B3D" w:rsidR="00B415E6">
        <w:t>Form ABS-15G takes approximately 2</w:t>
      </w:r>
      <w:r w:rsidRPr="00B16B3D" w:rsidR="00B81C56">
        <w:t>7.2234</w:t>
      </w:r>
      <w:r w:rsidRPr="00B16B3D" w:rsidR="00B415E6">
        <w:t xml:space="preserve"> hours per response and is filed by approximately 907 respondents.  We estimate that </w:t>
      </w:r>
      <w:r w:rsidRPr="00B16B3D" w:rsidR="00B81C56">
        <w:t>7</w:t>
      </w:r>
      <w:r w:rsidRPr="00B16B3D" w:rsidR="00B415E6">
        <w:t xml:space="preserve">5% of the </w:t>
      </w:r>
      <w:r w:rsidRPr="00B16B3D" w:rsidR="00B81C56">
        <w:t>27.2234 hours per response (20.4176 hours) is prepared by the filer for a total annual reporting burden of 18,519 hours (20.4176 hours per response x 907 responses)</w:t>
      </w:r>
      <w:r w:rsidRPr="00B16B3D" w:rsidR="00B415E6">
        <w:t xml:space="preserve">.  </w:t>
      </w:r>
      <w:r w:rsidRPr="00B16B3D" w:rsidR="002D1DED">
        <w:t>For administrative convenience, the presentation of the totals related to the paperwork burden hours have been rounded to the nearest whole number</w:t>
      </w:r>
      <w:r w:rsidRPr="00B16B3D" w:rsidR="002F4CAA">
        <w:t>.</w:t>
      </w:r>
      <w:r w:rsidRPr="00B16B3D" w:rsidR="002D1DED">
        <w:t xml:space="preserve">  The burden estimate for the hours is made solely for the purpose of the Paperwork Reduction Act.</w:t>
      </w:r>
    </w:p>
    <w:p w:rsidR="002D3FFB" w:rsidP="00B16B3D" w:rsidRDefault="002D3FFB"/>
    <w:p w:rsidRPr="002D3FFB" w:rsidR="002D3FFB" w:rsidP="002D3FFB" w:rsidRDefault="002D3FFB">
      <w:pPr>
        <w:widowControl w:val="0"/>
        <w:autoSpaceDE w:val="0"/>
        <w:autoSpaceDN w:val="0"/>
        <w:jc w:val="center"/>
        <w:rPr>
          <w:b/>
          <w:bCs/>
          <w:szCs w:val="24"/>
          <w:lang w:bidi="en-US"/>
        </w:rPr>
      </w:pPr>
      <w:r w:rsidRPr="002D3FFB">
        <w:rPr>
          <w:b/>
          <w:bCs/>
          <w:szCs w:val="24"/>
          <w:lang w:bidi="en-US"/>
        </w:rPr>
        <w:t>Estimated Reporting Burden</w:t>
      </w:r>
    </w:p>
    <w:p w:rsidRPr="002D3FFB" w:rsidR="002D3FFB" w:rsidP="002D3FFB" w:rsidRDefault="002D3FFB">
      <w:pPr>
        <w:widowControl w:val="0"/>
        <w:autoSpaceDE w:val="0"/>
        <w:autoSpaceDN w:val="0"/>
        <w:rPr>
          <w:bCs/>
          <w:szCs w:val="24"/>
          <w:lang w:bidi="en-US"/>
        </w:rPr>
      </w:pPr>
    </w:p>
    <w:tbl>
      <w:tblPr>
        <w:tblpPr w:leftFromText="180" w:rightFromText="180" w:vertAnchor="text" w:horzAnchor="margin" w:tblpXSpec="center" w:tblpY="96"/>
        <w:tblW w:w="6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18"/>
        <w:gridCol w:w="1327"/>
        <w:gridCol w:w="1803"/>
        <w:gridCol w:w="1774"/>
      </w:tblGrid>
      <w:tr w:rsidRPr="002D3FFB" w:rsidR="002D3FFB" w:rsidTr="00B7279E">
        <w:trPr>
          <w:trHeight w:val="559"/>
          <w:tblHeader/>
        </w:trPr>
        <w:tc>
          <w:tcPr>
            <w:tcW w:w="1818" w:type="dxa"/>
          </w:tcPr>
          <w:p w:rsidRPr="002D3FFB" w:rsidR="002D3FFB" w:rsidP="002D3FFB" w:rsidRDefault="002D3FFB">
            <w:pPr>
              <w:widowControl w:val="0"/>
              <w:autoSpaceDE w:val="0"/>
              <w:autoSpaceDN w:val="0"/>
              <w:rPr>
                <w:szCs w:val="24"/>
                <w:lang w:bidi="en-US"/>
              </w:rPr>
            </w:pPr>
            <w:r w:rsidRPr="002D3FFB">
              <w:rPr>
                <w:szCs w:val="24"/>
                <w:lang w:bidi="en-US"/>
              </w:rPr>
              <w:t>Information Collection Title</w:t>
            </w:r>
          </w:p>
        </w:tc>
        <w:tc>
          <w:tcPr>
            <w:tcW w:w="1327" w:type="dxa"/>
          </w:tcPr>
          <w:p w:rsidRPr="002D3FFB" w:rsidR="002D3FFB" w:rsidP="002D3FFB" w:rsidRDefault="002D3FFB">
            <w:pPr>
              <w:widowControl w:val="0"/>
              <w:autoSpaceDE w:val="0"/>
              <w:autoSpaceDN w:val="0"/>
              <w:jc w:val="center"/>
              <w:rPr>
                <w:szCs w:val="24"/>
                <w:lang w:bidi="en-US"/>
              </w:rPr>
            </w:pPr>
            <w:r w:rsidRPr="002D3FFB">
              <w:rPr>
                <w:szCs w:val="24"/>
                <w:lang w:bidi="en-US"/>
              </w:rPr>
              <w:t>OMB Control Number</w:t>
            </w:r>
          </w:p>
        </w:tc>
        <w:tc>
          <w:tcPr>
            <w:tcW w:w="1803" w:type="dxa"/>
          </w:tcPr>
          <w:p w:rsidRPr="002D3FFB" w:rsidR="002D3FFB" w:rsidP="002D3FFB" w:rsidRDefault="002D3FFB">
            <w:pPr>
              <w:widowControl w:val="0"/>
              <w:autoSpaceDE w:val="0"/>
              <w:autoSpaceDN w:val="0"/>
              <w:jc w:val="center"/>
              <w:rPr>
                <w:szCs w:val="24"/>
                <w:lang w:bidi="en-US"/>
              </w:rPr>
            </w:pPr>
            <w:r w:rsidRPr="002D3FFB">
              <w:rPr>
                <w:szCs w:val="24"/>
                <w:lang w:bidi="en-US"/>
              </w:rPr>
              <w:t>Number of Responses</w:t>
            </w:r>
          </w:p>
        </w:tc>
        <w:tc>
          <w:tcPr>
            <w:tcW w:w="1774" w:type="dxa"/>
          </w:tcPr>
          <w:p w:rsidRPr="002D3FFB" w:rsidR="002D3FFB" w:rsidP="002D3FFB" w:rsidRDefault="002D3FFB">
            <w:pPr>
              <w:widowControl w:val="0"/>
              <w:autoSpaceDE w:val="0"/>
              <w:autoSpaceDN w:val="0"/>
              <w:jc w:val="center"/>
              <w:rPr>
                <w:szCs w:val="24"/>
                <w:lang w:bidi="en-US"/>
              </w:rPr>
            </w:pPr>
            <w:r w:rsidRPr="002D3FFB">
              <w:rPr>
                <w:szCs w:val="24"/>
                <w:lang w:bidi="en-US"/>
              </w:rPr>
              <w:t>Burden</w:t>
            </w:r>
          </w:p>
          <w:p w:rsidRPr="002D3FFB" w:rsidR="002D3FFB" w:rsidP="002D3FFB" w:rsidRDefault="002D3FFB">
            <w:pPr>
              <w:widowControl w:val="0"/>
              <w:autoSpaceDE w:val="0"/>
              <w:autoSpaceDN w:val="0"/>
              <w:jc w:val="center"/>
              <w:rPr>
                <w:szCs w:val="24"/>
                <w:lang w:bidi="en-US"/>
              </w:rPr>
            </w:pPr>
            <w:r w:rsidRPr="002D3FFB">
              <w:rPr>
                <w:szCs w:val="24"/>
                <w:lang w:bidi="en-US"/>
              </w:rPr>
              <w:t>Hours</w:t>
            </w:r>
          </w:p>
        </w:tc>
      </w:tr>
      <w:tr w:rsidRPr="002D3FFB" w:rsidR="002D3FFB" w:rsidTr="00B7279E">
        <w:trPr>
          <w:trHeight w:val="559"/>
        </w:trPr>
        <w:tc>
          <w:tcPr>
            <w:tcW w:w="1818" w:type="dxa"/>
            <w:vAlign w:val="center"/>
          </w:tcPr>
          <w:p w:rsidRPr="002D3FFB" w:rsidR="002D3FFB" w:rsidP="002D3FFB" w:rsidRDefault="002D3FFB">
            <w:pPr>
              <w:widowControl w:val="0"/>
              <w:autoSpaceDE w:val="0"/>
              <w:autoSpaceDN w:val="0"/>
              <w:rPr>
                <w:szCs w:val="24"/>
                <w:lang w:bidi="en-US"/>
              </w:rPr>
            </w:pPr>
            <w:r>
              <w:rPr>
                <w:szCs w:val="24"/>
                <w:lang w:bidi="en-US"/>
              </w:rPr>
              <w:t>Form ABS-15G</w:t>
            </w:r>
          </w:p>
        </w:tc>
        <w:tc>
          <w:tcPr>
            <w:tcW w:w="1327" w:type="dxa"/>
            <w:vAlign w:val="center"/>
          </w:tcPr>
          <w:p w:rsidRPr="002D3FFB" w:rsidR="002D3FFB" w:rsidP="002D3FFB" w:rsidRDefault="002D3FFB">
            <w:pPr>
              <w:widowControl w:val="0"/>
              <w:autoSpaceDE w:val="0"/>
              <w:autoSpaceDN w:val="0"/>
              <w:jc w:val="center"/>
              <w:rPr>
                <w:szCs w:val="24"/>
                <w:lang w:bidi="en-US"/>
              </w:rPr>
            </w:pPr>
            <w:r>
              <w:rPr>
                <w:szCs w:val="24"/>
                <w:lang w:bidi="en-US"/>
              </w:rPr>
              <w:t>3235-0675</w:t>
            </w:r>
          </w:p>
        </w:tc>
        <w:tc>
          <w:tcPr>
            <w:tcW w:w="1803" w:type="dxa"/>
            <w:vAlign w:val="center"/>
          </w:tcPr>
          <w:p w:rsidRPr="002D3FFB" w:rsidR="002D3FFB" w:rsidP="002D3FFB" w:rsidRDefault="002D3FFB">
            <w:pPr>
              <w:widowControl w:val="0"/>
              <w:autoSpaceDE w:val="0"/>
              <w:autoSpaceDN w:val="0"/>
              <w:jc w:val="center"/>
              <w:rPr>
                <w:szCs w:val="24"/>
                <w:lang w:bidi="en-US"/>
              </w:rPr>
            </w:pPr>
            <w:r>
              <w:rPr>
                <w:szCs w:val="24"/>
                <w:lang w:bidi="en-US"/>
              </w:rPr>
              <w:t>436</w:t>
            </w:r>
          </w:p>
        </w:tc>
        <w:tc>
          <w:tcPr>
            <w:tcW w:w="1774" w:type="dxa"/>
            <w:vAlign w:val="center"/>
          </w:tcPr>
          <w:p w:rsidRPr="002D3FFB" w:rsidR="002D3FFB" w:rsidP="002D3FFB" w:rsidRDefault="002D3FFB">
            <w:pPr>
              <w:widowControl w:val="0"/>
              <w:autoSpaceDE w:val="0"/>
              <w:autoSpaceDN w:val="0"/>
              <w:jc w:val="center"/>
              <w:rPr>
                <w:szCs w:val="24"/>
                <w:lang w:bidi="en-US"/>
              </w:rPr>
            </w:pPr>
            <w:r>
              <w:rPr>
                <w:szCs w:val="24"/>
                <w:lang w:bidi="en-US"/>
              </w:rPr>
              <w:t>927</w:t>
            </w:r>
          </w:p>
        </w:tc>
      </w:tr>
    </w:tbl>
    <w:p w:rsidR="002D3FFB" w:rsidP="00B16B3D" w:rsidRDefault="002D3FFB"/>
    <w:p w:rsidR="002D3FFB" w:rsidP="00B16B3D" w:rsidRDefault="002D3FFB"/>
    <w:p w:rsidR="002D3FFB" w:rsidP="00B16B3D" w:rsidRDefault="002D3FFB"/>
    <w:p w:rsidR="002D3FFB" w:rsidP="00B16B3D" w:rsidRDefault="002D3FFB"/>
    <w:p w:rsidR="002D3FFB" w:rsidP="00B16B3D" w:rsidRDefault="002D3FFB"/>
    <w:p w:rsidRPr="00B16B3D" w:rsidR="0019386B" w:rsidP="00B16B3D" w:rsidRDefault="0019386B"/>
    <w:p w:rsidR="00B415E6" w:rsidP="00B16B3D" w:rsidRDefault="00B16B3D">
      <w:r>
        <w:tab/>
      </w:r>
      <w:r w:rsidR="00873E7B">
        <w:t xml:space="preserve">For just </w:t>
      </w:r>
      <w:r w:rsidRPr="00B16B3D" w:rsidR="00B81C56">
        <w:t>Rule 15Ga-2</w:t>
      </w:r>
      <w:r w:rsidR="00873E7B">
        <w:t xml:space="preserve">, </w:t>
      </w:r>
      <w:r w:rsidRPr="00B16B3D" w:rsidR="00B81C56">
        <w:t xml:space="preserve">Form ABS-15G takes approximately </w:t>
      </w:r>
      <w:r w:rsidRPr="00B16B3D" w:rsidR="00502848">
        <w:t>2.1279</w:t>
      </w:r>
      <w:r w:rsidRPr="00B16B3D" w:rsidR="00B81C56">
        <w:t xml:space="preserve"> hours per response and is filed by approximately 436 respondents.  We estimate that </w:t>
      </w:r>
      <w:r w:rsidRPr="00B16B3D" w:rsidR="00502848">
        <w:t>100</w:t>
      </w:r>
      <w:r w:rsidRPr="00B16B3D" w:rsidR="00B81C56">
        <w:t>% of the 2.</w:t>
      </w:r>
      <w:r w:rsidRPr="00B16B3D" w:rsidR="00502848">
        <w:t>1279</w:t>
      </w:r>
      <w:r w:rsidRPr="00B16B3D" w:rsidR="00B81C56">
        <w:t xml:space="preserve"> hours per response (2.1279 hours) is prepare</w:t>
      </w:r>
      <w:r w:rsidRPr="00B16B3D" w:rsidR="002D1DED">
        <w:t>d</w:t>
      </w:r>
      <w:r w:rsidRPr="00B16B3D" w:rsidR="00B81C56">
        <w:t xml:space="preserve"> by the filer</w:t>
      </w:r>
      <w:r w:rsidRPr="00B16B3D" w:rsidR="00B415E6">
        <w:t xml:space="preserve"> </w:t>
      </w:r>
      <w:r w:rsidRPr="00B16B3D" w:rsidR="00B81C56">
        <w:t xml:space="preserve">for a total annual reporting burden of 928 hours (2.1279 hours per response x </w:t>
      </w:r>
      <w:r w:rsidRPr="00B16B3D" w:rsidR="002D1DED">
        <w:t>436</w:t>
      </w:r>
      <w:r w:rsidRPr="00B16B3D" w:rsidR="00B81C56">
        <w:t xml:space="preserve"> responses).  </w:t>
      </w:r>
      <w:r w:rsidRPr="00B16B3D" w:rsidR="002D1DED">
        <w:t xml:space="preserve">For administrative convenience, the presentation of the totals related to the paperwork burden hours have been rounded to the nearest whole </w:t>
      </w:r>
      <w:r w:rsidRPr="00B16B3D" w:rsidR="002D1DED">
        <w:lastRenderedPageBreak/>
        <w:t>number</w:t>
      </w:r>
      <w:r w:rsidRPr="00B16B3D" w:rsidR="002F4CAA">
        <w:t>.</w:t>
      </w:r>
      <w:r w:rsidRPr="00B16B3D" w:rsidR="002D1DED">
        <w:t xml:space="preserve">  The burden estimate for the hours is made solely for the purpose of the Paperwork Reduction Act.</w:t>
      </w:r>
    </w:p>
    <w:p w:rsidR="002D3FFB" w:rsidP="00B16B3D" w:rsidRDefault="002D3FFB"/>
    <w:p w:rsidRPr="002D3FFB" w:rsidR="002D3FFB" w:rsidP="002D3FFB" w:rsidRDefault="002D3FFB">
      <w:pPr>
        <w:widowControl w:val="0"/>
        <w:autoSpaceDE w:val="0"/>
        <w:autoSpaceDN w:val="0"/>
        <w:jc w:val="center"/>
        <w:rPr>
          <w:b/>
          <w:bCs/>
          <w:szCs w:val="24"/>
          <w:lang w:bidi="en-US"/>
        </w:rPr>
      </w:pPr>
      <w:r w:rsidRPr="002D3FFB">
        <w:rPr>
          <w:b/>
          <w:bCs/>
          <w:szCs w:val="24"/>
          <w:lang w:bidi="en-US"/>
        </w:rPr>
        <w:t xml:space="preserve">Estimated Reporting </w:t>
      </w:r>
      <w:r>
        <w:rPr>
          <w:b/>
          <w:bCs/>
          <w:szCs w:val="24"/>
          <w:lang w:bidi="en-US"/>
        </w:rPr>
        <w:t xml:space="preserve">Total </w:t>
      </w:r>
      <w:r w:rsidRPr="002D3FFB">
        <w:rPr>
          <w:b/>
          <w:bCs/>
          <w:szCs w:val="24"/>
          <w:lang w:bidi="en-US"/>
        </w:rPr>
        <w:t>Burden</w:t>
      </w:r>
    </w:p>
    <w:p w:rsidRPr="002D3FFB" w:rsidR="002D3FFB" w:rsidP="002D3FFB" w:rsidRDefault="002D3FFB">
      <w:pPr>
        <w:widowControl w:val="0"/>
        <w:autoSpaceDE w:val="0"/>
        <w:autoSpaceDN w:val="0"/>
        <w:rPr>
          <w:bCs/>
          <w:szCs w:val="24"/>
          <w:lang w:bidi="en-US"/>
        </w:rPr>
      </w:pPr>
    </w:p>
    <w:tbl>
      <w:tblPr>
        <w:tblpPr w:leftFromText="180" w:rightFromText="180" w:vertAnchor="text" w:horzAnchor="margin" w:tblpXSpec="center" w:tblpY="96"/>
        <w:tblW w:w="6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18"/>
        <w:gridCol w:w="1327"/>
        <w:gridCol w:w="1803"/>
        <w:gridCol w:w="1774"/>
      </w:tblGrid>
      <w:tr w:rsidRPr="002D3FFB" w:rsidR="002D3FFB" w:rsidTr="00B7279E">
        <w:trPr>
          <w:trHeight w:val="559"/>
          <w:tblHeader/>
        </w:trPr>
        <w:tc>
          <w:tcPr>
            <w:tcW w:w="1818" w:type="dxa"/>
          </w:tcPr>
          <w:p w:rsidRPr="002D3FFB" w:rsidR="002D3FFB" w:rsidP="002D3FFB" w:rsidRDefault="002D3FFB">
            <w:pPr>
              <w:widowControl w:val="0"/>
              <w:autoSpaceDE w:val="0"/>
              <w:autoSpaceDN w:val="0"/>
              <w:rPr>
                <w:szCs w:val="24"/>
                <w:lang w:bidi="en-US"/>
              </w:rPr>
            </w:pPr>
            <w:r w:rsidRPr="002D3FFB">
              <w:rPr>
                <w:szCs w:val="24"/>
                <w:lang w:bidi="en-US"/>
              </w:rPr>
              <w:t>Information Collection Title</w:t>
            </w:r>
          </w:p>
        </w:tc>
        <w:tc>
          <w:tcPr>
            <w:tcW w:w="1327" w:type="dxa"/>
          </w:tcPr>
          <w:p w:rsidRPr="002D3FFB" w:rsidR="002D3FFB" w:rsidP="002D3FFB" w:rsidRDefault="002D3FFB">
            <w:pPr>
              <w:widowControl w:val="0"/>
              <w:autoSpaceDE w:val="0"/>
              <w:autoSpaceDN w:val="0"/>
              <w:jc w:val="center"/>
              <w:rPr>
                <w:szCs w:val="24"/>
                <w:lang w:bidi="en-US"/>
              </w:rPr>
            </w:pPr>
            <w:r w:rsidRPr="002D3FFB">
              <w:rPr>
                <w:szCs w:val="24"/>
                <w:lang w:bidi="en-US"/>
              </w:rPr>
              <w:t>OMB Control Number</w:t>
            </w:r>
          </w:p>
        </w:tc>
        <w:tc>
          <w:tcPr>
            <w:tcW w:w="1803" w:type="dxa"/>
          </w:tcPr>
          <w:p w:rsidRPr="002D3FFB" w:rsidR="002D3FFB" w:rsidP="002D3FFB" w:rsidRDefault="002D3FFB">
            <w:pPr>
              <w:widowControl w:val="0"/>
              <w:autoSpaceDE w:val="0"/>
              <w:autoSpaceDN w:val="0"/>
              <w:jc w:val="center"/>
              <w:rPr>
                <w:szCs w:val="24"/>
                <w:lang w:bidi="en-US"/>
              </w:rPr>
            </w:pPr>
            <w:r w:rsidRPr="002D3FFB">
              <w:rPr>
                <w:szCs w:val="24"/>
                <w:lang w:bidi="en-US"/>
              </w:rPr>
              <w:t>Number of Responses</w:t>
            </w:r>
          </w:p>
        </w:tc>
        <w:tc>
          <w:tcPr>
            <w:tcW w:w="1774" w:type="dxa"/>
          </w:tcPr>
          <w:p w:rsidRPr="002D3FFB" w:rsidR="002D3FFB" w:rsidP="002D3FFB" w:rsidRDefault="002D3FFB">
            <w:pPr>
              <w:widowControl w:val="0"/>
              <w:autoSpaceDE w:val="0"/>
              <w:autoSpaceDN w:val="0"/>
              <w:jc w:val="center"/>
              <w:rPr>
                <w:szCs w:val="24"/>
                <w:lang w:bidi="en-US"/>
              </w:rPr>
            </w:pPr>
            <w:r w:rsidRPr="002D3FFB">
              <w:rPr>
                <w:szCs w:val="24"/>
                <w:lang w:bidi="en-US"/>
              </w:rPr>
              <w:t>Burden</w:t>
            </w:r>
          </w:p>
          <w:p w:rsidRPr="002D3FFB" w:rsidR="002D3FFB" w:rsidP="002D3FFB" w:rsidRDefault="002D3FFB">
            <w:pPr>
              <w:widowControl w:val="0"/>
              <w:autoSpaceDE w:val="0"/>
              <w:autoSpaceDN w:val="0"/>
              <w:jc w:val="center"/>
              <w:rPr>
                <w:szCs w:val="24"/>
                <w:lang w:bidi="en-US"/>
              </w:rPr>
            </w:pPr>
            <w:r w:rsidRPr="002D3FFB">
              <w:rPr>
                <w:szCs w:val="24"/>
                <w:lang w:bidi="en-US"/>
              </w:rPr>
              <w:t>Hours</w:t>
            </w:r>
          </w:p>
        </w:tc>
      </w:tr>
      <w:tr w:rsidRPr="002D3FFB" w:rsidR="002D3FFB" w:rsidTr="00B7279E">
        <w:trPr>
          <w:trHeight w:val="559"/>
        </w:trPr>
        <w:tc>
          <w:tcPr>
            <w:tcW w:w="1818" w:type="dxa"/>
            <w:vAlign w:val="center"/>
          </w:tcPr>
          <w:p w:rsidRPr="002D3FFB" w:rsidR="002D3FFB" w:rsidP="002D3FFB" w:rsidRDefault="002D3FFB">
            <w:pPr>
              <w:widowControl w:val="0"/>
              <w:autoSpaceDE w:val="0"/>
              <w:autoSpaceDN w:val="0"/>
              <w:rPr>
                <w:szCs w:val="24"/>
                <w:lang w:bidi="en-US"/>
              </w:rPr>
            </w:pPr>
            <w:r>
              <w:rPr>
                <w:szCs w:val="24"/>
                <w:lang w:bidi="en-US"/>
              </w:rPr>
              <w:t>Form ABS-15G</w:t>
            </w:r>
          </w:p>
        </w:tc>
        <w:tc>
          <w:tcPr>
            <w:tcW w:w="1327" w:type="dxa"/>
            <w:vAlign w:val="center"/>
          </w:tcPr>
          <w:p w:rsidRPr="002D3FFB" w:rsidR="002D3FFB" w:rsidP="002D3FFB" w:rsidRDefault="002D3FFB">
            <w:pPr>
              <w:widowControl w:val="0"/>
              <w:autoSpaceDE w:val="0"/>
              <w:autoSpaceDN w:val="0"/>
              <w:jc w:val="center"/>
              <w:rPr>
                <w:szCs w:val="24"/>
                <w:lang w:bidi="en-US"/>
              </w:rPr>
            </w:pPr>
            <w:r>
              <w:rPr>
                <w:szCs w:val="24"/>
                <w:lang w:bidi="en-US"/>
              </w:rPr>
              <w:t>3235-0675</w:t>
            </w:r>
          </w:p>
        </w:tc>
        <w:tc>
          <w:tcPr>
            <w:tcW w:w="1803" w:type="dxa"/>
            <w:vAlign w:val="center"/>
          </w:tcPr>
          <w:p w:rsidRPr="002D3FFB" w:rsidR="002D3FFB" w:rsidP="002D3FFB" w:rsidRDefault="002D3FFB">
            <w:pPr>
              <w:widowControl w:val="0"/>
              <w:autoSpaceDE w:val="0"/>
              <w:autoSpaceDN w:val="0"/>
              <w:jc w:val="center"/>
              <w:rPr>
                <w:szCs w:val="24"/>
                <w:lang w:bidi="en-US"/>
              </w:rPr>
            </w:pPr>
            <w:r>
              <w:rPr>
                <w:szCs w:val="24"/>
                <w:lang w:bidi="en-US"/>
              </w:rPr>
              <w:t>1,343</w:t>
            </w:r>
          </w:p>
        </w:tc>
        <w:tc>
          <w:tcPr>
            <w:tcW w:w="1774" w:type="dxa"/>
            <w:vAlign w:val="center"/>
          </w:tcPr>
          <w:p w:rsidRPr="002D3FFB" w:rsidR="002D3FFB" w:rsidP="002D3FFB" w:rsidRDefault="002D3FFB">
            <w:pPr>
              <w:widowControl w:val="0"/>
              <w:autoSpaceDE w:val="0"/>
              <w:autoSpaceDN w:val="0"/>
              <w:jc w:val="center"/>
              <w:rPr>
                <w:szCs w:val="24"/>
                <w:lang w:bidi="en-US"/>
              </w:rPr>
            </w:pPr>
            <w:r>
              <w:rPr>
                <w:szCs w:val="24"/>
                <w:lang w:bidi="en-US"/>
              </w:rPr>
              <w:t>19,447</w:t>
            </w:r>
          </w:p>
        </w:tc>
      </w:tr>
    </w:tbl>
    <w:p w:rsidR="002D3FFB" w:rsidP="00B16B3D" w:rsidRDefault="002D3FFB"/>
    <w:p w:rsidR="002D3FFB" w:rsidP="00B16B3D" w:rsidRDefault="002D3FFB"/>
    <w:p w:rsidR="002D3FFB" w:rsidP="00B16B3D" w:rsidRDefault="002D3FFB"/>
    <w:p w:rsidR="002D3FFB" w:rsidP="00B16B3D" w:rsidRDefault="002D3FFB"/>
    <w:p w:rsidRPr="00B16B3D" w:rsidR="002D3FFB" w:rsidP="00B16B3D" w:rsidRDefault="002D3FFB"/>
    <w:p w:rsidRPr="00B16B3D" w:rsidR="00B415E6" w:rsidP="00B16B3D" w:rsidRDefault="00B415E6"/>
    <w:p w:rsidRPr="00B16B3D" w:rsidR="00153055" w:rsidP="00B16B3D" w:rsidRDefault="00B16B3D">
      <w:r>
        <w:tab/>
      </w:r>
      <w:r w:rsidR="00873E7B">
        <w:t>For Rule 15Ga-1 and</w:t>
      </w:r>
      <w:r w:rsidRPr="00B16B3D" w:rsidR="002D1DED">
        <w:t xml:space="preserve"> Rule 15Ga-2 </w:t>
      </w:r>
      <w:r w:rsidR="00873E7B">
        <w:t xml:space="preserve">combined, </w:t>
      </w:r>
      <w:r w:rsidRPr="00B16B3D" w:rsidR="002D1DED">
        <w:t xml:space="preserve">Form ABS-15G </w:t>
      </w:r>
      <w:r w:rsidRPr="00B16B3D" w:rsidR="00502848">
        <w:t>takes 19.</w:t>
      </w:r>
      <w:r w:rsidRPr="00B16B3D" w:rsidR="002D1DED">
        <w:t>307 hours per response and is filed by approximately 1,343 filers</w:t>
      </w:r>
      <w:r w:rsidRPr="00B16B3D" w:rsidR="00B415E6">
        <w:t xml:space="preserve">.  </w:t>
      </w:r>
      <w:r w:rsidRPr="00B16B3D" w:rsidR="00F41CDF">
        <w:t xml:space="preserve">We estimate that 75% of 19.307 per response (14.48 hours) for a total of 19,447 </w:t>
      </w:r>
      <w:r w:rsidRPr="00B16B3D" w:rsidR="00AF3276">
        <w:t xml:space="preserve">hours </w:t>
      </w:r>
      <w:r w:rsidR="00460521">
        <w:t>(</w:t>
      </w:r>
      <w:r w:rsidRPr="00B16B3D" w:rsidR="00F41CDF">
        <w:t xml:space="preserve">14.48 hours per response x 1,343 responses).  </w:t>
      </w:r>
      <w:r w:rsidRPr="00B16B3D" w:rsidR="00487050">
        <w:t>We derived our burden hour estimates by estimating the average number of hours it would take an issuer to compile the necessary information and data, prepare and review disclosure, file documents and retain records.  We believe that the actual burdens will likely vary among individual filers based on the nature of their operations.  For administrative convenience, the presentation of the totals related to the paperwork burden hours have been rounded to the nearest whole number</w:t>
      </w:r>
      <w:r w:rsidRPr="00B16B3D" w:rsidR="002F4CAA">
        <w:t>.</w:t>
      </w:r>
      <w:r w:rsidRPr="00B16B3D" w:rsidR="00487050">
        <w:t xml:space="preserve">  The burden estimate for the hours is made solely for the purpose of the Paperwork Reduction Act.</w:t>
      </w:r>
    </w:p>
    <w:p w:rsidR="00A03957" w:rsidP="00B16B3D" w:rsidRDefault="00A03957"/>
    <w:p w:rsidRPr="00B16B3D" w:rsidR="00153055" w:rsidP="00B16B3D" w:rsidRDefault="00B16B3D">
      <w:r>
        <w:tab/>
        <w:t>13.</w:t>
      </w:r>
      <w:r>
        <w:tab/>
      </w:r>
      <w:r w:rsidRPr="00B16B3D" w:rsidR="00153055">
        <w:rPr>
          <w:u w:val="single"/>
        </w:rPr>
        <w:t>Estimate of Total Annualized Cost Burden</w:t>
      </w:r>
    </w:p>
    <w:p w:rsidR="002D3FFB" w:rsidP="00B16B3D" w:rsidRDefault="002D3FFB"/>
    <w:p w:rsidRPr="002D3FFB" w:rsidR="002D3FFB" w:rsidP="002D3FFB" w:rsidRDefault="002D3FFB">
      <w:pPr>
        <w:widowControl w:val="0"/>
        <w:autoSpaceDE w:val="0"/>
        <w:autoSpaceDN w:val="0"/>
        <w:jc w:val="center"/>
        <w:rPr>
          <w:b/>
          <w:bCs/>
          <w:szCs w:val="24"/>
          <w:lang w:bidi="en-US"/>
        </w:rPr>
      </w:pPr>
      <w:r w:rsidRPr="002D3FFB">
        <w:rPr>
          <w:b/>
          <w:bCs/>
          <w:szCs w:val="24"/>
          <w:lang w:bidi="en-US"/>
        </w:rPr>
        <w:t>Estimated Cost Burden</w:t>
      </w:r>
    </w:p>
    <w:p w:rsidRPr="002D3FFB" w:rsidR="002D3FFB" w:rsidP="002D3FFB" w:rsidRDefault="002D3FFB">
      <w:pPr>
        <w:widowControl w:val="0"/>
        <w:autoSpaceDE w:val="0"/>
        <w:autoSpaceDN w:val="0"/>
        <w:rPr>
          <w:bCs/>
          <w:szCs w:val="24"/>
          <w:lang w:bidi="en-US"/>
        </w:rPr>
      </w:pPr>
    </w:p>
    <w:tbl>
      <w:tblPr>
        <w:tblpPr w:leftFromText="180" w:rightFromText="180" w:vertAnchor="text" w:horzAnchor="margin" w:tblpXSpec="center" w:tblpY="96"/>
        <w:tblW w:w="6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18"/>
        <w:gridCol w:w="1327"/>
        <w:gridCol w:w="1803"/>
        <w:gridCol w:w="1774"/>
      </w:tblGrid>
      <w:tr w:rsidRPr="002D3FFB" w:rsidR="002D3FFB" w:rsidTr="00B7279E">
        <w:trPr>
          <w:trHeight w:val="559"/>
          <w:tblHeader/>
        </w:trPr>
        <w:tc>
          <w:tcPr>
            <w:tcW w:w="1818" w:type="dxa"/>
          </w:tcPr>
          <w:p w:rsidRPr="002D3FFB" w:rsidR="002D3FFB" w:rsidP="002D3FFB" w:rsidRDefault="002D3FFB">
            <w:pPr>
              <w:widowControl w:val="0"/>
              <w:autoSpaceDE w:val="0"/>
              <w:autoSpaceDN w:val="0"/>
              <w:rPr>
                <w:szCs w:val="24"/>
                <w:lang w:bidi="en-US"/>
              </w:rPr>
            </w:pPr>
            <w:r w:rsidRPr="002D3FFB">
              <w:rPr>
                <w:szCs w:val="24"/>
                <w:lang w:bidi="en-US"/>
              </w:rPr>
              <w:t>Information Collection Title</w:t>
            </w:r>
          </w:p>
        </w:tc>
        <w:tc>
          <w:tcPr>
            <w:tcW w:w="1327" w:type="dxa"/>
          </w:tcPr>
          <w:p w:rsidRPr="002D3FFB" w:rsidR="002D3FFB" w:rsidP="002D3FFB" w:rsidRDefault="002D3FFB">
            <w:pPr>
              <w:widowControl w:val="0"/>
              <w:autoSpaceDE w:val="0"/>
              <w:autoSpaceDN w:val="0"/>
              <w:jc w:val="center"/>
              <w:rPr>
                <w:szCs w:val="24"/>
                <w:lang w:bidi="en-US"/>
              </w:rPr>
            </w:pPr>
            <w:r w:rsidRPr="002D3FFB">
              <w:rPr>
                <w:szCs w:val="24"/>
                <w:lang w:bidi="en-US"/>
              </w:rPr>
              <w:t>OMB Control Number</w:t>
            </w:r>
          </w:p>
        </w:tc>
        <w:tc>
          <w:tcPr>
            <w:tcW w:w="1803" w:type="dxa"/>
          </w:tcPr>
          <w:p w:rsidRPr="002D3FFB" w:rsidR="002D3FFB" w:rsidP="002D3FFB" w:rsidRDefault="002D3FFB">
            <w:pPr>
              <w:widowControl w:val="0"/>
              <w:autoSpaceDE w:val="0"/>
              <w:autoSpaceDN w:val="0"/>
              <w:jc w:val="center"/>
              <w:rPr>
                <w:szCs w:val="24"/>
                <w:lang w:bidi="en-US"/>
              </w:rPr>
            </w:pPr>
            <w:r w:rsidRPr="002D3FFB">
              <w:rPr>
                <w:szCs w:val="24"/>
                <w:lang w:bidi="en-US"/>
              </w:rPr>
              <w:t>Number of Responses</w:t>
            </w:r>
          </w:p>
        </w:tc>
        <w:tc>
          <w:tcPr>
            <w:tcW w:w="1774" w:type="dxa"/>
          </w:tcPr>
          <w:p w:rsidRPr="002D3FFB" w:rsidR="002D3FFB" w:rsidP="002D3FFB" w:rsidRDefault="002D3FFB">
            <w:pPr>
              <w:widowControl w:val="0"/>
              <w:autoSpaceDE w:val="0"/>
              <w:autoSpaceDN w:val="0"/>
              <w:jc w:val="center"/>
              <w:rPr>
                <w:szCs w:val="24"/>
                <w:lang w:bidi="en-US"/>
              </w:rPr>
            </w:pPr>
            <w:r w:rsidRPr="002D3FFB">
              <w:rPr>
                <w:szCs w:val="24"/>
                <w:lang w:bidi="en-US"/>
              </w:rPr>
              <w:t>Cost</w:t>
            </w:r>
          </w:p>
          <w:p w:rsidRPr="002D3FFB" w:rsidR="002D3FFB" w:rsidP="002D3FFB" w:rsidRDefault="002D3FFB">
            <w:pPr>
              <w:widowControl w:val="0"/>
              <w:autoSpaceDE w:val="0"/>
              <w:autoSpaceDN w:val="0"/>
              <w:jc w:val="center"/>
              <w:rPr>
                <w:szCs w:val="24"/>
                <w:lang w:bidi="en-US"/>
              </w:rPr>
            </w:pPr>
            <w:r w:rsidRPr="002D3FFB">
              <w:rPr>
                <w:szCs w:val="24"/>
                <w:lang w:bidi="en-US"/>
              </w:rPr>
              <w:t>Burden</w:t>
            </w:r>
          </w:p>
        </w:tc>
      </w:tr>
      <w:tr w:rsidRPr="002D3FFB" w:rsidR="002D3FFB" w:rsidTr="00B7279E">
        <w:trPr>
          <w:trHeight w:val="559"/>
        </w:trPr>
        <w:tc>
          <w:tcPr>
            <w:tcW w:w="1818" w:type="dxa"/>
            <w:vAlign w:val="center"/>
          </w:tcPr>
          <w:p w:rsidRPr="002D3FFB" w:rsidR="002D3FFB" w:rsidP="002D3FFB" w:rsidRDefault="002D3FFB">
            <w:pPr>
              <w:widowControl w:val="0"/>
              <w:autoSpaceDE w:val="0"/>
              <w:autoSpaceDN w:val="0"/>
              <w:rPr>
                <w:szCs w:val="24"/>
                <w:lang w:bidi="en-US"/>
              </w:rPr>
            </w:pPr>
            <w:r w:rsidRPr="002D3FFB">
              <w:rPr>
                <w:szCs w:val="24"/>
                <w:lang w:bidi="en-US"/>
              </w:rPr>
              <w:t>For</w:t>
            </w:r>
            <w:r>
              <w:rPr>
                <w:szCs w:val="24"/>
                <w:lang w:bidi="en-US"/>
              </w:rPr>
              <w:t>m ABS-15G</w:t>
            </w:r>
          </w:p>
        </w:tc>
        <w:tc>
          <w:tcPr>
            <w:tcW w:w="1327" w:type="dxa"/>
            <w:vAlign w:val="center"/>
          </w:tcPr>
          <w:p w:rsidRPr="002D3FFB" w:rsidR="002D3FFB" w:rsidP="002D3FFB" w:rsidRDefault="002D3FFB">
            <w:pPr>
              <w:widowControl w:val="0"/>
              <w:autoSpaceDE w:val="0"/>
              <w:autoSpaceDN w:val="0"/>
              <w:jc w:val="center"/>
              <w:rPr>
                <w:szCs w:val="24"/>
                <w:lang w:bidi="en-US"/>
              </w:rPr>
            </w:pPr>
            <w:r>
              <w:rPr>
                <w:szCs w:val="24"/>
                <w:lang w:bidi="en-US"/>
              </w:rPr>
              <w:t>3235-0675</w:t>
            </w:r>
          </w:p>
        </w:tc>
        <w:tc>
          <w:tcPr>
            <w:tcW w:w="1803" w:type="dxa"/>
            <w:vAlign w:val="center"/>
          </w:tcPr>
          <w:p w:rsidRPr="002D3FFB" w:rsidR="002D3FFB" w:rsidP="002D3FFB" w:rsidRDefault="002D3FFB">
            <w:pPr>
              <w:widowControl w:val="0"/>
              <w:autoSpaceDE w:val="0"/>
              <w:autoSpaceDN w:val="0"/>
              <w:jc w:val="center"/>
              <w:rPr>
                <w:szCs w:val="24"/>
                <w:lang w:bidi="en-US"/>
              </w:rPr>
            </w:pPr>
            <w:r>
              <w:rPr>
                <w:szCs w:val="24"/>
                <w:lang w:bidi="en-US"/>
              </w:rPr>
              <w:t>907</w:t>
            </w:r>
          </w:p>
        </w:tc>
        <w:tc>
          <w:tcPr>
            <w:tcW w:w="1774" w:type="dxa"/>
            <w:vAlign w:val="center"/>
          </w:tcPr>
          <w:p w:rsidRPr="002D3FFB" w:rsidR="002D3FFB" w:rsidP="002D3FFB" w:rsidRDefault="002D3FFB">
            <w:pPr>
              <w:widowControl w:val="0"/>
              <w:autoSpaceDE w:val="0"/>
              <w:autoSpaceDN w:val="0"/>
              <w:jc w:val="center"/>
              <w:rPr>
                <w:szCs w:val="24"/>
                <w:lang w:bidi="en-US"/>
              </w:rPr>
            </w:pPr>
            <w:r>
              <w:rPr>
                <w:szCs w:val="24"/>
                <w:lang w:bidi="en-US"/>
              </w:rPr>
              <w:t>$2,469,162</w:t>
            </w:r>
          </w:p>
        </w:tc>
      </w:tr>
    </w:tbl>
    <w:p w:rsidR="002D3FFB" w:rsidP="00B16B3D" w:rsidRDefault="002D3FFB"/>
    <w:p w:rsidR="002D3FFB" w:rsidP="00B16B3D" w:rsidRDefault="002D3FFB"/>
    <w:p w:rsidR="00786610" w:rsidP="00B16B3D" w:rsidRDefault="00786610"/>
    <w:p w:rsidR="00786610" w:rsidP="00B16B3D" w:rsidRDefault="00786610"/>
    <w:p w:rsidR="00786610" w:rsidP="00B16B3D" w:rsidRDefault="00786610"/>
    <w:p w:rsidRPr="00B16B3D" w:rsidR="00786610" w:rsidP="00B16B3D" w:rsidRDefault="00786610"/>
    <w:p w:rsidRPr="00B16B3D" w:rsidR="003947BB" w:rsidP="00B16B3D" w:rsidRDefault="00B16B3D">
      <w:r>
        <w:tab/>
      </w:r>
      <w:r w:rsidR="00873E7B">
        <w:t xml:space="preserve">Rule 15Ga-1 and </w:t>
      </w:r>
      <w:r w:rsidRPr="00B16B3D" w:rsidR="003947BB">
        <w:t>Form ABS-15G</w:t>
      </w:r>
      <w:r w:rsidR="00373635">
        <w:t xml:space="preserve"> </w:t>
      </w:r>
      <w:r w:rsidRPr="00B16B3D" w:rsidR="003947BB">
        <w:t xml:space="preserve">– We estimate that 25% of 27.2234 hours per response is (6.8058 hours) is prepared by outside </w:t>
      </w:r>
      <w:r w:rsidR="004D3A92">
        <w:t>counsel.</w:t>
      </w:r>
      <w:r w:rsidRPr="00B16B3D" w:rsidR="003947BB">
        <w:t xml:space="preserve">  We estimate that it will cost $400 per hour ($400 x 6.8058 </w:t>
      </w:r>
      <w:r w:rsidR="00AF3276">
        <w:t>hours per responses x 907 respo</w:t>
      </w:r>
      <w:r w:rsidRPr="00B16B3D" w:rsidR="003947BB">
        <w:t>nses) for a total of $2,469,162.</w:t>
      </w:r>
    </w:p>
    <w:p w:rsidRPr="00B16B3D" w:rsidR="003947BB" w:rsidP="00B16B3D" w:rsidRDefault="003947BB"/>
    <w:p w:rsidRPr="00B16B3D" w:rsidR="003947BB" w:rsidP="00B16B3D" w:rsidRDefault="00B16B3D">
      <w:r>
        <w:tab/>
      </w:r>
      <w:r w:rsidRPr="00B16B3D" w:rsidR="003947BB">
        <w:t>We estimate that there is no cost associated with this Rule 15Ga-2 and Form ABS-15G because 100% of the burden is prepared by the filer.</w:t>
      </w:r>
    </w:p>
    <w:p w:rsidRPr="00B16B3D" w:rsidR="003947BB" w:rsidP="00B16B3D" w:rsidRDefault="003947BB"/>
    <w:p w:rsidR="00B004EB" w:rsidP="00B16B3D" w:rsidRDefault="00B16B3D">
      <w:r>
        <w:tab/>
      </w:r>
      <w:r w:rsidRPr="00533130" w:rsidR="00533130">
        <w:t xml:space="preserve">We estimate an hourly cost of $400 for outside legal and accounting services used in connection with public company reporting.  This estimate is based on our consultations with registrants and professional firms who regularly assist registrants in preparing and filing disclosure documents with the Commission.  Our estimates reflect average burdens, and therefore, some companies may experience costs in excess of our estimates and some companies </w:t>
      </w:r>
      <w:r w:rsidRPr="00533130" w:rsidR="00533130">
        <w:lastRenderedPageBreak/>
        <w:t>may experience costs that are lower than our estimates.  For admin</w:t>
      </w:r>
      <w:r w:rsidR="00533130">
        <w:t>istrative convenience,</w:t>
      </w:r>
      <w:r w:rsidRPr="00533130" w:rsidR="00533130">
        <w:t xml:space="preserve"> the </w:t>
      </w:r>
      <w:r w:rsidR="00533130">
        <w:t>c</w:t>
      </w:r>
      <w:r w:rsidRPr="00533130" w:rsidR="00533130">
        <w:t>ost totals have been rounded to the nearest dollar.  The cost estimate is made solely for the purpose of the Paperwork Reduction Act.</w:t>
      </w:r>
    </w:p>
    <w:p w:rsidRPr="00B16B3D" w:rsidR="00533130" w:rsidP="00B16B3D" w:rsidRDefault="00533130"/>
    <w:p w:rsidRPr="00B16B3D" w:rsidR="00C10733" w:rsidP="00B16B3D" w:rsidRDefault="00B16B3D">
      <w:r>
        <w:tab/>
        <w:t>14.</w:t>
      </w:r>
      <w:r>
        <w:tab/>
      </w:r>
      <w:r w:rsidRPr="00B16B3D" w:rsidR="00153055">
        <w:rPr>
          <w:u w:val="single"/>
        </w:rPr>
        <w:t>Costs to Federal Government</w:t>
      </w:r>
    </w:p>
    <w:p w:rsidRPr="00B16B3D" w:rsidR="00C10733" w:rsidP="00B16B3D" w:rsidRDefault="00C10733"/>
    <w:p w:rsidRPr="002D3FFB" w:rsidR="002D3FFB" w:rsidP="002D3FFB" w:rsidRDefault="00B16B3D">
      <w:r>
        <w:tab/>
      </w:r>
      <w:r w:rsidRPr="002D3FFB" w:rsidR="002D3FFB">
        <w:t>The annual cost of reviewing and processing disclosure documents, including registration statements, post-effective amendments, proxy statements, annual reports and other filings of operating companies amounted to approximately $103,479,690 in fiscal year 2019, based on the Commission’s computation of the value of staff time devoted to this activity and related overhead.</w:t>
      </w:r>
    </w:p>
    <w:p w:rsidR="00CD5A1B" w:rsidP="00B16B3D" w:rsidRDefault="00CD5A1B"/>
    <w:p w:rsidR="00C10733" w:rsidP="00B16B3D" w:rsidRDefault="00B16B3D">
      <w:pPr>
        <w:rPr>
          <w:u w:val="single"/>
        </w:rPr>
      </w:pPr>
      <w:r>
        <w:tab/>
        <w:t>15.</w:t>
      </w:r>
      <w:r>
        <w:tab/>
      </w:r>
      <w:r w:rsidRPr="00B16B3D" w:rsidR="00153055">
        <w:rPr>
          <w:u w:val="single"/>
        </w:rPr>
        <w:t>Reason for Change in Burden</w:t>
      </w:r>
    </w:p>
    <w:p w:rsidRPr="00B16B3D" w:rsidR="00B16B3D" w:rsidP="00B16B3D" w:rsidRDefault="00B16B3D"/>
    <w:p w:rsidRPr="00B16B3D" w:rsidR="00CD5A1B" w:rsidP="00B16B3D" w:rsidRDefault="00B16B3D">
      <w:pPr>
        <w:rPr>
          <w:bCs/>
        </w:rPr>
      </w:pPr>
      <w:r>
        <w:rPr>
          <w:bCs/>
        </w:rPr>
        <w:tab/>
      </w:r>
      <w:r w:rsidR="002D3FFB">
        <w:rPr>
          <w:bCs/>
        </w:rPr>
        <w:t>There is no change in burden.</w:t>
      </w:r>
    </w:p>
    <w:p w:rsidRPr="00B16B3D" w:rsidR="00C10733" w:rsidP="00B16B3D" w:rsidRDefault="00C10733"/>
    <w:p w:rsidRPr="00B16B3D" w:rsidR="00C10733" w:rsidP="00B16B3D" w:rsidRDefault="00B16B3D">
      <w:pPr>
        <w:rPr>
          <w:u w:val="single"/>
        </w:rPr>
      </w:pPr>
      <w:r>
        <w:tab/>
        <w:t>16.</w:t>
      </w:r>
      <w:r>
        <w:tab/>
      </w:r>
      <w:r w:rsidRPr="00B16B3D" w:rsidR="00153055">
        <w:rPr>
          <w:u w:val="single"/>
        </w:rPr>
        <w:t>Information Collection Planned for Statistical Purposes</w:t>
      </w:r>
    </w:p>
    <w:p w:rsidRPr="00B16B3D" w:rsidR="00C10733" w:rsidP="00B16B3D" w:rsidRDefault="00C10733"/>
    <w:p w:rsidRPr="00B7279E" w:rsidR="00B7279E" w:rsidP="00B7279E" w:rsidRDefault="00C8323A">
      <w:r w:rsidRPr="00B16B3D">
        <w:tab/>
      </w:r>
      <w:r w:rsidRPr="00B7279E" w:rsidR="00B7279E">
        <w:t>The information collection is not planned for statistical purposes.</w:t>
      </w:r>
    </w:p>
    <w:p w:rsidRPr="00B16B3D" w:rsidR="00C10733" w:rsidP="00B16B3D" w:rsidRDefault="00C10733"/>
    <w:p w:rsidRPr="00B16B3D" w:rsidR="00C10733" w:rsidP="00B16B3D" w:rsidRDefault="00B16B3D">
      <w:r>
        <w:tab/>
        <w:t>17.</w:t>
      </w:r>
      <w:r>
        <w:tab/>
      </w:r>
      <w:r w:rsidRPr="00B16B3D" w:rsidR="00297787">
        <w:rPr>
          <w:u w:val="single"/>
        </w:rPr>
        <w:t xml:space="preserve">Approval to Omit </w:t>
      </w:r>
      <w:r w:rsidRPr="00B16B3D" w:rsidR="00657A49">
        <w:rPr>
          <w:u w:val="single"/>
        </w:rPr>
        <w:t xml:space="preserve">OMB </w:t>
      </w:r>
      <w:r w:rsidRPr="00B16B3D" w:rsidR="00297787">
        <w:rPr>
          <w:u w:val="single"/>
        </w:rPr>
        <w:t>Expiration Date</w:t>
      </w:r>
    </w:p>
    <w:p w:rsidRPr="00B16B3D" w:rsidR="00297787" w:rsidP="00B16B3D" w:rsidRDefault="00297787"/>
    <w:p w:rsidRPr="00B16B3D" w:rsidR="00297787" w:rsidP="00B16B3D" w:rsidRDefault="00B16B3D">
      <w:r>
        <w:tab/>
      </w:r>
      <w:r w:rsidRPr="00B16B3D" w:rsidR="00297787">
        <w:t>We request authorization to omit the expiration date on the electronic version of the form.  Including the expiration date on the electronic version of the form will result in increased costs, because the need to make changes to the form may not follow the application’s scheduled version release dates. The OMB control number will be displayed.</w:t>
      </w:r>
    </w:p>
    <w:p w:rsidR="00A03957" w:rsidP="00B16B3D" w:rsidRDefault="00A03957"/>
    <w:p w:rsidRPr="00B16B3D" w:rsidR="00C10733" w:rsidP="00B16B3D" w:rsidRDefault="00B16B3D">
      <w:r>
        <w:tab/>
        <w:t>18.</w:t>
      </w:r>
      <w:r>
        <w:tab/>
      </w:r>
      <w:r w:rsidRPr="00B16B3D" w:rsidR="00297787">
        <w:rPr>
          <w:u w:val="single"/>
        </w:rPr>
        <w:t>Exceptions to Certification for Paperwork Reduction Act Submission</w:t>
      </w:r>
    </w:p>
    <w:p w:rsidRPr="00B16B3D" w:rsidR="009A226A" w:rsidP="00B16B3D" w:rsidRDefault="009A226A"/>
    <w:p w:rsidRPr="00B16B3D" w:rsidR="00C10733" w:rsidP="00B16B3D" w:rsidRDefault="00C8323A">
      <w:r w:rsidRPr="00B16B3D">
        <w:tab/>
      </w:r>
      <w:r w:rsidRPr="00B7279E" w:rsidR="00B7279E">
        <w:t>There are no exceptions to certification for Paperwork Reduction Act submissions.</w:t>
      </w:r>
    </w:p>
    <w:p w:rsidRPr="00B16B3D" w:rsidR="00C10733" w:rsidP="00B16B3D" w:rsidRDefault="00C10733"/>
    <w:p w:rsidRPr="00B16B3D" w:rsidR="003947BB" w:rsidP="00B16B3D" w:rsidRDefault="003947BB"/>
    <w:p w:rsidRPr="00B16B3D" w:rsidR="009A226A" w:rsidP="00B16B3D" w:rsidRDefault="00C10733">
      <w:pPr>
        <w:rPr>
          <w:u w:val="single"/>
        </w:rPr>
      </w:pPr>
      <w:r w:rsidRPr="00B16B3D">
        <w:rPr>
          <w:u w:val="single"/>
        </w:rPr>
        <w:t>STATISTICAL METHODS</w:t>
      </w:r>
    </w:p>
    <w:p w:rsidRPr="00B16B3D" w:rsidR="00C10733" w:rsidP="00B16B3D" w:rsidRDefault="00C10733"/>
    <w:p w:rsidRPr="00B7279E" w:rsidR="00B7279E" w:rsidP="00B7279E" w:rsidRDefault="003E6D6D">
      <w:pPr>
        <w:rPr>
          <w:lang w:bidi="en-US"/>
        </w:rPr>
      </w:pPr>
      <w:r w:rsidRPr="00B16B3D">
        <w:tab/>
      </w:r>
      <w:r w:rsidRPr="00B7279E" w:rsidR="00B7279E">
        <w:rPr>
          <w:lang w:bidi="en-US"/>
        </w:rPr>
        <w:t>The information collection does not employ statistical methods.</w:t>
      </w:r>
    </w:p>
    <w:sectPr w:rsidRPr="00B7279E" w:rsidR="00B7279E" w:rsidSect="00B16B3D">
      <w:footerReference w:type="default" r:id="rId8"/>
      <w:pgSz w:w="12240" w:h="15840" w:code="1"/>
      <w:pgMar w:top="1440" w:right="1440" w:bottom="1440" w:left="1440" w:header="1440" w:footer="1440" w:gutter="0"/>
      <w:paperSrc w:first="11" w:other="2"/>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716" w:rsidRDefault="00DB6716">
      <w:r>
        <w:separator/>
      </w:r>
    </w:p>
  </w:endnote>
  <w:endnote w:type="continuationSeparator" w:id="0">
    <w:p w:rsidR="00DB6716" w:rsidRDefault="00DB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76492"/>
      <w:docPartObj>
        <w:docPartGallery w:val="Page Numbers (Bottom of Page)"/>
        <w:docPartUnique/>
      </w:docPartObj>
    </w:sdtPr>
    <w:sdtEndPr/>
    <w:sdtContent>
      <w:p w:rsidR="00DB6716" w:rsidRDefault="006F4873">
        <w:pPr>
          <w:pStyle w:val="Footer"/>
          <w:jc w:val="center"/>
        </w:pPr>
        <w:r>
          <w:fldChar w:fldCharType="begin"/>
        </w:r>
        <w:r>
          <w:instrText xml:space="preserve"> PAGE   \* MERGEFORMAT </w:instrText>
        </w:r>
        <w:r>
          <w:fldChar w:fldCharType="separate"/>
        </w:r>
        <w:r w:rsidR="00F45DAD">
          <w:rPr>
            <w:noProof/>
          </w:rPr>
          <w:t>3</w:t>
        </w:r>
        <w:r>
          <w:rPr>
            <w:noProof/>
          </w:rPr>
          <w:fldChar w:fldCharType="end"/>
        </w:r>
      </w:p>
    </w:sdtContent>
  </w:sdt>
  <w:p w:rsidR="00DB6716" w:rsidRDefault="00DB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716" w:rsidRDefault="00DB6716">
      <w:r>
        <w:separator/>
      </w:r>
    </w:p>
  </w:footnote>
  <w:footnote w:type="continuationSeparator" w:id="0">
    <w:p w:rsidR="00DB6716" w:rsidRDefault="00DB6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2D7"/>
    <w:multiLevelType w:val="hybridMultilevel"/>
    <w:tmpl w:val="3F16BF72"/>
    <w:lvl w:ilvl="0" w:tplc="04090001">
      <w:start w:val="1"/>
      <w:numFmt w:val="bullet"/>
      <w:lvlText w:val=""/>
      <w:lvlJc w:val="left"/>
      <w:pPr>
        <w:ind w:left="6975" w:hanging="360"/>
      </w:pPr>
      <w:rPr>
        <w:rFonts w:ascii="Symbol" w:hAnsi="Symbol" w:hint="default"/>
      </w:rPr>
    </w:lvl>
    <w:lvl w:ilvl="1" w:tplc="04090003" w:tentative="1">
      <w:start w:val="1"/>
      <w:numFmt w:val="bullet"/>
      <w:lvlText w:val="o"/>
      <w:lvlJc w:val="left"/>
      <w:pPr>
        <w:ind w:left="7695" w:hanging="360"/>
      </w:pPr>
      <w:rPr>
        <w:rFonts w:ascii="Courier New" w:hAnsi="Courier New" w:cs="Courier New" w:hint="default"/>
      </w:rPr>
    </w:lvl>
    <w:lvl w:ilvl="2" w:tplc="04090005" w:tentative="1">
      <w:start w:val="1"/>
      <w:numFmt w:val="bullet"/>
      <w:lvlText w:val=""/>
      <w:lvlJc w:val="left"/>
      <w:pPr>
        <w:ind w:left="8415" w:hanging="360"/>
      </w:pPr>
      <w:rPr>
        <w:rFonts w:ascii="Wingdings" w:hAnsi="Wingdings" w:hint="default"/>
      </w:rPr>
    </w:lvl>
    <w:lvl w:ilvl="3" w:tplc="04090001" w:tentative="1">
      <w:start w:val="1"/>
      <w:numFmt w:val="bullet"/>
      <w:lvlText w:val=""/>
      <w:lvlJc w:val="left"/>
      <w:pPr>
        <w:ind w:left="9135" w:hanging="360"/>
      </w:pPr>
      <w:rPr>
        <w:rFonts w:ascii="Symbol" w:hAnsi="Symbol" w:hint="default"/>
      </w:rPr>
    </w:lvl>
    <w:lvl w:ilvl="4" w:tplc="04090003" w:tentative="1">
      <w:start w:val="1"/>
      <w:numFmt w:val="bullet"/>
      <w:lvlText w:val="o"/>
      <w:lvlJc w:val="left"/>
      <w:pPr>
        <w:ind w:left="9855" w:hanging="360"/>
      </w:pPr>
      <w:rPr>
        <w:rFonts w:ascii="Courier New" w:hAnsi="Courier New" w:cs="Courier New" w:hint="default"/>
      </w:rPr>
    </w:lvl>
    <w:lvl w:ilvl="5" w:tplc="04090005" w:tentative="1">
      <w:start w:val="1"/>
      <w:numFmt w:val="bullet"/>
      <w:lvlText w:val=""/>
      <w:lvlJc w:val="left"/>
      <w:pPr>
        <w:ind w:left="10575" w:hanging="360"/>
      </w:pPr>
      <w:rPr>
        <w:rFonts w:ascii="Wingdings" w:hAnsi="Wingdings" w:hint="default"/>
      </w:rPr>
    </w:lvl>
    <w:lvl w:ilvl="6" w:tplc="04090001" w:tentative="1">
      <w:start w:val="1"/>
      <w:numFmt w:val="bullet"/>
      <w:lvlText w:val=""/>
      <w:lvlJc w:val="left"/>
      <w:pPr>
        <w:ind w:left="11295" w:hanging="360"/>
      </w:pPr>
      <w:rPr>
        <w:rFonts w:ascii="Symbol" w:hAnsi="Symbol" w:hint="default"/>
      </w:rPr>
    </w:lvl>
    <w:lvl w:ilvl="7" w:tplc="04090003" w:tentative="1">
      <w:start w:val="1"/>
      <w:numFmt w:val="bullet"/>
      <w:lvlText w:val="o"/>
      <w:lvlJc w:val="left"/>
      <w:pPr>
        <w:ind w:left="12015" w:hanging="360"/>
      </w:pPr>
      <w:rPr>
        <w:rFonts w:ascii="Courier New" w:hAnsi="Courier New" w:cs="Courier New" w:hint="default"/>
      </w:rPr>
    </w:lvl>
    <w:lvl w:ilvl="8" w:tplc="04090005" w:tentative="1">
      <w:start w:val="1"/>
      <w:numFmt w:val="bullet"/>
      <w:lvlText w:val=""/>
      <w:lvlJc w:val="left"/>
      <w:pPr>
        <w:ind w:left="12735" w:hanging="360"/>
      </w:pPr>
      <w:rPr>
        <w:rFonts w:ascii="Wingdings" w:hAnsi="Wingdings" w:hint="default"/>
      </w:rPr>
    </w:lvl>
  </w:abstractNum>
  <w:abstractNum w:abstractNumId="1" w15:restartNumberingAfterBreak="0">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8627B6"/>
    <w:multiLevelType w:val="hybridMultilevel"/>
    <w:tmpl w:val="6D0E2B4C"/>
    <w:lvl w:ilvl="0" w:tplc="03621B26">
      <w:start w:val="1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47A6"/>
    <w:multiLevelType w:val="hybridMultilevel"/>
    <w:tmpl w:val="1DE08F5E"/>
    <w:lvl w:ilvl="0" w:tplc="1D548558">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9551AC7"/>
    <w:multiLevelType w:val="hybridMultilevel"/>
    <w:tmpl w:val="A7AC1816"/>
    <w:lvl w:ilvl="0" w:tplc="FCFE23EA">
      <w:start w:val="1"/>
      <w:numFmt w:val="upperRoman"/>
      <w:lvlText w:val="%1."/>
      <w:lvlJc w:val="left"/>
      <w:pPr>
        <w:tabs>
          <w:tab w:val="num" w:pos="1080"/>
        </w:tabs>
        <w:ind w:left="1080" w:hanging="720"/>
      </w:pPr>
      <w:rPr>
        <w:rFonts w:ascii="Times New Roman" w:eastAsia="Times New Roman" w:hAnsi="Times New Roman" w:cs="Times New Roman"/>
      </w:rPr>
    </w:lvl>
    <w:lvl w:ilvl="1" w:tplc="04090015">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17">
      <w:start w:val="1"/>
      <w:numFmt w:val="lowerLetter"/>
      <w:lvlText w:val="%4)"/>
      <w:lvlJc w:val="left"/>
      <w:pPr>
        <w:tabs>
          <w:tab w:val="num" w:pos="2880"/>
        </w:tabs>
        <w:ind w:left="2880" w:hanging="360"/>
      </w:pPr>
      <w:rPr>
        <w:rFonts w:cs="Times New Roman" w:hint="default"/>
      </w:rPr>
    </w:lvl>
    <w:lvl w:ilvl="4" w:tplc="80CEE8A2">
      <w:start w:val="1"/>
      <w:numFmt w:val="lowerRoman"/>
      <w:lvlText w:val="%5)"/>
      <w:lvlJc w:val="left"/>
      <w:pPr>
        <w:tabs>
          <w:tab w:val="num" w:pos="3600"/>
        </w:tabs>
        <w:ind w:left="3600" w:hanging="360"/>
      </w:pPr>
      <w:rPr>
        <w:rFonts w:ascii="Times New Roman" w:eastAsia="Times New Roman" w:hAnsi="Times New Roman" w:cs="Times New Roman"/>
      </w:rPr>
    </w:lvl>
    <w:lvl w:ilvl="5" w:tplc="BBC89924">
      <w:start w:val="1"/>
      <w:numFmt w:val="upperLetter"/>
      <w:lvlText w:val="(%6)"/>
      <w:lvlJc w:val="left"/>
      <w:pPr>
        <w:tabs>
          <w:tab w:val="num" w:pos="1440"/>
        </w:tabs>
        <w:ind w:left="1440" w:hanging="360"/>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7" w15:restartNumberingAfterBreak="0">
    <w:nsid w:val="3A3B2E67"/>
    <w:multiLevelType w:val="hybridMultilevel"/>
    <w:tmpl w:val="53205782"/>
    <w:lvl w:ilvl="0" w:tplc="9B48932A">
      <w:start w:val="1"/>
      <w:numFmt w:val="upperLetter"/>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8" w15:restartNumberingAfterBreak="0">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5"/>
  </w:num>
  <w:num w:numId="6">
    <w:abstractNumId w:val="0"/>
  </w:num>
  <w:num w:numId="7">
    <w:abstractNumId w:val="2"/>
  </w:num>
  <w:num w:numId="8">
    <w:abstractNumId w:val="9"/>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6A"/>
    <w:rsid w:val="00010205"/>
    <w:rsid w:val="00010AB8"/>
    <w:rsid w:val="00011960"/>
    <w:rsid w:val="0001383B"/>
    <w:rsid w:val="00017834"/>
    <w:rsid w:val="00021CC3"/>
    <w:rsid w:val="000274B3"/>
    <w:rsid w:val="00031AD5"/>
    <w:rsid w:val="00035C64"/>
    <w:rsid w:val="00036B62"/>
    <w:rsid w:val="00037D47"/>
    <w:rsid w:val="000521F8"/>
    <w:rsid w:val="00054DF7"/>
    <w:rsid w:val="00076516"/>
    <w:rsid w:val="00081EAD"/>
    <w:rsid w:val="00087A9D"/>
    <w:rsid w:val="00090902"/>
    <w:rsid w:val="000914DE"/>
    <w:rsid w:val="000A64B0"/>
    <w:rsid w:val="000A6E84"/>
    <w:rsid w:val="000B60CF"/>
    <w:rsid w:val="000C1568"/>
    <w:rsid w:val="000C77BC"/>
    <w:rsid w:val="000D62B0"/>
    <w:rsid w:val="000D774A"/>
    <w:rsid w:val="000E2534"/>
    <w:rsid w:val="000E4157"/>
    <w:rsid w:val="000F0067"/>
    <w:rsid w:val="000F31B3"/>
    <w:rsid w:val="000F3F63"/>
    <w:rsid w:val="00112AA7"/>
    <w:rsid w:val="0012168B"/>
    <w:rsid w:val="00121B05"/>
    <w:rsid w:val="0012342E"/>
    <w:rsid w:val="00125035"/>
    <w:rsid w:val="00132D69"/>
    <w:rsid w:val="001405EF"/>
    <w:rsid w:val="001433F7"/>
    <w:rsid w:val="00153055"/>
    <w:rsid w:val="00153FF5"/>
    <w:rsid w:val="001676E9"/>
    <w:rsid w:val="0016793B"/>
    <w:rsid w:val="00174465"/>
    <w:rsid w:val="001821A9"/>
    <w:rsid w:val="0018729D"/>
    <w:rsid w:val="0019386B"/>
    <w:rsid w:val="001A1111"/>
    <w:rsid w:val="001B2CE4"/>
    <w:rsid w:val="001B54AD"/>
    <w:rsid w:val="001C32BD"/>
    <w:rsid w:val="001C77A2"/>
    <w:rsid w:val="001D6780"/>
    <w:rsid w:val="001D7137"/>
    <w:rsid w:val="001E32B4"/>
    <w:rsid w:val="001F28B5"/>
    <w:rsid w:val="001F6538"/>
    <w:rsid w:val="001F7D40"/>
    <w:rsid w:val="00203032"/>
    <w:rsid w:val="002034D6"/>
    <w:rsid w:val="002222FE"/>
    <w:rsid w:val="00224502"/>
    <w:rsid w:val="00236098"/>
    <w:rsid w:val="00275098"/>
    <w:rsid w:val="00277185"/>
    <w:rsid w:val="00286F44"/>
    <w:rsid w:val="00287722"/>
    <w:rsid w:val="00297787"/>
    <w:rsid w:val="002B2738"/>
    <w:rsid w:val="002C103E"/>
    <w:rsid w:val="002C2F7E"/>
    <w:rsid w:val="002C6AE2"/>
    <w:rsid w:val="002D1DED"/>
    <w:rsid w:val="002D3FFB"/>
    <w:rsid w:val="002E4347"/>
    <w:rsid w:val="002F4CAA"/>
    <w:rsid w:val="002F5703"/>
    <w:rsid w:val="002F7613"/>
    <w:rsid w:val="00313DBB"/>
    <w:rsid w:val="0032426F"/>
    <w:rsid w:val="00325523"/>
    <w:rsid w:val="00330BD4"/>
    <w:rsid w:val="00342B88"/>
    <w:rsid w:val="00347108"/>
    <w:rsid w:val="0035721E"/>
    <w:rsid w:val="00362E0B"/>
    <w:rsid w:val="00365414"/>
    <w:rsid w:val="00373635"/>
    <w:rsid w:val="00373D19"/>
    <w:rsid w:val="00390B6B"/>
    <w:rsid w:val="003947BB"/>
    <w:rsid w:val="003A6F5E"/>
    <w:rsid w:val="003B7D5D"/>
    <w:rsid w:val="003C6140"/>
    <w:rsid w:val="003D1E3E"/>
    <w:rsid w:val="003D257D"/>
    <w:rsid w:val="003D5D1A"/>
    <w:rsid w:val="003E17E9"/>
    <w:rsid w:val="003E6D6D"/>
    <w:rsid w:val="003F07A7"/>
    <w:rsid w:val="003F3FC8"/>
    <w:rsid w:val="00411037"/>
    <w:rsid w:val="00415502"/>
    <w:rsid w:val="00425EC0"/>
    <w:rsid w:val="00433220"/>
    <w:rsid w:val="00433D07"/>
    <w:rsid w:val="00442B56"/>
    <w:rsid w:val="00443A99"/>
    <w:rsid w:val="004510C5"/>
    <w:rsid w:val="00460521"/>
    <w:rsid w:val="00485A55"/>
    <w:rsid w:val="00487050"/>
    <w:rsid w:val="004870FC"/>
    <w:rsid w:val="00497955"/>
    <w:rsid w:val="004A3E36"/>
    <w:rsid w:val="004C03FC"/>
    <w:rsid w:val="004D1EB2"/>
    <w:rsid w:val="004D3A92"/>
    <w:rsid w:val="004E045D"/>
    <w:rsid w:val="004E5FA3"/>
    <w:rsid w:val="004F24D4"/>
    <w:rsid w:val="004F67BD"/>
    <w:rsid w:val="00502848"/>
    <w:rsid w:val="00512E70"/>
    <w:rsid w:val="00515187"/>
    <w:rsid w:val="0051519D"/>
    <w:rsid w:val="00533130"/>
    <w:rsid w:val="005475B3"/>
    <w:rsid w:val="00555C03"/>
    <w:rsid w:val="00565B8F"/>
    <w:rsid w:val="00573DF9"/>
    <w:rsid w:val="005844E1"/>
    <w:rsid w:val="00584AE1"/>
    <w:rsid w:val="0059299E"/>
    <w:rsid w:val="005A198F"/>
    <w:rsid w:val="005A4FE3"/>
    <w:rsid w:val="005A50EA"/>
    <w:rsid w:val="005B063C"/>
    <w:rsid w:val="005C4CB8"/>
    <w:rsid w:val="005D3B15"/>
    <w:rsid w:val="005E3174"/>
    <w:rsid w:val="005E41BA"/>
    <w:rsid w:val="00603120"/>
    <w:rsid w:val="006043A9"/>
    <w:rsid w:val="00617024"/>
    <w:rsid w:val="00620301"/>
    <w:rsid w:val="00633864"/>
    <w:rsid w:val="006577BC"/>
    <w:rsid w:val="00657A49"/>
    <w:rsid w:val="006634FB"/>
    <w:rsid w:val="00665416"/>
    <w:rsid w:val="0067165B"/>
    <w:rsid w:val="00672C33"/>
    <w:rsid w:val="006A5A9D"/>
    <w:rsid w:val="006B382B"/>
    <w:rsid w:val="006B5B55"/>
    <w:rsid w:val="006B79F4"/>
    <w:rsid w:val="006D17B4"/>
    <w:rsid w:val="006D692C"/>
    <w:rsid w:val="006D6D7D"/>
    <w:rsid w:val="006E08B8"/>
    <w:rsid w:val="006E7053"/>
    <w:rsid w:val="006F4873"/>
    <w:rsid w:val="006F7A4D"/>
    <w:rsid w:val="00704F31"/>
    <w:rsid w:val="0070540C"/>
    <w:rsid w:val="00721C3E"/>
    <w:rsid w:val="00733C5E"/>
    <w:rsid w:val="00734782"/>
    <w:rsid w:val="00736472"/>
    <w:rsid w:val="007402E3"/>
    <w:rsid w:val="00746955"/>
    <w:rsid w:val="00754505"/>
    <w:rsid w:val="007810D7"/>
    <w:rsid w:val="00786610"/>
    <w:rsid w:val="0079682D"/>
    <w:rsid w:val="007A6F02"/>
    <w:rsid w:val="007B652A"/>
    <w:rsid w:val="007B6554"/>
    <w:rsid w:val="007C2809"/>
    <w:rsid w:val="007C7D55"/>
    <w:rsid w:val="007E6A43"/>
    <w:rsid w:val="007F18F1"/>
    <w:rsid w:val="007F6928"/>
    <w:rsid w:val="00804FE5"/>
    <w:rsid w:val="00805F33"/>
    <w:rsid w:val="00807F1C"/>
    <w:rsid w:val="00824591"/>
    <w:rsid w:val="0082498F"/>
    <w:rsid w:val="00840A68"/>
    <w:rsid w:val="00843E1F"/>
    <w:rsid w:val="00852188"/>
    <w:rsid w:val="00856039"/>
    <w:rsid w:val="00873E7B"/>
    <w:rsid w:val="008838DE"/>
    <w:rsid w:val="00883F0A"/>
    <w:rsid w:val="00885A45"/>
    <w:rsid w:val="008A0EDD"/>
    <w:rsid w:val="008B20CB"/>
    <w:rsid w:val="008B3FC1"/>
    <w:rsid w:val="008C1A6B"/>
    <w:rsid w:val="008C2235"/>
    <w:rsid w:val="008D00DE"/>
    <w:rsid w:val="008D2794"/>
    <w:rsid w:val="008D5E92"/>
    <w:rsid w:val="008F106C"/>
    <w:rsid w:val="008F7880"/>
    <w:rsid w:val="00905370"/>
    <w:rsid w:val="009053D1"/>
    <w:rsid w:val="00910D63"/>
    <w:rsid w:val="00912E20"/>
    <w:rsid w:val="009144FC"/>
    <w:rsid w:val="00917E5F"/>
    <w:rsid w:val="00926C2C"/>
    <w:rsid w:val="00933176"/>
    <w:rsid w:val="009574BD"/>
    <w:rsid w:val="009623D5"/>
    <w:rsid w:val="0096447E"/>
    <w:rsid w:val="00967677"/>
    <w:rsid w:val="00983C5B"/>
    <w:rsid w:val="009A0F9C"/>
    <w:rsid w:val="009A226A"/>
    <w:rsid w:val="009A4F95"/>
    <w:rsid w:val="009B35C2"/>
    <w:rsid w:val="009C4A9D"/>
    <w:rsid w:val="009D3DE9"/>
    <w:rsid w:val="009D514E"/>
    <w:rsid w:val="009D6298"/>
    <w:rsid w:val="009E15A1"/>
    <w:rsid w:val="009F2F11"/>
    <w:rsid w:val="009F3315"/>
    <w:rsid w:val="009F3F09"/>
    <w:rsid w:val="00A02811"/>
    <w:rsid w:val="00A03957"/>
    <w:rsid w:val="00A126BB"/>
    <w:rsid w:val="00A3691F"/>
    <w:rsid w:val="00A37678"/>
    <w:rsid w:val="00A47074"/>
    <w:rsid w:val="00A543BB"/>
    <w:rsid w:val="00AB0DE9"/>
    <w:rsid w:val="00AB11C6"/>
    <w:rsid w:val="00AC1862"/>
    <w:rsid w:val="00AC70AF"/>
    <w:rsid w:val="00AD3E8A"/>
    <w:rsid w:val="00AD5812"/>
    <w:rsid w:val="00AE5370"/>
    <w:rsid w:val="00AF1132"/>
    <w:rsid w:val="00AF3276"/>
    <w:rsid w:val="00B004EB"/>
    <w:rsid w:val="00B140AC"/>
    <w:rsid w:val="00B15421"/>
    <w:rsid w:val="00B16B3D"/>
    <w:rsid w:val="00B1765F"/>
    <w:rsid w:val="00B34770"/>
    <w:rsid w:val="00B36389"/>
    <w:rsid w:val="00B415E6"/>
    <w:rsid w:val="00B431DC"/>
    <w:rsid w:val="00B57DCE"/>
    <w:rsid w:val="00B6459D"/>
    <w:rsid w:val="00B6564B"/>
    <w:rsid w:val="00B7279E"/>
    <w:rsid w:val="00B77E14"/>
    <w:rsid w:val="00B81C56"/>
    <w:rsid w:val="00B864F6"/>
    <w:rsid w:val="00B86502"/>
    <w:rsid w:val="00B86DD1"/>
    <w:rsid w:val="00B918C1"/>
    <w:rsid w:val="00BA2835"/>
    <w:rsid w:val="00BC7DA9"/>
    <w:rsid w:val="00BD5136"/>
    <w:rsid w:val="00BD72C5"/>
    <w:rsid w:val="00BE3C81"/>
    <w:rsid w:val="00BE53B8"/>
    <w:rsid w:val="00BF1AA3"/>
    <w:rsid w:val="00C10733"/>
    <w:rsid w:val="00C11121"/>
    <w:rsid w:val="00C12F3A"/>
    <w:rsid w:val="00C14107"/>
    <w:rsid w:val="00C217C6"/>
    <w:rsid w:val="00C36127"/>
    <w:rsid w:val="00C461A5"/>
    <w:rsid w:val="00C71EE9"/>
    <w:rsid w:val="00C7668D"/>
    <w:rsid w:val="00C8323A"/>
    <w:rsid w:val="00C96762"/>
    <w:rsid w:val="00CA3C8C"/>
    <w:rsid w:val="00CB348B"/>
    <w:rsid w:val="00CC5BB6"/>
    <w:rsid w:val="00CD1035"/>
    <w:rsid w:val="00CD5A1B"/>
    <w:rsid w:val="00CD7857"/>
    <w:rsid w:val="00D27A68"/>
    <w:rsid w:val="00D3149E"/>
    <w:rsid w:val="00D33BA8"/>
    <w:rsid w:val="00D4180C"/>
    <w:rsid w:val="00D43ACC"/>
    <w:rsid w:val="00D442D8"/>
    <w:rsid w:val="00D44321"/>
    <w:rsid w:val="00D6626D"/>
    <w:rsid w:val="00D74D3A"/>
    <w:rsid w:val="00D836CD"/>
    <w:rsid w:val="00D864CC"/>
    <w:rsid w:val="00D87205"/>
    <w:rsid w:val="00D914F7"/>
    <w:rsid w:val="00D936BC"/>
    <w:rsid w:val="00D964B4"/>
    <w:rsid w:val="00D96927"/>
    <w:rsid w:val="00DA4D68"/>
    <w:rsid w:val="00DA5149"/>
    <w:rsid w:val="00DB4683"/>
    <w:rsid w:val="00DB6716"/>
    <w:rsid w:val="00DC2054"/>
    <w:rsid w:val="00DD19BE"/>
    <w:rsid w:val="00DE78F2"/>
    <w:rsid w:val="00DF077F"/>
    <w:rsid w:val="00E028AC"/>
    <w:rsid w:val="00E03881"/>
    <w:rsid w:val="00E06F60"/>
    <w:rsid w:val="00E12717"/>
    <w:rsid w:val="00E331D7"/>
    <w:rsid w:val="00E34E76"/>
    <w:rsid w:val="00E35784"/>
    <w:rsid w:val="00E41663"/>
    <w:rsid w:val="00E45282"/>
    <w:rsid w:val="00E45F4C"/>
    <w:rsid w:val="00E47F87"/>
    <w:rsid w:val="00E56ADD"/>
    <w:rsid w:val="00E66585"/>
    <w:rsid w:val="00E92176"/>
    <w:rsid w:val="00E9774F"/>
    <w:rsid w:val="00EA0ECB"/>
    <w:rsid w:val="00EB2DEE"/>
    <w:rsid w:val="00ED368B"/>
    <w:rsid w:val="00EF6D82"/>
    <w:rsid w:val="00F0199A"/>
    <w:rsid w:val="00F0325B"/>
    <w:rsid w:val="00F224FF"/>
    <w:rsid w:val="00F225C9"/>
    <w:rsid w:val="00F33389"/>
    <w:rsid w:val="00F346F2"/>
    <w:rsid w:val="00F367B5"/>
    <w:rsid w:val="00F41CDF"/>
    <w:rsid w:val="00F44010"/>
    <w:rsid w:val="00F45DAD"/>
    <w:rsid w:val="00F50C89"/>
    <w:rsid w:val="00F65ABB"/>
    <w:rsid w:val="00FA488B"/>
    <w:rsid w:val="00FA553B"/>
    <w:rsid w:val="00FA6C97"/>
    <w:rsid w:val="00FB6894"/>
    <w:rsid w:val="00FE081F"/>
    <w:rsid w:val="00FE5730"/>
    <w:rsid w:val="00FF219F"/>
    <w:rsid w:val="00FF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8C59"/>
  <w15:docId w15:val="{5B757B71-F139-4EA2-B42B-3B0EE99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U)"/>
    <w:qFormat/>
    <w:rsid w:val="006D692C"/>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rPr>
      <w:rFonts w:cs="Arial"/>
      <w:bCs/>
      <w:kern w:val="32"/>
      <w:sz w:val="24"/>
      <w:szCs w:val="32"/>
    </w:rPr>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ALTS FOOTNOTE,Car"/>
    <w:basedOn w:val="Normal"/>
    <w:link w:val="FootnoteTextChar"/>
    <w:uiPriority w:val="99"/>
    <w:qFormat/>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Car Char"/>
    <w:basedOn w:val="DefaultParagraphFont"/>
    <w:link w:val="FootnoteText"/>
    <w:uiPriority w:val="99"/>
    <w:rsid w:val="00DD19BE"/>
  </w:style>
  <w:style w:type="character" w:styleId="FootnoteReference">
    <w:name w:val="footnote reference"/>
    <w:aliases w:val="Footnote Reference Superscript,SUPERS,BVI fnr,Footnote symbol,Footnote,(Footnote Reference),Footnote reference number,note TESI,EN Footnote Reference,Voetnootverwijzing,Times 10 Point,Exposant 3 Point,Appel note de bas d,fr,Style 19"/>
    <w:basedOn w:val="DefaultParagraphFont"/>
    <w:uiPriority w:val="99"/>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rsid w:val="00EF6D82"/>
    <w:pPr>
      <w:widowControl w:val="0"/>
      <w:autoSpaceDE w:val="0"/>
      <w:autoSpaceDN w:val="0"/>
      <w:adjustRightInd w:val="0"/>
    </w:pPr>
    <w:rPr>
      <w:color w:val="000000"/>
      <w:sz w:val="24"/>
      <w:szCs w:val="24"/>
    </w:rPr>
  </w:style>
  <w:style w:type="character" w:customStyle="1" w:styleId="FootnoteTextChar1">
    <w:name w:val="Footnote Text Char1"/>
    <w:aliases w:val="fn Char1,Footnote Text Char Char Char2,Footnote Text Char Char Char Char2,Footnote Text Char Char Char Char Char Char Char Char Char Char Char Char Char Char Char Char Char Char1,Footnote Text Char1 Char Char Char1"/>
    <w:locked/>
    <w:rsid w:val="00BE3C81"/>
    <w:rPr>
      <w:rFonts w:cs="Times New Roman"/>
    </w:rPr>
  </w:style>
  <w:style w:type="character" w:styleId="Hyperlink">
    <w:name w:val="Hyperlink"/>
    <w:basedOn w:val="DefaultParagraphFont"/>
    <w:uiPriority w:val="99"/>
    <w:unhideWhenUsed/>
    <w:rsid w:val="00081EAD"/>
    <w:rPr>
      <w:rFonts w:ascii="Times New Roman" w:hAnsi="Times New Roman" w:cs="Times New Roman" w:hint="default"/>
      <w:color w:val="0000FF"/>
      <w:u w:val="single"/>
    </w:rPr>
  </w:style>
  <w:style w:type="character" w:styleId="CommentReference">
    <w:name w:val="annotation reference"/>
    <w:basedOn w:val="DefaultParagraphFont"/>
    <w:rsid w:val="00873E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 w:id="1825119854">
      <w:bodyDiv w:val="1"/>
      <w:marLeft w:val="0"/>
      <w:marRight w:val="0"/>
      <w:marTop w:val="0"/>
      <w:marBottom w:val="0"/>
      <w:divBdr>
        <w:top w:val="none" w:sz="0" w:space="0" w:color="auto"/>
        <w:left w:val="none" w:sz="0" w:space="0" w:color="auto"/>
        <w:bottom w:val="none" w:sz="0" w:space="0" w:color="auto"/>
        <w:right w:val="none" w:sz="0" w:space="0" w:color="auto"/>
      </w:divBdr>
    </w:div>
    <w:div w:id="2136606236">
      <w:bodyDiv w:val="1"/>
      <w:marLeft w:val="0"/>
      <w:marRight w:val="0"/>
      <w:marTop w:val="0"/>
      <w:marBottom w:val="0"/>
      <w:divBdr>
        <w:top w:val="none" w:sz="0" w:space="0" w:color="auto"/>
        <w:left w:val="none" w:sz="0" w:space="0" w:color="auto"/>
        <w:bottom w:val="none" w:sz="0" w:space="0" w:color="auto"/>
        <w:right w:val="none" w:sz="0" w:space="0" w:color="auto"/>
      </w:divBdr>
    </w:div>
    <w:div w:id="214311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3568-EDC6-4318-8D79-62388866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1477</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hsuk</dc:creator>
  <cp:lastModifiedBy>Crawley, Pearl</cp:lastModifiedBy>
  <cp:revision>5</cp:revision>
  <cp:lastPrinted>2018-06-22T15:04:00Z</cp:lastPrinted>
  <dcterms:created xsi:type="dcterms:W3CDTF">2021-10-25T14:19:00Z</dcterms:created>
  <dcterms:modified xsi:type="dcterms:W3CDTF">2021-10-25T19:05:00Z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gFAAXJDLFUo5N7u9fihV3MibOOXXImCBx0wA5N/Blsq4K/vfjQok56xDoTYCqUnpUIFYRyzZNBu2B3oO
OpnW//TDO25+238mYt3lNDPBpBAfLflDxLGSGerTyqeGg9zLkcealqRVTPwGXmYoBJyieGw0aTK5
+KeYQwXxR4rfz3ZisaTphwHKscd6BVLVzXFUhiB5n250AXbkG0gxBJwWUgqs5uGt/2owgZTGg6sZ
VPJAAc7LZyayNBXaa</vt:lpwstr>
  </property>
  <property fmtid="{D5CDD505-2E9C-101B-9397-08002B2CF9AE}" pid="3" name="MAIL_MSG_ID2">
    <vt:lpwstr>iFVUugbnix3hjxkz1ZQKj9BYA1VqD1SRwI6G8hegdbsuauzNSGuWJTg5hTo
vY4hFxuCVu1BrnhlMynIzCe8jP/9CNeR5aihEQ==</vt:lpwstr>
  </property>
  <property fmtid="{D5CDD505-2E9C-101B-9397-08002B2CF9AE}" pid="4" name="RESPONSE_SENDER_NAME">
    <vt:lpwstr>4AAA9mrMv1QjWAvFN0ZbblSn7Cty9V5gvfhaTwnxAI2RPmZA0LoZe2mfXQ==</vt:lpwstr>
  </property>
  <property fmtid="{D5CDD505-2E9C-101B-9397-08002B2CF9AE}" pid="5" name="EMAIL_OWNER_ADDRESS">
    <vt:lpwstr>sAAAGYoQX4c3X/I0X77w18bwoZkO8h1X9taokbefkesvrfY=</vt:lpwstr>
  </property>
</Properties>
</file>