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7F3" w:rsidP="00DD37F3" w:rsidRDefault="00DD37F3" w14:paraId="0D91FC40" w14:textId="77777777">
      <w:pPr>
        <w:pStyle w:val="BodyText"/>
        <w:spacing w:line="237" w:lineRule="auto"/>
        <w:ind w:left="379" w:right="136"/>
        <w:jc w:val="center"/>
        <w:rPr>
          <w:b/>
          <w:bCs/>
        </w:rPr>
      </w:pPr>
      <w:r>
        <w:rPr>
          <w:b/>
          <w:bCs/>
        </w:rPr>
        <w:t>Office of the Comptroller of the Currency</w:t>
      </w:r>
    </w:p>
    <w:p w:rsidR="00DD37F3" w:rsidP="00DD37F3" w:rsidRDefault="00DD37F3" w14:paraId="3486CC03" w14:textId="77777777">
      <w:pPr>
        <w:pStyle w:val="BodyText"/>
        <w:spacing w:line="237" w:lineRule="auto"/>
        <w:ind w:left="379" w:right="136"/>
        <w:jc w:val="center"/>
        <w:rPr>
          <w:b/>
          <w:bCs/>
        </w:rPr>
      </w:pPr>
      <w:r>
        <w:rPr>
          <w:b/>
          <w:bCs/>
        </w:rPr>
        <w:t>Supporting Statement</w:t>
      </w:r>
    </w:p>
    <w:p w:rsidR="00DD37F3" w:rsidP="00DD37F3" w:rsidRDefault="00DD37F3" w14:paraId="324D61BD" w14:textId="475643DA">
      <w:pPr>
        <w:pStyle w:val="BodyText"/>
        <w:spacing w:line="237" w:lineRule="auto"/>
        <w:ind w:left="379" w:right="136"/>
        <w:jc w:val="center"/>
        <w:rPr>
          <w:b/>
          <w:bCs/>
        </w:rPr>
      </w:pPr>
      <w:r>
        <w:rPr>
          <w:b/>
          <w:bCs/>
        </w:rPr>
        <w:t>L</w:t>
      </w:r>
      <w:r w:rsidR="004B7D91">
        <w:rPr>
          <w:b/>
          <w:bCs/>
        </w:rPr>
        <w:t>ibor</w:t>
      </w:r>
      <w:r>
        <w:rPr>
          <w:b/>
          <w:bCs/>
        </w:rPr>
        <w:t xml:space="preserve"> </w:t>
      </w:r>
      <w:r w:rsidR="001C421B">
        <w:rPr>
          <w:b/>
          <w:bCs/>
        </w:rPr>
        <w:t>Self-Assessment</w:t>
      </w:r>
    </w:p>
    <w:p w:rsidR="00DD37F3" w:rsidP="00DD37F3" w:rsidRDefault="00DD37F3" w14:paraId="5DAB508C" w14:textId="77777777">
      <w:pPr>
        <w:pStyle w:val="BodyText"/>
        <w:spacing w:line="237" w:lineRule="auto"/>
        <w:ind w:left="379" w:right="136"/>
        <w:jc w:val="center"/>
        <w:rPr>
          <w:b/>
          <w:bCs/>
        </w:rPr>
      </w:pPr>
      <w:r>
        <w:rPr>
          <w:b/>
          <w:bCs/>
        </w:rPr>
        <w:t>OMB Control No. 1557-NEW</w:t>
      </w:r>
    </w:p>
    <w:p w:rsidRPr="00DD37F3" w:rsidR="00DD37F3" w:rsidP="00DD37F3" w:rsidRDefault="00DD37F3" w14:paraId="103DF03E" w14:textId="77777777">
      <w:pPr>
        <w:pStyle w:val="BodyText"/>
        <w:spacing w:line="237" w:lineRule="auto"/>
        <w:ind w:left="379" w:right="136"/>
        <w:jc w:val="center"/>
        <w:rPr>
          <w:b/>
          <w:bCs/>
        </w:rPr>
      </w:pPr>
    </w:p>
    <w:p w:rsidRPr="001A33BF" w:rsidR="00063BE2" w:rsidP="00063BE2" w:rsidRDefault="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063BE2" w:rsidRDefault="00063BE2" w14:paraId="49E67038" w14:textId="77777777">
      <w:pPr>
        <w:rPr>
          <w:sz w:val="24"/>
        </w:rPr>
      </w:pPr>
    </w:p>
    <w:p w:rsidR="00063BE2" w:rsidP="00063BE2" w:rsidRDefault="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Pr="001A33BF" w:rsidR="00180B09" w:rsidP="00063BE2" w:rsidRDefault="00180B09" w14:paraId="31F516DF" w14:textId="77777777">
      <w:pPr>
        <w:rPr>
          <w:b/>
          <w:bCs/>
          <w:i/>
          <w:iCs/>
          <w:sz w:val="24"/>
          <w:szCs w:val="24"/>
        </w:rPr>
      </w:pPr>
    </w:p>
    <w:p w:rsidR="002A3D2B" w:rsidP="00FA4357" w:rsidRDefault="002A3D2B" w14:paraId="30D11A1E" w14:textId="4F1EC6CF">
      <w:pPr>
        <w:pStyle w:val="BodyText"/>
        <w:ind w:firstLine="720"/>
      </w:pPr>
      <w:bookmarkStart w:name="Supervisory_Memorandum_2020-10,_Libor_Wo" w:id="0"/>
      <w:bookmarkEnd w:id="0"/>
      <w:r w:rsidRPr="0049436A">
        <w:t xml:space="preserve">The </w:t>
      </w:r>
      <w:r w:rsidR="00FA4357">
        <w:t xml:space="preserve">final </w:t>
      </w:r>
      <w:r w:rsidRPr="0049436A">
        <w:t xml:space="preserve">rule contains a reporting requirement that is subject to the PRA.  The reporting requirement is found in </w:t>
      </w:r>
      <w:r>
        <w:t>§</w:t>
      </w:r>
      <w:r w:rsidRPr="0049436A">
        <w:t xml:space="preserve"> 53.3 of the </w:t>
      </w:r>
      <w:r w:rsidR="00FA4357">
        <w:t>final</w:t>
      </w:r>
      <w:r w:rsidRPr="0049436A">
        <w:t xml:space="preserve"> rule, which require</w:t>
      </w:r>
      <w:r w:rsidR="00FA4357">
        <w:t>s</w:t>
      </w:r>
      <w:r w:rsidRPr="0049436A">
        <w:t xml:space="preserve"> a banking organization to notify its primary federal bank regulatory agency of the occurrence of a “notification incident” at the banking organization.</w:t>
      </w:r>
      <w:r w:rsidR="00FA4357">
        <w:t xml:space="preserve"> </w:t>
      </w:r>
      <w:r w:rsidRPr="0049436A">
        <w:t xml:space="preserve">The </w:t>
      </w:r>
      <w:r w:rsidR="00FA4357">
        <w:t>final</w:t>
      </w:r>
      <w:r w:rsidRPr="0049436A">
        <w:t xml:space="preserve"> rule also contains a disclosure requirement that is subject to the PRA. The disclosure requirement is found in </w:t>
      </w:r>
      <w:r>
        <w:t>§</w:t>
      </w:r>
      <w:r w:rsidRPr="0049436A">
        <w:t xml:space="preserve"> 53.4 of the </w:t>
      </w:r>
      <w:r w:rsidR="00FA4357">
        <w:t>final</w:t>
      </w:r>
      <w:r w:rsidRPr="0049436A">
        <w:t xml:space="preserve"> rule, which require a bank service provider to notify </w:t>
      </w:r>
      <w:r w:rsidRPr="0049436A">
        <w:rPr>
          <w:bCs/>
        </w:rPr>
        <w:t>at least two individuals at</w:t>
      </w:r>
      <w:r w:rsidRPr="0049436A">
        <w:t xml:space="preserve"> affected banking organization customers immediately after it experiences a computer-security incident that it believes in good faith could disrupt, degrade, or impair services provided subject to the BSCA for four or more hours.</w:t>
      </w:r>
    </w:p>
    <w:p w:rsidR="00FA4357" w:rsidP="002A3D2B" w:rsidRDefault="00FA4357" w14:paraId="7785DC51" w14:textId="65620D75">
      <w:pPr>
        <w:pStyle w:val="BodyText"/>
        <w:ind w:firstLine="720"/>
      </w:pPr>
    </w:p>
    <w:p w:rsidR="00FA4357" w:rsidP="00FA4357" w:rsidRDefault="00FA4357" w14:paraId="6DE4F0E3" w14:textId="2958072E">
      <w:pPr>
        <w:ind w:firstLine="720"/>
        <w:rPr>
          <w:sz w:val="24"/>
          <w:szCs w:val="24"/>
        </w:rPr>
      </w:pPr>
      <w:r>
        <w:rPr>
          <w:sz w:val="24"/>
          <w:szCs w:val="24"/>
        </w:rPr>
        <w:t xml:space="preserve">A “computer-security incident” is defined as an occurrence that results in actual or potential jeopardy to the confidentiality, integrity, or availability of an information system or the information the system processes, stores, or transmits; or constitutes a violation or imminent threat of violation of security policies, security procedures, or acceptable use policies. The final rule requires a banking organization to notify its primary federal banking regulator upon the occurrence of a “notification incident” at the banking organization. A banking organization may authorize or contract with a bank service provider to notify its primary federal banking regulator of such an incident on its behalf.  The agencies recognize that the final rule imposes a limited amount of burden, beyond what is usual and customary, on banking organizations in the event of a computer-security incident even if it does not rise to the level of a notification incident, as banking organizations will need to engage in an analysis to determine whether the relevant thresholds for notification are met.  Therefore, the agencies’ estimated burden per notification incident </w:t>
      </w:r>
      <w:proofErr w:type="gramStart"/>
      <w:r>
        <w:rPr>
          <w:sz w:val="24"/>
          <w:szCs w:val="24"/>
        </w:rPr>
        <w:t>takes into account</w:t>
      </w:r>
      <w:proofErr w:type="gramEnd"/>
      <w:r>
        <w:rPr>
          <w:sz w:val="24"/>
          <w:szCs w:val="24"/>
        </w:rPr>
        <w:t xml:space="preserve"> the burden associated with such computer-security incidents. The final rule also requires a bank service provider, as defined herein and in accordance with the BSCA to notify affected banking organization customers as soon as possible when it experiences a computer-security incident that it reasonably believes could disrupt, degrade, or impair services provided subject to the BSCA for four or more hours.  </w:t>
      </w:r>
    </w:p>
    <w:p w:rsidR="00063BE2" w:rsidP="00063BE2" w:rsidRDefault="00063BE2" w14:paraId="31197FB9" w14:textId="77777777">
      <w:pPr>
        <w:rPr>
          <w:sz w:val="24"/>
        </w:rPr>
      </w:pPr>
    </w:p>
    <w:p w:rsidR="00063BE2" w:rsidP="00063BE2" w:rsidRDefault="00063BE2" w14:paraId="3A4598C0" w14:textId="52A19FD5">
      <w:pPr>
        <w:pStyle w:val="BodyText"/>
        <w:ind w:right="162"/>
        <w:jc w:val="both"/>
        <w:rPr>
          <w:b/>
          <w:i/>
          <w:spacing w:val="-1"/>
        </w:rPr>
      </w:pPr>
      <w:r>
        <w:rPr>
          <w:b/>
          <w:bCs/>
          <w:i/>
          <w:iCs/>
        </w:rPr>
        <w:t>2.</w:t>
      </w:r>
      <w:r>
        <w:rPr>
          <w:b/>
          <w:bCs/>
          <w:i/>
          <w:iCs/>
        </w:rPr>
        <w:tab/>
      </w:r>
      <w:r>
        <w:rPr>
          <w:b/>
          <w:i/>
          <w:spacing w:val="-1"/>
        </w:rPr>
        <w:t>Use of the information:</w:t>
      </w:r>
    </w:p>
    <w:p w:rsidR="008E6FE7" w:rsidP="00063BE2" w:rsidRDefault="008E6FE7" w14:paraId="1D7D84A0" w14:textId="77777777">
      <w:pPr>
        <w:pStyle w:val="BodyText"/>
        <w:ind w:right="162"/>
        <w:jc w:val="both"/>
        <w:rPr>
          <w:b/>
          <w:i/>
        </w:rPr>
      </w:pPr>
    </w:p>
    <w:p w:rsidR="00180B09" w:rsidP="00180B09" w:rsidRDefault="008E6FE7" w14:paraId="799742A4" w14:textId="3A6652E8">
      <w:pPr>
        <w:pStyle w:val="BodyText"/>
        <w:rPr>
          <w:b/>
        </w:rPr>
      </w:pPr>
      <w:r>
        <w:tab/>
        <w:t>These requirements are</w:t>
      </w:r>
      <w:r w:rsidRPr="0049436A">
        <w:t xml:space="preserve"> intended to serve as an early alert to a banking organization’s primary federal regulator and is not intended to provide an assessment of the incident.  </w:t>
      </w:r>
    </w:p>
    <w:p w:rsidR="00A12D01" w:rsidP="00A12D01" w:rsidRDefault="00A12D01" w14:paraId="7E5A9F47" w14:textId="77777777">
      <w:pPr>
        <w:pStyle w:val="BodyText"/>
        <w:ind w:left="379" w:right="124"/>
        <w:rPr>
          <w:b/>
          <w:bCs/>
          <w:i/>
          <w:iCs/>
        </w:rPr>
      </w:pPr>
    </w:p>
    <w:p w:rsidR="00063BE2" w:rsidP="00063BE2" w:rsidRDefault="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063BE2" w:rsidRDefault="00063BE2" w14:paraId="5B8FD583" w14:textId="77777777">
      <w:pPr>
        <w:rPr>
          <w:sz w:val="24"/>
        </w:rPr>
      </w:pPr>
    </w:p>
    <w:p w:rsidR="00063BE2" w:rsidP="00063BE2" w:rsidRDefault="00063BE2" w14:paraId="37FEE113" w14:textId="36FB1E4D">
      <w:pPr>
        <w:ind w:firstLine="720"/>
        <w:rPr>
          <w:sz w:val="24"/>
        </w:rPr>
      </w:pPr>
      <w:r>
        <w:rPr>
          <w:sz w:val="24"/>
        </w:rPr>
        <w:t>Not applicable.</w:t>
      </w:r>
    </w:p>
    <w:p w:rsidR="00063BE2" w:rsidP="00063BE2" w:rsidRDefault="00063BE2" w14:paraId="480D719D" w14:textId="77777777">
      <w:pPr>
        <w:rPr>
          <w:sz w:val="24"/>
        </w:rPr>
      </w:pPr>
    </w:p>
    <w:p w:rsidR="00063BE2" w:rsidP="00063BE2" w:rsidRDefault="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063BE2" w:rsidRDefault="00063BE2" w14:paraId="2D82E652" w14:textId="77777777">
      <w:pPr>
        <w:rPr>
          <w:sz w:val="24"/>
        </w:rPr>
      </w:pPr>
    </w:p>
    <w:p w:rsidR="00063BE2" w:rsidP="00063BE2" w:rsidRDefault="00063BE2" w14:paraId="11CAAF62" w14:textId="169F0FD1">
      <w:pPr>
        <w:ind w:firstLine="720"/>
        <w:rPr>
          <w:sz w:val="24"/>
        </w:rPr>
      </w:pPr>
      <w:r>
        <w:rPr>
          <w:sz w:val="24"/>
        </w:rPr>
        <w:t>There is no duplication.</w:t>
      </w:r>
    </w:p>
    <w:p w:rsidR="00063BE2" w:rsidP="00063BE2" w:rsidRDefault="00063BE2" w14:paraId="27B7030B" w14:textId="77777777">
      <w:pPr>
        <w:rPr>
          <w:sz w:val="24"/>
        </w:rPr>
      </w:pPr>
    </w:p>
    <w:p w:rsidRPr="00B021B1" w:rsidR="00063BE2" w:rsidP="00063BE2" w:rsidRDefault="00063BE2" w14:paraId="32FC7891" w14:textId="77777777">
      <w:pPr>
        <w:rPr>
          <w:b/>
          <w:bCs/>
          <w:i/>
          <w:iCs/>
          <w:sz w:val="24"/>
        </w:rPr>
      </w:pPr>
      <w:r w:rsidRPr="00B021B1">
        <w:rPr>
          <w:b/>
          <w:bCs/>
          <w:i/>
          <w:iCs/>
          <w:sz w:val="24"/>
        </w:rPr>
        <w:t>5.</w:t>
      </w:r>
      <w:r w:rsidRPr="00B021B1">
        <w:rPr>
          <w:b/>
          <w:bCs/>
          <w:i/>
          <w:iCs/>
          <w:sz w:val="24"/>
        </w:rPr>
        <w:tab/>
        <w:t xml:space="preserve">If the collection of information impacts small businesses or other small entities, describe </w:t>
      </w:r>
      <w:r w:rsidRPr="00B021B1">
        <w:rPr>
          <w:b/>
          <w:bCs/>
          <w:i/>
          <w:iCs/>
          <w:sz w:val="24"/>
        </w:rPr>
        <w:lastRenderedPageBreak/>
        <w:t>any methods used to minimize burden.</w:t>
      </w:r>
    </w:p>
    <w:p w:rsidRPr="00B021B1" w:rsidR="00063BE2" w:rsidP="00063BE2" w:rsidRDefault="00063BE2" w14:paraId="1AAA15AA" w14:textId="77777777">
      <w:pPr>
        <w:rPr>
          <w:b/>
          <w:bCs/>
          <w:i/>
          <w:iCs/>
          <w:sz w:val="24"/>
        </w:rPr>
      </w:pPr>
    </w:p>
    <w:p w:rsidRPr="00A05D30" w:rsidR="00063BE2" w:rsidP="00063BE2" w:rsidRDefault="00063BE2" w14:paraId="0A0DDD13" w14:textId="402B08C0">
      <w:pPr>
        <w:ind w:firstLine="720"/>
        <w:rPr>
          <w:bCs/>
          <w:iCs/>
          <w:sz w:val="24"/>
        </w:rPr>
      </w:pPr>
      <w:r>
        <w:rPr>
          <w:bCs/>
          <w:iCs/>
          <w:sz w:val="24"/>
        </w:rPr>
        <w:t>Not applicable.</w:t>
      </w:r>
    </w:p>
    <w:p w:rsidR="00063BE2" w:rsidP="00063BE2" w:rsidRDefault="00063BE2" w14:paraId="50E6CBDD" w14:textId="77777777">
      <w:pPr>
        <w:rPr>
          <w:sz w:val="24"/>
        </w:rPr>
      </w:pPr>
    </w:p>
    <w:p w:rsidR="00063BE2" w:rsidP="00063BE2" w:rsidRDefault="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063BE2" w:rsidRDefault="00063BE2" w14:paraId="2A0B2AEC" w14:textId="77777777">
      <w:pPr>
        <w:rPr>
          <w:sz w:val="24"/>
        </w:rPr>
      </w:pPr>
    </w:p>
    <w:p w:rsidR="00063BE2" w:rsidP="00063BE2" w:rsidRDefault="00063BE2" w14:paraId="097A64BF" w14:textId="0FDFBC8A">
      <w:pPr>
        <w:ind w:firstLine="720"/>
        <w:rPr>
          <w:sz w:val="24"/>
        </w:rPr>
      </w:pPr>
      <w:r>
        <w:rPr>
          <w:sz w:val="24"/>
        </w:rPr>
        <w:t xml:space="preserve">Not applicable.  </w:t>
      </w:r>
    </w:p>
    <w:p w:rsidR="00063BE2" w:rsidP="00063BE2" w:rsidRDefault="00063BE2" w14:paraId="3777B207" w14:textId="77777777">
      <w:pPr>
        <w:rPr>
          <w:sz w:val="24"/>
        </w:rPr>
      </w:pPr>
    </w:p>
    <w:p w:rsidRPr="001A33BF" w:rsidR="00063BE2" w:rsidP="00063BE2" w:rsidRDefault="00063BE2" w14:paraId="05F58AB1" w14:textId="77777777">
      <w:pPr>
        <w:rPr>
          <w:b/>
          <w:bCs/>
          <w:i/>
          <w:iCs/>
          <w:sz w:val="24"/>
          <w:szCs w:val="24"/>
        </w:rPr>
      </w:pPr>
      <w:r w:rsidRPr="001A33BF">
        <w:rPr>
          <w:b/>
          <w:bCs/>
          <w:i/>
          <w:iCs/>
          <w:sz w:val="24"/>
          <w:szCs w:val="24"/>
        </w:rPr>
        <w:t xml:space="preserve">7.        </w:t>
      </w:r>
      <w:r>
        <w:rPr>
          <w:b/>
          <w:bCs/>
          <w:i/>
          <w:iCs/>
          <w:sz w:val="24"/>
          <w:szCs w:val="24"/>
        </w:rPr>
        <w:t>Special circumstances that would cause an information collection to be conducted in a manner inconsistent with 12 CFR part 1320:</w:t>
      </w:r>
    </w:p>
    <w:p w:rsidR="00063BE2" w:rsidP="00063BE2" w:rsidRDefault="00063BE2" w14:paraId="37D65B1A" w14:textId="77777777">
      <w:pPr>
        <w:rPr>
          <w:sz w:val="24"/>
        </w:rPr>
      </w:pPr>
    </w:p>
    <w:p w:rsidR="00063BE2" w:rsidP="00063BE2" w:rsidRDefault="00063BE2" w14:paraId="3571D421" w14:textId="77777777">
      <w:pPr>
        <w:ind w:firstLine="720"/>
        <w:rPr>
          <w:sz w:val="24"/>
        </w:rPr>
      </w:pPr>
      <w:r>
        <w:rPr>
          <w:sz w:val="24"/>
        </w:rPr>
        <w:t>Not applicable.</w:t>
      </w:r>
    </w:p>
    <w:p w:rsidR="00063BE2" w:rsidP="00063BE2" w:rsidRDefault="00063BE2" w14:paraId="6AE3CE1A" w14:textId="77777777">
      <w:pPr>
        <w:rPr>
          <w:sz w:val="24"/>
        </w:rPr>
      </w:pPr>
    </w:p>
    <w:p w:rsidR="00063BE2" w:rsidP="00063BE2" w:rsidRDefault="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063BE2" w:rsidRDefault="00063BE2" w14:paraId="3DFABAEB" w14:textId="77777777">
      <w:pPr>
        <w:rPr>
          <w:sz w:val="24"/>
        </w:rPr>
      </w:pPr>
    </w:p>
    <w:p w:rsidRPr="00C65873" w:rsidR="00186B24" w:rsidP="00186B24" w:rsidRDefault="00063BE2" w14:paraId="47DA3C3E" w14:textId="7AF7D4C2">
      <w:pPr>
        <w:ind w:firstLine="720"/>
        <w:rPr>
          <w:sz w:val="24"/>
          <w:szCs w:val="24"/>
        </w:rPr>
      </w:pPr>
      <w:r>
        <w:rPr>
          <w:sz w:val="24"/>
        </w:rPr>
        <w:t xml:space="preserve">The OCC </w:t>
      </w:r>
      <w:r w:rsidR="002A3D2B">
        <w:rPr>
          <w:sz w:val="24"/>
        </w:rPr>
        <w:t>issued a notice of proposed rulemaking for comment containing the collection.</w:t>
      </w:r>
      <w:r w:rsidR="00FA4357">
        <w:rPr>
          <w:sz w:val="24"/>
        </w:rPr>
        <w:t xml:space="preserve">  </w:t>
      </w:r>
      <w:r w:rsidR="00186B24">
        <w:rPr>
          <w:sz w:val="24"/>
          <w:szCs w:val="24"/>
        </w:rPr>
        <w:t>The agencies received one PRA-related comment, which agreed that collections of information have practical utility.</w:t>
      </w:r>
    </w:p>
    <w:p w:rsidR="00063BE2" w:rsidP="00063BE2" w:rsidRDefault="00063BE2" w14:paraId="1A3009EF" w14:textId="1A45F72F">
      <w:pPr>
        <w:ind w:firstLine="720"/>
        <w:rPr>
          <w:sz w:val="24"/>
        </w:rPr>
      </w:pPr>
    </w:p>
    <w:p w:rsidR="00063BE2" w:rsidP="00063BE2" w:rsidRDefault="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063BE2" w:rsidRDefault="00063BE2" w14:paraId="15D627C5" w14:textId="77777777">
      <w:pPr>
        <w:rPr>
          <w:sz w:val="24"/>
        </w:rPr>
      </w:pPr>
    </w:p>
    <w:p w:rsidR="00063BE2" w:rsidP="00063BE2" w:rsidRDefault="00063BE2" w14:paraId="53C05F78" w14:textId="77777777">
      <w:pPr>
        <w:ind w:firstLine="720"/>
        <w:rPr>
          <w:sz w:val="24"/>
        </w:rPr>
      </w:pPr>
      <w:r>
        <w:rPr>
          <w:sz w:val="24"/>
        </w:rPr>
        <w:t>None.</w:t>
      </w:r>
    </w:p>
    <w:p w:rsidR="00063BE2" w:rsidP="00063BE2" w:rsidRDefault="00063BE2" w14:paraId="161B738F" w14:textId="77777777">
      <w:pPr>
        <w:pStyle w:val="BodyText"/>
        <w:tabs>
          <w:tab w:val="left" w:pos="460"/>
        </w:tabs>
        <w:ind w:right="410"/>
        <w:rPr>
          <w:b/>
          <w:bCs/>
          <w:i/>
          <w:iCs/>
        </w:rPr>
      </w:pPr>
    </w:p>
    <w:p w:rsidR="00063BE2" w:rsidP="00063BE2" w:rsidRDefault="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063BE2" w:rsidRDefault="00063BE2" w14:paraId="76F9AB71" w14:textId="77777777">
      <w:pPr>
        <w:rPr>
          <w:sz w:val="24"/>
        </w:rPr>
      </w:pPr>
    </w:p>
    <w:p w:rsidR="00063BE2" w:rsidP="00063BE2" w:rsidRDefault="00063BE2" w14:paraId="6333172B" w14:textId="77777777">
      <w:pPr>
        <w:ind w:firstLine="720"/>
        <w:rPr>
          <w:sz w:val="24"/>
        </w:rPr>
      </w:pPr>
      <w:r>
        <w:rPr>
          <w:sz w:val="24"/>
        </w:rPr>
        <w:t>The information will be kept private to the extent permitted by law.</w:t>
      </w:r>
    </w:p>
    <w:p w:rsidR="00063BE2" w:rsidP="00063BE2" w:rsidRDefault="00063BE2" w14:paraId="3A0CB60C" w14:textId="77777777">
      <w:pPr>
        <w:rPr>
          <w:sz w:val="24"/>
        </w:rPr>
      </w:pPr>
    </w:p>
    <w:p w:rsidR="00063BE2" w:rsidP="00063BE2" w:rsidRDefault="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063BE2" w:rsidRDefault="00063BE2" w14:paraId="59E866C7" w14:textId="77777777">
      <w:pPr>
        <w:rPr>
          <w:sz w:val="24"/>
        </w:rPr>
      </w:pPr>
    </w:p>
    <w:p w:rsidR="00063BE2" w:rsidP="00063BE2" w:rsidRDefault="00063BE2" w14:paraId="43BBD615" w14:textId="77777777">
      <w:pPr>
        <w:ind w:firstLine="720"/>
        <w:rPr>
          <w:sz w:val="24"/>
        </w:rPr>
      </w:pPr>
      <w:r>
        <w:rPr>
          <w:sz w:val="24"/>
        </w:rPr>
        <w:t>There are no questions of a sensitive nature.</w:t>
      </w:r>
    </w:p>
    <w:p w:rsidR="00063BE2" w:rsidP="00063BE2" w:rsidRDefault="00063BE2" w14:paraId="1810ABCA" w14:textId="77777777">
      <w:pPr>
        <w:rPr>
          <w:sz w:val="24"/>
        </w:rPr>
      </w:pPr>
    </w:p>
    <w:p w:rsidR="00063BE2" w:rsidP="00063BE2" w:rsidRDefault="00063BE2" w14:paraId="529B14C9" w14:textId="3B16E391">
      <w:pPr>
        <w:rPr>
          <w:b/>
          <w:bCs/>
          <w:i/>
          <w:iCs/>
          <w:sz w:val="24"/>
          <w:szCs w:val="24"/>
        </w:rPr>
      </w:pPr>
      <w:r w:rsidRPr="009D4C37">
        <w:rPr>
          <w:b/>
          <w:bCs/>
          <w:i/>
          <w:iCs/>
          <w:sz w:val="24"/>
          <w:szCs w:val="24"/>
        </w:rPr>
        <w:t xml:space="preserve">12.       </w:t>
      </w:r>
      <w:r>
        <w:rPr>
          <w:b/>
          <w:bCs/>
          <w:i/>
          <w:iCs/>
          <w:sz w:val="24"/>
          <w:szCs w:val="24"/>
        </w:rPr>
        <w:t>Burden estimate:</w:t>
      </w:r>
      <w:r w:rsidRPr="00186B24" w:rsidR="00186B24">
        <w:rPr>
          <w:rStyle w:val="FootnoteReference"/>
          <w:i/>
        </w:rPr>
        <w:t xml:space="preserve"> </w:t>
      </w:r>
      <w:r w:rsidR="00186B24">
        <w:rPr>
          <w:rStyle w:val="FootnoteReference"/>
          <w:i/>
        </w:rPr>
        <w:footnoteReference w:id="1"/>
      </w:r>
    </w:p>
    <w:p w:rsidR="00A3350A" w:rsidP="00063BE2" w:rsidRDefault="00A3350A" w14:paraId="588DDDE8" w14:textId="5586FC40">
      <w:pPr>
        <w:rPr>
          <w:b/>
          <w:bCs/>
          <w:i/>
          <w:iCs/>
          <w:sz w:val="24"/>
          <w:szCs w:val="24"/>
        </w:rPr>
      </w:pPr>
    </w:p>
    <w:p w:rsidR="00063BE2" w:rsidP="00063BE2" w:rsidRDefault="00A8089A" w14:paraId="66C8B732" w14:textId="44A62D48">
      <w:pPr>
        <w:rPr>
          <w:sz w:val="24"/>
        </w:rPr>
      </w:pPr>
      <w:r>
        <w:rPr>
          <w:sz w:val="24"/>
        </w:rPr>
        <w:t>Reporting:  22 Respondents x 3 hours = 66 hours</w:t>
      </w:r>
    </w:p>
    <w:p w:rsidR="00A8089A" w:rsidP="00063BE2" w:rsidRDefault="00A8089A" w14:paraId="3623F14F" w14:textId="1BED287C">
      <w:pPr>
        <w:rPr>
          <w:sz w:val="24"/>
        </w:rPr>
      </w:pPr>
    </w:p>
    <w:p w:rsidR="00A8089A" w:rsidP="00063BE2" w:rsidRDefault="00A8089A" w14:paraId="51E956F0" w14:textId="23CBE009">
      <w:pPr>
        <w:rPr>
          <w:sz w:val="24"/>
        </w:rPr>
      </w:pPr>
      <w:r>
        <w:rPr>
          <w:sz w:val="24"/>
        </w:rPr>
        <w:t>Disclosure:  80</w:t>
      </w:r>
      <w:r w:rsidR="00FA4357">
        <w:rPr>
          <w:sz w:val="24"/>
        </w:rPr>
        <w:t>2</w:t>
      </w:r>
      <w:r>
        <w:rPr>
          <w:sz w:val="24"/>
        </w:rPr>
        <w:t xml:space="preserve"> Respondents x 3 hours = 2,40</w:t>
      </w:r>
      <w:r w:rsidR="00FA4357">
        <w:rPr>
          <w:sz w:val="24"/>
        </w:rPr>
        <w:t>6</w:t>
      </w:r>
      <w:r>
        <w:rPr>
          <w:sz w:val="24"/>
        </w:rPr>
        <w:t xml:space="preserve"> hours</w:t>
      </w:r>
    </w:p>
    <w:p w:rsidR="00A8089A" w:rsidP="00063BE2" w:rsidRDefault="00A8089A" w14:paraId="541E1CDC" w14:textId="22460D0C">
      <w:pPr>
        <w:rPr>
          <w:sz w:val="24"/>
        </w:rPr>
      </w:pPr>
    </w:p>
    <w:p w:rsidR="00A8089A" w:rsidP="00063BE2" w:rsidRDefault="00A8089A" w14:paraId="746F5920" w14:textId="2B7A524F">
      <w:pPr>
        <w:rPr>
          <w:sz w:val="24"/>
        </w:rPr>
      </w:pPr>
      <w:r>
        <w:rPr>
          <w:sz w:val="24"/>
        </w:rPr>
        <w:t>2,4</w:t>
      </w:r>
      <w:r w:rsidR="00FA4357">
        <w:rPr>
          <w:sz w:val="24"/>
        </w:rPr>
        <w:t>06</w:t>
      </w:r>
      <w:r>
        <w:rPr>
          <w:sz w:val="24"/>
        </w:rPr>
        <w:t xml:space="preserve"> hours x $11</w:t>
      </w:r>
      <w:r w:rsidR="00F746F0">
        <w:rPr>
          <w:sz w:val="24"/>
        </w:rPr>
        <w:t>4.17</w:t>
      </w:r>
      <w:r>
        <w:rPr>
          <w:sz w:val="24"/>
        </w:rPr>
        <w:t xml:space="preserve"> = $ </w:t>
      </w:r>
      <w:r w:rsidR="00F746F0">
        <w:rPr>
          <w:sz w:val="24"/>
        </w:rPr>
        <w:t>274.693.02</w:t>
      </w:r>
    </w:p>
    <w:p w:rsidRPr="00A8089A" w:rsidR="00A8089A" w:rsidP="00063BE2" w:rsidRDefault="00A8089A" w14:paraId="2F3CF06A" w14:textId="77777777">
      <w:pPr>
        <w:rPr>
          <w:sz w:val="24"/>
        </w:rPr>
      </w:pPr>
    </w:p>
    <w:p w:rsidRPr="00A62A21" w:rsidR="00F746F0" w:rsidP="00F746F0" w:rsidRDefault="00F746F0" w14:paraId="02C5C367" w14:textId="77777777">
      <w:r>
        <w:rPr>
          <w:color w:val="000000"/>
          <w:sz w:val="24"/>
          <w:szCs w:val="24"/>
        </w:rPr>
        <w:t xml:space="preserve">To estimate wages, the OCC reviewed May 2020 data for wages (by industry and occupation) from </w:t>
      </w:r>
      <w:r>
        <w:rPr>
          <w:color w:val="000000"/>
          <w:sz w:val="24"/>
          <w:szCs w:val="24"/>
        </w:rPr>
        <w:lastRenderedPageBreak/>
        <w:t>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063BE2" w:rsidP="00063BE2" w:rsidRDefault="00063BE2" w14:paraId="673E44F7" w14:textId="77777777">
      <w:pPr>
        <w:tabs>
          <w:tab w:val="left" w:pos="-1440"/>
        </w:tabs>
        <w:ind w:left="720" w:hanging="720"/>
        <w:rPr>
          <w:b/>
          <w:bCs/>
          <w:i/>
          <w:iCs/>
          <w:sz w:val="24"/>
        </w:rPr>
      </w:pPr>
    </w:p>
    <w:p w:rsidRPr="00843CCE" w:rsidR="00063BE2" w:rsidP="00063BE2" w:rsidRDefault="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Pr="00843CCE" w:rsidR="00063BE2" w:rsidP="00063BE2" w:rsidRDefault="00063BE2" w14:paraId="2B7DCDAA" w14:textId="77777777">
      <w:pPr>
        <w:tabs>
          <w:tab w:val="left" w:pos="-1440"/>
        </w:tabs>
        <w:ind w:left="720" w:hanging="720"/>
        <w:rPr>
          <w:sz w:val="24"/>
          <w:szCs w:val="24"/>
        </w:rPr>
      </w:pPr>
    </w:p>
    <w:p w:rsidRPr="00843CCE" w:rsidR="00063BE2" w:rsidP="00063BE2" w:rsidRDefault="00063BE2" w14:paraId="1447B632" w14:textId="77777777">
      <w:pPr>
        <w:ind w:firstLine="720"/>
        <w:rPr>
          <w:sz w:val="24"/>
          <w:szCs w:val="24"/>
        </w:rPr>
      </w:pPr>
      <w:r w:rsidRPr="00843CCE">
        <w:rPr>
          <w:sz w:val="24"/>
          <w:szCs w:val="24"/>
        </w:rPr>
        <w:t>Not applicable.</w:t>
      </w:r>
    </w:p>
    <w:p w:rsidRPr="00843CCE" w:rsidR="00063BE2" w:rsidP="00063BE2" w:rsidRDefault="00063BE2" w14:paraId="1E2561ED" w14:textId="77777777">
      <w:pPr>
        <w:rPr>
          <w:sz w:val="24"/>
          <w:szCs w:val="24"/>
        </w:rPr>
      </w:pPr>
    </w:p>
    <w:p w:rsidRPr="00843CCE" w:rsidR="00063BE2" w:rsidP="00063BE2" w:rsidRDefault="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063BE2" w:rsidRDefault="00063BE2" w14:paraId="476515F6" w14:textId="77777777">
      <w:pPr>
        <w:rPr>
          <w:sz w:val="24"/>
        </w:rPr>
      </w:pPr>
    </w:p>
    <w:p w:rsidR="00063BE2" w:rsidP="00063BE2" w:rsidRDefault="00063BE2" w14:paraId="0C085B48" w14:textId="77777777">
      <w:pPr>
        <w:ind w:firstLine="720"/>
        <w:rPr>
          <w:sz w:val="24"/>
        </w:rPr>
      </w:pPr>
      <w:r>
        <w:rPr>
          <w:sz w:val="24"/>
        </w:rPr>
        <w:t>Not applicable.</w:t>
      </w:r>
    </w:p>
    <w:p w:rsidR="00063BE2" w:rsidP="00063BE2" w:rsidRDefault="00063BE2" w14:paraId="37A295A0" w14:textId="77777777">
      <w:pPr>
        <w:rPr>
          <w:sz w:val="24"/>
        </w:rPr>
      </w:pPr>
    </w:p>
    <w:p w:rsidRPr="0085720D" w:rsidR="00063BE2" w:rsidP="00063BE2" w:rsidRDefault="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063BE2" w:rsidRDefault="00063BE2" w14:paraId="4E2834F3" w14:textId="4C920558">
      <w:pPr>
        <w:rPr>
          <w:sz w:val="24"/>
        </w:rPr>
      </w:pPr>
    </w:p>
    <w:p w:rsidR="00063BE2" w:rsidP="00063BE2" w:rsidRDefault="00063BE2" w14:paraId="18E3D7AA" w14:textId="2E34B843">
      <w:pPr>
        <w:rPr>
          <w:sz w:val="24"/>
        </w:rPr>
      </w:pPr>
      <w:r>
        <w:rPr>
          <w:sz w:val="24"/>
        </w:rPr>
        <w:tab/>
        <w:t>This is a new collection.</w:t>
      </w:r>
    </w:p>
    <w:p w:rsidR="00063BE2" w:rsidP="00063BE2" w:rsidRDefault="00063BE2" w14:paraId="7784232B" w14:textId="77777777">
      <w:pPr>
        <w:rPr>
          <w:sz w:val="24"/>
        </w:rPr>
      </w:pPr>
    </w:p>
    <w:p w:rsidRPr="00843CCE" w:rsidR="00063BE2" w:rsidP="00063BE2" w:rsidRDefault="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063BE2" w:rsidRDefault="00063BE2" w14:paraId="5470E5A5" w14:textId="77777777">
      <w:pPr>
        <w:rPr>
          <w:sz w:val="24"/>
        </w:rPr>
      </w:pPr>
    </w:p>
    <w:p w:rsidR="00063BE2" w:rsidP="00063BE2" w:rsidRDefault="00063BE2" w14:paraId="0A26C6CF" w14:textId="77777777">
      <w:pPr>
        <w:ind w:firstLine="720"/>
        <w:rPr>
          <w:sz w:val="24"/>
        </w:rPr>
      </w:pPr>
      <w:r>
        <w:rPr>
          <w:sz w:val="24"/>
        </w:rPr>
        <w:t>Not applicable.</w:t>
      </w:r>
    </w:p>
    <w:p w:rsidRPr="00325BDD" w:rsidR="00063BE2" w:rsidP="00063BE2" w:rsidRDefault="00063BE2" w14:paraId="0CA59AD7" w14:textId="77777777">
      <w:pPr>
        <w:outlineLvl w:val="0"/>
        <w:rPr>
          <w:szCs w:val="24"/>
        </w:rPr>
      </w:pPr>
      <w:r>
        <w:rPr>
          <w:szCs w:val="24"/>
        </w:rPr>
        <w:t xml:space="preserve">      </w:t>
      </w:r>
    </w:p>
    <w:p w:rsidR="00063BE2" w:rsidP="00063BE2" w:rsidRDefault="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063BE2" w:rsidRDefault="00063BE2" w14:paraId="3C8FC8FB" w14:textId="77777777">
      <w:pPr>
        <w:rPr>
          <w:sz w:val="24"/>
        </w:rPr>
      </w:pPr>
    </w:p>
    <w:p w:rsidR="00063BE2" w:rsidP="00063BE2" w:rsidRDefault="00063BE2" w14:paraId="731E24F0" w14:textId="77777777">
      <w:pPr>
        <w:ind w:firstLine="720"/>
        <w:rPr>
          <w:sz w:val="24"/>
        </w:rPr>
      </w:pPr>
      <w:r>
        <w:rPr>
          <w:sz w:val="24"/>
        </w:rPr>
        <w:t>Not applicable.</w:t>
      </w:r>
    </w:p>
    <w:p w:rsidR="00063BE2" w:rsidP="00063BE2" w:rsidRDefault="00063BE2" w14:paraId="667C10A2" w14:textId="77777777">
      <w:pPr>
        <w:rPr>
          <w:sz w:val="24"/>
        </w:rPr>
      </w:pPr>
    </w:p>
    <w:p w:rsidR="00063BE2" w:rsidP="00063BE2" w:rsidRDefault="00063BE2" w14:paraId="40970406" w14:textId="77777777">
      <w:pPr>
        <w:pStyle w:val="BodyText"/>
        <w:tabs>
          <w:tab w:val="left" w:pos="0"/>
        </w:tabs>
        <w:ind w:left="459" w:hanging="459"/>
        <w:rPr>
          <w:b/>
          <w:i/>
        </w:rPr>
      </w:pPr>
      <w:r>
        <w:rPr>
          <w:b/>
          <w:i/>
        </w:rPr>
        <w:t>18.   Exceptions to the certification statement:</w:t>
      </w:r>
    </w:p>
    <w:p w:rsidR="00063BE2" w:rsidP="00063BE2" w:rsidRDefault="00063BE2" w14:paraId="7C82269A" w14:textId="77777777">
      <w:pPr>
        <w:rPr>
          <w:sz w:val="24"/>
        </w:rPr>
      </w:pPr>
    </w:p>
    <w:p w:rsidR="00063BE2" w:rsidP="00063BE2" w:rsidRDefault="00063BE2" w14:paraId="280FECA4" w14:textId="77777777">
      <w:pPr>
        <w:ind w:firstLine="720"/>
        <w:rPr>
          <w:sz w:val="24"/>
        </w:rPr>
      </w:pPr>
      <w:r>
        <w:rPr>
          <w:sz w:val="24"/>
        </w:rPr>
        <w:t>Not applicable.</w:t>
      </w:r>
    </w:p>
    <w:p w:rsidRPr="007F4D96" w:rsidR="00063BE2" w:rsidP="00063BE2" w:rsidRDefault="00063BE2" w14:paraId="05F60B73" w14:textId="77777777">
      <w:pPr>
        <w:rPr>
          <w:b/>
          <w:sz w:val="24"/>
        </w:rPr>
      </w:pPr>
    </w:p>
    <w:p w:rsidRPr="007F4D96" w:rsidR="00063BE2" w:rsidP="00063BE2" w:rsidRDefault="00063BE2" w14:paraId="4B21F346" w14:textId="77777777">
      <w:pPr>
        <w:rPr>
          <w:b/>
          <w:i/>
          <w:sz w:val="24"/>
          <w:u w:val="single"/>
        </w:rPr>
      </w:pPr>
      <w:r w:rsidRPr="007F4D96">
        <w:rPr>
          <w:b/>
          <w:i/>
          <w:sz w:val="24"/>
        </w:rPr>
        <w:t xml:space="preserve">B.  </w:t>
      </w:r>
      <w:r w:rsidRPr="007F4D96">
        <w:rPr>
          <w:b/>
          <w:bCs/>
          <w:i/>
          <w:sz w:val="24"/>
        </w:rPr>
        <w:t>Collections of Information Employing Statistical Methods.</w:t>
      </w:r>
    </w:p>
    <w:p w:rsidR="00063BE2" w:rsidP="00063BE2" w:rsidRDefault="00063BE2" w14:paraId="707E9C9E" w14:textId="77777777">
      <w:pPr>
        <w:rPr>
          <w:sz w:val="24"/>
          <w:u w:val="single"/>
        </w:rPr>
      </w:pPr>
    </w:p>
    <w:p w:rsidR="00063BE2" w:rsidP="00063BE2" w:rsidRDefault="00063BE2" w14:paraId="444B5195" w14:textId="77777777">
      <w:pPr>
        <w:ind w:firstLine="720"/>
        <w:rPr>
          <w:sz w:val="24"/>
        </w:rPr>
      </w:pPr>
      <w:r>
        <w:rPr>
          <w:sz w:val="24"/>
        </w:rPr>
        <w:t>Not applicable.</w:t>
      </w:r>
    </w:p>
    <w:p w:rsidR="00063BE2" w:rsidP="00063BE2" w:rsidRDefault="00063BE2" w14:paraId="1885A875" w14:textId="77777777">
      <w:pPr>
        <w:pStyle w:val="BodyText"/>
      </w:pPr>
    </w:p>
    <w:p w:rsidR="00063BE2" w:rsidP="00063BE2" w:rsidRDefault="00063BE2" w14:paraId="5A9C567C" w14:textId="77777777">
      <w:pPr>
        <w:pStyle w:val="BodyText"/>
      </w:pPr>
    </w:p>
    <w:p w:rsidR="00063BE2" w:rsidP="00063BE2" w:rsidRDefault="00063BE2" w14:paraId="3AAEC5EA" w14:textId="77777777">
      <w:pPr>
        <w:outlineLvl w:val="0"/>
        <w:rPr>
          <w:szCs w:val="24"/>
        </w:rPr>
      </w:pPr>
    </w:p>
    <w:p w:rsidR="00063BE2" w:rsidP="00063BE2" w:rsidRDefault="00063BE2" w14:paraId="5DEB66F1" w14:textId="77777777">
      <w:pPr>
        <w:rPr>
          <w:szCs w:val="24"/>
        </w:rPr>
      </w:pPr>
    </w:p>
    <w:p w:rsidR="00063BE2" w:rsidP="00063BE2" w:rsidRDefault="00063BE2" w14:paraId="2AD90996" w14:textId="77777777">
      <w:pPr>
        <w:rPr>
          <w:szCs w:val="24"/>
        </w:rPr>
      </w:pPr>
    </w:p>
    <w:p w:rsidR="00063BE2" w:rsidP="00063BE2" w:rsidRDefault="00063BE2" w14:paraId="635197C2" w14:textId="77777777">
      <w:pPr>
        <w:pStyle w:val="BodyText"/>
        <w:tabs>
          <w:tab w:val="left" w:pos="0"/>
        </w:tabs>
        <w:ind w:left="459" w:hanging="459"/>
        <w:rPr>
          <w:b/>
          <w:i/>
        </w:rPr>
      </w:pPr>
    </w:p>
    <w:p w:rsidR="00063BE2" w:rsidP="00063BE2" w:rsidRDefault="00063BE2" w14:paraId="4C37C644" w14:textId="77777777">
      <w:pPr>
        <w:rPr>
          <w:szCs w:val="24"/>
        </w:rPr>
      </w:pPr>
    </w:p>
    <w:p w:rsidR="00063BE2" w:rsidP="00063BE2" w:rsidRDefault="00063BE2" w14:paraId="12BE01E9" w14:textId="77777777">
      <w:pPr>
        <w:rPr>
          <w:szCs w:val="24"/>
        </w:rPr>
      </w:pPr>
    </w:p>
    <w:p w:rsidR="00063BE2" w:rsidP="00063BE2" w:rsidRDefault="00063BE2" w14:paraId="1E5C0E01" w14:textId="77777777">
      <w:pPr>
        <w:spacing w:line="480" w:lineRule="auto"/>
        <w:rPr>
          <w:sz w:val="24"/>
        </w:rPr>
      </w:pPr>
    </w:p>
    <w:p w:rsidR="00DD37F3" w:rsidRDefault="00DD37F3" w14:paraId="333624C9" w14:textId="77777777">
      <w:pPr>
        <w:pStyle w:val="BodyText"/>
        <w:spacing w:line="237" w:lineRule="auto"/>
        <w:ind w:left="379" w:right="136"/>
      </w:pPr>
    </w:p>
    <w:sectPr w:rsidR="00DD37F3" w:rsidSect="00180B09">
      <w:headerReference w:type="default" r:id="rId8"/>
      <w:footerReference w:type="default" r:id="rId9"/>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8C6D5" w14:textId="77777777" w:rsidR="00D63993" w:rsidRDefault="00D63993">
      <w:r>
        <w:separator/>
      </w:r>
    </w:p>
  </w:endnote>
  <w:endnote w:type="continuationSeparator" w:id="0">
    <w:p w14:paraId="65A0F355" w14:textId="77777777" w:rsidR="00D63993" w:rsidRDefault="00D6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92D49" w14:textId="77777777" w:rsidR="00D63993" w:rsidRDefault="00D63993">
      <w:r>
        <w:separator/>
      </w:r>
    </w:p>
  </w:footnote>
  <w:footnote w:type="continuationSeparator" w:id="0">
    <w:p w14:paraId="5FA1D168" w14:textId="77777777" w:rsidR="00D63993" w:rsidRDefault="00D63993">
      <w:r>
        <w:continuationSeparator/>
      </w:r>
    </w:p>
  </w:footnote>
  <w:footnote w:id="1">
    <w:p w14:paraId="2B7ED0A4" w14:textId="77777777" w:rsidR="00186B24" w:rsidRDefault="00186B24" w:rsidP="00186B24">
      <w:pPr>
        <w:pStyle w:val="FootnoteText"/>
      </w:pPr>
      <w:r>
        <w:rPr>
          <w:rStyle w:val="FootnoteReference"/>
        </w:rPr>
        <w:footnoteRef/>
      </w:r>
      <w:r>
        <w:t xml:space="preserve"> The number of respondents for the reporting requirement is based on allocating the estimated 150 notification incidents among the agencies based on the percentage of entities supervised by each agency.  The FDIC represents </w:t>
      </w:r>
      <w:proofErr w:type="gramStart"/>
      <w:r>
        <w:t>the majority of</w:t>
      </w:r>
      <w:proofErr w:type="gramEnd"/>
      <w:r>
        <w:t xml:space="preserve"> the banking organizations (64 percent), while the Board supervises approximately 21 percent of the banking organizations, with the OCC supervising the remaining 15 percent of banking organizations.  The number of respondents for the disclosure requirement </w:t>
      </w:r>
      <w:proofErr w:type="gramStart"/>
      <w:r>
        <w:t>is based on an assumption</w:t>
      </w:r>
      <w:proofErr w:type="gramEnd"/>
      <w:r>
        <w:t xml:space="preserve"> of an approximately 2 percent per year frequency of incidents from 120,392 firms, which is divided equally among the OCC, FDIC, and Board.  The number of 120,392 firms is the number of firms in the United States under NAICS code 5415 in 2018, the latest year for which such data is available. </w:t>
      </w:r>
      <w:r>
        <w:rPr>
          <w:i/>
        </w:rPr>
        <w:t>See</w:t>
      </w:r>
      <w:r>
        <w:t xml:space="preserve"> U.S. Census Bureau, 2018 SUSB Annual Data Tables by Establishment Industry, </w:t>
      </w:r>
      <w:hyperlink r:id="rId1" w:history="1">
        <w:r>
          <w:rPr>
            <w:rStyle w:val="Hyperlink"/>
          </w:rPr>
          <w:t>https://www.census.gov/data/tables/2018/econ/susb/2018-susb-annual.html</w:t>
        </w:r>
      </w:hyperlink>
      <w:r>
        <w:t xml:space="preserve"> (last revised Aug. 27,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4"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5"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6"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7"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8"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9"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0"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1"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2"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4"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6"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7"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0"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2"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3"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4"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5"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6"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7"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28"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29"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0"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1"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2"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3"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4"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5"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6"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7"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38"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39"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1"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2"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3"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4"/>
  </w:num>
  <w:num w:numId="2">
    <w:abstractNumId w:val="17"/>
  </w:num>
  <w:num w:numId="3">
    <w:abstractNumId w:val="11"/>
  </w:num>
  <w:num w:numId="4">
    <w:abstractNumId w:val="10"/>
  </w:num>
  <w:num w:numId="5">
    <w:abstractNumId w:val="32"/>
  </w:num>
  <w:num w:numId="6">
    <w:abstractNumId w:val="13"/>
  </w:num>
  <w:num w:numId="7">
    <w:abstractNumId w:val="27"/>
  </w:num>
  <w:num w:numId="8">
    <w:abstractNumId w:val="43"/>
  </w:num>
  <w:num w:numId="9">
    <w:abstractNumId w:val="42"/>
  </w:num>
  <w:num w:numId="10">
    <w:abstractNumId w:val="19"/>
  </w:num>
  <w:num w:numId="11">
    <w:abstractNumId w:val="5"/>
  </w:num>
  <w:num w:numId="12">
    <w:abstractNumId w:val="36"/>
  </w:num>
  <w:num w:numId="13">
    <w:abstractNumId w:val="15"/>
  </w:num>
  <w:num w:numId="14">
    <w:abstractNumId w:val="33"/>
  </w:num>
  <w:num w:numId="15">
    <w:abstractNumId w:val="0"/>
  </w:num>
  <w:num w:numId="16">
    <w:abstractNumId w:val="8"/>
  </w:num>
  <w:num w:numId="17">
    <w:abstractNumId w:val="35"/>
  </w:num>
  <w:num w:numId="18">
    <w:abstractNumId w:val="4"/>
  </w:num>
  <w:num w:numId="19">
    <w:abstractNumId w:val="38"/>
  </w:num>
  <w:num w:numId="20">
    <w:abstractNumId w:val="16"/>
  </w:num>
  <w:num w:numId="21">
    <w:abstractNumId w:val="9"/>
  </w:num>
  <w:num w:numId="22">
    <w:abstractNumId w:val="3"/>
  </w:num>
  <w:num w:numId="23">
    <w:abstractNumId w:val="23"/>
  </w:num>
  <w:num w:numId="24">
    <w:abstractNumId w:val="21"/>
  </w:num>
  <w:num w:numId="25">
    <w:abstractNumId w:val="25"/>
  </w:num>
  <w:num w:numId="26">
    <w:abstractNumId w:val="28"/>
  </w:num>
  <w:num w:numId="27">
    <w:abstractNumId w:val="2"/>
  </w:num>
  <w:num w:numId="28">
    <w:abstractNumId w:val="37"/>
  </w:num>
  <w:num w:numId="29">
    <w:abstractNumId w:val="1"/>
  </w:num>
  <w:num w:numId="30">
    <w:abstractNumId w:val="41"/>
  </w:num>
  <w:num w:numId="31">
    <w:abstractNumId w:val="22"/>
  </w:num>
  <w:num w:numId="32">
    <w:abstractNumId w:val="6"/>
  </w:num>
  <w:num w:numId="33">
    <w:abstractNumId w:val="26"/>
  </w:num>
  <w:num w:numId="34">
    <w:abstractNumId w:val="31"/>
  </w:num>
  <w:num w:numId="35">
    <w:abstractNumId w:val="29"/>
  </w:num>
  <w:num w:numId="36">
    <w:abstractNumId w:val="7"/>
  </w:num>
  <w:num w:numId="37">
    <w:abstractNumId w:val="24"/>
  </w:num>
  <w:num w:numId="38">
    <w:abstractNumId w:val="30"/>
  </w:num>
  <w:num w:numId="39">
    <w:abstractNumId w:val="40"/>
  </w:num>
  <w:num w:numId="40">
    <w:abstractNumId w:val="14"/>
  </w:num>
  <w:num w:numId="41">
    <w:abstractNumId w:val="18"/>
  </w:num>
  <w:num w:numId="42">
    <w:abstractNumId w:val="20"/>
  </w:num>
  <w:num w:numId="43">
    <w:abstractNumId w:val="3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40576"/>
    <w:rsid w:val="00063BE2"/>
    <w:rsid w:val="001410EA"/>
    <w:rsid w:val="00180B09"/>
    <w:rsid w:val="00186B24"/>
    <w:rsid w:val="001B7E66"/>
    <w:rsid w:val="001C421B"/>
    <w:rsid w:val="00237D69"/>
    <w:rsid w:val="00273AD7"/>
    <w:rsid w:val="002A3D2B"/>
    <w:rsid w:val="003D6D2B"/>
    <w:rsid w:val="003F7CE9"/>
    <w:rsid w:val="004965B3"/>
    <w:rsid w:val="004B7D91"/>
    <w:rsid w:val="00640545"/>
    <w:rsid w:val="00670799"/>
    <w:rsid w:val="007449FE"/>
    <w:rsid w:val="008551F3"/>
    <w:rsid w:val="008E6FE7"/>
    <w:rsid w:val="00A12D01"/>
    <w:rsid w:val="00A3350A"/>
    <w:rsid w:val="00A8089A"/>
    <w:rsid w:val="00A95406"/>
    <w:rsid w:val="00AA206A"/>
    <w:rsid w:val="00B712DF"/>
    <w:rsid w:val="00BA2A79"/>
    <w:rsid w:val="00BF7DB8"/>
    <w:rsid w:val="00C83865"/>
    <w:rsid w:val="00CA0A4A"/>
    <w:rsid w:val="00CE2D18"/>
    <w:rsid w:val="00D63993"/>
    <w:rsid w:val="00DD37F3"/>
    <w:rsid w:val="00E019C4"/>
    <w:rsid w:val="00E14027"/>
    <w:rsid w:val="00E42F9A"/>
    <w:rsid w:val="00F06707"/>
    <w:rsid w:val="00F746F0"/>
    <w:rsid w:val="00F755F0"/>
    <w:rsid w:val="00FA4357"/>
    <w:rsid w:val="00FB6B5F"/>
    <w:rsid w:val="00FD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aliases w:val="ft,Footnote Text Char Char Char Char Char Char Char Char Char Char Char Char Char Char Char Char Char,Footnote Text Char Char Char Char Char Char Char Char Char Char Char Char Char Char Char Char Char Char Char Char,fn,ALTS FOOTNOTE,Car"/>
    <w:basedOn w:val="Normal"/>
    <w:link w:val="FootnoteTextChar"/>
    <w:uiPriority w:val="99"/>
    <w:semiHidden/>
    <w:unhideWhenUsed/>
    <w:qFormat/>
    <w:rsid w:val="007449FE"/>
    <w:rPr>
      <w:sz w:val="20"/>
      <w:szCs w:val="20"/>
    </w:rPr>
  </w:style>
  <w:style w:type="character" w:customStyle="1" w:styleId="FootnoteTextChar">
    <w:name w:val="Footnote Text Char"/>
    <w:aliases w:val="ft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semiHidden/>
    <w:rsid w:val="007449FE"/>
    <w:rPr>
      <w:rFonts w:ascii="Times New Roman" w:eastAsia="Times New Roman" w:hAnsi="Times New Roman" w:cs="Times New Roman"/>
      <w:sz w:val="20"/>
      <w:szCs w:val="20"/>
      <w:lang w:bidi="en-US"/>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iPriority w:val="99"/>
    <w:semiHidden/>
    <w:unhideWhenUsed/>
    <w:qFormat/>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unhideWhenUsed/>
    <w:rsid w:val="00040576"/>
    <w:rPr>
      <w:sz w:val="20"/>
      <w:szCs w:val="20"/>
    </w:rPr>
  </w:style>
  <w:style w:type="character" w:customStyle="1" w:styleId="CommentTextChar">
    <w:name w:val="Comment Text Char"/>
    <w:basedOn w:val="DefaultParagraphFont"/>
    <w:link w:val="CommentText"/>
    <w:uiPriority w:val="99"/>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 w:type="character" w:styleId="Hyperlink">
    <w:name w:val="Hyperlink"/>
    <w:basedOn w:val="DefaultParagraphFont"/>
    <w:uiPriority w:val="99"/>
    <w:semiHidden/>
    <w:unhideWhenUsed/>
    <w:rsid w:val="00186B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15786">
      <w:bodyDiv w:val="1"/>
      <w:marLeft w:val="0"/>
      <w:marRight w:val="0"/>
      <w:marTop w:val="0"/>
      <w:marBottom w:val="0"/>
      <w:divBdr>
        <w:top w:val="none" w:sz="0" w:space="0" w:color="auto"/>
        <w:left w:val="none" w:sz="0" w:space="0" w:color="auto"/>
        <w:bottom w:val="none" w:sz="0" w:space="0" w:color="auto"/>
        <w:right w:val="none" w:sz="0" w:space="0" w:color="auto"/>
      </w:divBdr>
    </w:div>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data/tables/2018/econ/susb/2018-susb-annu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Gottlieb, Mary</cp:lastModifiedBy>
  <cp:revision>2</cp:revision>
  <dcterms:created xsi:type="dcterms:W3CDTF">2021-10-14T15:51:00Z</dcterms:created>
  <dcterms:modified xsi:type="dcterms:W3CDTF">2021-10-14T15:51:00Z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