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C6AE5">
        <w:rPr>
          <w:sz w:val="28"/>
        </w:rPr>
        <w:t>1525-0012</w:t>
      </w:r>
      <w:r>
        <w:rPr>
          <w:sz w:val="28"/>
        </w:rPr>
        <w:t>)</w:t>
      </w:r>
    </w:p>
    <w:p w:rsidRPr="009239AA" w:rsidR="00E50293" w:rsidP="00434E33" w:rsidRDefault="00DC6AE5">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BDB0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CF7758">
        <w:t>Pricing Elasticity Research Survey</w:t>
      </w:r>
    </w:p>
    <w:p w:rsidR="005E714A" w:rsidRDefault="005E714A"/>
    <w:p w:rsidR="001B0AAA" w:rsidRDefault="00F15956">
      <w:r>
        <w:rPr>
          <w:b/>
        </w:rPr>
        <w:t>PURPOSE</w:t>
      </w:r>
      <w:r w:rsidRPr="009239AA">
        <w:rPr>
          <w:b/>
        </w:rPr>
        <w:t>:</w:t>
      </w:r>
      <w:r w:rsidRPr="009239AA" w:rsidR="00C14CC4">
        <w:rPr>
          <w:b/>
        </w:rPr>
        <w:t xml:space="preserve">  </w:t>
      </w:r>
    </w:p>
    <w:p w:rsidR="001B0AAA" w:rsidRDefault="001B0AAA"/>
    <w:p w:rsidR="00F9338D" w:rsidP="007411D7" w:rsidRDefault="00F9338D">
      <w:pPr>
        <w:ind w:left="720"/>
      </w:pPr>
      <w:r>
        <w:t xml:space="preserve">This new project request is for the United States Mint’s to conduct a product pricing research study to understand the optimal pricing for the United States Mint product portfolio.  The research aims to answer how individual products should be priced and if the pricing of one product affects demand of another product.  </w:t>
      </w:r>
    </w:p>
    <w:p w:rsidR="00F9338D" w:rsidP="007411D7" w:rsidRDefault="00F9338D">
      <w:pPr>
        <w:ind w:left="720"/>
      </w:pPr>
    </w:p>
    <w:p w:rsidR="00F9338D" w:rsidP="007411D7" w:rsidRDefault="00F9338D">
      <w:pPr>
        <w:ind w:left="720"/>
      </w:pPr>
      <w:r>
        <w:t xml:space="preserve">This study is similar to recent quantitative product assessments the U.S. Mint has undertaken. The results from this survey research project will help understand how current and potential pricing models can contribute to overall demand.    </w:t>
      </w:r>
    </w:p>
    <w:p w:rsidR="00F9338D" w:rsidP="007411D7" w:rsidRDefault="00F9338D">
      <w:pPr>
        <w:ind w:left="720"/>
      </w:pPr>
    </w:p>
    <w:p w:rsidR="00F9338D" w:rsidP="007411D7" w:rsidRDefault="00F9338D">
      <w:pPr>
        <w:ind w:left="720"/>
      </w:pPr>
      <w:r>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Price Elasticity Research Survey is one of these instruments.</w:t>
      </w:r>
    </w:p>
    <w:p w:rsidR="00F9338D" w:rsidP="007411D7" w:rsidRDefault="00F9338D">
      <w:pPr>
        <w:ind w:left="720"/>
      </w:pPr>
    </w:p>
    <w:p w:rsidR="00F9338D" w:rsidP="007411D7" w:rsidRDefault="00F9338D">
      <w:pPr>
        <w:ind w:left="720"/>
      </w:pPr>
      <w:r>
        <w:t xml:space="preserve">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decisions in the absence of reliable data-based information is likely to lead to undesirable outcomes in terms of customer satisfaction and organizational performance. The United States Mint is placing renewed emphasis on </w:t>
      </w:r>
      <w:proofErr w:type="gramStart"/>
      <w:r>
        <w:t>advance</w:t>
      </w:r>
      <w:proofErr w:type="gramEnd"/>
      <w:r>
        <w:t xml:space="preserve"> testing of new product concepts and changes to existing products to inform our decision making and improve customer and operational outcomes.</w:t>
      </w:r>
    </w:p>
    <w:p w:rsidR="00F9338D" w:rsidP="007411D7" w:rsidRDefault="00F9338D">
      <w:pPr>
        <w:ind w:left="720"/>
      </w:pPr>
    </w:p>
    <w:p w:rsidR="00C8488C" w:rsidP="007411D7" w:rsidRDefault="00F9338D">
      <w:pPr>
        <w:ind w:left="720"/>
      </w:pPr>
      <w:r>
        <w:t xml:space="preserve">The consequences of not performing this ad hoc survey are the United States Mint’s diminished ability to produce and offer core collectible coin products that the public is interested in at an optimal price that satisfies customers.  </w:t>
      </w:r>
    </w:p>
    <w:p w:rsidR="00C8488C" w:rsidRDefault="00C8488C"/>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E0AC9" w:rsidP="00434E33" w:rsidRDefault="007E0AC9">
      <w:pPr>
        <w:pStyle w:val="Header"/>
        <w:tabs>
          <w:tab w:val="clear" w:pos="4320"/>
          <w:tab w:val="clear" w:pos="8640"/>
        </w:tabs>
        <w:rPr>
          <w:b/>
        </w:rPr>
      </w:pPr>
    </w:p>
    <w:p w:rsidR="007411D7" w:rsidP="00434E33" w:rsidRDefault="007411D7">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lastRenderedPageBreak/>
        <w:t>DESCRIPTION OF RESPONDENTS</w:t>
      </w:r>
      <w:r>
        <w:t xml:space="preserve">: </w:t>
      </w:r>
    </w:p>
    <w:p w:rsidR="00C8488C" w:rsidRDefault="00C8488C"/>
    <w:p w:rsidR="00B238BE" w:rsidP="00B238BE" w:rsidRDefault="00B238BE">
      <w:pPr>
        <w:ind w:left="720"/>
      </w:pPr>
      <w:r>
        <w:t>Two types of respondents:</w:t>
      </w:r>
    </w:p>
    <w:p w:rsidR="00B238BE" w:rsidP="00B238BE" w:rsidRDefault="00B238BE">
      <w:pPr>
        <w:ind w:left="720"/>
      </w:pPr>
    </w:p>
    <w:p w:rsidR="00B238BE" w:rsidP="00B238BE" w:rsidRDefault="00B238BE">
      <w:pPr>
        <w:ind w:left="720"/>
      </w:pPr>
      <w:r>
        <w:t xml:space="preserve">U.S. Mint Customers with past 2-year purchase of the core products to be tested -- annual proof sets, silver proof sets, uncirculated sets, and American Eagle Silver proof and uncirculated coins.  </w:t>
      </w:r>
    </w:p>
    <w:p w:rsidR="00B238BE" w:rsidP="00B238BE" w:rsidRDefault="00B238BE">
      <w:pPr>
        <w:ind w:left="720"/>
      </w:pPr>
    </w:p>
    <w:p w:rsidR="00434E33" w:rsidP="00B238BE" w:rsidRDefault="00B238BE">
      <w:pPr>
        <w:ind w:left="720"/>
      </w:pPr>
      <w:r>
        <w:t xml:space="preserve">Non-Customers screened to ensure they have at least some interest in purchasing collectible coins from any source.  </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sidR="007411D7">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7411D7">
        <w:rPr>
          <w:bCs/>
          <w:sz w:val="24"/>
        </w:rPr>
        <w:t>[</w:t>
      </w:r>
      <w:r w:rsidR="007411D7">
        <w:rPr>
          <w:bCs/>
          <w:sz w:val="24"/>
        </w:rPr>
        <w:t>X]</w:t>
      </w:r>
      <w:r w:rsidR="00F06866">
        <w:rPr>
          <w:bCs/>
          <w:sz w:val="24"/>
        </w:rPr>
        <w:t xml:space="preserve"> Other:</w:t>
      </w:r>
      <w:r w:rsidRPr="00B238BE" w:rsidR="00F06866">
        <w:rPr>
          <w:bCs/>
          <w:sz w:val="24"/>
          <w:u w:val="single"/>
        </w:rPr>
        <w:t xml:space="preserve"> __</w:t>
      </w:r>
      <w:r w:rsidRPr="00B238BE" w:rsidR="00B238BE">
        <w:rPr>
          <w:rFonts w:cs="Arial"/>
          <w:smallCaps/>
          <w:szCs w:val="24"/>
        </w:rPr>
        <w:t>Pricing Elasticity survey__</w:t>
      </w:r>
      <w:r w:rsidRPr="00F06866" w:rsidR="00B238BE">
        <w:rPr>
          <w:bCs/>
          <w:sz w:val="24"/>
          <w:u w:val="single"/>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00B238BE">
        <w:t xml:space="preserve">  </w:t>
      </w:r>
    </w:p>
    <w:p w:rsidR="00B238BE" w:rsidP="009C13B9" w:rsidRDefault="00B238BE"/>
    <w:p w:rsidR="00B238BE" w:rsidP="00B238BE" w:rsidRDefault="00B238BE">
      <w:pPr>
        <w:ind w:firstLine="720"/>
      </w:pPr>
      <w:r>
        <w:t>Manoj Pillai</w:t>
      </w:r>
    </w:p>
    <w:p w:rsidR="00B238BE" w:rsidP="00B238BE" w:rsidRDefault="00B238BE">
      <w:r>
        <w:tab/>
        <w:t>202-354-7255</w:t>
      </w:r>
    </w:p>
    <w:p w:rsidR="00B238BE" w:rsidP="00B238BE" w:rsidRDefault="00B238BE">
      <w:r>
        <w:tab/>
      </w:r>
      <w:hyperlink w:history="1" r:id="rId7">
        <w:r w:rsidRPr="00CA4FF4">
          <w:rPr>
            <w:rStyle w:val="Hyperlink"/>
          </w:rPr>
          <w:t>Manoj.pillai@usmint.treas.gov</w:t>
        </w:r>
      </w:hyperlink>
    </w:p>
    <w:p w:rsidR="00B238BE" w:rsidP="009C13B9" w:rsidRDefault="00B238BE"/>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xml:space="preserve">[  ] Yes  [ </w:t>
      </w:r>
      <w:r w:rsidR="00B238BE">
        <w:t xml:space="preserve">X </w:t>
      </w:r>
      <w:r w:rsidR="009239AA">
        <w:t xml:space="preserve">]  No </w:t>
      </w:r>
    </w:p>
    <w:p w:rsidR="00C86E91" w:rsidP="00C86E91" w:rsidRDefault="009C13B9">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B238BE">
        <w:t>X</w:t>
      </w:r>
      <w:r w:rsidR="009239AA">
        <w:t xml:space="preserve"> ] No</w:t>
      </w:r>
      <w:r w:rsidR="00C86E91">
        <w:t xml:space="preserve">   </w:t>
      </w:r>
    </w:p>
    <w:p w:rsidR="00C86E91" w:rsidP="00C86E91" w:rsidRDefault="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w:t>
      </w:r>
      <w:r w:rsidR="00B238BE">
        <w:t xml:space="preserve"> </w:t>
      </w:r>
      <w:r>
        <w:t>] Yes  [</w:t>
      </w:r>
      <w:r w:rsidR="00B238BE">
        <w:t xml:space="preserve"> </w:t>
      </w:r>
      <w:r>
        <w:t>]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w:t>
      </w:r>
      <w:proofErr w:type="gramStart"/>
      <w:r>
        <w:t xml:space="preserve">[ </w:t>
      </w:r>
      <w:r w:rsidR="00B238BE">
        <w:t>X</w:t>
      </w:r>
      <w:proofErr w:type="gramEnd"/>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57"/>
      </w:tblGrid>
      <w:tr w:rsidR="00EF2095" w:rsidTr="009E638D">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57" w:type="dxa"/>
          </w:tcPr>
          <w:p w:rsidRPr="0001027E" w:rsidR="006832D9" w:rsidP="00843796" w:rsidRDefault="006832D9">
            <w:pPr>
              <w:rPr>
                <w:b/>
              </w:rPr>
            </w:pPr>
            <w:r w:rsidRPr="0001027E">
              <w:rPr>
                <w:b/>
              </w:rPr>
              <w:t>Burden</w:t>
            </w:r>
          </w:p>
        </w:tc>
      </w:tr>
      <w:tr w:rsidR="00EF2095" w:rsidTr="009E638D">
        <w:trPr>
          <w:trHeight w:val="274"/>
        </w:trPr>
        <w:tc>
          <w:tcPr>
            <w:tcW w:w="5418" w:type="dxa"/>
          </w:tcPr>
          <w:p w:rsidR="006832D9" w:rsidP="00843796" w:rsidRDefault="009E638D">
            <w:r>
              <w:t>Customer</w:t>
            </w:r>
          </w:p>
        </w:tc>
        <w:tc>
          <w:tcPr>
            <w:tcW w:w="1530" w:type="dxa"/>
          </w:tcPr>
          <w:p w:rsidR="006832D9" w:rsidP="00843796" w:rsidRDefault="009E638D">
            <w:r>
              <w:t>7,500</w:t>
            </w:r>
          </w:p>
        </w:tc>
        <w:tc>
          <w:tcPr>
            <w:tcW w:w="1710" w:type="dxa"/>
          </w:tcPr>
          <w:p w:rsidR="006832D9" w:rsidP="00843796" w:rsidRDefault="009E638D">
            <w:r>
              <w:t>15 minutes</w:t>
            </w:r>
          </w:p>
        </w:tc>
        <w:tc>
          <w:tcPr>
            <w:tcW w:w="1057" w:type="dxa"/>
          </w:tcPr>
          <w:p w:rsidR="006832D9" w:rsidP="009E638D" w:rsidRDefault="009E638D">
            <w:r>
              <w:t xml:space="preserve">1875 </w:t>
            </w:r>
            <w:proofErr w:type="spellStart"/>
            <w:r>
              <w:t>hrs</w:t>
            </w:r>
            <w:proofErr w:type="spellEnd"/>
          </w:p>
        </w:tc>
      </w:tr>
      <w:tr w:rsidR="00EF2095" w:rsidTr="009E638D">
        <w:trPr>
          <w:trHeight w:val="274"/>
        </w:trPr>
        <w:tc>
          <w:tcPr>
            <w:tcW w:w="5418" w:type="dxa"/>
          </w:tcPr>
          <w:p w:rsidR="006832D9" w:rsidP="00843796" w:rsidRDefault="009E638D">
            <w:r>
              <w:t>Non-customer</w:t>
            </w:r>
          </w:p>
        </w:tc>
        <w:tc>
          <w:tcPr>
            <w:tcW w:w="1530" w:type="dxa"/>
          </w:tcPr>
          <w:p w:rsidR="006832D9" w:rsidP="00843796" w:rsidRDefault="009E638D">
            <w:r>
              <w:t>7,500</w:t>
            </w:r>
          </w:p>
        </w:tc>
        <w:tc>
          <w:tcPr>
            <w:tcW w:w="1710" w:type="dxa"/>
          </w:tcPr>
          <w:p w:rsidR="006832D9" w:rsidP="00843796" w:rsidRDefault="009E638D">
            <w:r>
              <w:t>15 minutes</w:t>
            </w:r>
          </w:p>
        </w:tc>
        <w:tc>
          <w:tcPr>
            <w:tcW w:w="1057" w:type="dxa"/>
          </w:tcPr>
          <w:p w:rsidR="006832D9" w:rsidP="00843796" w:rsidRDefault="009E638D">
            <w:r>
              <w:t xml:space="preserve">1875 </w:t>
            </w:r>
            <w:proofErr w:type="spellStart"/>
            <w:r>
              <w:t>hrs</w:t>
            </w:r>
            <w:proofErr w:type="spellEnd"/>
          </w:p>
        </w:tc>
      </w:tr>
      <w:tr w:rsidR="00EF2095" w:rsidTr="009E638D">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E72B39">
            <w:pPr>
              <w:rPr>
                <w:b/>
              </w:rPr>
            </w:pPr>
            <w:r>
              <w:rPr>
                <w:b/>
              </w:rPr>
              <w:t>15000</w:t>
            </w:r>
          </w:p>
        </w:tc>
        <w:tc>
          <w:tcPr>
            <w:tcW w:w="1710" w:type="dxa"/>
          </w:tcPr>
          <w:p w:rsidR="006832D9" w:rsidP="00843796" w:rsidRDefault="006832D9"/>
        </w:tc>
        <w:tc>
          <w:tcPr>
            <w:tcW w:w="1057" w:type="dxa"/>
          </w:tcPr>
          <w:p w:rsidRPr="0001027E" w:rsidR="006832D9" w:rsidP="00843796" w:rsidRDefault="00E72B39">
            <w:pPr>
              <w:rPr>
                <w:b/>
              </w:rPr>
            </w:pPr>
            <w:r>
              <w:rPr>
                <w:b/>
              </w:rPr>
              <w:t>3750</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3A4B8B">
        <w:t>is _</w:t>
      </w:r>
      <w:r w:rsidR="009E638D">
        <w:t>__$253,640</w:t>
      </w:r>
      <w:r w:rsidR="00C86E91">
        <w:t>_</w:t>
      </w:r>
      <w:r w:rsidR="009E638D">
        <w:t>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E638D">
        <w:t xml:space="preserve"> X</w:t>
      </w:r>
      <w:r>
        <w:t xml:space="preserve"> ]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7411D7" w:rsidP="009E638D" w:rsidRDefault="009E638D">
      <w:pPr>
        <w:ind w:left="720"/>
      </w:pPr>
      <w:r>
        <w:t xml:space="preserve">Survey participants will include both U.S. Mint Customers and Non-Customers.  </w:t>
      </w:r>
    </w:p>
    <w:p w:rsidR="007411D7" w:rsidP="009E638D" w:rsidRDefault="007411D7">
      <w:pPr>
        <w:ind w:left="720"/>
      </w:pPr>
    </w:p>
    <w:p w:rsidR="007411D7" w:rsidP="007411D7" w:rsidRDefault="00077893">
      <w:pPr>
        <w:pStyle w:val="ListParagraph"/>
        <w:numPr>
          <w:ilvl w:val="0"/>
          <w:numId w:val="19"/>
        </w:numPr>
      </w:pPr>
      <w:r>
        <w:t xml:space="preserve">U.S. Mint </w:t>
      </w:r>
      <w:r w:rsidR="009E638D">
        <w:t xml:space="preserve">Customers </w:t>
      </w:r>
      <w:r>
        <w:t xml:space="preserve">will be </w:t>
      </w:r>
      <w:r w:rsidR="009E638D">
        <w:t xml:space="preserve">invited to participate in the research will include past 2-year purchasers of the core products to be tested -- annual proof sets, silver proof sets, uncirculated sets, and American Eagle Silver proof and uncirculated coins.  Customers would be invited via an e-mail invitation with names provided by </w:t>
      </w:r>
      <w:r>
        <w:t>the United States Mint customer</w:t>
      </w:r>
      <w:r w:rsidR="009E638D">
        <w:t xml:space="preserve"> database.  </w:t>
      </w:r>
    </w:p>
    <w:p w:rsidR="007411D7" w:rsidP="009E638D" w:rsidRDefault="007411D7">
      <w:pPr>
        <w:ind w:left="720"/>
      </w:pPr>
    </w:p>
    <w:p w:rsidR="009E638D" w:rsidP="007411D7" w:rsidRDefault="009E638D">
      <w:pPr>
        <w:pStyle w:val="ListParagraph"/>
        <w:numPr>
          <w:ilvl w:val="0"/>
          <w:numId w:val="19"/>
        </w:numPr>
      </w:pPr>
      <w:r>
        <w:t xml:space="preserve">We will screen Non-Customers to ensure they have at least some interest in purchasing collectible coins from any source.  </w:t>
      </w:r>
      <w:r w:rsidR="007411D7">
        <w:t xml:space="preserve">Non-Customers will be recruited from consumer Internet panels.  </w:t>
      </w:r>
    </w:p>
    <w:p w:rsidR="009E638D" w:rsidP="009E638D" w:rsidRDefault="009E638D">
      <w:pPr>
        <w:ind w:left="720"/>
      </w:pPr>
    </w:p>
    <w:p w:rsidR="009E638D" w:rsidP="009E638D" w:rsidRDefault="003A4B8B">
      <w:pPr>
        <w:ind w:left="720"/>
      </w:pPr>
      <w:r>
        <w:t>T</w:t>
      </w:r>
      <w:r w:rsidR="009E638D">
        <w:t xml:space="preserve">he survey sample </w:t>
      </w:r>
      <w:r>
        <w:t xml:space="preserve">will be allocated </w:t>
      </w:r>
      <w:r w:rsidR="009E638D">
        <w:t xml:space="preserve">to ensure that the Customers who evaluate each monadic cell are “matched” on key dimensions.  For example, we will control the proportion of Customers allocated to each monadic cell so that we achieve a balance of those who have purchased </w:t>
      </w:r>
      <w:r w:rsidR="007411D7">
        <w:t>United States Mint</w:t>
      </w:r>
      <w:r w:rsidRPr="007411D7" w:rsidR="007411D7">
        <w:t xml:space="preserve"> core products</w:t>
      </w:r>
      <w:r w:rsidR="007411D7">
        <w:t>:  A</w:t>
      </w:r>
      <w:r w:rsidRPr="007411D7" w:rsidR="007411D7">
        <w:t xml:space="preserve">nnual proof sets, </w:t>
      </w:r>
      <w:r w:rsidR="007411D7">
        <w:t>S</w:t>
      </w:r>
      <w:r w:rsidRPr="007411D7" w:rsidR="007411D7">
        <w:t xml:space="preserve">ilver proof sets, </w:t>
      </w:r>
      <w:r w:rsidR="007411D7">
        <w:t>U</w:t>
      </w:r>
      <w:r w:rsidRPr="007411D7" w:rsidR="007411D7">
        <w:t>ncirculated sets, American Eagle Silver proof and American Eagle Silver uncirculated coins</w:t>
      </w:r>
      <w:r w:rsidR="007411D7">
        <w:t xml:space="preserve"> (5 scenarios) </w:t>
      </w:r>
      <w:r>
        <w:t>as well as</w:t>
      </w:r>
      <w:r w:rsidR="007411D7">
        <w:t xml:space="preserve"> those that are consider high / low spenders of United States Mint products</w:t>
      </w:r>
      <w:r w:rsidR="009E638D">
        <w:t xml:space="preserve">.  </w:t>
      </w:r>
      <w:r w:rsidRPr="007411D7" w:rsidR="007411D7">
        <w:t>Similarly, for Non-Customers, the sample will be balanced on age, gender, and income.</w:t>
      </w:r>
    </w:p>
    <w:p w:rsidR="007411D7" w:rsidP="009E638D" w:rsidRDefault="007411D7">
      <w:pPr>
        <w:ind w:left="720"/>
      </w:pPr>
    </w:p>
    <w:p w:rsidR="009E638D" w:rsidP="009E638D" w:rsidRDefault="009E638D">
      <w:pPr>
        <w:ind w:left="720"/>
      </w:pPr>
      <w:r>
        <w:t xml:space="preserve">1,500 Customers and 1,500 Non-Customers for each of the 5 scenarios </w:t>
      </w:r>
      <w:r w:rsidR="007411D7">
        <w:t>will</w:t>
      </w:r>
      <w:r>
        <w:t xml:space="preserve"> be evaluated – requiring </w:t>
      </w:r>
      <w:r w:rsidR="007411D7">
        <w:t xml:space="preserve">a total of </w:t>
      </w:r>
      <w:r>
        <w:t xml:space="preserve">7,500 Customers and 7,500 Non-Customers (across the full set of 5 monadic cells).  </w:t>
      </w:r>
    </w:p>
    <w:p w:rsidR="009E638D" w:rsidP="009E638D" w:rsidRDefault="009E638D">
      <w:pPr>
        <w:ind w:left="720"/>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proofErr w:type="gramStart"/>
      <w:r>
        <w:t xml:space="preserve">[ </w:t>
      </w:r>
      <w:r w:rsidR="009E638D">
        <w:t>X</w:t>
      </w:r>
      <w:proofErr w:type="gramEnd"/>
      <w:r w:rsidR="009E638D">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w:t>
      </w:r>
      <w:r w:rsidR="009E638D">
        <w:t xml:space="preserve">ilitators be used?  [  ] Yes [ X </w:t>
      </w:r>
      <w: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 xml:space="preserve">“Generic </w:t>
      </w:r>
      <w:bookmarkStart w:name="_GoBack" w:id="0"/>
      <w:bookmarkEnd w:id="0"/>
      <w:r w:rsidRPr="00F06866">
        <w:rPr>
          <w:sz w:val="28"/>
        </w:rPr>
        <w:t>Clearance for the Collection of Routine Customer Feedback”</w:t>
      </w:r>
      <w:r>
        <w:rPr>
          <w:sz w:val="28"/>
        </w:rPr>
        <w:t xml:space="preserve"> </w:t>
      </w:r>
    </w:p>
    <w:p w:rsidR="00F24CFC" w:rsidP="00F24CFC" w:rsidRDefault="00DC6A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EF51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lastRenderedPageBreak/>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C1" w:rsidRDefault="003508C1">
      <w:r>
        <w:separator/>
      </w:r>
    </w:p>
  </w:endnote>
  <w:endnote w:type="continuationSeparator" w:id="0">
    <w:p w:rsidR="003508C1" w:rsidRDefault="0035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E0AC9">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C1" w:rsidRDefault="003508C1">
      <w:r>
        <w:separator/>
      </w:r>
    </w:p>
  </w:footnote>
  <w:footnote w:type="continuationSeparator" w:id="0">
    <w:p w:rsidR="003508C1" w:rsidRDefault="0035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4C7079"/>
    <w:multiLevelType w:val="hybridMultilevel"/>
    <w:tmpl w:val="573C2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7893"/>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508C1"/>
    <w:rsid w:val="003A4B8B"/>
    <w:rsid w:val="003D5BBE"/>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E26E4"/>
    <w:rsid w:val="006F3DDE"/>
    <w:rsid w:val="00704678"/>
    <w:rsid w:val="007411D7"/>
    <w:rsid w:val="007425E7"/>
    <w:rsid w:val="007E0AC9"/>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E638D"/>
    <w:rsid w:val="009F5923"/>
    <w:rsid w:val="00A403BB"/>
    <w:rsid w:val="00A674DF"/>
    <w:rsid w:val="00A83AA6"/>
    <w:rsid w:val="00A934D6"/>
    <w:rsid w:val="00AE1809"/>
    <w:rsid w:val="00B238BE"/>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CF7758"/>
    <w:rsid w:val="00D03AD6"/>
    <w:rsid w:val="00D24698"/>
    <w:rsid w:val="00D6383F"/>
    <w:rsid w:val="00DB59D0"/>
    <w:rsid w:val="00DC33D3"/>
    <w:rsid w:val="00DC6AE5"/>
    <w:rsid w:val="00E26329"/>
    <w:rsid w:val="00E40B50"/>
    <w:rsid w:val="00E50293"/>
    <w:rsid w:val="00E65FFC"/>
    <w:rsid w:val="00E72B39"/>
    <w:rsid w:val="00E744EA"/>
    <w:rsid w:val="00E80951"/>
    <w:rsid w:val="00E86CC6"/>
    <w:rsid w:val="00EB56B3"/>
    <w:rsid w:val="00ED6492"/>
    <w:rsid w:val="00EF2095"/>
    <w:rsid w:val="00F06866"/>
    <w:rsid w:val="00F15956"/>
    <w:rsid w:val="00F24CFC"/>
    <w:rsid w:val="00F3170F"/>
    <w:rsid w:val="00F9338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67C93"/>
  <w15:docId w15:val="{76E3AFA1-1F9F-4582-A73A-C001748E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238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oj.pillai@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Scharbrough, Mary</cp:lastModifiedBy>
  <cp:revision>4</cp:revision>
  <cp:lastPrinted>2010-10-04T16:59:00Z</cp:lastPrinted>
  <dcterms:created xsi:type="dcterms:W3CDTF">2020-03-20T20:08:00Z</dcterms:created>
  <dcterms:modified xsi:type="dcterms:W3CDTF">2020-03-20T20:22:00Z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