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540" w:rsidP="006D7540" w:rsidRDefault="00232503" w14:paraId="394033B5" w14:textId="77777777">
      <w:pPr>
        <w:widowControl/>
        <w:jc w:val="center"/>
        <w:rPr>
          <w:b/>
        </w:rPr>
      </w:pPr>
      <w:bookmarkStart w:name="QuickMark" w:id="0"/>
      <w:bookmarkEnd w:id="0"/>
      <w:r w:rsidRPr="00232503">
        <w:rPr>
          <w:b/>
        </w:rPr>
        <w:t>SUPPORTING STATEMENT FOR PAPERWORK REDUCTION ACT 1995:</w:t>
      </w:r>
      <w:r>
        <w:rPr>
          <w:b/>
        </w:rPr>
        <w:t xml:space="preserve"> </w:t>
      </w:r>
    </w:p>
    <w:p w:rsidRPr="00232503" w:rsidR="00232503" w:rsidP="006D7540" w:rsidRDefault="00D53131" w14:paraId="6F0C76A0" w14:textId="77777777">
      <w:pPr>
        <w:widowControl/>
        <w:jc w:val="center"/>
        <w:rPr>
          <w:b/>
        </w:rPr>
      </w:pPr>
      <w:r>
        <w:rPr>
          <w:b/>
        </w:rPr>
        <w:t>INDEPENDENT DISPUTE RESOLUTION PROCESS</w:t>
      </w:r>
    </w:p>
    <w:p w:rsidR="00E812F5" w:rsidP="00E812F5" w:rsidRDefault="00E812F5" w14:paraId="2C87B379" w14:textId="77777777">
      <w:pPr>
        <w:widowControl/>
        <w:rPr>
          <w:b/>
          <w:bCs/>
        </w:rPr>
      </w:pPr>
    </w:p>
    <w:p w:rsidR="00232503" w:rsidP="00386F15" w:rsidRDefault="00232503" w14:paraId="6CFCF89A" w14:textId="4DD62263">
      <w:pPr>
        <w:widowControl/>
        <w:ind w:firstLine="720"/>
      </w:pPr>
      <w:r w:rsidRPr="00232503">
        <w:t>This I</w:t>
      </w:r>
      <w:r w:rsidR="00223C2E">
        <w:t xml:space="preserve">nformation </w:t>
      </w:r>
      <w:r w:rsidRPr="00232503">
        <w:t>C</w:t>
      </w:r>
      <w:r w:rsidR="00223C2E">
        <w:t xml:space="preserve">ollection </w:t>
      </w:r>
      <w:r w:rsidRPr="00232503">
        <w:t>R</w:t>
      </w:r>
      <w:r w:rsidR="00223C2E">
        <w:t>equest (ICR)</w:t>
      </w:r>
      <w:r w:rsidRPr="00232503">
        <w:t xml:space="preserve"> seeks approval of a</w:t>
      </w:r>
      <w:r w:rsidR="006D7540">
        <w:t xml:space="preserve"> new </w:t>
      </w:r>
      <w:r w:rsidRPr="00232503">
        <w:t>control number.</w:t>
      </w:r>
    </w:p>
    <w:p w:rsidR="00FC2F3E" w:rsidP="0058584C" w:rsidRDefault="00FC2F3E" w14:paraId="3FDA2F5F" w14:textId="77777777">
      <w:pPr>
        <w:widowControl/>
      </w:pPr>
    </w:p>
    <w:p w:rsidRPr="009C164D" w:rsidR="00FC2F3E" w:rsidP="0058584C" w:rsidRDefault="00FC2F3E" w14:paraId="30581A11" w14:textId="77777777">
      <w:pPr>
        <w:pStyle w:val="Quick1"/>
        <w:widowControl/>
        <w:numPr>
          <w:ilvl w:val="0"/>
          <w:numId w:val="1"/>
        </w:numPr>
        <w:tabs>
          <w:tab w:val="left" w:pos="-1440"/>
          <w:tab w:val="num" w:pos="720"/>
        </w:tabs>
        <w:rPr>
          <w:b/>
        </w:rPr>
      </w:pPr>
      <w:r w:rsidRPr="009C164D">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E7AF5" w:rsidR="00AE7AF5" w:rsidP="00AE7AF5" w:rsidRDefault="00AE7AF5" w14:paraId="3EECCDC0" w14:textId="77777777">
      <w:pPr>
        <w:widowControl/>
        <w:ind w:left="720"/>
      </w:pPr>
    </w:p>
    <w:p w:rsidR="006F49BC" w:rsidP="006F49BC" w:rsidRDefault="006F49BC" w14:paraId="1D9E14D8" w14:textId="77777777">
      <w:pPr>
        <w:widowControl/>
        <w:ind w:left="720"/>
      </w:pPr>
      <w:r>
        <w:t xml:space="preserve">On December 27, 2020, the Consolidated Appropriations Act, 2021 (CAA), which includes the No Surprises Act, was signed into law.  The No Surprises Act provides </w:t>
      </w:r>
      <w:r w:rsidR="002E4F01">
        <w:t>F</w:t>
      </w:r>
      <w:r>
        <w:t xml:space="preserve">ederal protections against surprise billing and limits out-of-network cost sharing under many of the circumstances in which surprise bills arise most frequently. </w:t>
      </w:r>
    </w:p>
    <w:p w:rsidR="006F49BC" w:rsidP="006F49BC" w:rsidRDefault="006F49BC" w14:paraId="549270FE" w14:textId="77777777">
      <w:pPr>
        <w:widowControl/>
        <w:ind w:left="720"/>
      </w:pPr>
    </w:p>
    <w:p w:rsidR="00C959B3" w:rsidP="00301EA6" w:rsidRDefault="006F49BC" w14:paraId="1105A7E7" w14:textId="32C60ABA">
      <w:pPr>
        <w:widowControl/>
        <w:ind w:left="720"/>
      </w:pPr>
      <w:r>
        <w:t>The CAA added provisions applicable to group health plans and health insurance issuers in the group and individual market</w:t>
      </w:r>
      <w:r w:rsidR="00E60FAD">
        <w:t>s</w:t>
      </w:r>
      <w:r>
        <w:t xml:space="preserve"> in a new Part D of title XXVII of the Public Health Service Act (PHS Act) and also added new provisions to </w:t>
      </w:r>
      <w:r w:rsidR="007C732E">
        <w:t xml:space="preserve">part 7 of the </w:t>
      </w:r>
      <w:r>
        <w:t xml:space="preserve">Employee Retirement Income Security Act (ERISA), and Subchapter B of chapter 100 of the Internal Revenue Code (Code).  Section 102 of the No Surprises Act added Code section 9816, ERISA section 716, and PHS Act section 2799A-1, which contain limitations on cost sharing and requirements for initial payments for emergency services.  Section 103 of the No Surprises Act amended Code section 9816, ERISA section 716, and PHS Act section 2799A-1 to establish a </w:t>
      </w:r>
      <w:r w:rsidR="00C7520D">
        <w:t>F</w:t>
      </w:r>
      <w:r w:rsidR="00F03FB8">
        <w:t>ederal</w:t>
      </w:r>
      <w:r>
        <w:t xml:space="preserve"> independent dispute resolution (</w:t>
      </w:r>
      <w:r w:rsidR="0076038B">
        <w:t>F</w:t>
      </w:r>
      <w:r w:rsidR="00545FAA">
        <w:t xml:space="preserve">ederal </w:t>
      </w:r>
      <w:r>
        <w:t xml:space="preserve">IDR) process that </w:t>
      </w:r>
      <w:r w:rsidR="00923AC3">
        <w:t xml:space="preserve">nonparticipating providers or facilities and group health plans and health </w:t>
      </w:r>
      <w:proofErr w:type="gramStart"/>
      <w:r w:rsidR="00923AC3">
        <w:t>insurance</w:t>
      </w:r>
      <w:proofErr w:type="gramEnd"/>
      <w:r w:rsidR="00923AC3">
        <w:t xml:space="preserve"> issuers in the group and individual market may use following the end of an unsuccessful open negotiation period to determine the out-of-network rate for certain services.  More specifically, the </w:t>
      </w:r>
      <w:r w:rsidR="0076038B">
        <w:t>F</w:t>
      </w:r>
      <w:r w:rsidR="00923AC3">
        <w:t>ederal IDR provisions may be used to determine the out-of-network rate for certain emergency services, nonemergency items and services furnished by nonparticipating providers at participating health care facilities,</w:t>
      </w:r>
      <w:r w:rsidRPr="00575480" w:rsidR="00923AC3">
        <w:t xml:space="preserve"> </w:t>
      </w:r>
      <w:r w:rsidR="00923AC3">
        <w:t>where an All-Payer Model Agreement or specified state law does not apply.</w:t>
      </w:r>
      <w:r>
        <w:t xml:space="preserve">  Section 105 of the No Surprises Act created Code section 9817, ERISA section 717, and PHS Act section 2799A-2 which contain limitations on cost sharing and requirements for initial payments for air ambulance services, and allow plans and issuers and providers of air ambulance services to access the </w:t>
      </w:r>
      <w:r w:rsidR="0076038B">
        <w:t>F</w:t>
      </w:r>
      <w:r w:rsidR="00545FAA">
        <w:t xml:space="preserve">ederal </w:t>
      </w:r>
      <w:r>
        <w:t>IDR process.  CAA provisions that apply to health care providers and facilities, and providers of air ambulance services, such as requirements around cost sharing, prohibitions on balance billing for certain items and services, and requirements related to disclosures about balance billing protections, were added to title XXVII of the PHS Act in a new part E.</w:t>
      </w:r>
      <w:r w:rsidRPr="0005424F" w:rsidR="0005424F">
        <w:t xml:space="preserve"> </w:t>
      </w:r>
    </w:p>
    <w:p w:rsidR="00C959B3" w:rsidP="00301EA6" w:rsidRDefault="00C959B3" w14:paraId="2107046A" w14:textId="77777777">
      <w:pPr>
        <w:widowControl/>
        <w:ind w:left="720"/>
      </w:pPr>
    </w:p>
    <w:p w:rsidR="008E4DC4" w:rsidP="006F49BC" w:rsidRDefault="008859D8" w14:paraId="14A39746" w14:textId="3CA6C965">
      <w:pPr>
        <w:widowControl/>
        <w:ind w:left="720"/>
      </w:pPr>
      <w:r>
        <w:lastRenderedPageBreak/>
        <w:t xml:space="preserve">The OPM interim final rules amend existing 5 CFR 890.114(a) to include references to the </w:t>
      </w:r>
      <w:bookmarkStart w:name="_GoBack" w:id="1"/>
      <w:r w:rsidR="00DF080E">
        <w:t xml:space="preserve">Department of </w:t>
      </w:r>
      <w:bookmarkEnd w:id="1"/>
      <w:r>
        <w:t>Treasury</w:t>
      </w:r>
      <w:r w:rsidR="00DF080E">
        <w:t xml:space="preserve"> (Treasury)</w:t>
      </w:r>
      <w:r>
        <w:t xml:space="preserve">, </w:t>
      </w:r>
      <w:r w:rsidR="00DF080E">
        <w:t>Department of Labor (</w:t>
      </w:r>
      <w:r>
        <w:t>DOL</w:t>
      </w:r>
      <w:r w:rsidR="00DF080E">
        <w:t>)</w:t>
      </w:r>
      <w:r>
        <w:t xml:space="preserve">, and </w:t>
      </w:r>
      <w:r w:rsidRPr="002576E1" w:rsidR="00DF080E">
        <w:t xml:space="preserve">Department of Health and Human Services </w:t>
      </w:r>
      <w:r w:rsidR="00DF080E">
        <w:t>(</w:t>
      </w:r>
      <w:r>
        <w:t>HHS</w:t>
      </w:r>
      <w:r w:rsidR="00DF080E">
        <w:t>)</w:t>
      </w:r>
      <w:r>
        <w:t xml:space="preserve"> interim final rules to clarify that</w:t>
      </w:r>
      <w:r w:rsidRPr="00811422">
        <w:t xml:space="preserve"> </w:t>
      </w:r>
      <w:r>
        <w:t xml:space="preserve">pursuant to 5 U.S.C. 8902(p),  FEHB carriers are also subject to the </w:t>
      </w:r>
      <w:r w:rsidR="0076038B">
        <w:t>F</w:t>
      </w:r>
      <w:r>
        <w:t xml:space="preserve">ederal IDR process set forth in those regulations with respect to an item or service eligible for determination through open negotiation or the </w:t>
      </w:r>
      <w:r w:rsidR="0076038B">
        <w:t>F</w:t>
      </w:r>
      <w:r>
        <w:t xml:space="preserve">ederal IDR process furnished by a carrier offering a health benefits plan in the same manner as those provisions apply to a group health plan or health insurance issuer offering group or individual health insurance coverage, subject to 5 U.S.C. 8902(m)(1) and the provisions of the carrier’s contract. Through new 5 CFR 890.114(d), OPM adopts the Departments’ interim final rules as conformed by terms unique to the FEHB Program.  In 5 CFR 890.114(d), OPM adopts the Departments’ rules as necessary to properly integrate with existing FEHB Program structure and sets forth circumstances in which OPM will enforce these rules as applied to FEHB carriers. The OPM interim final rules require carrier notice to the OPM Director (herein, the Director) of a carrier’s intent to initiate, or receipt of a </w:t>
      </w:r>
      <w:r w:rsidRPr="001C2DA7">
        <w:t xml:space="preserve">provider’s </w:t>
      </w:r>
      <w:r>
        <w:t xml:space="preserve">notice to initiate, the </w:t>
      </w:r>
      <w:r w:rsidR="0076038B">
        <w:t>F</w:t>
      </w:r>
      <w:r>
        <w:t xml:space="preserve">ederal IDR process. The Director will coordinate with the Departments in matters regarding FEHB carriers requiring resolution under the </w:t>
      </w:r>
      <w:r w:rsidR="0076038B">
        <w:t>F</w:t>
      </w:r>
      <w:r>
        <w:t xml:space="preserve">ederal IDR process and with respect to oversight of certified IDR entities’ reports regarding FEHB carriers. </w:t>
      </w:r>
      <w:r w:rsidRPr="00A302DB">
        <w:rPr>
          <w:color w:val="000000"/>
        </w:rPr>
        <w:t xml:space="preserve">As discussed in the July 2021 interim final rule, all out-of-network rate determinations regarding IDR items or services eligible for determination through </w:t>
      </w:r>
      <w:r>
        <w:rPr>
          <w:color w:val="000000"/>
        </w:rPr>
        <w:t xml:space="preserve">open </w:t>
      </w:r>
      <w:r w:rsidRPr="00A302DB">
        <w:rPr>
          <w:color w:val="000000"/>
        </w:rPr>
        <w:t xml:space="preserve">negotiation or the </w:t>
      </w:r>
      <w:r w:rsidR="0076038B">
        <w:rPr>
          <w:color w:val="000000"/>
        </w:rPr>
        <w:t>F</w:t>
      </w:r>
      <w:r w:rsidRPr="00A302DB">
        <w:rPr>
          <w:color w:val="000000"/>
        </w:rPr>
        <w:t xml:space="preserve">ederal IDR process under the No Surprises Act with respect to FEHB plans or carriers that are not resolved by open negotiation are subject to the </w:t>
      </w:r>
      <w:r w:rsidR="0076038B">
        <w:rPr>
          <w:color w:val="000000"/>
        </w:rPr>
        <w:t>F</w:t>
      </w:r>
      <w:r w:rsidRPr="00A302DB">
        <w:rPr>
          <w:color w:val="000000"/>
        </w:rPr>
        <w:t xml:space="preserve">ederal IDR process </w:t>
      </w:r>
      <w:r w:rsidRPr="001C2DA7">
        <w:t>unless OPM contracts with FEHB carriers include terms that adopt state law as governing for this purpose</w:t>
      </w:r>
      <w:r w:rsidRPr="00A302DB">
        <w:rPr>
          <w:color w:val="000000"/>
        </w:rPr>
        <w:t>.</w:t>
      </w:r>
    </w:p>
    <w:p w:rsidR="00535B73" w:rsidP="006F49BC" w:rsidRDefault="00535B73" w14:paraId="29278827" w14:textId="77777777">
      <w:pPr>
        <w:widowControl/>
        <w:ind w:left="720"/>
      </w:pPr>
    </w:p>
    <w:p w:rsidR="00C959B3" w:rsidP="006F49BC" w:rsidRDefault="00C959B3" w14:paraId="62EF04A3" w14:textId="73AF529C">
      <w:pPr>
        <w:widowControl/>
        <w:ind w:left="720"/>
      </w:pPr>
      <w:r>
        <w:t>T</w:t>
      </w:r>
      <w:r w:rsidRPr="00446992">
        <w:t>he Department</w:t>
      </w:r>
      <w:r>
        <w:t>s</w:t>
      </w:r>
      <w:r w:rsidRPr="00446992">
        <w:t xml:space="preserve"> </w:t>
      </w:r>
      <w:r w:rsidR="00530F4E">
        <w:t xml:space="preserve">of Labor, Health and Human Services and the Treasury (Departments) and OPM </w:t>
      </w:r>
      <w:r w:rsidRPr="00446992">
        <w:t>ha</w:t>
      </w:r>
      <w:r>
        <w:t>ve</w:t>
      </w:r>
      <w:r w:rsidRPr="00446992">
        <w:t xml:space="preserve"> </w:t>
      </w:r>
      <w:r>
        <w:t xml:space="preserve">each </w:t>
      </w:r>
      <w:r w:rsidRPr="00446992">
        <w:t>submitted a</w:t>
      </w:r>
      <w:r>
        <w:t xml:space="preserve"> request for a new ICR containing the information collection requirements for the </w:t>
      </w:r>
      <w:r w:rsidR="0076038B">
        <w:t xml:space="preserve">Federal </w:t>
      </w:r>
      <w:r>
        <w:t xml:space="preserve">IDR process created by the No Surprises Act </w:t>
      </w:r>
      <w:r w:rsidR="00B56FAA">
        <w:t xml:space="preserve">to </w:t>
      </w:r>
      <w:r w:rsidRPr="004D794A">
        <w:t xml:space="preserve">be processed as </w:t>
      </w:r>
      <w:r>
        <w:t>an Emergency Clearance Request</w:t>
      </w:r>
      <w:r w:rsidRPr="004D794A">
        <w:t xml:space="preserve"> in accordance with section 5 CFR 1320.13</w:t>
      </w:r>
      <w:r>
        <w:t xml:space="preserve"> of the Paperwork Reduction Act</w:t>
      </w:r>
      <w:r w:rsidRPr="004D794A">
        <w:t>, Emergency Processing.</w:t>
      </w:r>
      <w:r>
        <w:t xml:space="preserve"> </w:t>
      </w:r>
      <w:r w:rsidR="00B86BB4">
        <w:t xml:space="preserve"> </w:t>
      </w:r>
      <w:r>
        <w:t xml:space="preserve">The Emergency processing request under the PRA is being requested on the same basis that good cause was found by the </w:t>
      </w:r>
      <w:r w:rsidR="0016296C">
        <w:t>Departments</w:t>
      </w:r>
      <w:r>
        <w:t xml:space="preserve"> and the OPM to issue </w:t>
      </w:r>
      <w:r w:rsidR="00C236BA">
        <w:t>these interim final rules</w:t>
      </w:r>
      <w:r>
        <w:t>.</w:t>
      </w:r>
      <w:r w:rsidRPr="0095490D">
        <w:t xml:space="preserve"> </w:t>
      </w:r>
      <w:r w:rsidR="00B86BB4">
        <w:t xml:space="preserve"> </w:t>
      </w:r>
      <w:r w:rsidRPr="0095490D">
        <w:t xml:space="preserve">The </w:t>
      </w:r>
      <w:r w:rsidR="0016296C">
        <w:t>Departments</w:t>
      </w:r>
      <w:r w:rsidRPr="0095490D">
        <w:t xml:space="preserve"> and OPM have determined that it would be impracticable and contrary to the public interest to delay putting the provisions in these interim final rules in place until after a full public notice and comment process has been completed.</w:t>
      </w:r>
      <w:r>
        <w:t xml:space="preserve"> </w:t>
      </w:r>
      <w:r w:rsidR="00B86BB4">
        <w:t xml:space="preserve"> </w:t>
      </w:r>
      <w:r w:rsidRPr="006E4896">
        <w:t>Although this effective date may have allowed for the regulations, if promulgated with the full notice and comment rulemaking process, to be applicable in time for the applicability date of the provisions in the No Surprises Act, this timeframe would not provide sufficient time for the regulated entities to implement the requirements.</w:t>
      </w:r>
    </w:p>
    <w:p w:rsidR="00C959B3" w:rsidP="006F49BC" w:rsidRDefault="00C959B3" w14:paraId="76735376" w14:textId="77777777">
      <w:pPr>
        <w:widowControl/>
        <w:ind w:left="720"/>
      </w:pPr>
    </w:p>
    <w:p w:rsidRPr="009C164D" w:rsidR="00FC2F3E" w:rsidP="0058584C" w:rsidRDefault="00FC2F3E" w14:paraId="4155C450" w14:textId="77777777">
      <w:pPr>
        <w:widowControl/>
        <w:tabs>
          <w:tab w:val="left" w:pos="-1440"/>
        </w:tabs>
        <w:ind w:left="720" w:hanging="720"/>
        <w:rPr>
          <w:b/>
        </w:rPr>
      </w:pPr>
      <w:r w:rsidRPr="009C164D">
        <w:rPr>
          <w:b/>
        </w:rPr>
        <w:lastRenderedPageBreak/>
        <w:t>2.</w:t>
      </w:r>
      <w:r w:rsidRPr="009C164D">
        <w:rPr>
          <w:b/>
        </w:rPr>
        <w:tab/>
      </w:r>
      <w:r w:rsidRPr="009C164D">
        <w:rPr>
          <w:b/>
          <w:iCs/>
        </w:rPr>
        <w:t>Indicate how, by whom, and for what purpose the information is to be used.  Except for a new collection, indicate the actual use the agency has made of the information received from the current collection.</w:t>
      </w:r>
    </w:p>
    <w:p w:rsidRPr="009C5D7D" w:rsidR="009C5D7D" w:rsidP="009C5D7D" w:rsidRDefault="009C5D7D" w14:paraId="7B88A2A8" w14:textId="77777777">
      <w:pPr>
        <w:widowControl/>
        <w:ind w:left="720"/>
      </w:pPr>
    </w:p>
    <w:p w:rsidR="00F660FE" w:rsidP="00D31765" w:rsidRDefault="00F660FE" w14:paraId="43D50DAD" w14:textId="4F246D24">
      <w:pPr>
        <w:widowControl/>
        <w:ind w:left="720"/>
      </w:pPr>
      <w:r>
        <w:t>The information</w:t>
      </w:r>
      <w:r w:rsidR="00521530">
        <w:t xml:space="preserve"> requirements of the </w:t>
      </w:r>
      <w:r w:rsidR="00F31514">
        <w:t>interim final rules</w:t>
      </w:r>
      <w:r w:rsidR="00521530">
        <w:t xml:space="preserve"> ha</w:t>
      </w:r>
      <w:r w:rsidR="0005424F">
        <w:t>ve</w:t>
      </w:r>
      <w:r w:rsidR="00521530">
        <w:t xml:space="preserve"> </w:t>
      </w:r>
      <w:r w:rsidR="00A62EC5">
        <w:t xml:space="preserve">10 </w:t>
      </w:r>
      <w:r w:rsidR="00521530">
        <w:t>components, described below.</w:t>
      </w:r>
      <w:r w:rsidR="00D060C8">
        <w:t xml:space="preserve">  </w:t>
      </w:r>
      <w:r w:rsidR="00B66DA1">
        <w:t>8</w:t>
      </w:r>
      <w:r w:rsidR="00D060C8">
        <w:t xml:space="preserve"> of the requirements consist of no</w:t>
      </w:r>
      <w:r w:rsidR="00AA7CF7">
        <w:t xml:space="preserve">tices necessary for the </w:t>
      </w:r>
      <w:r w:rsidR="0076038B">
        <w:t>F</w:t>
      </w:r>
      <w:r w:rsidR="004A3B49">
        <w:t xml:space="preserve">ederal </w:t>
      </w:r>
      <w:r w:rsidR="00AA7CF7">
        <w:t xml:space="preserve">IDR process, </w:t>
      </w:r>
      <w:r w:rsidR="00A62EC5">
        <w:t>2</w:t>
      </w:r>
      <w:r w:rsidR="00541ABA">
        <w:t xml:space="preserve"> </w:t>
      </w:r>
      <w:r w:rsidR="00AA7CF7">
        <w:t xml:space="preserve">of the requirements are associated with the certification of IDR entities, and the remaining requirement is a reporting requirement for </w:t>
      </w:r>
      <w:r w:rsidR="004A3B49">
        <w:t xml:space="preserve">certified </w:t>
      </w:r>
      <w:r w:rsidR="00AA7CF7">
        <w:t>IDR entities.</w:t>
      </w:r>
      <w:r w:rsidR="00B96FD2">
        <w:t xml:space="preserve"> </w:t>
      </w:r>
      <w:r w:rsidR="00530F4E">
        <w:t>These notices also apply to FEHB carriers.</w:t>
      </w:r>
    </w:p>
    <w:p w:rsidR="00F660FE" w:rsidP="00D31765" w:rsidRDefault="00F660FE" w14:paraId="5F7A8F6C" w14:textId="77777777">
      <w:pPr>
        <w:widowControl/>
        <w:ind w:left="720"/>
      </w:pPr>
    </w:p>
    <w:p w:rsidRPr="00530F4E" w:rsidR="00F31514" w:rsidP="00CB52B7" w:rsidRDefault="00F31514" w14:paraId="7BDCF973" w14:textId="437BD166">
      <w:pPr>
        <w:pStyle w:val="ListParagraph"/>
        <w:numPr>
          <w:ilvl w:val="0"/>
          <w:numId w:val="9"/>
        </w:numPr>
        <w:rPr>
          <w:rFonts w:ascii="Calibri" w:hAnsi="Calibri" w:cs="Calibri"/>
          <w:color w:val="1F497D"/>
          <w:sz w:val="22"/>
          <w:szCs w:val="22"/>
        </w:rPr>
      </w:pPr>
      <w:r w:rsidRPr="00530F4E">
        <w:rPr>
          <w:i/>
        </w:rPr>
        <w:t>Open Negotiation Notice</w:t>
      </w:r>
      <w:r>
        <w:t xml:space="preserve">. </w:t>
      </w:r>
      <w:r w:rsidR="00A769E4">
        <w:t xml:space="preserve"> </w:t>
      </w:r>
      <w:r>
        <w:t xml:space="preserve">Before accessing the </w:t>
      </w:r>
      <w:r w:rsidR="0076038B">
        <w:t>F</w:t>
      </w:r>
      <w:r w:rsidR="001D52F1">
        <w:t xml:space="preserve">ederal </w:t>
      </w:r>
      <w:r>
        <w:t xml:space="preserve">IDR process to determine the out-of-network rate for a qualified item or service, the </w:t>
      </w:r>
      <w:r w:rsidR="004E4FC9">
        <w:t>parties</w:t>
      </w:r>
      <w:r>
        <w:t xml:space="preserve"> must engage in a 30-business-day open negotiation period to attempt to reach an agreement regarding the total out-of-network rate (including any cost sharing).  To initiate the open negotiation period, the initiating party must provide notice to the other party within 30 business days of the receipt of initial payment or notice of denial</w:t>
      </w:r>
      <w:r w:rsidR="001D52F1">
        <w:t xml:space="preserve"> of payment for the qualified item or service</w:t>
      </w:r>
      <w:r>
        <w:t xml:space="preserve">. </w:t>
      </w:r>
      <w:r w:rsidR="001D52F1">
        <w:t xml:space="preserve"> </w:t>
      </w:r>
      <w:r w:rsidRPr="00AB679B" w:rsidR="001D52F1">
        <w:t xml:space="preserve">The open negotiation notice must include information sufficient to identify the items </w:t>
      </w:r>
      <w:r w:rsidR="001D52F1">
        <w:t>or</w:t>
      </w:r>
      <w:r w:rsidRPr="00AB679B" w:rsidR="001D52F1">
        <w:t xml:space="preserve"> services subject to negotiation, including the date the item or service was furnished, the </w:t>
      </w:r>
      <w:r w:rsidR="001D52F1">
        <w:t>service</w:t>
      </w:r>
      <w:r w:rsidRPr="00AB679B" w:rsidR="001D52F1">
        <w:t xml:space="preserve"> code, the initial payment amount or </w:t>
      </w:r>
      <w:r w:rsidR="001D52F1">
        <w:t xml:space="preserve">notice of </w:t>
      </w:r>
      <w:r w:rsidRPr="00AB679B" w:rsidR="001D52F1">
        <w:t xml:space="preserve">denial of payment, as applicable, an offer for the </w:t>
      </w:r>
      <w:r w:rsidR="001D52F1">
        <w:t>out-of-network rate</w:t>
      </w:r>
      <w:r w:rsidRPr="00AB679B" w:rsidR="001D52F1">
        <w:t xml:space="preserve">, and contact information </w:t>
      </w:r>
      <w:r w:rsidR="001D52F1">
        <w:t>of</w:t>
      </w:r>
      <w:r w:rsidRPr="00AB679B" w:rsidR="001D52F1">
        <w:t xml:space="preserve"> the party </w:t>
      </w:r>
      <w:r w:rsidR="001D52F1">
        <w:t>sending</w:t>
      </w:r>
      <w:r w:rsidRPr="00AB679B" w:rsidR="001D52F1">
        <w:t xml:space="preserve"> the open negotiation </w:t>
      </w:r>
      <w:r w:rsidR="001D52F1">
        <w:t>notice</w:t>
      </w:r>
      <w:r w:rsidRPr="00AB679B" w:rsidR="001D52F1">
        <w:t xml:space="preserve">.  </w:t>
      </w:r>
      <w:r>
        <w:t xml:space="preserve"> </w:t>
      </w:r>
    </w:p>
    <w:p w:rsidR="00F31514" w:rsidP="0054520F" w:rsidRDefault="00F31514" w14:paraId="675A9B19" w14:textId="77777777">
      <w:pPr>
        <w:widowControl/>
        <w:ind w:left="720"/>
        <w:rPr>
          <w:i/>
        </w:rPr>
      </w:pPr>
    </w:p>
    <w:p w:rsidR="0054520F" w:rsidP="00CB52B7" w:rsidRDefault="0054520F" w14:paraId="19FD04B2" w14:textId="01C34DDC">
      <w:pPr>
        <w:pStyle w:val="ListParagraph"/>
        <w:widowControl/>
        <w:numPr>
          <w:ilvl w:val="0"/>
          <w:numId w:val="9"/>
        </w:numPr>
      </w:pPr>
      <w:r w:rsidRPr="00530F4E">
        <w:rPr>
          <w:i/>
        </w:rPr>
        <w:t xml:space="preserve">Notice of IDR Initiation.  </w:t>
      </w:r>
      <w:r>
        <w:t xml:space="preserve">When the parties do not reach an agreed upon amount for </w:t>
      </w:r>
      <w:r w:rsidR="0091124E">
        <w:t>the out-of-network rate</w:t>
      </w:r>
      <w:r>
        <w:t xml:space="preserve"> by the last day of the open negotiation period, either party may initiate the </w:t>
      </w:r>
      <w:r w:rsidR="0076038B">
        <w:t>F</w:t>
      </w:r>
      <w:r w:rsidR="0091124E">
        <w:t xml:space="preserve">ederal </w:t>
      </w:r>
      <w:r>
        <w:t xml:space="preserve">IDR process by submitting </w:t>
      </w:r>
      <w:r w:rsidR="0091124E">
        <w:t>the Notice of IDR Initiation</w:t>
      </w:r>
      <w:r>
        <w:t xml:space="preserve"> to the other party and to the </w:t>
      </w:r>
      <w:r w:rsidR="0016296C">
        <w:t>Departments</w:t>
      </w:r>
      <w:r w:rsidR="005D184B">
        <w:t xml:space="preserve"> </w:t>
      </w:r>
      <w:r>
        <w:t xml:space="preserve">during the 4-business day period beginning on the </w:t>
      </w:r>
      <w:r w:rsidR="0091124E">
        <w:t>31st business day after the start of the open negotiation period</w:t>
      </w:r>
      <w:r>
        <w:t>.</w:t>
      </w:r>
      <w:r w:rsidRPr="0005424F" w:rsidR="0005424F">
        <w:t xml:space="preserve"> </w:t>
      </w:r>
      <w:r w:rsidR="00625D5E">
        <w:t xml:space="preserve"> </w:t>
      </w:r>
      <w:r w:rsidRPr="0005424F" w:rsidR="0005424F">
        <w:t>An FEHB carrier must in addition notify the Director OPM.</w:t>
      </w:r>
      <w:r w:rsidR="00140A1E">
        <w:t xml:space="preserve"> The Notice of IDR Initiation must include: (1) information sufficient to identify the qualified IDR items or services (and whether the qualified IDR items or services are designated as batched items and services), including the dates and location of the items or services, </w:t>
      </w:r>
      <w:r w:rsidDel="002E38DA" w:rsidR="00140A1E">
        <w:t xml:space="preserve">the type of </w:t>
      </w:r>
      <w:r w:rsidR="00140A1E">
        <w:t xml:space="preserve">qualified IDR </w:t>
      </w:r>
      <w:r w:rsidDel="002E38DA" w:rsidR="00140A1E">
        <w:t>item</w:t>
      </w:r>
      <w:r w:rsidR="00140A1E">
        <w:t>s</w:t>
      </w:r>
      <w:r w:rsidDel="002E38DA" w:rsidR="00140A1E">
        <w:t xml:space="preserve"> or service</w:t>
      </w:r>
      <w:r w:rsidR="00140A1E">
        <w:t>s</w:t>
      </w:r>
      <w:r w:rsidDel="002E38DA" w:rsidR="00140A1E">
        <w:t xml:space="preserve"> (such as emergency services, post-stabilization services, professional services, hospital-based services), </w:t>
      </w:r>
      <w:r w:rsidR="00140A1E">
        <w:t xml:space="preserve">corresponding service and place-of-service codes, the amount of cost sharing allowed and the amount of the initial payment made by the plan or issuer for the qualified IDR items or services, if applicable; (2) the names and contact information of the parties involved, including email addresses, phone numbers, and mailing addresses; (3) the state where the qualified IDR items or services were furnished; (4) the commencement date of the open negotiation period; (5) the preferred certified IDR entity; (6) an attestation that the items or services are </w:t>
      </w:r>
      <w:r w:rsidR="00140A1E">
        <w:lastRenderedPageBreak/>
        <w:t xml:space="preserve">qualified IDR items and services within the scope of the </w:t>
      </w:r>
      <w:r w:rsidR="0076038B">
        <w:t xml:space="preserve">Federal </w:t>
      </w:r>
      <w:r w:rsidR="00140A1E">
        <w:t xml:space="preserve">IDR process; (7) the qualifying payment amount (QPA); (8) information about the QPA as described in </w:t>
      </w:r>
      <w:r w:rsidRPr="73FDDBD8" w:rsidR="00140A1E">
        <w:t>26 CFR 54.9816-6T(</w:t>
      </w:r>
      <w:r w:rsidR="00140A1E">
        <w:t>f</w:t>
      </w:r>
      <w:r w:rsidRPr="73FDDBD8" w:rsidR="00140A1E">
        <w:t>)</w:t>
      </w:r>
      <w:r w:rsidR="00140A1E">
        <w:t>(1)(v)(C)</w:t>
      </w:r>
      <w:r w:rsidRPr="73FDDBD8" w:rsidR="00140A1E">
        <w:t>, 29 CFR 2590.716-6(</w:t>
      </w:r>
      <w:r w:rsidR="00140A1E">
        <w:t>f</w:t>
      </w:r>
      <w:r w:rsidRPr="73FDDBD8" w:rsidR="00140A1E">
        <w:t>)</w:t>
      </w:r>
      <w:r w:rsidR="00140A1E">
        <w:t>(1)(v)(C)</w:t>
      </w:r>
      <w:r w:rsidRPr="73FDDBD8" w:rsidR="00140A1E">
        <w:t xml:space="preserve">, and </w:t>
      </w:r>
      <w:r w:rsidR="00140A1E">
        <w:t xml:space="preserve">45 CFR </w:t>
      </w:r>
      <w:r w:rsidRPr="00AB679B" w:rsidR="00140A1E">
        <w:t>149.140</w:t>
      </w:r>
      <w:r w:rsidRPr="73FDDBD8" w:rsidR="00140A1E">
        <w:t>(</w:t>
      </w:r>
      <w:r w:rsidR="00140A1E">
        <w:t>f</w:t>
      </w:r>
      <w:r w:rsidRPr="73FDDBD8" w:rsidR="00140A1E">
        <w:t>)</w:t>
      </w:r>
      <w:r w:rsidR="00140A1E">
        <w:t>(1)(v)(C)</w:t>
      </w:r>
      <w:r w:rsidRPr="00AB679B" w:rsidR="00140A1E">
        <w:t>;</w:t>
      </w:r>
      <w:r w:rsidR="00140A1E">
        <w:rPr>
          <w:rStyle w:val="FootnoteReference"/>
        </w:rPr>
        <w:footnoteReference w:id="2"/>
      </w:r>
      <w:r w:rsidRPr="00AB679B" w:rsidR="00140A1E">
        <w:t xml:space="preserve"> and (</w:t>
      </w:r>
      <w:r w:rsidR="00140A1E">
        <w:t>9</w:t>
      </w:r>
      <w:r w:rsidRPr="00AB679B" w:rsidR="00140A1E">
        <w:t xml:space="preserve">) general information describing the </w:t>
      </w:r>
      <w:r w:rsidR="0076038B">
        <w:t>F</w:t>
      </w:r>
      <w:r w:rsidRPr="00AB679B" w:rsidR="00140A1E">
        <w:t>ederal IDR process</w:t>
      </w:r>
      <w:r w:rsidR="00140A1E">
        <w:t>.</w:t>
      </w:r>
    </w:p>
    <w:p w:rsidR="0054520F" w:rsidP="0054520F" w:rsidRDefault="0054520F" w14:paraId="1AA9E8BF" w14:textId="77777777">
      <w:pPr>
        <w:widowControl/>
        <w:rPr>
          <w:i/>
        </w:rPr>
      </w:pPr>
    </w:p>
    <w:p w:rsidR="00A97C70" w:rsidP="00A97C70" w:rsidRDefault="00A97C70" w14:paraId="40359D4A" w14:textId="15EA68B7">
      <w:pPr>
        <w:pStyle w:val="ListParagraph"/>
        <w:widowControl/>
        <w:numPr>
          <w:ilvl w:val="0"/>
          <w:numId w:val="9"/>
        </w:numPr>
      </w:pPr>
      <w:r w:rsidRPr="00A97C70">
        <w:rPr>
          <w:i/>
        </w:rPr>
        <w:t xml:space="preserve">Notice of Certified IDR Entity Selection.  </w:t>
      </w:r>
      <w:r>
        <w:t xml:space="preserve">The parties to the </w:t>
      </w:r>
      <w:r w:rsidR="00AE703C">
        <w:t>F</w:t>
      </w:r>
      <w:r>
        <w:t>ederal IDR process may jointly select a certified IDR entity</w:t>
      </w:r>
      <w:r w:rsidRPr="00D122FC">
        <w:t xml:space="preserve"> </w:t>
      </w:r>
      <w:r>
        <w:t xml:space="preserve">not later than 3 business days following the date of initiation of the </w:t>
      </w:r>
      <w:r w:rsidR="0076038B">
        <w:t xml:space="preserve">Federal </w:t>
      </w:r>
      <w:r>
        <w:t xml:space="preserve">IDR process.  The initiating party must notify the Departments by electronically submitting the notice of the certified IDR entity selection or failure to select (as applicable), no later than 1 business day after the end of the 3-business-day period (or, in other words, 4 business days after the date of initiation of the </w:t>
      </w:r>
      <w:r w:rsidR="0076038B">
        <w:t>F</w:t>
      </w:r>
      <w:r>
        <w:t xml:space="preserve">ederal IDR process) through the </w:t>
      </w:r>
      <w:r w:rsidR="0076038B">
        <w:t>F</w:t>
      </w:r>
      <w:r>
        <w:t xml:space="preserve">ederal IDR portal. </w:t>
      </w:r>
      <w:r w:rsidRPr="0039182D">
        <w:t>In addition,</w:t>
      </w:r>
      <w:r>
        <w:t xml:space="preserve"> in instances where </w:t>
      </w:r>
      <w:r w:rsidRPr="0039182D">
        <w:t xml:space="preserve">the non-initiating party believes that the </w:t>
      </w:r>
      <w:r w:rsidR="0076038B">
        <w:t>F</w:t>
      </w:r>
      <w:r w:rsidRPr="0039182D">
        <w:t xml:space="preserve">ederal IDR process is not applicable, they must </w:t>
      </w:r>
      <w:r>
        <w:t xml:space="preserve">notify the Departments through the </w:t>
      </w:r>
      <w:r w:rsidR="0076038B">
        <w:t xml:space="preserve">Federal </w:t>
      </w:r>
      <w:r>
        <w:t xml:space="preserve">IDR portal on the same timeframe that the notice of selection (or failure to select) is required and </w:t>
      </w:r>
      <w:r w:rsidRPr="0039182D">
        <w:t xml:space="preserve">provide information </w:t>
      </w:r>
      <w:r>
        <w:t>regarding</w:t>
      </w:r>
      <w:r w:rsidRPr="0039182D">
        <w:t xml:space="preserve"> </w:t>
      </w:r>
      <w:r>
        <w:t>the lack of applicability</w:t>
      </w:r>
      <w:r w:rsidRPr="0039182D">
        <w:t>.</w:t>
      </w:r>
      <w:r>
        <w:t xml:space="preserve"> If the parties have agreed on a certified IDR entity, the notice of the certified IDR entity selection must include the following information: (1) the name of the certified IDR entity; (2) </w:t>
      </w:r>
      <w:r w:rsidRPr="00A17FF1">
        <w:t>the certified IDR entity</w:t>
      </w:r>
      <w:r>
        <w:t xml:space="preserve"> number</w:t>
      </w:r>
      <w:r w:rsidRPr="00A17FF1">
        <w:t>;</w:t>
      </w:r>
      <w:r>
        <w:t xml:space="preserve"> and (3) </w:t>
      </w:r>
      <w:r w:rsidRPr="00A17FF1">
        <w:t>an attestation by both parties</w:t>
      </w:r>
      <w:r w:rsidRPr="00C41432">
        <w:t xml:space="preserve"> </w:t>
      </w:r>
      <w:r>
        <w:t xml:space="preserve">(or by the initiating party if the other party did not respond) </w:t>
      </w:r>
      <w:r w:rsidRPr="00A17FF1">
        <w:t xml:space="preserve">that the selected certified IDR entity </w:t>
      </w:r>
      <w:r>
        <w:t>does not</w:t>
      </w:r>
      <w:r w:rsidRPr="00A17FF1">
        <w:t xml:space="preserve"> have a conflict of interest.</w:t>
      </w:r>
      <w:r>
        <w:t xml:space="preserve">  </w:t>
      </w:r>
    </w:p>
    <w:p w:rsidR="0054520F" w:rsidP="0054520F" w:rsidRDefault="0054520F" w14:paraId="174A7113" w14:textId="77777777">
      <w:pPr>
        <w:widowControl/>
        <w:ind w:left="720"/>
        <w:rPr>
          <w:i/>
        </w:rPr>
      </w:pPr>
    </w:p>
    <w:p w:rsidRPr="00D577F6" w:rsidR="00254A41" w:rsidP="00254A41" w:rsidRDefault="00254A41" w14:paraId="1B4BBD1A" w14:textId="4B4FA76F">
      <w:pPr>
        <w:pStyle w:val="ListParagraph"/>
        <w:widowControl/>
        <w:numPr>
          <w:ilvl w:val="0"/>
          <w:numId w:val="9"/>
        </w:numPr>
      </w:pPr>
      <w:r w:rsidRPr="00254A41">
        <w:rPr>
          <w:i/>
        </w:rPr>
        <w:t>Notice of Agreement on an Out-of-Network Rate.</w:t>
      </w:r>
      <w:r w:rsidRPr="00B448F1">
        <w:t xml:space="preserve"> </w:t>
      </w:r>
      <w:r>
        <w:t xml:space="preserve">If the parties to the </w:t>
      </w:r>
      <w:r w:rsidR="0076038B">
        <w:t>F</w:t>
      </w:r>
      <w:r>
        <w:t xml:space="preserve">ederal IDR process agree on an out-of-network rate for a qualified IDR item or service after providing a Notice of IDR Initiation to the Departments, but before the certified IDR entity has made its </w:t>
      </w:r>
      <w:r w:rsidR="000575A8">
        <w:t>payment determination</w:t>
      </w:r>
      <w:r>
        <w:t>, the initiating party must send a notification to the Departments</w:t>
      </w:r>
      <w:r w:rsidRPr="00BC50BB">
        <w:t xml:space="preserve"> </w:t>
      </w:r>
      <w:r>
        <w:t xml:space="preserve">and to the certified IDR entity (if selected) electronically in a form and manner specified by the Departments in guidance, such as through the </w:t>
      </w:r>
      <w:r w:rsidR="0076038B">
        <w:t>F</w:t>
      </w:r>
      <w:r>
        <w:t xml:space="preserve">ederal IDR portal, as soon as possible but no later than 3 business days after the date of the agreement. </w:t>
      </w:r>
      <w:r w:rsidRPr="00242592">
        <w:t xml:space="preserve"> </w:t>
      </w:r>
      <w:r>
        <w:t xml:space="preserve">The notification must include the out-of-network rate </w:t>
      </w:r>
      <w:r w:rsidRPr="00D577F6">
        <w:t xml:space="preserve">(that is, the total payment amount, including both cost sharing and the total plan or coverage payment) and signatures from an authorized signatory for each party.  </w:t>
      </w:r>
    </w:p>
    <w:p w:rsidR="00B448F1" w:rsidP="0054520F" w:rsidRDefault="00B448F1" w14:paraId="4E9C6D91" w14:textId="77777777">
      <w:pPr>
        <w:widowControl/>
        <w:ind w:left="720"/>
        <w:rPr>
          <w:i/>
        </w:rPr>
      </w:pPr>
    </w:p>
    <w:p w:rsidR="00F4209B" w:rsidP="00F4209B" w:rsidRDefault="00E437EF" w14:paraId="771D8922" w14:textId="5CC000FB">
      <w:pPr>
        <w:pStyle w:val="ListParagraph"/>
        <w:widowControl/>
        <w:numPr>
          <w:ilvl w:val="0"/>
          <w:numId w:val="9"/>
        </w:numPr>
      </w:pPr>
      <w:r w:rsidRPr="00F30B34">
        <w:rPr>
          <w:i/>
        </w:rPr>
        <w:t>Notice of Offer.</w:t>
      </w:r>
      <w:r>
        <w:rPr>
          <w:i/>
        </w:rPr>
        <w:t xml:space="preserve">  </w:t>
      </w:r>
      <w:r w:rsidR="00F4209B">
        <w:t xml:space="preserve">Not later than 10 business days after the selection of the certified IDR entity, the plan, issuer, or FEHB carrier and </w:t>
      </w:r>
      <w:r w:rsidRPr="00FA0882" w:rsidR="00F4209B">
        <w:t>the nonparticipating provider</w:t>
      </w:r>
      <w:r w:rsidR="00F4209B">
        <w:t xml:space="preserve"> </w:t>
      </w:r>
      <w:r w:rsidRPr="00FA0882" w:rsidR="00F4209B">
        <w:lastRenderedPageBreak/>
        <w:t>nonparticipating emergency facility</w:t>
      </w:r>
      <w:r w:rsidR="00F4209B">
        <w:t xml:space="preserve"> or provider of air ambulance services must each submit a written offer to the certified IDR entity.  This offer must </w:t>
      </w:r>
      <w:r w:rsidRPr="006A40AA" w:rsidR="00F4209B">
        <w:t>be expressed as both a dollar amount and the corresponding percentage of the</w:t>
      </w:r>
      <w:r w:rsidR="00F4209B">
        <w:t xml:space="preserve"> QPA</w:t>
      </w:r>
      <w:r w:rsidRPr="006A40AA" w:rsidR="00F4209B">
        <w:t xml:space="preserve"> represented by that dollar amount</w:t>
      </w:r>
      <w:r w:rsidR="00F4209B">
        <w:t xml:space="preserve">, to facilitate the certified IDR entity reporting the offer as a percentage of the QPA to the </w:t>
      </w:r>
      <w:r w:rsidRPr="006A40AA" w:rsidR="00F4209B">
        <w:t>Departments. Where</w:t>
      </w:r>
      <w:r w:rsidR="00F4209B">
        <w:t xml:space="preserve"> batched items and services have different QPAs, the parties should provide these different QPAs and may provide different offers for these batched items and services, provided that the same offer should apply for all items and services with the same QPA. Parties to the IDR process must also submit information requested by the certified IDR entity relating to the offer.  This information must, at a minimum, include the information described in 26 CFR 54.9816-8T(c)(4)(i)(A)(</w:t>
      </w:r>
      <w:r w:rsidRPr="00F4209B" w:rsidR="00F4209B">
        <w:rPr>
          <w:i/>
        </w:rPr>
        <w:t>2</w:t>
      </w:r>
      <w:r w:rsidR="00F4209B">
        <w:t>), 29 CFR 2590.716-8(c)(4)(i)(A)(</w:t>
      </w:r>
      <w:r w:rsidRPr="00F4209B" w:rsidR="00F4209B">
        <w:rPr>
          <w:i/>
        </w:rPr>
        <w:t>2</w:t>
      </w:r>
      <w:r w:rsidR="00F4209B">
        <w:t>), and 45 CFR 149.</w:t>
      </w:r>
      <w:r w:rsidRPr="00CD06E2" w:rsidR="00F4209B">
        <w:t>510</w:t>
      </w:r>
      <w:r w:rsidR="00F4209B">
        <w:t>(c)(4)(i)(A)(</w:t>
      </w:r>
      <w:r w:rsidRPr="00F4209B" w:rsidR="00F4209B">
        <w:rPr>
          <w:i/>
        </w:rPr>
        <w:t>2</w:t>
      </w:r>
      <w:r w:rsidR="00F4209B">
        <w:t xml:space="preserve">).  The provider must specify whether the provider practice or organization has fewer than 20 employees, 20 to 50 employees, 51 to 100 employees, 101 to 500 employees, or more than 500 employees.  For facilities, the facility must specify whether the facility has 50 or fewer employees, 51 to 100 employees, 101 to 500 employees, or more than 500 employees. Providers and facilities must also provide </w:t>
      </w:r>
      <w:r w:rsidRPr="00F4209B" w:rsidR="00F4209B">
        <w:rPr>
          <w:color w:val="000000"/>
        </w:rPr>
        <w:t>information on the practice specialty or type, respectively (if applicable</w:t>
      </w:r>
      <w:r w:rsidR="00F4209B">
        <w:t>).  P</w:t>
      </w:r>
      <w:r w:rsidRPr="00A568DC" w:rsidR="00F4209B">
        <w:t>lans and issuers must provide the coverage area of the plan or issuer</w:t>
      </w:r>
      <w:r w:rsidR="00F4209B">
        <w:t xml:space="preserve">, the relevant geographic region for purposes of the QPA, </w:t>
      </w:r>
      <w:r w:rsidRPr="00A568DC" w:rsidR="00F4209B">
        <w:t>and, for group health plans, whether they are fully-insured</w:t>
      </w:r>
      <w:r w:rsidR="00F4209B">
        <w:t>,</w:t>
      </w:r>
      <w:r w:rsidRPr="00A568DC" w:rsidR="00F4209B">
        <w:t xml:space="preserve"> or </w:t>
      </w:r>
      <w:r w:rsidR="00F4209B">
        <w:t xml:space="preserve">partially or fully </w:t>
      </w:r>
      <w:r w:rsidRPr="00A568DC" w:rsidR="00F4209B">
        <w:t>self-insured</w:t>
      </w:r>
      <w:r w:rsidR="00F4209B">
        <w:t xml:space="preserve"> (or</w:t>
      </w:r>
      <w:r w:rsidRPr="00F42F17" w:rsidR="00F4209B">
        <w:t xml:space="preserve"> an FEHB carrier, if the item or service relates to FEHB coverage</w:t>
      </w:r>
      <w:r w:rsidR="00F4209B">
        <w:t>).</w:t>
      </w:r>
      <w:r w:rsidRPr="00F42F17" w:rsidR="00F4209B">
        <w:t xml:space="preserve"> </w:t>
      </w:r>
      <w:r w:rsidR="00F4209B">
        <w:t>Parties may also submit any information relating to the offer submitted by either party except that the information may not include information related to usual and customary charges, the amount that would have been billed if the protections of the No Surprises Act had no</w:t>
      </w:r>
      <w:r w:rsidR="00B65255">
        <w:t>t</w:t>
      </w:r>
      <w:r w:rsidR="00F4209B">
        <w:t xml:space="preserve"> applied, or governmental rates.  The Departments intend for the </w:t>
      </w:r>
      <w:r w:rsidR="0076038B">
        <w:t>F</w:t>
      </w:r>
      <w:r w:rsidR="00F4209B">
        <w:t>ederal IDR portal to collect this information as part of the offer submission process, such that certified IDR entities will not have to directly request this information.</w:t>
      </w:r>
    </w:p>
    <w:p w:rsidR="00EC6C1E" w:rsidP="00EC6C1E" w:rsidRDefault="00EC6C1E" w14:paraId="080FC610" w14:textId="77777777">
      <w:pPr>
        <w:pStyle w:val="ListParagraph"/>
        <w:widowControl/>
        <w:ind w:left="1440"/>
      </w:pPr>
    </w:p>
    <w:p w:rsidRPr="00E9420D" w:rsidR="00EC6C1E" w:rsidP="00EC6C1E" w:rsidRDefault="00EC6C1E" w14:paraId="033F1250" w14:textId="4CF2887B">
      <w:pPr>
        <w:pStyle w:val="ListParagraph"/>
        <w:widowControl/>
        <w:numPr>
          <w:ilvl w:val="0"/>
          <w:numId w:val="9"/>
        </w:numPr>
      </w:pPr>
      <w:r w:rsidRPr="00EC6C1E">
        <w:rPr>
          <w:i/>
        </w:rPr>
        <w:t xml:space="preserve">IDR Payment Determination Notice.  </w:t>
      </w:r>
      <w:r>
        <w:t xml:space="preserve">Not later than 30 business days after the selection of the certified IDR entity, the certified IDR entity must notify the plan, issuer, or FEHB carrier and the provider, facility, or provider of air ambulance services of the selection of the offer and provide the written decision to the parties and the Departments. </w:t>
      </w:r>
      <w:r w:rsidRPr="0086677F">
        <w:t xml:space="preserve">If the certified IDR entity does not choose the offer closest to the qualifying payment amount, the certified IDR entity’s written decision must include an explanation of the credible information that the certified IDR entity determined demonstrated that the </w:t>
      </w:r>
      <w:r w:rsidR="005B6732">
        <w:t>QPA</w:t>
      </w:r>
      <w:r w:rsidR="0021139A">
        <w:t xml:space="preserve"> </w:t>
      </w:r>
      <w:r w:rsidRPr="00EC6C1E">
        <w:rPr>
          <w:iCs/>
        </w:rPr>
        <w:t xml:space="preserve">was materially different </w:t>
      </w:r>
      <w:r w:rsidRPr="0086677F">
        <w:t xml:space="preserve">from the appropriate out-of-network rate, based on </w:t>
      </w:r>
      <w:r>
        <w:t xml:space="preserve">certain allowable considerations outlined in the rules.    </w:t>
      </w:r>
    </w:p>
    <w:p w:rsidR="00773DF7" w:rsidP="00CB52B7" w:rsidRDefault="00773DF7" w14:paraId="429FB323" w14:textId="77777777">
      <w:pPr>
        <w:pStyle w:val="ListParagraph"/>
      </w:pPr>
    </w:p>
    <w:p w:rsidRPr="00F94921" w:rsidR="00F94921" w:rsidP="00F94921" w:rsidRDefault="00F94921" w14:paraId="110D1729" w14:textId="5E4B44D3">
      <w:pPr>
        <w:pStyle w:val="ListParagraph"/>
        <w:numPr>
          <w:ilvl w:val="0"/>
          <w:numId w:val="9"/>
        </w:numPr>
        <w:rPr>
          <w:i/>
        </w:rPr>
      </w:pPr>
      <w:r w:rsidRPr="00F94921">
        <w:rPr>
          <w:i/>
        </w:rPr>
        <w:t xml:space="preserve">Request of Extension of Time Periods for Extenuating Circumstances.  </w:t>
      </w:r>
      <w:r>
        <w:t>T</w:t>
      </w:r>
      <w:r w:rsidRPr="00CB52B7">
        <w:t xml:space="preserve">he time </w:t>
      </w:r>
      <w:r w:rsidRPr="00CB52B7">
        <w:lastRenderedPageBreak/>
        <w:t xml:space="preserve">periods specified in these interim final rules (other than the timing of the payments including, if applicable, to the provider, provider of air ambulance services, or facility) may be extended in the case of extenuating circumstances at the Departments’ discretion on a case-by-case basis if the extension is necessary to address delays due to matters beyond the control of the parties or for good cause.  </w:t>
      </w:r>
      <w:r w:rsidRPr="0039115C">
        <w:t xml:space="preserve">Parties may request an extension by submitting a request for extension due to extenuating circumstances through the </w:t>
      </w:r>
      <w:r w:rsidR="0076038B">
        <w:t>F</w:t>
      </w:r>
      <w:r w:rsidRPr="0039115C">
        <w:t>ederal IDR portal, including an explanation about the extenuating circumstances that require an extension and why the extension is needed.</w:t>
      </w:r>
      <w:r>
        <w:t xml:space="preserve"> T</w:t>
      </w:r>
      <w:r w:rsidRPr="00CB52B7">
        <w:t>he part</w:t>
      </w:r>
      <w:r>
        <w:t>y requesting the extension</w:t>
      </w:r>
      <w:r w:rsidRPr="00CB52B7">
        <w:t xml:space="preserve"> must attest that prompt action will be taken to ensure that the payment determination under this section is made as soon as administratively practicable. </w:t>
      </w:r>
    </w:p>
    <w:p w:rsidR="0054520F" w:rsidP="0054520F" w:rsidRDefault="0054520F" w14:paraId="1D4B2D46" w14:textId="77777777">
      <w:pPr>
        <w:widowControl/>
        <w:ind w:left="720"/>
        <w:rPr>
          <w:i/>
        </w:rPr>
      </w:pPr>
    </w:p>
    <w:p w:rsidRPr="00465D0C" w:rsidR="00F25385" w:rsidP="00F25385" w:rsidRDefault="0054520F" w14:paraId="0970C698" w14:textId="6CBF5449">
      <w:pPr>
        <w:pStyle w:val="ListParagraph"/>
        <w:widowControl/>
        <w:numPr>
          <w:ilvl w:val="0"/>
          <w:numId w:val="9"/>
        </w:numPr>
      </w:pPr>
      <w:r w:rsidRPr="00530F4E">
        <w:rPr>
          <w:i/>
        </w:rPr>
        <w:t xml:space="preserve">IDR Certification.  </w:t>
      </w:r>
      <w:r w:rsidR="00F25385">
        <w:t xml:space="preserve">The </w:t>
      </w:r>
      <w:r w:rsidRPr="006D2E2E" w:rsidR="00F25385">
        <w:t xml:space="preserve">interim final rules provide that an IDR entity must provide written documentation to the Departments that demonstrates the entity satisfies certain standards </w:t>
      </w:r>
      <w:r w:rsidR="00F25385">
        <w:t>and procedures outlined in the</w:t>
      </w:r>
      <w:r w:rsidRPr="006D2E2E" w:rsidR="00F25385">
        <w:t xml:space="preserve"> interim final rules and set forth in guidance issued by the Departments.</w:t>
      </w:r>
      <w:r w:rsidR="00F25385">
        <w:t xml:space="preserve">  The guidance indicates the types of documentation that should be submitted for each certification standard, in what manner they should be submitted, and how the documentation will be reviewed for certification. </w:t>
      </w:r>
      <w:r w:rsidRPr="009D2E7A" w:rsidR="00F25385">
        <w:t>The</w:t>
      </w:r>
      <w:r w:rsidR="00F25385">
        <w:t xml:space="preserve"> required certification documentation will be submitted by IDR entities through an application on the</w:t>
      </w:r>
      <w:r w:rsidRPr="009D2E7A" w:rsidR="00F25385">
        <w:t xml:space="preserve"> </w:t>
      </w:r>
      <w:r w:rsidR="0076038B">
        <w:t>F</w:t>
      </w:r>
      <w:r w:rsidR="00F25385">
        <w:t xml:space="preserve">ederal </w:t>
      </w:r>
      <w:r w:rsidRPr="009D2E7A" w:rsidR="00F25385">
        <w:t>IDR portal.</w:t>
      </w:r>
      <w:r w:rsidR="00F25385">
        <w:t xml:space="preserve">  </w:t>
      </w:r>
      <w:r w:rsidRPr="006D2E2E" w:rsidR="00F25385">
        <w:t xml:space="preserve">An IDR entity that satisfies the standards in the interim final rules and guidance issued by the Departments will be provided a certified IDR entity number and </w:t>
      </w:r>
      <w:r w:rsidR="00F25385">
        <w:t xml:space="preserve">will be </w:t>
      </w:r>
      <w:r w:rsidRPr="006D2E2E" w:rsidR="00F25385">
        <w:t>certified for a 5-year period</w:t>
      </w:r>
      <w:r w:rsidR="00F25385">
        <w:t>. IDR entities will need to be recertified every 5 years.</w:t>
      </w:r>
    </w:p>
    <w:p w:rsidRPr="00465D0C" w:rsidR="006E148A" w:rsidP="00CB52B7" w:rsidRDefault="006E148A" w14:paraId="6EFA1BB3" w14:textId="77777777">
      <w:pPr>
        <w:pStyle w:val="ListParagraph"/>
        <w:widowControl/>
        <w:ind w:left="1440"/>
      </w:pPr>
    </w:p>
    <w:p w:rsidR="0054520F" w:rsidP="00CB52B7" w:rsidRDefault="00F25385" w14:paraId="3BD7A1DA" w14:textId="747CA469">
      <w:pPr>
        <w:pStyle w:val="ListParagraph"/>
        <w:widowControl/>
        <w:numPr>
          <w:ilvl w:val="0"/>
          <w:numId w:val="9"/>
        </w:numPr>
      </w:pPr>
      <w:r w:rsidRPr="00834453">
        <w:rPr>
          <w:i/>
        </w:rPr>
        <w:t>Petition for Denial or Revocation</w:t>
      </w:r>
      <w:r w:rsidRPr="00761CD6">
        <w:t xml:space="preserve">.  </w:t>
      </w:r>
      <w:r>
        <w:t xml:space="preserve">An individual, provider, facility, provider of air ambulance services, plan, issuer, or FEHB carrier may petition for the denial of a certification of an IDR entity or a revocation of a certification of a certified IDR entity for failure to meet the requirements of </w:t>
      </w:r>
      <w:r w:rsidRPr="003B2D41">
        <w:t>Code section 9816</w:t>
      </w:r>
      <w:r>
        <w:t>(c)</w:t>
      </w:r>
      <w:r w:rsidRPr="003B2D41">
        <w:t>, ERISA section 716</w:t>
      </w:r>
      <w:r>
        <w:t>(c)</w:t>
      </w:r>
      <w:r w:rsidRPr="003B2D41">
        <w:t xml:space="preserve">, PHS Act </w:t>
      </w:r>
      <w:r>
        <w:t>section</w:t>
      </w:r>
      <w:r w:rsidRPr="003B2D41">
        <w:t xml:space="preserve"> 2799A-1</w:t>
      </w:r>
      <w:r>
        <w:t xml:space="preserve">(c), or the interim final rules, </w:t>
      </w:r>
      <w:r w:rsidRPr="0073249A">
        <w:t>The petitioner must submit a written petition</w:t>
      </w:r>
      <w:r>
        <w:t xml:space="preserve"> to the Departments</w:t>
      </w:r>
      <w:r w:rsidRPr="0073249A">
        <w:t xml:space="preserve"> that identifies the IDR entity </w:t>
      </w:r>
      <w:r>
        <w:t>seeking certification</w:t>
      </w:r>
      <w:r w:rsidRPr="0073249A">
        <w:t xml:space="preserve"> </w:t>
      </w:r>
      <w:r>
        <w:t xml:space="preserve">or the certified IDR entity </w:t>
      </w:r>
      <w:r w:rsidRPr="0073249A">
        <w:t>that is the subject of the petition and outlines the reason</w:t>
      </w:r>
      <w:r>
        <w:t>s</w:t>
      </w:r>
      <w:r w:rsidRPr="0073249A">
        <w:t xml:space="preserve"> for the petition. The petition must also specify whether the petition seeks denial or revocation of a certification and must be signed by the petitioner. </w:t>
      </w:r>
      <w:r>
        <w:t>The petitioner may use the standard petition notice issued by the Departments and submit</w:t>
      </w:r>
      <w:r w:rsidRPr="0073249A">
        <w:t xml:space="preserve"> any support</w:t>
      </w:r>
      <w:r>
        <w:t>ing</w:t>
      </w:r>
      <w:r w:rsidRPr="0073249A">
        <w:t xml:space="preserve"> documentation </w:t>
      </w:r>
      <w:r>
        <w:t>for</w:t>
      </w:r>
      <w:r w:rsidRPr="0073249A">
        <w:t xml:space="preserve"> consider</w:t>
      </w:r>
      <w:r>
        <w:t>ation</w:t>
      </w:r>
      <w:r w:rsidRPr="0073249A">
        <w:t xml:space="preserve"> by the Departments. </w:t>
      </w:r>
      <w:r>
        <w:t>The Departments will make public the list of IDR entities seeking certification, as well as the list of certified IDR entities, to help facilitate the petition process.</w:t>
      </w:r>
    </w:p>
    <w:p w:rsidR="004C0D42" w:rsidP="00834453" w:rsidRDefault="004C0D42" w14:paraId="6CBC35BF" w14:textId="77777777">
      <w:pPr>
        <w:widowControl/>
      </w:pPr>
    </w:p>
    <w:p w:rsidR="004C0D42" w:rsidP="00CB52B7" w:rsidRDefault="00247331" w14:paraId="6DB35E42" w14:textId="23AB468E">
      <w:pPr>
        <w:pStyle w:val="ListParagraph"/>
        <w:widowControl/>
        <w:numPr>
          <w:ilvl w:val="0"/>
          <w:numId w:val="9"/>
        </w:numPr>
      </w:pPr>
      <w:r>
        <w:rPr>
          <w:i/>
        </w:rPr>
        <w:t>Administrative Fee</w:t>
      </w:r>
      <w:r w:rsidRPr="00834453">
        <w:t>.</w:t>
      </w:r>
      <w:r>
        <w:t xml:space="preserve">  </w:t>
      </w:r>
      <w:r w:rsidR="008B1A0D">
        <w:t xml:space="preserve">Under Code section 9816(c)(8), ERISA section 716(c)(8), PHS Act section 2799A-1(c)(8), and these interim final rules, each party to a </w:t>
      </w:r>
      <w:r w:rsidR="008B1A0D">
        <w:lastRenderedPageBreak/>
        <w:t xml:space="preserve">determination must pay an administrative fee for participating in the Federal IDR process.  </w:t>
      </w:r>
      <w:r w:rsidR="00196B22">
        <w:t>The interim final rules require each party to pay the administrative fee to the certified IDR entity at the time the certified IDR entity is selected, regardless of whether that certified IDR entity was selected by the parties or by the Departments.</w:t>
      </w:r>
    </w:p>
    <w:p w:rsidR="00E651D7" w:rsidP="00834453" w:rsidRDefault="00E651D7" w14:paraId="59309BB6" w14:textId="1CFF1AE3">
      <w:pPr>
        <w:widowControl/>
      </w:pPr>
    </w:p>
    <w:p w:rsidR="00E651D7" w:rsidP="00CB52B7" w:rsidRDefault="00E651D7" w14:paraId="1C13D67D" w14:textId="757A959A">
      <w:pPr>
        <w:pStyle w:val="ListParagraph"/>
        <w:widowControl/>
        <w:numPr>
          <w:ilvl w:val="0"/>
          <w:numId w:val="9"/>
        </w:numPr>
      </w:pPr>
      <w:r>
        <w:rPr>
          <w:i/>
        </w:rPr>
        <w:t>Breach Notification</w:t>
      </w:r>
      <w:r>
        <w:t>.  Following the discovery of a breach of individually-identifiable health information</w:t>
      </w:r>
      <w:r w:rsidR="00A96640">
        <w:t xml:space="preserve"> (IIHI)</w:t>
      </w:r>
      <w:r>
        <w:t xml:space="preserve">, a certified IDR entity must notify </w:t>
      </w:r>
      <w:r w:rsidRPr="0086677F">
        <w:t xml:space="preserve">the provider, </w:t>
      </w:r>
      <w:r>
        <w:t xml:space="preserve">facility, or </w:t>
      </w:r>
      <w:r w:rsidRPr="0086677F">
        <w:t xml:space="preserve">provider of air ambulance services; </w:t>
      </w:r>
      <w:r>
        <w:t>the plan,</w:t>
      </w:r>
      <w:r w:rsidRPr="0086677F">
        <w:t xml:space="preserve"> issuer</w:t>
      </w:r>
      <w:r>
        <w:t xml:space="preserve">, or FEHB carrier; the Departments; and each individual </w:t>
      </w:r>
      <w:r w:rsidRPr="0086677F">
        <w:t xml:space="preserve">whose unsecured IIHI has been, or is reasonably believed to have been, subject to the breach, to the extent possible.  </w:t>
      </w:r>
      <w:r>
        <w:t xml:space="preserve">The notification must include, to the extent possible, the </w:t>
      </w:r>
      <w:r w:rsidRPr="0086677F">
        <w:t>identification of each individual whose unsecured IIHI has been, or is reasonably believed by the certified IDR entity to have been, subject to the breach;</w:t>
      </w:r>
      <w:r>
        <w:t xml:space="preserve"> a </w:t>
      </w:r>
      <w:r w:rsidRPr="0086677F">
        <w:t>brief description of what happened, including the date of the breach and the date of the discovery of the breach, to the extent known;</w:t>
      </w:r>
      <w:r>
        <w:t xml:space="preserve"> a </w:t>
      </w:r>
      <w:r w:rsidRPr="0086677F">
        <w:t>description of the types of unsecured IIHI that were involved in the breach (for example whether full name, social security number, date of birth, home address, account number, diagnosis, disability code, or other types of information were involved);</w:t>
      </w:r>
      <w:r>
        <w:t xml:space="preserve"> a </w:t>
      </w:r>
      <w:r w:rsidRPr="0086677F">
        <w:t>brief description of what the certified IDR entity involved is doing to investigate the breach, to mitigate harm to the affected parties, and to protect against any further breaches;</w:t>
      </w:r>
      <w:r>
        <w:t xml:space="preserve"> and contact </w:t>
      </w:r>
      <w:r w:rsidRPr="0086677F">
        <w:t xml:space="preserve">procedures for individuals to ask questions or learn additional information, which must include a toll-free telephone number, </w:t>
      </w:r>
      <w:r>
        <w:t>email</w:t>
      </w:r>
      <w:r w:rsidRPr="0086677F">
        <w:t xml:space="preserve"> address, website, or postal address.</w:t>
      </w:r>
      <w:r>
        <w:t xml:space="preserve">  </w:t>
      </w:r>
      <w:r w:rsidRPr="0086677F">
        <w:t xml:space="preserve">A certified IDR entity must submit the notification in written form (in clear and understandable language) either on paper or electronically through the Federal IDR portal or electronic mail.  </w:t>
      </w:r>
    </w:p>
    <w:p w:rsidR="005D56BA" w:rsidP="00834453" w:rsidRDefault="005D56BA" w14:paraId="7EB6EC6E" w14:textId="77777777">
      <w:pPr>
        <w:widowControl/>
      </w:pPr>
    </w:p>
    <w:p w:rsidR="005D56BA" w:rsidP="00CB52B7" w:rsidRDefault="00FE1A16" w14:paraId="1FD55736" w14:textId="0C5A7983">
      <w:pPr>
        <w:pStyle w:val="ListParagraph"/>
        <w:widowControl/>
        <w:numPr>
          <w:ilvl w:val="0"/>
          <w:numId w:val="9"/>
        </w:numPr>
      </w:pPr>
      <w:r>
        <w:rPr>
          <w:i/>
        </w:rPr>
        <w:t>Recordkeeping Requirements</w:t>
      </w:r>
      <w:r>
        <w:t xml:space="preserve">.  </w:t>
      </w:r>
      <w:r w:rsidR="00A7734F">
        <w:t xml:space="preserve">A certified IDR entity must maintain records of relevant documentation associated with any Federal IDR process determination for 6 years.  This recordkeeping requirement will help ensure that state and Federal oversight agencies are able to audit past determinations of certified IDR entities and that parties are able to obtain records of the determinations.  </w:t>
      </w:r>
      <w:r w:rsidRPr="007146BE" w:rsidR="00A7734F">
        <w:t xml:space="preserve">Certified IDR entities must make these records available for examination by all parties to the dispute, except when disclosure would violate </w:t>
      </w:r>
      <w:r w:rsidR="00A7734F">
        <w:t>s</w:t>
      </w:r>
      <w:r w:rsidRPr="007146BE" w:rsidR="00A7734F">
        <w:t xml:space="preserve">tate or </w:t>
      </w:r>
      <w:r w:rsidR="00A7734F">
        <w:t>F</w:t>
      </w:r>
      <w:r w:rsidRPr="007146BE" w:rsidR="00A7734F">
        <w:t>ederal privacy laws</w:t>
      </w:r>
      <w:r w:rsidR="00A7734F">
        <w:t xml:space="preserve"> and regulations</w:t>
      </w:r>
      <w:r w:rsidRPr="007146BE" w:rsidR="00A7734F">
        <w:t xml:space="preserve">, as well as </w:t>
      </w:r>
      <w:r w:rsidR="00A7734F">
        <w:t>to</w:t>
      </w:r>
      <w:r w:rsidRPr="007146BE" w:rsidR="00A7734F">
        <w:t xml:space="preserve"> </w:t>
      </w:r>
      <w:r w:rsidR="00A7734F">
        <w:t>s</w:t>
      </w:r>
      <w:r w:rsidRPr="007146BE" w:rsidR="00A7734F">
        <w:t xml:space="preserve">tate or </w:t>
      </w:r>
      <w:r w:rsidR="00A7734F">
        <w:t>F</w:t>
      </w:r>
      <w:r w:rsidRPr="007146BE" w:rsidR="00A7734F">
        <w:t>ederal oversight agencies upon request for oversight purposes.</w:t>
      </w:r>
    </w:p>
    <w:p w:rsidR="006E3C90" w:rsidP="00F25385" w:rsidRDefault="006E3C90" w14:paraId="04840E7D" w14:textId="77777777">
      <w:pPr>
        <w:widowControl/>
        <w:ind w:left="720"/>
        <w:rPr>
          <w:i/>
        </w:rPr>
      </w:pPr>
    </w:p>
    <w:p w:rsidR="0054520F" w:rsidP="00271DF0" w:rsidRDefault="006E3C90" w14:paraId="222B4775" w14:textId="0F6AB4B9">
      <w:pPr>
        <w:pStyle w:val="ListParagraph"/>
        <w:widowControl/>
        <w:numPr>
          <w:ilvl w:val="0"/>
          <w:numId w:val="9"/>
        </w:numPr>
      </w:pPr>
      <w:r w:rsidRPr="006E3C90">
        <w:rPr>
          <w:i/>
        </w:rPr>
        <w:t xml:space="preserve">Monthly IDR Entity Reporting Requirements.  </w:t>
      </w:r>
      <w:r w:rsidRPr="00CB52B7">
        <w:t>Within 30 business days of the close of</w:t>
      </w:r>
      <w:r w:rsidRPr="00CA6132">
        <w:t xml:space="preserve"> each month beginning on or after January 1, 2022, each certified IDR entity </w:t>
      </w:r>
      <w:r>
        <w:t xml:space="preserve">must report certain data and information in a form and manner specified by the Departments.  Certified IDR entities must report the number of Notices of </w:t>
      </w:r>
      <w:r>
        <w:lastRenderedPageBreak/>
        <w:t>IDR Initiation submitted to the certified IDR entity during the preceding month and the number of Notices of IDR Initiation for which the certified IDR entity made a final determination and, in instances where the provider or facility submits the Notice of Initiation, the size of the provider practices or facilities submitting notifications. The certified IDR entity must report the number of written Notice</w:t>
      </w:r>
      <w:r w:rsidR="002E7944">
        <w:t>s</w:t>
      </w:r>
      <w:r>
        <w:t xml:space="preserve"> of IDR Initiation for which a final determination was made by the certified IDR entity.  With respect to each notice of IDR initiation, the certified IDR entity should provide a description of the items and services included with respect to the notification, including the</w:t>
      </w:r>
      <w:r w:rsidRPr="00803F25">
        <w:t xml:space="preserve"> </w:t>
      </w:r>
      <w:r>
        <w:t xml:space="preserve">relevant </w:t>
      </w:r>
      <w:r w:rsidRPr="07121A06">
        <w:t xml:space="preserve">billing </w:t>
      </w:r>
      <w:r>
        <w:t>and</w:t>
      </w:r>
      <w:r w:rsidRPr="07121A06">
        <w:t xml:space="preserve"> </w:t>
      </w:r>
      <w:r>
        <w:t>service</w:t>
      </w:r>
      <w:r w:rsidRPr="07121A06">
        <w:t xml:space="preserve"> codes</w:t>
      </w:r>
      <w:r>
        <w:t xml:space="preserve">.  </w:t>
      </w:r>
      <w:r w:rsidRPr="004366FE">
        <w:t xml:space="preserve">The certified IDR entity must also report the relevant geographic region for purposes of the </w:t>
      </w:r>
      <w:r>
        <w:t>QPA</w:t>
      </w:r>
      <w:r w:rsidRPr="004366FE">
        <w:t xml:space="preserve"> for the </w:t>
      </w:r>
      <w:r>
        <w:t xml:space="preserve">qualified </w:t>
      </w:r>
      <w:r w:rsidRPr="004366FE">
        <w:t>items and services with respect to which the Notice of IDR Initiation was provided.</w:t>
      </w:r>
      <w:r>
        <w:t xml:space="preserve"> Certified IDR entities must also report, for each determination, the offers submitted by the disputing parties expressed as both a dollar amount and </w:t>
      </w:r>
      <w:r w:rsidRPr="006A40AA">
        <w:t xml:space="preserve">the corresponding percentage of the </w:t>
      </w:r>
      <w:r>
        <w:t>QPA</w:t>
      </w:r>
      <w:r w:rsidRPr="006A40AA">
        <w:t xml:space="preserve"> represented by that dollar amount</w:t>
      </w:r>
      <w:r>
        <w:t xml:space="preserve">, and whether the offer selected by the certified IDR entity was submitted by the plan or issuer, or the provider or facility.  Where batched items and services have multiple QPAs, the certified IDR entities must report the offer as a percentage of each QPA that applied with respect to the batched items and services to which the offer applied.  </w:t>
      </w:r>
      <w:r w:rsidRPr="00CB52B7">
        <w:t>The certified IDR entity must report the number of times the out-of-network rate determined exceeded the QPA</w:t>
      </w:r>
      <w:r>
        <w:t>.</w:t>
      </w:r>
      <w:r w:rsidDel="00352921">
        <w:t xml:space="preserve"> </w:t>
      </w:r>
      <w:r>
        <w:t xml:space="preserve"> For each determination, the certified IDR entity must also report the practice specialty or type of each provider or facility involved in furnishing the items and services at issue as well as each party’s name and address.  For each determination, the certified IDR entity must also report the number of </w:t>
      </w:r>
      <w:r w:rsidRPr="00776F25">
        <w:t>business</w:t>
      </w:r>
      <w:r>
        <w:t xml:space="preserve"> days between the selection of the certified IDR entity and the payment determination. Finally, the certified IDR entity must report the total amount of certified IDR entity fees paid to the certified IDR entity during the preceding month.  This total amount of certified IDR entity fees should not include amounts refunded by the certified IDR entity to the prevailing party or the administrative fees that are collected on behalf of the Departments.  </w:t>
      </w:r>
      <w:r w:rsidRPr="00EE4CC0">
        <w:t>With respect to</w:t>
      </w:r>
      <w:r>
        <w:t xml:space="preserve"> claims involving air ambulance services, t</w:t>
      </w:r>
      <w:r w:rsidRPr="00EE4CC0">
        <w:t xml:space="preserve">he </w:t>
      </w:r>
      <w:r w:rsidRPr="00746D75">
        <w:t>certified IDR entity must report the number of written notifications submitted to the certified IDR entity that pertain to air ambulance services during the</w:t>
      </w:r>
      <w:r>
        <w:t xml:space="preserve"> preceding</w:t>
      </w:r>
      <w:r w:rsidRPr="00746D75">
        <w:t xml:space="preserve"> month</w:t>
      </w:r>
      <w:r w:rsidRPr="00EE4CC0">
        <w:t xml:space="preserve">; the number of such notifications with respect to which a final determination was made; the number of times the </w:t>
      </w:r>
      <w:r w:rsidRPr="00746D75">
        <w:t>out-of-network rate determined (or agreed to) exceeded the QPA for air ambulance services</w:t>
      </w:r>
      <w:r w:rsidRPr="00EE4CC0">
        <w:t>; and the total amount of certified IDR</w:t>
      </w:r>
      <w:r>
        <w:t xml:space="preserve">. </w:t>
      </w:r>
      <w:r w:rsidRPr="00746D75">
        <w:t>With respect to each Notice of IDR Initiation, the certified IDR entity must provide a description of each air ambulance service, including the relevant billing and service codes and point of pick-up (as defined in 42 CFR 414.605) for the services included in such notification</w:t>
      </w:r>
      <w:r w:rsidRPr="00EE4CC0">
        <w:t xml:space="preserve">, the amount of the offer submitted by the group health plan, health insurance issuer, or FEHB carrier and by the nonparticipating provider of air ambulance services expressed as a </w:t>
      </w:r>
      <w:r w:rsidRPr="00EE4CC0">
        <w:lastRenderedPageBreak/>
        <w:t xml:space="preserve">percentage of the QPA; whether the offer selected by the certified IDR entity was the offer submitted by </w:t>
      </w:r>
      <w:r w:rsidRPr="00746D75">
        <w:t>the plan or issuer or by the provider of air ambulance services; and the amount of the offer so selected, expressed as a percentage of the QPA</w:t>
      </w:r>
      <w:r>
        <w:t>.</w:t>
      </w:r>
      <w:r w:rsidRPr="00EE4CC0">
        <w:t xml:space="preserve"> </w:t>
      </w:r>
      <w:r>
        <w:t xml:space="preserve">The certified IDR entity must report </w:t>
      </w:r>
      <w:r w:rsidRPr="00EE4CC0">
        <w:t>the rationale for the certified IDR entity’s decision</w:t>
      </w:r>
      <w:r>
        <w:t xml:space="preserve">, </w:t>
      </w:r>
      <w:r w:rsidRPr="00746D75">
        <w:t xml:space="preserve">including the extent to which the decision relied on the criteria listed under 26 CFR 54.9817-2T(b)(2), 29 CFR 2590.717-2(b)(2), and </w:t>
      </w:r>
      <w:r w:rsidRPr="009E4137">
        <w:t xml:space="preserve">45 CFR </w:t>
      </w:r>
      <w:r w:rsidR="00271DF0">
        <w:t>149.520</w:t>
      </w:r>
      <w:r w:rsidRPr="00746D75">
        <w:t>(b)(2)</w:t>
      </w:r>
      <w:r>
        <w:t>.</w:t>
      </w:r>
      <w:r w:rsidRPr="00EE4CC0">
        <w:t xml:space="preserve"> </w:t>
      </w:r>
      <w:r>
        <w:t xml:space="preserve">Additionally, the certified IDR entity must identify </w:t>
      </w:r>
      <w:r w:rsidRPr="00EE4CC0">
        <w:t>the air ambulance vehicle type</w:t>
      </w:r>
      <w:r>
        <w:t>,</w:t>
      </w:r>
      <w:r w:rsidRPr="00055DE3">
        <w:t xml:space="preserve"> </w:t>
      </w:r>
      <w:r w:rsidRPr="00746D75">
        <w:t>including whether the vehicle is fixed wing or rotary wing (information which should be included in the relevant service code), and the clinical capability level of such vehicle (if the parties have provided such information)</w:t>
      </w:r>
      <w:r w:rsidRPr="00EE4CC0">
        <w:t>; the identity of the plan, issuer, carrier, or provider of air ambulance services with respect to such notification</w:t>
      </w:r>
      <w:r>
        <w:t>, providing each party’s name and address</w:t>
      </w:r>
      <w:r w:rsidRPr="00EE4CC0">
        <w:t>; and the number of business days elapsed between selection of the certified IDR entity and the selection of the payment amount by the certified IDR entity.</w:t>
      </w:r>
      <w:r>
        <w:t xml:space="preserve">  </w:t>
      </w:r>
      <w:r w:rsidRPr="00746D75">
        <w:t>Finally, the certified IDR entity must also report the total amount of IDR entity fees paid to the certified IDR entity for the</w:t>
      </w:r>
      <w:r>
        <w:t xml:space="preserve"> preceding</w:t>
      </w:r>
      <w:r w:rsidRPr="00746D75">
        <w:t xml:space="preserve"> month.  This total amount of IDR entity fees should not include amounts refunded by the certified IDR entity to prevailing parties.</w:t>
      </w:r>
      <w:r>
        <w:t xml:space="preserve"> </w:t>
      </w:r>
      <w:r w:rsidR="00906C09">
        <w:t xml:space="preserve"> </w:t>
      </w:r>
      <w:r>
        <w:t xml:space="preserve">The report </w:t>
      </w:r>
      <w:r w:rsidRPr="009D2E7A">
        <w:t xml:space="preserve">will be submitted through </w:t>
      </w:r>
      <w:r>
        <w:t>the</w:t>
      </w:r>
      <w:r w:rsidRPr="009D2E7A">
        <w:t xml:space="preserve"> </w:t>
      </w:r>
      <w:r w:rsidR="0076038B">
        <w:t>F</w:t>
      </w:r>
      <w:r>
        <w:t xml:space="preserve">ederal </w:t>
      </w:r>
      <w:r w:rsidRPr="009D2E7A">
        <w:t>IDR portal</w:t>
      </w:r>
      <w:r>
        <w:t>.  This information is to be processed by the Departments and published on the Departments’ websites for each calendar quarter.</w:t>
      </w:r>
    </w:p>
    <w:p w:rsidR="006E3C90" w:rsidP="00284228" w:rsidRDefault="006E3C90" w14:paraId="1653299B" w14:textId="77777777">
      <w:pPr>
        <w:widowControl/>
        <w:ind w:left="720"/>
        <w:rPr>
          <w:i/>
          <w:iCs/>
          <w:highlight w:val="yellow"/>
        </w:rPr>
      </w:pPr>
    </w:p>
    <w:p w:rsidRPr="00B60E1C" w:rsidR="00FC2F3E" w:rsidP="00B60E1C" w:rsidRDefault="00FC2F3E" w14:paraId="7161191C" w14:textId="77777777">
      <w:pPr>
        <w:pStyle w:val="Quick1"/>
        <w:widowControl/>
        <w:numPr>
          <w:ilvl w:val="0"/>
          <w:numId w:val="6"/>
        </w:numPr>
        <w:tabs>
          <w:tab w:val="left" w:pos="-1440"/>
        </w:tabs>
        <w:rPr>
          <w:b/>
          <w:iCs/>
        </w:rPr>
      </w:pPr>
      <w:r w:rsidRPr="00B60E1C">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C46805" w:rsidP="00C46805" w:rsidRDefault="00C46805" w14:paraId="350D3D8F" w14:textId="77777777">
      <w:pPr>
        <w:pStyle w:val="Quick1"/>
        <w:widowControl/>
        <w:numPr>
          <w:ilvl w:val="0"/>
          <w:numId w:val="0"/>
        </w:numPr>
        <w:tabs>
          <w:tab w:val="left" w:pos="-1440"/>
        </w:tabs>
        <w:ind w:left="720"/>
        <w:rPr>
          <w:b/>
          <w:iCs/>
        </w:rPr>
      </w:pPr>
    </w:p>
    <w:p w:rsidRPr="00F56B85" w:rsidR="00F821F6" w:rsidP="00CD1461" w:rsidRDefault="006C20E4" w14:paraId="57FF707D" w14:textId="264D3DF7">
      <w:pPr>
        <w:widowControl/>
        <w:ind w:left="720"/>
      </w:pPr>
      <w:r w:rsidRPr="006C20E4">
        <w:rPr>
          <w:iCs/>
        </w:rPr>
        <w:t>The</w:t>
      </w:r>
      <w:r w:rsidR="00530F4E">
        <w:rPr>
          <w:iCs/>
        </w:rPr>
        <w:t xml:space="preserve"> interim final rules</w:t>
      </w:r>
      <w:r w:rsidRPr="006C20E4">
        <w:rPr>
          <w:iCs/>
        </w:rPr>
        <w:t xml:space="preserve"> do not restrict plans</w:t>
      </w:r>
      <w:r w:rsidR="0005424F">
        <w:rPr>
          <w:iCs/>
        </w:rPr>
        <w:t>,</w:t>
      </w:r>
      <w:r w:rsidR="00530F4E">
        <w:rPr>
          <w:iCs/>
        </w:rPr>
        <w:t xml:space="preserve"> or</w:t>
      </w:r>
      <w:r w:rsidRPr="006C20E4">
        <w:rPr>
          <w:iCs/>
        </w:rPr>
        <w:t xml:space="preserve"> </w:t>
      </w:r>
      <w:r w:rsidRPr="006C20E4" w:rsidR="00242703">
        <w:rPr>
          <w:iCs/>
        </w:rPr>
        <w:t>issuers,</w:t>
      </w:r>
      <w:r w:rsidR="0005424F">
        <w:rPr>
          <w:iCs/>
        </w:rPr>
        <w:t xml:space="preserve"> </w:t>
      </w:r>
      <w:r w:rsidR="00530F4E">
        <w:rPr>
          <w:iCs/>
        </w:rPr>
        <w:t>(</w:t>
      </w:r>
      <w:r w:rsidR="0005424F">
        <w:rPr>
          <w:iCs/>
        </w:rPr>
        <w:t xml:space="preserve">or </w:t>
      </w:r>
      <w:r w:rsidR="00530F4E">
        <w:rPr>
          <w:iCs/>
        </w:rPr>
        <w:t xml:space="preserve">FEHB </w:t>
      </w:r>
      <w:r w:rsidR="0005424F">
        <w:rPr>
          <w:iCs/>
        </w:rPr>
        <w:t>carriers</w:t>
      </w:r>
      <w:r w:rsidR="00530F4E">
        <w:rPr>
          <w:iCs/>
        </w:rPr>
        <w:t>)</w:t>
      </w:r>
      <w:r w:rsidRPr="006C20E4">
        <w:rPr>
          <w:iCs/>
        </w:rPr>
        <w:t xml:space="preserve"> from using electronic technology to provide </w:t>
      </w:r>
      <w:r w:rsidR="001217D8">
        <w:rPr>
          <w:iCs/>
        </w:rPr>
        <w:t>notices</w:t>
      </w:r>
      <w:r w:rsidRPr="006C20E4">
        <w:rPr>
          <w:iCs/>
        </w:rPr>
        <w:t xml:space="preserve">. </w:t>
      </w:r>
      <w:r w:rsidR="00F821F6">
        <w:rPr>
          <w:iCs/>
        </w:rPr>
        <w:t xml:space="preserve"> </w:t>
      </w:r>
      <w:r w:rsidR="001D7701">
        <w:rPr>
          <w:iCs/>
        </w:rPr>
        <w:t>P</w:t>
      </w:r>
      <w:r w:rsidR="00F821F6">
        <w:rPr>
          <w:iCs/>
        </w:rPr>
        <w:t xml:space="preserve">arties may provide the </w:t>
      </w:r>
      <w:r w:rsidR="000B4300">
        <w:rPr>
          <w:iCs/>
        </w:rPr>
        <w:t xml:space="preserve">Open Negotiation </w:t>
      </w:r>
      <w:r w:rsidR="00342B18">
        <w:rPr>
          <w:iCs/>
        </w:rPr>
        <w:t xml:space="preserve">Notice </w:t>
      </w:r>
      <w:r w:rsidR="00F821F6">
        <w:rPr>
          <w:iCs/>
        </w:rPr>
        <w:t xml:space="preserve">and the </w:t>
      </w:r>
      <w:r w:rsidR="000B4300">
        <w:rPr>
          <w:iCs/>
        </w:rPr>
        <w:t xml:space="preserve">Notice </w:t>
      </w:r>
      <w:r w:rsidR="00F821F6">
        <w:rPr>
          <w:iCs/>
        </w:rPr>
        <w:t xml:space="preserve">of </w:t>
      </w:r>
      <w:r w:rsidR="00F821F6">
        <w:t xml:space="preserve">IDR </w:t>
      </w:r>
      <w:r w:rsidR="000B4300">
        <w:t>Initiation</w:t>
      </w:r>
      <w:r w:rsidR="00F821F6">
        <w:t xml:space="preserve"> to the other party electronically if the initiating party has a good faith belief that the electronic method is readily accessible by the other party, and the notice is provided in paper form free of charge upon request.</w:t>
      </w:r>
      <w:r w:rsidR="00745CF9">
        <w:t xml:space="preserve">  Additionally, many of the requirements described above, including notices, petitions, and reporting will be shared electronically through the IDR portal.</w:t>
      </w:r>
    </w:p>
    <w:p w:rsidR="00FC2F3E" w:rsidP="00F821F6" w:rsidRDefault="00F821F6" w14:paraId="634595E9" w14:textId="77777777">
      <w:pPr>
        <w:widowControl/>
        <w:ind w:left="720"/>
        <w:rPr>
          <w:iCs/>
        </w:rPr>
      </w:pPr>
      <w:r w:rsidRPr="006C20E4" w:rsidDel="00F821F6">
        <w:rPr>
          <w:iCs/>
        </w:rPr>
        <w:t xml:space="preserve"> </w:t>
      </w:r>
    </w:p>
    <w:p w:rsidR="007C286A" w:rsidP="00CD1461" w:rsidRDefault="00F50844" w14:paraId="7F94FECE" w14:textId="4C7054B7">
      <w:pPr>
        <w:pStyle w:val="BodyText"/>
        <w:ind w:left="720"/>
      </w:pPr>
      <w:r w:rsidRPr="00A92375">
        <w:rPr>
          <w:iCs/>
        </w:rPr>
        <w:t xml:space="preserve">The Government Paperwork Elimination Act (GPEA) requires agencies to allow customers the option to submit information or transact with the government electronically, when practicable.  Where feasible, and subject to resource availability and resolution of legal issues, </w:t>
      </w:r>
      <w:r w:rsidR="00530F4E">
        <w:rPr>
          <w:iCs/>
        </w:rPr>
        <w:t xml:space="preserve">the </w:t>
      </w:r>
      <w:r w:rsidR="00F27744">
        <w:rPr>
          <w:iCs/>
        </w:rPr>
        <w:t>Department of Labor</w:t>
      </w:r>
      <w:r w:rsidRPr="00A92375">
        <w:rPr>
          <w:iCs/>
        </w:rPr>
        <w:t xml:space="preserve"> has implemented the electronic acceptance of information submitted by customers to the </w:t>
      </w:r>
      <w:r w:rsidR="00BC5FC7">
        <w:rPr>
          <w:iCs/>
        </w:rPr>
        <w:t>F</w:t>
      </w:r>
      <w:r w:rsidRPr="00A92375">
        <w:rPr>
          <w:iCs/>
        </w:rPr>
        <w:t>ederal government.</w:t>
      </w:r>
    </w:p>
    <w:p w:rsidRPr="009C164D" w:rsidR="00FC2F3E" w:rsidP="0058584C" w:rsidRDefault="00FC2F3E" w14:paraId="2BA51647" w14:textId="77777777">
      <w:pPr>
        <w:widowControl/>
        <w:ind w:left="720" w:hanging="720"/>
        <w:rPr>
          <w:b/>
        </w:rPr>
      </w:pPr>
      <w:r w:rsidRPr="009C164D">
        <w:rPr>
          <w:b/>
        </w:rPr>
        <w:lastRenderedPageBreak/>
        <w:t>4.</w:t>
      </w:r>
      <w:r w:rsidRPr="009C164D">
        <w:rPr>
          <w:b/>
        </w:rPr>
        <w:tab/>
      </w:r>
      <w:r w:rsidRPr="009C164D">
        <w:rPr>
          <w:b/>
          <w:iCs/>
        </w:rPr>
        <w:t xml:space="preserve">Describe efforts to identify duplication.  Show specifically why any similar information already available cannot be used or modified for use for the purposes described in Item 2 above.  </w:t>
      </w:r>
    </w:p>
    <w:p w:rsidR="00FC2F3E" w:rsidP="00D31765" w:rsidRDefault="00FC2F3E" w14:paraId="77547B8E" w14:textId="77777777">
      <w:pPr>
        <w:widowControl/>
        <w:ind w:left="720"/>
      </w:pPr>
    </w:p>
    <w:p w:rsidR="00FC2F3E" w:rsidP="007C1A81" w:rsidRDefault="00295D3F" w14:paraId="7F14E7A6" w14:textId="54366BE5">
      <w:pPr>
        <w:widowControl/>
        <w:ind w:left="720"/>
      </w:pPr>
      <w:r>
        <w:t xml:space="preserve">These interim final rules </w:t>
      </w:r>
      <w:r w:rsidRPr="001217D8" w:rsidR="003940EF">
        <w:t xml:space="preserve">and </w:t>
      </w:r>
      <w:r w:rsidR="00252550">
        <w:t>t</w:t>
      </w:r>
      <w:r w:rsidRPr="001217D8" w:rsidR="003940EF">
        <w:t>he No Surprises Act</w:t>
      </w:r>
      <w:r>
        <w:t xml:space="preserve"> amend and add provisions to existing rules under the </w:t>
      </w:r>
      <w:r w:rsidR="00530F4E">
        <w:t xml:space="preserve">PHS Act, ERISA and the </w:t>
      </w:r>
      <w:r>
        <w:t xml:space="preserve">Code.  </w:t>
      </w:r>
      <w:r w:rsidR="001217D8">
        <w:t>Several states already have their own IDR processes.</w:t>
      </w:r>
      <w:r w:rsidRPr="00B95CA7" w:rsidDel="00295D3F" w:rsidR="00B95CA7">
        <w:t xml:space="preserve"> </w:t>
      </w:r>
      <w:r w:rsidDel="00295D3F" w:rsidR="00A1017A">
        <w:t xml:space="preserve"> </w:t>
      </w:r>
      <w:r w:rsidRPr="002576E1" w:rsidR="002576E1">
        <w:t xml:space="preserve">However, only </w:t>
      </w:r>
      <w:r w:rsidR="00850FD6">
        <w:t>HHS</w:t>
      </w:r>
      <w:r w:rsidRPr="002576E1" w:rsidR="002576E1">
        <w:t xml:space="preserve"> has jurisdiction over </w:t>
      </w:r>
      <w:r w:rsidR="00850FD6">
        <w:t>non-Federal</w:t>
      </w:r>
      <w:r w:rsidRPr="002576E1" w:rsidR="00850FD6">
        <w:t xml:space="preserve"> </w:t>
      </w:r>
      <w:r w:rsidRPr="002576E1" w:rsidR="002576E1">
        <w:t>government pla</w:t>
      </w:r>
      <w:r w:rsidR="002576E1">
        <w:t xml:space="preserve">ns and </w:t>
      </w:r>
      <w:r w:rsidR="00850FD6">
        <w:t>small group and</w:t>
      </w:r>
      <w:r w:rsidR="002576E1">
        <w:t xml:space="preserve"> individual market plans</w:t>
      </w:r>
      <w:r w:rsidR="007C1A81">
        <w:t xml:space="preserve"> </w:t>
      </w:r>
      <w:r w:rsidR="00850FD6">
        <w:t>in States that do not enforce the applicable provisions of the PHS Act,</w:t>
      </w:r>
      <w:r w:rsidR="007C1A81">
        <w:t xml:space="preserve"> and</w:t>
      </w:r>
      <w:r w:rsidR="002576E1">
        <w:t xml:space="preserve"> </w:t>
      </w:r>
      <w:r w:rsidRPr="00B95CA7" w:rsidR="002576E1">
        <w:t xml:space="preserve">the </w:t>
      </w:r>
      <w:r w:rsidR="00F27744">
        <w:t>Department of Labor</w:t>
      </w:r>
      <w:r w:rsidRPr="00B95CA7" w:rsidR="00F27744">
        <w:t xml:space="preserve"> </w:t>
      </w:r>
      <w:r w:rsidR="00252550">
        <w:t>has jurisdiction over</w:t>
      </w:r>
      <w:r w:rsidRPr="00B95CA7" w:rsidR="00252550">
        <w:t xml:space="preserve"> </w:t>
      </w:r>
      <w:r w:rsidRPr="00B95CA7" w:rsidR="002576E1">
        <w:t>ERISA-covered group health plans</w:t>
      </w:r>
      <w:r w:rsidR="002576E1">
        <w:t>.</w:t>
      </w:r>
      <w:r w:rsidR="007C1A81">
        <w:t xml:space="preserve">  </w:t>
      </w:r>
      <w:r w:rsidR="00252550">
        <w:t xml:space="preserve">The Internal Revenue Service has exclusive jurisdiction over certain church plans. </w:t>
      </w:r>
      <w:r w:rsidRPr="009D7581" w:rsidR="009D7581">
        <w:t xml:space="preserve">OPM has jurisdiction over the FEHB plans, which are </w:t>
      </w:r>
      <w:r w:rsidR="00BC5FC7">
        <w:t>F</w:t>
      </w:r>
      <w:r w:rsidRPr="009D7581" w:rsidR="009D7581">
        <w:t>ederal governmental plans, and OPM both contracts with and regulates the carriers with respect to those plans.</w:t>
      </w:r>
      <w:r w:rsidR="009D7581">
        <w:t xml:space="preserve"> </w:t>
      </w:r>
      <w:r w:rsidR="001217D8">
        <w:t xml:space="preserve">To limit duplication, qualified IDR items or services under this regulation are limited to items or services for which an out-of-network rate is not determined by reference to a specified State law or an All-Payer Model.  </w:t>
      </w:r>
      <w:r w:rsidR="007C1A81">
        <w:t>Thus, t</w:t>
      </w:r>
      <w:r w:rsidRPr="00B95CA7" w:rsidR="00B95CA7">
        <w:t xml:space="preserve">here will be no duplication of effort with </w:t>
      </w:r>
      <w:r w:rsidR="001217D8">
        <w:t xml:space="preserve">other </w:t>
      </w:r>
      <w:r w:rsidR="00B849FD">
        <w:t xml:space="preserve">Federal </w:t>
      </w:r>
      <w:r w:rsidR="001217D8">
        <w:t xml:space="preserve">government agencies or </w:t>
      </w:r>
      <w:r w:rsidR="00B849FD">
        <w:t xml:space="preserve">State </w:t>
      </w:r>
      <w:r w:rsidR="001217D8">
        <w:t>governments.</w:t>
      </w:r>
    </w:p>
    <w:p w:rsidR="00B95CA7" w:rsidP="00D31765" w:rsidRDefault="00B95CA7" w14:paraId="34A5D92B" w14:textId="77777777">
      <w:pPr>
        <w:widowControl/>
        <w:ind w:left="720"/>
      </w:pPr>
    </w:p>
    <w:p w:rsidRPr="009C164D" w:rsidR="00FC2F3E" w:rsidP="0058584C" w:rsidRDefault="00FC2F3E" w14:paraId="5989227B" w14:textId="77777777">
      <w:pPr>
        <w:widowControl/>
        <w:tabs>
          <w:tab w:val="left" w:pos="-1440"/>
        </w:tabs>
        <w:ind w:left="720" w:hanging="720"/>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rsidP="00D31765" w:rsidRDefault="00FC2F3E" w14:paraId="7CFCBD0B" w14:textId="77777777">
      <w:pPr>
        <w:widowControl/>
        <w:ind w:left="720"/>
      </w:pPr>
    </w:p>
    <w:p w:rsidR="00343035" w:rsidP="00CD1461" w:rsidRDefault="0080486B" w14:paraId="06ED5293" w14:textId="146B10E7">
      <w:pPr>
        <w:ind w:left="720"/>
      </w:pPr>
      <w:r>
        <w:t xml:space="preserve">Small </w:t>
      </w:r>
      <w:r w:rsidR="0040181E">
        <w:t>issuers</w:t>
      </w:r>
      <w:r>
        <w:t xml:space="preserve">, plans, </w:t>
      </w:r>
      <w:r w:rsidR="00F27744">
        <w:t xml:space="preserve">FEHB </w:t>
      </w:r>
      <w:r w:rsidR="009D7581">
        <w:t>carriers</w:t>
      </w:r>
      <w:r w:rsidR="004C102F">
        <w:t>, providers</w:t>
      </w:r>
      <w:r w:rsidR="006A75D6">
        <w:t>,</w:t>
      </w:r>
      <w:r w:rsidR="004C102F">
        <w:t xml:space="preserve"> facilities, </w:t>
      </w:r>
      <w:r w:rsidR="006A75D6">
        <w:t xml:space="preserve">providers of air ambulance services, </w:t>
      </w:r>
      <w:r>
        <w:t>and</w:t>
      </w:r>
      <w:r w:rsidR="006A75D6">
        <w:t xml:space="preserve"> certified</w:t>
      </w:r>
      <w:r>
        <w:t xml:space="preserve"> IDR </w:t>
      </w:r>
      <w:r w:rsidR="001D6344">
        <w:t>entities w</w:t>
      </w:r>
      <w:r w:rsidR="0040181E">
        <w:t>ill</w:t>
      </w:r>
      <w:r w:rsidR="001D6344">
        <w:t xml:space="preserve"> need to satisfy the same requirements under the </w:t>
      </w:r>
      <w:r w:rsidR="0040181E">
        <w:t>interim final rules</w:t>
      </w:r>
      <w:r w:rsidR="001D6344">
        <w:t xml:space="preserve">; however, these costs are scalable to the number of </w:t>
      </w:r>
      <w:r w:rsidR="00BC5FC7">
        <w:t>F</w:t>
      </w:r>
      <w:r w:rsidR="007A5BF1">
        <w:t>ederal</w:t>
      </w:r>
      <w:r w:rsidR="001D6344">
        <w:t xml:space="preserve"> IDR</w:t>
      </w:r>
      <w:r w:rsidR="007A5BF1">
        <w:t xml:space="preserve"> process payment</w:t>
      </w:r>
      <w:r w:rsidR="0040181E">
        <w:t xml:space="preserve"> determination</w:t>
      </w:r>
      <w:r w:rsidR="001D6344">
        <w:t>s an entity is involved in.</w:t>
      </w:r>
      <w:r w:rsidRPr="006743F2" w:rsidR="006743F2">
        <w:t xml:space="preserve"> </w:t>
      </w:r>
      <w:r w:rsidR="00E33DBF">
        <w:t xml:space="preserve"> </w:t>
      </w:r>
      <w:r w:rsidR="006743F2">
        <w:t>T</w:t>
      </w:r>
      <w:r w:rsidRPr="00C00E65" w:rsidR="006743F2">
        <w:t xml:space="preserve">hese interim final rules permit multiple </w:t>
      </w:r>
      <w:r w:rsidR="00A466C7">
        <w:t>items and services</w:t>
      </w:r>
      <w:r w:rsidRPr="00C00E65" w:rsidR="006743F2">
        <w:t xml:space="preserve"> to be batched together in a single arbitration proceeding to encourage efficiency</w:t>
      </w:r>
      <w:r w:rsidR="007A5BF1">
        <w:t xml:space="preserve">. </w:t>
      </w:r>
      <w:r w:rsidRPr="00CB52B7" w:rsidR="007A5BF1">
        <w:t>B</w:t>
      </w:r>
      <w:r w:rsidRPr="00C00E65" w:rsidR="006743F2">
        <w:t xml:space="preserve">atched </w:t>
      </w:r>
      <w:r w:rsidR="00A466C7">
        <w:t>items and services</w:t>
      </w:r>
      <w:r w:rsidRPr="00C00E65" w:rsidR="006743F2">
        <w:t xml:space="preserve"> </w:t>
      </w:r>
      <w:r w:rsidR="007A5BF1">
        <w:t>must be billed by the same provider or group of providers or facility or same provider of air ambulance services; payment for the items and services must be made by the same group health plan or health insurance issuer; the items and services must be the same or similar items or services; and all the items and services must have been furnished within the same 30-business-day period.</w:t>
      </w:r>
      <w:r w:rsidRPr="00C00E65" w:rsidR="006743F2">
        <w:t xml:space="preserve"> By batching similar claims, these interim final rules may reduce the per-service cost of arbitration and potentially the aggregate administrative costs, since the arbitration process is likely to exhibit at least some economies of scale</w:t>
      </w:r>
      <w:r w:rsidR="00242703">
        <w:t>.</w:t>
      </w:r>
      <w:r w:rsidRPr="00C00E65" w:rsidR="00242703">
        <w:t xml:space="preserve">  </w:t>
      </w:r>
      <w:r w:rsidRPr="00C00E65" w:rsidR="006743F2">
        <w:t>For example, the per-service cost of an arbitration case involving ten claims is likely to be less costly than the per-service cost of an arbitration case involving five claims</w:t>
      </w:r>
      <w:r w:rsidR="00242703">
        <w:t xml:space="preserve">. </w:t>
      </w:r>
      <w:r w:rsidR="001D6344">
        <w:t xml:space="preserve"> </w:t>
      </w:r>
      <w:r w:rsidR="00242703">
        <w:t>Accordingly</w:t>
      </w:r>
      <w:r w:rsidR="001D6344">
        <w:t xml:space="preserve">, costs are likely to </w:t>
      </w:r>
      <w:r w:rsidR="003D447B">
        <w:t xml:space="preserve">be lower </w:t>
      </w:r>
      <w:r w:rsidR="001D6344">
        <w:t xml:space="preserve">for smaller </w:t>
      </w:r>
      <w:r w:rsidR="00E30E17">
        <w:t>providers and</w:t>
      </w:r>
      <w:r w:rsidR="001D6344">
        <w:t xml:space="preserve"> </w:t>
      </w:r>
      <w:r w:rsidR="0040181E">
        <w:t>entities</w:t>
      </w:r>
      <w:r w:rsidR="001D6344">
        <w:t xml:space="preserve">.  </w:t>
      </w:r>
    </w:p>
    <w:p w:rsidR="00C00E65" w:rsidP="00CD1461" w:rsidRDefault="00C00E65" w14:paraId="59858361" w14:textId="77777777">
      <w:pPr>
        <w:ind w:left="720"/>
      </w:pPr>
    </w:p>
    <w:p w:rsidRPr="009C164D" w:rsidR="00FC2F3E" w:rsidP="0058584C" w:rsidRDefault="00FC2F3E" w14:paraId="720DFFFE" w14:textId="77777777">
      <w:pPr>
        <w:widowControl/>
        <w:tabs>
          <w:tab w:val="left" w:pos="-1440"/>
        </w:tabs>
        <w:ind w:left="720" w:hanging="720"/>
        <w:rPr>
          <w:b/>
        </w:rPr>
      </w:pPr>
      <w:r w:rsidRPr="009C164D">
        <w:rPr>
          <w:b/>
        </w:rPr>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rsidP="00D31765" w:rsidRDefault="00FC2F3E" w14:paraId="1E22B8B9" w14:textId="77777777">
      <w:pPr>
        <w:widowControl/>
        <w:ind w:left="720"/>
      </w:pPr>
    </w:p>
    <w:p w:rsidR="000D44DA" w:rsidP="00D31765" w:rsidRDefault="00EF2832" w14:paraId="35155804" w14:textId="2E3C2673">
      <w:pPr>
        <w:widowControl/>
        <w:ind w:left="720"/>
      </w:pPr>
      <w:r>
        <w:lastRenderedPageBreak/>
        <w:t xml:space="preserve">These </w:t>
      </w:r>
      <w:r w:rsidR="000D44DA">
        <w:t>interim final rule</w:t>
      </w:r>
      <w:r>
        <w:t>s</w:t>
      </w:r>
      <w:r w:rsidR="000D44DA">
        <w:t xml:space="preserve"> implement</w:t>
      </w:r>
      <w:r w:rsidRPr="000D44DA" w:rsidR="000D44DA">
        <w:t xml:space="preserve"> certain provisions of the No Surprises Act, which was enacted as part of the Consolidated Appropriations Act, 2021 (Pub. L. 116-260).</w:t>
      </w:r>
      <w:r w:rsidR="000D44DA">
        <w:t xml:space="preserve">  Accordingly, not conducting </w:t>
      </w:r>
      <w:r>
        <w:t>these information collections</w:t>
      </w:r>
      <w:r w:rsidR="000D44DA">
        <w:t xml:space="preserve"> or conducting these information collections less frequen</w:t>
      </w:r>
      <w:r w:rsidR="002A661E">
        <w:t>tly</w:t>
      </w:r>
      <w:r w:rsidR="00FE6F8B">
        <w:t xml:space="preserve"> </w:t>
      </w:r>
      <w:r>
        <w:t xml:space="preserve">will </w:t>
      </w:r>
      <w:r w:rsidR="00FE6F8B">
        <w:t>prevent the Departments from fulfilling the requirements of these provisions.</w:t>
      </w:r>
    </w:p>
    <w:p w:rsidR="000D44DA" w:rsidP="00D31765" w:rsidRDefault="000D44DA" w14:paraId="0EDE5DE2" w14:textId="77777777">
      <w:pPr>
        <w:widowControl/>
        <w:ind w:left="720"/>
      </w:pPr>
    </w:p>
    <w:p w:rsidR="0042539B" w:rsidP="00D31765" w:rsidRDefault="0040181E" w14:paraId="03C46512" w14:textId="1CE11FDB">
      <w:pPr>
        <w:widowControl/>
        <w:ind w:left="720"/>
      </w:pPr>
      <w:r>
        <w:t>As t</w:t>
      </w:r>
      <w:r w:rsidR="0042539B">
        <w:t>he</w:t>
      </w:r>
      <w:r w:rsidR="00F27744">
        <w:t xml:space="preserve"> </w:t>
      </w:r>
      <w:r w:rsidR="005F47CC">
        <w:t>F</w:t>
      </w:r>
      <w:r w:rsidR="00F27744">
        <w:t>ederal</w:t>
      </w:r>
      <w:r w:rsidR="0042539B">
        <w:t xml:space="preserve"> IDR process </w:t>
      </w:r>
      <w:r>
        <w:t>depends on the</w:t>
      </w:r>
      <w:r w:rsidR="0042539B">
        <w:t xml:space="preserve"> sending and receiving </w:t>
      </w:r>
      <w:r>
        <w:t xml:space="preserve">of </w:t>
      </w:r>
      <w:r w:rsidR="0042539B">
        <w:t>notices</w:t>
      </w:r>
      <w:r w:rsidR="009D7581">
        <w:t>;</w:t>
      </w:r>
      <w:r w:rsidR="00D93F78">
        <w:t xml:space="preserve"> discontinuing or reducing the frequency of these notices </w:t>
      </w:r>
      <w:r w:rsidR="00667231">
        <w:t xml:space="preserve">will </w:t>
      </w:r>
      <w:r w:rsidR="00D93F78">
        <w:t>not be possible in the process</w:t>
      </w:r>
      <w:r w:rsidR="0042539B">
        <w:t>.</w:t>
      </w:r>
      <w:r w:rsidR="000D44DA">
        <w:t xml:space="preserve">  </w:t>
      </w:r>
      <w:r w:rsidR="00616FBB">
        <w:t xml:space="preserve">Without these notices, the Departments </w:t>
      </w:r>
      <w:r w:rsidR="00667231">
        <w:t xml:space="preserve">will </w:t>
      </w:r>
      <w:r w:rsidR="00616FBB">
        <w:t>be unable to meet the statutory requirements of</w:t>
      </w:r>
      <w:r w:rsidR="00F27744">
        <w:t xml:space="preserve"> PHS Act sections 2799A-1(c) and 2799A-2(b); ERISA sections 716(c) and 717(b)</w:t>
      </w:r>
      <w:r w:rsidR="00033811">
        <w:t>;</w:t>
      </w:r>
      <w:r w:rsidR="00F27744">
        <w:t xml:space="preserve"> and</w:t>
      </w:r>
      <w:r w:rsidR="00616FBB">
        <w:t xml:space="preserve"> Code sections 9816(c) and 9817(b). </w:t>
      </w:r>
    </w:p>
    <w:p w:rsidR="0042539B" w:rsidP="00D31765" w:rsidRDefault="0042539B" w14:paraId="357E7CE1" w14:textId="77777777">
      <w:pPr>
        <w:widowControl/>
        <w:ind w:left="720"/>
      </w:pPr>
    </w:p>
    <w:p w:rsidR="0042539B" w:rsidP="00D31765" w:rsidRDefault="00D93F78" w14:paraId="5089952F" w14:textId="4C3A5779">
      <w:pPr>
        <w:widowControl/>
        <w:ind w:left="720"/>
      </w:pPr>
      <w:r>
        <w:t xml:space="preserve">The certification of IDR entities, and the ability of parties to petition </w:t>
      </w:r>
      <w:r w:rsidR="00836A8D">
        <w:t>for denial</w:t>
      </w:r>
      <w:r w:rsidR="00AD08E4">
        <w:t xml:space="preserve"> of an IDR entity’s certification</w:t>
      </w:r>
      <w:r w:rsidR="00836A8D">
        <w:t xml:space="preserve"> or </w:t>
      </w:r>
      <w:r w:rsidR="00AD08E4">
        <w:t xml:space="preserve">the </w:t>
      </w:r>
      <w:r w:rsidR="0040181E">
        <w:t>revocation</w:t>
      </w:r>
      <w:r>
        <w:t xml:space="preserve"> </w:t>
      </w:r>
      <w:r w:rsidR="00720B22">
        <w:t xml:space="preserve">of </w:t>
      </w:r>
      <w:r>
        <w:t>a</w:t>
      </w:r>
      <w:r w:rsidR="00AD08E4">
        <w:t xml:space="preserve"> certified</w:t>
      </w:r>
      <w:r>
        <w:t xml:space="preserve"> IDR entity</w:t>
      </w:r>
      <w:r w:rsidR="0040181E">
        <w:t>’s certification</w:t>
      </w:r>
      <w:r>
        <w:t xml:space="preserve">, ensures that </w:t>
      </w:r>
      <w:r w:rsidR="0040181E">
        <w:t xml:space="preserve">certified </w:t>
      </w:r>
      <w:r>
        <w:t xml:space="preserve">IDR entities meet a certain quality level.  </w:t>
      </w:r>
      <w:r w:rsidR="0040181E">
        <w:t xml:space="preserve">Certified </w:t>
      </w:r>
      <w:r>
        <w:t xml:space="preserve">IDR entities are required to be recertified every </w:t>
      </w:r>
      <w:r w:rsidR="00D07BFB">
        <w:t xml:space="preserve">5 </w:t>
      </w:r>
      <w:r>
        <w:t xml:space="preserve">years; extending this time period would decrease oversight of the performance of </w:t>
      </w:r>
      <w:r w:rsidR="0040181E">
        <w:t xml:space="preserve">certified </w:t>
      </w:r>
      <w:r>
        <w:t>IDR entities.</w:t>
      </w:r>
    </w:p>
    <w:p w:rsidR="0042539B" w:rsidP="00D31765" w:rsidRDefault="0042539B" w14:paraId="492D16EC" w14:textId="77777777">
      <w:pPr>
        <w:widowControl/>
        <w:ind w:left="720"/>
      </w:pPr>
    </w:p>
    <w:p w:rsidR="0042539B" w:rsidP="00D31765" w:rsidRDefault="0042539B" w14:paraId="61D53652" w14:textId="61EBF679">
      <w:pPr>
        <w:widowControl/>
        <w:ind w:left="720"/>
      </w:pPr>
      <w:r>
        <w:t xml:space="preserve">The </w:t>
      </w:r>
      <w:r w:rsidR="00DE631E">
        <w:t>interim final rules</w:t>
      </w:r>
      <w:r>
        <w:t xml:space="preserve"> would require </w:t>
      </w:r>
      <w:r w:rsidR="00D90B05">
        <w:t xml:space="preserve">certified </w:t>
      </w:r>
      <w:r>
        <w:t xml:space="preserve">IDR entities to report </w:t>
      </w:r>
      <w:r w:rsidR="003502F2">
        <w:t>data</w:t>
      </w:r>
      <w:r>
        <w:t xml:space="preserve"> on a monthly basis</w:t>
      </w:r>
      <w:r w:rsidR="00D93F78">
        <w:t xml:space="preserve"> to the Department</w:t>
      </w:r>
      <w:r w:rsidR="0040181E">
        <w:t>s</w:t>
      </w:r>
      <w:r>
        <w:t xml:space="preserve">.  </w:t>
      </w:r>
      <w:r w:rsidR="00D93F78">
        <w:t xml:space="preserve">If </w:t>
      </w:r>
      <w:r w:rsidR="00D90B05">
        <w:t>certified</w:t>
      </w:r>
      <w:r w:rsidR="00D93F78">
        <w:t xml:space="preserve"> IDR entities were required to report their activity less frequently, the Department</w:t>
      </w:r>
      <w:r w:rsidR="0040181E">
        <w:t>s</w:t>
      </w:r>
      <w:r w:rsidR="00D93F78">
        <w:t xml:space="preserve"> would not be able to monitor IDR processes as closely, which could </w:t>
      </w:r>
      <w:r w:rsidR="000C18F0">
        <w:t xml:space="preserve">harm </w:t>
      </w:r>
      <w:r w:rsidR="0040181E">
        <w:t>individuals, plans, issuers, provide</w:t>
      </w:r>
      <w:r w:rsidR="00AD08E4">
        <w:t>r</w:t>
      </w:r>
      <w:r w:rsidR="0040181E">
        <w:t>s</w:t>
      </w:r>
      <w:r w:rsidR="00DE631E">
        <w:t>,</w:t>
      </w:r>
      <w:r w:rsidR="0040181E">
        <w:t xml:space="preserve"> facilities, and </w:t>
      </w:r>
      <w:r w:rsidR="00DE631E">
        <w:t>providers of air ambulance services,</w:t>
      </w:r>
      <w:r w:rsidR="0040181E">
        <w:t xml:space="preserve"> and could cause harms to the wider health care market</w:t>
      </w:r>
      <w:r w:rsidR="000C18F0">
        <w:t xml:space="preserve">. </w:t>
      </w:r>
      <w:r w:rsidR="00794A65">
        <w:t>This would also affect the ability of the Departments to report certain information on their public websites as is required under the No Surprises Act.</w:t>
      </w:r>
    </w:p>
    <w:p w:rsidRPr="00C1145E" w:rsidR="00FC2F3E" w:rsidP="00D31765" w:rsidRDefault="00FC2F3E" w14:paraId="4B91D8C8" w14:textId="77777777">
      <w:pPr>
        <w:pStyle w:val="Header"/>
        <w:widowControl/>
        <w:tabs>
          <w:tab w:val="clear" w:pos="4320"/>
          <w:tab w:val="clear" w:pos="8640"/>
        </w:tabs>
        <w:ind w:left="720"/>
        <w:rPr>
          <w:b/>
        </w:rPr>
      </w:pPr>
    </w:p>
    <w:p w:rsidRPr="009C164D" w:rsidR="00FC2F3E" w:rsidP="0058584C" w:rsidRDefault="00FC2F3E" w14:paraId="35364733" w14:textId="77777777">
      <w:pPr>
        <w:widowControl/>
        <w:tabs>
          <w:tab w:val="left" w:pos="-1440"/>
        </w:tabs>
        <w:ind w:left="720" w:hanging="720"/>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Pr="009C164D" w:rsidR="00FC2F3E" w:rsidP="00D31765" w:rsidRDefault="00FC2F3E" w14:paraId="7E56417F" w14:textId="77777777">
      <w:pPr>
        <w:widowControl/>
        <w:ind w:left="1440" w:hanging="720"/>
        <w:rPr>
          <w:b/>
          <w:iCs/>
        </w:rPr>
      </w:pPr>
    </w:p>
    <w:p w:rsidRPr="009C164D" w:rsidR="003502F2" w:rsidP="003502F2" w:rsidRDefault="00FC2F3E" w14:paraId="4E1B9A66" w14:textId="77777777">
      <w:pPr>
        <w:widowControl/>
        <w:tabs>
          <w:tab w:val="left" w:pos="-1440"/>
        </w:tabs>
        <w:ind w:left="1440" w:hanging="720"/>
        <w:rPr>
          <w:b/>
          <w:iCs/>
        </w:rPr>
      </w:pPr>
      <w:r w:rsidRPr="009C164D">
        <w:rPr>
          <w:b/>
          <w:iCs/>
        </w:rPr>
        <w:t>•</w:t>
      </w:r>
      <w:r w:rsidRPr="009C164D">
        <w:rPr>
          <w:b/>
          <w:iCs/>
        </w:rPr>
        <w:tab/>
      </w:r>
      <w:proofErr w:type="gramStart"/>
      <w:r w:rsidRPr="009C164D" w:rsidR="003502F2">
        <w:rPr>
          <w:b/>
          <w:iCs/>
        </w:rPr>
        <w:t>requiring</w:t>
      </w:r>
      <w:proofErr w:type="gramEnd"/>
      <w:r w:rsidRPr="009C164D" w:rsidR="003502F2">
        <w:rPr>
          <w:b/>
          <w:iCs/>
        </w:rPr>
        <w:t xml:space="preserve"> respondents to report information to the agency more often than quarterly;</w:t>
      </w:r>
    </w:p>
    <w:p w:rsidRPr="009C164D" w:rsidR="003502F2" w:rsidP="003502F2" w:rsidRDefault="003502F2" w14:paraId="13FF1F3D" w14:textId="77777777">
      <w:pPr>
        <w:widowControl/>
        <w:tabs>
          <w:tab w:val="left" w:pos="-1440"/>
        </w:tabs>
        <w:ind w:left="1440" w:hanging="720"/>
        <w:rPr>
          <w:b/>
          <w:iCs/>
        </w:rPr>
      </w:pPr>
      <w:r w:rsidRPr="009C164D">
        <w:rPr>
          <w:b/>
          <w:iCs/>
        </w:rPr>
        <w:t>•</w:t>
      </w:r>
      <w:r w:rsidRPr="009C164D">
        <w:rPr>
          <w:b/>
          <w:iCs/>
        </w:rPr>
        <w:tab/>
        <w:t>requiring respondents to prepare a written response to a collection of information in fewer than 30 days after receipt of it;</w:t>
      </w:r>
    </w:p>
    <w:p w:rsidRPr="009C164D" w:rsidR="003502F2" w:rsidP="003502F2" w:rsidRDefault="003502F2" w14:paraId="3D5E1504" w14:textId="77777777">
      <w:pPr>
        <w:widowControl/>
        <w:tabs>
          <w:tab w:val="left" w:pos="-1440"/>
        </w:tabs>
        <w:ind w:left="1440" w:hanging="720"/>
        <w:rPr>
          <w:b/>
          <w:iCs/>
        </w:rPr>
      </w:pPr>
      <w:r w:rsidRPr="009C164D">
        <w:rPr>
          <w:b/>
          <w:iCs/>
        </w:rPr>
        <w:t>•</w:t>
      </w:r>
      <w:r w:rsidRPr="009C164D">
        <w:rPr>
          <w:b/>
          <w:iCs/>
        </w:rPr>
        <w:tab/>
        <w:t xml:space="preserve">requiring respondents to submit more than an original and </w:t>
      </w:r>
      <w:r>
        <w:rPr>
          <w:b/>
          <w:iCs/>
        </w:rPr>
        <w:t xml:space="preserve">2 </w:t>
      </w:r>
      <w:r w:rsidRPr="009C164D">
        <w:rPr>
          <w:b/>
          <w:iCs/>
        </w:rPr>
        <w:t>copies of any document;</w:t>
      </w:r>
    </w:p>
    <w:p w:rsidRPr="009C164D" w:rsidR="003502F2" w:rsidP="003502F2" w:rsidRDefault="003502F2" w14:paraId="5D591A96" w14:textId="77777777">
      <w:pPr>
        <w:widowControl/>
        <w:tabs>
          <w:tab w:val="left" w:pos="-1440"/>
        </w:tabs>
        <w:ind w:left="1440" w:hanging="720"/>
        <w:rPr>
          <w:b/>
          <w:iCs/>
        </w:rPr>
      </w:pPr>
      <w:r w:rsidRPr="009C164D">
        <w:rPr>
          <w:b/>
          <w:iCs/>
        </w:rPr>
        <w:t>•</w:t>
      </w:r>
      <w:r w:rsidRPr="009C164D">
        <w:rPr>
          <w:b/>
          <w:iCs/>
        </w:rPr>
        <w:tab/>
        <w:t xml:space="preserve">requiring respondents to retain records, other than health, medical, government contract, grant-in-aid, or tax records for more than </w:t>
      </w:r>
      <w:r>
        <w:rPr>
          <w:b/>
          <w:iCs/>
        </w:rPr>
        <w:t>3</w:t>
      </w:r>
      <w:r w:rsidRPr="009C164D">
        <w:rPr>
          <w:b/>
          <w:iCs/>
        </w:rPr>
        <w:t xml:space="preserve"> years;</w:t>
      </w:r>
    </w:p>
    <w:p w:rsidRPr="009C164D" w:rsidR="003502F2" w:rsidP="003502F2" w:rsidRDefault="003502F2" w14:paraId="3E5DC80E" w14:textId="77777777">
      <w:pPr>
        <w:widowControl/>
        <w:tabs>
          <w:tab w:val="left" w:pos="-1440"/>
        </w:tabs>
        <w:ind w:left="1440" w:hanging="720"/>
        <w:rPr>
          <w:b/>
          <w:iCs/>
        </w:rPr>
      </w:pPr>
      <w:r w:rsidRPr="009C164D">
        <w:rPr>
          <w:b/>
          <w:iCs/>
        </w:rPr>
        <w:t>•</w:t>
      </w:r>
      <w:r w:rsidRPr="009C164D">
        <w:rPr>
          <w:b/>
          <w:iCs/>
        </w:rPr>
        <w:tab/>
      </w:r>
      <w:proofErr w:type="gramStart"/>
      <w:r w:rsidRPr="009C164D">
        <w:rPr>
          <w:b/>
          <w:iCs/>
        </w:rPr>
        <w:t>in</w:t>
      </w:r>
      <w:proofErr w:type="gramEnd"/>
      <w:r w:rsidRPr="009C164D">
        <w:rPr>
          <w:b/>
          <w:iCs/>
        </w:rPr>
        <w:t xml:space="preserve"> connection with a statistical survey, that is not designed to produce valid and reliable results that can be generalized to the universe of study;</w:t>
      </w:r>
    </w:p>
    <w:p w:rsidRPr="009C164D" w:rsidR="003502F2" w:rsidP="003502F2" w:rsidRDefault="003502F2" w14:paraId="2ED09994" w14:textId="77777777">
      <w:pPr>
        <w:widowControl/>
        <w:tabs>
          <w:tab w:val="left" w:pos="-1440"/>
        </w:tabs>
        <w:ind w:left="1440" w:hanging="720"/>
        <w:rPr>
          <w:b/>
          <w:iCs/>
        </w:rPr>
      </w:pPr>
      <w:r w:rsidRPr="009C164D">
        <w:rPr>
          <w:b/>
          <w:iCs/>
        </w:rPr>
        <w:t>•</w:t>
      </w:r>
      <w:r w:rsidRPr="009C164D">
        <w:rPr>
          <w:b/>
          <w:iCs/>
        </w:rPr>
        <w:tab/>
        <w:t>requiring the use of a statistical data classification that has not been reviewed and approved by OMB;</w:t>
      </w:r>
    </w:p>
    <w:p w:rsidRPr="009C164D" w:rsidR="003502F2" w:rsidP="003502F2" w:rsidRDefault="003502F2" w14:paraId="13A08A1A" w14:textId="77777777">
      <w:pPr>
        <w:widowControl/>
        <w:tabs>
          <w:tab w:val="left" w:pos="-1440"/>
        </w:tabs>
        <w:ind w:left="1440" w:hanging="720"/>
        <w:rPr>
          <w:b/>
          <w:iCs/>
        </w:rPr>
      </w:pPr>
      <w:r w:rsidRPr="009C164D">
        <w:rPr>
          <w:b/>
          <w:iCs/>
        </w:rPr>
        <w:lastRenderedPageBreak/>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C164D" w:rsidR="003502F2" w:rsidP="003502F2" w:rsidRDefault="003502F2" w14:paraId="10DEB7ED" w14:textId="77777777">
      <w:pPr>
        <w:widowControl/>
        <w:tabs>
          <w:tab w:val="left" w:pos="-1440"/>
        </w:tabs>
        <w:ind w:left="1440" w:hanging="720"/>
        <w:rPr>
          <w:b/>
          <w:iCs/>
        </w:rPr>
      </w:pPr>
      <w:r w:rsidRPr="009C164D">
        <w:rPr>
          <w:b/>
          <w:iCs/>
        </w:rPr>
        <w:t>•</w:t>
      </w:r>
      <w:r w:rsidRPr="009C164D">
        <w:rPr>
          <w:b/>
          <w:iCs/>
        </w:rPr>
        <w:tab/>
        <w:t>requiring respondents to submit proprietary trade secret, or other confidential information unless the agency can demonstrate that it has instituted procedures to protect the information's confidentiality to the extent permitted by law.</w:t>
      </w:r>
    </w:p>
    <w:p w:rsidR="00FC2F3E" w:rsidP="003502F2" w:rsidRDefault="00FC2F3E" w14:paraId="4B42C694" w14:textId="77777777">
      <w:pPr>
        <w:widowControl/>
        <w:tabs>
          <w:tab w:val="left" w:pos="-1440"/>
        </w:tabs>
        <w:ind w:left="1440" w:hanging="720"/>
      </w:pPr>
    </w:p>
    <w:p w:rsidR="00C240DF" w:rsidP="00C240DF" w:rsidRDefault="00C240DF" w14:paraId="5BC9008B" w14:textId="0E384DC8">
      <w:pPr>
        <w:ind w:left="720"/>
      </w:pPr>
      <w:r>
        <w:t xml:space="preserve">The </w:t>
      </w:r>
      <w:r w:rsidR="00566DD4">
        <w:t>interim final rules</w:t>
      </w:r>
      <w:r>
        <w:t xml:space="preserve"> require each certified IDR entity to report specified information on the </w:t>
      </w:r>
      <w:r w:rsidR="007F0771">
        <w:t xml:space="preserve">Federal </w:t>
      </w:r>
      <w:r>
        <w:t>IDR</w:t>
      </w:r>
      <w:r w:rsidR="00566DD4">
        <w:t xml:space="preserve"> process</w:t>
      </w:r>
      <w:r>
        <w:t xml:space="preserve"> </w:t>
      </w:r>
      <w:r w:rsidR="00B67826">
        <w:t xml:space="preserve">payment determinations </w:t>
      </w:r>
      <w:r w:rsidR="00534F4B">
        <w:t>t</w:t>
      </w:r>
      <w:r w:rsidR="00704105">
        <w:t>o the Department</w:t>
      </w:r>
      <w:r w:rsidR="00B67826">
        <w:t>s</w:t>
      </w:r>
      <w:r w:rsidR="00704105">
        <w:t xml:space="preserve"> </w:t>
      </w:r>
      <w:r>
        <w:t>on a monthly basis.</w:t>
      </w:r>
      <w:r w:rsidR="0053357D">
        <w:t xml:space="preserve">  Additionally, for certification, IDR entities must </w:t>
      </w:r>
      <w:r w:rsidR="00B67826">
        <w:t>submit</w:t>
      </w:r>
      <w:r w:rsidR="0053357D">
        <w:t xml:space="preserve"> description of </w:t>
      </w:r>
      <w:r w:rsidR="00B67826">
        <w:t>their</w:t>
      </w:r>
      <w:r w:rsidR="0053357D">
        <w:t xml:space="preserve"> organizational structure</w:t>
      </w:r>
      <w:r w:rsidR="00B67826">
        <w:t>s</w:t>
      </w:r>
      <w:r w:rsidR="0053357D">
        <w:t xml:space="preserve"> and capabilities, including an organizational chart, and the credentials, responsibilities, and number of personnel </w:t>
      </w:r>
      <w:r w:rsidR="003502F2">
        <w:t xml:space="preserve">employed to make </w:t>
      </w:r>
      <w:r w:rsidR="004F3A88">
        <w:t xml:space="preserve">payment </w:t>
      </w:r>
      <w:r w:rsidR="003502F2">
        <w:t>determinations.</w:t>
      </w:r>
      <w:r w:rsidR="00566DD4">
        <w:t xml:space="preserve">  Finally, the interim final rule requires the parties utilizing the </w:t>
      </w:r>
      <w:r w:rsidR="007F0771">
        <w:t>F</w:t>
      </w:r>
      <w:r w:rsidR="00566DD4">
        <w:t xml:space="preserve">ederal IDR process to provide certain notices to the parties and to the Departments. Such information is required to efficiently conduct the </w:t>
      </w:r>
      <w:r w:rsidR="007F0771">
        <w:t xml:space="preserve">Federal </w:t>
      </w:r>
      <w:r w:rsidR="00566DD4">
        <w:t>IDR process within the timeframes allowed by statute</w:t>
      </w:r>
      <w:r w:rsidR="00DF080E">
        <w:t>.</w:t>
      </w:r>
    </w:p>
    <w:p w:rsidR="00FC2F3E" w:rsidP="00704105" w:rsidRDefault="00FC2F3E" w14:paraId="6DBE369B" w14:textId="77777777">
      <w:pPr>
        <w:pStyle w:val="Header"/>
        <w:widowControl/>
        <w:tabs>
          <w:tab w:val="clear" w:pos="4320"/>
          <w:tab w:val="clear" w:pos="8640"/>
        </w:tabs>
      </w:pPr>
    </w:p>
    <w:p w:rsidRPr="009C164D" w:rsidR="00FC2F3E" w:rsidP="0058584C" w:rsidRDefault="00FC2F3E" w14:paraId="3541DD3B" w14:textId="77777777">
      <w:pPr>
        <w:widowControl/>
        <w:tabs>
          <w:tab w:val="left" w:pos="-1440"/>
        </w:tabs>
        <w:ind w:left="720" w:hanging="720"/>
        <w:rPr>
          <w:b/>
          <w:iCs/>
        </w:rPr>
      </w:pPr>
      <w:r w:rsidRPr="009C164D">
        <w:rPr>
          <w:b/>
        </w:rPr>
        <w:t>8.</w:t>
      </w:r>
      <w:r w:rsidRPr="009C164D">
        <w:rPr>
          <w:b/>
        </w:rPr>
        <w:tab/>
      </w:r>
      <w:r w:rsidRPr="009C164D">
        <w:rPr>
          <w:b/>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C164D" w:rsidR="00FC2F3E" w:rsidP="00D31765" w:rsidRDefault="00FC2F3E" w14:paraId="3AD10344" w14:textId="77777777">
      <w:pPr>
        <w:widowControl/>
        <w:ind w:left="720"/>
        <w:rPr>
          <w:b/>
          <w:iCs/>
        </w:rPr>
      </w:pPr>
    </w:p>
    <w:p w:rsidRPr="009C164D" w:rsidR="00FC2F3E" w:rsidP="0058584C" w:rsidRDefault="00FC2F3E" w14:paraId="7F771194" w14:textId="77777777">
      <w:pPr>
        <w:widowControl/>
        <w:ind w:left="720"/>
        <w:rPr>
          <w:b/>
          <w:iCs/>
        </w:rPr>
      </w:pPr>
      <w:r w:rsidRPr="009C164D">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C164D" w:rsidR="00FC2F3E" w:rsidP="00D31765" w:rsidRDefault="00FC2F3E" w14:paraId="15EA5EB8" w14:textId="77777777">
      <w:pPr>
        <w:widowControl/>
        <w:ind w:left="720"/>
        <w:rPr>
          <w:b/>
          <w:iCs/>
        </w:rPr>
      </w:pPr>
    </w:p>
    <w:p w:rsidRPr="009C164D" w:rsidR="00FC2F3E" w:rsidP="0058584C" w:rsidRDefault="00FC2F3E" w14:paraId="5B40675F" w14:textId="77777777">
      <w:pPr>
        <w:widowControl/>
        <w:ind w:left="720"/>
        <w:rPr>
          <w:b/>
          <w:iCs/>
        </w:rPr>
      </w:pPr>
      <w:r w:rsidRPr="009C164D">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P="00D31765" w:rsidRDefault="00FC2F3E" w14:paraId="50CA9FFF" w14:textId="77777777">
      <w:pPr>
        <w:widowControl/>
        <w:ind w:left="720"/>
      </w:pPr>
    </w:p>
    <w:p w:rsidRPr="00197B5B" w:rsidR="00197B5B" w:rsidP="00197B5B" w:rsidRDefault="00197B5B" w14:paraId="0868D67A" w14:textId="066F8044">
      <w:pPr>
        <w:pStyle w:val="Header"/>
        <w:widowControl/>
        <w:ind w:left="720"/>
      </w:pPr>
      <w:r w:rsidRPr="00197B5B">
        <w:t xml:space="preserve">The Departments will be requesting approval of the emergency review requests by the effective date of the </w:t>
      </w:r>
      <w:r w:rsidR="00C236BA">
        <w:t>interim final rules</w:t>
      </w:r>
      <w:r w:rsidRPr="00197B5B">
        <w:t xml:space="preserve">.  The Departments will </w:t>
      </w:r>
      <w:r w:rsidR="009E7858">
        <w:t>be seeking approval for the ICR</w:t>
      </w:r>
      <w:r w:rsidRPr="00197B5B">
        <w:t xml:space="preserve"> for 180 days, the maximum allowed for an ICR approved using an emergency </w:t>
      </w:r>
      <w:r w:rsidRPr="00197B5B">
        <w:lastRenderedPageBreak/>
        <w:t>review.</w:t>
      </w:r>
      <w:r w:rsidR="009E7858">
        <w:t xml:space="preserve">  </w:t>
      </w:r>
      <w:r w:rsidRPr="00197B5B">
        <w:t xml:space="preserve">As part of the emergency review request, the Departments will be requesting that OMB waive the notice requirement set forth in 5 CFR 1320.13(d). </w:t>
      </w:r>
      <w:r w:rsidR="009E7858">
        <w:t xml:space="preserve"> </w:t>
      </w:r>
      <w:r w:rsidRPr="00197B5B">
        <w:t xml:space="preserve">Once the emergency submission is approved, the Departments will initiate an ICR Revision, the process required under the PRA to seek up to three (3) years of approval for the information collections.  As part of the process, the Departments will open a 60-day and 30-day comment period on the ICR.     </w:t>
      </w:r>
    </w:p>
    <w:p w:rsidR="00E54F0E" w:rsidP="00CD1461" w:rsidRDefault="00E54F0E" w14:paraId="38F8BBD2" w14:textId="77777777">
      <w:pPr>
        <w:pStyle w:val="Header"/>
        <w:widowControl/>
        <w:tabs>
          <w:tab w:val="clear" w:pos="4320"/>
          <w:tab w:val="clear" w:pos="8640"/>
        </w:tabs>
        <w:ind w:left="720"/>
      </w:pPr>
    </w:p>
    <w:p w:rsidR="00E54F0E" w:rsidP="00CD1461" w:rsidRDefault="000F4CAB" w14:paraId="394A354A" w14:textId="153B04D7">
      <w:pPr>
        <w:pStyle w:val="Header"/>
        <w:widowControl/>
        <w:tabs>
          <w:tab w:val="clear" w:pos="4320"/>
          <w:tab w:val="clear" w:pos="8640"/>
        </w:tabs>
        <w:ind w:left="720"/>
      </w:pPr>
      <w:r>
        <w:t>The Department</w:t>
      </w:r>
      <w:r w:rsidR="00114A95">
        <w:t xml:space="preserve">s </w:t>
      </w:r>
      <w:r>
        <w:t>have</w:t>
      </w:r>
      <w:r w:rsidRPr="00E54F0E" w:rsidR="00E54F0E">
        <w:t xml:space="preserve"> conducted stakeholder meetings and received letters from stakeholders</w:t>
      </w:r>
      <w:r w:rsidR="00E54F0E">
        <w:t xml:space="preserve"> to obtain their reviews regarding </w:t>
      </w:r>
      <w:r w:rsidR="00C236BA">
        <w:t>these interim final rules</w:t>
      </w:r>
      <w:r w:rsidR="00E54F0E">
        <w:t xml:space="preserve">. </w:t>
      </w:r>
    </w:p>
    <w:p w:rsidR="00B67459" w:rsidP="00CD1461" w:rsidRDefault="00B67459" w14:paraId="6EEB3517" w14:textId="77777777">
      <w:pPr>
        <w:pStyle w:val="Header"/>
        <w:widowControl/>
        <w:tabs>
          <w:tab w:val="clear" w:pos="4320"/>
          <w:tab w:val="clear" w:pos="8640"/>
        </w:tabs>
        <w:ind w:left="720"/>
      </w:pPr>
    </w:p>
    <w:p w:rsidRPr="009C164D" w:rsidR="00FC2F3E" w:rsidP="0058584C" w:rsidRDefault="00FC2F3E" w14:paraId="5060B20F" w14:textId="77777777">
      <w:pPr>
        <w:widowControl/>
        <w:tabs>
          <w:tab w:val="left" w:pos="-1440"/>
        </w:tabs>
        <w:ind w:left="720" w:hanging="720"/>
        <w:rPr>
          <w:b/>
          <w:iCs/>
        </w:rPr>
      </w:pPr>
      <w:r w:rsidRPr="009C164D">
        <w:rPr>
          <w:b/>
        </w:rPr>
        <w:t>9.</w:t>
      </w:r>
      <w:r w:rsidRPr="009C164D">
        <w:rPr>
          <w:b/>
        </w:rPr>
        <w:tab/>
      </w:r>
      <w:r w:rsidRPr="009C164D">
        <w:rPr>
          <w:b/>
          <w:iCs/>
        </w:rPr>
        <w:t>Explain any decision to provide any payment or gift to respondents, other than remuneration of contractors or grantees.</w:t>
      </w:r>
    </w:p>
    <w:p w:rsidR="00FC2F3E" w:rsidP="00D31765" w:rsidRDefault="00FC2F3E" w14:paraId="289BC949" w14:textId="77777777">
      <w:pPr>
        <w:widowControl/>
        <w:ind w:left="720"/>
      </w:pPr>
    </w:p>
    <w:p w:rsidR="00D118B7" w:rsidP="00D31765" w:rsidRDefault="007F5F8C" w14:paraId="7B85B535" w14:textId="77777777">
      <w:pPr>
        <w:pStyle w:val="Header"/>
        <w:widowControl/>
        <w:tabs>
          <w:tab w:val="clear" w:pos="4320"/>
          <w:tab w:val="clear" w:pos="8640"/>
        </w:tabs>
        <w:ind w:left="720"/>
        <w:rPr>
          <w:iCs/>
        </w:rPr>
      </w:pPr>
      <w:r w:rsidRPr="00162FE3">
        <w:rPr>
          <w:iCs/>
        </w:rPr>
        <w:t>No payments or gifts are provided to respondents.</w:t>
      </w:r>
    </w:p>
    <w:p w:rsidR="007F5F8C" w:rsidP="00D31765" w:rsidRDefault="007F5F8C" w14:paraId="53859B3A" w14:textId="77777777">
      <w:pPr>
        <w:pStyle w:val="Header"/>
        <w:widowControl/>
        <w:tabs>
          <w:tab w:val="clear" w:pos="4320"/>
          <w:tab w:val="clear" w:pos="8640"/>
        </w:tabs>
        <w:ind w:left="720"/>
      </w:pPr>
    </w:p>
    <w:p w:rsidR="00FC2F3E" w:rsidP="0058584C" w:rsidRDefault="00FC2F3E" w14:paraId="47A0EC57" w14:textId="77777777">
      <w:pPr>
        <w:widowControl/>
        <w:tabs>
          <w:tab w:val="left" w:pos="-1440"/>
        </w:tabs>
        <w:ind w:left="720" w:hanging="720"/>
        <w:rPr>
          <w:b/>
          <w:iCs/>
        </w:rPr>
      </w:pPr>
      <w:r w:rsidRPr="009C164D">
        <w:rPr>
          <w:b/>
        </w:rPr>
        <w:t>10.</w:t>
      </w:r>
      <w:r w:rsidRPr="009C164D">
        <w:rPr>
          <w:b/>
        </w:rPr>
        <w:tab/>
      </w:r>
      <w:r w:rsidRPr="009C164D">
        <w:rPr>
          <w:b/>
          <w:iCs/>
        </w:rPr>
        <w:t>Describe any assurance of confidentiality provided to respondents and the basis for the assurance in statute, regulation, or agency policy.</w:t>
      </w:r>
    </w:p>
    <w:p w:rsidR="00162FE3" w:rsidP="0058584C" w:rsidRDefault="00162FE3" w14:paraId="0397B182" w14:textId="77777777">
      <w:pPr>
        <w:widowControl/>
        <w:tabs>
          <w:tab w:val="left" w:pos="-1440"/>
        </w:tabs>
        <w:ind w:left="720" w:hanging="720"/>
        <w:rPr>
          <w:b/>
          <w:iCs/>
        </w:rPr>
      </w:pPr>
    </w:p>
    <w:p w:rsidRPr="00D91963" w:rsidR="007F5F8C" w:rsidP="007F5F8C" w:rsidRDefault="0053357D" w14:paraId="6D816AEA" w14:textId="60A8F164">
      <w:pPr>
        <w:widowControl/>
        <w:ind w:left="720"/>
      </w:pPr>
      <w:r>
        <w:t xml:space="preserve">In order to meet the requirements of certification, certified IDR entities are required to maintain the confidentiality of </w:t>
      </w:r>
      <w:r w:rsidR="000F4CAB">
        <w:t xml:space="preserve">individually identifiable </w:t>
      </w:r>
      <w:r w:rsidR="00C00623">
        <w:t xml:space="preserve">health </w:t>
      </w:r>
      <w:r w:rsidR="000F4CAB">
        <w:t>information</w:t>
      </w:r>
      <w:r w:rsidDel="008A4579">
        <w:t xml:space="preserve"> </w:t>
      </w:r>
      <w:r>
        <w:t xml:space="preserve">obtained in the course of conducting </w:t>
      </w:r>
      <w:r w:rsidR="000F4CAB">
        <w:t xml:space="preserve">payment </w:t>
      </w:r>
      <w:r>
        <w:t>determinations.</w:t>
      </w:r>
    </w:p>
    <w:p w:rsidRPr="007F5F8C" w:rsidR="00FC2F3E" w:rsidP="007F5F8C" w:rsidRDefault="00FC2F3E" w14:paraId="24F4D870" w14:textId="77777777">
      <w:pPr>
        <w:widowControl/>
        <w:tabs>
          <w:tab w:val="left" w:pos="-1440"/>
        </w:tabs>
        <w:ind w:left="720" w:hanging="720"/>
        <w:rPr>
          <w:iCs/>
        </w:rPr>
      </w:pPr>
    </w:p>
    <w:p w:rsidRPr="009C164D" w:rsidR="00FC2F3E" w:rsidP="0058584C" w:rsidRDefault="00FC2F3E" w14:paraId="602019C7" w14:textId="77777777">
      <w:pPr>
        <w:widowControl/>
        <w:tabs>
          <w:tab w:val="left" w:pos="-1440"/>
        </w:tabs>
        <w:ind w:left="720" w:hanging="720"/>
        <w:rPr>
          <w:b/>
          <w:iCs/>
        </w:rPr>
      </w:pPr>
      <w:r w:rsidRPr="009C164D">
        <w:rPr>
          <w:b/>
        </w:rPr>
        <w:t>11.</w:t>
      </w:r>
      <w:r w:rsidRPr="009C164D">
        <w:rPr>
          <w:b/>
        </w:rPr>
        <w:tab/>
      </w:r>
      <w:r w:rsidRPr="009C164D">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91963" w:rsidR="00D91963" w:rsidP="00D91963" w:rsidRDefault="00D91963" w14:paraId="4A89C002" w14:textId="77777777">
      <w:pPr>
        <w:widowControl/>
        <w:rPr>
          <w:b/>
        </w:rPr>
      </w:pPr>
    </w:p>
    <w:p w:rsidRPr="00D26C00" w:rsidR="00D26C00" w:rsidP="00D26C00" w:rsidRDefault="00D26C00" w14:paraId="2197E8F7" w14:textId="77777777">
      <w:pPr>
        <w:widowControl/>
        <w:ind w:left="720"/>
      </w:pPr>
      <w:r w:rsidRPr="00D26C00">
        <w:t>There are no questions of a sensitive nature.</w:t>
      </w:r>
    </w:p>
    <w:p w:rsidRPr="009C164D" w:rsidR="00A90D52" w:rsidP="00D31765" w:rsidRDefault="00A90D52" w14:paraId="5BD11635" w14:textId="77777777">
      <w:pPr>
        <w:widowControl/>
        <w:ind w:left="720"/>
        <w:rPr>
          <w:b/>
        </w:rPr>
      </w:pPr>
    </w:p>
    <w:p w:rsidRPr="009C164D" w:rsidR="00FC2F3E" w:rsidP="0058584C" w:rsidRDefault="00FC2F3E" w14:paraId="7F4DDE38" w14:textId="77777777">
      <w:pPr>
        <w:widowControl/>
        <w:tabs>
          <w:tab w:val="left" w:pos="-1440"/>
        </w:tabs>
        <w:ind w:left="720" w:hanging="720"/>
        <w:rPr>
          <w:b/>
          <w:iCs/>
        </w:rPr>
      </w:pPr>
      <w:r w:rsidRPr="009C164D">
        <w:rPr>
          <w:b/>
        </w:rPr>
        <w:t>12.</w:t>
      </w:r>
      <w:r w:rsidRPr="009C164D">
        <w:rPr>
          <w:b/>
        </w:rPr>
        <w:tab/>
      </w:r>
      <w:r w:rsidRPr="009C164D">
        <w:rPr>
          <w:b/>
          <w:iCs/>
        </w:rPr>
        <w:t>Provide estimates of the hour burden of the collection of information.  The statement should:</w:t>
      </w:r>
    </w:p>
    <w:p w:rsidRPr="009C164D" w:rsidR="00FC2F3E" w:rsidP="00D31765" w:rsidRDefault="00FC2F3E" w14:paraId="69530AEB" w14:textId="77777777">
      <w:pPr>
        <w:widowControl/>
        <w:ind w:left="1440" w:hanging="720"/>
        <w:rPr>
          <w:b/>
          <w:iCs/>
        </w:rPr>
      </w:pPr>
    </w:p>
    <w:p w:rsidRPr="009C164D" w:rsidR="00FC2F3E" w:rsidP="007774E8" w:rsidRDefault="00FC2F3E" w14:paraId="31D6CDE3" w14:textId="77777777">
      <w:pPr>
        <w:widowControl/>
        <w:tabs>
          <w:tab w:val="left" w:pos="-1440"/>
        </w:tabs>
        <w:ind w:left="1440" w:hanging="720"/>
        <w:rPr>
          <w:b/>
          <w:iCs/>
        </w:rPr>
      </w:pPr>
      <w:r w:rsidRPr="009C164D">
        <w:rPr>
          <w:b/>
          <w:iCs/>
        </w:rPr>
        <w:t>•</w:t>
      </w:r>
      <w:r w:rsidRPr="009C164D">
        <w:rPr>
          <w:b/>
          <w:i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9C164D">
        <w:rPr>
          <w:b/>
          <w:iCs/>
        </w:rPr>
        <w:lastRenderedPageBreak/>
        <w:t>explain the reasons for the variance.  Generally, estimates should not include burden hours for customary and usual business practices.</w:t>
      </w:r>
    </w:p>
    <w:p w:rsidRPr="009C164D" w:rsidR="00FC2F3E" w:rsidP="007774E8" w:rsidRDefault="00FC2F3E" w14:paraId="18A54240" w14:textId="77777777">
      <w:pPr>
        <w:widowControl/>
        <w:tabs>
          <w:tab w:val="left" w:pos="-1440"/>
        </w:tabs>
        <w:ind w:left="1440" w:hanging="720"/>
        <w:rPr>
          <w:b/>
          <w:iCs/>
        </w:rPr>
      </w:pPr>
      <w:r w:rsidRPr="009C164D">
        <w:rPr>
          <w:b/>
          <w:iCs/>
        </w:rPr>
        <w:t>•</w:t>
      </w:r>
      <w:r w:rsidRPr="009C164D">
        <w:rPr>
          <w:b/>
          <w:iCs/>
        </w:rPr>
        <w:tab/>
        <w:t xml:space="preserve">If this request for approval covers more than </w:t>
      </w:r>
      <w:r w:rsidR="002255F6">
        <w:rPr>
          <w:b/>
          <w:iCs/>
        </w:rPr>
        <w:t>1</w:t>
      </w:r>
      <w:r w:rsidRPr="009C164D" w:rsidR="002255F6">
        <w:rPr>
          <w:b/>
          <w:iCs/>
        </w:rPr>
        <w:t xml:space="preserve"> </w:t>
      </w:r>
      <w:r w:rsidRPr="009C164D">
        <w:rPr>
          <w:b/>
          <w:iCs/>
        </w:rPr>
        <w:t>form, provide separate hour burden estimates for each form and aggregate the hour burdens in Item 13.</w:t>
      </w:r>
    </w:p>
    <w:p w:rsidR="00FC2F3E" w:rsidP="0058584C" w:rsidRDefault="00FC2F3E" w14:paraId="16EB615A" w14:textId="77777777">
      <w:pPr>
        <w:widowControl/>
        <w:tabs>
          <w:tab w:val="left" w:pos="-1440"/>
        </w:tabs>
        <w:ind w:left="1440" w:hanging="720"/>
        <w:rPr>
          <w:b/>
          <w:iCs/>
        </w:rPr>
      </w:pPr>
      <w:r w:rsidRPr="009C164D">
        <w:rPr>
          <w:b/>
          <w:iCs/>
        </w:rPr>
        <w:t>•</w:t>
      </w:r>
      <w:r w:rsidRPr="009C164D">
        <w:rPr>
          <w:b/>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F75442" w:rsidP="00310219" w:rsidRDefault="00F75442" w14:paraId="5F0273D7" w14:textId="77777777">
      <w:pPr>
        <w:widowControl/>
        <w:tabs>
          <w:tab w:val="left" w:pos="-1440"/>
        </w:tabs>
        <w:ind w:left="2160" w:hanging="720"/>
        <w:rPr>
          <w:b/>
          <w:iCs/>
          <w:u w:val="single"/>
        </w:rPr>
      </w:pPr>
    </w:p>
    <w:p w:rsidR="003874C8" w:rsidP="005A7089" w:rsidRDefault="003874C8" w14:paraId="78A9847E" w14:textId="00DB3130">
      <w:pPr>
        <w:ind w:left="720"/>
      </w:pPr>
      <w:r>
        <w:t>Note:  To give a fair overview of the burden imposed by this ICR the estimated annual burden of this ICR is show</w:t>
      </w:r>
      <w:r w:rsidR="00D835D1">
        <w:t>n</w:t>
      </w:r>
      <w:r>
        <w:t xml:space="preserve"> during the calculations.  As the ICR is being submitted as an emergency with a requested approval for 180 day the costs for the first 180 days is reported in the summary sections and in parentheses in the table at the end of this question.</w:t>
      </w:r>
    </w:p>
    <w:p w:rsidR="003874C8" w:rsidP="005A7089" w:rsidRDefault="003874C8" w14:paraId="072E83E2" w14:textId="77777777">
      <w:pPr>
        <w:ind w:left="720"/>
      </w:pPr>
    </w:p>
    <w:p w:rsidRPr="005A7089" w:rsidR="005A7089" w:rsidP="005A7089" w:rsidRDefault="00355066" w14:paraId="68682102" w14:textId="06A83637">
      <w:pPr>
        <w:ind w:left="720"/>
      </w:pPr>
      <w:r w:rsidRPr="00355066">
        <w:t>Group health plans</w:t>
      </w:r>
      <w:r w:rsidR="005A7089">
        <w:t>,</w:t>
      </w:r>
      <w:r w:rsidRPr="00355066">
        <w:t xml:space="preserve"> health insurance issuers</w:t>
      </w:r>
      <w:r w:rsidR="005A7089">
        <w:t>, FEHB carriers, providers, providers of air ambulance services, and facilities</w:t>
      </w:r>
      <w:r w:rsidRPr="00355066">
        <w:t xml:space="preserve"> are responsible for ensuring compliance with the </w:t>
      </w:r>
      <w:r w:rsidR="00EF5245">
        <w:t xml:space="preserve">interim </w:t>
      </w:r>
      <w:r w:rsidRPr="00355066">
        <w:t>final rules.</w:t>
      </w:r>
      <w:r>
        <w:t xml:space="preserve">  Accordingly, in the discussion below, the Departments refer to costs </w:t>
      </w:r>
      <w:r w:rsidR="005714A7">
        <w:t xml:space="preserve">for </w:t>
      </w:r>
      <w:r>
        <w:t xml:space="preserve">plans, issuers, and </w:t>
      </w:r>
      <w:r w:rsidR="00F27744">
        <w:t xml:space="preserve">FEHB </w:t>
      </w:r>
      <w:r>
        <w:t xml:space="preserve">carriers.  However, it is expected that </w:t>
      </w:r>
      <w:r w:rsidRPr="00C165D0">
        <w:t xml:space="preserve">most self-insured group health plans will work with a </w:t>
      </w:r>
      <w:r w:rsidR="005714A7">
        <w:t>third-party administrator (</w:t>
      </w:r>
      <w:r w:rsidRPr="00C165D0">
        <w:t>TPA</w:t>
      </w:r>
      <w:r w:rsidR="005714A7">
        <w:t>)</w:t>
      </w:r>
      <w:r w:rsidRPr="00C165D0">
        <w:t xml:space="preserve"> to meet the requirements of the</w:t>
      </w:r>
      <w:r w:rsidR="005714A7">
        <w:t>se interim final</w:t>
      </w:r>
      <w:r w:rsidRPr="00C165D0">
        <w:t xml:space="preserve"> rules.</w:t>
      </w:r>
      <w:r>
        <w:t xml:space="preserve">  </w:t>
      </w:r>
    </w:p>
    <w:p w:rsidR="00CA455A" w:rsidP="005A7089" w:rsidRDefault="00CA455A" w14:paraId="7D99FCF5" w14:textId="77777777">
      <w:pPr>
        <w:ind w:left="720"/>
      </w:pPr>
    </w:p>
    <w:p w:rsidRPr="005A7089" w:rsidR="005A7089" w:rsidP="005A7089" w:rsidRDefault="005A7089" w14:paraId="2C4183C0" w14:textId="2CDB8C16">
      <w:pPr>
        <w:ind w:left="720"/>
      </w:pPr>
      <w:r w:rsidRPr="005A7089">
        <w:t xml:space="preserve">The Departments recognize the potential that some of the largest self-insured plans may seek to meet the requirements of these interim final rules in-house and not use a TPA or other third party; in such cases those plans will incur the estimated burden and cost directly. </w:t>
      </w:r>
    </w:p>
    <w:p w:rsidR="00355066" w:rsidP="00CA455A" w:rsidRDefault="00355066" w14:paraId="54ACC333" w14:textId="418A2C03">
      <w:pPr>
        <w:ind w:left="720"/>
        <w:rPr>
          <w:i/>
        </w:rPr>
      </w:pPr>
      <w:r>
        <w:t xml:space="preserve"> </w:t>
      </w:r>
    </w:p>
    <w:p w:rsidRPr="00CB52B7" w:rsidR="001E2AF0" w:rsidP="00310219" w:rsidRDefault="003502F2" w14:paraId="02C96D33" w14:textId="77777777">
      <w:pPr>
        <w:ind w:left="720"/>
        <w:rPr>
          <w:b/>
          <w:i/>
          <w:u w:val="single"/>
        </w:rPr>
      </w:pPr>
      <w:r w:rsidRPr="00CB52B7">
        <w:rPr>
          <w:b/>
          <w:i/>
          <w:u w:val="single"/>
        </w:rPr>
        <w:t xml:space="preserve">Federal </w:t>
      </w:r>
      <w:r w:rsidRPr="00CB52B7" w:rsidR="001E2AF0">
        <w:rPr>
          <w:b/>
          <w:i/>
          <w:u w:val="single"/>
        </w:rPr>
        <w:t xml:space="preserve">IDR Process for Nonparticipating Providers or Nonparticipating Emergency Facilities </w:t>
      </w:r>
    </w:p>
    <w:p w:rsidR="00310219" w:rsidP="00310219" w:rsidRDefault="00310219" w14:paraId="046EDFB3" w14:textId="77777777">
      <w:pPr>
        <w:ind w:left="720"/>
      </w:pPr>
    </w:p>
    <w:p w:rsidR="000B4DC1" w:rsidP="000B4DC1" w:rsidRDefault="000B4DC1" w14:paraId="436AE2FE" w14:textId="162F4568">
      <w:pPr>
        <w:ind w:left="720"/>
      </w:pPr>
      <w:r>
        <w:t xml:space="preserve">The Departments estimate that 17,333 claims will be submitted as part of the </w:t>
      </w:r>
      <w:r w:rsidR="009311D9">
        <w:t>F</w:t>
      </w:r>
      <w:r>
        <w:t>ederal IDR process each year.</w:t>
      </w:r>
    </w:p>
    <w:p w:rsidR="000B4DC1" w:rsidP="000B4DC1" w:rsidRDefault="000B4DC1" w14:paraId="5585D3C6" w14:textId="77777777">
      <w:pPr>
        <w:ind w:left="720"/>
      </w:pPr>
    </w:p>
    <w:p w:rsidRPr="000B4DC1" w:rsidR="000B4DC1" w:rsidP="000B4DC1" w:rsidRDefault="000B4DC1" w14:paraId="5CFD53E9" w14:textId="7B8EEF1B">
      <w:pPr>
        <w:ind w:left="720"/>
      </w:pPr>
      <w:r w:rsidRPr="000B4DC1">
        <w:t>The Departments estimate that 25</w:t>
      </w:r>
      <w:r w:rsidR="005517AA">
        <w:t xml:space="preserve"> percent</w:t>
      </w:r>
      <w:r w:rsidRPr="000B4DC1">
        <w:t xml:space="preserve"> of disputes will be resolved in open negotiation before entering the </w:t>
      </w:r>
      <w:r w:rsidR="00234B85">
        <w:t>F</w:t>
      </w:r>
      <w:r w:rsidRPr="000B4DC1">
        <w:t>ederal IDR process.  The Departments request data or comments on this assumption.  Accordingly, the Departments estimate that 23,111 claims will go through open negotiation.</w:t>
      </w:r>
      <w:r w:rsidRPr="000B4DC1">
        <w:rPr>
          <w:vertAlign w:val="superscript"/>
        </w:rPr>
        <w:footnoteReference w:id="3"/>
      </w:r>
      <w:r w:rsidRPr="000B4DC1">
        <w:t xml:space="preserve">  The Departments estimate that it will take, on average, a medical and health services manager 2 hours to write each notice of open negotiation and </w:t>
      </w:r>
      <w:r w:rsidRPr="000B4DC1">
        <w:lastRenderedPageBreak/>
        <w:t xml:space="preserve">a clerical worker 15 minutes to prepare and send the notice.  </w:t>
      </w:r>
      <w:bookmarkStart w:name="OLE_LINK7" w:id="2"/>
      <w:bookmarkStart w:name="OLE_LINK8" w:id="3"/>
      <w:r w:rsidRPr="000B4DC1">
        <w:t>The burden for each plan, issuer, and FEHB carrier would be 2.25 hours, with an equivalent cost of approximately $224</w:t>
      </w:r>
      <w:bookmarkEnd w:id="2"/>
      <w:bookmarkEnd w:id="3"/>
      <w:r w:rsidR="00C475B1">
        <w:t xml:space="preserve">. </w:t>
      </w:r>
      <w:r w:rsidR="00B319C8">
        <w:t xml:space="preserve"> </w:t>
      </w:r>
      <w:r w:rsidR="00C475B1">
        <w:t>F</w:t>
      </w:r>
      <w:r w:rsidRPr="000B4DC1">
        <w:t xml:space="preserve">or all 23,111 claims subject to these interim final rules proceeding through the </w:t>
      </w:r>
      <w:r w:rsidR="009C548B">
        <w:t>F</w:t>
      </w:r>
      <w:r w:rsidRPr="000B4DC1">
        <w:t>ederal IDR process, the annual burden would be 51,999 hours, with an associated equivalent cost of $5.2 million.</w:t>
      </w:r>
      <w:r w:rsidRPr="000B4DC1">
        <w:rPr>
          <w:vertAlign w:val="superscript"/>
        </w:rPr>
        <w:footnoteReference w:id="4"/>
      </w:r>
      <w:r w:rsidRPr="000B4DC1">
        <w:t xml:space="preserve">  The open negotiation notice must be sent within 30 business days beginning on the day the provider or facility receives an initial payment or a notice of denial of payment from the plan or issuer regarding such item or service. </w:t>
      </w:r>
    </w:p>
    <w:p w:rsidR="001E2AF0" w:rsidP="001E2AF0" w:rsidRDefault="001E2AF0" w14:paraId="12BB431E" w14:textId="77777777">
      <w:pPr>
        <w:ind w:left="720"/>
      </w:pPr>
    </w:p>
    <w:p w:rsidRPr="000B4DC1" w:rsidR="000B4DC1" w:rsidP="000B4DC1" w:rsidRDefault="00AC35CC" w14:paraId="0BC76752" w14:textId="529C48DF">
      <w:pPr>
        <w:ind w:left="720"/>
      </w:pPr>
      <w:r w:rsidRPr="00AC35CC">
        <w:t xml:space="preserve">When the parties do not reach an agreed upon amount for the out-of-network rate by the last day of the open negotiation period, either party may initiate the </w:t>
      </w:r>
      <w:r w:rsidR="001E42F5">
        <w:t>F</w:t>
      </w:r>
      <w:r w:rsidRPr="00AC35CC">
        <w:t xml:space="preserve">ederal IDR process by submitting the Notice of IDR Initiation to the other party and to the Departments during the 4-business day period beginning on the 31st business day after the start of the open negotiation period. </w:t>
      </w:r>
      <w:r>
        <w:t xml:space="preserve"> </w:t>
      </w:r>
      <w:r w:rsidRPr="000B4DC1" w:rsidR="000B4DC1">
        <w:t>The Departments estimate that it will take 2 hours for a legal professional to write the Notice of IDR Initiation and 15 minutes for a clerical worker to prepare and send the initiating notice.  The burden for each plan, issuer, and FEHB carrier</w:t>
      </w:r>
      <w:r w:rsidRPr="000B4DC1" w:rsidDel="00951537" w:rsidR="000B4DC1">
        <w:t xml:space="preserve"> </w:t>
      </w:r>
      <w:r w:rsidRPr="000B4DC1" w:rsidR="000B4DC1">
        <w:t xml:space="preserve">would be 2.25 hours, with an equivalent cost of approximately $224.  </w:t>
      </w:r>
      <w:r w:rsidR="00C475B1">
        <w:t>F</w:t>
      </w:r>
      <w:r w:rsidRPr="000B4DC1" w:rsidR="000B4DC1">
        <w:t xml:space="preserve">or the 17,333 claims initiating the </w:t>
      </w:r>
      <w:r w:rsidR="001E42F5">
        <w:t>F</w:t>
      </w:r>
      <w:r w:rsidRPr="000B4DC1" w:rsidR="000B4DC1">
        <w:t>ederal IDR process, the annual burden would be 38,999 hours, with an annual equivalent cost estimate of $3.9 million.</w:t>
      </w:r>
      <w:r w:rsidRPr="000B4DC1" w:rsidR="000B4DC1">
        <w:rPr>
          <w:vertAlign w:val="superscript"/>
        </w:rPr>
        <w:footnoteReference w:id="5"/>
      </w:r>
      <w:r w:rsidRPr="000B4DC1" w:rsidR="000B4DC1">
        <w:t xml:space="preserve">  </w:t>
      </w:r>
    </w:p>
    <w:p w:rsidRPr="001E2AF0" w:rsidR="005B7960" w:rsidP="001E2AF0" w:rsidRDefault="005B7960" w14:paraId="0754AE76" w14:textId="77777777">
      <w:pPr>
        <w:ind w:left="720"/>
      </w:pPr>
    </w:p>
    <w:p w:rsidR="000B4DC1" w:rsidP="00784E26" w:rsidRDefault="000B4DC1" w14:paraId="10633C37" w14:textId="59B19E5E">
      <w:pPr>
        <w:ind w:left="720"/>
      </w:pPr>
      <w:r w:rsidRPr="000B4DC1">
        <w:t xml:space="preserve">If the parties to the </w:t>
      </w:r>
      <w:r w:rsidR="001E42F5">
        <w:t>F</w:t>
      </w:r>
      <w:r w:rsidRPr="000B4DC1">
        <w:t xml:space="preserve">ederal IDR process agree on an out-of-network rate for a qualified IDR item or service after providing notice to the Departments of initiation of the Federal IDR process, but before the certified IDR entity has made its </w:t>
      </w:r>
      <w:r w:rsidRPr="000575A8" w:rsidR="000575A8">
        <w:t>payment determination</w:t>
      </w:r>
      <w:r w:rsidRPr="000B4DC1">
        <w:t xml:space="preserve">, the initiating party must send a notification to the Departments and to the certified IDR entity (if selected) electronically through the </w:t>
      </w:r>
      <w:r w:rsidR="004414C7">
        <w:t>F</w:t>
      </w:r>
      <w:r w:rsidRPr="000B4DC1">
        <w:t>ederal IDR portal, in a form and manner specified by the Departments, as soon as possible, but no later than 3 business days after the date of the agreement.  This notification should include the out-of-network rate for the qualified IDR item or service and signatures from authorized signatories for both parties.  The Departments assume that 1</w:t>
      </w:r>
      <w:r w:rsidR="004414C7">
        <w:t xml:space="preserve"> percent </w:t>
      </w:r>
      <w:r w:rsidRPr="000B4DC1">
        <w:t xml:space="preserve">of IDR payment determinations will be resolved by an agreement on an out-of-network rate after the </w:t>
      </w:r>
      <w:r w:rsidR="00C422D7">
        <w:t>F</w:t>
      </w:r>
      <w:r w:rsidRPr="000B4DC1">
        <w:t>ederal IDR process has been initiated</w:t>
      </w:r>
      <w:r w:rsidRPr="000B4DC1" w:rsidR="00E644BF">
        <w:t xml:space="preserve">.  </w:t>
      </w:r>
      <w:r w:rsidRPr="000B4DC1">
        <w:t xml:space="preserve">The Departments estimate that it will take, on average, a medical and health services manager 30 minutes to write each notice of open negotiation and a clerical worker 15 minutes to submit the notice to the </w:t>
      </w:r>
      <w:r w:rsidR="00C422D7">
        <w:t>F</w:t>
      </w:r>
      <w:r w:rsidRPr="000B4DC1" w:rsidR="00C422D7">
        <w:t xml:space="preserve">ederal </w:t>
      </w:r>
      <w:r w:rsidRPr="000B4DC1">
        <w:t xml:space="preserve">IDR portal.  The burden for each </w:t>
      </w:r>
      <w:r w:rsidRPr="000B4DC1">
        <w:lastRenderedPageBreak/>
        <w:t xml:space="preserve">plan, issuer, and FEHB carrier would be 45 minutes, with an equivalent cost of approximately $66.  </w:t>
      </w:r>
      <w:r w:rsidR="00DB50A1">
        <w:t>F</w:t>
      </w:r>
      <w:r w:rsidRPr="000B4DC1">
        <w:t>or the 173 payment determinations resolved in this manner, the annual burden would be 130 hours, with an associated equivalent cost of $11,472.</w:t>
      </w:r>
      <w:r w:rsidRPr="000B4DC1">
        <w:rPr>
          <w:vertAlign w:val="superscript"/>
        </w:rPr>
        <w:footnoteReference w:id="6"/>
      </w:r>
      <w:r w:rsidRPr="000B4DC1">
        <w:t xml:space="preserve">  </w:t>
      </w:r>
    </w:p>
    <w:p w:rsidR="00C94BC7" w:rsidP="004B6A21" w:rsidRDefault="00C94BC7" w14:paraId="5F36F437" w14:textId="77777777">
      <w:pPr>
        <w:ind w:left="720"/>
      </w:pPr>
    </w:p>
    <w:p w:rsidRPr="000B4DC1" w:rsidR="000B4DC1" w:rsidP="004B6A21" w:rsidRDefault="000B4DC1" w14:paraId="29519FF0" w14:textId="0E1555B1">
      <w:pPr>
        <w:ind w:left="720"/>
      </w:pPr>
      <w:r w:rsidRPr="000B4DC1">
        <w:t xml:space="preserve">If the plan, issuer, or FEHB carrier and the nonparticipating provider or nonparticipating emergency facility select a certified IDR entity, or if they fail to select a certified IDR entity, they must notify the Departments of their selection no later than 1 business day after such selection or failure to select.  To the extent the non-initiating party does not believe that the </w:t>
      </w:r>
      <w:r w:rsidR="004414C7">
        <w:t>F</w:t>
      </w:r>
      <w:r w:rsidRPr="000B4DC1">
        <w:t>ederal IDR process applies, the non-initiating party must also provide information that demonstrates the lack of applicability by the same date that the notice of selection or failure to select must be submitted.</w:t>
      </w:r>
    </w:p>
    <w:p w:rsidR="000B4DC1" w:rsidP="000B4DC1" w:rsidRDefault="000B4DC1" w14:paraId="3DB5724D" w14:textId="77777777">
      <w:pPr>
        <w:ind w:left="720"/>
      </w:pPr>
    </w:p>
    <w:p w:rsidR="000B4DC1" w:rsidP="004B6A21" w:rsidRDefault="000B4DC1" w14:paraId="5B915706" w14:textId="63851D19">
      <w:pPr>
        <w:ind w:left="720"/>
      </w:pPr>
      <w:r w:rsidRPr="000B4DC1">
        <w:t>The Departments estimate that in 75</w:t>
      </w:r>
      <w:r w:rsidR="001A75A6">
        <w:t xml:space="preserve"> percent</w:t>
      </w:r>
      <w:r w:rsidRPr="000B4DC1">
        <w:t xml:space="preserve"> of IDR payment determinations, a certified IDR entity will be selected b</w:t>
      </w:r>
      <w:r w:rsidR="002B6D25">
        <w:t xml:space="preserve">y the disputing parties.  </w:t>
      </w:r>
      <w:r w:rsidRPr="000B4DC1">
        <w:t>Additionally, the Departments assume that it will take 1 hour for a legal professional to write the notice and 15 minutes for a clerical worker to prepare and send the notice.  The burden for each plan, issuer, and FEHB carrier</w:t>
      </w:r>
      <w:r w:rsidRPr="000B4DC1" w:rsidDel="00951537">
        <w:t xml:space="preserve"> </w:t>
      </w:r>
      <w:r w:rsidRPr="000B4DC1">
        <w:t xml:space="preserve">would be 1.25 hours, with an equivalent cost of approximately $119.  </w:t>
      </w:r>
      <w:r w:rsidR="00F2440F">
        <w:t>F</w:t>
      </w:r>
      <w:r w:rsidRPr="000B4DC1">
        <w:t>or the 13,000 claims that will have a certified IDR entity selected by the disputing parties, the annual burden would be 16,250 hours, with an annual equivalent cost estimate of $1.5 million.</w:t>
      </w:r>
      <w:r w:rsidRPr="000B4DC1">
        <w:rPr>
          <w:vertAlign w:val="superscript"/>
        </w:rPr>
        <w:footnoteReference w:id="7"/>
      </w:r>
      <w:r w:rsidRPr="000B4DC1">
        <w:t xml:space="preserve"> </w:t>
      </w:r>
    </w:p>
    <w:p w:rsidR="000B4DC1" w:rsidP="00784E26" w:rsidRDefault="000B4DC1" w14:paraId="54373264" w14:textId="77777777">
      <w:pPr>
        <w:ind w:left="720" w:firstLine="720"/>
      </w:pPr>
    </w:p>
    <w:p w:rsidRPr="000B4DC1" w:rsidR="000B4DC1" w:rsidP="004B6A21" w:rsidRDefault="000B4DC1" w14:paraId="541EA006" w14:textId="04BA31F6">
      <w:pPr>
        <w:ind w:left="720"/>
      </w:pPr>
      <w:r w:rsidRPr="000B4DC1">
        <w:t>If the plan, issuer, or FEHB carrier and the nonparticipating provider or nonparticipating emergency facility fail to select a certified IDR entity, the Departments will select a certified IDR entity that charges a fee within the allowed range of IDR entity costs (or has received approval from the Departments to charge a fee outside of the allowed range) through a random selection method.  The Departments estimate that in 25</w:t>
      </w:r>
      <w:r w:rsidR="00844226">
        <w:t xml:space="preserve"> percent</w:t>
      </w:r>
      <w:r w:rsidRPr="000B4DC1">
        <w:t xml:space="preserve"> of IDR payment determinations, a certified IDR entity will not be selected by the parties.  </w:t>
      </w:r>
    </w:p>
    <w:p w:rsidR="000B4DC1" w:rsidP="000B4DC1" w:rsidRDefault="000B4DC1" w14:paraId="2C124F92" w14:textId="77777777">
      <w:pPr>
        <w:ind w:left="720"/>
      </w:pPr>
    </w:p>
    <w:p w:rsidRPr="000B4DC1" w:rsidR="000B4DC1" w:rsidP="004B6A21" w:rsidRDefault="000B4DC1" w14:paraId="35EDF680" w14:textId="761B50BA">
      <w:pPr>
        <w:ind w:left="720"/>
      </w:pPr>
      <w:r w:rsidRPr="000B4DC1">
        <w:t xml:space="preserve">Additionally, no later than 10 business days after the date of selection of the certified IDR entity with respect to a payment determination for a qualified IDR item or service, the provider or facility and the plan or issuer must submit to the certified IDR entity an offer </w:t>
      </w:r>
      <w:r w:rsidRPr="000B4DC1">
        <w:lastRenderedPageBreak/>
        <w:t xml:space="preserve">for a payment amount for the qualified IDR item or service furnished by such provider or facility though the </w:t>
      </w:r>
      <w:r w:rsidR="004414C7">
        <w:t>F</w:t>
      </w:r>
      <w:r w:rsidRPr="000B4DC1" w:rsidR="004414C7">
        <w:t xml:space="preserve">ederal </w:t>
      </w:r>
      <w:r w:rsidRPr="000B4DC1">
        <w:t>IDR portal.  The Departments estimate for providers and issuers, it will take an average of 2.5 hours for a medical and health services manager to write the offer and 30 minutes for a clerical worker to prepare and send the offer.  The burden for each plan, issuer, and FEHB carrier</w:t>
      </w:r>
      <w:r w:rsidRPr="000B4DC1" w:rsidDel="00951537">
        <w:t xml:space="preserve"> </w:t>
      </w:r>
      <w:r w:rsidRPr="000B4DC1">
        <w:t xml:space="preserve">would be 3 hours, with an equivalent cost of approximately $290.  </w:t>
      </w:r>
      <w:r w:rsidR="00F2440F">
        <w:t>F</w:t>
      </w:r>
      <w:r w:rsidRPr="000B4DC1">
        <w:t>or the 17,333 payment determinations that will go through submission of offer, the annual burden would be 103,998 hours, with an annual equivalent cost estimate of $10.1 million.</w:t>
      </w:r>
      <w:r w:rsidRPr="000B4DC1">
        <w:rPr>
          <w:vertAlign w:val="superscript"/>
        </w:rPr>
        <w:footnoteReference w:id="8"/>
      </w:r>
      <w:r w:rsidRPr="000B4DC1">
        <w:t xml:space="preserve"> </w:t>
      </w:r>
    </w:p>
    <w:p w:rsidR="000B4DC1" w:rsidP="000B4DC1" w:rsidRDefault="000B4DC1" w14:paraId="6CF39C6D" w14:textId="3815E0F4">
      <w:pPr>
        <w:ind w:left="720"/>
      </w:pPr>
    </w:p>
    <w:p w:rsidR="000B4DC1" w:rsidP="000B4DC1" w:rsidRDefault="000B4DC1" w14:paraId="78B37B6C" w14:textId="5AB7630B">
      <w:pPr>
        <w:ind w:left="720"/>
      </w:pPr>
      <w:r w:rsidRPr="000B4DC1">
        <w:t xml:space="preserve">After the selected certified IDR entity has reviewed the offer, </w:t>
      </w:r>
      <w:r w:rsidRPr="000B4DC1" w:rsidDel="00085E48">
        <w:t>t</w:t>
      </w:r>
      <w:r w:rsidRPr="000B4DC1">
        <w:t>he certified IDR entity must notify the provider or facility and the plan, issuer, or FEHB carrier of the payment determination and the reason for such determination, in a form and manner specified by the Departments.</w:t>
      </w:r>
      <w:r w:rsidRPr="000B4DC1">
        <w:rPr>
          <w:vertAlign w:val="superscript"/>
        </w:rPr>
        <w:footnoteReference w:id="9"/>
      </w:r>
      <w:r w:rsidRPr="000B4DC1">
        <w:t xml:space="preserve">  The cost of preparing and delivering this notice is assumed to be included in the certified IDR entity fee paid by the plan or issuer, or provider or facility, to conduct the review.</w:t>
      </w:r>
      <w:r w:rsidRPr="000B4DC1">
        <w:rPr>
          <w:vertAlign w:val="superscript"/>
        </w:rPr>
        <w:footnoteReference w:id="10"/>
      </w:r>
    </w:p>
    <w:p w:rsidRPr="000B4DC1" w:rsidR="000B4DC1" w:rsidP="000B4DC1" w:rsidRDefault="000B4DC1" w14:paraId="485F7ABB" w14:textId="77777777">
      <w:pPr>
        <w:ind w:left="720"/>
      </w:pPr>
    </w:p>
    <w:p w:rsidR="000B4DC1" w:rsidP="000B4DC1" w:rsidRDefault="000B4DC1" w14:paraId="1892E3FC" w14:textId="36887B09">
      <w:pPr>
        <w:ind w:left="720"/>
      </w:pPr>
      <w:r w:rsidRPr="000B4DC1">
        <w:t xml:space="preserve">If the certified IDR entity does not choose the offer closest to the QPA, the certified IDR entity’s written decision must include an explanation of the credible information that the certified IDR entity determined demonstrated that the QPA </w:t>
      </w:r>
      <w:r w:rsidRPr="000B4DC1">
        <w:rPr>
          <w:iCs/>
        </w:rPr>
        <w:t xml:space="preserve">was materially different </w:t>
      </w:r>
      <w:r w:rsidRPr="000B4DC1">
        <w:t>from the appropriate out-of-network rate, based on the permitted considerations,</w:t>
      </w:r>
      <w:r w:rsidRPr="000B4DC1">
        <w:rPr>
          <w:iCs/>
        </w:rPr>
        <w:t xml:space="preserve"> with respect to the qualified IDR item or service</w:t>
      </w:r>
      <w:r w:rsidRPr="000B4DC1">
        <w:t xml:space="preserve">. </w:t>
      </w:r>
      <w:r w:rsidR="00787E21">
        <w:t xml:space="preserve"> </w:t>
      </w:r>
      <w:r w:rsidRPr="000B4DC1">
        <w:t xml:space="preserve">The cost of preparing and delivering this written decision is included in the certified IDR entity fee paid by the provider, facility, plan, issuer, or FEHB carrier.  When determining the out-of-network rate, the certified IDR entity must consider the QPA and must consider the other statutory factors when a party presents credible information relating to those factors clearly demonstrating the </w:t>
      </w:r>
      <w:r w:rsidRPr="000B4DC1">
        <w:rPr>
          <w:iCs/>
        </w:rPr>
        <w:t xml:space="preserve">QPA is materially different </w:t>
      </w:r>
      <w:r w:rsidRPr="000B4DC1">
        <w:t xml:space="preserve">from the appropriate out-of-network rate, or where the </w:t>
      </w:r>
      <w:r w:rsidRPr="000B4DC1">
        <w:rPr>
          <w:iCs/>
        </w:rPr>
        <w:t>offers are equally distant from the QPA but in opposing directions</w:t>
      </w:r>
      <w:r w:rsidRPr="000B4DC1">
        <w:t xml:space="preserve">. </w:t>
      </w:r>
    </w:p>
    <w:p w:rsidRPr="000B4DC1" w:rsidR="000B4DC1" w:rsidP="000B4DC1" w:rsidRDefault="000B4DC1" w14:paraId="55EB4D7E" w14:textId="77777777">
      <w:pPr>
        <w:ind w:left="720"/>
      </w:pPr>
    </w:p>
    <w:p w:rsidR="000B4DC1" w:rsidP="000B4DC1" w:rsidRDefault="000B4DC1" w14:paraId="5640F6DD" w14:textId="0F91F2B9">
      <w:pPr>
        <w:ind w:left="720"/>
      </w:pPr>
      <w:r w:rsidRPr="000B4DC1">
        <w:t xml:space="preserve">Additionally, the selected certified IDR entity must provide the payment determination and the reasons for such to the Departments. </w:t>
      </w:r>
      <w:r w:rsidRPr="000B4DC1" w:rsidDel="00247D57">
        <w:t xml:space="preserve"> </w:t>
      </w:r>
      <w:r w:rsidRPr="000B4DC1">
        <w:t xml:space="preserve">The Departments also assume that the cost of preparing and delivering this written decision is included in the certified IDR entity fee paid by the provider, facility, plan, issuer, or FEHB carrier. </w:t>
      </w:r>
    </w:p>
    <w:p w:rsidRPr="008351D7" w:rsidR="008351D7" w:rsidP="0099246C" w:rsidRDefault="008351D7" w14:paraId="536F1CB7" w14:textId="7473416B"/>
    <w:p w:rsidR="008351D7" w:rsidP="008351D7" w:rsidRDefault="008351D7" w14:paraId="68AD801B" w14:textId="5C32C721">
      <w:pPr>
        <w:ind w:left="720"/>
        <w:rPr>
          <w:i/>
        </w:rPr>
      </w:pPr>
      <w:r w:rsidRPr="008351D7">
        <w:rPr>
          <w:i/>
        </w:rPr>
        <w:t>Summary</w:t>
      </w:r>
    </w:p>
    <w:p w:rsidRPr="008351D7" w:rsidR="008351D7" w:rsidP="008351D7" w:rsidRDefault="008351D7" w14:paraId="230E2717" w14:textId="77777777">
      <w:pPr>
        <w:ind w:left="720"/>
        <w:rPr>
          <w:i/>
        </w:rPr>
      </w:pPr>
    </w:p>
    <w:p w:rsidR="008351D7" w:rsidP="004B6A21" w:rsidRDefault="008351D7" w14:paraId="63186DAA" w14:textId="1F9F50AE">
      <w:pPr>
        <w:ind w:left="720"/>
      </w:pPr>
      <w:r w:rsidRPr="008351D7">
        <w:t xml:space="preserve">The total hour burden associated with the </w:t>
      </w:r>
      <w:r w:rsidR="00234B85">
        <w:t>F</w:t>
      </w:r>
      <w:r w:rsidRPr="008351D7">
        <w:t xml:space="preserve">ederal IDR process for hospital and emergency department claims is 211,376 hours with an equivalent cost of $20,666,498.  The total cost associated with the </w:t>
      </w:r>
      <w:r w:rsidR="009A7A62">
        <w:t>F</w:t>
      </w:r>
      <w:r w:rsidRPr="008351D7">
        <w:t xml:space="preserve">ederal IDR process for hospital and emergency claims is $481,294. </w:t>
      </w:r>
    </w:p>
    <w:p w:rsidRPr="008351D7" w:rsidR="008351D7" w:rsidP="0099246C" w:rsidRDefault="008351D7" w14:paraId="40DDCE3B" w14:textId="77777777">
      <w:pPr>
        <w:ind w:left="720" w:firstLine="720"/>
      </w:pPr>
    </w:p>
    <w:p w:rsidR="001E2AF0" w:rsidP="008351D7" w:rsidRDefault="008351D7" w14:paraId="0EBC43FD" w14:textId="5CC1045B">
      <w:pPr>
        <w:ind w:left="720"/>
      </w:pPr>
      <w:r w:rsidRPr="008351D7">
        <w:t xml:space="preserve">Half of the burden associated with the </w:t>
      </w:r>
      <w:r w:rsidR="00234B85">
        <w:t>F</w:t>
      </w:r>
      <w:r w:rsidRPr="008351D7">
        <w:t>ederal IDR process for hospital and emergency departments is estimated to be allocated to health care plans, issuers, and FEHB carriers, and the other half is estimated be allocated to health care providers and facilities.  HHS, DOL, the Department of the Treasury, and OPM share jurisdiction, HHS will account for 45</w:t>
      </w:r>
      <w:r w:rsidR="005517AA">
        <w:t xml:space="preserve"> percent</w:t>
      </w:r>
      <w:r w:rsidRPr="008351D7">
        <w:t xml:space="preserve"> of the burden.  DOL and the Department of the Treasury will each account for 25 percent of the burd</w:t>
      </w:r>
      <w:r w:rsidR="00AE2950">
        <w:t>en</w:t>
      </w:r>
      <w:r w:rsidRPr="008351D7">
        <w:t>.  OPM will account for 5 percent of the burden</w:t>
      </w:r>
      <w:r w:rsidR="00AE2950">
        <w:t>.</w:t>
      </w:r>
    </w:p>
    <w:p w:rsidR="001E2AF0" w:rsidP="001E2AF0" w:rsidRDefault="001E2AF0" w14:paraId="4335B5F5" w14:textId="77777777">
      <w:pPr>
        <w:ind w:left="720"/>
      </w:pPr>
    </w:p>
    <w:p w:rsidRPr="001E2AF0" w:rsidR="009310C6" w:rsidP="008351D7" w:rsidRDefault="00AE2950" w14:paraId="2D4DC770" w14:textId="669ACE61">
      <w:pPr>
        <w:ind w:left="720"/>
      </w:pPr>
      <w:r w:rsidRPr="00AE2950">
        <w:t xml:space="preserve">The hour burden associated with DOL requirements is estimated to be approximately 52,844 hours at an equivalent cost of $5,166,624.  </w:t>
      </w:r>
      <w:r w:rsidR="009310C6">
        <w:t xml:space="preserve">During the first six months, </w:t>
      </w:r>
      <w:r w:rsidRPr="001E2AF0" w:rsidR="009310C6">
        <w:t xml:space="preserve">the hour burden </w:t>
      </w:r>
      <w:r w:rsidR="009310C6">
        <w:t>associated with</w:t>
      </w:r>
      <w:r w:rsidRPr="001E2AF0" w:rsidR="009310C6">
        <w:t xml:space="preserve"> DOL </w:t>
      </w:r>
      <w:r w:rsidR="009310C6">
        <w:t>requirements</w:t>
      </w:r>
      <w:r w:rsidRPr="001E2AF0" w:rsidR="009310C6">
        <w:t xml:space="preserve"> is approximately </w:t>
      </w:r>
      <w:r w:rsidRPr="00B40744" w:rsidR="00B40744">
        <w:t>26,422</w:t>
      </w:r>
      <w:r w:rsidR="00B40744">
        <w:t xml:space="preserve"> </w:t>
      </w:r>
      <w:r w:rsidRPr="001E2AF0" w:rsidR="009310C6">
        <w:t xml:space="preserve">hours at an equivalent cost of </w:t>
      </w:r>
      <w:r w:rsidRPr="00B40744" w:rsidR="00B40744">
        <w:t>$2,583,312</w:t>
      </w:r>
      <w:r w:rsidRPr="001E2AF0" w:rsidDel="007E36A8" w:rsidR="009310C6">
        <w:t xml:space="preserve"> </w:t>
      </w:r>
      <w:r w:rsidRPr="001E2AF0" w:rsidR="009310C6">
        <w:t>each</w:t>
      </w:r>
      <w:r>
        <w:t>.</w:t>
      </w:r>
    </w:p>
    <w:p w:rsidR="001E2AF0" w:rsidP="001E2AF0" w:rsidRDefault="001E2AF0" w14:paraId="4641E8BC" w14:textId="77777777">
      <w:pPr>
        <w:ind w:left="720"/>
        <w:rPr>
          <w:i/>
        </w:rPr>
      </w:pPr>
    </w:p>
    <w:p w:rsidRPr="0099246C" w:rsidR="001E2AF0" w:rsidP="001E2AF0" w:rsidRDefault="001E2AF0" w14:paraId="698A4179" w14:textId="77777777">
      <w:pPr>
        <w:ind w:left="720"/>
        <w:rPr>
          <w:b/>
          <w:i/>
          <w:u w:val="single"/>
        </w:rPr>
      </w:pPr>
      <w:r w:rsidRPr="0099246C">
        <w:rPr>
          <w:b/>
          <w:i/>
          <w:u w:val="single"/>
        </w:rPr>
        <w:t xml:space="preserve">Federal IDR Process for Air Ambulance </w:t>
      </w:r>
    </w:p>
    <w:p w:rsidR="001E2AF0" w:rsidP="001E2AF0" w:rsidRDefault="001E2AF0" w14:paraId="77FE9C3D" w14:textId="77777777">
      <w:pPr>
        <w:ind w:left="720"/>
      </w:pPr>
    </w:p>
    <w:p w:rsidRPr="004B6A21" w:rsidR="004B6A21" w:rsidP="004B6A21" w:rsidRDefault="004B6A21" w14:paraId="1A5E160B" w14:textId="681D92AC">
      <w:pPr>
        <w:ind w:left="720"/>
      </w:pPr>
      <w:r w:rsidRPr="004B6A21">
        <w:t>According to the March 2019 Health Insurance Coverage Bulletin, in 2018, 213.2 million individuals had private health insurance.</w:t>
      </w:r>
      <w:r w:rsidRPr="004B6A21">
        <w:rPr>
          <w:vertAlign w:val="superscript"/>
        </w:rPr>
        <w:footnoteReference w:id="11"/>
      </w:r>
      <w:r w:rsidRPr="004B6A21">
        <w:t xml:space="preserve">  In 2017, HCCI estimated that, on average, there were 33.3 air ambulance uses per 100,000 people,</w:t>
      </w:r>
      <w:r w:rsidRPr="004B6A21">
        <w:rPr>
          <w:vertAlign w:val="superscript"/>
        </w:rPr>
        <w:footnoteReference w:id="12"/>
      </w:r>
      <w:r w:rsidRPr="004B6A21">
        <w:t xml:space="preserve"> and the GAO estimated that approximately 69</w:t>
      </w:r>
      <w:r w:rsidR="00844226">
        <w:t xml:space="preserve"> percent</w:t>
      </w:r>
      <w:r w:rsidRPr="004B6A21">
        <w:t xml:space="preserve"> of air transports resulted in an out-of-network bill.</w:t>
      </w:r>
      <w:r w:rsidRPr="004B6A21">
        <w:rPr>
          <w:vertAlign w:val="superscript"/>
        </w:rPr>
        <w:footnoteReference w:id="13"/>
      </w:r>
      <w:r w:rsidRPr="004B6A21">
        <w:t xml:space="preserve">  The Departments do not have data on what percent of out-of-network bills will proceed to the </w:t>
      </w:r>
      <w:r w:rsidR="009A7A62">
        <w:t>F</w:t>
      </w:r>
      <w:r w:rsidRPr="004B6A21">
        <w:t>ederal IDR process; however, given the nature of air ambulance services, the Departments assume that the percentage will be substantially higher than for hospital or emergency department claims.  The Departments assume that 10</w:t>
      </w:r>
      <w:r w:rsidR="005517AA">
        <w:t xml:space="preserve"> percent</w:t>
      </w:r>
      <w:r w:rsidRPr="004B6A21">
        <w:t xml:space="preserve"> of out-of-network claims for air transport will end up in the </w:t>
      </w:r>
      <w:r w:rsidR="009A7A62">
        <w:t>F</w:t>
      </w:r>
      <w:r w:rsidRPr="004B6A21">
        <w:t xml:space="preserve">ederal IDR process.  </w:t>
      </w:r>
    </w:p>
    <w:p w:rsidR="004B6A21" w:rsidP="004B6A21" w:rsidRDefault="004B6A21" w14:paraId="4CBC9F4F" w14:textId="77777777">
      <w:pPr>
        <w:ind w:left="720"/>
      </w:pPr>
    </w:p>
    <w:p w:rsidR="004B6A21" w:rsidP="004B6A21" w:rsidRDefault="004B6A21" w14:paraId="26325CEA" w14:textId="5190B6E9">
      <w:pPr>
        <w:ind w:left="720"/>
      </w:pPr>
      <w:r w:rsidRPr="004B6A21">
        <w:lastRenderedPageBreak/>
        <w:t xml:space="preserve">Accordingly, the government estimates there will be 4,899 air ambulance service claims submitted to the </w:t>
      </w:r>
      <w:r w:rsidR="009A7A62">
        <w:t>F</w:t>
      </w:r>
      <w:r w:rsidRPr="004B6A21">
        <w:t>ederal IDR process each year.</w:t>
      </w:r>
      <w:r w:rsidRPr="004B6A21">
        <w:rPr>
          <w:vertAlign w:val="superscript"/>
        </w:rPr>
        <w:footnoteReference w:id="14"/>
      </w:r>
      <w:r>
        <w:t xml:space="preserve"> </w:t>
      </w:r>
      <w:r w:rsidR="00E6716A">
        <w:t xml:space="preserve"> </w:t>
      </w:r>
      <w:r w:rsidRPr="004B6A21">
        <w:t>In these interim final rules, air ambulance services are subject to the same requirements for hospital and emergency services in 26 CFR 54.9816-8T, 29 CFR 2590.716-8, and 45 CFR 149.510 (as applicable), except that the items and services for which the requirements of (b</w:t>
      </w:r>
      <w:proofErr w:type="gramStart"/>
      <w:r w:rsidRPr="004B6A21">
        <w:t>)(</w:t>
      </w:r>
      <w:proofErr w:type="gramEnd"/>
      <w:r w:rsidRPr="004B6A21">
        <w:t>1) of that section apply shall be understood to be out-of-network air ambulance services, and “qualified IDR items and services” are understood to be air ambulance services.</w:t>
      </w:r>
    </w:p>
    <w:p w:rsidRPr="004B6A21" w:rsidR="004B6A21" w:rsidP="006F72CF" w:rsidRDefault="004B6A21" w14:paraId="63E07603" w14:textId="77777777">
      <w:pPr>
        <w:ind w:left="720" w:firstLine="720"/>
      </w:pPr>
    </w:p>
    <w:p w:rsidR="001E2AF0" w:rsidP="00B94BAB" w:rsidRDefault="004B6A21" w14:paraId="0393A974" w14:textId="4049F84D">
      <w:pPr>
        <w:ind w:left="720"/>
      </w:pPr>
      <w:r w:rsidRPr="004B6A21">
        <w:t xml:space="preserve">The Departments estimate that 4,899 air transport disputes will be handled by the </w:t>
      </w:r>
      <w:r w:rsidR="00234B85">
        <w:t>F</w:t>
      </w:r>
      <w:r w:rsidRPr="004B6A21">
        <w:t>ederal IDR process each year, but the Departments estimate that 25</w:t>
      </w:r>
      <w:r w:rsidR="00844226">
        <w:t xml:space="preserve"> percent</w:t>
      </w:r>
      <w:r w:rsidRPr="004B6A21">
        <w:t xml:space="preserve"> of disputes will be resolved in open negotiation before entering the </w:t>
      </w:r>
      <w:r w:rsidR="00CB0C72">
        <w:t>F</w:t>
      </w:r>
      <w:r w:rsidRPr="004B6A21">
        <w:t>ederal IDR process.  Accordingly, the Departments estimate that 6,532 transport payment determinations will</w:t>
      </w:r>
      <w:r w:rsidRPr="004B6A21" w:rsidDel="00E24D8A">
        <w:t xml:space="preserve"> </w:t>
      </w:r>
      <w:r w:rsidRPr="004B6A21">
        <w:t>enter into open negotiation.</w:t>
      </w:r>
      <w:r w:rsidRPr="004B6A21">
        <w:rPr>
          <w:vertAlign w:val="superscript"/>
        </w:rPr>
        <w:footnoteReference w:id="15"/>
      </w:r>
      <w:r w:rsidRPr="004B6A21">
        <w:t xml:space="preserve">  The Departments estimate that it will take an average of 2 hours for a medical and health services manager to write each open negotiation </w:t>
      </w:r>
      <w:r w:rsidR="00553632">
        <w:t xml:space="preserve">notice </w:t>
      </w:r>
      <w:r w:rsidRPr="004B6A21">
        <w:t>and 15 minutes for a clerical worker to prepare and send the notice.  The burden for each plan, issuer, and FEHB carrier</w:t>
      </w:r>
      <w:r w:rsidRPr="004B6A21" w:rsidDel="00951537">
        <w:t xml:space="preserve"> </w:t>
      </w:r>
      <w:r w:rsidRPr="004B6A21">
        <w:t xml:space="preserve">would be 2.25 hours, with an equivalent cost of approximately $224.  </w:t>
      </w:r>
      <w:r w:rsidR="000F783A">
        <w:t>F</w:t>
      </w:r>
      <w:r w:rsidRPr="004B6A21">
        <w:t>or the 6,532 payment determinations that will enter into open negotiation, the annual burden would be 14,696 hours, with an annual equivalent cost estimate of $1.5 million.</w:t>
      </w:r>
      <w:r w:rsidRPr="004B6A21">
        <w:rPr>
          <w:vertAlign w:val="superscript"/>
        </w:rPr>
        <w:footnoteReference w:id="16"/>
      </w:r>
      <w:r w:rsidRPr="004B6A21">
        <w:t xml:space="preserve">  The open negotiation notice must be sent within 30 business days beginning on the day the provider of air ambulance services receives an initial payment or a notice of denial of payment from the plan, issuer, or FEHB carrier regarding such item or service.  </w:t>
      </w:r>
    </w:p>
    <w:p w:rsidR="000F783A" w:rsidP="004B6A21" w:rsidRDefault="000F783A" w14:paraId="4220F1AD" w14:textId="77777777">
      <w:pPr>
        <w:ind w:left="720"/>
      </w:pPr>
    </w:p>
    <w:p w:rsidR="004B6A21" w:rsidP="004B6A21" w:rsidRDefault="004B6A21" w14:paraId="4E63EE2E" w14:textId="01641774">
      <w:pPr>
        <w:ind w:left="720"/>
      </w:pPr>
      <w:r w:rsidRPr="004B6A21">
        <w:t xml:space="preserve">For the estimated 4,899 payment determinations that are submitted to the </w:t>
      </w:r>
      <w:r w:rsidR="009C548B">
        <w:t>F</w:t>
      </w:r>
      <w:r w:rsidRPr="004B6A21">
        <w:t>ederal IDR process, the Departments estimate that it will take 2 hours for a legal professional to write the Notice of IDR Initiation and 15 minutes for a clerical worker to prepare and send the initiating notice.  The burden for each plan, issuer, and FEHB carrier</w:t>
      </w:r>
      <w:r w:rsidRPr="004B6A21" w:rsidDel="00951537">
        <w:t xml:space="preserve"> </w:t>
      </w:r>
      <w:r w:rsidRPr="004B6A21">
        <w:t xml:space="preserve">would be 2.25 hours, with an equivalent cost of approximately $224.  </w:t>
      </w:r>
      <w:r w:rsidR="00E45E2C">
        <w:t>F</w:t>
      </w:r>
      <w:r w:rsidRPr="004B6A21">
        <w:t>or the 4,899 payment determinations that will have selected a certified IDR entity, the annual burden would be 11,022 hours, with an annual equivalent cost estimate of $1.1 million.</w:t>
      </w:r>
      <w:r w:rsidRPr="004B6A21">
        <w:rPr>
          <w:vertAlign w:val="superscript"/>
        </w:rPr>
        <w:footnoteReference w:id="17"/>
      </w:r>
      <w:r w:rsidRPr="004B6A21">
        <w:t xml:space="preserve">  </w:t>
      </w:r>
    </w:p>
    <w:p w:rsidR="004B6A21" w:rsidP="004B6A21" w:rsidRDefault="004B6A21" w14:paraId="60081EE8" w14:textId="35D5B69F">
      <w:pPr>
        <w:ind w:left="720"/>
      </w:pPr>
    </w:p>
    <w:p w:rsidR="004B6A21" w:rsidP="004B6A21" w:rsidRDefault="004B6A21" w14:paraId="2CF98B21" w14:textId="51D4E857">
      <w:pPr>
        <w:ind w:left="720"/>
      </w:pPr>
      <w:r w:rsidRPr="004B6A21">
        <w:t xml:space="preserve">If the parties to the </w:t>
      </w:r>
      <w:r w:rsidR="00234B85">
        <w:t>F</w:t>
      </w:r>
      <w:r w:rsidRPr="004B6A21">
        <w:t xml:space="preserve">ederal IDR process agree on an out-of-network rate for a qualified IDR item or service after providing a Notice of IDR Initiation to the Departments, but before the certified IDR entity has made its </w:t>
      </w:r>
      <w:r w:rsidRPr="000575A8" w:rsidR="000575A8">
        <w:t>payment determination</w:t>
      </w:r>
      <w:r w:rsidRPr="004B6A21">
        <w:t xml:space="preserve">, the initiating party must send a notification to the Departments and to the certified IDR entity (if selected) electronically through the </w:t>
      </w:r>
      <w:r w:rsidR="00EE2C55">
        <w:t>F</w:t>
      </w:r>
      <w:r w:rsidRPr="004B6A21">
        <w:t>ederal IDR portal, in a form and manner specified by the Departments, as soon as possible, but no later than 3 business days after the date of the agreement.  This notification should include the out-of-network rate for the qualified IDR item or service and signatures from authorized signatories for both parties.  The Departments assume that 1</w:t>
      </w:r>
      <w:r w:rsidR="00A27386">
        <w:t xml:space="preserve"> percent</w:t>
      </w:r>
      <w:r w:rsidRPr="004B6A21">
        <w:t xml:space="preserve"> of payment determinations will be resolved by an agreement on an out-of-network rate after the </w:t>
      </w:r>
      <w:r w:rsidR="007046CE">
        <w:t>F</w:t>
      </w:r>
      <w:r w:rsidRPr="004B6A21">
        <w:t xml:space="preserve">ederal IDR process has been initiated.  The Departments estimate that it will take, on average, a medical and health services manager 30 minutes to write each notice of open negotiation and a clerical worker 15 minutes to submit the notice to the </w:t>
      </w:r>
      <w:r w:rsidR="007046CE">
        <w:t>F</w:t>
      </w:r>
      <w:r w:rsidRPr="004B6A21">
        <w:t xml:space="preserve">ederal IDR portal.  The burden for each plan, issuer, and FEHB carrier would be 45 minutes, with an equivalent cost of approximately $66.  </w:t>
      </w:r>
      <w:r w:rsidR="00C5076F">
        <w:t>F</w:t>
      </w:r>
      <w:r w:rsidRPr="004B6A21">
        <w:t>or the 49 payment determinations resolved in this manner, the annual burden would be 37 hours, with an associated equivalent cost of $3,249.</w:t>
      </w:r>
      <w:r w:rsidRPr="004B6A21">
        <w:rPr>
          <w:vertAlign w:val="superscript"/>
        </w:rPr>
        <w:footnoteReference w:id="18"/>
      </w:r>
      <w:r w:rsidRPr="004B6A21">
        <w:t xml:space="preserve">  </w:t>
      </w:r>
    </w:p>
    <w:p w:rsidR="004B6A21" w:rsidP="004B6A21" w:rsidRDefault="004B6A21" w14:paraId="3CDF3113" w14:textId="522C6BB6">
      <w:pPr>
        <w:ind w:left="720"/>
      </w:pPr>
    </w:p>
    <w:p w:rsidRPr="004B6A21" w:rsidR="004B6A21" w:rsidP="004B6A21" w:rsidRDefault="004B6A21" w14:paraId="2F02A6BF" w14:textId="530581F2">
      <w:pPr>
        <w:ind w:left="720"/>
      </w:pPr>
      <w:r w:rsidRPr="004B6A21">
        <w:t>If the plan, issuer, or FEHB carrier and the nonparticipating provider of air ambulance services select or fail to select a certified IDR entity, they must notify the Departments of their selection or failure to select a certified IDR entity no later than 1 day after such selection or failure.  The Departments estimate that in 75</w:t>
      </w:r>
      <w:r w:rsidR="00844226">
        <w:t xml:space="preserve"> percent</w:t>
      </w:r>
      <w:r w:rsidRPr="004B6A21">
        <w:t xml:space="preserve"> of payment determinations, a certified IDR entity will be selected.  Additionally, the Departments assume that it will take one hour for a legal professional to write the notice and 15 minutes for a clerical worker to prepare and send the notice.  The burden for each plan, issuer, and FEHB carrier</w:t>
      </w:r>
      <w:r w:rsidRPr="004B6A21" w:rsidDel="00951537">
        <w:t xml:space="preserve"> </w:t>
      </w:r>
      <w:r w:rsidRPr="004B6A21">
        <w:t xml:space="preserve">would be 1.25 hours, with an equivalent cost of approximately $119.  Due to the tight turnaround, the Departments assume this notice will be sent electronically through the </w:t>
      </w:r>
      <w:r w:rsidR="007046CE">
        <w:t>F</w:t>
      </w:r>
      <w:r w:rsidRPr="004B6A21">
        <w:t xml:space="preserve">ederal IDR portal.  </w:t>
      </w:r>
      <w:r w:rsidR="00C5076F">
        <w:t>F</w:t>
      </w:r>
      <w:r w:rsidRPr="004B6A21">
        <w:t>or the 3,674 payment determinations that will have a selected a certified IDR entity, the annual burden would be 4,593 hours, with an annual equivalent cost estimate of $0.4 million.</w:t>
      </w:r>
      <w:r w:rsidRPr="004B6A21">
        <w:rPr>
          <w:vertAlign w:val="superscript"/>
        </w:rPr>
        <w:footnoteReference w:id="19"/>
      </w:r>
      <w:r w:rsidRPr="004B6A21">
        <w:t xml:space="preserve"> </w:t>
      </w:r>
    </w:p>
    <w:p w:rsidR="004B6A21" w:rsidP="004B6A21" w:rsidRDefault="004B6A21" w14:paraId="0D2CFB96" w14:textId="51DC2BC2">
      <w:pPr>
        <w:ind w:left="720"/>
      </w:pPr>
    </w:p>
    <w:p w:rsidR="004B6A21" w:rsidP="004B6A21" w:rsidRDefault="004B6A21" w14:paraId="2662571A" w14:textId="15571009">
      <w:pPr>
        <w:ind w:left="720"/>
      </w:pPr>
      <w:r w:rsidRPr="004B6A21">
        <w:lastRenderedPageBreak/>
        <w:t>If the plan, issuer, or FEHB carrier and the nonparticipating provider of air ambulance services fail to select a certified IDR entity, the Departments will select a certified IDR entity that charges a fee within the allowed range of certified IDR</w:t>
      </w:r>
      <w:r w:rsidRPr="004B6A21" w:rsidDel="004B237E">
        <w:t xml:space="preserve"> entity </w:t>
      </w:r>
      <w:r w:rsidRPr="004B6A21">
        <w:t>costs (or has received approval from the Departments to charge a fee outside of the allowed range) through a random selection method.  The range of certified IDR entity fees and the administrative fee paid to the Departments by the plan, issuer, or FEHB carrier and the provider of air ambulance services will be addressed in later guidance by the Departments.  The Departments estimate that in 25</w:t>
      </w:r>
      <w:r w:rsidR="005A2B7D">
        <w:t xml:space="preserve"> percent</w:t>
      </w:r>
      <w:r w:rsidRPr="004B6A21">
        <w:t xml:space="preserve"> of IDR payment determinations, a certified IDR entity will not be selected by the parties.  </w:t>
      </w:r>
    </w:p>
    <w:p w:rsidRPr="004B6A21" w:rsidR="004B6A21" w:rsidP="004B6A21" w:rsidRDefault="004B6A21" w14:paraId="5182014F" w14:textId="77777777">
      <w:pPr>
        <w:ind w:left="720"/>
      </w:pPr>
    </w:p>
    <w:p w:rsidR="004B6A21" w:rsidP="004B6A21" w:rsidRDefault="004B6A21" w14:paraId="25B457E3" w14:textId="5B1F35D2">
      <w:pPr>
        <w:ind w:left="720"/>
      </w:pPr>
      <w:r w:rsidRPr="004B6A21">
        <w:t xml:space="preserve">Additionally, no later than 10 business days after the date of selection of the certified IDR entity with respect to a determination for a qualified IDR item or service, the provider of air ambulance services, plan, issuer, or FEHB carrier must submit to the certified IDR entity: (1) an offer for a payment amount for the qualified IDR item or service furnished by the provider of air ambulance services, expressed both as a dollar amount and as a percentage of the QPA; and (2) information as requested by the certified IDR entity relating to the offer. With the information requested by the certified IDR entity, the parties must include: (A) the coverage area of the plan, issuer, or FEHB carrier; the relevant geographic region for purposes of the QPA; (B) whether the coverage is fully-insured self-insured, or mixed funded), if applicable; and (C) the QPA. The parties may also submit to the certified IDR entity any information relating to the offer submitted by either party, except that the information may not include information on factors described in paragraph 26 CFR 54.9816-8T(c)(4)(v), 29 CFR 2590.716-8(c)(4)(v), and 45 CFR 149.510(c)(4)(v).  The Departments estimate for providers of air ambulance services, issuers, plans, and FEHB carriers, it will take an average of 2 hours for a medical and health services manager to write the offer and 15 minutes for a clerical worker to prepare and send the offer.  The burden for each plan, issuer, and FEHB carrier would be 2.25 hours, with an equivalent cost of approximately $224.  </w:t>
      </w:r>
      <w:r w:rsidR="00C5076F">
        <w:t>F</w:t>
      </w:r>
      <w:r w:rsidRPr="004B6A21">
        <w:t>or the 4,899 claims that will go through submission of offers, the annual burden would be 22,044 hours, with an annual equivalent cost estimate of $2.2 million.</w:t>
      </w:r>
      <w:r w:rsidRPr="004B6A21">
        <w:rPr>
          <w:vertAlign w:val="superscript"/>
        </w:rPr>
        <w:footnoteReference w:id="20"/>
      </w:r>
      <w:r w:rsidRPr="004B6A21">
        <w:t xml:space="preserve">  </w:t>
      </w:r>
    </w:p>
    <w:p w:rsidR="004B6A21" w:rsidP="004B6A21" w:rsidRDefault="004B6A21" w14:paraId="78FFA5B1" w14:textId="55BE8056">
      <w:pPr>
        <w:ind w:left="720"/>
      </w:pPr>
    </w:p>
    <w:p w:rsidR="004B6A21" w:rsidP="004B6A21" w:rsidRDefault="004B6A21" w14:paraId="0D7752C7" w14:textId="63658D6F">
      <w:pPr>
        <w:ind w:left="720"/>
      </w:pPr>
      <w:r w:rsidRPr="004B6A21">
        <w:t>After the certified IDR entity has reviewed the offer, the certified IDR entity must notify the provider of air ambulance services and the plan, issuer, or FEHB carrier of the payment determination.</w:t>
      </w:r>
      <w:r w:rsidRPr="004B6A21">
        <w:rPr>
          <w:vertAlign w:val="superscript"/>
        </w:rPr>
        <w:footnoteReference w:id="21"/>
      </w:r>
      <w:r w:rsidRPr="004B6A21">
        <w:t xml:space="preserve">  The cost of preparing and delivering this notice is included in </w:t>
      </w:r>
      <w:r w:rsidRPr="004B6A21">
        <w:lastRenderedPageBreak/>
        <w:t>the $25 administrative fee paid by the provider of air ambulance services, plan, issuer, or FEHB carrier to conduct the review.</w:t>
      </w:r>
    </w:p>
    <w:p w:rsidRPr="004B6A21" w:rsidR="004B6A21" w:rsidP="004B6A21" w:rsidRDefault="004B6A21" w14:paraId="49EFC56C" w14:textId="77777777">
      <w:pPr>
        <w:ind w:left="720"/>
      </w:pPr>
    </w:p>
    <w:p w:rsidR="004B6A21" w:rsidP="004B6A21" w:rsidRDefault="004B6A21" w14:paraId="35AF626D" w14:textId="19CF4B00">
      <w:pPr>
        <w:ind w:left="720"/>
      </w:pPr>
      <w:r w:rsidRPr="004B6A21">
        <w:t xml:space="preserve">Certified IDR entities also need to notify the provider of air ambulance services and the plan, issuer, or FEHB carrier of the payment determination and </w:t>
      </w:r>
      <w:r w:rsidRPr="004B6A21" w:rsidDel="00D866D6">
        <w:t xml:space="preserve">the </w:t>
      </w:r>
      <w:r w:rsidRPr="004B6A21">
        <w:t xml:space="preserve">written decision explaining such determination.  If the certified IDR entity does not choose the offer closest to the QPA, the certified IDR entity’s written decision must include an explanation of the credible information that the certified IDR entity determined demonstrated that the QPA amount </w:t>
      </w:r>
      <w:r w:rsidRPr="004B6A21">
        <w:rPr>
          <w:iCs/>
        </w:rPr>
        <w:t xml:space="preserve">was materially different </w:t>
      </w:r>
      <w:r w:rsidRPr="004B6A21">
        <w:t>from the appropriate out-of-network rate, based on the required considerations,</w:t>
      </w:r>
      <w:r w:rsidRPr="004B6A21">
        <w:rPr>
          <w:iCs/>
        </w:rPr>
        <w:t xml:space="preserve"> with respect to the qualified IDR item or service</w:t>
      </w:r>
      <w:r w:rsidRPr="004B6A21">
        <w:t xml:space="preserve">.  </w:t>
      </w:r>
    </w:p>
    <w:p w:rsidRPr="004B6A21" w:rsidR="004B6A21" w:rsidP="00CB52B7" w:rsidRDefault="004B6A21" w14:paraId="084E494C" w14:textId="4B071719"/>
    <w:p w:rsidRPr="004B6A21" w:rsidR="004B6A21" w:rsidP="004B6A21" w:rsidRDefault="004B6A21" w14:paraId="2C6B0F00" w14:textId="77777777">
      <w:pPr>
        <w:ind w:left="720"/>
        <w:rPr>
          <w:i/>
        </w:rPr>
      </w:pPr>
      <w:r w:rsidRPr="004B6A21">
        <w:rPr>
          <w:i/>
        </w:rPr>
        <w:t>Summary</w:t>
      </w:r>
    </w:p>
    <w:p w:rsidR="004B6A21" w:rsidP="004B6A21" w:rsidRDefault="004B6A21" w14:paraId="46DEA7A9" w14:textId="77777777">
      <w:pPr>
        <w:ind w:left="720"/>
      </w:pPr>
    </w:p>
    <w:p w:rsidR="00624B77" w:rsidP="00CB52B7" w:rsidRDefault="004B6A21" w14:paraId="577F531C" w14:textId="0A5880F6">
      <w:pPr>
        <w:ind w:left="720"/>
      </w:pPr>
      <w:r w:rsidRPr="004B6A21">
        <w:t xml:space="preserve">The total hour burden associated with the </w:t>
      </w:r>
      <w:r w:rsidR="00234B85">
        <w:t>F</w:t>
      </w:r>
      <w:r w:rsidRPr="004B6A21">
        <w:t xml:space="preserve">ederal IDR process for air ambulance services is 52,392 hours with an equivalent cost of $5,191,124.  Half of the burden associated with the </w:t>
      </w:r>
      <w:r w:rsidR="005A2B7D">
        <w:t>F</w:t>
      </w:r>
      <w:r w:rsidRPr="004B6A21">
        <w:t xml:space="preserve">ederal IDR process for air ambulance services is estimated to be allocated to health plans, issuers, or TPAs, and the other half is estimated be allocated to health care providers.  The burden associated with the </w:t>
      </w:r>
      <w:r w:rsidR="005A2B7D">
        <w:t>F</w:t>
      </w:r>
      <w:r w:rsidRPr="004B6A21">
        <w:t>ederal IDR process for air ambulance services is assumed to be shared by the Departments and OPM.  HHS is assumed to cover 45</w:t>
      </w:r>
      <w:r w:rsidR="005A2B7D">
        <w:t xml:space="preserve"> percent</w:t>
      </w:r>
      <w:r w:rsidRPr="004B6A21">
        <w:t xml:space="preserve"> of the burden, while DOL and the Department of the Treasury will each cover 25</w:t>
      </w:r>
      <w:r w:rsidR="005A2B7D">
        <w:t xml:space="preserve"> percent </w:t>
      </w:r>
      <w:r w:rsidRPr="004B6A21">
        <w:t>of the burden and OPM wi</w:t>
      </w:r>
      <w:r w:rsidR="00DF1051">
        <w:t>ll cover 5</w:t>
      </w:r>
      <w:r w:rsidR="005A2B7D">
        <w:t xml:space="preserve"> percent</w:t>
      </w:r>
      <w:r w:rsidR="00DF1051">
        <w:t xml:space="preserve"> of the burden.  </w:t>
      </w:r>
    </w:p>
    <w:p w:rsidR="00624B77" w:rsidP="00CB52B7" w:rsidRDefault="00624B77" w14:paraId="0D72386A" w14:textId="77777777">
      <w:pPr>
        <w:ind w:left="720"/>
      </w:pPr>
    </w:p>
    <w:p w:rsidR="003F5C04" w:rsidP="00CB52B7" w:rsidRDefault="003F5C04" w14:paraId="2190EC4E" w14:textId="74E716C3">
      <w:pPr>
        <w:ind w:left="720"/>
      </w:pPr>
      <w:r>
        <w:t>T</w:t>
      </w:r>
      <w:r w:rsidRPr="003F5C04">
        <w:t xml:space="preserve">he hour burden associated with DOL </w:t>
      </w:r>
      <w:r w:rsidR="00993D60">
        <w:t>requirements</w:t>
      </w:r>
      <w:r w:rsidR="00DF1051">
        <w:t xml:space="preserve"> </w:t>
      </w:r>
      <w:r w:rsidRPr="003F5C04">
        <w:t>is estimated to be approximately 13,089 hours at an eq</w:t>
      </w:r>
      <w:r>
        <w:t>uivalent cost of $1,297,781</w:t>
      </w:r>
      <w:r w:rsidRPr="003F5C04">
        <w:t xml:space="preserve">.  </w:t>
      </w:r>
      <w:r>
        <w:t xml:space="preserve">During the first six months, </w:t>
      </w:r>
      <w:r w:rsidRPr="001E2AF0">
        <w:t xml:space="preserve">the hour burden </w:t>
      </w:r>
      <w:r>
        <w:t>associated with</w:t>
      </w:r>
      <w:r w:rsidRPr="001E2AF0">
        <w:t xml:space="preserve"> DOL is approximately </w:t>
      </w:r>
      <w:r w:rsidRPr="00B229B9">
        <w:t xml:space="preserve">6,549 </w:t>
      </w:r>
      <w:r w:rsidRPr="001E2AF0">
        <w:t>hours at an equivalent cost of $</w:t>
      </w:r>
      <w:r w:rsidRPr="00B229B9">
        <w:t>648,89</w:t>
      </w:r>
      <w:r>
        <w:t>1.</w:t>
      </w:r>
    </w:p>
    <w:p w:rsidRPr="004B6A21" w:rsidR="004B6A21" w:rsidP="004B6A21" w:rsidRDefault="004B6A21" w14:paraId="222B4CEB" w14:textId="29068795">
      <w:pPr>
        <w:ind w:left="720"/>
      </w:pPr>
    </w:p>
    <w:p w:rsidRPr="00CB52B7" w:rsidR="00A04738" w:rsidP="00A04738" w:rsidRDefault="00A04738" w14:paraId="1ECB133C" w14:textId="6BDA5B6D">
      <w:pPr>
        <w:ind w:left="720"/>
        <w:rPr>
          <w:b/>
          <w:i/>
          <w:u w:val="single"/>
        </w:rPr>
      </w:pPr>
      <w:r w:rsidRPr="00CB52B7">
        <w:rPr>
          <w:b/>
          <w:i/>
          <w:u w:val="single"/>
        </w:rPr>
        <w:t>Request of Extension of Time Periods for Extenuating Circumstances</w:t>
      </w:r>
    </w:p>
    <w:p w:rsidRPr="00F57116" w:rsidR="00A04738" w:rsidP="00A04738" w:rsidRDefault="00A04738" w14:paraId="6FADAE90" w14:textId="77777777">
      <w:pPr>
        <w:ind w:left="720"/>
        <w:rPr>
          <w:i/>
        </w:rPr>
      </w:pPr>
    </w:p>
    <w:p w:rsidR="009B32B1" w:rsidP="00E145BE" w:rsidRDefault="00A04738" w14:paraId="5E02E13D" w14:textId="372CB2A2">
      <w:pPr>
        <w:ind w:left="720"/>
      </w:pPr>
      <w:r w:rsidRPr="004B6A21">
        <w:t xml:space="preserve">The Departments do not have data on how often entities will request an extension; however, the Departments are of the view that extenuating circumstances will be rare.  The Departments assume that 100 plans, issuers, FEHB carriers, </w:t>
      </w:r>
      <w:r w:rsidR="005F22B0">
        <w:t xml:space="preserve">health care or air ambulance service </w:t>
      </w:r>
      <w:r w:rsidRPr="004B6A21">
        <w:t xml:space="preserve">providers, or facilities will annually request an extension starting in 2022 by completing the “Request for Extension due to Extenuating Circumstances” form and attesting that prompt action will be taken to ensure the payment determination under this section is made as soon </w:t>
      </w:r>
      <w:r w:rsidR="00740EA6">
        <w:t>as administratively practical.</w:t>
      </w:r>
      <w:r w:rsidRPr="004B6A21">
        <w:t xml:space="preserve"> </w:t>
      </w:r>
      <w:r w:rsidR="0045268C">
        <w:t xml:space="preserve"> </w:t>
      </w:r>
      <w:r w:rsidRPr="004B6A21">
        <w:t>The Departments estimate that it will take a clerical worker 15 minutes to p</w:t>
      </w:r>
      <w:r>
        <w:t>repare and send the notice.  T</w:t>
      </w:r>
      <w:r w:rsidRPr="004B6A21">
        <w:t xml:space="preserve">he annual </w:t>
      </w:r>
      <w:r w:rsidRPr="004B6A21">
        <w:lastRenderedPageBreak/>
        <w:t>burden would be 25 hours, with an associated equivalent cost of $1,381.</w:t>
      </w:r>
      <w:r w:rsidRPr="004B6A21">
        <w:rPr>
          <w:vertAlign w:val="superscript"/>
        </w:rPr>
        <w:footnoteReference w:id="22"/>
      </w:r>
      <w:r w:rsidRPr="004B6A21">
        <w:t xml:space="preserve">  </w:t>
      </w:r>
    </w:p>
    <w:p w:rsidR="00A04738" w:rsidP="00E145BE" w:rsidRDefault="00A04738" w14:paraId="2B1E0F89" w14:textId="77777777">
      <w:pPr>
        <w:ind w:left="720"/>
        <w:rPr>
          <w:b/>
          <w:i/>
        </w:rPr>
      </w:pPr>
    </w:p>
    <w:p w:rsidRPr="0054486B" w:rsidR="0054486B" w:rsidP="00E145BE" w:rsidRDefault="0054486B" w14:paraId="44186A26" w14:textId="08A99609">
      <w:pPr>
        <w:ind w:left="720"/>
        <w:rPr>
          <w:i/>
        </w:rPr>
      </w:pPr>
      <w:r w:rsidRPr="0054486B">
        <w:rPr>
          <w:i/>
        </w:rPr>
        <w:t>Summary</w:t>
      </w:r>
    </w:p>
    <w:p w:rsidRPr="0054486B" w:rsidR="0054486B" w:rsidP="00E145BE" w:rsidRDefault="0054486B" w14:paraId="095FF2CA" w14:textId="6F23F06E">
      <w:pPr>
        <w:ind w:left="720"/>
      </w:pPr>
    </w:p>
    <w:p w:rsidR="0054486B" w:rsidP="0054486B" w:rsidRDefault="0054486B" w14:paraId="382A22C0" w14:textId="76A1D9DA">
      <w:pPr>
        <w:ind w:left="720"/>
      </w:pPr>
      <w:r w:rsidRPr="0054486B">
        <w:t>The total hour burden associated with requests for extension is 25 hours with an equivalent cost of $1,381.  Half of the burden is estimated to be allocated to health plans, issuers, or TPAs, and the other half is estimated be allocated to health care providers</w:t>
      </w:r>
      <w:r w:rsidR="007A33E5">
        <w:t>, facilities, and providers of air ambulance services</w:t>
      </w:r>
      <w:r w:rsidRPr="0054486B">
        <w:t>.  The burden is assumed to be shared by the Departments and OPM.  HHS is assumed to cover 45</w:t>
      </w:r>
      <w:r w:rsidR="00325430">
        <w:t xml:space="preserve"> percent </w:t>
      </w:r>
      <w:r w:rsidRPr="0054486B">
        <w:t>of the burden, while DOL and the Department of the Treasury will each cover 25</w:t>
      </w:r>
      <w:r w:rsidR="00325430">
        <w:t xml:space="preserve"> percent</w:t>
      </w:r>
      <w:r w:rsidRPr="0054486B">
        <w:t xml:space="preserve"> of the burden and OPM will cover 5</w:t>
      </w:r>
      <w:r w:rsidR="00325430">
        <w:t xml:space="preserve"> percent </w:t>
      </w:r>
      <w:r w:rsidRPr="0054486B">
        <w:t xml:space="preserve">of the burden.  </w:t>
      </w:r>
    </w:p>
    <w:p w:rsidR="0054486B" w:rsidP="0054486B" w:rsidRDefault="0054486B" w14:paraId="0CE54AD7" w14:textId="77777777">
      <w:pPr>
        <w:ind w:left="720"/>
      </w:pPr>
    </w:p>
    <w:p w:rsidRPr="00CB52B7" w:rsidR="0054486B" w:rsidP="0054486B" w:rsidRDefault="0054486B" w14:paraId="765F71FB" w14:textId="004F8B07">
      <w:pPr>
        <w:ind w:left="720"/>
      </w:pPr>
      <w:r>
        <w:t>T</w:t>
      </w:r>
      <w:r w:rsidRPr="0054486B">
        <w:t>he hour burden associated with DOL requirements is estimated to be approximately 6 hours at an equivalent cost of $345 each.  During the first six months, the hour burden associ</w:t>
      </w:r>
      <w:r>
        <w:t xml:space="preserve">ated with DOL is approximately 3 </w:t>
      </w:r>
      <w:r w:rsidRPr="0054486B">
        <w:t>hours at an equivalent cost of $</w:t>
      </w:r>
      <w:r>
        <w:t>173</w:t>
      </w:r>
      <w:r w:rsidRPr="0054486B">
        <w:t>.</w:t>
      </w:r>
    </w:p>
    <w:p w:rsidR="0054486B" w:rsidP="00E145BE" w:rsidRDefault="0054486B" w14:paraId="44A9A6B4" w14:textId="77777777">
      <w:pPr>
        <w:ind w:left="720"/>
        <w:rPr>
          <w:b/>
          <w:i/>
        </w:rPr>
      </w:pPr>
    </w:p>
    <w:p w:rsidRPr="00475C9E" w:rsidR="009B32B1" w:rsidP="00E145BE" w:rsidRDefault="009B32B1" w14:paraId="79A9B56C" w14:textId="108B2225">
      <w:pPr>
        <w:ind w:left="720"/>
        <w:rPr>
          <w:b/>
          <w:i/>
          <w:u w:val="single"/>
        </w:rPr>
      </w:pPr>
      <w:r w:rsidRPr="00475C9E">
        <w:rPr>
          <w:b/>
          <w:i/>
          <w:u w:val="single"/>
        </w:rPr>
        <w:t>Total Hour Burden Summary</w:t>
      </w:r>
    </w:p>
    <w:p w:rsidR="009B32B1" w:rsidP="00E145BE" w:rsidRDefault="009B32B1" w14:paraId="22E91E03" w14:textId="7B95D303">
      <w:pPr>
        <w:ind w:left="720"/>
      </w:pPr>
    </w:p>
    <w:p w:rsidR="007310E1" w:rsidP="007310E1" w:rsidRDefault="007310E1" w14:paraId="7DF116B1" w14:textId="62247184">
      <w:pPr>
        <w:ind w:left="720"/>
      </w:pPr>
      <w:r w:rsidRPr="009B32B1">
        <w:t xml:space="preserve">The total hour burden in the first six months associated with the </w:t>
      </w:r>
      <w:r w:rsidR="005E45BD">
        <w:t>F</w:t>
      </w:r>
      <w:r w:rsidRPr="009B32B1">
        <w:t xml:space="preserve">ederal IDR process is 3,400,460 hours with an equivalent cost burden of $366,082,073. </w:t>
      </w:r>
      <w:r>
        <w:t xml:space="preserve"> </w:t>
      </w:r>
      <w:r w:rsidRPr="009B32B1">
        <w:t xml:space="preserve">The total annual hour burden associated with the </w:t>
      </w:r>
      <w:r w:rsidR="005E45BD">
        <w:t>F</w:t>
      </w:r>
      <w:r w:rsidRPr="009B32B1">
        <w:t xml:space="preserve">ederal IDR process is 4,972,056 hours with an equivalent cost burden of $518,688,160.  </w:t>
      </w:r>
    </w:p>
    <w:p w:rsidR="007310E1" w:rsidP="00911670" w:rsidRDefault="007310E1" w14:paraId="2A11821A" w14:textId="77777777">
      <w:pPr>
        <w:ind w:left="720"/>
      </w:pPr>
    </w:p>
    <w:p w:rsidR="00911670" w:rsidP="00911670" w:rsidRDefault="00911670" w14:paraId="4DEECABD" w14:textId="633958D3">
      <w:pPr>
        <w:ind w:left="720"/>
      </w:pPr>
      <w:r w:rsidRPr="009B32B1">
        <w:t xml:space="preserve">The Departments assume that half of the burden associated with the required notices will be allocated to plans, issuers, and FEHB carriers and the other half of the burden will be allocated to providers, facilities, and providers of air ambulance services.  The burden of the plans, issuers, and FEHB carriers will be allocated toward the hour burden of DOL, the Department of the Treasury, and OPM, and the burden of the providers will be allocated toward the hour burden of HHS.  The burden of IDR entities will be fully allocated toward the cost burden. </w:t>
      </w:r>
    </w:p>
    <w:p w:rsidRPr="009B32B1" w:rsidR="009B32B1" w:rsidP="00CB52B7" w:rsidRDefault="009B32B1" w14:paraId="185F6074" w14:textId="3BC0068F"/>
    <w:p w:rsidR="009B32B1" w:rsidP="007046CE" w:rsidRDefault="00E0643F" w14:paraId="02ADDFC3" w14:textId="17B83C96">
      <w:pPr>
        <w:ind w:left="720"/>
      </w:pPr>
      <w:r>
        <w:t>For DOL requirements, t</w:t>
      </w:r>
      <w:r w:rsidRPr="009B32B1" w:rsidR="009B32B1">
        <w:t xml:space="preserve">he total annual hour burden in the first six months associated with the </w:t>
      </w:r>
      <w:r w:rsidR="005E45BD">
        <w:t>F</w:t>
      </w:r>
      <w:r w:rsidRPr="009B32B1" w:rsidR="009B32B1">
        <w:t>ederal IDR process is estimated to be estimated to be 32,974 hours with an equivalent cost of $3,232,375.  The total annual hour burden</w:t>
      </w:r>
      <w:r w:rsidRPr="00B700FB" w:rsidR="00B700FB">
        <w:t xml:space="preserve"> associated </w:t>
      </w:r>
      <w:r w:rsidR="00B700FB">
        <w:t xml:space="preserve">with the </w:t>
      </w:r>
      <w:r w:rsidR="007046CE">
        <w:t>F</w:t>
      </w:r>
      <w:r w:rsidR="00B700FB">
        <w:t>ederal IDR process</w:t>
      </w:r>
      <w:r w:rsidR="00585E97">
        <w:t xml:space="preserve"> </w:t>
      </w:r>
      <w:r w:rsidR="00F808E8">
        <w:t>for DOL</w:t>
      </w:r>
      <w:r w:rsidRPr="009B32B1" w:rsidR="009B32B1">
        <w:t xml:space="preserve"> is 65,948 hours with an equivalent cost burden of $6,464,751.  </w:t>
      </w:r>
    </w:p>
    <w:p w:rsidR="00E01A49" w:rsidP="00CB52B7" w:rsidRDefault="00E01A49" w14:paraId="19E53DDE" w14:textId="3CAFBE80"/>
    <w:p w:rsidR="001D35D7" w:rsidP="00CB52B7" w:rsidRDefault="001D35D7" w14:paraId="05671737" w14:textId="77777777"/>
    <w:p w:rsidR="00023515" w:rsidP="001F6144" w:rsidRDefault="00023515" w14:paraId="1AAC440E" w14:textId="77777777">
      <w:pPr>
        <w:ind w:left="1440" w:firstLine="720"/>
        <w:rPr>
          <w:b/>
          <w:bCs/>
          <w:iCs/>
        </w:rPr>
      </w:pPr>
    </w:p>
    <w:p w:rsidR="00023515" w:rsidP="001F6144" w:rsidRDefault="00023515" w14:paraId="41C336B6" w14:textId="77777777">
      <w:pPr>
        <w:ind w:left="1440" w:firstLine="720"/>
        <w:rPr>
          <w:b/>
          <w:bCs/>
          <w:iCs/>
        </w:rPr>
      </w:pPr>
    </w:p>
    <w:p w:rsidR="00023515" w:rsidP="001F6144" w:rsidRDefault="00023515" w14:paraId="768DD3D6" w14:textId="77777777">
      <w:pPr>
        <w:ind w:left="1440" w:firstLine="720"/>
        <w:rPr>
          <w:b/>
          <w:bCs/>
          <w:iCs/>
        </w:rPr>
      </w:pPr>
    </w:p>
    <w:p w:rsidR="001F6144" w:rsidP="001F6144" w:rsidRDefault="001F6144" w14:paraId="5EF25898" w14:textId="28CDE578">
      <w:pPr>
        <w:ind w:left="1440" w:firstLine="720"/>
        <w:rPr>
          <w:b/>
          <w:bCs/>
          <w:iCs/>
        </w:rPr>
      </w:pPr>
      <w:r w:rsidRPr="00644CB6">
        <w:rPr>
          <w:b/>
          <w:bCs/>
          <w:iCs/>
        </w:rPr>
        <w:t>Estimated Annualized Respondent Cost and Hour Burden</w:t>
      </w:r>
    </w:p>
    <w:p w:rsidRPr="00CB52B7" w:rsidR="00023515" w:rsidP="00CB52B7" w:rsidRDefault="00023515" w14:paraId="7DE8EAB5" w14:textId="0731E07C">
      <w:pPr>
        <w:jc w:val="center"/>
        <w:rPr>
          <w:iCs/>
          <w:sz w:val="22"/>
        </w:rPr>
      </w:pPr>
      <w:r w:rsidRPr="00CB52B7">
        <w:rPr>
          <w:iCs/>
          <w:sz w:val="22"/>
        </w:rPr>
        <w:t xml:space="preserve">Note: The six month burden and number of responses has been included </w:t>
      </w:r>
      <w:r w:rsidR="004257D7">
        <w:rPr>
          <w:iCs/>
          <w:sz w:val="22"/>
        </w:rPr>
        <w:t xml:space="preserve">below </w:t>
      </w:r>
      <w:r w:rsidRPr="00CB52B7">
        <w:rPr>
          <w:iCs/>
          <w:sz w:val="22"/>
        </w:rPr>
        <w:t xml:space="preserve">in parenthesis. </w:t>
      </w:r>
    </w:p>
    <w:p w:rsidR="001F6144" w:rsidP="001F6144" w:rsidRDefault="001F6144" w14:paraId="123DA13A" w14:textId="77777777">
      <w:pPr>
        <w:rPr>
          <w:b/>
        </w:rPr>
      </w:pPr>
    </w:p>
    <w:tbl>
      <w:tblPr>
        <w:tblW w:w="9795"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8406D6" w:rsidR="001F6144" w:rsidTr="001D6344" w14:paraId="1DD45BC5"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615EF806" w14:textId="77777777">
            <w:pPr>
              <w:jc w:val="center"/>
              <w:textAlignment w:val="baseline"/>
              <w:rPr>
                <w:b/>
                <w:bCs/>
              </w:rPr>
            </w:pPr>
            <w:r w:rsidRPr="008406D6">
              <w:rPr>
                <w:b/>
                <w:bCs/>
                <w:sz w:val="20"/>
                <w:szCs w:val="20"/>
              </w:rPr>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135DE2BD" w14:textId="77777777">
            <w:pPr>
              <w:jc w:val="center"/>
              <w:textAlignment w:val="baseline"/>
              <w:rPr>
                <w:b/>
                <w:bCs/>
              </w:rPr>
            </w:pPr>
            <w:r w:rsidRPr="008406D6">
              <w:rPr>
                <w:b/>
                <w:bCs/>
                <w:sz w:val="20"/>
                <w:szCs w:val="20"/>
              </w:rPr>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13D016FF" w14:textId="77777777">
            <w:pPr>
              <w:textAlignment w:val="baseline"/>
              <w:rPr>
                <w:b/>
                <w:bCs/>
                <w:sz w:val="20"/>
                <w:szCs w:val="20"/>
              </w:rPr>
            </w:pPr>
            <w:r w:rsidRPr="008406D6">
              <w:rPr>
                <w:b/>
                <w:bCs/>
                <w:sz w:val="20"/>
                <w:szCs w:val="20"/>
              </w:rPr>
              <w:t xml:space="preserve">      No. of      Responses </w:t>
            </w:r>
          </w:p>
          <w:p w:rsidRPr="008406D6" w:rsidR="001F6144" w:rsidP="001D6344" w:rsidRDefault="001F6144" w14:paraId="310F002A" w14:textId="77777777">
            <w:pPr>
              <w:jc w:val="center"/>
              <w:textAlignment w:val="baseline"/>
              <w:rPr>
                <w:b/>
                <w:bCs/>
                <w:sz w:val="20"/>
                <w:szCs w:val="20"/>
              </w:rPr>
            </w:pPr>
            <w:r w:rsidRPr="008406D6">
              <w:rPr>
                <w:b/>
                <w:bCs/>
                <w:sz w:val="20"/>
                <w:szCs w:val="20"/>
              </w:rPr>
              <w:t>per </w:t>
            </w:r>
          </w:p>
          <w:p w:rsidRPr="008406D6" w:rsidR="001F6144" w:rsidP="001D6344" w:rsidRDefault="001F6144" w14:paraId="278628B2" w14:textId="77777777">
            <w:pPr>
              <w:jc w:val="center"/>
              <w:textAlignment w:val="baseline"/>
              <w:rPr>
                <w:b/>
                <w:bCs/>
              </w:rPr>
            </w:pPr>
            <w:r w:rsidRPr="008406D6">
              <w:rPr>
                <w:b/>
                <w:bCs/>
                <w:sz w:val="20"/>
                <w:szCs w:val="20"/>
              </w:rPr>
              <w:t>Respondent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60D3FB8B" w14:textId="1FF470BE">
            <w:pPr>
              <w:jc w:val="center"/>
              <w:textAlignment w:val="baseline"/>
              <w:rPr>
                <w:b/>
                <w:bCs/>
              </w:rPr>
            </w:pPr>
            <w:r w:rsidRPr="008406D6">
              <w:rPr>
                <w:b/>
                <w:bCs/>
                <w:sz w:val="20"/>
                <w:szCs w:val="20"/>
              </w:rPr>
              <w:t>Total Responses</w:t>
            </w:r>
            <w:r w:rsidR="00023515">
              <w:rPr>
                <w:b/>
                <w:bCs/>
                <w:sz w:val="20"/>
                <w:szCs w:val="20"/>
              </w:rPr>
              <w:t xml:space="preserve"> </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3F65FD41" w14:textId="77777777">
            <w:pPr>
              <w:jc w:val="center"/>
              <w:textAlignment w:val="baseline"/>
              <w:rPr>
                <w:b/>
                <w:bCs/>
              </w:rPr>
            </w:pPr>
            <w:r w:rsidRPr="008406D6">
              <w:rPr>
                <w:b/>
                <w:bCs/>
                <w:sz w:val="20"/>
                <w:szCs w:val="20"/>
              </w:rPr>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46B186D2" w14:textId="77777777">
            <w:pPr>
              <w:jc w:val="center"/>
              <w:textAlignment w:val="baseline"/>
              <w:rPr>
                <w:b/>
                <w:bCs/>
              </w:rPr>
            </w:pPr>
            <w:r w:rsidRPr="008406D6">
              <w:rPr>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238E08D2" w14:textId="77777777">
            <w:pPr>
              <w:jc w:val="center"/>
              <w:textAlignment w:val="baseline"/>
              <w:rPr>
                <w:b/>
                <w:bCs/>
              </w:rPr>
            </w:pPr>
            <w:r w:rsidRPr="008406D6">
              <w:rPr>
                <w:b/>
                <w:bCs/>
                <w:sz w:val="20"/>
                <w:szCs w:val="20"/>
              </w:rPr>
              <w:t>Hourly </w:t>
            </w:r>
          </w:p>
          <w:p w:rsidRPr="008406D6" w:rsidR="001F6144" w:rsidP="001D6344" w:rsidRDefault="001F6144" w14:paraId="1AF534A9" w14:textId="77777777">
            <w:pPr>
              <w:jc w:val="center"/>
              <w:textAlignment w:val="baseline"/>
              <w:rPr>
                <w:b/>
                <w:bCs/>
              </w:rPr>
            </w:pPr>
            <w:r w:rsidRPr="008406D6">
              <w:rPr>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4BF1FF1A" w14:textId="77777777">
            <w:pPr>
              <w:jc w:val="center"/>
              <w:textAlignment w:val="baseline"/>
              <w:rPr>
                <w:b/>
                <w:bCs/>
              </w:rPr>
            </w:pPr>
            <w:r w:rsidRPr="008406D6">
              <w:rPr>
                <w:b/>
                <w:bCs/>
                <w:sz w:val="20"/>
                <w:szCs w:val="20"/>
              </w:rPr>
              <w:t>Total Burden Cost </w:t>
            </w:r>
          </w:p>
        </w:tc>
      </w:tr>
      <w:tr w:rsidRPr="008406D6" w:rsidR="00334218" w:rsidTr="00334218" w14:paraId="55AEA0B4" w14:textId="77777777">
        <w:trPr>
          <w:trHeight w:val="282"/>
        </w:trPr>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334218" w:rsidR="00334218" w:rsidP="00334218" w:rsidRDefault="008D3FB2" w14:paraId="76D14771" w14:textId="154992B4">
            <w:pPr>
              <w:jc w:val="center"/>
              <w:textAlignment w:val="baseline"/>
              <w:rPr>
                <w:b/>
                <w:bCs/>
                <w:sz w:val="20"/>
                <w:szCs w:val="20"/>
                <w:u w:val="single"/>
              </w:rPr>
            </w:pPr>
            <w:r>
              <w:rPr>
                <w:b/>
                <w:bCs/>
                <w:sz w:val="20"/>
                <w:szCs w:val="20"/>
                <w:u w:val="single"/>
              </w:rPr>
              <w:t xml:space="preserve">Federal </w:t>
            </w:r>
            <w:r w:rsidR="007D440B">
              <w:rPr>
                <w:b/>
                <w:bCs/>
                <w:sz w:val="20"/>
                <w:szCs w:val="20"/>
                <w:u w:val="single"/>
              </w:rPr>
              <w:t>I</w:t>
            </w:r>
            <w:r w:rsidR="00FA3326">
              <w:rPr>
                <w:b/>
                <w:bCs/>
                <w:sz w:val="20"/>
                <w:szCs w:val="20"/>
                <w:u w:val="single"/>
              </w:rPr>
              <w:t>DR P</w:t>
            </w:r>
            <w:r w:rsidR="007D440B">
              <w:rPr>
                <w:b/>
                <w:bCs/>
                <w:sz w:val="20"/>
                <w:szCs w:val="20"/>
                <w:u w:val="single"/>
              </w:rPr>
              <w:t xml:space="preserve">rocess for Services relating to </w:t>
            </w:r>
            <w:r w:rsidRPr="00752CC6" w:rsidR="00752CC6">
              <w:rPr>
                <w:b/>
                <w:bCs/>
                <w:sz w:val="20"/>
                <w:szCs w:val="20"/>
                <w:u w:val="single"/>
              </w:rPr>
              <w:t>Nonparticipating Providers or Nonparticipating Emergency Facilities</w:t>
            </w:r>
          </w:p>
        </w:tc>
      </w:tr>
      <w:tr w:rsidRPr="008406D6" w:rsidR="00E460B0" w:rsidTr="001D6344" w14:paraId="75182C81"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E460B0" w:rsidP="001D6344" w:rsidRDefault="00EE1F63" w14:paraId="2757ED89" w14:textId="5DC64EAA">
            <w:pPr>
              <w:textAlignment w:val="baseline"/>
              <w:rPr>
                <w:bCs/>
                <w:sz w:val="20"/>
                <w:szCs w:val="20"/>
              </w:rPr>
            </w:pPr>
            <w:r w:rsidRPr="00EE1F63">
              <w:rPr>
                <w:bCs/>
                <w:sz w:val="20"/>
                <w:szCs w:val="20"/>
              </w:rPr>
              <w:t>Medical Billing Specialist write the notice for</w:t>
            </w:r>
            <w:r>
              <w:rPr>
                <w:bCs/>
                <w:sz w:val="20"/>
                <w:szCs w:val="20"/>
              </w:rPr>
              <w:t xml:space="preserve"> Open Negotiation</w:t>
            </w:r>
            <w:r w:rsidR="00675B94">
              <w:rPr>
                <w:bCs/>
                <w:sz w:val="20"/>
                <w:szCs w:val="20"/>
              </w:rPr>
              <w:t xml:space="preserve">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E460B0" w:rsidP="001D6344" w:rsidRDefault="00934B4F" w14:paraId="0B92A583" w14:textId="650F68B5">
            <w:pPr>
              <w:jc w:val="center"/>
              <w:textAlignment w:val="baseline"/>
              <w:rPr>
                <w:sz w:val="20"/>
                <w:szCs w:val="20"/>
              </w:rPr>
            </w:pPr>
            <w:r w:rsidRPr="007D0403">
              <w:rPr>
                <w:sz w:val="20"/>
                <w:szCs w:val="20"/>
              </w:rPr>
              <w:t>5,778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E460B0" w:rsidP="001D6344" w:rsidRDefault="00934B4F" w14:paraId="13E4446C" w14:textId="47928534">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E460B0" w:rsidP="001D6344" w:rsidRDefault="00934B4F" w14:paraId="37218EB2" w14:textId="5B0CFEB8">
            <w:pPr>
              <w:jc w:val="center"/>
              <w:textAlignment w:val="baseline"/>
              <w:rPr>
                <w:sz w:val="20"/>
                <w:szCs w:val="20"/>
              </w:rPr>
            </w:pPr>
            <w:r w:rsidRPr="00CB52B7">
              <w:rPr>
                <w:sz w:val="20"/>
                <w:szCs w:val="20"/>
              </w:rPr>
              <w:t>5,778</w:t>
            </w:r>
            <w:r w:rsidR="00023515">
              <w:rPr>
                <w:sz w:val="20"/>
                <w:szCs w:val="20"/>
              </w:rPr>
              <w:t xml:space="preserve"> (</w:t>
            </w:r>
            <w:r w:rsidR="004257D7">
              <w:rPr>
                <w:sz w:val="20"/>
                <w:szCs w:val="20"/>
              </w:rPr>
              <w:t>2,889)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E460B0" w:rsidP="001D6344" w:rsidRDefault="00D11F70" w14:paraId="1D6C03A1" w14:textId="77777777">
            <w:pPr>
              <w:jc w:val="center"/>
              <w:textAlignment w:val="baseline"/>
              <w:rPr>
                <w:sz w:val="20"/>
                <w:szCs w:val="20"/>
              </w:rPr>
            </w:pPr>
            <w:r w:rsidRPr="00565FD2">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E460B0" w:rsidP="00807838" w:rsidRDefault="00934B4F" w14:paraId="30C22D22" w14:textId="1C94C917">
            <w:pPr>
              <w:jc w:val="center"/>
              <w:textAlignment w:val="baseline"/>
              <w:rPr>
                <w:sz w:val="20"/>
                <w:szCs w:val="20"/>
              </w:rPr>
            </w:pPr>
            <w:r w:rsidRPr="00CB52B7">
              <w:rPr>
                <w:sz w:val="20"/>
                <w:szCs w:val="20"/>
              </w:rPr>
              <w:t>11,555</w:t>
            </w:r>
          </w:p>
          <w:p w:rsidRPr="00223C2E" w:rsidR="004257D7" w:rsidP="00807838" w:rsidRDefault="004257D7" w14:paraId="53D3FD78" w14:textId="089BCEA9">
            <w:pPr>
              <w:jc w:val="center"/>
              <w:textAlignment w:val="baseline"/>
              <w:rPr>
                <w:sz w:val="20"/>
                <w:szCs w:val="20"/>
              </w:rPr>
            </w:pPr>
            <w:r>
              <w:rPr>
                <w:sz w:val="20"/>
                <w:szCs w:val="20"/>
              </w:rPr>
              <w:t>(5,778)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E460B0" w:rsidP="001D6344" w:rsidRDefault="00807838" w14:paraId="06AFD776" w14:textId="77777777">
            <w:pPr>
              <w:jc w:val="center"/>
              <w:textAlignment w:val="baseline"/>
              <w:rPr>
                <w:sz w:val="20"/>
                <w:szCs w:val="20"/>
              </w:rPr>
            </w:pPr>
            <w:r w:rsidRPr="00565FD2">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E460B0" w:rsidP="00090343" w:rsidRDefault="00090343" w14:paraId="13AE4BD7" w14:textId="12F32E95">
            <w:pPr>
              <w:jc w:val="center"/>
              <w:textAlignment w:val="baseline"/>
              <w:rPr>
                <w:sz w:val="20"/>
                <w:szCs w:val="20"/>
              </w:rPr>
            </w:pPr>
            <w:r w:rsidRPr="00565FD2">
              <w:rPr>
                <w:sz w:val="20"/>
                <w:szCs w:val="20"/>
              </w:rPr>
              <w:t>$</w:t>
            </w:r>
            <w:r w:rsidRPr="00CB52B7" w:rsidR="00934B4F">
              <w:rPr>
                <w:sz w:val="20"/>
                <w:szCs w:val="20"/>
              </w:rPr>
              <w:t>1,213,426</w:t>
            </w:r>
          </w:p>
          <w:p w:rsidRPr="00223C2E" w:rsidR="004257D7" w:rsidP="00090343" w:rsidRDefault="004257D7" w14:paraId="22E98ECE" w14:textId="23FE8FD1">
            <w:pPr>
              <w:jc w:val="center"/>
              <w:textAlignment w:val="baseline"/>
              <w:rPr>
                <w:sz w:val="20"/>
                <w:szCs w:val="20"/>
              </w:rPr>
            </w:pPr>
            <w:r>
              <w:rPr>
                <w:sz w:val="20"/>
                <w:szCs w:val="20"/>
              </w:rPr>
              <w:t>(</w:t>
            </w:r>
            <w:r w:rsidRPr="004257D7">
              <w:rPr>
                <w:sz w:val="20"/>
                <w:szCs w:val="20"/>
              </w:rPr>
              <w:t>$606,71</w:t>
            </w:r>
            <w:r>
              <w:rPr>
                <w:sz w:val="20"/>
                <w:szCs w:val="20"/>
              </w:rPr>
              <w:t>3)</w:t>
            </w:r>
          </w:p>
        </w:tc>
      </w:tr>
      <w:tr w:rsidRPr="008406D6" w:rsidR="00BE779A" w:rsidTr="001D6344" w14:paraId="687D9835"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EE1F63" w:rsidR="00BE779A" w:rsidP="001D6344" w:rsidRDefault="00BE779A" w14:paraId="3B704F7E" w14:textId="51AE1984">
            <w:pPr>
              <w:textAlignment w:val="baseline"/>
              <w:rPr>
                <w:bCs/>
                <w:sz w:val="20"/>
                <w:szCs w:val="20"/>
              </w:rPr>
            </w:pPr>
            <w:r>
              <w:rPr>
                <w:bCs/>
                <w:sz w:val="20"/>
                <w:szCs w:val="20"/>
              </w:rPr>
              <w:t xml:space="preserve">Clerical workers prepare and send notice </w:t>
            </w:r>
            <w:r w:rsidRPr="00BE779A">
              <w:rPr>
                <w:bCs/>
                <w:sz w:val="20"/>
                <w:szCs w:val="20"/>
              </w:rPr>
              <w:t xml:space="preserve">for Open Negotiation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E779A" w:rsidP="001D6344" w:rsidRDefault="00934B4F" w14:paraId="5EA66DB6" w14:textId="22AA3209">
            <w:pPr>
              <w:jc w:val="center"/>
              <w:textAlignment w:val="baseline"/>
              <w:rPr>
                <w:sz w:val="20"/>
                <w:szCs w:val="20"/>
              </w:rPr>
            </w:pPr>
            <w:r w:rsidRPr="007D0403">
              <w:rPr>
                <w:sz w:val="20"/>
                <w:szCs w:val="20"/>
              </w:rPr>
              <w:t>5,778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E779A" w:rsidP="001D6344" w:rsidRDefault="00934B4F" w14:paraId="31CBD043" w14:textId="4D876D82">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4257D7" w:rsidP="001D6344" w:rsidRDefault="00934B4F" w14:paraId="3FD0AC57" w14:textId="77777777">
            <w:pPr>
              <w:jc w:val="center"/>
              <w:textAlignment w:val="baseline"/>
              <w:rPr>
                <w:sz w:val="20"/>
                <w:szCs w:val="20"/>
              </w:rPr>
            </w:pPr>
            <w:r w:rsidRPr="00CB52B7">
              <w:rPr>
                <w:sz w:val="20"/>
                <w:szCs w:val="20"/>
              </w:rPr>
              <w:t>5,778</w:t>
            </w:r>
          </w:p>
          <w:p w:rsidRPr="00223C2E" w:rsidR="00BE779A" w:rsidP="001D6344" w:rsidRDefault="004257D7" w14:paraId="73015874" w14:textId="5F80E4FF">
            <w:pPr>
              <w:jc w:val="center"/>
              <w:textAlignment w:val="baseline"/>
              <w:rPr>
                <w:sz w:val="20"/>
                <w:szCs w:val="20"/>
              </w:rPr>
            </w:pPr>
            <w:r>
              <w:rPr>
                <w:sz w:val="20"/>
                <w:szCs w:val="20"/>
              </w:rPr>
              <w:t>(2,889)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E779A" w:rsidP="001D6344" w:rsidRDefault="001F12E7" w14:paraId="15AB4A3C" w14:textId="6EDE037E">
            <w:pPr>
              <w:jc w:val="center"/>
              <w:textAlignment w:val="baseline"/>
              <w:rPr>
                <w:sz w:val="20"/>
                <w:szCs w:val="20"/>
              </w:rPr>
            </w:pPr>
            <w:r w:rsidRPr="00CB52B7">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4257D7" w:rsidP="00807838" w:rsidRDefault="00934B4F" w14:paraId="7FCE3DBC" w14:textId="77777777">
            <w:pPr>
              <w:jc w:val="center"/>
              <w:textAlignment w:val="baseline"/>
              <w:rPr>
                <w:sz w:val="20"/>
                <w:szCs w:val="20"/>
              </w:rPr>
            </w:pPr>
            <w:r w:rsidRPr="00CB52B7">
              <w:rPr>
                <w:sz w:val="20"/>
                <w:szCs w:val="20"/>
              </w:rPr>
              <w:t>1,444</w:t>
            </w:r>
          </w:p>
          <w:p w:rsidRPr="00223C2E" w:rsidR="00BE779A" w:rsidP="00807838" w:rsidRDefault="004257D7" w14:paraId="674BAF72" w14:textId="5638F873">
            <w:pPr>
              <w:jc w:val="center"/>
              <w:textAlignment w:val="baseline"/>
              <w:rPr>
                <w:sz w:val="20"/>
                <w:szCs w:val="20"/>
              </w:rPr>
            </w:pPr>
            <w:r>
              <w:rPr>
                <w:sz w:val="20"/>
                <w:szCs w:val="20"/>
              </w:rPr>
              <w:t>(722)</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E779A" w:rsidP="008E1B9B" w:rsidRDefault="00F520D9" w14:paraId="5D968579" w14:textId="77777777">
            <w:pPr>
              <w:jc w:val="center"/>
              <w:textAlignment w:val="baseline"/>
              <w:rPr>
                <w:sz w:val="20"/>
                <w:szCs w:val="20"/>
              </w:rPr>
            </w:pPr>
            <w:r w:rsidRPr="00565FD2">
              <w:rPr>
                <w:sz w:val="20"/>
                <w:szCs w:val="20"/>
              </w:rPr>
              <w:t>$</w:t>
            </w:r>
            <w:r w:rsidRPr="00565FD2" w:rsidR="008E1B9B">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4257D7" w:rsidP="00090343" w:rsidRDefault="00090343" w14:paraId="6292519E" w14:textId="62A04165">
            <w:pPr>
              <w:jc w:val="center"/>
              <w:textAlignment w:val="baseline"/>
              <w:rPr>
                <w:sz w:val="20"/>
                <w:szCs w:val="20"/>
              </w:rPr>
            </w:pPr>
            <w:r w:rsidRPr="00565FD2">
              <w:rPr>
                <w:sz w:val="20"/>
                <w:szCs w:val="20"/>
              </w:rPr>
              <w:t>$</w:t>
            </w:r>
            <w:r w:rsidRPr="00CB52B7" w:rsidR="00934B4F">
              <w:rPr>
                <w:sz w:val="20"/>
                <w:szCs w:val="20"/>
              </w:rPr>
              <w:t>79,775</w:t>
            </w:r>
          </w:p>
          <w:p w:rsidRPr="00223C2E" w:rsidR="00BE779A" w:rsidP="00CB52B7" w:rsidRDefault="004257D7" w14:paraId="728B63B9" w14:textId="38F9B5EE">
            <w:pPr>
              <w:textAlignment w:val="baseline"/>
              <w:rPr>
                <w:sz w:val="20"/>
                <w:szCs w:val="20"/>
              </w:rPr>
            </w:pPr>
            <w:r>
              <w:rPr>
                <w:sz w:val="20"/>
                <w:szCs w:val="20"/>
              </w:rPr>
              <w:t xml:space="preserve">     (</w:t>
            </w:r>
            <w:r w:rsidRPr="004257D7">
              <w:rPr>
                <w:sz w:val="20"/>
                <w:szCs w:val="20"/>
              </w:rPr>
              <w:t>$39,88</w:t>
            </w:r>
            <w:r>
              <w:rPr>
                <w:sz w:val="20"/>
                <w:szCs w:val="20"/>
              </w:rPr>
              <w:t>8)</w:t>
            </w:r>
          </w:p>
        </w:tc>
      </w:tr>
      <w:tr w:rsidRPr="008406D6" w:rsidR="001F6144" w:rsidTr="001D6344" w14:paraId="5A2BD263"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1F6144" w:rsidP="001D6344" w:rsidRDefault="003541BC" w14:paraId="35450797" w14:textId="64520110">
            <w:pPr>
              <w:textAlignment w:val="baseline"/>
              <w:rPr>
                <w:bCs/>
                <w:sz w:val="20"/>
                <w:szCs w:val="20"/>
              </w:rPr>
            </w:pPr>
            <w:r>
              <w:rPr>
                <w:bCs/>
                <w:sz w:val="20"/>
                <w:szCs w:val="20"/>
              </w:rPr>
              <w:t>Medical Billing Specialist w</w:t>
            </w:r>
            <w:r w:rsidRPr="003541BC">
              <w:rPr>
                <w:bCs/>
                <w:sz w:val="20"/>
                <w:szCs w:val="20"/>
              </w:rPr>
              <w:t xml:space="preserve">rite the </w:t>
            </w:r>
            <w:r w:rsidR="00387D35">
              <w:rPr>
                <w:bCs/>
                <w:sz w:val="20"/>
                <w:szCs w:val="20"/>
              </w:rPr>
              <w:t>N</w:t>
            </w:r>
            <w:r w:rsidRPr="003541BC">
              <w:rPr>
                <w:bCs/>
                <w:sz w:val="20"/>
                <w:szCs w:val="20"/>
              </w:rPr>
              <w:t>otice</w:t>
            </w:r>
            <w:r w:rsidR="00FD1555">
              <w:rPr>
                <w:bCs/>
                <w:sz w:val="20"/>
                <w:szCs w:val="20"/>
              </w:rPr>
              <w:t xml:space="preserve"> for </w:t>
            </w:r>
            <w:r w:rsidRPr="00FD1555" w:rsidR="00FD1555">
              <w:rPr>
                <w:bCs/>
                <w:sz w:val="20"/>
                <w:szCs w:val="20"/>
              </w:rPr>
              <w:t>General Initiation of Independent Dispute Resolution Process in the Case of Failed Negotiation</w:t>
            </w:r>
            <w:r w:rsidR="00C6231D">
              <w:rPr>
                <w:bCs/>
                <w:sz w:val="20"/>
                <w:szCs w:val="20"/>
              </w:rPr>
              <w:t xml:space="preserve">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1D6344" w:rsidRDefault="00D25322" w14:paraId="3440F9A2" w14:textId="5066C443">
            <w:pPr>
              <w:jc w:val="center"/>
              <w:textAlignment w:val="baseline"/>
              <w:rPr>
                <w:sz w:val="20"/>
                <w:szCs w:val="20"/>
              </w:rPr>
            </w:pPr>
            <w:r w:rsidRPr="00223C2E" w:rsidDel="007D3C00">
              <w:rPr>
                <w:sz w:val="20"/>
                <w:szCs w:val="20"/>
              </w:rPr>
              <w:t>4,</w:t>
            </w:r>
            <w:r w:rsidRPr="007D0403" w:rsidR="008D6D44">
              <w:rPr>
                <w:sz w:val="20"/>
                <w:szCs w:val="20"/>
              </w:rPr>
              <w:t>333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014178" w:rsidRDefault="008D6D44" w14:paraId="3BB58428" w14:textId="78704C38">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1F6144" w:rsidP="001D6344" w:rsidRDefault="00D25322" w14:paraId="64B034D6" w14:textId="77777777">
            <w:pPr>
              <w:jc w:val="center"/>
              <w:textAlignment w:val="baseline"/>
              <w:rPr>
                <w:sz w:val="20"/>
                <w:szCs w:val="20"/>
              </w:rPr>
            </w:pPr>
            <w:r w:rsidRPr="00565FD2">
              <w:rPr>
                <w:sz w:val="20"/>
                <w:szCs w:val="20"/>
              </w:rPr>
              <w:t>4,333</w:t>
            </w:r>
          </w:p>
          <w:p w:rsidRPr="00565FD2" w:rsidR="004B4A07" w:rsidP="001D6344" w:rsidRDefault="004B4A07" w14:paraId="3D9BD73C" w14:textId="586B44A1">
            <w:pPr>
              <w:jc w:val="center"/>
              <w:textAlignment w:val="baseline"/>
              <w:rPr>
                <w:sz w:val="20"/>
                <w:szCs w:val="20"/>
              </w:rPr>
            </w:pPr>
            <w:r>
              <w:rPr>
                <w:sz w:val="20"/>
                <w:szCs w:val="20"/>
              </w:rPr>
              <w:t>(</w:t>
            </w:r>
            <w:r w:rsidRPr="004B4A07">
              <w:rPr>
                <w:sz w:val="20"/>
                <w:szCs w:val="20"/>
              </w:rPr>
              <w:t>2,16</w:t>
            </w:r>
            <w:r>
              <w:rPr>
                <w:sz w:val="20"/>
                <w:szCs w:val="20"/>
              </w:rPr>
              <w:t>7)</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1F6144" w:rsidP="001D6344" w:rsidRDefault="00AE02BD" w14:paraId="1E9CF76F" w14:textId="77777777">
            <w:pPr>
              <w:jc w:val="center"/>
              <w:textAlignment w:val="baseline"/>
              <w:rPr>
                <w:sz w:val="20"/>
                <w:szCs w:val="20"/>
              </w:rPr>
            </w:pPr>
            <w:r w:rsidRPr="004E6FFE">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1F6144" w:rsidP="001D6344" w:rsidRDefault="008D6D44" w14:paraId="4F0413E8" w14:textId="0728FC81">
            <w:pPr>
              <w:jc w:val="center"/>
              <w:textAlignment w:val="baseline"/>
              <w:rPr>
                <w:sz w:val="20"/>
                <w:szCs w:val="20"/>
              </w:rPr>
            </w:pPr>
            <w:r w:rsidRPr="007D0403">
              <w:rPr>
                <w:sz w:val="20"/>
                <w:szCs w:val="20"/>
              </w:rPr>
              <w:t>8,667</w:t>
            </w:r>
          </w:p>
          <w:p w:rsidRPr="00223C2E" w:rsidR="0085545F" w:rsidP="0085545F" w:rsidRDefault="0085545F" w14:paraId="06CD209D" w14:textId="04D8CAB4">
            <w:pPr>
              <w:jc w:val="center"/>
              <w:textAlignment w:val="baseline"/>
              <w:rPr>
                <w:sz w:val="20"/>
                <w:szCs w:val="20"/>
              </w:rPr>
            </w:pPr>
            <w:r>
              <w:rPr>
                <w:sz w:val="20"/>
                <w:szCs w:val="20"/>
              </w:rPr>
              <w:t>(</w:t>
            </w:r>
            <w:r w:rsidRPr="0085545F">
              <w:rPr>
                <w:sz w:val="20"/>
                <w:szCs w:val="20"/>
              </w:rPr>
              <w:t>4,33</w:t>
            </w:r>
            <w:r>
              <w:rPr>
                <w:sz w:val="20"/>
                <w:szCs w:val="20"/>
              </w:rPr>
              <w:t>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AE02BD" w14:paraId="0668DEDC" w14:textId="77777777">
            <w:pPr>
              <w:jc w:val="center"/>
              <w:textAlignment w:val="baseline"/>
              <w:rPr>
                <w:sz w:val="20"/>
                <w:szCs w:val="20"/>
              </w:rPr>
            </w:pPr>
            <w:r w:rsidRPr="00565FD2">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1F6144" w:rsidP="00900A55" w:rsidRDefault="00900A55" w14:paraId="6F6090CB" w14:textId="77777777">
            <w:pPr>
              <w:jc w:val="center"/>
              <w:textAlignment w:val="baseline"/>
              <w:rPr>
                <w:sz w:val="20"/>
                <w:szCs w:val="20"/>
              </w:rPr>
            </w:pPr>
            <w:r w:rsidRPr="004E6FFE">
              <w:rPr>
                <w:sz w:val="20"/>
                <w:szCs w:val="20"/>
              </w:rPr>
              <w:t>$910,069</w:t>
            </w:r>
          </w:p>
          <w:p w:rsidRPr="004E6FFE" w:rsidR="0085545F" w:rsidP="0085545F" w:rsidRDefault="0085545F" w14:paraId="003A5DC4" w14:textId="01132BA1">
            <w:pPr>
              <w:jc w:val="center"/>
              <w:textAlignment w:val="baseline"/>
              <w:rPr>
                <w:sz w:val="20"/>
                <w:szCs w:val="20"/>
              </w:rPr>
            </w:pPr>
            <w:r>
              <w:rPr>
                <w:sz w:val="20"/>
                <w:szCs w:val="20"/>
              </w:rPr>
              <w:t>(</w:t>
            </w:r>
            <w:r w:rsidRPr="0085545F">
              <w:rPr>
                <w:sz w:val="20"/>
                <w:szCs w:val="20"/>
              </w:rPr>
              <w:t>$455,03</w:t>
            </w:r>
            <w:r>
              <w:rPr>
                <w:sz w:val="20"/>
                <w:szCs w:val="20"/>
              </w:rPr>
              <w:t>5)</w:t>
            </w:r>
          </w:p>
        </w:tc>
      </w:tr>
      <w:tr w:rsidRPr="008406D6" w:rsidR="001F6144" w:rsidTr="001D6344" w14:paraId="16702063"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1F6144" w:rsidP="004766AE" w:rsidRDefault="00621AFA" w14:paraId="5E3303EB" w14:textId="5A07907B">
            <w:pPr>
              <w:textAlignment w:val="baseline"/>
              <w:rPr>
                <w:bCs/>
                <w:sz w:val="20"/>
                <w:szCs w:val="20"/>
              </w:rPr>
            </w:pPr>
            <w:r>
              <w:rPr>
                <w:bCs/>
                <w:sz w:val="20"/>
                <w:szCs w:val="20"/>
              </w:rPr>
              <w:t>Clerical workers p</w:t>
            </w:r>
            <w:r w:rsidRPr="00621AFA">
              <w:rPr>
                <w:bCs/>
                <w:sz w:val="20"/>
                <w:szCs w:val="20"/>
              </w:rPr>
              <w:t xml:space="preserve">repare and </w:t>
            </w:r>
            <w:r w:rsidR="004766AE">
              <w:rPr>
                <w:bCs/>
                <w:sz w:val="20"/>
                <w:szCs w:val="20"/>
              </w:rPr>
              <w:t>s</w:t>
            </w:r>
            <w:r w:rsidRPr="00621AFA">
              <w:rPr>
                <w:bCs/>
                <w:sz w:val="20"/>
                <w:szCs w:val="20"/>
              </w:rPr>
              <w:t>en</w:t>
            </w:r>
            <w:r w:rsidR="004766AE">
              <w:rPr>
                <w:bCs/>
                <w:sz w:val="20"/>
                <w:szCs w:val="20"/>
              </w:rPr>
              <w:t xml:space="preserve">d </w:t>
            </w:r>
            <w:r w:rsidR="00387D35">
              <w:rPr>
                <w:bCs/>
                <w:sz w:val="20"/>
                <w:szCs w:val="20"/>
              </w:rPr>
              <w:t>N</w:t>
            </w:r>
            <w:r w:rsidRPr="00621AFA">
              <w:rPr>
                <w:bCs/>
                <w:sz w:val="20"/>
                <w:szCs w:val="20"/>
              </w:rPr>
              <w:t>otice</w:t>
            </w:r>
            <w:r w:rsidR="00FD1555">
              <w:rPr>
                <w:bCs/>
                <w:sz w:val="20"/>
                <w:szCs w:val="20"/>
              </w:rPr>
              <w:t xml:space="preserve"> for </w:t>
            </w:r>
            <w:r w:rsidRPr="00FD1555" w:rsidR="00FD1555">
              <w:rPr>
                <w:bCs/>
                <w:sz w:val="20"/>
                <w:szCs w:val="20"/>
              </w:rPr>
              <w:t>General Initiation of Independent Dispute Resolution Process in the Case of Failed Negotiation</w:t>
            </w:r>
            <w:r w:rsidR="00C6231D">
              <w:rPr>
                <w:bCs/>
                <w:sz w:val="20"/>
                <w:szCs w:val="20"/>
              </w:rPr>
              <w:t xml:space="preserve">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8D6D44" w14:paraId="662A426F" w14:textId="536D7050">
            <w:pPr>
              <w:jc w:val="center"/>
              <w:textAlignment w:val="baseline"/>
              <w:rPr>
                <w:sz w:val="20"/>
                <w:szCs w:val="20"/>
              </w:rPr>
            </w:pPr>
            <w:r w:rsidRPr="007D0403">
              <w:rPr>
                <w:sz w:val="20"/>
                <w:szCs w:val="20"/>
              </w:rPr>
              <w:t>4,333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5521CD" w:rsidRDefault="008D6D44" w14:paraId="7E438406" w14:textId="19C5113E">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1F6144" w:rsidP="001D6344" w:rsidRDefault="00C92EB3" w14:paraId="12FCDCCC" w14:textId="77777777">
            <w:pPr>
              <w:jc w:val="center"/>
              <w:textAlignment w:val="baseline"/>
              <w:rPr>
                <w:sz w:val="20"/>
                <w:szCs w:val="20"/>
              </w:rPr>
            </w:pPr>
            <w:r w:rsidRPr="00565FD2">
              <w:rPr>
                <w:sz w:val="20"/>
                <w:szCs w:val="20"/>
              </w:rPr>
              <w:t>4,333</w:t>
            </w:r>
          </w:p>
          <w:p w:rsidRPr="00565FD2" w:rsidR="0085545F" w:rsidP="001D6344" w:rsidRDefault="0085545F" w14:paraId="7F2CC300" w14:textId="54B6FB80">
            <w:pPr>
              <w:jc w:val="center"/>
              <w:textAlignment w:val="baseline"/>
              <w:rPr>
                <w:sz w:val="20"/>
                <w:szCs w:val="20"/>
              </w:rPr>
            </w:pPr>
            <w:r w:rsidRPr="0085545F">
              <w:rPr>
                <w:sz w:val="20"/>
                <w:szCs w:val="20"/>
              </w:rPr>
              <w:t>(2,167)</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1D6344" w:rsidRDefault="001F12E7" w14:paraId="7341DBB2" w14:textId="38333C3C">
            <w:pPr>
              <w:jc w:val="center"/>
              <w:textAlignment w:val="baseline"/>
              <w:rPr>
                <w:sz w:val="20"/>
                <w:szCs w:val="20"/>
              </w:rPr>
            </w:pPr>
            <w:r w:rsidRPr="00CB52B7">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1F6144" w:rsidP="005521CD" w:rsidRDefault="008D6D44" w14:paraId="2CB5F448" w14:textId="209A92EE">
            <w:pPr>
              <w:jc w:val="center"/>
              <w:textAlignment w:val="baseline"/>
              <w:rPr>
                <w:sz w:val="20"/>
                <w:szCs w:val="20"/>
              </w:rPr>
            </w:pPr>
            <w:r w:rsidRPr="007D0403">
              <w:rPr>
                <w:sz w:val="20"/>
                <w:szCs w:val="20"/>
              </w:rPr>
              <w:t>1,083</w:t>
            </w:r>
          </w:p>
          <w:p w:rsidRPr="00223C2E" w:rsidR="0085545F" w:rsidP="005521CD" w:rsidRDefault="0085545F" w14:paraId="40962FE1" w14:textId="12E08CEA">
            <w:pPr>
              <w:jc w:val="center"/>
              <w:textAlignment w:val="baseline"/>
              <w:rPr>
                <w:sz w:val="20"/>
                <w:szCs w:val="20"/>
              </w:rPr>
            </w:pPr>
            <w:r>
              <w:rPr>
                <w:sz w:val="20"/>
                <w:szCs w:val="20"/>
              </w:rPr>
              <w:t>(</w:t>
            </w:r>
            <w:r w:rsidRPr="0085545F">
              <w:rPr>
                <w:sz w:val="20"/>
                <w:szCs w:val="20"/>
              </w:rPr>
              <w:t>54</w:t>
            </w:r>
            <w:r>
              <w:rPr>
                <w:sz w:val="20"/>
                <w:szCs w:val="20"/>
              </w:rPr>
              <w:t>2)</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5521CD" w14:paraId="5CB79A16" w14:textId="77777777">
            <w:pPr>
              <w:jc w:val="center"/>
              <w:textAlignment w:val="baseline"/>
              <w:rPr>
                <w:sz w:val="20"/>
                <w:szCs w:val="20"/>
              </w:rPr>
            </w:pPr>
            <w:r w:rsidRPr="00565FD2">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1F6144" w:rsidP="00900A55" w:rsidRDefault="00900A55" w14:paraId="28324522" w14:textId="77777777">
            <w:pPr>
              <w:jc w:val="center"/>
              <w:textAlignment w:val="baseline"/>
              <w:rPr>
                <w:sz w:val="20"/>
                <w:szCs w:val="20"/>
              </w:rPr>
            </w:pPr>
            <w:r w:rsidRPr="004E6FFE">
              <w:rPr>
                <w:sz w:val="20"/>
                <w:szCs w:val="20"/>
              </w:rPr>
              <w:t>$59,831</w:t>
            </w:r>
          </w:p>
          <w:p w:rsidRPr="004E6FFE" w:rsidR="00510D65" w:rsidP="00900A55" w:rsidRDefault="00510D65" w14:paraId="0A9F258C" w14:textId="7088AD14">
            <w:pPr>
              <w:jc w:val="center"/>
              <w:textAlignment w:val="baseline"/>
              <w:rPr>
                <w:sz w:val="20"/>
                <w:szCs w:val="20"/>
              </w:rPr>
            </w:pPr>
            <w:r>
              <w:rPr>
                <w:sz w:val="20"/>
                <w:szCs w:val="20"/>
              </w:rPr>
              <w:t>(</w:t>
            </w:r>
            <w:r w:rsidRPr="00510D65">
              <w:rPr>
                <w:sz w:val="20"/>
                <w:szCs w:val="20"/>
              </w:rPr>
              <w:t>$29,91</w:t>
            </w:r>
            <w:r>
              <w:rPr>
                <w:sz w:val="20"/>
                <w:szCs w:val="20"/>
              </w:rPr>
              <w:t>6)</w:t>
            </w:r>
          </w:p>
        </w:tc>
      </w:tr>
      <w:tr w:rsidRPr="008406D6" w:rsidR="00454409" w:rsidTr="001D6344" w14:paraId="48389FC2"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454409" w:rsidP="00D061DC" w:rsidRDefault="00D061DC" w14:paraId="3AE63041" w14:textId="4AE6B5C4">
            <w:pPr>
              <w:textAlignment w:val="baseline"/>
              <w:rPr>
                <w:bCs/>
                <w:sz w:val="20"/>
                <w:szCs w:val="20"/>
              </w:rPr>
            </w:pPr>
            <w:r w:rsidRPr="00D061DC">
              <w:rPr>
                <w:bCs/>
                <w:sz w:val="20"/>
                <w:szCs w:val="20"/>
              </w:rPr>
              <w:t>Medical Billing Specialist write the notice for Notice of Agreement on an Out-of-Network Rate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454409" w:rsidP="00A65834" w:rsidRDefault="00A65834" w14:paraId="2BD5EE47" w14:textId="58A5976A">
            <w:pPr>
              <w:jc w:val="center"/>
              <w:textAlignment w:val="baseline"/>
              <w:rPr>
                <w:sz w:val="20"/>
                <w:szCs w:val="20"/>
              </w:rPr>
            </w:pPr>
            <w:r w:rsidRPr="00223C2E">
              <w:rPr>
                <w:sz w:val="20"/>
                <w:szCs w:val="20"/>
              </w:rPr>
              <w:t>43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454409" w:rsidP="005521CD" w:rsidRDefault="00A65834" w14:paraId="4922EA44" w14:textId="19C29458">
            <w:pPr>
              <w:jc w:val="center"/>
              <w:textAlignment w:val="baseline"/>
              <w:rPr>
                <w:sz w:val="20"/>
                <w:szCs w:val="20"/>
              </w:rPr>
            </w:pPr>
            <w:r w:rsidRPr="00565FD2">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454409" w:rsidP="001D6344" w:rsidRDefault="00A65834" w14:paraId="37599D94" w14:textId="77777777">
            <w:pPr>
              <w:jc w:val="center"/>
              <w:textAlignment w:val="baseline"/>
              <w:rPr>
                <w:sz w:val="20"/>
                <w:szCs w:val="20"/>
              </w:rPr>
            </w:pPr>
            <w:r w:rsidRPr="004E6FFE">
              <w:rPr>
                <w:sz w:val="20"/>
                <w:szCs w:val="20"/>
              </w:rPr>
              <w:t>43</w:t>
            </w:r>
          </w:p>
          <w:p w:rsidRPr="004E6FFE" w:rsidR="00355C90" w:rsidP="001D6344" w:rsidRDefault="00355C90" w14:paraId="5B820FB0" w14:textId="6439CD44">
            <w:pPr>
              <w:jc w:val="center"/>
              <w:textAlignment w:val="baseline"/>
              <w:rPr>
                <w:sz w:val="20"/>
                <w:szCs w:val="20"/>
              </w:rPr>
            </w:pPr>
            <w:r>
              <w:rPr>
                <w:sz w:val="20"/>
                <w:szCs w:val="20"/>
              </w:rPr>
              <w:t>(22)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454409" w:rsidP="001D6344" w:rsidRDefault="00A65834" w14:paraId="27A0BCBD" w14:textId="235B6FDB">
            <w:pPr>
              <w:jc w:val="center"/>
              <w:textAlignment w:val="baseline"/>
              <w:rPr>
                <w:sz w:val="20"/>
                <w:szCs w:val="20"/>
              </w:rPr>
            </w:pPr>
            <w:r w:rsidRPr="004E6FFE">
              <w:rPr>
                <w:sz w:val="20"/>
                <w:szCs w:val="20"/>
              </w:rPr>
              <w:t>30/60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454409" w:rsidP="005521CD" w:rsidRDefault="00A65834" w14:paraId="512825B8" w14:textId="77777777">
            <w:pPr>
              <w:jc w:val="center"/>
              <w:textAlignment w:val="baseline"/>
              <w:rPr>
                <w:sz w:val="20"/>
                <w:szCs w:val="20"/>
              </w:rPr>
            </w:pPr>
            <w:r w:rsidRPr="00545FAA">
              <w:rPr>
                <w:sz w:val="20"/>
                <w:szCs w:val="20"/>
              </w:rPr>
              <w:t>22</w:t>
            </w:r>
          </w:p>
          <w:p w:rsidRPr="00545FAA" w:rsidR="00355C90" w:rsidP="005521CD" w:rsidRDefault="00355C90" w14:paraId="5C75646B" w14:textId="049CC4CF">
            <w:pPr>
              <w:jc w:val="center"/>
              <w:textAlignment w:val="baseline"/>
              <w:rPr>
                <w:sz w:val="20"/>
                <w:szCs w:val="20"/>
              </w:rPr>
            </w:pPr>
            <w:r>
              <w:rPr>
                <w:sz w:val="20"/>
                <w:szCs w:val="20"/>
              </w:rPr>
              <w:t>(11)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454409" w:rsidP="001D6344" w:rsidRDefault="00A36352" w14:paraId="1E9A3AD5" w14:textId="2DCE560D">
            <w:pPr>
              <w:jc w:val="center"/>
              <w:textAlignment w:val="baseline"/>
              <w:rPr>
                <w:sz w:val="20"/>
                <w:szCs w:val="20"/>
              </w:rPr>
            </w:pPr>
            <w:r>
              <w:rPr>
                <w:sz w:val="20"/>
                <w:szCs w:val="20"/>
              </w:rPr>
              <w:t>$10</w:t>
            </w:r>
            <w:r w:rsidRPr="004601AD" w:rsidR="00A65834">
              <w:rPr>
                <w:sz w:val="20"/>
                <w:szCs w:val="20"/>
              </w:rPr>
              <w:t>5</w:t>
            </w:r>
            <w:r>
              <w:rPr>
                <w:sz w:val="20"/>
                <w:szCs w:val="20"/>
              </w:rPr>
              <w:t>.</w:t>
            </w:r>
            <w:r w:rsidRPr="004601AD" w:rsidR="00A65834">
              <w:rPr>
                <w:sz w:val="20"/>
                <w:szCs w:val="20"/>
              </w:rPr>
              <w:t>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454409" w:rsidP="00A65834" w:rsidRDefault="00A65834" w14:paraId="1DAE04D2" w14:textId="77777777">
            <w:pPr>
              <w:jc w:val="center"/>
              <w:textAlignment w:val="baseline"/>
              <w:rPr>
                <w:sz w:val="20"/>
                <w:szCs w:val="20"/>
              </w:rPr>
            </w:pPr>
            <w:r w:rsidRPr="00BD6CBA">
              <w:rPr>
                <w:sz w:val="20"/>
                <w:szCs w:val="20"/>
              </w:rPr>
              <w:t>$2,271</w:t>
            </w:r>
          </w:p>
          <w:p w:rsidRPr="002072EF" w:rsidR="00355C90" w:rsidP="00A65834" w:rsidRDefault="00355C90" w14:paraId="1DCFCEAE" w14:textId="268C013E">
            <w:pPr>
              <w:jc w:val="center"/>
              <w:textAlignment w:val="baseline"/>
              <w:rPr>
                <w:sz w:val="20"/>
                <w:szCs w:val="20"/>
              </w:rPr>
            </w:pPr>
            <w:r>
              <w:rPr>
                <w:sz w:val="20"/>
                <w:szCs w:val="20"/>
              </w:rPr>
              <w:t>(</w:t>
            </w:r>
            <w:r w:rsidR="009D793C">
              <w:rPr>
                <w:sz w:val="20"/>
                <w:szCs w:val="20"/>
              </w:rPr>
              <w:t>$</w:t>
            </w:r>
            <w:r w:rsidRPr="00355C90">
              <w:rPr>
                <w:sz w:val="20"/>
                <w:szCs w:val="20"/>
              </w:rPr>
              <w:t>1,135</w:t>
            </w:r>
            <w:r>
              <w:rPr>
                <w:sz w:val="20"/>
                <w:szCs w:val="20"/>
              </w:rPr>
              <w:t>)</w:t>
            </w:r>
          </w:p>
        </w:tc>
      </w:tr>
      <w:tr w:rsidRPr="008406D6" w:rsidR="00454409" w:rsidTr="001D6344" w14:paraId="694A1B7C"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454409" w:rsidP="004766AE" w:rsidRDefault="00D061DC" w14:paraId="0B5BCECD" w14:textId="23F8E3D9">
            <w:pPr>
              <w:textAlignment w:val="baseline"/>
              <w:rPr>
                <w:bCs/>
                <w:sz w:val="20"/>
                <w:szCs w:val="20"/>
              </w:rPr>
            </w:pPr>
            <w:r w:rsidRPr="00D061DC">
              <w:rPr>
                <w:bCs/>
                <w:sz w:val="20"/>
                <w:szCs w:val="20"/>
              </w:rPr>
              <w:t>Clerical workers prepare and send notice for</w:t>
            </w:r>
            <w:r>
              <w:rPr>
                <w:bCs/>
                <w:sz w:val="20"/>
                <w:szCs w:val="20"/>
              </w:rPr>
              <w:t xml:space="preserve"> </w:t>
            </w:r>
            <w:r w:rsidRPr="00D061DC">
              <w:rPr>
                <w:bCs/>
                <w:sz w:val="20"/>
                <w:szCs w:val="20"/>
              </w:rPr>
              <w:t>Notice of Agreement on an Out-of-Network Rate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454409" w:rsidP="00A65834" w:rsidRDefault="00A65834" w14:paraId="5C193B21" w14:textId="62157414">
            <w:pPr>
              <w:jc w:val="center"/>
              <w:textAlignment w:val="baseline"/>
              <w:rPr>
                <w:sz w:val="20"/>
                <w:szCs w:val="20"/>
              </w:rPr>
            </w:pPr>
            <w:r w:rsidRPr="00223C2E">
              <w:rPr>
                <w:sz w:val="20"/>
                <w:szCs w:val="20"/>
              </w:rPr>
              <w:t>43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454409" w:rsidP="005521CD" w:rsidRDefault="00A65834" w14:paraId="4EFE44B8" w14:textId="40A6EFDB">
            <w:pPr>
              <w:jc w:val="center"/>
              <w:textAlignment w:val="baseline"/>
              <w:rPr>
                <w:sz w:val="20"/>
                <w:szCs w:val="20"/>
              </w:rPr>
            </w:pPr>
            <w:r w:rsidRPr="00565FD2">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454409" w:rsidP="001D6344" w:rsidRDefault="00A65834" w14:paraId="067FACBD" w14:textId="77777777">
            <w:pPr>
              <w:jc w:val="center"/>
              <w:textAlignment w:val="baseline"/>
              <w:rPr>
                <w:sz w:val="20"/>
                <w:szCs w:val="20"/>
              </w:rPr>
            </w:pPr>
            <w:r w:rsidRPr="004E6FFE">
              <w:rPr>
                <w:sz w:val="20"/>
                <w:szCs w:val="20"/>
              </w:rPr>
              <w:t>43</w:t>
            </w:r>
          </w:p>
          <w:p w:rsidRPr="004E6FFE" w:rsidR="00355C90" w:rsidP="001D6344" w:rsidRDefault="00355C90" w14:paraId="0B9F179F" w14:textId="3D3729FD">
            <w:pPr>
              <w:jc w:val="center"/>
              <w:textAlignment w:val="baseline"/>
              <w:rPr>
                <w:sz w:val="20"/>
                <w:szCs w:val="20"/>
              </w:rPr>
            </w:pPr>
            <w:r>
              <w:rPr>
                <w:sz w:val="20"/>
                <w:szCs w:val="20"/>
              </w:rPr>
              <w:t>(22)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454409" w:rsidP="001D6344" w:rsidRDefault="00A65834" w14:paraId="7159DAE4" w14:textId="01D799F2">
            <w:pPr>
              <w:jc w:val="center"/>
              <w:textAlignment w:val="baseline"/>
              <w:rPr>
                <w:sz w:val="20"/>
                <w:szCs w:val="20"/>
              </w:rPr>
            </w:pPr>
            <w:r w:rsidRPr="004E6FFE">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454409" w:rsidP="005521CD" w:rsidRDefault="00A65834" w14:paraId="454F964E" w14:textId="77777777">
            <w:pPr>
              <w:jc w:val="center"/>
              <w:textAlignment w:val="baseline"/>
              <w:rPr>
                <w:sz w:val="20"/>
                <w:szCs w:val="20"/>
              </w:rPr>
            </w:pPr>
            <w:r w:rsidRPr="00545FAA">
              <w:rPr>
                <w:sz w:val="20"/>
                <w:szCs w:val="20"/>
              </w:rPr>
              <w:t>11</w:t>
            </w:r>
          </w:p>
          <w:p w:rsidRPr="00545FAA" w:rsidR="00355C90" w:rsidP="005521CD" w:rsidRDefault="00355C90" w14:paraId="1F2F5C82" w14:textId="1A7E44D8">
            <w:pPr>
              <w:jc w:val="center"/>
              <w:textAlignment w:val="baseline"/>
              <w:rPr>
                <w:sz w:val="20"/>
                <w:szCs w:val="20"/>
              </w:rPr>
            </w:pPr>
            <w:r>
              <w:rPr>
                <w:sz w:val="20"/>
                <w:szCs w:val="20"/>
              </w:rPr>
              <w:t>(5)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454409" w:rsidP="001D6344" w:rsidRDefault="00A65834" w14:paraId="76FCAE7B" w14:textId="432E49D3">
            <w:pPr>
              <w:jc w:val="center"/>
              <w:textAlignment w:val="baseline"/>
              <w:rPr>
                <w:sz w:val="20"/>
                <w:szCs w:val="20"/>
              </w:rPr>
            </w:pPr>
            <w:r w:rsidRPr="004601AD">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454409" w:rsidP="00900A55" w:rsidRDefault="00A65834" w14:paraId="2F1C02A4" w14:textId="77777777">
            <w:pPr>
              <w:jc w:val="center"/>
              <w:textAlignment w:val="baseline"/>
              <w:rPr>
                <w:sz w:val="20"/>
                <w:szCs w:val="20"/>
              </w:rPr>
            </w:pPr>
            <w:r w:rsidRPr="00BD6CBA">
              <w:rPr>
                <w:sz w:val="20"/>
                <w:szCs w:val="20"/>
              </w:rPr>
              <w:t>$597</w:t>
            </w:r>
          </w:p>
          <w:p w:rsidRPr="002072EF" w:rsidR="00355C90" w:rsidP="00355C90" w:rsidRDefault="00355C90" w14:paraId="56BE9AEB" w14:textId="24C51EE8">
            <w:pPr>
              <w:jc w:val="center"/>
              <w:textAlignment w:val="baseline"/>
              <w:rPr>
                <w:sz w:val="20"/>
                <w:szCs w:val="20"/>
              </w:rPr>
            </w:pPr>
            <w:r>
              <w:rPr>
                <w:sz w:val="20"/>
                <w:szCs w:val="20"/>
              </w:rPr>
              <w:t>(</w:t>
            </w:r>
            <w:r w:rsidR="009D793C">
              <w:rPr>
                <w:sz w:val="20"/>
                <w:szCs w:val="20"/>
              </w:rPr>
              <w:t>$</w:t>
            </w:r>
            <w:r w:rsidRPr="00355C90">
              <w:rPr>
                <w:sz w:val="20"/>
                <w:szCs w:val="20"/>
              </w:rPr>
              <w:t>29</w:t>
            </w:r>
            <w:r>
              <w:rPr>
                <w:sz w:val="20"/>
                <w:szCs w:val="20"/>
              </w:rPr>
              <w:t>9)</w:t>
            </w:r>
          </w:p>
        </w:tc>
      </w:tr>
      <w:tr w:rsidRPr="008406D6" w:rsidR="001F6144" w:rsidTr="001D6344" w14:paraId="2AAFEBCA"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1F6144" w:rsidP="00F32F4C" w:rsidRDefault="005232EE" w14:paraId="6697361A" w14:textId="2766DEC6">
            <w:pPr>
              <w:textAlignment w:val="baseline"/>
              <w:rPr>
                <w:bCs/>
                <w:sz w:val="20"/>
                <w:szCs w:val="20"/>
              </w:rPr>
            </w:pPr>
            <w:r w:rsidRPr="005232EE">
              <w:rPr>
                <w:bCs/>
                <w:sz w:val="20"/>
                <w:szCs w:val="20"/>
              </w:rPr>
              <w:t xml:space="preserve">Medical Billing Specialist write the </w:t>
            </w:r>
            <w:r w:rsidRPr="005232EE">
              <w:rPr>
                <w:bCs/>
                <w:sz w:val="20"/>
                <w:szCs w:val="20"/>
              </w:rPr>
              <w:lastRenderedPageBreak/>
              <w:t>notice</w:t>
            </w:r>
            <w:r w:rsidR="0020340E">
              <w:rPr>
                <w:bCs/>
                <w:sz w:val="20"/>
                <w:szCs w:val="20"/>
              </w:rPr>
              <w:t xml:space="preserve"> for</w:t>
            </w:r>
            <w:r w:rsidR="00F32F4C">
              <w:rPr>
                <w:bCs/>
                <w:sz w:val="20"/>
                <w:szCs w:val="20"/>
              </w:rPr>
              <w:t xml:space="preserve"> selecting IDR entity</w:t>
            </w:r>
            <w:r w:rsidRPr="005232EE">
              <w:rPr>
                <w:bCs/>
                <w:sz w:val="20"/>
                <w:szCs w:val="20"/>
              </w:rPr>
              <w:tab/>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6E1767" w14:paraId="52036FDE" w14:textId="48F744ED">
            <w:pPr>
              <w:jc w:val="center"/>
              <w:textAlignment w:val="baseline"/>
              <w:rPr>
                <w:sz w:val="20"/>
                <w:szCs w:val="20"/>
              </w:rPr>
            </w:pPr>
            <w:r w:rsidRPr="007D0403">
              <w:rPr>
                <w:sz w:val="20"/>
                <w:szCs w:val="20"/>
              </w:rPr>
              <w:lastRenderedPageBreak/>
              <w:t>3,250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1D6344" w:rsidRDefault="008533B5" w14:paraId="68E76B1E" w14:textId="3B92E540">
            <w:pPr>
              <w:jc w:val="center"/>
              <w:textAlignment w:val="baseline"/>
              <w:rPr>
                <w:sz w:val="20"/>
                <w:szCs w:val="20"/>
              </w:rPr>
            </w:pPr>
            <w:r w:rsidRPr="00CB52B7">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9D793C" w:rsidP="001D6344" w:rsidRDefault="006E1767" w14:paraId="270D55D9" w14:textId="77777777">
            <w:pPr>
              <w:jc w:val="center"/>
              <w:textAlignment w:val="baseline"/>
              <w:rPr>
                <w:sz w:val="20"/>
                <w:szCs w:val="20"/>
              </w:rPr>
            </w:pPr>
            <w:r w:rsidRPr="007D0403">
              <w:rPr>
                <w:sz w:val="20"/>
                <w:szCs w:val="20"/>
              </w:rPr>
              <w:t>3,250</w:t>
            </w:r>
          </w:p>
          <w:p w:rsidRPr="00223C2E" w:rsidR="001F6144" w:rsidP="001D6344" w:rsidRDefault="009D793C" w14:paraId="11054514" w14:textId="0D719953">
            <w:pPr>
              <w:jc w:val="center"/>
              <w:textAlignment w:val="baseline"/>
              <w:rPr>
                <w:sz w:val="20"/>
                <w:szCs w:val="20"/>
              </w:rPr>
            </w:pPr>
            <w:r>
              <w:rPr>
                <w:sz w:val="20"/>
                <w:szCs w:val="20"/>
              </w:rPr>
              <w:t>(</w:t>
            </w:r>
            <w:r w:rsidRPr="009D793C">
              <w:rPr>
                <w:sz w:val="20"/>
                <w:szCs w:val="20"/>
              </w:rPr>
              <w:t>1</w:t>
            </w:r>
            <w:r>
              <w:rPr>
                <w:sz w:val="20"/>
                <w:szCs w:val="20"/>
              </w:rPr>
              <w:t>,</w:t>
            </w:r>
            <w:r w:rsidRPr="009D793C">
              <w:rPr>
                <w:sz w:val="20"/>
                <w:szCs w:val="20"/>
              </w:rPr>
              <w:t>625</w:t>
            </w:r>
            <w:r>
              <w:rPr>
                <w:sz w:val="20"/>
                <w:szCs w:val="20"/>
              </w:rPr>
              <w:t>)</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01487A" w14:paraId="1237C851" w14:textId="77777777">
            <w:pPr>
              <w:jc w:val="center"/>
              <w:textAlignment w:val="baseline"/>
              <w:rPr>
                <w:sz w:val="20"/>
                <w:szCs w:val="20"/>
              </w:rPr>
            </w:pPr>
            <w:r w:rsidRPr="00565FD2">
              <w:rPr>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1F6144" w:rsidP="001D6344" w:rsidRDefault="00B052E5" w14:paraId="291A082D" w14:textId="5A13CD28">
            <w:pPr>
              <w:jc w:val="center"/>
              <w:textAlignment w:val="baseline"/>
              <w:rPr>
                <w:sz w:val="20"/>
                <w:szCs w:val="20"/>
              </w:rPr>
            </w:pPr>
            <w:r w:rsidRPr="004E6FFE">
              <w:rPr>
                <w:sz w:val="20"/>
                <w:szCs w:val="20"/>
              </w:rPr>
              <w:t>3,25</w:t>
            </w:r>
            <w:r w:rsidR="004D387C">
              <w:rPr>
                <w:sz w:val="20"/>
                <w:szCs w:val="20"/>
              </w:rPr>
              <w:t>0</w:t>
            </w:r>
          </w:p>
          <w:p w:rsidRPr="004E6FFE" w:rsidR="009D793C" w:rsidP="001D6344" w:rsidRDefault="009D793C" w14:paraId="010C79D0" w14:textId="3C9CCE76">
            <w:pPr>
              <w:jc w:val="center"/>
              <w:textAlignment w:val="baseline"/>
              <w:rPr>
                <w:sz w:val="20"/>
                <w:szCs w:val="20"/>
              </w:rPr>
            </w:pPr>
            <w:r>
              <w:rPr>
                <w:sz w:val="20"/>
                <w:szCs w:val="20"/>
              </w:rPr>
              <w:t>(1,625)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601AD" w:rsidR="001F6144" w:rsidP="001D6344" w:rsidRDefault="00107E1B" w14:paraId="56A9BE62" w14:textId="77777777">
            <w:pPr>
              <w:jc w:val="center"/>
              <w:textAlignment w:val="baseline"/>
              <w:rPr>
                <w:sz w:val="20"/>
                <w:szCs w:val="20"/>
              </w:rPr>
            </w:pPr>
            <w:r w:rsidRPr="004E6FFE">
              <w:rPr>
                <w:sz w:val="20"/>
                <w:szCs w:val="20"/>
              </w:rPr>
              <w:t>$105</w:t>
            </w:r>
            <w:r w:rsidRPr="00545FAA" w:rsidR="004E19FE">
              <w:rPr>
                <w:sz w:val="20"/>
                <w:szCs w:val="20"/>
              </w:rPr>
              <w:t>.01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9D793C" w:rsidP="00605345" w:rsidRDefault="009D793C" w14:paraId="2C94D1A9" w14:textId="77777777">
            <w:pPr>
              <w:jc w:val="center"/>
              <w:textAlignment w:val="baseline"/>
              <w:rPr>
                <w:sz w:val="20"/>
                <w:szCs w:val="20"/>
              </w:rPr>
            </w:pPr>
          </w:p>
          <w:p w:rsidR="001F6144" w:rsidP="00605345" w:rsidRDefault="00605345" w14:paraId="76AB7318" w14:textId="2B02FC46">
            <w:pPr>
              <w:jc w:val="center"/>
              <w:textAlignment w:val="baseline"/>
              <w:rPr>
                <w:sz w:val="20"/>
                <w:szCs w:val="20"/>
              </w:rPr>
            </w:pPr>
            <w:r w:rsidRPr="00BD6CBA">
              <w:rPr>
                <w:sz w:val="20"/>
                <w:szCs w:val="20"/>
              </w:rPr>
              <w:t>$341,283</w:t>
            </w:r>
          </w:p>
          <w:p w:rsidR="009D793C" w:rsidP="00605345" w:rsidRDefault="009D793C" w14:paraId="6EE88EAE" w14:textId="0B472428">
            <w:pPr>
              <w:jc w:val="center"/>
              <w:textAlignment w:val="baseline"/>
              <w:rPr>
                <w:sz w:val="20"/>
                <w:szCs w:val="20"/>
              </w:rPr>
            </w:pPr>
            <w:r>
              <w:rPr>
                <w:sz w:val="20"/>
                <w:szCs w:val="20"/>
              </w:rPr>
              <w:lastRenderedPageBreak/>
              <w:t>($</w:t>
            </w:r>
            <w:r w:rsidRPr="009D793C">
              <w:rPr>
                <w:sz w:val="20"/>
                <w:szCs w:val="20"/>
              </w:rPr>
              <w:t>170</w:t>
            </w:r>
            <w:r>
              <w:rPr>
                <w:sz w:val="20"/>
                <w:szCs w:val="20"/>
              </w:rPr>
              <w:t>,</w:t>
            </w:r>
            <w:r w:rsidRPr="009D793C">
              <w:rPr>
                <w:sz w:val="20"/>
                <w:szCs w:val="20"/>
              </w:rPr>
              <w:t>641</w:t>
            </w:r>
            <w:r>
              <w:rPr>
                <w:sz w:val="20"/>
                <w:szCs w:val="20"/>
              </w:rPr>
              <w:t>)</w:t>
            </w:r>
          </w:p>
          <w:p w:rsidRPr="002072EF" w:rsidR="009D793C" w:rsidP="00605345" w:rsidRDefault="009D793C" w14:paraId="48F99AAE" w14:textId="528C97E1">
            <w:pPr>
              <w:jc w:val="center"/>
              <w:textAlignment w:val="baseline"/>
              <w:rPr>
                <w:sz w:val="20"/>
                <w:szCs w:val="20"/>
              </w:rPr>
            </w:pPr>
          </w:p>
        </w:tc>
      </w:tr>
      <w:tr w:rsidRPr="008406D6" w:rsidR="001F6144" w:rsidTr="001D6344" w14:paraId="06B2BED9"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0E59A8" w:rsidR="001F6144" w:rsidP="001D6344" w:rsidRDefault="002A11BC" w14:paraId="39F57169" w14:textId="1915BA6C">
            <w:pPr>
              <w:textAlignment w:val="baseline"/>
              <w:rPr>
                <w:bCs/>
                <w:sz w:val="20"/>
                <w:szCs w:val="20"/>
              </w:rPr>
            </w:pPr>
            <w:r>
              <w:rPr>
                <w:bCs/>
                <w:sz w:val="20"/>
                <w:szCs w:val="20"/>
              </w:rPr>
              <w:lastRenderedPageBreak/>
              <w:t>Clerical workers prepare and send the notice for</w:t>
            </w:r>
            <w:r w:rsidRPr="00F32F4C" w:rsidR="00F32F4C">
              <w:rPr>
                <w:bCs/>
                <w:sz w:val="20"/>
                <w:szCs w:val="20"/>
              </w:rPr>
              <w:t xml:space="preserve"> write the notice for selecting IDR entity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6E1767" w14:paraId="180C987F" w14:textId="43CF168B">
            <w:pPr>
              <w:jc w:val="center"/>
              <w:textAlignment w:val="baseline"/>
              <w:rPr>
                <w:sz w:val="20"/>
                <w:szCs w:val="20"/>
              </w:rPr>
            </w:pPr>
            <w:r w:rsidRPr="007D0403">
              <w:rPr>
                <w:sz w:val="20"/>
                <w:szCs w:val="20"/>
              </w:rPr>
              <w:t>3,250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1D6344" w:rsidRDefault="008533B5" w14:paraId="36430153" w14:textId="0150AD4C">
            <w:pPr>
              <w:jc w:val="center"/>
              <w:textAlignment w:val="baseline"/>
              <w:rPr>
                <w:sz w:val="20"/>
                <w:szCs w:val="20"/>
              </w:rPr>
            </w:pPr>
            <w:r w:rsidRPr="00CB52B7">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9D793C" w:rsidP="001D6344" w:rsidRDefault="006E1767" w14:paraId="5DD89447" w14:textId="77777777">
            <w:pPr>
              <w:jc w:val="center"/>
              <w:textAlignment w:val="baseline"/>
              <w:rPr>
                <w:sz w:val="20"/>
                <w:szCs w:val="20"/>
              </w:rPr>
            </w:pPr>
            <w:r w:rsidRPr="007D0403">
              <w:rPr>
                <w:sz w:val="20"/>
                <w:szCs w:val="20"/>
              </w:rPr>
              <w:t>3,250</w:t>
            </w:r>
          </w:p>
          <w:p w:rsidRPr="00223C2E" w:rsidR="001F6144" w:rsidP="001D6344" w:rsidRDefault="009D793C" w14:paraId="4396A80A" w14:textId="0F14EF7D">
            <w:pPr>
              <w:jc w:val="center"/>
              <w:textAlignment w:val="baseline"/>
              <w:rPr>
                <w:sz w:val="20"/>
                <w:szCs w:val="20"/>
              </w:rPr>
            </w:pPr>
            <w:r>
              <w:rPr>
                <w:sz w:val="20"/>
                <w:szCs w:val="20"/>
              </w:rPr>
              <w:t>(</w:t>
            </w:r>
            <w:r w:rsidRPr="009D793C">
              <w:rPr>
                <w:sz w:val="20"/>
                <w:szCs w:val="20"/>
              </w:rPr>
              <w:t>1</w:t>
            </w:r>
            <w:r>
              <w:rPr>
                <w:sz w:val="20"/>
                <w:szCs w:val="20"/>
              </w:rPr>
              <w:t>,</w:t>
            </w:r>
            <w:r w:rsidRPr="009D793C">
              <w:rPr>
                <w:sz w:val="20"/>
                <w:szCs w:val="20"/>
              </w:rPr>
              <w:t>625</w:t>
            </w:r>
            <w:r>
              <w:rPr>
                <w:sz w:val="20"/>
                <w:szCs w:val="20"/>
              </w:rPr>
              <w:t>)</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E01835" w14:paraId="05B96E23" w14:textId="77777777">
            <w:pPr>
              <w:jc w:val="center"/>
              <w:textAlignment w:val="baseline"/>
              <w:rPr>
                <w:sz w:val="20"/>
                <w:szCs w:val="20"/>
              </w:rPr>
            </w:pPr>
            <w:r w:rsidRPr="00565FD2">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1F6144" w:rsidP="00DF26A8" w:rsidRDefault="00DF26A8" w14:paraId="588DAD61" w14:textId="77777777">
            <w:pPr>
              <w:jc w:val="center"/>
              <w:textAlignment w:val="baseline"/>
              <w:rPr>
                <w:sz w:val="20"/>
                <w:szCs w:val="20"/>
              </w:rPr>
            </w:pPr>
            <w:r w:rsidRPr="004E6FFE">
              <w:rPr>
                <w:sz w:val="20"/>
                <w:szCs w:val="20"/>
              </w:rPr>
              <w:t>813</w:t>
            </w:r>
          </w:p>
          <w:p w:rsidRPr="004E6FFE" w:rsidR="009D793C" w:rsidP="00DF26A8" w:rsidRDefault="009D793C" w14:paraId="35C2FAC6" w14:textId="4F93A4B8">
            <w:pPr>
              <w:jc w:val="center"/>
              <w:textAlignment w:val="baseline"/>
              <w:rPr>
                <w:sz w:val="20"/>
                <w:szCs w:val="20"/>
              </w:rPr>
            </w:pPr>
            <w:r>
              <w:rPr>
                <w:sz w:val="20"/>
                <w:szCs w:val="20"/>
              </w:rPr>
              <w:t>(</w:t>
            </w:r>
            <w:r w:rsidRPr="009D793C">
              <w:rPr>
                <w:sz w:val="20"/>
                <w:szCs w:val="20"/>
              </w:rPr>
              <w:t>406</w:t>
            </w:r>
            <w:r>
              <w:rPr>
                <w:sz w:val="20"/>
                <w:szCs w:val="20"/>
              </w:rPr>
              <w:t>)</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1F6144" w:rsidP="001D6344" w:rsidRDefault="004E19FE" w14:paraId="141B5167" w14:textId="77777777">
            <w:pPr>
              <w:jc w:val="center"/>
              <w:textAlignment w:val="baseline"/>
              <w:rPr>
                <w:sz w:val="20"/>
                <w:szCs w:val="20"/>
              </w:rPr>
            </w:pPr>
            <w:r w:rsidRPr="004E6FFE">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1F6144" w:rsidP="005B2E4C" w:rsidRDefault="005B2E4C" w14:paraId="73B532C4" w14:textId="77777777">
            <w:pPr>
              <w:jc w:val="center"/>
              <w:textAlignment w:val="baseline"/>
              <w:rPr>
                <w:sz w:val="20"/>
                <w:szCs w:val="20"/>
              </w:rPr>
            </w:pPr>
            <w:r w:rsidRPr="00545FAA">
              <w:rPr>
                <w:sz w:val="20"/>
                <w:szCs w:val="20"/>
              </w:rPr>
              <w:t>$44,874</w:t>
            </w:r>
          </w:p>
          <w:p w:rsidRPr="00545FAA" w:rsidR="009D793C" w:rsidP="005B2E4C" w:rsidRDefault="009D793C" w14:paraId="770E9D3A" w14:textId="6AD2BF91">
            <w:pPr>
              <w:jc w:val="center"/>
              <w:textAlignment w:val="baseline"/>
              <w:rPr>
                <w:sz w:val="20"/>
                <w:szCs w:val="20"/>
              </w:rPr>
            </w:pPr>
            <w:r>
              <w:rPr>
                <w:sz w:val="20"/>
                <w:szCs w:val="20"/>
              </w:rPr>
              <w:t>($</w:t>
            </w:r>
            <w:r w:rsidRPr="009D793C">
              <w:rPr>
                <w:sz w:val="20"/>
                <w:szCs w:val="20"/>
              </w:rPr>
              <w:t>22</w:t>
            </w:r>
            <w:r>
              <w:rPr>
                <w:sz w:val="20"/>
                <w:szCs w:val="20"/>
              </w:rPr>
              <w:t>,</w:t>
            </w:r>
            <w:r w:rsidRPr="009D793C">
              <w:rPr>
                <w:sz w:val="20"/>
                <w:szCs w:val="20"/>
              </w:rPr>
              <w:t>437</w:t>
            </w:r>
            <w:r>
              <w:rPr>
                <w:sz w:val="20"/>
                <w:szCs w:val="20"/>
              </w:rPr>
              <w:t>)</w:t>
            </w:r>
          </w:p>
        </w:tc>
      </w:tr>
      <w:tr w:rsidRPr="008406D6" w:rsidR="00672168" w:rsidTr="001D6344" w14:paraId="10CEFC66"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672168" w:rsidP="00672168" w:rsidRDefault="00672168" w14:paraId="326D635F" w14:textId="1300F801">
            <w:pPr>
              <w:textAlignment w:val="baseline"/>
              <w:rPr>
                <w:bCs/>
                <w:sz w:val="20"/>
                <w:szCs w:val="20"/>
              </w:rPr>
            </w:pPr>
            <w:r>
              <w:rPr>
                <w:bCs/>
                <w:sz w:val="20"/>
                <w:szCs w:val="20"/>
              </w:rPr>
              <w:t>Medical Billing Specialist</w:t>
            </w:r>
            <w:r w:rsidRPr="00672168">
              <w:rPr>
                <w:bCs/>
                <w:sz w:val="20"/>
                <w:szCs w:val="20"/>
              </w:rPr>
              <w:t xml:space="preserve"> </w:t>
            </w:r>
            <w:r>
              <w:rPr>
                <w:bCs/>
                <w:sz w:val="20"/>
                <w:szCs w:val="20"/>
              </w:rPr>
              <w:t xml:space="preserve">write the offer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672168" w:rsidDel="00F037AC" w:rsidP="001D6344" w:rsidRDefault="00892F22" w14:paraId="2989F081" w14:textId="05C56A4B">
            <w:pPr>
              <w:jc w:val="center"/>
              <w:textAlignment w:val="baseline"/>
              <w:rPr>
                <w:sz w:val="20"/>
                <w:szCs w:val="20"/>
              </w:rPr>
            </w:pPr>
            <w:r w:rsidRPr="007D0403">
              <w:rPr>
                <w:sz w:val="20"/>
                <w:szCs w:val="20"/>
              </w:rPr>
              <w:t>8,667</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672168" w:rsidP="001D6344" w:rsidRDefault="008533B5" w14:paraId="2BDC5929" w14:textId="5DF0B28D">
            <w:pPr>
              <w:jc w:val="center"/>
              <w:textAlignment w:val="baseline"/>
              <w:rPr>
                <w:sz w:val="20"/>
                <w:szCs w:val="20"/>
              </w:rPr>
            </w:pPr>
            <w:r w:rsidRPr="00CB52B7">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916C28" w:rsidP="001D6344" w:rsidRDefault="00892F22" w14:paraId="4B2D0B15" w14:textId="77777777">
            <w:pPr>
              <w:jc w:val="center"/>
              <w:textAlignment w:val="baseline"/>
              <w:rPr>
                <w:sz w:val="20"/>
                <w:szCs w:val="20"/>
              </w:rPr>
            </w:pPr>
            <w:r w:rsidRPr="007D0403">
              <w:rPr>
                <w:sz w:val="20"/>
                <w:szCs w:val="20"/>
              </w:rPr>
              <w:t>8,667</w:t>
            </w:r>
          </w:p>
          <w:p w:rsidRPr="00223C2E" w:rsidR="00672168" w:rsidDel="00F037AC" w:rsidP="001D6344" w:rsidRDefault="00916C28" w14:paraId="3F553AA2" w14:textId="75FEA728">
            <w:pPr>
              <w:jc w:val="center"/>
              <w:textAlignment w:val="baseline"/>
              <w:rPr>
                <w:sz w:val="20"/>
                <w:szCs w:val="20"/>
              </w:rPr>
            </w:pPr>
            <w:r>
              <w:rPr>
                <w:sz w:val="20"/>
                <w:szCs w:val="20"/>
              </w:rPr>
              <w:t>(</w:t>
            </w:r>
            <w:r w:rsidRPr="00916C28">
              <w:rPr>
                <w:sz w:val="20"/>
                <w:szCs w:val="20"/>
              </w:rPr>
              <w:t>4,33</w:t>
            </w:r>
            <w:r>
              <w:rPr>
                <w:sz w:val="20"/>
                <w:szCs w:val="20"/>
              </w:rPr>
              <w:t>)</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672168" w:rsidP="001D6344" w:rsidRDefault="00E5212B" w14:paraId="43B7304B" w14:textId="77777777">
            <w:pPr>
              <w:jc w:val="center"/>
              <w:textAlignment w:val="baseline"/>
              <w:rPr>
                <w:sz w:val="20"/>
                <w:szCs w:val="20"/>
              </w:rPr>
            </w:pPr>
            <w:r w:rsidRPr="00565FD2">
              <w:rPr>
                <w:sz w:val="20"/>
                <w:szCs w:val="20"/>
              </w:rPr>
              <w:t>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672168" w:rsidP="001D6344" w:rsidRDefault="00517CF3" w14:paraId="48A4E6F3" w14:textId="77777777">
            <w:pPr>
              <w:jc w:val="center"/>
              <w:textAlignment w:val="baseline"/>
              <w:rPr>
                <w:sz w:val="20"/>
                <w:szCs w:val="20"/>
              </w:rPr>
            </w:pPr>
            <w:r w:rsidRPr="004E6FFE">
              <w:rPr>
                <w:sz w:val="20"/>
                <w:szCs w:val="20"/>
              </w:rPr>
              <w:t>21,667</w:t>
            </w:r>
          </w:p>
          <w:p w:rsidRPr="004E6FFE" w:rsidR="00916C28" w:rsidDel="00F037AC" w:rsidP="001D6344" w:rsidRDefault="00916C28" w14:paraId="65C4861C" w14:textId="54688A20">
            <w:pPr>
              <w:jc w:val="center"/>
              <w:textAlignment w:val="baseline"/>
              <w:rPr>
                <w:sz w:val="20"/>
                <w:szCs w:val="20"/>
              </w:rPr>
            </w:pPr>
            <w:r>
              <w:rPr>
                <w:sz w:val="20"/>
                <w:szCs w:val="20"/>
              </w:rPr>
              <w:t>(</w:t>
            </w:r>
            <w:r w:rsidRPr="00916C28">
              <w:rPr>
                <w:sz w:val="20"/>
                <w:szCs w:val="20"/>
              </w:rPr>
              <w:t>10,83</w:t>
            </w:r>
            <w:r>
              <w:rPr>
                <w:sz w:val="20"/>
                <w:szCs w:val="20"/>
              </w:rPr>
              <w:t>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672168" w:rsidP="001D6344" w:rsidRDefault="00617066" w14:paraId="3F59CA58" w14:textId="77777777">
            <w:pPr>
              <w:jc w:val="center"/>
              <w:textAlignment w:val="baseline"/>
              <w:rPr>
                <w:sz w:val="20"/>
                <w:szCs w:val="20"/>
              </w:rPr>
            </w:pPr>
            <w:r w:rsidRPr="004E6FFE">
              <w:rPr>
                <w:sz w:val="20"/>
                <w:szCs w:val="20"/>
              </w:rPr>
              <w:t>$105.</w:t>
            </w:r>
            <w:r w:rsidRPr="00923AC3">
              <w:rPr>
                <w:sz w:val="20"/>
                <w:szCs w:val="20"/>
              </w:rPr>
              <w:t>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672168" w:rsidP="00CF4B7B" w:rsidRDefault="00C23EBC" w14:paraId="358AD0DF" w14:textId="77777777">
            <w:pPr>
              <w:jc w:val="center"/>
              <w:textAlignment w:val="baseline"/>
              <w:rPr>
                <w:sz w:val="20"/>
                <w:szCs w:val="20"/>
              </w:rPr>
            </w:pPr>
            <w:r w:rsidRPr="00545FAA">
              <w:rPr>
                <w:sz w:val="20"/>
                <w:szCs w:val="20"/>
              </w:rPr>
              <w:t>$2</w:t>
            </w:r>
            <w:r w:rsidRPr="00545FAA" w:rsidR="00F617E8">
              <w:rPr>
                <w:sz w:val="20"/>
                <w:szCs w:val="20"/>
              </w:rPr>
              <w:t>,</w:t>
            </w:r>
            <w:r w:rsidRPr="004601AD">
              <w:rPr>
                <w:sz w:val="20"/>
                <w:szCs w:val="20"/>
              </w:rPr>
              <w:t>275,17</w:t>
            </w:r>
            <w:r w:rsidRPr="00BD6CBA" w:rsidR="00CF4B7B">
              <w:rPr>
                <w:sz w:val="20"/>
                <w:szCs w:val="20"/>
              </w:rPr>
              <w:t>3</w:t>
            </w:r>
          </w:p>
          <w:p w:rsidRPr="00BD6CBA" w:rsidR="00916C28" w:rsidP="00CF4B7B" w:rsidRDefault="00916C28" w14:paraId="72B47A91" w14:textId="06D472A1">
            <w:pPr>
              <w:jc w:val="center"/>
              <w:textAlignment w:val="baseline"/>
              <w:rPr>
                <w:sz w:val="20"/>
                <w:szCs w:val="20"/>
              </w:rPr>
            </w:pPr>
            <w:r>
              <w:rPr>
                <w:sz w:val="20"/>
                <w:szCs w:val="20"/>
              </w:rPr>
              <w:t>($</w:t>
            </w:r>
            <w:r w:rsidRPr="00916C28">
              <w:rPr>
                <w:sz w:val="20"/>
                <w:szCs w:val="20"/>
              </w:rPr>
              <w:t>1,137,586</w:t>
            </w:r>
            <w:r>
              <w:rPr>
                <w:sz w:val="20"/>
                <w:szCs w:val="20"/>
              </w:rPr>
              <w:t>)</w:t>
            </w:r>
          </w:p>
        </w:tc>
      </w:tr>
      <w:tr w:rsidRPr="008406D6" w:rsidR="00672168" w:rsidTr="001D6344" w14:paraId="5FEAE40E"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672168" w:rsidP="00672168" w:rsidRDefault="00672168" w14:paraId="6FB581EF" w14:textId="25BBE3BC">
            <w:pPr>
              <w:textAlignment w:val="baseline"/>
              <w:rPr>
                <w:bCs/>
                <w:sz w:val="20"/>
                <w:szCs w:val="20"/>
              </w:rPr>
            </w:pPr>
            <w:r>
              <w:rPr>
                <w:bCs/>
                <w:sz w:val="20"/>
                <w:szCs w:val="20"/>
              </w:rPr>
              <w:t xml:space="preserve">Clerical workers prepare and submit </w:t>
            </w:r>
            <w:r w:rsidRPr="00672168">
              <w:rPr>
                <w:bCs/>
                <w:sz w:val="20"/>
                <w:szCs w:val="20"/>
              </w:rPr>
              <w:t xml:space="preserve">  the offer</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672168" w:rsidDel="00F037AC" w:rsidP="001D6344" w:rsidRDefault="00892F22" w14:paraId="2146A676" w14:textId="40CEF4DC">
            <w:pPr>
              <w:jc w:val="center"/>
              <w:textAlignment w:val="baseline"/>
              <w:rPr>
                <w:sz w:val="20"/>
                <w:szCs w:val="20"/>
              </w:rPr>
            </w:pPr>
            <w:r w:rsidRPr="007D0403">
              <w:rPr>
                <w:sz w:val="20"/>
                <w:szCs w:val="20"/>
              </w:rPr>
              <w:t>8,667</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672168" w:rsidP="001D6344" w:rsidRDefault="008533B5" w14:paraId="2E6CC16E" w14:textId="00B8A88B">
            <w:pPr>
              <w:jc w:val="center"/>
              <w:textAlignment w:val="baseline"/>
              <w:rPr>
                <w:sz w:val="20"/>
                <w:szCs w:val="20"/>
              </w:rPr>
            </w:pPr>
            <w:r w:rsidRPr="00CB52B7">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916C28" w:rsidP="001D6344" w:rsidRDefault="00892F22" w14:paraId="41E50048" w14:textId="77777777">
            <w:pPr>
              <w:jc w:val="center"/>
              <w:textAlignment w:val="baseline"/>
              <w:rPr>
                <w:sz w:val="20"/>
                <w:szCs w:val="20"/>
              </w:rPr>
            </w:pPr>
            <w:r w:rsidRPr="007D0403">
              <w:rPr>
                <w:sz w:val="20"/>
                <w:szCs w:val="20"/>
              </w:rPr>
              <w:t>8,667</w:t>
            </w:r>
          </w:p>
          <w:p w:rsidRPr="00223C2E" w:rsidR="00672168" w:rsidDel="00F037AC" w:rsidP="001D6344" w:rsidRDefault="00916C28" w14:paraId="1D455428" w14:textId="47267D77">
            <w:pPr>
              <w:jc w:val="center"/>
              <w:textAlignment w:val="baseline"/>
              <w:rPr>
                <w:sz w:val="20"/>
                <w:szCs w:val="20"/>
              </w:rPr>
            </w:pPr>
            <w:r>
              <w:rPr>
                <w:sz w:val="20"/>
                <w:szCs w:val="20"/>
              </w:rPr>
              <w:t>(</w:t>
            </w:r>
            <w:r w:rsidRPr="00916C28">
              <w:rPr>
                <w:sz w:val="20"/>
                <w:szCs w:val="20"/>
              </w:rPr>
              <w:t>4,333</w:t>
            </w:r>
            <w:r>
              <w:rPr>
                <w:sz w:val="20"/>
                <w:szCs w:val="20"/>
              </w:rPr>
              <w:t>)</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672168" w:rsidP="001D6344" w:rsidRDefault="00E5212B" w14:paraId="07BA490B" w14:textId="77777777">
            <w:pPr>
              <w:jc w:val="center"/>
              <w:textAlignment w:val="baseline"/>
              <w:rPr>
                <w:sz w:val="20"/>
                <w:szCs w:val="20"/>
              </w:rPr>
            </w:pPr>
            <w:r w:rsidRPr="00565FD2">
              <w:rPr>
                <w:sz w:val="20"/>
                <w:szCs w:val="20"/>
              </w:rPr>
              <w:t>0.5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672168" w:rsidP="001D6344" w:rsidRDefault="00C23EBC" w14:paraId="568EF119" w14:textId="77777777">
            <w:pPr>
              <w:jc w:val="center"/>
              <w:textAlignment w:val="baseline"/>
              <w:rPr>
                <w:sz w:val="20"/>
                <w:szCs w:val="20"/>
              </w:rPr>
            </w:pPr>
            <w:r w:rsidRPr="004E6FFE">
              <w:rPr>
                <w:sz w:val="20"/>
                <w:szCs w:val="20"/>
              </w:rPr>
              <w:t>4,333</w:t>
            </w:r>
          </w:p>
          <w:p w:rsidRPr="004E6FFE" w:rsidR="00916C28" w:rsidDel="00F037AC" w:rsidP="001D6344" w:rsidRDefault="00916C28" w14:paraId="1090DB8E" w14:textId="793692ED">
            <w:pPr>
              <w:jc w:val="center"/>
              <w:textAlignment w:val="baseline"/>
              <w:rPr>
                <w:sz w:val="20"/>
                <w:szCs w:val="20"/>
              </w:rPr>
            </w:pPr>
            <w:r>
              <w:rPr>
                <w:sz w:val="20"/>
                <w:szCs w:val="20"/>
              </w:rPr>
              <w:t>(</w:t>
            </w:r>
            <w:r w:rsidRPr="00916C28">
              <w:rPr>
                <w:sz w:val="20"/>
                <w:szCs w:val="20"/>
              </w:rPr>
              <w:t>2,166</w:t>
            </w:r>
            <w:r>
              <w:rPr>
                <w:sz w:val="20"/>
                <w:szCs w:val="20"/>
              </w:rPr>
              <w:t>)</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672168" w:rsidP="001D6344" w:rsidRDefault="00617066" w14:paraId="20437EAD" w14:textId="77777777">
            <w:pPr>
              <w:jc w:val="center"/>
              <w:textAlignment w:val="baseline"/>
              <w:rPr>
                <w:sz w:val="20"/>
                <w:szCs w:val="20"/>
              </w:rPr>
            </w:pPr>
            <w:r w:rsidRPr="004E6FFE">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672168" w:rsidP="00305163" w:rsidRDefault="00C23EBC" w14:paraId="36DA5A0D" w14:textId="77777777">
            <w:pPr>
              <w:jc w:val="center"/>
              <w:textAlignment w:val="baseline"/>
              <w:rPr>
                <w:sz w:val="20"/>
                <w:szCs w:val="20"/>
              </w:rPr>
            </w:pPr>
            <w:r w:rsidRPr="004601AD">
              <w:rPr>
                <w:sz w:val="20"/>
                <w:szCs w:val="20"/>
              </w:rPr>
              <w:t>$239,32</w:t>
            </w:r>
            <w:r w:rsidRPr="00BD6CBA" w:rsidR="00305163">
              <w:rPr>
                <w:sz w:val="20"/>
                <w:szCs w:val="20"/>
              </w:rPr>
              <w:t>6</w:t>
            </w:r>
            <w:r w:rsidRPr="00BD6CBA">
              <w:rPr>
                <w:sz w:val="20"/>
                <w:szCs w:val="20"/>
              </w:rPr>
              <w:t xml:space="preserve"> </w:t>
            </w:r>
          </w:p>
          <w:p w:rsidRPr="00BD6CBA" w:rsidR="00916C28" w:rsidP="00916C28" w:rsidRDefault="00916C28" w14:paraId="585F6D24" w14:textId="6998810B">
            <w:pPr>
              <w:jc w:val="center"/>
              <w:textAlignment w:val="baseline"/>
              <w:rPr>
                <w:sz w:val="20"/>
                <w:szCs w:val="20"/>
              </w:rPr>
            </w:pPr>
            <w:r>
              <w:rPr>
                <w:sz w:val="20"/>
                <w:szCs w:val="20"/>
              </w:rPr>
              <w:t xml:space="preserve">($119,663) </w:t>
            </w:r>
          </w:p>
        </w:tc>
      </w:tr>
      <w:tr w:rsidRPr="008406D6" w:rsidR="003459EF" w:rsidTr="001D6344" w14:paraId="7E8495AB" w14:textId="77777777">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2243B8" w:rsidR="003459EF" w:rsidP="00B852FC" w:rsidRDefault="008D3FB2" w14:paraId="513BCF17" w14:textId="0445B9DF">
            <w:pPr>
              <w:jc w:val="center"/>
              <w:textAlignment w:val="baseline"/>
              <w:rPr>
                <w:b/>
                <w:bCs/>
                <w:sz w:val="20"/>
                <w:szCs w:val="20"/>
                <w:u w:val="single"/>
              </w:rPr>
            </w:pPr>
            <w:r>
              <w:rPr>
                <w:b/>
                <w:bCs/>
                <w:sz w:val="20"/>
                <w:szCs w:val="20"/>
                <w:u w:val="single"/>
              </w:rPr>
              <w:t xml:space="preserve">Federal </w:t>
            </w:r>
            <w:r w:rsidR="007D440B">
              <w:rPr>
                <w:b/>
                <w:bCs/>
                <w:sz w:val="20"/>
                <w:szCs w:val="20"/>
                <w:u w:val="single"/>
              </w:rPr>
              <w:t xml:space="preserve">IDR </w:t>
            </w:r>
            <w:r w:rsidR="002146B3">
              <w:rPr>
                <w:b/>
                <w:bCs/>
                <w:sz w:val="20"/>
                <w:szCs w:val="20"/>
                <w:u w:val="single"/>
              </w:rPr>
              <w:t>P</w:t>
            </w:r>
            <w:r w:rsidR="007D440B">
              <w:rPr>
                <w:b/>
                <w:bCs/>
                <w:sz w:val="20"/>
                <w:szCs w:val="20"/>
                <w:u w:val="single"/>
              </w:rPr>
              <w:t xml:space="preserve">rocess for </w:t>
            </w:r>
            <w:r w:rsidRPr="002243B8" w:rsidR="003459EF">
              <w:rPr>
                <w:b/>
                <w:bCs/>
                <w:sz w:val="20"/>
                <w:szCs w:val="20"/>
                <w:u w:val="single"/>
              </w:rPr>
              <w:t>Air Ambulance</w:t>
            </w:r>
            <w:r w:rsidR="007D440B">
              <w:rPr>
                <w:b/>
                <w:bCs/>
                <w:sz w:val="20"/>
                <w:szCs w:val="20"/>
                <w:u w:val="single"/>
              </w:rPr>
              <w:t xml:space="preserve"> Services </w:t>
            </w:r>
          </w:p>
        </w:tc>
      </w:tr>
      <w:tr w:rsidR="00ED457C" w:rsidTr="00AF0C07" w14:paraId="3AAF188F"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ED457C" w:rsidP="00AF0C07" w:rsidRDefault="00ED457C" w14:paraId="3F6ECC0A" w14:textId="03B9FD99">
            <w:pPr>
              <w:textAlignment w:val="baseline"/>
              <w:rPr>
                <w:bCs/>
                <w:sz w:val="20"/>
                <w:szCs w:val="20"/>
              </w:rPr>
            </w:pPr>
            <w:r w:rsidRPr="00EE1F63">
              <w:rPr>
                <w:bCs/>
                <w:sz w:val="20"/>
                <w:szCs w:val="20"/>
              </w:rPr>
              <w:t>Medical Billing Specialist write the notice for</w:t>
            </w:r>
            <w:r>
              <w:rPr>
                <w:bCs/>
                <w:sz w:val="20"/>
                <w:szCs w:val="20"/>
              </w:rPr>
              <w:t xml:space="preserve"> Open Negotiation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ED457C" w:rsidP="00760C84" w:rsidRDefault="00760C84" w14:paraId="18966C7C" w14:textId="6109B8DE">
            <w:pPr>
              <w:jc w:val="center"/>
              <w:textAlignment w:val="baseline"/>
              <w:rPr>
                <w:sz w:val="20"/>
                <w:szCs w:val="20"/>
              </w:rPr>
            </w:pPr>
            <w:r w:rsidRPr="00223C2E" w:rsidDel="007D3C00">
              <w:rPr>
                <w:sz w:val="20"/>
                <w:szCs w:val="20"/>
              </w:rPr>
              <w:t>1,</w:t>
            </w:r>
            <w:r w:rsidRPr="007D0403" w:rsidR="00F877B3">
              <w:rPr>
                <w:sz w:val="20"/>
                <w:szCs w:val="20"/>
              </w:rPr>
              <w:t>633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ED457C" w:rsidP="00AF0C07" w:rsidRDefault="00F877B3" w14:paraId="5DCC8425" w14:textId="302D8911">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AF0C07" w:rsidRDefault="00760C84" w14:paraId="301B98F9" w14:textId="77777777">
            <w:pPr>
              <w:jc w:val="center"/>
              <w:textAlignment w:val="baseline"/>
              <w:rPr>
                <w:sz w:val="20"/>
                <w:szCs w:val="20"/>
              </w:rPr>
            </w:pPr>
            <w:r w:rsidRPr="00565FD2">
              <w:rPr>
                <w:sz w:val="20"/>
                <w:szCs w:val="20"/>
              </w:rPr>
              <w:t>1,633</w:t>
            </w:r>
          </w:p>
          <w:p w:rsidRPr="00565FD2" w:rsidR="00B54F72" w:rsidP="00AF0C07" w:rsidRDefault="00B54F72" w14:paraId="09F67B00" w14:textId="710B112C">
            <w:pPr>
              <w:jc w:val="center"/>
              <w:textAlignment w:val="baseline"/>
              <w:rPr>
                <w:sz w:val="20"/>
                <w:szCs w:val="20"/>
              </w:rPr>
            </w:pPr>
            <w:r>
              <w:rPr>
                <w:sz w:val="20"/>
                <w:szCs w:val="20"/>
              </w:rPr>
              <w:t>(</w:t>
            </w:r>
            <w:r w:rsidRPr="00B54F72">
              <w:rPr>
                <w:sz w:val="20"/>
                <w:szCs w:val="20"/>
              </w:rPr>
              <w:t>816</w:t>
            </w:r>
            <w:r>
              <w:rPr>
                <w:sz w:val="20"/>
                <w:szCs w:val="20"/>
              </w:rPr>
              <w:t>)</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ED457C" w:rsidP="00AF0C07" w:rsidRDefault="00760C84" w14:paraId="4FD976A1" w14:textId="77777777">
            <w:pPr>
              <w:jc w:val="center"/>
              <w:textAlignment w:val="baseline"/>
              <w:rPr>
                <w:sz w:val="20"/>
                <w:szCs w:val="20"/>
              </w:rPr>
            </w:pPr>
            <w:r w:rsidRPr="004E6FFE">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760C84" w:rsidRDefault="00760C84" w14:paraId="33537B44" w14:textId="77777777">
            <w:pPr>
              <w:jc w:val="center"/>
              <w:textAlignment w:val="baseline"/>
              <w:rPr>
                <w:sz w:val="20"/>
                <w:szCs w:val="20"/>
              </w:rPr>
            </w:pPr>
            <w:r w:rsidRPr="004E6FFE">
              <w:rPr>
                <w:sz w:val="20"/>
                <w:szCs w:val="20"/>
              </w:rPr>
              <w:t>3,266</w:t>
            </w:r>
            <w:r w:rsidRPr="00545FAA" w:rsidDel="00760C84">
              <w:rPr>
                <w:sz w:val="20"/>
                <w:szCs w:val="20"/>
              </w:rPr>
              <w:t xml:space="preserve"> </w:t>
            </w:r>
          </w:p>
          <w:p w:rsidRPr="004601AD" w:rsidR="00B54F72" w:rsidP="00B54F72" w:rsidRDefault="00B54F72" w14:paraId="64A8F134" w14:textId="53165AB6">
            <w:pPr>
              <w:jc w:val="center"/>
              <w:textAlignment w:val="baseline"/>
              <w:rPr>
                <w:sz w:val="20"/>
                <w:szCs w:val="20"/>
              </w:rPr>
            </w:pPr>
            <w:r>
              <w:rPr>
                <w:sz w:val="20"/>
                <w:szCs w:val="20"/>
              </w:rPr>
              <w:t>(</w:t>
            </w:r>
            <w:r w:rsidRPr="00B54F72">
              <w:rPr>
                <w:sz w:val="20"/>
                <w:szCs w:val="20"/>
              </w:rPr>
              <w:t>1,63</w:t>
            </w:r>
            <w:r>
              <w:rPr>
                <w:sz w:val="20"/>
                <w:szCs w:val="20"/>
              </w:rPr>
              <w:t>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ED457C" w:rsidP="00AF0C07" w:rsidRDefault="00ED457C" w14:paraId="403A3540" w14:textId="77777777">
            <w:pPr>
              <w:jc w:val="center"/>
              <w:textAlignment w:val="baseline"/>
              <w:rPr>
                <w:sz w:val="20"/>
                <w:szCs w:val="20"/>
              </w:rPr>
            </w:pPr>
            <w:r w:rsidRPr="00BD6CBA">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B54F72" w:rsidP="00004549" w:rsidRDefault="00004549" w14:paraId="056B88EC" w14:textId="77777777">
            <w:pPr>
              <w:jc w:val="center"/>
              <w:textAlignment w:val="baseline"/>
              <w:rPr>
                <w:sz w:val="20"/>
                <w:szCs w:val="20"/>
              </w:rPr>
            </w:pPr>
            <w:r w:rsidRPr="002072EF">
              <w:rPr>
                <w:sz w:val="20"/>
                <w:szCs w:val="20"/>
              </w:rPr>
              <w:t>$342,941</w:t>
            </w:r>
          </w:p>
          <w:p w:rsidRPr="00531A2C" w:rsidR="00ED457C" w:rsidP="00004549" w:rsidRDefault="00B54F72" w14:paraId="1419BE88" w14:textId="5DF02984">
            <w:pPr>
              <w:jc w:val="center"/>
              <w:textAlignment w:val="baseline"/>
              <w:rPr>
                <w:sz w:val="20"/>
                <w:szCs w:val="20"/>
              </w:rPr>
            </w:pPr>
            <w:r>
              <w:rPr>
                <w:sz w:val="20"/>
                <w:szCs w:val="20"/>
              </w:rPr>
              <w:t>($171,471)</w:t>
            </w:r>
          </w:p>
        </w:tc>
      </w:tr>
      <w:tr w:rsidRPr="00675B94" w:rsidR="00ED457C" w:rsidTr="00AF0C07" w14:paraId="192CE24B"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EE1F63" w:rsidR="00ED457C" w:rsidP="00AF0C07" w:rsidRDefault="00ED457C" w14:paraId="6A4E05C8" w14:textId="2FCEEEA0">
            <w:pPr>
              <w:textAlignment w:val="baseline"/>
              <w:rPr>
                <w:bCs/>
                <w:sz w:val="20"/>
                <w:szCs w:val="20"/>
              </w:rPr>
            </w:pPr>
            <w:r>
              <w:rPr>
                <w:bCs/>
                <w:sz w:val="20"/>
                <w:szCs w:val="20"/>
              </w:rPr>
              <w:t xml:space="preserve">Clerical workers prepare and send notice </w:t>
            </w:r>
            <w:r w:rsidRPr="00BE779A">
              <w:rPr>
                <w:bCs/>
                <w:sz w:val="20"/>
                <w:szCs w:val="20"/>
              </w:rPr>
              <w:t xml:space="preserve">for Open Negotiation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ED457C" w:rsidP="00F97EF1" w:rsidRDefault="00F877B3" w14:paraId="4E40AFB5" w14:textId="4D057D94">
            <w:pPr>
              <w:jc w:val="center"/>
              <w:textAlignment w:val="baseline"/>
              <w:rPr>
                <w:sz w:val="20"/>
                <w:szCs w:val="20"/>
              </w:rPr>
            </w:pPr>
            <w:r w:rsidRPr="007D0403">
              <w:rPr>
                <w:sz w:val="20"/>
                <w:szCs w:val="20"/>
              </w:rPr>
              <w:t>1,633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ED457C" w:rsidP="00AF0C07" w:rsidRDefault="00F877B3" w14:paraId="22A19BBB" w14:textId="2F833DFC">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B54F72" w:rsidP="00AF0C07" w:rsidRDefault="00F877B3" w14:paraId="37305E54" w14:textId="77777777">
            <w:pPr>
              <w:jc w:val="center"/>
              <w:textAlignment w:val="baseline"/>
              <w:rPr>
                <w:sz w:val="20"/>
                <w:szCs w:val="20"/>
              </w:rPr>
            </w:pPr>
            <w:r w:rsidRPr="007D0403">
              <w:rPr>
                <w:sz w:val="20"/>
                <w:szCs w:val="20"/>
              </w:rPr>
              <w:t>1,633</w:t>
            </w:r>
          </w:p>
          <w:p w:rsidRPr="00223C2E" w:rsidR="00ED457C" w:rsidP="00AF0C07" w:rsidRDefault="00B54F72" w14:paraId="2CE01AC5" w14:textId="58EDBC32">
            <w:pPr>
              <w:jc w:val="center"/>
              <w:textAlignment w:val="baseline"/>
              <w:rPr>
                <w:sz w:val="20"/>
                <w:szCs w:val="20"/>
              </w:rPr>
            </w:pPr>
            <w:r>
              <w:rPr>
                <w:sz w:val="20"/>
                <w:szCs w:val="20"/>
              </w:rPr>
              <w:t>(816)</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ED457C" w:rsidP="00AF0C07" w:rsidRDefault="00760C84" w14:paraId="2C6FB622" w14:textId="77777777">
            <w:pPr>
              <w:jc w:val="center"/>
              <w:textAlignment w:val="baseline"/>
              <w:rPr>
                <w:sz w:val="20"/>
                <w:szCs w:val="20"/>
              </w:rPr>
            </w:pPr>
            <w:r w:rsidRPr="00565FD2">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AF0C07" w:rsidRDefault="00760C84" w14:paraId="363205D4" w14:textId="77777777">
            <w:pPr>
              <w:jc w:val="center"/>
              <w:textAlignment w:val="baseline"/>
              <w:rPr>
                <w:sz w:val="20"/>
                <w:szCs w:val="20"/>
              </w:rPr>
            </w:pPr>
            <w:r w:rsidRPr="004E6FFE">
              <w:rPr>
                <w:sz w:val="20"/>
                <w:szCs w:val="20"/>
              </w:rPr>
              <w:t>408</w:t>
            </w:r>
          </w:p>
          <w:p w:rsidRPr="004E6FFE" w:rsidR="00B54F72" w:rsidP="00AF0C07" w:rsidRDefault="00B54F72" w14:paraId="54AB0387" w14:textId="6B392E01">
            <w:pPr>
              <w:jc w:val="center"/>
              <w:textAlignment w:val="baseline"/>
              <w:rPr>
                <w:sz w:val="20"/>
                <w:szCs w:val="20"/>
              </w:rPr>
            </w:pPr>
            <w:r>
              <w:rPr>
                <w:sz w:val="20"/>
                <w:szCs w:val="20"/>
              </w:rPr>
              <w:t>(204)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ED457C" w:rsidP="00AF0C07" w:rsidRDefault="00ED457C" w14:paraId="3FB32F54" w14:textId="77777777">
            <w:pPr>
              <w:jc w:val="center"/>
              <w:textAlignment w:val="baseline"/>
              <w:rPr>
                <w:sz w:val="20"/>
                <w:szCs w:val="20"/>
              </w:rPr>
            </w:pPr>
            <w:r w:rsidRPr="004E6FFE">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8F2996" w:rsidP="00F83047" w:rsidRDefault="00F83047" w14:paraId="60030D24" w14:textId="77777777">
            <w:pPr>
              <w:jc w:val="center"/>
              <w:textAlignment w:val="baseline"/>
              <w:rPr>
                <w:sz w:val="20"/>
                <w:szCs w:val="20"/>
              </w:rPr>
            </w:pPr>
            <w:r w:rsidRPr="004601AD">
              <w:rPr>
                <w:sz w:val="20"/>
                <w:szCs w:val="20"/>
              </w:rPr>
              <w:t>$22,5</w:t>
            </w:r>
            <w:r w:rsidRPr="00BD6CBA">
              <w:rPr>
                <w:sz w:val="20"/>
                <w:szCs w:val="20"/>
              </w:rPr>
              <w:t>46</w:t>
            </w:r>
          </w:p>
          <w:p w:rsidRPr="00BD6CBA" w:rsidR="00ED457C" w:rsidP="00F83047" w:rsidRDefault="008F2996" w14:paraId="582B88D3" w14:textId="3359A73A">
            <w:pPr>
              <w:jc w:val="center"/>
              <w:textAlignment w:val="baseline"/>
              <w:rPr>
                <w:sz w:val="20"/>
                <w:szCs w:val="20"/>
              </w:rPr>
            </w:pPr>
            <w:r>
              <w:rPr>
                <w:sz w:val="20"/>
                <w:szCs w:val="20"/>
              </w:rPr>
              <w:t>($11,273)</w:t>
            </w:r>
          </w:p>
        </w:tc>
      </w:tr>
      <w:tr w:rsidRPr="008406D6" w:rsidR="00ED457C" w:rsidTr="00AF0C07" w14:paraId="01B6F7E9"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ED457C" w:rsidP="00AF0C07" w:rsidRDefault="00ED457C" w14:paraId="69F21057" w14:textId="5323C761">
            <w:pPr>
              <w:textAlignment w:val="baseline"/>
              <w:rPr>
                <w:bCs/>
                <w:sz w:val="20"/>
                <w:szCs w:val="20"/>
              </w:rPr>
            </w:pPr>
            <w:r>
              <w:rPr>
                <w:bCs/>
                <w:sz w:val="20"/>
                <w:szCs w:val="20"/>
              </w:rPr>
              <w:t>Medical Billing Specialist w</w:t>
            </w:r>
            <w:r w:rsidRPr="003541BC">
              <w:rPr>
                <w:bCs/>
                <w:sz w:val="20"/>
                <w:szCs w:val="20"/>
              </w:rPr>
              <w:t xml:space="preserve">rite the </w:t>
            </w:r>
            <w:r w:rsidR="00DA2852">
              <w:rPr>
                <w:bCs/>
                <w:sz w:val="20"/>
                <w:szCs w:val="20"/>
              </w:rPr>
              <w:t>N</w:t>
            </w:r>
            <w:r w:rsidRPr="003541BC">
              <w:rPr>
                <w:bCs/>
                <w:sz w:val="20"/>
                <w:szCs w:val="20"/>
              </w:rPr>
              <w:t>otice</w:t>
            </w:r>
            <w:r>
              <w:rPr>
                <w:bCs/>
                <w:sz w:val="20"/>
                <w:szCs w:val="20"/>
              </w:rPr>
              <w:t xml:space="preserve"> for </w:t>
            </w:r>
            <w:r w:rsidRPr="00FD1555">
              <w:rPr>
                <w:bCs/>
                <w:sz w:val="20"/>
                <w:szCs w:val="20"/>
              </w:rPr>
              <w:t>General Initiation of Independent Dispute Resolution Process in the Case of Failed Negotiation</w:t>
            </w:r>
            <w:r>
              <w:rPr>
                <w:bCs/>
                <w:sz w:val="20"/>
                <w:szCs w:val="20"/>
              </w:rPr>
              <w:t xml:space="preserve">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ED457C" w:rsidP="005059E9" w:rsidRDefault="007202F2" w14:paraId="0669C32F" w14:textId="31D622FC">
            <w:pPr>
              <w:jc w:val="center"/>
              <w:textAlignment w:val="baseline"/>
              <w:rPr>
                <w:sz w:val="20"/>
                <w:szCs w:val="20"/>
              </w:rPr>
            </w:pPr>
            <w:r w:rsidRPr="007D0403">
              <w:rPr>
                <w:sz w:val="20"/>
                <w:szCs w:val="20"/>
              </w:rPr>
              <w:t>1,225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ED457C" w:rsidP="00AF0C07" w:rsidRDefault="007202F2" w14:paraId="227192EE" w14:textId="16BF5A5D">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AF0C07" w:rsidRDefault="005059E9" w14:paraId="3F5F7039" w14:textId="77777777">
            <w:pPr>
              <w:jc w:val="center"/>
              <w:textAlignment w:val="baseline"/>
              <w:rPr>
                <w:sz w:val="20"/>
                <w:szCs w:val="20"/>
              </w:rPr>
            </w:pPr>
            <w:r w:rsidRPr="007D0403">
              <w:rPr>
                <w:sz w:val="20"/>
                <w:szCs w:val="20"/>
              </w:rPr>
              <w:t>1,225</w:t>
            </w:r>
          </w:p>
          <w:p w:rsidRPr="007D0403" w:rsidR="009E0936" w:rsidP="00AF0C07" w:rsidRDefault="009E0936" w14:paraId="7A1E786B" w14:textId="62A016D9">
            <w:pPr>
              <w:jc w:val="center"/>
              <w:textAlignment w:val="baseline"/>
              <w:rPr>
                <w:sz w:val="20"/>
                <w:szCs w:val="20"/>
              </w:rPr>
            </w:pPr>
            <w:r>
              <w:rPr>
                <w:sz w:val="20"/>
                <w:szCs w:val="20"/>
              </w:rPr>
              <w:t>(612)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ED457C" w:rsidP="00AF0C07" w:rsidRDefault="00ED457C" w14:paraId="7DFE9767" w14:textId="77777777">
            <w:pPr>
              <w:jc w:val="center"/>
              <w:textAlignment w:val="baseline"/>
              <w:rPr>
                <w:sz w:val="20"/>
                <w:szCs w:val="20"/>
              </w:rPr>
            </w:pPr>
            <w:r w:rsidRPr="007D0403">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9E0936" w:rsidP="00910BB3" w:rsidRDefault="00910BB3" w14:paraId="6C30A588" w14:textId="77777777">
            <w:pPr>
              <w:jc w:val="center"/>
              <w:textAlignment w:val="baseline"/>
              <w:rPr>
                <w:sz w:val="20"/>
                <w:szCs w:val="20"/>
              </w:rPr>
            </w:pPr>
            <w:r w:rsidRPr="007D0403">
              <w:rPr>
                <w:sz w:val="20"/>
                <w:szCs w:val="20"/>
              </w:rPr>
              <w:t>2,449</w:t>
            </w:r>
          </w:p>
          <w:p w:rsidRPr="007D0403" w:rsidR="00ED457C" w:rsidP="00910BB3" w:rsidRDefault="009E0936" w14:paraId="2B035869" w14:textId="45FA59C2">
            <w:pPr>
              <w:jc w:val="center"/>
              <w:textAlignment w:val="baseline"/>
              <w:rPr>
                <w:sz w:val="20"/>
                <w:szCs w:val="20"/>
              </w:rPr>
            </w:pPr>
            <w:r>
              <w:rPr>
                <w:sz w:val="20"/>
                <w:szCs w:val="20"/>
              </w:rPr>
              <w:t>(1,225)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ED457C" w:rsidP="00AF0C07" w:rsidRDefault="00ED457C" w14:paraId="3A636FB7" w14:textId="77777777">
            <w:pPr>
              <w:jc w:val="center"/>
              <w:textAlignment w:val="baseline"/>
              <w:rPr>
                <w:sz w:val="20"/>
                <w:szCs w:val="20"/>
              </w:rPr>
            </w:pPr>
            <w:r w:rsidRPr="007D0403">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057913" w:rsidRDefault="00057913" w14:paraId="25F520CA" w14:textId="77777777">
            <w:pPr>
              <w:jc w:val="center"/>
              <w:textAlignment w:val="baseline"/>
              <w:rPr>
                <w:sz w:val="20"/>
                <w:szCs w:val="20"/>
              </w:rPr>
            </w:pPr>
            <w:r w:rsidRPr="007D0403">
              <w:rPr>
                <w:sz w:val="20"/>
                <w:szCs w:val="20"/>
              </w:rPr>
              <w:t>$257,206</w:t>
            </w:r>
          </w:p>
          <w:p w:rsidRPr="007D0403" w:rsidR="009E0936" w:rsidP="009E0936" w:rsidRDefault="009E0936" w14:paraId="13C18278" w14:textId="7A9C6326">
            <w:pPr>
              <w:jc w:val="center"/>
              <w:textAlignment w:val="baseline"/>
              <w:rPr>
                <w:sz w:val="20"/>
                <w:szCs w:val="20"/>
              </w:rPr>
            </w:pPr>
            <w:r>
              <w:rPr>
                <w:sz w:val="20"/>
                <w:szCs w:val="20"/>
              </w:rPr>
              <w:t>($</w:t>
            </w:r>
            <w:r w:rsidRPr="009E0936">
              <w:rPr>
                <w:sz w:val="20"/>
                <w:szCs w:val="20"/>
              </w:rPr>
              <w:t>128,603</w:t>
            </w:r>
            <w:r>
              <w:rPr>
                <w:sz w:val="20"/>
                <w:szCs w:val="20"/>
              </w:rPr>
              <w:t>)</w:t>
            </w:r>
          </w:p>
        </w:tc>
      </w:tr>
      <w:tr w:rsidRPr="008406D6" w:rsidR="00ED457C" w:rsidTr="00AF0C07" w14:paraId="49B2A420"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ED457C" w:rsidP="00AF0C07" w:rsidRDefault="00ED457C" w14:paraId="63514F9A" w14:textId="1994598A">
            <w:pPr>
              <w:textAlignment w:val="baseline"/>
              <w:rPr>
                <w:bCs/>
                <w:sz w:val="20"/>
                <w:szCs w:val="20"/>
              </w:rPr>
            </w:pPr>
            <w:r>
              <w:rPr>
                <w:bCs/>
                <w:sz w:val="20"/>
                <w:szCs w:val="20"/>
              </w:rPr>
              <w:t>Clerical workers p</w:t>
            </w:r>
            <w:r w:rsidRPr="00621AFA">
              <w:rPr>
                <w:bCs/>
                <w:sz w:val="20"/>
                <w:szCs w:val="20"/>
              </w:rPr>
              <w:t xml:space="preserve">repare and </w:t>
            </w:r>
            <w:r>
              <w:rPr>
                <w:bCs/>
                <w:sz w:val="20"/>
                <w:szCs w:val="20"/>
              </w:rPr>
              <w:t>s</w:t>
            </w:r>
            <w:r w:rsidRPr="00621AFA">
              <w:rPr>
                <w:bCs/>
                <w:sz w:val="20"/>
                <w:szCs w:val="20"/>
              </w:rPr>
              <w:t>en</w:t>
            </w:r>
            <w:r>
              <w:rPr>
                <w:bCs/>
                <w:sz w:val="20"/>
                <w:szCs w:val="20"/>
              </w:rPr>
              <w:t xml:space="preserve">d </w:t>
            </w:r>
            <w:r w:rsidR="00DA2852">
              <w:rPr>
                <w:bCs/>
                <w:sz w:val="20"/>
                <w:szCs w:val="20"/>
              </w:rPr>
              <w:t>N</w:t>
            </w:r>
            <w:r w:rsidRPr="00621AFA">
              <w:rPr>
                <w:bCs/>
                <w:sz w:val="20"/>
                <w:szCs w:val="20"/>
              </w:rPr>
              <w:t>otice</w:t>
            </w:r>
            <w:r>
              <w:rPr>
                <w:bCs/>
                <w:sz w:val="20"/>
                <w:szCs w:val="20"/>
              </w:rPr>
              <w:t xml:space="preserve"> for </w:t>
            </w:r>
            <w:r w:rsidRPr="00FD1555">
              <w:rPr>
                <w:bCs/>
                <w:sz w:val="20"/>
                <w:szCs w:val="20"/>
              </w:rPr>
              <w:t>General Initiation of Independent Dispute Resolution Process in the Case of Failed Negotiation</w:t>
            </w:r>
            <w:r>
              <w:rPr>
                <w:bCs/>
                <w:sz w:val="20"/>
                <w:szCs w:val="20"/>
              </w:rPr>
              <w:t xml:space="preserve">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ED457C" w:rsidP="005059E9" w:rsidRDefault="007202F2" w14:paraId="4167BC5C" w14:textId="6F3AB4ED">
            <w:pPr>
              <w:jc w:val="center"/>
              <w:textAlignment w:val="baseline"/>
              <w:rPr>
                <w:sz w:val="20"/>
                <w:szCs w:val="20"/>
              </w:rPr>
            </w:pPr>
            <w:r w:rsidRPr="007D0403">
              <w:rPr>
                <w:sz w:val="20"/>
                <w:szCs w:val="20"/>
              </w:rPr>
              <w:t>1,225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ED457C" w:rsidP="00AF0C07" w:rsidRDefault="007202F2" w14:paraId="43B1F81A" w14:textId="22CDD774">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AF0C07" w:rsidRDefault="005059E9" w14:paraId="795E12E2" w14:textId="77777777">
            <w:pPr>
              <w:jc w:val="center"/>
              <w:textAlignment w:val="baseline"/>
              <w:rPr>
                <w:sz w:val="20"/>
                <w:szCs w:val="20"/>
              </w:rPr>
            </w:pPr>
            <w:r w:rsidRPr="007D0403">
              <w:rPr>
                <w:sz w:val="20"/>
                <w:szCs w:val="20"/>
              </w:rPr>
              <w:t>1,225</w:t>
            </w:r>
          </w:p>
          <w:p w:rsidRPr="007D0403" w:rsidR="009E0936" w:rsidP="00AF0C07" w:rsidRDefault="009E0936" w14:paraId="1D87DFC1" w14:textId="3C98D34B">
            <w:pPr>
              <w:jc w:val="center"/>
              <w:textAlignment w:val="baseline"/>
              <w:rPr>
                <w:sz w:val="20"/>
                <w:szCs w:val="20"/>
              </w:rPr>
            </w:pPr>
            <w:r>
              <w:rPr>
                <w:sz w:val="20"/>
                <w:szCs w:val="20"/>
              </w:rPr>
              <w:t>(612)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ED457C" w:rsidP="00AF0C07" w:rsidRDefault="002411B2" w14:paraId="009FAE95" w14:textId="77777777">
            <w:pPr>
              <w:jc w:val="center"/>
              <w:textAlignment w:val="baseline"/>
              <w:rPr>
                <w:sz w:val="20"/>
                <w:szCs w:val="20"/>
              </w:rPr>
            </w:pPr>
            <w:r w:rsidRPr="007D0403">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910BB3" w:rsidRDefault="00910BB3" w14:paraId="2B33A0E3" w14:textId="77777777">
            <w:pPr>
              <w:jc w:val="center"/>
              <w:textAlignment w:val="baseline"/>
              <w:rPr>
                <w:sz w:val="20"/>
                <w:szCs w:val="20"/>
              </w:rPr>
            </w:pPr>
            <w:r w:rsidRPr="007D0403">
              <w:rPr>
                <w:sz w:val="20"/>
                <w:szCs w:val="20"/>
              </w:rPr>
              <w:t>306</w:t>
            </w:r>
          </w:p>
          <w:p w:rsidRPr="007D0403" w:rsidR="009E0936" w:rsidP="00910BB3" w:rsidRDefault="009E0936" w14:paraId="08F937D7" w14:textId="3A3A5A33">
            <w:pPr>
              <w:jc w:val="center"/>
              <w:textAlignment w:val="baseline"/>
              <w:rPr>
                <w:sz w:val="20"/>
                <w:szCs w:val="20"/>
              </w:rPr>
            </w:pPr>
            <w:r>
              <w:rPr>
                <w:sz w:val="20"/>
                <w:szCs w:val="20"/>
              </w:rPr>
              <w:t>(</w:t>
            </w:r>
            <w:r w:rsidRPr="009E0936">
              <w:rPr>
                <w:sz w:val="20"/>
                <w:szCs w:val="20"/>
              </w:rPr>
              <w:t>153</w:t>
            </w:r>
            <w:r>
              <w:rPr>
                <w:sz w:val="20"/>
                <w:szCs w:val="20"/>
              </w:rPr>
              <w:t>)</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ED457C" w:rsidP="00AF0C07" w:rsidRDefault="00ED457C" w14:paraId="5BDFDEF0" w14:textId="77777777">
            <w:pPr>
              <w:jc w:val="center"/>
              <w:textAlignment w:val="baseline"/>
              <w:rPr>
                <w:sz w:val="20"/>
                <w:szCs w:val="20"/>
              </w:rPr>
            </w:pPr>
            <w:r w:rsidRPr="007D0403">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057913" w:rsidRDefault="00057913" w14:paraId="6ACB06B6" w14:textId="77777777">
            <w:pPr>
              <w:jc w:val="center"/>
              <w:textAlignment w:val="baseline"/>
              <w:rPr>
                <w:sz w:val="20"/>
                <w:szCs w:val="20"/>
              </w:rPr>
            </w:pPr>
            <w:r w:rsidRPr="007D0403">
              <w:rPr>
                <w:sz w:val="20"/>
                <w:szCs w:val="20"/>
              </w:rPr>
              <w:t>$16,910</w:t>
            </w:r>
          </w:p>
          <w:p w:rsidRPr="007D0403" w:rsidR="009E0936" w:rsidP="00057913" w:rsidRDefault="009E0936" w14:paraId="36788C7F" w14:textId="0A05F2F8">
            <w:pPr>
              <w:jc w:val="center"/>
              <w:textAlignment w:val="baseline"/>
              <w:rPr>
                <w:sz w:val="20"/>
                <w:szCs w:val="20"/>
              </w:rPr>
            </w:pPr>
            <w:r>
              <w:rPr>
                <w:sz w:val="20"/>
                <w:szCs w:val="20"/>
              </w:rPr>
              <w:t>(</w:t>
            </w:r>
            <w:r w:rsidRPr="009E0936">
              <w:rPr>
                <w:sz w:val="20"/>
                <w:szCs w:val="20"/>
              </w:rPr>
              <w:t>$8,45</w:t>
            </w:r>
            <w:r>
              <w:rPr>
                <w:sz w:val="20"/>
                <w:szCs w:val="20"/>
              </w:rPr>
              <w:t>5)</w:t>
            </w:r>
          </w:p>
        </w:tc>
      </w:tr>
      <w:tr w:rsidRPr="008406D6" w:rsidR="00114F4A" w:rsidTr="00AF0C07" w14:paraId="4F1B0C5C"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114F4A" w:rsidP="00AF0C07" w:rsidRDefault="00F16C9D" w14:paraId="2BC07A79" w14:textId="63319BBD">
            <w:pPr>
              <w:textAlignment w:val="baseline"/>
              <w:rPr>
                <w:bCs/>
                <w:sz w:val="20"/>
                <w:szCs w:val="20"/>
              </w:rPr>
            </w:pPr>
            <w:r w:rsidRPr="00F16C9D">
              <w:rPr>
                <w:bCs/>
                <w:sz w:val="20"/>
                <w:szCs w:val="20"/>
              </w:rPr>
              <w:t>Medical Billing Specialist write the notice for Notice of Agreement on an Out-of-Network Rate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114F4A" w:rsidP="005059E9" w:rsidRDefault="00434623" w14:paraId="1227305A" w14:textId="118384AF">
            <w:pPr>
              <w:jc w:val="center"/>
              <w:textAlignment w:val="baseline"/>
              <w:rPr>
                <w:sz w:val="20"/>
                <w:szCs w:val="20"/>
              </w:rPr>
            </w:pPr>
            <w:r w:rsidRPr="007D0403">
              <w:rPr>
                <w:sz w:val="20"/>
                <w:szCs w:val="20"/>
              </w:rPr>
              <w:t>12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114F4A" w:rsidP="00AF0C07" w:rsidRDefault="00434623" w14:paraId="0476AF9C" w14:textId="54323BD1">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114F4A" w:rsidP="00AF0C07" w:rsidRDefault="00434623" w14:paraId="1B8382D6" w14:textId="77777777">
            <w:pPr>
              <w:jc w:val="center"/>
              <w:textAlignment w:val="baseline"/>
              <w:rPr>
                <w:sz w:val="20"/>
                <w:szCs w:val="20"/>
              </w:rPr>
            </w:pPr>
            <w:r w:rsidRPr="007D0403">
              <w:rPr>
                <w:sz w:val="20"/>
                <w:szCs w:val="20"/>
              </w:rPr>
              <w:t>12</w:t>
            </w:r>
          </w:p>
          <w:p w:rsidRPr="007D0403" w:rsidR="009E0936" w:rsidP="00AF0C07" w:rsidRDefault="009E0936" w14:paraId="583BAF04" w14:textId="2C86EEC0">
            <w:pPr>
              <w:jc w:val="center"/>
              <w:textAlignment w:val="baseline"/>
              <w:rPr>
                <w:sz w:val="20"/>
                <w:szCs w:val="20"/>
              </w:rPr>
            </w:pPr>
            <w:r>
              <w:rPr>
                <w:sz w:val="20"/>
                <w:szCs w:val="20"/>
              </w:rPr>
              <w:t>(6)</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114F4A" w:rsidP="00AF0C07" w:rsidRDefault="00434623" w14:paraId="04B600E7" w14:textId="293B77C5">
            <w:pPr>
              <w:jc w:val="center"/>
              <w:textAlignment w:val="baseline"/>
              <w:rPr>
                <w:sz w:val="20"/>
                <w:szCs w:val="20"/>
              </w:rPr>
            </w:pPr>
            <w:r w:rsidRPr="007D0403">
              <w:rPr>
                <w:sz w:val="20"/>
                <w:szCs w:val="20"/>
              </w:rPr>
              <w:t>30/60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114F4A" w:rsidP="00910BB3" w:rsidRDefault="008D642A" w14:paraId="4967F3AD" w14:textId="77777777">
            <w:pPr>
              <w:jc w:val="center"/>
              <w:textAlignment w:val="baseline"/>
              <w:rPr>
                <w:sz w:val="20"/>
                <w:szCs w:val="20"/>
              </w:rPr>
            </w:pPr>
            <w:r w:rsidRPr="007D0403">
              <w:rPr>
                <w:sz w:val="20"/>
                <w:szCs w:val="20"/>
              </w:rPr>
              <w:t>6</w:t>
            </w:r>
          </w:p>
          <w:p w:rsidRPr="007D0403" w:rsidR="009E0936" w:rsidP="00910BB3" w:rsidRDefault="009E0936" w14:paraId="554D463A" w14:textId="06C4415C">
            <w:pPr>
              <w:jc w:val="center"/>
              <w:textAlignment w:val="baseline"/>
              <w:rPr>
                <w:sz w:val="20"/>
                <w:szCs w:val="20"/>
              </w:rPr>
            </w:pPr>
            <w:r>
              <w:rPr>
                <w:sz w:val="20"/>
                <w:szCs w:val="20"/>
              </w:rPr>
              <w:t>(3)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114F4A" w:rsidP="00AF0C07" w:rsidRDefault="008D642A" w14:paraId="108C14A3" w14:textId="480A5F23">
            <w:pPr>
              <w:jc w:val="center"/>
              <w:textAlignment w:val="baseline"/>
              <w:rPr>
                <w:sz w:val="20"/>
                <w:szCs w:val="20"/>
              </w:rPr>
            </w:pPr>
            <w:r w:rsidRPr="007D0403">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114F4A" w:rsidP="00057913" w:rsidRDefault="008D642A" w14:paraId="15FAEE28" w14:textId="77777777">
            <w:pPr>
              <w:jc w:val="center"/>
              <w:textAlignment w:val="baseline"/>
              <w:rPr>
                <w:sz w:val="20"/>
                <w:szCs w:val="20"/>
              </w:rPr>
            </w:pPr>
            <w:r w:rsidRPr="007D0403">
              <w:rPr>
                <w:sz w:val="20"/>
                <w:szCs w:val="20"/>
              </w:rPr>
              <w:t>$643</w:t>
            </w:r>
          </w:p>
          <w:p w:rsidRPr="007D0403" w:rsidR="009E0936" w:rsidP="00057913" w:rsidRDefault="009E0936" w14:paraId="69006477" w14:textId="075DAE3B">
            <w:pPr>
              <w:jc w:val="center"/>
              <w:textAlignment w:val="baseline"/>
              <w:rPr>
                <w:sz w:val="20"/>
                <w:szCs w:val="20"/>
              </w:rPr>
            </w:pPr>
            <w:r>
              <w:rPr>
                <w:sz w:val="20"/>
                <w:szCs w:val="20"/>
              </w:rPr>
              <w:t>($</w:t>
            </w:r>
            <w:r w:rsidRPr="009E0936">
              <w:rPr>
                <w:sz w:val="20"/>
                <w:szCs w:val="20"/>
              </w:rPr>
              <w:t>32</w:t>
            </w:r>
            <w:r>
              <w:rPr>
                <w:sz w:val="20"/>
                <w:szCs w:val="20"/>
              </w:rPr>
              <w:t>2)</w:t>
            </w:r>
          </w:p>
        </w:tc>
      </w:tr>
      <w:tr w:rsidRPr="008406D6" w:rsidR="00114F4A" w:rsidTr="00AF0C07" w14:paraId="3FCD5D0C"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114F4A" w:rsidP="00AF0C07" w:rsidRDefault="00F16C9D" w14:paraId="64E7A21B" w14:textId="30C44633">
            <w:pPr>
              <w:textAlignment w:val="baseline"/>
              <w:rPr>
                <w:bCs/>
                <w:sz w:val="20"/>
                <w:szCs w:val="20"/>
              </w:rPr>
            </w:pPr>
            <w:r w:rsidRPr="00F16C9D">
              <w:rPr>
                <w:bCs/>
                <w:sz w:val="20"/>
                <w:szCs w:val="20"/>
              </w:rPr>
              <w:t>Clerical workers prepare and send notice for Notice of Agreement on an Out-of-Network Rate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114F4A" w:rsidP="005059E9" w:rsidRDefault="00434623" w14:paraId="2542DCA6" w14:textId="1A243495">
            <w:pPr>
              <w:jc w:val="center"/>
              <w:textAlignment w:val="baseline"/>
              <w:rPr>
                <w:sz w:val="20"/>
                <w:szCs w:val="20"/>
              </w:rPr>
            </w:pPr>
            <w:r w:rsidRPr="007D0403">
              <w:rPr>
                <w:sz w:val="20"/>
                <w:szCs w:val="20"/>
              </w:rPr>
              <w:t>12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114F4A" w:rsidP="00AF0C07" w:rsidRDefault="00434623" w14:paraId="111782EE" w14:textId="1A022DF3">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114F4A" w:rsidP="00AF0C07" w:rsidRDefault="00434623" w14:paraId="47BE2F63" w14:textId="77777777">
            <w:pPr>
              <w:jc w:val="center"/>
              <w:textAlignment w:val="baseline"/>
              <w:rPr>
                <w:sz w:val="20"/>
                <w:szCs w:val="20"/>
              </w:rPr>
            </w:pPr>
            <w:r w:rsidRPr="007D0403">
              <w:rPr>
                <w:sz w:val="20"/>
                <w:szCs w:val="20"/>
              </w:rPr>
              <w:t>12</w:t>
            </w:r>
          </w:p>
          <w:p w:rsidRPr="007D0403" w:rsidR="009E0936" w:rsidP="00AF0C07" w:rsidRDefault="009E0936" w14:paraId="4E06A7E5" w14:textId="4996DB38">
            <w:pPr>
              <w:jc w:val="center"/>
              <w:textAlignment w:val="baseline"/>
              <w:rPr>
                <w:sz w:val="20"/>
                <w:szCs w:val="20"/>
              </w:rPr>
            </w:pPr>
            <w:r>
              <w:rPr>
                <w:sz w:val="20"/>
                <w:szCs w:val="20"/>
              </w:rPr>
              <w:t>(6)</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114F4A" w:rsidP="00AF0C07" w:rsidRDefault="00434623" w14:paraId="7063E84F" w14:textId="48A0F820">
            <w:pPr>
              <w:jc w:val="center"/>
              <w:textAlignment w:val="baseline"/>
              <w:rPr>
                <w:sz w:val="20"/>
                <w:szCs w:val="20"/>
              </w:rPr>
            </w:pPr>
            <w:r w:rsidRPr="007D0403">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114F4A" w:rsidP="00910BB3" w:rsidRDefault="008D642A" w14:paraId="01189AE6" w14:textId="77777777">
            <w:pPr>
              <w:jc w:val="center"/>
              <w:textAlignment w:val="baseline"/>
              <w:rPr>
                <w:sz w:val="20"/>
                <w:szCs w:val="20"/>
              </w:rPr>
            </w:pPr>
            <w:r w:rsidRPr="007D0403">
              <w:rPr>
                <w:sz w:val="20"/>
                <w:szCs w:val="20"/>
              </w:rPr>
              <w:t>3</w:t>
            </w:r>
          </w:p>
          <w:p w:rsidRPr="007D0403" w:rsidR="009E0936" w:rsidP="00910BB3" w:rsidRDefault="009E0936" w14:paraId="43D42306" w14:textId="52CE7E38">
            <w:pPr>
              <w:jc w:val="center"/>
              <w:textAlignment w:val="baseline"/>
              <w:rPr>
                <w:sz w:val="20"/>
                <w:szCs w:val="20"/>
              </w:rPr>
            </w:pPr>
            <w:r>
              <w:rPr>
                <w:sz w:val="20"/>
                <w:szCs w:val="20"/>
              </w:rPr>
              <w:t>(1.5)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114F4A" w:rsidP="00AF0C07" w:rsidRDefault="008D642A" w14:paraId="3C506EA1" w14:textId="4B3D552C">
            <w:pPr>
              <w:jc w:val="center"/>
              <w:textAlignment w:val="baseline"/>
              <w:rPr>
                <w:sz w:val="20"/>
                <w:szCs w:val="20"/>
              </w:rPr>
            </w:pPr>
            <w:r w:rsidRPr="007D0403">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114F4A" w:rsidP="00057913" w:rsidRDefault="008D642A" w14:paraId="1475FB4F" w14:textId="77777777">
            <w:pPr>
              <w:jc w:val="center"/>
              <w:textAlignment w:val="baseline"/>
              <w:rPr>
                <w:sz w:val="20"/>
                <w:szCs w:val="20"/>
              </w:rPr>
            </w:pPr>
            <w:r w:rsidRPr="007D0403">
              <w:rPr>
                <w:sz w:val="20"/>
                <w:szCs w:val="20"/>
              </w:rPr>
              <w:t>$169</w:t>
            </w:r>
          </w:p>
          <w:p w:rsidRPr="007D0403" w:rsidR="009E0936" w:rsidP="00057913" w:rsidRDefault="009E0936" w14:paraId="74B0DAF8" w14:textId="124E2A06">
            <w:pPr>
              <w:jc w:val="center"/>
              <w:textAlignment w:val="baseline"/>
              <w:rPr>
                <w:sz w:val="20"/>
                <w:szCs w:val="20"/>
              </w:rPr>
            </w:pPr>
            <w:r>
              <w:rPr>
                <w:sz w:val="20"/>
                <w:szCs w:val="20"/>
              </w:rPr>
              <w:t>($</w:t>
            </w:r>
            <w:r w:rsidRPr="009E0936">
              <w:rPr>
                <w:sz w:val="20"/>
                <w:szCs w:val="20"/>
              </w:rPr>
              <w:t>8</w:t>
            </w:r>
            <w:r>
              <w:rPr>
                <w:sz w:val="20"/>
                <w:szCs w:val="20"/>
              </w:rPr>
              <w:t>5)</w:t>
            </w:r>
          </w:p>
        </w:tc>
      </w:tr>
      <w:tr w:rsidRPr="008406D6" w:rsidR="00ED457C" w:rsidTr="00AF0C07" w14:paraId="4A854802"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ED457C" w:rsidP="00AF0C07" w:rsidRDefault="00ED457C" w14:paraId="654F3E1C" w14:textId="55CFBD2A">
            <w:pPr>
              <w:textAlignment w:val="baseline"/>
              <w:rPr>
                <w:bCs/>
                <w:sz w:val="20"/>
                <w:szCs w:val="20"/>
              </w:rPr>
            </w:pPr>
            <w:r w:rsidRPr="005232EE">
              <w:rPr>
                <w:bCs/>
                <w:sz w:val="20"/>
                <w:szCs w:val="20"/>
              </w:rPr>
              <w:lastRenderedPageBreak/>
              <w:t>Medical Billing Specialist write the notice</w:t>
            </w:r>
            <w:r>
              <w:rPr>
                <w:bCs/>
                <w:sz w:val="20"/>
                <w:szCs w:val="20"/>
              </w:rPr>
              <w:t xml:space="preserve"> for selecting IDR entity</w:t>
            </w:r>
            <w:r w:rsidRPr="005232EE">
              <w:rPr>
                <w:bCs/>
                <w:sz w:val="20"/>
                <w:szCs w:val="20"/>
              </w:rPr>
              <w:tab/>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ED457C" w:rsidP="00AF0C07" w:rsidRDefault="00941F26" w14:paraId="2C0E93E3" w14:textId="0C664CE4">
            <w:pPr>
              <w:jc w:val="center"/>
              <w:textAlignment w:val="baseline"/>
              <w:rPr>
                <w:sz w:val="20"/>
                <w:szCs w:val="20"/>
              </w:rPr>
            </w:pPr>
            <w:r w:rsidRPr="00223C2E">
              <w:rPr>
                <w:sz w:val="20"/>
                <w:szCs w:val="20"/>
              </w:rPr>
              <w:t>919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ED457C" w:rsidP="00E36ADB" w:rsidRDefault="00E36ADB" w14:paraId="464C2B87" w14:textId="696672A4">
            <w:pPr>
              <w:jc w:val="center"/>
              <w:textAlignment w:val="baseline"/>
              <w:rPr>
                <w:sz w:val="20"/>
                <w:szCs w:val="20"/>
              </w:rPr>
            </w:pPr>
            <w:r w:rsidRPr="00565FD2">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AF0C07" w:rsidRDefault="00EF3B2B" w14:paraId="13F051CF" w14:textId="77777777">
            <w:pPr>
              <w:jc w:val="center"/>
              <w:textAlignment w:val="baseline"/>
              <w:rPr>
                <w:sz w:val="20"/>
                <w:szCs w:val="20"/>
              </w:rPr>
            </w:pPr>
            <w:r w:rsidRPr="004E6FFE">
              <w:rPr>
                <w:sz w:val="20"/>
                <w:szCs w:val="20"/>
              </w:rPr>
              <w:t>919</w:t>
            </w:r>
          </w:p>
          <w:p w:rsidRPr="00923AC3" w:rsidR="00700145" w:rsidP="00AF0C07" w:rsidRDefault="00700145" w14:paraId="732EBF7E" w14:textId="69C056B6">
            <w:pPr>
              <w:jc w:val="center"/>
              <w:textAlignment w:val="baseline"/>
              <w:rPr>
                <w:sz w:val="20"/>
                <w:szCs w:val="20"/>
              </w:rPr>
            </w:pPr>
            <w:r>
              <w:rPr>
                <w:sz w:val="20"/>
                <w:szCs w:val="20"/>
              </w:rPr>
              <w:t>(459)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ED457C" w:rsidP="00AF0C07" w:rsidRDefault="00ED457C" w14:paraId="637542BA" w14:textId="77777777">
            <w:pPr>
              <w:jc w:val="center"/>
              <w:textAlignment w:val="baseline"/>
              <w:rPr>
                <w:sz w:val="20"/>
                <w:szCs w:val="20"/>
              </w:rPr>
            </w:pPr>
            <w:r w:rsidRPr="00545FAA">
              <w:rPr>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AF0C07" w:rsidRDefault="003E2C55" w14:paraId="22EB6293" w14:textId="77777777">
            <w:pPr>
              <w:jc w:val="center"/>
              <w:textAlignment w:val="baseline"/>
              <w:rPr>
                <w:sz w:val="20"/>
                <w:szCs w:val="20"/>
              </w:rPr>
            </w:pPr>
            <w:r w:rsidRPr="004601AD">
              <w:rPr>
                <w:sz w:val="20"/>
                <w:szCs w:val="20"/>
              </w:rPr>
              <w:t>919</w:t>
            </w:r>
          </w:p>
          <w:p w:rsidRPr="00BD6CBA" w:rsidR="00700145" w:rsidP="00AF0C07" w:rsidRDefault="00700145" w14:paraId="248DC073" w14:textId="1BC30D7E">
            <w:pPr>
              <w:jc w:val="center"/>
              <w:textAlignment w:val="baseline"/>
              <w:rPr>
                <w:sz w:val="20"/>
                <w:szCs w:val="20"/>
              </w:rPr>
            </w:pPr>
            <w:r>
              <w:rPr>
                <w:sz w:val="20"/>
                <w:szCs w:val="20"/>
              </w:rPr>
              <w:t>(459)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ED457C" w:rsidP="00AF0C07" w:rsidRDefault="00ED457C" w14:paraId="6D1CBE50" w14:textId="77777777">
            <w:pPr>
              <w:jc w:val="center"/>
              <w:textAlignment w:val="baseline"/>
              <w:rPr>
                <w:sz w:val="20"/>
                <w:szCs w:val="20"/>
              </w:rPr>
            </w:pPr>
            <w:r w:rsidRPr="00BD6CBA">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3E2C55" w:rsidRDefault="003E2C55" w14:paraId="5EF6EBDA" w14:textId="77777777">
            <w:pPr>
              <w:jc w:val="center"/>
              <w:textAlignment w:val="baseline"/>
              <w:rPr>
                <w:sz w:val="20"/>
                <w:szCs w:val="20"/>
              </w:rPr>
            </w:pPr>
            <w:r w:rsidRPr="002072EF">
              <w:rPr>
                <w:sz w:val="20"/>
                <w:szCs w:val="20"/>
              </w:rPr>
              <w:t>$96,452</w:t>
            </w:r>
          </w:p>
          <w:p w:rsidRPr="002072EF" w:rsidR="00700145" w:rsidP="003E2C55" w:rsidRDefault="00700145" w14:paraId="02BDE84B" w14:textId="2D746178">
            <w:pPr>
              <w:jc w:val="center"/>
              <w:textAlignment w:val="baseline"/>
              <w:rPr>
                <w:sz w:val="20"/>
                <w:szCs w:val="20"/>
              </w:rPr>
            </w:pPr>
            <w:r>
              <w:rPr>
                <w:sz w:val="20"/>
                <w:szCs w:val="20"/>
              </w:rPr>
              <w:t>(</w:t>
            </w:r>
            <w:r w:rsidRPr="00700145">
              <w:rPr>
                <w:sz w:val="20"/>
                <w:szCs w:val="20"/>
              </w:rPr>
              <w:t>$48,22</w:t>
            </w:r>
            <w:r>
              <w:rPr>
                <w:sz w:val="20"/>
                <w:szCs w:val="20"/>
              </w:rPr>
              <w:t>6)</w:t>
            </w:r>
          </w:p>
        </w:tc>
      </w:tr>
      <w:tr w:rsidRPr="000E59A8" w:rsidR="00ED457C" w:rsidTr="00AF0C07" w14:paraId="67024D08"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0E59A8" w:rsidR="00ED457C" w:rsidP="00AF0C07" w:rsidRDefault="00ED457C" w14:paraId="7628487F" w14:textId="5E669794">
            <w:pPr>
              <w:textAlignment w:val="baseline"/>
              <w:rPr>
                <w:bCs/>
                <w:sz w:val="20"/>
                <w:szCs w:val="20"/>
              </w:rPr>
            </w:pPr>
            <w:r>
              <w:rPr>
                <w:bCs/>
                <w:sz w:val="20"/>
                <w:szCs w:val="20"/>
              </w:rPr>
              <w:t>Clerical workers prepare and send the notice for</w:t>
            </w:r>
            <w:r w:rsidRPr="00F32F4C">
              <w:rPr>
                <w:bCs/>
                <w:sz w:val="20"/>
                <w:szCs w:val="20"/>
              </w:rPr>
              <w:t xml:space="preserve"> write the notice for selecting IDR entity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ED457C" w:rsidP="00AF0C07" w:rsidRDefault="00E36ADB" w14:paraId="027223D5" w14:textId="2F50E196">
            <w:pPr>
              <w:jc w:val="center"/>
              <w:textAlignment w:val="baseline"/>
              <w:rPr>
                <w:sz w:val="20"/>
                <w:szCs w:val="20"/>
              </w:rPr>
            </w:pPr>
            <w:r w:rsidRPr="00223C2E">
              <w:rPr>
                <w:sz w:val="20"/>
                <w:szCs w:val="20"/>
              </w:rPr>
              <w:t>919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ED457C" w:rsidP="00AF0C07" w:rsidRDefault="00E36ADB" w14:paraId="6FD540DF" w14:textId="6D336785">
            <w:pPr>
              <w:jc w:val="center"/>
              <w:textAlignment w:val="baseline"/>
              <w:rPr>
                <w:sz w:val="20"/>
                <w:szCs w:val="20"/>
              </w:rPr>
            </w:pPr>
            <w:r w:rsidRPr="00565FD2">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AF0C07" w:rsidRDefault="00EF3B2B" w14:paraId="03A6DFF0" w14:textId="77777777">
            <w:pPr>
              <w:jc w:val="center"/>
              <w:textAlignment w:val="baseline"/>
              <w:rPr>
                <w:sz w:val="20"/>
                <w:szCs w:val="20"/>
              </w:rPr>
            </w:pPr>
            <w:r w:rsidRPr="004E6FFE">
              <w:rPr>
                <w:sz w:val="20"/>
                <w:szCs w:val="20"/>
              </w:rPr>
              <w:t>919</w:t>
            </w:r>
          </w:p>
          <w:p w:rsidRPr="00923AC3" w:rsidR="0097559A" w:rsidP="00AF0C07" w:rsidRDefault="0097559A" w14:paraId="6326A871" w14:textId="3BE89535">
            <w:pPr>
              <w:jc w:val="center"/>
              <w:textAlignment w:val="baseline"/>
              <w:rPr>
                <w:sz w:val="20"/>
                <w:szCs w:val="20"/>
              </w:rPr>
            </w:pPr>
            <w:r>
              <w:rPr>
                <w:sz w:val="20"/>
                <w:szCs w:val="20"/>
              </w:rPr>
              <w:t>(459)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ED457C" w:rsidP="00AF0C07" w:rsidRDefault="002411B2" w14:paraId="5D18EA84" w14:textId="77777777">
            <w:pPr>
              <w:jc w:val="center"/>
              <w:textAlignment w:val="baseline"/>
              <w:rPr>
                <w:sz w:val="20"/>
                <w:szCs w:val="20"/>
              </w:rPr>
            </w:pPr>
            <w:r w:rsidRPr="00545FAA">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AF0C07" w:rsidRDefault="003E2C55" w14:paraId="4D7EBED4" w14:textId="77777777">
            <w:pPr>
              <w:jc w:val="center"/>
              <w:textAlignment w:val="baseline"/>
              <w:rPr>
                <w:sz w:val="20"/>
                <w:szCs w:val="20"/>
              </w:rPr>
            </w:pPr>
            <w:r w:rsidRPr="004601AD">
              <w:rPr>
                <w:sz w:val="20"/>
                <w:szCs w:val="20"/>
              </w:rPr>
              <w:t>230</w:t>
            </w:r>
          </w:p>
          <w:p w:rsidRPr="00BD6CBA" w:rsidR="0097559A" w:rsidP="00AF0C07" w:rsidRDefault="0097559A" w14:paraId="1FE9A046" w14:textId="2E2934DF">
            <w:pPr>
              <w:jc w:val="center"/>
              <w:textAlignment w:val="baseline"/>
              <w:rPr>
                <w:sz w:val="20"/>
                <w:szCs w:val="20"/>
              </w:rPr>
            </w:pPr>
            <w:r>
              <w:rPr>
                <w:sz w:val="20"/>
                <w:szCs w:val="20"/>
              </w:rPr>
              <w:t>(</w:t>
            </w:r>
            <w:r w:rsidRPr="0097559A">
              <w:rPr>
                <w:sz w:val="20"/>
                <w:szCs w:val="20"/>
              </w:rPr>
              <w:t>11</w:t>
            </w:r>
            <w:r>
              <w:rPr>
                <w:sz w:val="20"/>
                <w:szCs w:val="20"/>
              </w:rPr>
              <w:t>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ED457C" w:rsidP="00AF0C07" w:rsidRDefault="00ED457C" w14:paraId="60B65A7F" w14:textId="77777777">
            <w:pPr>
              <w:jc w:val="center"/>
              <w:textAlignment w:val="baseline"/>
              <w:rPr>
                <w:sz w:val="20"/>
                <w:szCs w:val="20"/>
              </w:rPr>
            </w:pPr>
            <w:r w:rsidRPr="00BD6CBA">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ED457C" w:rsidP="006B0761" w:rsidRDefault="006B0761" w14:paraId="206D114B" w14:textId="77777777">
            <w:pPr>
              <w:jc w:val="center"/>
              <w:textAlignment w:val="baseline"/>
              <w:rPr>
                <w:sz w:val="20"/>
                <w:szCs w:val="20"/>
              </w:rPr>
            </w:pPr>
            <w:r w:rsidRPr="002072EF">
              <w:rPr>
                <w:sz w:val="20"/>
                <w:szCs w:val="20"/>
              </w:rPr>
              <w:t>$12,683</w:t>
            </w:r>
            <w:r w:rsidRPr="002072EF" w:rsidDel="006B0761">
              <w:rPr>
                <w:sz w:val="20"/>
                <w:szCs w:val="20"/>
              </w:rPr>
              <w:t xml:space="preserve"> </w:t>
            </w:r>
          </w:p>
          <w:p w:rsidRPr="00531A2C" w:rsidR="0097559A" w:rsidP="0097559A" w:rsidRDefault="0097559A" w14:paraId="4EBA9566" w14:textId="293EDF3A">
            <w:pPr>
              <w:jc w:val="center"/>
              <w:textAlignment w:val="baseline"/>
              <w:rPr>
                <w:sz w:val="20"/>
                <w:szCs w:val="20"/>
              </w:rPr>
            </w:pPr>
            <w:r>
              <w:rPr>
                <w:sz w:val="20"/>
                <w:szCs w:val="20"/>
              </w:rPr>
              <w:t>(</w:t>
            </w:r>
            <w:r w:rsidRPr="0097559A">
              <w:rPr>
                <w:sz w:val="20"/>
                <w:szCs w:val="20"/>
              </w:rPr>
              <w:t>$6,341</w:t>
            </w:r>
            <w:r>
              <w:rPr>
                <w:sz w:val="20"/>
                <w:szCs w:val="20"/>
              </w:rPr>
              <w:t>)</w:t>
            </w:r>
          </w:p>
        </w:tc>
      </w:tr>
      <w:tr w:rsidRPr="008406D6" w:rsidR="00B5603D" w:rsidTr="00AF0C07" w14:paraId="4F8CFE30"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5603D" w:rsidP="00AF0C07" w:rsidRDefault="00B5603D" w14:paraId="4B0437B7" w14:textId="2DA4930C">
            <w:pPr>
              <w:textAlignment w:val="baseline"/>
              <w:rPr>
                <w:bCs/>
                <w:sz w:val="20"/>
                <w:szCs w:val="20"/>
              </w:rPr>
            </w:pPr>
            <w:r w:rsidRPr="00B5603D">
              <w:rPr>
                <w:bCs/>
                <w:sz w:val="20"/>
                <w:szCs w:val="20"/>
              </w:rPr>
              <w:t xml:space="preserve">Medical Billing Specialist write the offer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5603D" w:rsidDel="00EA1B37" w:rsidP="0038127E" w:rsidRDefault="00E22901" w14:paraId="7BDA4C08" w14:textId="1B6B0182">
            <w:pPr>
              <w:jc w:val="center"/>
              <w:textAlignment w:val="baseline"/>
              <w:rPr>
                <w:sz w:val="20"/>
                <w:szCs w:val="20"/>
              </w:rPr>
            </w:pPr>
            <w:r w:rsidRPr="00223C2E">
              <w:rPr>
                <w:sz w:val="20"/>
                <w:szCs w:val="20"/>
              </w:rPr>
              <w:t>2,449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5603D" w:rsidP="00E22901" w:rsidRDefault="00E22901" w14:paraId="00A3C5F9" w14:textId="06E276B9">
            <w:pPr>
              <w:jc w:val="center"/>
              <w:textAlignment w:val="baseline"/>
              <w:rPr>
                <w:sz w:val="20"/>
                <w:szCs w:val="20"/>
              </w:rPr>
            </w:pPr>
            <w:r w:rsidRPr="004E6FFE">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B5603D" w:rsidP="0038127E" w:rsidRDefault="0038127E" w14:paraId="132B2D5A" w14:textId="77777777">
            <w:pPr>
              <w:jc w:val="center"/>
              <w:textAlignment w:val="baseline"/>
              <w:rPr>
                <w:sz w:val="20"/>
                <w:szCs w:val="20"/>
              </w:rPr>
            </w:pPr>
            <w:r w:rsidRPr="004E6FFE">
              <w:rPr>
                <w:sz w:val="20"/>
                <w:szCs w:val="20"/>
              </w:rPr>
              <w:t>2,449</w:t>
            </w:r>
          </w:p>
          <w:p w:rsidRPr="00545FAA" w:rsidR="0097559A" w:rsidDel="00EA1B37" w:rsidP="0038127E" w:rsidRDefault="0097559A" w14:paraId="25EE86B3" w14:textId="2EB5C200">
            <w:pPr>
              <w:jc w:val="center"/>
              <w:textAlignment w:val="baseline"/>
              <w:rPr>
                <w:sz w:val="20"/>
                <w:szCs w:val="20"/>
              </w:rPr>
            </w:pPr>
            <w:r>
              <w:rPr>
                <w:sz w:val="20"/>
                <w:szCs w:val="20"/>
              </w:rPr>
              <w:t>(</w:t>
            </w:r>
            <w:r w:rsidRPr="0097559A">
              <w:rPr>
                <w:sz w:val="20"/>
                <w:szCs w:val="20"/>
              </w:rPr>
              <w:t>1,22</w:t>
            </w:r>
            <w:r>
              <w:rPr>
                <w:sz w:val="20"/>
                <w:szCs w:val="20"/>
              </w:rPr>
              <w:t>5)</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B5603D" w:rsidP="00AF0C07" w:rsidRDefault="00A32DCE" w14:paraId="4AB23F12" w14:textId="77777777">
            <w:pPr>
              <w:jc w:val="center"/>
              <w:textAlignment w:val="baseline"/>
              <w:rPr>
                <w:sz w:val="20"/>
                <w:szCs w:val="20"/>
              </w:rPr>
            </w:pPr>
            <w:r w:rsidRPr="004601AD">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B5603D" w:rsidP="00AF0C07" w:rsidRDefault="0038127E" w14:paraId="55D4BB4F" w14:textId="77777777">
            <w:pPr>
              <w:jc w:val="center"/>
              <w:textAlignment w:val="baseline"/>
              <w:rPr>
                <w:sz w:val="20"/>
                <w:szCs w:val="20"/>
              </w:rPr>
            </w:pPr>
            <w:r w:rsidRPr="00BD6CBA">
              <w:rPr>
                <w:sz w:val="20"/>
                <w:szCs w:val="20"/>
              </w:rPr>
              <w:t>4,899</w:t>
            </w:r>
          </w:p>
          <w:p w:rsidRPr="002072EF" w:rsidR="0097559A" w:rsidDel="00EA1B37" w:rsidP="00AF0C07" w:rsidRDefault="0097559A" w14:paraId="332A63CE" w14:textId="42388C81">
            <w:pPr>
              <w:jc w:val="center"/>
              <w:textAlignment w:val="baseline"/>
              <w:rPr>
                <w:sz w:val="20"/>
                <w:szCs w:val="20"/>
              </w:rPr>
            </w:pPr>
            <w:r>
              <w:rPr>
                <w:sz w:val="20"/>
                <w:szCs w:val="20"/>
              </w:rPr>
              <w:t>(</w:t>
            </w:r>
            <w:r w:rsidRPr="0097559A">
              <w:rPr>
                <w:sz w:val="20"/>
                <w:szCs w:val="20"/>
              </w:rPr>
              <w:t>2,449</w:t>
            </w:r>
            <w:r>
              <w:rPr>
                <w:sz w:val="20"/>
                <w:szCs w:val="20"/>
              </w:rPr>
              <w:t>)</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B5603D" w:rsidP="00AF0C07" w:rsidRDefault="00A32DCE" w14:paraId="7C4391ED" w14:textId="77777777">
            <w:pPr>
              <w:jc w:val="center"/>
              <w:textAlignment w:val="baseline"/>
              <w:rPr>
                <w:sz w:val="20"/>
                <w:szCs w:val="20"/>
              </w:rPr>
            </w:pPr>
            <w:r w:rsidRPr="002072EF">
              <w:rPr>
                <w:sz w:val="20"/>
                <w:szCs w:val="20"/>
              </w:rPr>
              <w:t>$105.01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B5603D" w:rsidP="0038127E" w:rsidRDefault="00A32DCE" w14:paraId="0967023D" w14:textId="77777777">
            <w:pPr>
              <w:jc w:val="center"/>
              <w:textAlignment w:val="baseline"/>
              <w:rPr>
                <w:sz w:val="20"/>
                <w:szCs w:val="20"/>
              </w:rPr>
            </w:pPr>
            <w:r w:rsidRPr="00531A2C">
              <w:rPr>
                <w:sz w:val="20"/>
                <w:szCs w:val="20"/>
              </w:rPr>
              <w:t>$</w:t>
            </w:r>
            <w:r w:rsidRPr="00222075" w:rsidR="0038127E">
              <w:rPr>
                <w:sz w:val="20"/>
                <w:szCs w:val="20"/>
              </w:rPr>
              <w:t>514,412</w:t>
            </w:r>
          </w:p>
          <w:p w:rsidRPr="00EF1F77" w:rsidR="0097559A" w:rsidP="0038127E" w:rsidRDefault="0097559A" w14:paraId="474224DD" w14:textId="33B04106">
            <w:pPr>
              <w:jc w:val="center"/>
              <w:textAlignment w:val="baseline"/>
              <w:rPr>
                <w:sz w:val="20"/>
                <w:szCs w:val="20"/>
              </w:rPr>
            </w:pPr>
            <w:r>
              <w:rPr>
                <w:sz w:val="20"/>
                <w:szCs w:val="20"/>
              </w:rPr>
              <w:t>($</w:t>
            </w:r>
            <w:r w:rsidRPr="0097559A">
              <w:rPr>
                <w:sz w:val="20"/>
                <w:szCs w:val="20"/>
              </w:rPr>
              <w:t>257</w:t>
            </w:r>
            <w:r>
              <w:rPr>
                <w:sz w:val="20"/>
                <w:szCs w:val="20"/>
              </w:rPr>
              <w:t>,</w:t>
            </w:r>
            <w:r w:rsidRPr="0097559A">
              <w:rPr>
                <w:sz w:val="20"/>
                <w:szCs w:val="20"/>
              </w:rPr>
              <w:t>20</w:t>
            </w:r>
            <w:r>
              <w:rPr>
                <w:sz w:val="20"/>
                <w:szCs w:val="20"/>
              </w:rPr>
              <w:t>6)</w:t>
            </w:r>
          </w:p>
        </w:tc>
      </w:tr>
      <w:tr w:rsidRPr="008406D6" w:rsidR="00B5603D" w:rsidTr="00470D7E" w14:paraId="3858B2F0" w14:textId="77777777">
        <w:trPr>
          <w:trHeight w:val="723"/>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D44806" w:rsidR="00B5603D" w:rsidP="00DF0011" w:rsidRDefault="00B5603D" w14:paraId="6F005159" w14:textId="23653009">
            <w:pPr>
              <w:textAlignment w:val="baseline"/>
              <w:rPr>
                <w:bCs/>
                <w:sz w:val="20"/>
                <w:szCs w:val="20"/>
              </w:rPr>
            </w:pPr>
            <w:r w:rsidRPr="00B5603D">
              <w:rPr>
                <w:bCs/>
                <w:sz w:val="20"/>
                <w:szCs w:val="20"/>
              </w:rPr>
              <w:t xml:space="preserve">Clerical workers prepare and submit  the offer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5603D" w:rsidDel="00EA1B37" w:rsidP="0038127E" w:rsidRDefault="00E22901" w14:paraId="7A3DC255" w14:textId="5652C183">
            <w:pPr>
              <w:jc w:val="center"/>
              <w:textAlignment w:val="baseline"/>
              <w:rPr>
                <w:sz w:val="20"/>
                <w:szCs w:val="20"/>
              </w:rPr>
            </w:pPr>
            <w:r w:rsidRPr="00223C2E">
              <w:rPr>
                <w:sz w:val="20"/>
                <w:szCs w:val="20"/>
              </w:rPr>
              <w:t>2,449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5603D" w:rsidP="00AF0C07" w:rsidRDefault="00E22901" w14:paraId="2E553296" w14:textId="27437E64">
            <w:pPr>
              <w:jc w:val="center"/>
              <w:textAlignment w:val="baseline"/>
              <w:rPr>
                <w:sz w:val="20"/>
                <w:szCs w:val="20"/>
              </w:rPr>
            </w:pPr>
            <w:r w:rsidRPr="004E6FFE">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B5603D" w:rsidP="00AF0C07" w:rsidRDefault="0038127E" w14:paraId="0BB9DB91" w14:textId="77777777">
            <w:pPr>
              <w:jc w:val="center"/>
              <w:textAlignment w:val="baseline"/>
              <w:rPr>
                <w:sz w:val="20"/>
                <w:szCs w:val="20"/>
              </w:rPr>
            </w:pPr>
            <w:r w:rsidRPr="004E6FFE">
              <w:rPr>
                <w:sz w:val="20"/>
                <w:szCs w:val="20"/>
              </w:rPr>
              <w:t>2,449</w:t>
            </w:r>
          </w:p>
          <w:p w:rsidRPr="00545FAA" w:rsidR="0097559A" w:rsidDel="00EA1B37" w:rsidP="00AF0C07" w:rsidRDefault="0097559A" w14:paraId="15827A23" w14:textId="277D1030">
            <w:pPr>
              <w:jc w:val="center"/>
              <w:textAlignment w:val="baseline"/>
              <w:rPr>
                <w:sz w:val="20"/>
                <w:szCs w:val="20"/>
              </w:rPr>
            </w:pPr>
            <w:r>
              <w:rPr>
                <w:sz w:val="20"/>
                <w:szCs w:val="20"/>
              </w:rPr>
              <w:t>(1,225)</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B5603D" w:rsidP="00AF0C07" w:rsidRDefault="00A32DCE" w14:paraId="49945BCB" w14:textId="77777777">
            <w:pPr>
              <w:jc w:val="center"/>
              <w:textAlignment w:val="baseline"/>
              <w:rPr>
                <w:sz w:val="20"/>
                <w:szCs w:val="20"/>
              </w:rPr>
            </w:pPr>
            <w:r w:rsidRPr="004601AD">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B5603D" w:rsidP="00AF0C07" w:rsidRDefault="0038127E" w14:paraId="7FE30B80" w14:textId="77777777">
            <w:pPr>
              <w:jc w:val="center"/>
              <w:textAlignment w:val="baseline"/>
              <w:rPr>
                <w:sz w:val="20"/>
                <w:szCs w:val="20"/>
              </w:rPr>
            </w:pPr>
            <w:r w:rsidRPr="00BD6CBA">
              <w:rPr>
                <w:sz w:val="20"/>
                <w:szCs w:val="20"/>
              </w:rPr>
              <w:t>612</w:t>
            </w:r>
          </w:p>
          <w:p w:rsidRPr="002072EF" w:rsidR="0097559A" w:rsidDel="00EA1B37" w:rsidP="00AF0C07" w:rsidRDefault="0097559A" w14:paraId="5B9254BC" w14:textId="7460D525">
            <w:pPr>
              <w:jc w:val="center"/>
              <w:textAlignment w:val="baseline"/>
              <w:rPr>
                <w:sz w:val="20"/>
                <w:szCs w:val="20"/>
              </w:rPr>
            </w:pPr>
            <w:r>
              <w:rPr>
                <w:sz w:val="20"/>
                <w:szCs w:val="20"/>
              </w:rPr>
              <w:t>(306)</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B5603D" w:rsidP="00AF0C07" w:rsidRDefault="00A32DCE" w14:paraId="17C98FE8" w14:textId="77777777">
            <w:pPr>
              <w:jc w:val="center"/>
              <w:textAlignment w:val="baseline"/>
              <w:rPr>
                <w:sz w:val="20"/>
                <w:szCs w:val="20"/>
              </w:rPr>
            </w:pPr>
            <w:r w:rsidRPr="002072EF">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B5603D" w:rsidP="0038127E" w:rsidRDefault="00A32DCE" w14:paraId="675C3596" w14:textId="77777777">
            <w:pPr>
              <w:jc w:val="center"/>
              <w:textAlignment w:val="baseline"/>
              <w:rPr>
                <w:sz w:val="20"/>
                <w:szCs w:val="20"/>
              </w:rPr>
            </w:pPr>
            <w:r w:rsidRPr="00531A2C">
              <w:rPr>
                <w:sz w:val="20"/>
                <w:szCs w:val="20"/>
              </w:rPr>
              <w:t>$</w:t>
            </w:r>
            <w:r w:rsidRPr="00222075" w:rsidR="0038127E">
              <w:rPr>
                <w:sz w:val="20"/>
                <w:szCs w:val="20"/>
              </w:rPr>
              <w:t>33,819</w:t>
            </w:r>
          </w:p>
          <w:p w:rsidRPr="00EF1F77" w:rsidR="0097559A" w:rsidP="0038127E" w:rsidRDefault="0097559A" w14:paraId="2AA2886E" w14:textId="3E7CD626">
            <w:pPr>
              <w:jc w:val="center"/>
              <w:textAlignment w:val="baseline"/>
              <w:rPr>
                <w:sz w:val="20"/>
                <w:szCs w:val="20"/>
              </w:rPr>
            </w:pPr>
            <w:r>
              <w:rPr>
                <w:sz w:val="20"/>
                <w:szCs w:val="20"/>
              </w:rPr>
              <w:t>($</w:t>
            </w:r>
            <w:r w:rsidRPr="0097559A">
              <w:rPr>
                <w:sz w:val="20"/>
                <w:szCs w:val="20"/>
              </w:rPr>
              <w:t>16</w:t>
            </w:r>
            <w:r>
              <w:rPr>
                <w:sz w:val="20"/>
                <w:szCs w:val="20"/>
              </w:rPr>
              <w:t>,</w:t>
            </w:r>
            <w:r w:rsidRPr="0097559A">
              <w:rPr>
                <w:sz w:val="20"/>
                <w:szCs w:val="20"/>
              </w:rPr>
              <w:t>909</w:t>
            </w:r>
            <w:r>
              <w:rPr>
                <w:sz w:val="20"/>
                <w:szCs w:val="20"/>
              </w:rPr>
              <w:t>)</w:t>
            </w:r>
          </w:p>
        </w:tc>
      </w:tr>
      <w:tr w:rsidRPr="008406D6" w:rsidR="00636503" w:rsidTr="00CB52B7" w14:paraId="478D22A2" w14:textId="77777777">
        <w:trPr>
          <w:trHeight w:val="273"/>
        </w:trPr>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00636503" w:rsidP="00636503" w:rsidRDefault="00636503" w14:paraId="70D8C868" w14:textId="2856FBC8">
            <w:pPr>
              <w:jc w:val="center"/>
              <w:textAlignment w:val="baseline"/>
              <w:rPr>
                <w:bCs/>
                <w:sz w:val="20"/>
                <w:szCs w:val="20"/>
              </w:rPr>
            </w:pPr>
            <w:r>
              <w:rPr>
                <w:b/>
                <w:bCs/>
                <w:sz w:val="20"/>
                <w:szCs w:val="20"/>
                <w:u w:val="single"/>
              </w:rPr>
              <w:t>Request for Extension</w:t>
            </w:r>
          </w:p>
        </w:tc>
      </w:tr>
      <w:tr w:rsidRPr="008406D6" w:rsidR="00636503" w:rsidTr="00470D7E" w14:paraId="5238FAB0" w14:textId="77777777">
        <w:trPr>
          <w:trHeight w:val="723"/>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636503" w:rsidP="00636503" w:rsidRDefault="00636503" w14:paraId="2CF654C9" w14:textId="18AD11D1">
            <w:pPr>
              <w:textAlignment w:val="baseline"/>
              <w:rPr>
                <w:bCs/>
                <w:sz w:val="20"/>
                <w:szCs w:val="20"/>
              </w:rPr>
            </w:pPr>
            <w:r w:rsidRPr="00B5603D">
              <w:rPr>
                <w:bCs/>
                <w:sz w:val="20"/>
                <w:szCs w:val="20"/>
              </w:rPr>
              <w:t>Clerical workers prepare and submit  the offer</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3C00" w:rsidR="00636503" w:rsidP="00636503" w:rsidRDefault="0099469B" w14:paraId="011F6962" w14:textId="63549B1E">
            <w:pPr>
              <w:jc w:val="center"/>
              <w:textAlignment w:val="baseline"/>
              <w:rPr>
                <w:bCs/>
                <w:sz w:val="20"/>
                <w:szCs w:val="20"/>
              </w:rPr>
            </w:pPr>
            <w:r>
              <w:rPr>
                <w:bCs/>
                <w:sz w:val="20"/>
                <w:szCs w:val="20"/>
              </w:rPr>
              <w:t>25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636503" w:rsidP="00636503" w:rsidRDefault="00636503" w14:paraId="2D1A7738" w14:textId="5C1D7C5A">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636503" w:rsidP="00636503" w:rsidRDefault="0099469B" w14:paraId="3DB59EC5" w14:textId="3FCFB11B">
            <w:pPr>
              <w:jc w:val="center"/>
              <w:textAlignment w:val="baseline"/>
              <w:rPr>
                <w:bCs/>
                <w:sz w:val="20"/>
                <w:szCs w:val="20"/>
              </w:rPr>
            </w:pPr>
            <w:r>
              <w:rPr>
                <w:bCs/>
                <w:sz w:val="20"/>
                <w:szCs w:val="20"/>
              </w:rPr>
              <w:t>25</w:t>
            </w:r>
          </w:p>
          <w:p w:rsidR="002D43C4" w:rsidP="00636503" w:rsidRDefault="002D43C4" w14:paraId="6B5C7609" w14:textId="274C489B">
            <w:pPr>
              <w:jc w:val="center"/>
              <w:textAlignment w:val="baseline"/>
              <w:rPr>
                <w:bCs/>
                <w:sz w:val="20"/>
                <w:szCs w:val="20"/>
              </w:rPr>
            </w:pPr>
            <w:r>
              <w:rPr>
                <w:bCs/>
                <w:sz w:val="20"/>
                <w:szCs w:val="20"/>
              </w:rPr>
              <w:t>(13)</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636503" w:rsidP="00636503" w:rsidRDefault="00197EC1" w14:paraId="552922AE" w14:textId="1DCA1F2B">
            <w:pPr>
              <w:jc w:val="center"/>
              <w:textAlignment w:val="baseline"/>
              <w:rPr>
                <w:bCs/>
                <w:sz w:val="20"/>
                <w:szCs w:val="20"/>
              </w:rPr>
            </w:pPr>
            <w:r>
              <w:rPr>
                <w:bCs/>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636503" w:rsidP="00636503" w:rsidRDefault="0099469B" w14:paraId="6107AC47" w14:textId="6E1A7D99">
            <w:pPr>
              <w:jc w:val="center"/>
              <w:textAlignment w:val="baseline"/>
              <w:rPr>
                <w:bCs/>
                <w:sz w:val="20"/>
                <w:szCs w:val="20"/>
              </w:rPr>
            </w:pPr>
            <w:r>
              <w:rPr>
                <w:bCs/>
                <w:sz w:val="20"/>
                <w:szCs w:val="20"/>
              </w:rPr>
              <w:t>6</w:t>
            </w:r>
          </w:p>
          <w:p w:rsidR="002D43C4" w:rsidP="00636503" w:rsidRDefault="002D43C4" w14:paraId="2624428E" w14:textId="2CE54B17">
            <w:pPr>
              <w:jc w:val="center"/>
              <w:textAlignment w:val="baseline"/>
              <w:rPr>
                <w:bCs/>
                <w:sz w:val="20"/>
                <w:szCs w:val="20"/>
              </w:rPr>
            </w:pPr>
            <w:r>
              <w:rPr>
                <w:bCs/>
                <w:sz w:val="20"/>
                <w:szCs w:val="20"/>
              </w:rPr>
              <w:t>(3)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A32DCE" w:rsidR="00636503" w:rsidP="00636503" w:rsidRDefault="00636503" w14:paraId="581A1727" w14:textId="7D2DEBC7">
            <w:pPr>
              <w:jc w:val="center"/>
              <w:textAlignment w:val="baseline"/>
              <w:rPr>
                <w:bCs/>
                <w:sz w:val="20"/>
                <w:szCs w:val="20"/>
              </w:rPr>
            </w:pPr>
            <w:r>
              <w:rPr>
                <w:bCs/>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636503" w:rsidP="0099469B" w:rsidRDefault="00636503" w14:paraId="6B05D305" w14:textId="095153A4">
            <w:pPr>
              <w:jc w:val="center"/>
              <w:textAlignment w:val="baseline"/>
              <w:rPr>
                <w:bCs/>
                <w:sz w:val="20"/>
                <w:szCs w:val="20"/>
              </w:rPr>
            </w:pPr>
            <w:r>
              <w:rPr>
                <w:bCs/>
                <w:sz w:val="20"/>
                <w:szCs w:val="20"/>
              </w:rPr>
              <w:t>$</w:t>
            </w:r>
            <w:r w:rsidR="0099469B">
              <w:rPr>
                <w:bCs/>
                <w:sz w:val="20"/>
                <w:szCs w:val="20"/>
              </w:rPr>
              <w:t>345</w:t>
            </w:r>
          </w:p>
          <w:p w:rsidR="002D43C4" w:rsidP="0099469B" w:rsidRDefault="002D43C4" w14:paraId="7BF71DA3" w14:textId="3D8D695B">
            <w:pPr>
              <w:jc w:val="center"/>
              <w:textAlignment w:val="baseline"/>
              <w:rPr>
                <w:bCs/>
                <w:sz w:val="20"/>
                <w:szCs w:val="20"/>
              </w:rPr>
            </w:pPr>
            <w:r>
              <w:rPr>
                <w:bCs/>
                <w:sz w:val="20"/>
                <w:szCs w:val="20"/>
              </w:rPr>
              <w:t>($173)</w:t>
            </w:r>
          </w:p>
        </w:tc>
      </w:tr>
      <w:tr w:rsidRPr="008406D6" w:rsidR="00334218" w:rsidTr="00CD1461" w14:paraId="49C2E7DB" w14:textId="77777777">
        <w:trPr>
          <w:trHeight w:val="264"/>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FE7D0C" w:rsidR="00334218" w:rsidP="00B852FC" w:rsidRDefault="00FE7D0C" w14:paraId="3DD565E6" w14:textId="71369577">
            <w:pPr>
              <w:textAlignment w:val="baseline"/>
              <w:rPr>
                <w:b/>
                <w:bCs/>
                <w:sz w:val="20"/>
                <w:szCs w:val="20"/>
              </w:rPr>
            </w:pPr>
            <w:r w:rsidRPr="00FE7D0C">
              <w:rPr>
                <w:b/>
                <w:bCs/>
                <w:sz w:val="20"/>
                <w:szCs w:val="20"/>
              </w:rPr>
              <w:t xml:space="preserve">Total </w:t>
            </w:r>
            <w:r w:rsidR="00FB4F5E">
              <w:rPr>
                <w:b/>
                <w:bCs/>
                <w:sz w:val="20"/>
                <w:szCs w:val="20"/>
              </w:rPr>
              <w:t>(3-year average)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334218" w:rsidP="00B852FC" w:rsidRDefault="00BA78F5" w14:paraId="3EB2F1AF" w14:textId="2E8523E9">
            <w:pPr>
              <w:jc w:val="center"/>
              <w:textAlignment w:val="baseline"/>
              <w:rPr>
                <w:bCs/>
                <w:sz w:val="20"/>
                <w:szCs w:val="20"/>
              </w:rPr>
            </w:pPr>
            <w:r w:rsidRPr="00BA78F5">
              <w:rPr>
                <w:bCs/>
                <w:sz w:val="20"/>
                <w:szCs w:val="20"/>
              </w:rPr>
              <w:t>22,257</w:t>
            </w:r>
            <w:r w:rsidR="00DF4CFA">
              <w:rPr>
                <w:bCs/>
                <w:sz w:val="20"/>
                <w:szCs w:val="20"/>
              </w:rPr>
              <w:t>*</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334218" w:rsidP="00B8476D" w:rsidRDefault="00B8476D" w14:paraId="71EEAB33" w14:textId="10027434">
            <w:pPr>
              <w:jc w:val="center"/>
              <w:textAlignment w:val="baseline"/>
              <w:rPr>
                <w:bCs/>
                <w:sz w:val="20"/>
                <w:szCs w:val="20"/>
              </w:rPr>
            </w:pPr>
            <w:r w:rsidRPr="00B8476D">
              <w:rPr>
                <w:bCs/>
                <w:sz w:val="20"/>
                <w:szCs w:val="20"/>
              </w:rPr>
              <w:t>1.647825</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2A7B50" w:rsidP="00D1671A" w:rsidRDefault="00B8476D" w14:paraId="5152D1CC" w14:textId="77777777">
            <w:pPr>
              <w:jc w:val="center"/>
              <w:textAlignment w:val="baseline"/>
              <w:rPr>
                <w:bCs/>
                <w:sz w:val="20"/>
                <w:szCs w:val="20"/>
              </w:rPr>
            </w:pPr>
            <w:r>
              <w:rPr>
                <w:bCs/>
                <w:sz w:val="20"/>
                <w:szCs w:val="20"/>
              </w:rPr>
              <w:t>36,675</w:t>
            </w:r>
            <w:r w:rsidR="000B6775">
              <w:rPr>
                <w:bCs/>
                <w:sz w:val="20"/>
                <w:szCs w:val="20"/>
              </w:rPr>
              <w:t>*</w:t>
            </w:r>
            <w:r w:rsidR="00DF4CFA">
              <w:rPr>
                <w:bCs/>
                <w:sz w:val="20"/>
                <w:szCs w:val="20"/>
              </w:rPr>
              <w:t>*</w:t>
            </w:r>
          </w:p>
          <w:p w:rsidRPr="008406D6" w:rsidR="00334218" w:rsidP="00D1671A" w:rsidRDefault="002A7B50" w14:paraId="6C2AC18E" w14:textId="49309627">
            <w:pPr>
              <w:jc w:val="center"/>
              <w:textAlignment w:val="baseline"/>
              <w:rPr>
                <w:bCs/>
                <w:sz w:val="20"/>
                <w:szCs w:val="20"/>
              </w:rPr>
            </w:pPr>
            <w:r>
              <w:rPr>
                <w:bCs/>
                <w:sz w:val="20"/>
                <w:szCs w:val="20"/>
              </w:rPr>
              <w:t>(</w:t>
            </w:r>
            <w:r w:rsidR="00CC76BF">
              <w:rPr>
                <w:bCs/>
                <w:sz w:val="20"/>
                <w:szCs w:val="20"/>
              </w:rPr>
              <w:t>18,338</w:t>
            </w:r>
            <w:r>
              <w:rPr>
                <w:bCs/>
                <w:sz w:val="20"/>
                <w:szCs w:val="20"/>
              </w:rPr>
              <w:t>)</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334218" w:rsidP="007D7420" w:rsidRDefault="00D733DA" w14:paraId="3F505282" w14:textId="67FD36E6">
            <w:pPr>
              <w:jc w:val="center"/>
              <w:textAlignment w:val="baseline"/>
              <w:rPr>
                <w:bCs/>
                <w:sz w:val="20"/>
                <w:szCs w:val="20"/>
              </w:rPr>
            </w:pPr>
            <w:r>
              <w:rPr>
                <w:bCs/>
                <w:sz w:val="20"/>
                <w:szCs w:val="20"/>
              </w:rPr>
              <w:t>1.7982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D1671A" w:rsidP="00B852FC" w:rsidRDefault="00D733DA" w14:paraId="09181826" w14:textId="77777777">
            <w:pPr>
              <w:jc w:val="center"/>
              <w:textAlignment w:val="baseline"/>
              <w:rPr>
                <w:bCs/>
                <w:sz w:val="20"/>
                <w:szCs w:val="20"/>
              </w:rPr>
            </w:pPr>
            <w:r w:rsidRPr="00D733DA">
              <w:rPr>
                <w:bCs/>
                <w:sz w:val="20"/>
                <w:szCs w:val="20"/>
              </w:rPr>
              <w:t>65,948</w:t>
            </w:r>
          </w:p>
          <w:p w:rsidRPr="008406D6" w:rsidR="00334218" w:rsidP="00B852FC" w:rsidRDefault="00D1671A" w14:paraId="077A0AB0" w14:textId="7830027F">
            <w:pPr>
              <w:jc w:val="center"/>
              <w:textAlignment w:val="baseline"/>
              <w:rPr>
                <w:bCs/>
                <w:sz w:val="20"/>
                <w:szCs w:val="20"/>
              </w:rPr>
            </w:pPr>
            <w:r>
              <w:rPr>
                <w:bCs/>
                <w:sz w:val="20"/>
                <w:szCs w:val="20"/>
              </w:rPr>
              <w:t>(</w:t>
            </w:r>
            <w:r w:rsidRPr="00D1671A">
              <w:rPr>
                <w:bCs/>
                <w:sz w:val="20"/>
                <w:szCs w:val="20"/>
              </w:rPr>
              <w:t>32,974</w:t>
            </w:r>
            <w:r>
              <w:rPr>
                <w:bCs/>
                <w:sz w:val="20"/>
                <w:szCs w:val="20"/>
              </w:rPr>
              <w:t>)</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334218" w:rsidP="00B852FC" w:rsidRDefault="00DC0774" w14:paraId="6FF8C406" w14:textId="77777777">
            <w:pPr>
              <w:jc w:val="center"/>
              <w:textAlignment w:val="baseline"/>
              <w:rPr>
                <w:bCs/>
                <w:sz w:val="20"/>
                <w:szCs w:val="20"/>
              </w:rPr>
            </w:pPr>
            <w:r>
              <w:rPr>
                <w:bCs/>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0275F5" w:rsidP="00B852FC" w:rsidRDefault="00D733DA" w14:paraId="429CC55B" w14:textId="77777777">
            <w:pPr>
              <w:jc w:val="center"/>
              <w:textAlignment w:val="baseline"/>
              <w:rPr>
                <w:bCs/>
                <w:sz w:val="20"/>
                <w:szCs w:val="20"/>
              </w:rPr>
            </w:pPr>
            <w:r w:rsidRPr="00D733DA">
              <w:rPr>
                <w:bCs/>
                <w:sz w:val="20"/>
                <w:szCs w:val="20"/>
              </w:rPr>
              <w:t>$6,464,751</w:t>
            </w:r>
          </w:p>
          <w:p w:rsidR="00334218" w:rsidP="00B852FC" w:rsidRDefault="000275F5" w14:paraId="3584FBF6" w14:textId="64DCC662">
            <w:pPr>
              <w:jc w:val="center"/>
              <w:textAlignment w:val="baseline"/>
              <w:rPr>
                <w:bCs/>
                <w:sz w:val="20"/>
                <w:szCs w:val="20"/>
              </w:rPr>
            </w:pPr>
            <w:r>
              <w:rPr>
                <w:bCs/>
                <w:sz w:val="20"/>
                <w:szCs w:val="20"/>
              </w:rPr>
              <w:t>(</w:t>
            </w:r>
            <w:r w:rsidRPr="004270F3" w:rsidR="004270F3">
              <w:rPr>
                <w:bCs/>
                <w:sz w:val="20"/>
                <w:szCs w:val="20"/>
              </w:rPr>
              <w:t>$3,232,375</w:t>
            </w:r>
            <w:r>
              <w:rPr>
                <w:bCs/>
                <w:sz w:val="20"/>
                <w:szCs w:val="20"/>
              </w:rPr>
              <w:t>)</w:t>
            </w:r>
          </w:p>
        </w:tc>
      </w:tr>
    </w:tbl>
    <w:p w:rsidRPr="00CB52B7" w:rsidR="00DF4CFA" w:rsidP="001F3AFD" w:rsidRDefault="00DF4CFA" w14:paraId="0AE2C11B" w14:textId="20B6D3C8">
      <w:pPr>
        <w:textAlignment w:val="baseline"/>
        <w:rPr>
          <w:sz w:val="22"/>
        </w:rPr>
      </w:pPr>
      <w:r w:rsidRPr="00CB52B7">
        <w:rPr>
          <w:sz w:val="22"/>
        </w:rPr>
        <w:t>*</w:t>
      </w:r>
      <w:r w:rsidRPr="00CB52B7" w:rsidR="00DA0BB2">
        <w:rPr>
          <w:sz w:val="22"/>
        </w:rPr>
        <w:t xml:space="preserve"> The total number of respon</w:t>
      </w:r>
      <w:r w:rsidRPr="00CA0E6E" w:rsidR="00DA0BB2">
        <w:rPr>
          <w:sz w:val="22"/>
        </w:rPr>
        <w:t>dents</w:t>
      </w:r>
      <w:r w:rsidRPr="00CB52B7" w:rsidR="00DA0BB2">
        <w:rPr>
          <w:sz w:val="22"/>
        </w:rPr>
        <w:t xml:space="preserve"> </w:t>
      </w:r>
      <w:r w:rsidRPr="00CA0E6E" w:rsidR="007645C9">
        <w:rPr>
          <w:sz w:val="22"/>
        </w:rPr>
        <w:t xml:space="preserve">was </w:t>
      </w:r>
      <w:r w:rsidRPr="00CB52B7" w:rsidR="00DA0BB2">
        <w:rPr>
          <w:sz w:val="22"/>
        </w:rPr>
        <w:t xml:space="preserve">calculated in the following manner: </w:t>
      </w:r>
      <w:r w:rsidRPr="00CA0E6E" w:rsidR="00DA0BB2">
        <w:rPr>
          <w:sz w:val="22"/>
        </w:rPr>
        <w:t>17,333</w:t>
      </w:r>
      <w:r w:rsidRPr="00CB52B7" w:rsidR="00DA0BB2">
        <w:rPr>
          <w:sz w:val="22"/>
        </w:rPr>
        <w:t xml:space="preserve"> (Federal IDR Process for Services relating to Nonparticipating Providers or Nonparticipating Emergency Facilities) + </w:t>
      </w:r>
      <w:r w:rsidRPr="00CA0E6E" w:rsidR="00DA0BB2">
        <w:rPr>
          <w:sz w:val="22"/>
        </w:rPr>
        <w:t>4,899</w:t>
      </w:r>
      <w:r w:rsidRPr="00CB52B7" w:rsidR="00DA0BB2">
        <w:rPr>
          <w:sz w:val="22"/>
        </w:rPr>
        <w:t xml:space="preserve"> (Federal IDR Process for Air Ambulance Services) + </w:t>
      </w:r>
      <w:r w:rsidRPr="00CA0E6E" w:rsidR="00DA0BB2">
        <w:rPr>
          <w:sz w:val="22"/>
        </w:rPr>
        <w:t>25</w:t>
      </w:r>
      <w:r w:rsidRPr="00CB52B7" w:rsidR="00DA0BB2">
        <w:rPr>
          <w:sz w:val="22"/>
        </w:rPr>
        <w:t xml:space="preserve"> (IDR Entity) = </w:t>
      </w:r>
      <w:r w:rsidRPr="00CA0E6E" w:rsidR="00DA0BB2">
        <w:rPr>
          <w:sz w:val="22"/>
        </w:rPr>
        <w:t>22,257</w:t>
      </w:r>
      <w:r w:rsidRPr="00CB52B7" w:rsidR="00DA0BB2">
        <w:rPr>
          <w:sz w:val="22"/>
        </w:rPr>
        <w:t xml:space="preserve">.  </w:t>
      </w:r>
    </w:p>
    <w:p w:rsidRPr="00CA0E6E" w:rsidR="001F3AFD" w:rsidP="001F3AFD" w:rsidRDefault="00C4730E" w14:paraId="13B3E38F" w14:textId="5259B6EE">
      <w:pPr>
        <w:textAlignment w:val="baseline"/>
        <w:rPr>
          <w:sz w:val="22"/>
        </w:rPr>
      </w:pPr>
      <w:r w:rsidRPr="00CA0E6E">
        <w:t>*</w:t>
      </w:r>
      <w:r w:rsidRPr="00CA0E6E" w:rsidR="00DF4CFA">
        <w:t>*</w:t>
      </w:r>
      <w:r w:rsidRPr="00CA0E6E" w:rsidR="001F3AFD">
        <w:rPr>
          <w:sz w:val="22"/>
          <w:szCs w:val="22"/>
        </w:rPr>
        <w:t>The</w:t>
      </w:r>
      <w:r w:rsidRPr="00CB52B7" w:rsidR="00470FAB">
        <w:rPr>
          <w:sz w:val="22"/>
          <w:szCs w:val="22"/>
        </w:rPr>
        <w:t xml:space="preserve"> total</w:t>
      </w:r>
      <w:r w:rsidRPr="00CB52B7" w:rsidR="00470FAB">
        <w:rPr>
          <w:sz w:val="22"/>
        </w:rPr>
        <w:t xml:space="preserve"> number of responses </w:t>
      </w:r>
      <w:r w:rsidRPr="00CA0E6E" w:rsidR="001F3AFD">
        <w:rPr>
          <w:sz w:val="22"/>
        </w:rPr>
        <w:t xml:space="preserve">in the first year </w:t>
      </w:r>
      <w:r w:rsidRPr="00CB52B7" w:rsidR="000B6775">
        <w:rPr>
          <w:sz w:val="22"/>
        </w:rPr>
        <w:t>was calculated in the following manner: 27,487 (</w:t>
      </w:r>
      <w:r w:rsidRPr="00CB52B7" w:rsidR="000B6775">
        <w:rPr>
          <w:bCs/>
          <w:sz w:val="22"/>
        </w:rPr>
        <w:t>Federal IDR Process for Services relating to Nonparticipating Providers or Nonpartici</w:t>
      </w:r>
      <w:r w:rsidRPr="00CB52B7" w:rsidR="00524DF6">
        <w:rPr>
          <w:bCs/>
          <w:sz w:val="22"/>
        </w:rPr>
        <w:t xml:space="preserve">pating Emergency Facilities) + </w:t>
      </w:r>
      <w:r w:rsidRPr="00CB52B7" w:rsidR="000B6775">
        <w:rPr>
          <w:bCs/>
          <w:sz w:val="22"/>
        </w:rPr>
        <w:t xml:space="preserve">8,993 (Federal IDR Process for Air Ambulance Services) + </w:t>
      </w:r>
      <w:r w:rsidRPr="00CB52B7" w:rsidR="006B0ECB">
        <w:rPr>
          <w:bCs/>
          <w:sz w:val="22"/>
        </w:rPr>
        <w:t xml:space="preserve">25 </w:t>
      </w:r>
      <w:r w:rsidRPr="00CB52B7" w:rsidR="000B6775">
        <w:rPr>
          <w:bCs/>
          <w:sz w:val="22"/>
        </w:rPr>
        <w:t>(Request for Extension) + 176 (IDR Entity)</w:t>
      </w:r>
      <w:r w:rsidRPr="00CB52B7" w:rsidR="00524DF6">
        <w:rPr>
          <w:bCs/>
          <w:sz w:val="22"/>
        </w:rPr>
        <w:t xml:space="preserve"> =</w:t>
      </w:r>
      <w:r w:rsidRPr="00CA0E6E" w:rsidR="00524DF6">
        <w:t xml:space="preserve"> </w:t>
      </w:r>
      <w:r w:rsidRPr="00CB52B7" w:rsidR="00524DF6">
        <w:rPr>
          <w:bCs/>
          <w:sz w:val="22"/>
        </w:rPr>
        <w:t>36,682</w:t>
      </w:r>
      <w:r w:rsidRPr="00CB52B7" w:rsidR="00470FAB">
        <w:rPr>
          <w:sz w:val="22"/>
        </w:rPr>
        <w:t xml:space="preserve">.  </w:t>
      </w:r>
      <w:r w:rsidRPr="00CA0E6E" w:rsidR="001F3AFD">
        <w:rPr>
          <w:sz w:val="22"/>
        </w:rPr>
        <w:t>The total number of responses in the subsequent years was calculated in the following manner: 27,487 (</w:t>
      </w:r>
      <w:r w:rsidRPr="00CB52B7" w:rsidR="001F3AFD">
        <w:rPr>
          <w:bCs/>
          <w:sz w:val="22"/>
        </w:rPr>
        <w:t xml:space="preserve">Federal IDR Process for Services relating to Nonparticipating Providers or Nonparticipating Emergency Facilities) + 8,993 (Federal IDR Process for Air Ambulance Services) + </w:t>
      </w:r>
      <w:r w:rsidRPr="00CB52B7" w:rsidR="006B0ECB">
        <w:rPr>
          <w:bCs/>
          <w:sz w:val="22"/>
        </w:rPr>
        <w:t>25</w:t>
      </w:r>
      <w:r w:rsidRPr="00CB52B7" w:rsidR="001F3AFD">
        <w:rPr>
          <w:bCs/>
          <w:sz w:val="22"/>
        </w:rPr>
        <w:t xml:space="preserve"> (Request for Extension) + 166 (IDR Entity) =</w:t>
      </w:r>
      <w:r w:rsidRPr="00CA0E6E" w:rsidR="001F3AFD">
        <w:rPr>
          <w:sz w:val="22"/>
        </w:rPr>
        <w:t xml:space="preserve"> </w:t>
      </w:r>
      <w:r w:rsidRPr="00CB52B7" w:rsidR="001F3AFD">
        <w:rPr>
          <w:bCs/>
          <w:sz w:val="22"/>
        </w:rPr>
        <w:t>36,672</w:t>
      </w:r>
      <w:r w:rsidRPr="00CA0E6E" w:rsidR="001F3AFD">
        <w:rPr>
          <w:sz w:val="22"/>
        </w:rPr>
        <w:t xml:space="preserve">.  </w:t>
      </w:r>
      <w:r w:rsidRPr="00CA0E6E" w:rsidR="00DF4CFA">
        <w:rPr>
          <w:sz w:val="22"/>
        </w:rPr>
        <w:t>Thus, the three-year average number of responses is 3</w:t>
      </w:r>
      <w:r w:rsidRPr="00CA0E6E" w:rsidR="00360736">
        <w:rPr>
          <w:sz w:val="22"/>
        </w:rPr>
        <w:t>6</w:t>
      </w:r>
      <w:r w:rsidRPr="00CA0E6E" w:rsidR="00DF4CFA">
        <w:rPr>
          <w:sz w:val="22"/>
        </w:rPr>
        <w:t>,675 ((36,682 + 36,672 + 36,672)</w:t>
      </w:r>
      <w:r w:rsidRPr="00CA0E6E" w:rsidR="00DF7CBC">
        <w:rPr>
          <w:sz w:val="22"/>
        </w:rPr>
        <w:t>/3</w:t>
      </w:r>
      <w:r w:rsidRPr="00CA0E6E" w:rsidR="00DF4CFA">
        <w:rPr>
          <w:sz w:val="22"/>
        </w:rPr>
        <w:t xml:space="preserve">). </w:t>
      </w:r>
    </w:p>
    <w:p w:rsidR="00E40BD9" w:rsidP="001F3AFD" w:rsidRDefault="00E40BD9" w14:paraId="48015940" w14:textId="47481413">
      <w:pPr>
        <w:textAlignment w:val="baseline"/>
        <w:rPr>
          <w:sz w:val="22"/>
        </w:rPr>
      </w:pPr>
      <w:r w:rsidRPr="00CA0E6E">
        <w:rPr>
          <w:sz w:val="22"/>
        </w:rPr>
        <w:t>***</w:t>
      </w:r>
      <w:r w:rsidRPr="00CA0E6E" w:rsidR="0061669D">
        <w:rPr>
          <w:sz w:val="22"/>
        </w:rPr>
        <w:t xml:space="preserve">Please note </w:t>
      </w:r>
      <w:r w:rsidRPr="00CA0E6E" w:rsidR="00946343">
        <w:rPr>
          <w:sz w:val="22"/>
        </w:rPr>
        <w:t>that the numbers in the table are rounded</w:t>
      </w:r>
      <w:r w:rsidR="00946343">
        <w:rPr>
          <w:sz w:val="22"/>
        </w:rPr>
        <w:t xml:space="preserve">. </w:t>
      </w:r>
    </w:p>
    <w:p w:rsidRPr="009C164D" w:rsidR="00AC571E" w:rsidP="00E631C7" w:rsidRDefault="00AC571E" w14:paraId="68688714" w14:textId="77777777">
      <w:pPr>
        <w:rPr>
          <w:b/>
        </w:rPr>
      </w:pPr>
    </w:p>
    <w:p w:rsidRPr="002F69AA" w:rsidR="002F69AA" w:rsidP="002F69AA" w:rsidRDefault="00FC2F3E" w14:paraId="0D130719" w14:textId="77777777">
      <w:pPr>
        <w:pStyle w:val="Quick1"/>
        <w:widowControl/>
        <w:rPr>
          <w:b/>
        </w:rPr>
      </w:pPr>
      <w:r w:rsidRPr="009C164D">
        <w:rPr>
          <w:b/>
          <w:iCs/>
        </w:rPr>
        <w:t>Provide an estimate of the total annual cost burden to respondents or record</w:t>
      </w:r>
      <w:r w:rsidR="002B5E05">
        <w:rPr>
          <w:b/>
          <w:iCs/>
        </w:rPr>
        <w:t xml:space="preserve"> </w:t>
      </w:r>
      <w:r w:rsidRPr="009C164D">
        <w:rPr>
          <w:b/>
          <w:iCs/>
        </w:rPr>
        <w:t>keepers resulting from the collection of information.  (Do not include the cost of any hour burden shown in Items 12 or 14).</w:t>
      </w:r>
    </w:p>
    <w:p w:rsidRPr="002F69AA" w:rsidR="002F69AA" w:rsidP="002F69AA" w:rsidRDefault="002F69AA" w14:paraId="2E041516" w14:textId="77777777">
      <w:pPr>
        <w:pStyle w:val="Quick1"/>
        <w:numPr>
          <w:ilvl w:val="0"/>
          <w:numId w:val="3"/>
        </w:numPr>
        <w:rPr>
          <w:b/>
        </w:rPr>
      </w:pPr>
      <w:r w:rsidRPr="002F69AA">
        <w:rPr>
          <w:b/>
          <w:bCs/>
        </w:rPr>
        <w:t xml:space="preserve">The cost estimate should be split into </w:t>
      </w:r>
      <w:r w:rsidR="004826E2">
        <w:rPr>
          <w:b/>
          <w:bCs/>
        </w:rPr>
        <w:t>2</w:t>
      </w:r>
      <w:r w:rsidRPr="002F69AA">
        <w:rPr>
          <w:b/>
          <w:bCs/>
        </w:rPr>
        <w:t xml:space="preserve"> components:  (a) a total capital</w:t>
      </w:r>
      <w:r w:rsidRPr="002F69AA">
        <w:rPr>
          <w:b/>
        </w:rPr>
        <w:t> </w:t>
      </w:r>
      <w:r w:rsidRPr="002F69AA">
        <w:rPr>
          <w:b/>
          <w:bCs/>
        </w:rPr>
        <w:t>and </w:t>
      </w:r>
      <w:proofErr w:type="spellStart"/>
      <w:r w:rsidRPr="002F69AA">
        <w:rPr>
          <w:b/>
          <w:bCs/>
        </w:rPr>
        <w:t>start up</w:t>
      </w:r>
      <w:proofErr w:type="spellEnd"/>
      <w:r w:rsidRPr="002F69AA">
        <w:rPr>
          <w:b/>
          <w:bCs/>
        </w:rPr>
        <w:t xml:space="preserve"> cost component (annualized over its expected useful life); and (b) a</w:t>
      </w:r>
      <w:r w:rsidRPr="002F69AA">
        <w:rPr>
          <w:b/>
        </w:rPr>
        <w:t> </w:t>
      </w:r>
      <w:r w:rsidRPr="002F69AA">
        <w:rPr>
          <w:b/>
          <w:bCs/>
        </w:rPr>
        <w:t xml:space="preserve">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w:t>
      </w:r>
      <w:r w:rsidRPr="002F69AA">
        <w:rPr>
          <w:b/>
          <w:bCs/>
        </w:rPr>
        <w:lastRenderedPageBreak/>
        <w:t>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2F69AA">
        <w:rPr>
          <w:b/>
        </w:rPr>
        <w:t> </w:t>
      </w:r>
    </w:p>
    <w:p w:rsidRPr="002F69AA" w:rsidR="002F69AA" w:rsidP="002F69AA" w:rsidRDefault="002F69AA" w14:paraId="6DA9C003" w14:textId="77777777">
      <w:pPr>
        <w:pStyle w:val="Quick1"/>
        <w:numPr>
          <w:ilvl w:val="0"/>
          <w:numId w:val="3"/>
        </w:numPr>
        <w:rPr>
          <w:b/>
        </w:rPr>
      </w:pPr>
      <w:r w:rsidRPr="002F69AA">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2F69AA">
        <w:rPr>
          <w:b/>
        </w:rPr>
        <w:t> </w:t>
      </w:r>
    </w:p>
    <w:p w:rsidRPr="00621527" w:rsidR="002F69AA" w:rsidP="002F69AA" w:rsidRDefault="002F69AA" w14:paraId="243816D2" w14:textId="77777777">
      <w:pPr>
        <w:pStyle w:val="Quick1"/>
        <w:numPr>
          <w:ilvl w:val="0"/>
          <w:numId w:val="3"/>
        </w:numPr>
        <w:rPr>
          <w:b/>
        </w:rPr>
      </w:pPr>
      <w:r w:rsidRPr="002F69A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21527" w:rsidP="00621527" w:rsidRDefault="00621527" w14:paraId="16D04724" w14:textId="77777777">
      <w:pPr>
        <w:pStyle w:val="Quick1"/>
        <w:numPr>
          <w:ilvl w:val="0"/>
          <w:numId w:val="0"/>
        </w:numPr>
        <w:ind w:left="720" w:hanging="720"/>
        <w:rPr>
          <w:b/>
        </w:rPr>
      </w:pPr>
    </w:p>
    <w:p w:rsidR="00132464" w:rsidP="00132464" w:rsidRDefault="004E6FFE" w14:paraId="4F45E32E" w14:textId="2E3481C0">
      <w:pPr>
        <w:ind w:left="720"/>
      </w:pPr>
      <w:r w:rsidRPr="004E6FFE">
        <w:t xml:space="preserve">Group health plans, health insurance issuers, FEHB carriers, providers, </w:t>
      </w:r>
      <w:r>
        <w:t xml:space="preserve">facilities, and </w:t>
      </w:r>
      <w:r w:rsidRPr="004E6FFE">
        <w:t>providers of air am</w:t>
      </w:r>
      <w:r>
        <w:t>bulance services</w:t>
      </w:r>
      <w:r w:rsidRPr="00355066" w:rsidR="00132464">
        <w:t xml:space="preserve"> are responsible for ensuring compliance with the</w:t>
      </w:r>
      <w:r w:rsidR="00BF65D9">
        <w:t>se</w:t>
      </w:r>
      <w:r w:rsidRPr="00355066" w:rsidR="00132464">
        <w:t xml:space="preserve"> </w:t>
      </w:r>
      <w:r w:rsidR="001D35D7">
        <w:t xml:space="preserve">interim </w:t>
      </w:r>
      <w:r w:rsidRPr="00355066" w:rsidR="00132464">
        <w:t>final rules.</w:t>
      </w:r>
      <w:r w:rsidR="00132464">
        <w:t xml:space="preserve">  Accordingly, in the discussion below, the Departments refer to costs on plans, issuers, and carriers.  However, it is expected that </w:t>
      </w:r>
      <w:r w:rsidRPr="00C165D0" w:rsidR="00132464">
        <w:t>most self-insured group health plans will work with a TPA to meet the requirements of the rules.</w:t>
      </w:r>
      <w:r w:rsidR="00132464">
        <w:t xml:space="preserve">  As such, issuers and TPAs are assumed to incur this cost and burden for most group health plans, and only the largest self-insured plans may incur this cost directly. </w:t>
      </w:r>
    </w:p>
    <w:p w:rsidR="00132464" w:rsidP="00132464" w:rsidRDefault="00132464" w14:paraId="1245FBEA" w14:textId="77777777">
      <w:pPr>
        <w:ind w:left="720"/>
        <w:rPr>
          <w:i/>
        </w:rPr>
      </w:pPr>
    </w:p>
    <w:p w:rsidRPr="00CB52B7" w:rsidR="00621527" w:rsidP="00621527" w:rsidRDefault="001D35D7" w14:paraId="21DE0C5D" w14:textId="77777777">
      <w:pPr>
        <w:pStyle w:val="Quick1"/>
        <w:numPr>
          <w:ilvl w:val="0"/>
          <w:numId w:val="0"/>
        </w:numPr>
        <w:ind w:left="720"/>
        <w:rPr>
          <w:b/>
          <w:u w:val="single"/>
        </w:rPr>
      </w:pPr>
      <w:r w:rsidRPr="00CB52B7">
        <w:rPr>
          <w:b/>
          <w:i/>
          <w:u w:val="single"/>
        </w:rPr>
        <w:t xml:space="preserve">Federal </w:t>
      </w:r>
      <w:r w:rsidRPr="00CB52B7" w:rsidR="00621527">
        <w:rPr>
          <w:b/>
          <w:i/>
          <w:u w:val="single"/>
        </w:rPr>
        <w:t>IDR Process for Nonparticipating Providers or Nonparticipating Emergency Facilities</w:t>
      </w:r>
    </w:p>
    <w:p w:rsidRPr="004104B0" w:rsidR="004104B0" w:rsidP="00CB52B7" w:rsidRDefault="004104B0" w14:paraId="475EC419" w14:textId="33BE22A3">
      <w:pPr>
        <w:pStyle w:val="Quick1"/>
        <w:numPr>
          <w:ilvl w:val="0"/>
          <w:numId w:val="0"/>
        </w:numPr>
      </w:pPr>
    </w:p>
    <w:p w:rsidRPr="00257092" w:rsidR="00257092" w:rsidP="00CB52B7" w:rsidRDefault="00257092" w14:paraId="77E55D27" w14:textId="11F90AE8">
      <w:pPr>
        <w:pStyle w:val="Quick1"/>
        <w:numPr>
          <w:ilvl w:val="0"/>
          <w:numId w:val="0"/>
        </w:numPr>
        <w:ind w:left="720"/>
      </w:pPr>
      <w:r w:rsidRPr="00257092">
        <w:t xml:space="preserve">The Departments estimate that 17,333 claims will be submitted as part of the </w:t>
      </w:r>
      <w:r w:rsidR="0038692D">
        <w:t>F</w:t>
      </w:r>
      <w:r w:rsidRPr="00257092">
        <w:t>ederal IDR process each year.</w:t>
      </w:r>
    </w:p>
    <w:p w:rsidRPr="00257092" w:rsidR="00257092" w:rsidP="00CB52B7" w:rsidRDefault="00257092" w14:paraId="35339229" w14:textId="77777777">
      <w:pPr>
        <w:pStyle w:val="Quick1"/>
        <w:numPr>
          <w:ilvl w:val="0"/>
          <w:numId w:val="0"/>
        </w:numPr>
        <w:ind w:left="720"/>
      </w:pPr>
    </w:p>
    <w:p w:rsidRPr="00257092" w:rsidR="00257092" w:rsidP="00CB52B7" w:rsidRDefault="00257092" w14:paraId="167B0571" w14:textId="750E63E1">
      <w:pPr>
        <w:pStyle w:val="Quick1"/>
        <w:numPr>
          <w:ilvl w:val="0"/>
          <w:numId w:val="0"/>
        </w:numPr>
        <w:ind w:left="720"/>
      </w:pPr>
      <w:r w:rsidRPr="00257092">
        <w:t>The Departments estimate that 25</w:t>
      </w:r>
      <w:r w:rsidR="00844226">
        <w:t xml:space="preserve"> percent</w:t>
      </w:r>
      <w:r w:rsidRPr="00257092">
        <w:t xml:space="preserve"> of disputes will be resolved in open negotiation before entering the </w:t>
      </w:r>
      <w:r w:rsidR="00844226">
        <w:t>F</w:t>
      </w:r>
      <w:r w:rsidRPr="00257092">
        <w:t>ederal IDR process.  Accordingly, the Departments estimate that 23,111 claims will go through open negotiation.</w:t>
      </w:r>
      <w:r w:rsidRPr="00257092">
        <w:rPr>
          <w:vertAlign w:val="superscript"/>
        </w:rPr>
        <w:footnoteReference w:id="23"/>
      </w:r>
      <w:r w:rsidRPr="00257092">
        <w:t xml:space="preserve">  The Departments assume that five percent of these notices would be mailed and will incur a printing cost of $0.05 per page </w:t>
      </w:r>
      <w:r w:rsidRPr="00257092">
        <w:lastRenderedPageBreak/>
        <w:t>and $0.55 for postage.  Thus, the mailing cost is estimated to be $693.</w:t>
      </w:r>
      <w:r w:rsidRPr="00257092">
        <w:rPr>
          <w:vertAlign w:val="superscript"/>
        </w:rPr>
        <w:footnoteReference w:id="24"/>
      </w:r>
      <w:r w:rsidRPr="00257092">
        <w:t xml:space="preserve"> </w:t>
      </w:r>
    </w:p>
    <w:p w:rsidRPr="00257092" w:rsidR="00257092" w:rsidP="00CB52B7" w:rsidRDefault="00257092" w14:paraId="088C6BAA" w14:textId="77777777">
      <w:pPr>
        <w:pStyle w:val="Quick1"/>
        <w:numPr>
          <w:ilvl w:val="0"/>
          <w:numId w:val="0"/>
        </w:numPr>
        <w:ind w:left="720"/>
      </w:pPr>
    </w:p>
    <w:p w:rsidRPr="00257092" w:rsidR="00257092" w:rsidP="00CB52B7" w:rsidRDefault="00642265" w14:paraId="0E0B014C" w14:textId="70C7766A">
      <w:pPr>
        <w:pStyle w:val="Quick1"/>
        <w:numPr>
          <w:ilvl w:val="0"/>
          <w:numId w:val="0"/>
        </w:numPr>
        <w:ind w:left="720"/>
      </w:pPr>
      <w:r w:rsidRPr="00642265">
        <w:t xml:space="preserve">When the parties do not reach an agreed upon amount for the out-of-network rate by the last day of the open negotiation period, either party may initiate the </w:t>
      </w:r>
      <w:r w:rsidR="0054077F">
        <w:t>F</w:t>
      </w:r>
      <w:r w:rsidRPr="00642265" w:rsidR="0054077F">
        <w:t xml:space="preserve">ederal </w:t>
      </w:r>
      <w:r w:rsidRPr="00642265">
        <w:t xml:space="preserve">IDR process by submitting the Notice of IDR Initiation to the other party and to the Departments during the 4-business day period beginning on the 31st business day after the start of the open negotiation period.  </w:t>
      </w:r>
      <w:r w:rsidRPr="00257092" w:rsidR="00257092">
        <w:t xml:space="preserve">The initiating party may furnish the Notice of IDR Initiation to the other party electronically if the initiating party has a good faith belief that the electronic method is readily accessible by the other party and the notice is provided in paper form free of charge upon request; the Departments assume that five percent of </w:t>
      </w:r>
      <w:r w:rsidR="007B7315">
        <w:t xml:space="preserve">these </w:t>
      </w:r>
      <w:r w:rsidRPr="00257092" w:rsidR="00257092">
        <w:t>notices would be mailed and will incur a printing cost of $0.05 per page and $0.55 for postage.  Thus, the mailing cost is estimated to be $520.</w:t>
      </w:r>
      <w:r w:rsidRPr="00257092" w:rsidR="00257092">
        <w:rPr>
          <w:vertAlign w:val="superscript"/>
        </w:rPr>
        <w:footnoteReference w:id="25"/>
      </w:r>
      <w:r w:rsidRPr="00257092" w:rsidR="00257092">
        <w:t xml:space="preserve">  </w:t>
      </w:r>
    </w:p>
    <w:p w:rsidRPr="00257092" w:rsidR="00257092" w:rsidP="006D145E" w:rsidRDefault="00257092" w14:paraId="41E19B2B" w14:textId="255A9D42">
      <w:pPr>
        <w:pStyle w:val="Quick1"/>
        <w:numPr>
          <w:ilvl w:val="0"/>
          <w:numId w:val="0"/>
        </w:numPr>
      </w:pPr>
    </w:p>
    <w:p w:rsidRPr="00257092" w:rsidR="00257092" w:rsidP="006D145E" w:rsidRDefault="00257092" w14:paraId="070A9BF6" w14:textId="4E294BB5">
      <w:pPr>
        <w:pStyle w:val="Quick1"/>
        <w:numPr>
          <w:ilvl w:val="0"/>
          <w:numId w:val="0"/>
        </w:numPr>
        <w:ind w:left="720"/>
      </w:pPr>
      <w:r w:rsidRPr="00257092">
        <w:t xml:space="preserve">If the plan, issuer, or FEHB carrier and the nonparticipating provider or nonparticipating emergency facility select a certified IDR entity, or if they fail to select a certified IDR entity, they must notify the Departments of their selection no later than 1 business day after such selection or failure to select.  To the extent the non-initiating party does not believe that the </w:t>
      </w:r>
      <w:r w:rsidR="00202941">
        <w:t>F</w:t>
      </w:r>
      <w:r w:rsidRPr="00257092" w:rsidR="00202941">
        <w:t xml:space="preserve">ederal </w:t>
      </w:r>
      <w:r w:rsidRPr="00257092">
        <w:t>IDR process applies, the non-initiating party must also provide information that demonstrates the lack of applicability by the same date that the notice of selection or failure to select must be submitted.</w:t>
      </w:r>
    </w:p>
    <w:p w:rsidRPr="00257092" w:rsidR="00257092" w:rsidP="006D145E" w:rsidRDefault="00257092" w14:paraId="3D0DEFF4" w14:textId="77777777">
      <w:pPr>
        <w:pStyle w:val="Quick1"/>
        <w:numPr>
          <w:ilvl w:val="0"/>
          <w:numId w:val="0"/>
        </w:numPr>
        <w:ind w:left="720"/>
      </w:pPr>
    </w:p>
    <w:p w:rsidRPr="00257092" w:rsidR="00257092" w:rsidP="006D145E" w:rsidRDefault="00257092" w14:paraId="5ABB3756" w14:textId="214A5033">
      <w:pPr>
        <w:pStyle w:val="Quick1"/>
        <w:numPr>
          <w:ilvl w:val="0"/>
          <w:numId w:val="0"/>
        </w:numPr>
        <w:ind w:left="720"/>
      </w:pPr>
      <w:r w:rsidRPr="00257092">
        <w:t>The Departments estimate that in 75</w:t>
      </w:r>
      <w:r w:rsidR="00844226">
        <w:t xml:space="preserve"> percent</w:t>
      </w:r>
      <w:r w:rsidRPr="00257092">
        <w:t xml:space="preserve"> of IDR payment determinations, a certified IDR entity will be selected by the disputing parties. </w:t>
      </w:r>
      <w:r w:rsidR="00C62CBD">
        <w:t xml:space="preserve"> </w:t>
      </w:r>
      <w:r w:rsidR="00C03EF6">
        <w:t xml:space="preserve">For </w:t>
      </w:r>
      <w:r w:rsidRPr="00257092">
        <w:t xml:space="preserve">the 13,000 claims that will have a certified IDR entity selected by the disputing parties, </w:t>
      </w:r>
      <w:r w:rsidR="00C03EF6">
        <w:t>t</w:t>
      </w:r>
      <w:r w:rsidRPr="00257092">
        <w:t>he Departments assume that five percent of notices would be mailed and will incur a printing cost of $0.05 per page and $0.55 for postage.  Thus, the mailing cost is estimated to be $390.</w:t>
      </w:r>
      <w:r w:rsidRPr="00257092">
        <w:rPr>
          <w:vertAlign w:val="superscript"/>
        </w:rPr>
        <w:footnoteReference w:id="26"/>
      </w:r>
      <w:r w:rsidRPr="00257092">
        <w:t xml:space="preserve">  </w:t>
      </w:r>
    </w:p>
    <w:p w:rsidRPr="00257092" w:rsidR="00257092" w:rsidP="00FD2447" w:rsidRDefault="00257092" w14:paraId="5B46B3F5" w14:textId="77777777">
      <w:pPr>
        <w:pStyle w:val="Quick1"/>
        <w:numPr>
          <w:ilvl w:val="0"/>
          <w:numId w:val="0"/>
        </w:numPr>
        <w:ind w:left="1440"/>
      </w:pPr>
    </w:p>
    <w:p w:rsidRPr="00257092" w:rsidR="00257092" w:rsidP="00FD2447" w:rsidRDefault="00257092" w14:paraId="4272B66A" w14:textId="3AF36827">
      <w:pPr>
        <w:pStyle w:val="Quick1"/>
        <w:numPr>
          <w:ilvl w:val="0"/>
          <w:numId w:val="0"/>
        </w:numPr>
        <w:ind w:left="720"/>
      </w:pPr>
      <w:r w:rsidRPr="00257092">
        <w:t>If the plan, issuer, or FEHB carrier and the nonparticipating provider or nonparticipating emergency facility fail to select a certified IDR entity, the Departments will select a certified IDR entity that charges a fee within the allowed range of IDR entity costs (or has received approval from the Departments to charge a fee outside of the allowed range) through a random selection method.  The Departments estimate that in 25</w:t>
      </w:r>
      <w:r w:rsidR="00844226">
        <w:t xml:space="preserve"> percent</w:t>
      </w:r>
      <w:r w:rsidRPr="00257092">
        <w:t xml:space="preserve"> of IDR payment determinations, a certified IDR entity will not be selected by the parties.  </w:t>
      </w:r>
    </w:p>
    <w:p w:rsidRPr="00257092" w:rsidR="00257092" w:rsidP="00FD2447" w:rsidRDefault="00257092" w14:paraId="45CCD660" w14:textId="77777777">
      <w:pPr>
        <w:pStyle w:val="Quick1"/>
        <w:numPr>
          <w:ilvl w:val="0"/>
          <w:numId w:val="0"/>
        </w:numPr>
        <w:ind w:left="720"/>
      </w:pPr>
    </w:p>
    <w:p w:rsidRPr="00257092" w:rsidR="00257092" w:rsidP="00FD2447" w:rsidRDefault="00257092" w14:paraId="5E4900DB" w14:textId="26EF7FC7">
      <w:pPr>
        <w:pStyle w:val="Quick1"/>
        <w:numPr>
          <w:ilvl w:val="0"/>
          <w:numId w:val="0"/>
        </w:numPr>
        <w:ind w:left="720"/>
      </w:pPr>
      <w:r w:rsidRPr="00257092">
        <w:t xml:space="preserve">Additionally, no later than 10 business days after the date of selection of the certified IDR entity with respect to a payment determination for a qualified IDR item or service, the provider or facility and the plan or issuer must submit to the certified IDR entity an offer </w:t>
      </w:r>
      <w:r w:rsidRPr="00257092">
        <w:lastRenderedPageBreak/>
        <w:t xml:space="preserve">for a payment amount for the qualified IDR item or service furnished by such provider or facility though the </w:t>
      </w:r>
      <w:r w:rsidR="00687873">
        <w:t>F</w:t>
      </w:r>
      <w:r w:rsidRPr="00257092" w:rsidR="00687873">
        <w:t xml:space="preserve">ederal </w:t>
      </w:r>
      <w:r w:rsidRPr="00257092">
        <w:t xml:space="preserve">IDR portal.  </w:t>
      </w:r>
      <w:r w:rsidR="00C03EF6">
        <w:t>F</w:t>
      </w:r>
      <w:r w:rsidRPr="00257092">
        <w:t xml:space="preserve">or the 17,333 payment determinations that will go through submission of offer, </w:t>
      </w:r>
      <w:r w:rsidR="00C03EF6">
        <w:t>t</w:t>
      </w:r>
      <w:r w:rsidRPr="00257092">
        <w:t>he Departments assume that five percent of notices would be mailed and will incur a printing cost of $0.05 per page and $0.55 for postage.  Thus, the mailing cost is estimated to be $1,040.</w:t>
      </w:r>
      <w:r w:rsidRPr="00257092">
        <w:rPr>
          <w:vertAlign w:val="superscript"/>
        </w:rPr>
        <w:footnoteReference w:id="27"/>
      </w:r>
    </w:p>
    <w:p w:rsidRPr="00257092" w:rsidR="00257092" w:rsidP="00FD2447" w:rsidRDefault="00257092" w14:paraId="31B2C58C" w14:textId="77777777">
      <w:pPr>
        <w:pStyle w:val="Quick1"/>
        <w:numPr>
          <w:ilvl w:val="0"/>
          <w:numId w:val="0"/>
        </w:numPr>
        <w:ind w:left="720"/>
      </w:pPr>
    </w:p>
    <w:p w:rsidRPr="00257092" w:rsidR="00257092" w:rsidP="00FD2447" w:rsidRDefault="00257092" w14:paraId="32516C98" w14:textId="77777777">
      <w:pPr>
        <w:pStyle w:val="Quick1"/>
        <w:numPr>
          <w:ilvl w:val="0"/>
          <w:numId w:val="0"/>
        </w:numPr>
        <w:ind w:left="720"/>
      </w:pPr>
      <w:r w:rsidRPr="00257092">
        <w:t xml:space="preserve">After the selected certified IDR entity has reviewed the offer, </w:t>
      </w:r>
      <w:r w:rsidRPr="00257092" w:rsidDel="00085E48">
        <w:t>t</w:t>
      </w:r>
      <w:r w:rsidRPr="00257092">
        <w:t>he certified IDR entity must notify the provider or facility and the plan, issuer, or FEHB carrier of the payment determination and the reason for such determination, in a form and manner specified by the Departments.</w:t>
      </w:r>
      <w:r w:rsidRPr="00257092">
        <w:rPr>
          <w:vertAlign w:val="superscript"/>
        </w:rPr>
        <w:footnoteReference w:id="28"/>
      </w:r>
      <w:r w:rsidRPr="00257092">
        <w:t xml:space="preserve">  The cost of preparing and delivering this notice is assumed to be included in the certified IDR entity fee paid by the plan or issuer, or provider or facility, to conduct the review.</w:t>
      </w:r>
      <w:r w:rsidRPr="00257092">
        <w:rPr>
          <w:vertAlign w:val="superscript"/>
        </w:rPr>
        <w:footnoteReference w:id="29"/>
      </w:r>
    </w:p>
    <w:p w:rsidRPr="00257092" w:rsidR="00257092" w:rsidP="00FD2447" w:rsidRDefault="00257092" w14:paraId="78BFC9CC" w14:textId="77777777">
      <w:pPr>
        <w:pStyle w:val="Quick1"/>
        <w:numPr>
          <w:ilvl w:val="0"/>
          <w:numId w:val="0"/>
        </w:numPr>
        <w:ind w:left="720"/>
      </w:pPr>
    </w:p>
    <w:p w:rsidRPr="00257092" w:rsidR="00257092" w:rsidP="00FD2447" w:rsidRDefault="00257092" w14:paraId="70AD9B5B" w14:textId="0BE46865">
      <w:pPr>
        <w:pStyle w:val="Quick1"/>
        <w:numPr>
          <w:ilvl w:val="0"/>
          <w:numId w:val="0"/>
        </w:numPr>
        <w:ind w:left="720"/>
      </w:pPr>
      <w:r w:rsidRPr="00257092">
        <w:t xml:space="preserve">If the certified IDR entity does not choose the offer closest to the QPA, the certified IDR entity’s written decision must include an explanation of the credible information that the certified IDR entity determined demonstrated that the QPA </w:t>
      </w:r>
      <w:r w:rsidRPr="00257092">
        <w:rPr>
          <w:iCs/>
        </w:rPr>
        <w:t xml:space="preserve">was materially different </w:t>
      </w:r>
      <w:r w:rsidRPr="00257092">
        <w:t>from the appropriate out-of-network rate, based on the permitted considerations,</w:t>
      </w:r>
      <w:r w:rsidRPr="00257092">
        <w:rPr>
          <w:iCs/>
        </w:rPr>
        <w:t xml:space="preserve"> with respect to the qualified IDR item or service</w:t>
      </w:r>
      <w:r w:rsidRPr="00257092">
        <w:t xml:space="preserve">. </w:t>
      </w:r>
      <w:r w:rsidR="00152104">
        <w:t xml:space="preserve"> </w:t>
      </w:r>
      <w:r w:rsidRPr="00257092">
        <w:t xml:space="preserve">The cost of preparing and delivering this written decision is included in the certified IDR entity fee paid by the provider, facility, plan, issuer, or FEHB carrier.  When determining the out-of-network rate, the certified IDR entity must consider the QPA and must consider the other statutory factors when a party presents credible information relating to those factors clearly demonstrating the </w:t>
      </w:r>
      <w:r w:rsidRPr="00257092">
        <w:rPr>
          <w:iCs/>
        </w:rPr>
        <w:t xml:space="preserve">QPA is materially different </w:t>
      </w:r>
      <w:r w:rsidRPr="00257092">
        <w:t xml:space="preserve">from the appropriate out-of-network rate, or where the </w:t>
      </w:r>
      <w:r w:rsidRPr="00257092">
        <w:rPr>
          <w:iCs/>
        </w:rPr>
        <w:t>offers are equally distant from the QPA but in opposing directions</w:t>
      </w:r>
      <w:r w:rsidRPr="00257092">
        <w:t xml:space="preserve">. </w:t>
      </w:r>
    </w:p>
    <w:p w:rsidRPr="00257092" w:rsidR="00257092" w:rsidP="00FD2447" w:rsidRDefault="00257092" w14:paraId="4F2DE2D3" w14:textId="77777777">
      <w:pPr>
        <w:pStyle w:val="Quick1"/>
        <w:numPr>
          <w:ilvl w:val="0"/>
          <w:numId w:val="0"/>
        </w:numPr>
        <w:ind w:left="720"/>
      </w:pPr>
    </w:p>
    <w:p w:rsidRPr="00257092" w:rsidR="00257092" w:rsidP="00FD2447" w:rsidRDefault="00257092" w14:paraId="2E63A0BB" w14:textId="77777777">
      <w:pPr>
        <w:pStyle w:val="Quick1"/>
        <w:numPr>
          <w:ilvl w:val="0"/>
          <w:numId w:val="0"/>
        </w:numPr>
        <w:ind w:left="720"/>
      </w:pPr>
      <w:r w:rsidRPr="00257092">
        <w:t xml:space="preserve">Additionally, the selected certified IDR entity must provide the payment determination and the reasons for such to the Departments. </w:t>
      </w:r>
      <w:r w:rsidRPr="00257092" w:rsidDel="00247D57">
        <w:t xml:space="preserve"> </w:t>
      </w:r>
      <w:r w:rsidRPr="00257092">
        <w:t xml:space="preserve">The Departments also assume that the cost of preparing and delivering this written decision is included in the certified IDR entity fee paid by the provider, facility, plan, issuer, or FEHB carrier. </w:t>
      </w:r>
    </w:p>
    <w:p w:rsidRPr="00257092" w:rsidR="00257092" w:rsidP="00FD2447" w:rsidRDefault="00257092" w14:paraId="3F19E4E0" w14:textId="77777777">
      <w:pPr>
        <w:pStyle w:val="Quick1"/>
        <w:numPr>
          <w:ilvl w:val="0"/>
          <w:numId w:val="0"/>
        </w:numPr>
        <w:ind w:left="720"/>
      </w:pPr>
    </w:p>
    <w:p w:rsidRPr="00257092" w:rsidR="00257092" w:rsidP="00FD2447" w:rsidRDefault="00257092" w14:paraId="5F6E2F07" w14:textId="2F16B58C">
      <w:pPr>
        <w:pStyle w:val="Quick1"/>
        <w:numPr>
          <w:ilvl w:val="0"/>
          <w:numId w:val="0"/>
        </w:numPr>
        <w:ind w:left="720"/>
      </w:pPr>
      <w:r w:rsidRPr="00257092">
        <w:t xml:space="preserve">After a final determination, the certified IDR entity must maintain records of all claims and notices associated with the </w:t>
      </w:r>
      <w:r w:rsidR="00844226">
        <w:t>F</w:t>
      </w:r>
      <w:r w:rsidRPr="00257092" w:rsidR="00844226">
        <w:t xml:space="preserve">ederal </w:t>
      </w:r>
      <w:r w:rsidRPr="00257092">
        <w:t xml:space="preserve">IDR process for 6 years.  The certified IDR entity must store the documents in a manner necessary to meet the requirements of these interim final rules.  The certified IDR entities must make such records available for examination by the plan, issuer, FEHB carrier, provider, facility, or state or </w:t>
      </w:r>
      <w:r w:rsidR="00B907A0">
        <w:t>F</w:t>
      </w:r>
      <w:r w:rsidRPr="00257092" w:rsidR="00B907A0">
        <w:t xml:space="preserve">ederal </w:t>
      </w:r>
      <w:r w:rsidRPr="00257092">
        <w:t xml:space="preserve">oversight agency upon request, except where such disclosure would violate state or </w:t>
      </w:r>
      <w:r w:rsidR="00B907A0">
        <w:t>F</w:t>
      </w:r>
      <w:r w:rsidRPr="00257092">
        <w:t xml:space="preserve">ederal privacy laws.  </w:t>
      </w:r>
      <w:r w:rsidR="00152104">
        <w:lastRenderedPageBreak/>
        <w:t>F</w:t>
      </w:r>
      <w:r w:rsidRPr="00257092">
        <w:t>or the maintenance and recordkeeping of 17,333 claims, the annual</w:t>
      </w:r>
      <w:r w:rsidR="00F77C89">
        <w:t xml:space="preserve"> cost</w:t>
      </w:r>
      <w:r w:rsidRPr="00257092">
        <w:t xml:space="preserve"> burden would be $0.5 million.</w:t>
      </w:r>
      <w:r w:rsidRPr="00257092">
        <w:rPr>
          <w:vertAlign w:val="superscript"/>
        </w:rPr>
        <w:footnoteReference w:id="30"/>
      </w:r>
    </w:p>
    <w:p w:rsidRPr="00257092" w:rsidR="00257092" w:rsidP="00FD2447" w:rsidRDefault="00257092" w14:paraId="210F0E97" w14:textId="77777777">
      <w:pPr>
        <w:pStyle w:val="Quick1"/>
        <w:numPr>
          <w:ilvl w:val="0"/>
          <w:numId w:val="0"/>
        </w:numPr>
        <w:ind w:left="720"/>
      </w:pPr>
    </w:p>
    <w:p w:rsidRPr="00257092" w:rsidR="00257092" w:rsidP="00FD2447" w:rsidRDefault="00257092" w14:paraId="59AF71AC" w14:textId="77777777">
      <w:pPr>
        <w:pStyle w:val="Quick1"/>
        <w:numPr>
          <w:ilvl w:val="0"/>
          <w:numId w:val="0"/>
        </w:numPr>
        <w:ind w:left="720"/>
        <w:rPr>
          <w:i/>
        </w:rPr>
      </w:pPr>
      <w:r w:rsidRPr="00257092">
        <w:rPr>
          <w:i/>
        </w:rPr>
        <w:t>Summary</w:t>
      </w:r>
    </w:p>
    <w:p w:rsidRPr="00257092" w:rsidR="00257092" w:rsidP="00FD2447" w:rsidRDefault="00257092" w14:paraId="3AA8C3E1" w14:textId="77777777">
      <w:pPr>
        <w:pStyle w:val="Quick1"/>
        <w:numPr>
          <w:ilvl w:val="0"/>
          <w:numId w:val="0"/>
        </w:numPr>
        <w:ind w:left="720"/>
        <w:rPr>
          <w:i/>
        </w:rPr>
      </w:pPr>
    </w:p>
    <w:p w:rsidRPr="00257092" w:rsidR="00257092" w:rsidP="00FD2447" w:rsidRDefault="00257092" w14:paraId="776F53E5" w14:textId="338E7FD2">
      <w:pPr>
        <w:pStyle w:val="Quick1"/>
        <w:numPr>
          <w:ilvl w:val="0"/>
          <w:numId w:val="0"/>
        </w:numPr>
        <w:ind w:left="720"/>
      </w:pPr>
      <w:r w:rsidRPr="00257092">
        <w:t xml:space="preserve">The total cost associated with the </w:t>
      </w:r>
      <w:r w:rsidR="00844226">
        <w:t>F</w:t>
      </w:r>
      <w:r w:rsidRPr="00257092">
        <w:t xml:space="preserve">ederal IDR process for hospital and emergency claims is $481,294. </w:t>
      </w:r>
    </w:p>
    <w:p w:rsidRPr="00257092" w:rsidR="00257092" w:rsidP="00485B1A" w:rsidRDefault="00257092" w14:paraId="04F26B23" w14:textId="77777777">
      <w:pPr>
        <w:pStyle w:val="Quick1"/>
        <w:numPr>
          <w:ilvl w:val="0"/>
          <w:numId w:val="0"/>
        </w:numPr>
        <w:ind w:left="1440"/>
      </w:pPr>
    </w:p>
    <w:p w:rsidRPr="00257092" w:rsidR="00257092" w:rsidP="00485B1A" w:rsidRDefault="00257092" w14:paraId="6304C367" w14:textId="7AE5C839">
      <w:pPr>
        <w:pStyle w:val="Quick1"/>
        <w:numPr>
          <w:ilvl w:val="0"/>
          <w:numId w:val="0"/>
        </w:numPr>
        <w:ind w:left="720"/>
      </w:pPr>
      <w:r w:rsidRPr="00257092">
        <w:t xml:space="preserve">Half of the burden associated with the </w:t>
      </w:r>
      <w:r w:rsidR="00C73477">
        <w:t>F</w:t>
      </w:r>
      <w:r w:rsidRPr="00257092" w:rsidR="00C73477">
        <w:t xml:space="preserve">ederal </w:t>
      </w:r>
      <w:r w:rsidRPr="00257092">
        <w:t>IDR process for hospital and emergency departments is estimated to be allocated to health care plans, issuers, and FEHB carriers, and the other half is estimated be allocated to health care providers and facilities.  HHS, DOL, the Department of the Treasury, and OPM share jurisdiction, HHS will account for 45</w:t>
      </w:r>
      <w:r w:rsidR="00844226">
        <w:t xml:space="preserve"> percent</w:t>
      </w:r>
      <w:r w:rsidRPr="00257092">
        <w:t xml:space="preserve"> of the burden.  DOL and the Department of the Treasury will each account for 25 percent of the burden.  OPM will account for 5 percent of the burden</w:t>
      </w:r>
      <w:r w:rsidR="00925141">
        <w:t>.</w:t>
      </w:r>
    </w:p>
    <w:p w:rsidRPr="00257092" w:rsidR="00257092" w:rsidP="00485B1A" w:rsidRDefault="00257092" w14:paraId="48C92E45" w14:textId="77777777">
      <w:pPr>
        <w:pStyle w:val="Quick1"/>
        <w:numPr>
          <w:ilvl w:val="0"/>
          <w:numId w:val="0"/>
        </w:numPr>
        <w:ind w:left="720"/>
      </w:pPr>
    </w:p>
    <w:p w:rsidRPr="00257092" w:rsidR="00257092" w:rsidP="00485B1A" w:rsidRDefault="00925141" w14:paraId="6900DD76" w14:textId="352B4B6E">
      <w:pPr>
        <w:pStyle w:val="Quick1"/>
        <w:numPr>
          <w:ilvl w:val="0"/>
          <w:numId w:val="0"/>
        </w:numPr>
        <w:ind w:left="720"/>
      </w:pPr>
      <w:r w:rsidRPr="00925141">
        <w:t>The total cost burden associated with DOL requirements is estimated to be $120,324</w:t>
      </w:r>
      <w:r w:rsidR="00624B77">
        <w:t xml:space="preserve">.  </w:t>
      </w:r>
      <w:r w:rsidRPr="00257092" w:rsidR="00257092">
        <w:t xml:space="preserve">During the first six months, the </w:t>
      </w:r>
      <w:r w:rsidR="00A23D64">
        <w:t>cost burden</w:t>
      </w:r>
      <w:r w:rsidRPr="00257092" w:rsidR="00257092">
        <w:t xml:space="preserve"> associated with DOL requirements is approximately </w:t>
      </w:r>
      <w:r w:rsidR="00381FF2">
        <w:t>$60,162</w:t>
      </w:r>
      <w:r w:rsidRPr="00257092" w:rsidR="00414A2B">
        <w:t xml:space="preserve">.  </w:t>
      </w:r>
    </w:p>
    <w:p w:rsidR="00621527" w:rsidP="00621527" w:rsidRDefault="00621527" w14:paraId="158C33BE" w14:textId="77777777">
      <w:pPr>
        <w:pStyle w:val="Quick1"/>
        <w:numPr>
          <w:ilvl w:val="0"/>
          <w:numId w:val="0"/>
        </w:numPr>
        <w:ind w:left="720"/>
      </w:pPr>
    </w:p>
    <w:p w:rsidRPr="00CB52B7" w:rsidR="00621527" w:rsidP="00621527" w:rsidRDefault="00621527" w14:paraId="3EA9C2C9" w14:textId="77777777">
      <w:pPr>
        <w:pStyle w:val="Quick1"/>
        <w:numPr>
          <w:ilvl w:val="0"/>
          <w:numId w:val="0"/>
        </w:numPr>
        <w:ind w:left="720"/>
        <w:rPr>
          <w:b/>
          <w:u w:val="single"/>
        </w:rPr>
      </w:pPr>
      <w:r w:rsidRPr="00CB52B7">
        <w:rPr>
          <w:b/>
          <w:i/>
          <w:u w:val="single"/>
        </w:rPr>
        <w:t>Federal IDR Process for Air Ambulance</w:t>
      </w:r>
    </w:p>
    <w:p w:rsidR="00621527" w:rsidP="00CB52B7" w:rsidRDefault="00621527" w14:paraId="11A26CCB" w14:textId="77777777">
      <w:pPr>
        <w:pStyle w:val="Quick1"/>
        <w:numPr>
          <w:ilvl w:val="0"/>
          <w:numId w:val="0"/>
        </w:numPr>
        <w:ind w:left="1440"/>
      </w:pPr>
    </w:p>
    <w:p w:rsidRPr="00257092" w:rsidR="00257092" w:rsidP="00CB52B7" w:rsidRDefault="00257092" w14:paraId="7590A4BE" w14:textId="4A7B939F">
      <w:pPr>
        <w:pStyle w:val="Quick1"/>
        <w:numPr>
          <w:ilvl w:val="0"/>
          <w:numId w:val="0"/>
        </w:numPr>
        <w:ind w:left="720"/>
      </w:pPr>
      <w:r w:rsidRPr="00257092">
        <w:t>Th</w:t>
      </w:r>
      <w:r w:rsidR="00796D45">
        <w:t>e</w:t>
      </w:r>
      <w:r w:rsidRPr="00257092">
        <w:t xml:space="preserve"> Departments estimate that 6,532 transport payment determinations will</w:t>
      </w:r>
      <w:r w:rsidRPr="00257092" w:rsidDel="00E24D8A">
        <w:t xml:space="preserve"> </w:t>
      </w:r>
      <w:r w:rsidRPr="00257092">
        <w:t>enter into open negotiation.</w:t>
      </w:r>
      <w:r w:rsidRPr="00257092">
        <w:rPr>
          <w:vertAlign w:val="superscript"/>
        </w:rPr>
        <w:footnoteReference w:id="31"/>
      </w:r>
      <w:r w:rsidRPr="00257092">
        <w:t xml:space="preserve">  The open negotiation notice must be sent within 30 business days beginning on the day the provider of air ambulance services receives an initial payment or a notice of denial of payment from the plan, issuer, or FEHB carrier regarding such item or service.  The Departments assume that five percent of notices would be mailed and will incur a printing cost of $0.05 per page and $0.55 for postage.  Thus, the mailing cost is estimated to be $196.</w:t>
      </w:r>
      <w:r w:rsidRPr="00257092">
        <w:rPr>
          <w:vertAlign w:val="superscript"/>
        </w:rPr>
        <w:footnoteReference w:id="32"/>
      </w:r>
    </w:p>
    <w:p w:rsidRPr="00257092" w:rsidR="00257092" w:rsidP="00CB52B7" w:rsidRDefault="00257092" w14:paraId="490D05F5" w14:textId="77777777">
      <w:pPr>
        <w:pStyle w:val="Quick1"/>
        <w:numPr>
          <w:ilvl w:val="0"/>
          <w:numId w:val="0"/>
        </w:numPr>
        <w:ind w:left="720"/>
      </w:pPr>
    </w:p>
    <w:p w:rsidRPr="00257092" w:rsidR="00257092" w:rsidP="00CB52B7" w:rsidRDefault="00357D44" w14:paraId="13AA6871" w14:textId="5C3F20ED">
      <w:pPr>
        <w:pStyle w:val="Quick1"/>
        <w:numPr>
          <w:ilvl w:val="0"/>
          <w:numId w:val="0"/>
        </w:numPr>
        <w:ind w:left="720"/>
      </w:pPr>
      <w:r w:rsidRPr="00642265">
        <w:t xml:space="preserve">When the parties do not reach an agreed upon amount for the out-of-network rate by the last day of the open negotiation period, either party may initiate the </w:t>
      </w:r>
      <w:r w:rsidR="00517A06">
        <w:t>F</w:t>
      </w:r>
      <w:r w:rsidRPr="00642265">
        <w:t>ederal IDR process by submitting the Notice of IDR Initiation to the other party and to the Departments during the 4-business day period beginning on the 31st business day after the start of the open negotiation period</w:t>
      </w:r>
      <w:r>
        <w:t xml:space="preserve">.  </w:t>
      </w:r>
      <w:r w:rsidRPr="00257092" w:rsidR="00257092">
        <w:t xml:space="preserve">The initiating party may furnish the Notice of IDR Initiation to the other party electronically if the initiating party has a good faith belief that the </w:t>
      </w:r>
      <w:r w:rsidRPr="00257092" w:rsidR="00257092">
        <w:lastRenderedPageBreak/>
        <w:t>electronic method is readily accessible by the other party and the notice is provided in paper form free of charge upon request.  The Departments assume that five percent of notices would be mailed and will incur a printing cost of $0.05 per page and $0.55 for postage.  Thus, the mailing cost is estimated to be $147.</w:t>
      </w:r>
      <w:r w:rsidRPr="00257092" w:rsidR="00257092">
        <w:rPr>
          <w:vertAlign w:val="superscript"/>
        </w:rPr>
        <w:footnoteReference w:id="33"/>
      </w:r>
    </w:p>
    <w:p w:rsidRPr="00257092" w:rsidR="00257092" w:rsidP="00CB52B7" w:rsidRDefault="00257092" w14:paraId="0B7561C3" w14:textId="77777777">
      <w:pPr>
        <w:pStyle w:val="Quick1"/>
        <w:numPr>
          <w:ilvl w:val="0"/>
          <w:numId w:val="0"/>
        </w:numPr>
        <w:ind w:left="720"/>
      </w:pPr>
    </w:p>
    <w:p w:rsidRPr="00257092" w:rsidR="00257092" w:rsidP="00CB52B7" w:rsidRDefault="00257092" w14:paraId="6A162083" w14:textId="12E024EE">
      <w:pPr>
        <w:pStyle w:val="Quick1"/>
        <w:numPr>
          <w:ilvl w:val="0"/>
          <w:numId w:val="0"/>
        </w:numPr>
        <w:ind w:left="720"/>
      </w:pPr>
      <w:r w:rsidRPr="00257092">
        <w:t>If the plan, issuer, or FEHB carrier and the nonparticipating provider of air ambulance services select or fail to select a certified IDR entity, they must notify the Departments of their selection or failure to select a certified IDR entity no later than 1 day after such selection or failure.  The Departments estimate that in 75</w:t>
      </w:r>
      <w:r w:rsidR="00844226">
        <w:t xml:space="preserve"> percent</w:t>
      </w:r>
      <w:r w:rsidRPr="00257092">
        <w:t xml:space="preserve"> of payment determinations, a certified IDR entity will be selected.  Due to the tight turnaround, the Departments assume this notice will be sent electronically through the </w:t>
      </w:r>
      <w:r w:rsidR="00EE5B5D">
        <w:t>F</w:t>
      </w:r>
      <w:r w:rsidRPr="00257092">
        <w:t xml:space="preserve">ederal IDR portal.  </w:t>
      </w:r>
      <w:r w:rsidR="00F047A8">
        <w:t>F</w:t>
      </w:r>
      <w:r w:rsidRPr="00257092">
        <w:t xml:space="preserve">or the 3,674 payment determinations that will have a selected a certified IDR entity, </w:t>
      </w:r>
      <w:r w:rsidR="00F047A8">
        <w:t>t</w:t>
      </w:r>
      <w:r w:rsidRPr="00257092">
        <w:t>he Departments assume that five percent of notices would be mailed and will incur a printing cost of $0.05 per page and $0.55 for postage.  Thus, the mailing cost is estimated to be $110.</w:t>
      </w:r>
      <w:r w:rsidRPr="00257092">
        <w:rPr>
          <w:vertAlign w:val="superscript"/>
        </w:rPr>
        <w:footnoteReference w:id="34"/>
      </w:r>
    </w:p>
    <w:p w:rsidRPr="00257092" w:rsidR="00257092" w:rsidP="00CB52B7" w:rsidRDefault="00257092" w14:paraId="6DEA29BD" w14:textId="77777777">
      <w:pPr>
        <w:pStyle w:val="Quick1"/>
        <w:numPr>
          <w:ilvl w:val="0"/>
          <w:numId w:val="0"/>
        </w:numPr>
        <w:ind w:left="720"/>
      </w:pPr>
    </w:p>
    <w:p w:rsidRPr="00257092" w:rsidR="00257092" w:rsidP="00CB52B7" w:rsidRDefault="00257092" w14:paraId="4B5023EE" w14:textId="3BF57B87">
      <w:pPr>
        <w:pStyle w:val="Quick1"/>
        <w:numPr>
          <w:ilvl w:val="0"/>
          <w:numId w:val="0"/>
        </w:numPr>
        <w:ind w:left="720"/>
      </w:pPr>
      <w:r w:rsidRPr="00257092">
        <w:t>If the plan, issuer, or FEHB carrier and the nonparticipating provider of air ambulance services fail to select a certified IDR entity, the Departments will select a certified IDR entity that charges a fee within the allowed range of certified IDR</w:t>
      </w:r>
      <w:r w:rsidRPr="00257092" w:rsidDel="004B237E">
        <w:t xml:space="preserve"> entity </w:t>
      </w:r>
      <w:r w:rsidRPr="00257092">
        <w:t>costs (or has received approval from the Departments to charge a fee outside of the allowed range) through a random selection method.  The range of certified IDR entity fees and the administrative fee paid to the Departments by the plan, issuer, or FEHB carrier and the provider of air ambulance services will be addressed in later guidance by the Departments.  The Departments estimate that in 25</w:t>
      </w:r>
      <w:r w:rsidR="00844226">
        <w:t xml:space="preserve"> percent</w:t>
      </w:r>
      <w:r w:rsidRPr="00257092">
        <w:t xml:space="preserve"> of IDR payment determinations, a certified IDR entity will not be selected by the parties.  </w:t>
      </w:r>
    </w:p>
    <w:p w:rsidRPr="00257092" w:rsidR="00257092" w:rsidP="00CB52B7" w:rsidRDefault="00257092" w14:paraId="5C7F4D6E" w14:textId="77777777">
      <w:pPr>
        <w:pStyle w:val="Quick1"/>
        <w:numPr>
          <w:ilvl w:val="0"/>
          <w:numId w:val="0"/>
        </w:numPr>
        <w:ind w:left="720"/>
      </w:pPr>
    </w:p>
    <w:p w:rsidRPr="00257092" w:rsidR="00257092" w:rsidP="00CB52B7" w:rsidRDefault="00257092" w14:paraId="1ACA6B5A" w14:textId="72C75C05">
      <w:pPr>
        <w:pStyle w:val="Quick1"/>
        <w:numPr>
          <w:ilvl w:val="0"/>
          <w:numId w:val="0"/>
        </w:numPr>
        <w:ind w:left="720"/>
      </w:pPr>
      <w:r w:rsidRPr="00257092">
        <w:t xml:space="preserve">Additionally, no later than 10 business days after the date of selection of the certified IDR entity with respect to a determination for a qualified IDR item or service, the provider of air ambulance services, plan, issuer, or FEHB carrier must submit to the certified IDR entity: (1) an offer for a payment amount for the qualified IDR item or service furnished by the provider of air ambulance services, expressed both as a dollar amount and as a percentage of the QPA; and (2) information as requested by the certified IDR entity relating to the offer. With the information requested by the certified IDR entity, the parties must include: (A) the coverage area of the plan, issuer, or FEHB carrier; the relevant geographic region for purposes of the QPA; (B) whether the coverage is fully-insured self-insured, or mixed funded), if applicable; and (C) the QPA. </w:t>
      </w:r>
      <w:r w:rsidR="00B8700D">
        <w:t xml:space="preserve"> </w:t>
      </w:r>
      <w:r w:rsidRPr="00257092">
        <w:t xml:space="preserve">The parties may also submit to the certified IDR entity any information relating to the offer submitted by either party, except that the information may not include information on factors described </w:t>
      </w:r>
      <w:r w:rsidRPr="00257092">
        <w:lastRenderedPageBreak/>
        <w:t xml:space="preserve">in paragraph 26 CFR 54.9816-8T(c)(4)(v), 29 CFR 2590.716-8(c)(4)(v), and 45 CFR 149.510(c)(4)(v).  </w:t>
      </w:r>
      <w:r w:rsidR="00937C86">
        <w:t>F</w:t>
      </w:r>
      <w:r w:rsidRPr="00257092">
        <w:t xml:space="preserve">or the 4,899 claims that will go through submission of offers, </w:t>
      </w:r>
      <w:r w:rsidR="00937C86">
        <w:t>t</w:t>
      </w:r>
      <w:r w:rsidRPr="00257092">
        <w:t>he Departments assume that five percent of notices would be mailed and will incur a printing cost of $0.05 per page and $0.55 for postage.  Thus, the mailing cost is estimated to be $294.</w:t>
      </w:r>
      <w:r w:rsidRPr="00257092">
        <w:rPr>
          <w:vertAlign w:val="superscript"/>
        </w:rPr>
        <w:footnoteReference w:id="35"/>
      </w:r>
    </w:p>
    <w:p w:rsidRPr="00257092" w:rsidR="00257092" w:rsidP="00CB52B7" w:rsidRDefault="00257092" w14:paraId="62850EDF" w14:textId="77777777">
      <w:pPr>
        <w:pStyle w:val="Quick1"/>
        <w:numPr>
          <w:ilvl w:val="0"/>
          <w:numId w:val="0"/>
        </w:numPr>
        <w:ind w:left="720"/>
      </w:pPr>
    </w:p>
    <w:p w:rsidRPr="00257092" w:rsidR="00257092" w:rsidP="00CB52B7" w:rsidRDefault="00257092" w14:paraId="25985D2D" w14:textId="77777777">
      <w:pPr>
        <w:pStyle w:val="Quick1"/>
        <w:numPr>
          <w:ilvl w:val="0"/>
          <w:numId w:val="0"/>
        </w:numPr>
        <w:ind w:left="720"/>
      </w:pPr>
      <w:r w:rsidRPr="00257092">
        <w:t>After the certified IDR entity has reviewed the offer, the certified IDR entity must notify the provider of air ambulance services and the plan, issuer, or FEHB carrier of the payment determination.</w:t>
      </w:r>
      <w:r w:rsidRPr="00257092">
        <w:rPr>
          <w:vertAlign w:val="superscript"/>
        </w:rPr>
        <w:footnoteReference w:id="36"/>
      </w:r>
      <w:r w:rsidRPr="00257092">
        <w:t xml:space="preserve">  The cost of preparing and delivering this notice is included in the $25 administrative fee paid by the provider of air ambulance services, plan, issuer, or FEHB carrier to conduct the review.</w:t>
      </w:r>
    </w:p>
    <w:p w:rsidRPr="00257092" w:rsidR="00257092" w:rsidP="00CB52B7" w:rsidRDefault="00257092" w14:paraId="613B4ADB" w14:textId="77777777">
      <w:pPr>
        <w:pStyle w:val="Quick1"/>
        <w:numPr>
          <w:ilvl w:val="0"/>
          <w:numId w:val="0"/>
        </w:numPr>
        <w:ind w:left="720"/>
      </w:pPr>
    </w:p>
    <w:p w:rsidRPr="00257092" w:rsidR="00257092" w:rsidP="00CB52B7" w:rsidRDefault="00257092" w14:paraId="3AB3A6A6" w14:textId="77777777">
      <w:pPr>
        <w:pStyle w:val="Quick1"/>
        <w:numPr>
          <w:ilvl w:val="0"/>
          <w:numId w:val="0"/>
        </w:numPr>
        <w:ind w:left="720"/>
      </w:pPr>
      <w:r w:rsidRPr="00257092">
        <w:t xml:space="preserve">Certified IDR entities also need to notify the provider of air ambulance services and the plan, issuer, or FEHB carrier of the payment determination and </w:t>
      </w:r>
      <w:r w:rsidRPr="00257092" w:rsidDel="00D866D6">
        <w:t xml:space="preserve">the </w:t>
      </w:r>
      <w:r w:rsidRPr="00257092">
        <w:t xml:space="preserve">written decision explaining such determination.  If the certified IDR entity does not choose the offer closest to the QPA, the certified IDR entity’s written decision must include an explanation of the credible information that the certified IDR entity determined demonstrated that the QPA amount </w:t>
      </w:r>
      <w:r w:rsidRPr="00257092">
        <w:rPr>
          <w:iCs/>
        </w:rPr>
        <w:t xml:space="preserve">was materially different </w:t>
      </w:r>
      <w:r w:rsidRPr="00257092">
        <w:t>from the appropriate out-of-network rate, based on the required considerations,</w:t>
      </w:r>
      <w:r w:rsidRPr="00257092">
        <w:rPr>
          <w:iCs/>
        </w:rPr>
        <w:t xml:space="preserve"> with respect to the qualified IDR item or service</w:t>
      </w:r>
      <w:r w:rsidRPr="00257092">
        <w:t xml:space="preserve">.  </w:t>
      </w:r>
    </w:p>
    <w:p w:rsidRPr="00257092" w:rsidR="00257092" w:rsidP="00CB52B7" w:rsidRDefault="00257092" w14:paraId="190D0825" w14:textId="77777777">
      <w:pPr>
        <w:pStyle w:val="Quick1"/>
        <w:numPr>
          <w:ilvl w:val="0"/>
          <w:numId w:val="0"/>
        </w:numPr>
        <w:ind w:left="720"/>
      </w:pPr>
    </w:p>
    <w:p w:rsidRPr="00257092" w:rsidR="00257092" w:rsidP="00CB52B7" w:rsidRDefault="00257092" w14:paraId="23FE451E" w14:textId="77777777">
      <w:pPr>
        <w:pStyle w:val="Quick1"/>
        <w:numPr>
          <w:ilvl w:val="0"/>
          <w:numId w:val="0"/>
        </w:numPr>
        <w:ind w:left="720"/>
      </w:pPr>
      <w:r w:rsidRPr="00257092">
        <w:t>Additionally, the certified IDR entity must provide the payment determination and the reasons for such determination to the Departments.  The Departments also assume that the cost of preparing and delivering this written decision is included in the certified IDR entity fee paid by the provider of air ambulance services, plan, issuer, or FEHB carrier.</w:t>
      </w:r>
    </w:p>
    <w:p w:rsidRPr="00257092" w:rsidR="00257092" w:rsidP="00CB52B7" w:rsidRDefault="00257092" w14:paraId="6CAE42EC" w14:textId="5AF992DE">
      <w:pPr>
        <w:pStyle w:val="Quick1"/>
        <w:numPr>
          <w:ilvl w:val="0"/>
          <w:numId w:val="0"/>
        </w:numPr>
        <w:ind w:left="720"/>
      </w:pPr>
      <w:r w:rsidRPr="00257092">
        <w:t xml:space="preserve">After a final determination, the certified IDR entity must maintain records of all claims and notices associated with the </w:t>
      </w:r>
      <w:r w:rsidR="00844226">
        <w:t>F</w:t>
      </w:r>
      <w:r w:rsidRPr="00257092" w:rsidR="00844226">
        <w:t xml:space="preserve">ederal </w:t>
      </w:r>
      <w:r w:rsidRPr="00257092">
        <w:t xml:space="preserve">IDR process for 6 years.  The certified IDR entity must make such records available for examination by the plan, issuer, FEHB carrier, provider of air ambulance services, or state or </w:t>
      </w:r>
      <w:r w:rsidR="00844226">
        <w:t>F</w:t>
      </w:r>
      <w:r w:rsidRPr="00257092">
        <w:t xml:space="preserve">ederal oversight agency upon request, except where such disclosure would violate state or </w:t>
      </w:r>
      <w:r w:rsidR="00EE5B5D">
        <w:t>F</w:t>
      </w:r>
      <w:r w:rsidRPr="00257092">
        <w:t xml:space="preserve">ederal privacy laws.  The Departments assume it will take 30 minutes for a clerical worker to establish the records for each determination under the </w:t>
      </w:r>
      <w:r w:rsidR="00844226">
        <w:t>F</w:t>
      </w:r>
      <w:r w:rsidRPr="00257092">
        <w:t>ederal IDR process necessary to meet the requirements.  The cost burden for each certified IDR entity</w:t>
      </w:r>
      <w:r w:rsidRPr="00257092" w:rsidDel="00951537">
        <w:t xml:space="preserve"> </w:t>
      </w:r>
      <w:r w:rsidRPr="00257092">
        <w:t xml:space="preserve">would be 30 minutes, with an equivalent cost of approximately $28.  </w:t>
      </w:r>
      <w:r w:rsidR="00C66787">
        <w:t>F</w:t>
      </w:r>
      <w:r w:rsidRPr="00257092">
        <w:t>or the maintenance and recordkeeping of 4,899 claims, the annual</w:t>
      </w:r>
      <w:r w:rsidR="00C66787">
        <w:t xml:space="preserve"> cost</w:t>
      </w:r>
      <w:r w:rsidRPr="00257092">
        <w:t xml:space="preserve"> burden would be $0.1 million.</w:t>
      </w:r>
      <w:r w:rsidRPr="00257092">
        <w:rPr>
          <w:vertAlign w:val="superscript"/>
        </w:rPr>
        <w:footnoteReference w:id="37"/>
      </w:r>
    </w:p>
    <w:p w:rsidRPr="00257092" w:rsidR="00257092" w:rsidP="00CB52B7" w:rsidRDefault="00257092" w14:paraId="744A4C52" w14:textId="77777777">
      <w:pPr>
        <w:pStyle w:val="Quick1"/>
        <w:numPr>
          <w:ilvl w:val="0"/>
          <w:numId w:val="0"/>
        </w:numPr>
        <w:ind w:left="720"/>
      </w:pPr>
    </w:p>
    <w:p w:rsidRPr="00257092" w:rsidR="00257092" w:rsidP="00CB52B7" w:rsidRDefault="00257092" w14:paraId="615ED7E7" w14:textId="77777777">
      <w:pPr>
        <w:pStyle w:val="Quick1"/>
        <w:numPr>
          <w:ilvl w:val="0"/>
          <w:numId w:val="0"/>
        </w:numPr>
        <w:ind w:left="720"/>
        <w:rPr>
          <w:i/>
        </w:rPr>
      </w:pPr>
      <w:r w:rsidRPr="00257092">
        <w:rPr>
          <w:i/>
        </w:rPr>
        <w:lastRenderedPageBreak/>
        <w:t>Summary</w:t>
      </w:r>
    </w:p>
    <w:p w:rsidRPr="00257092" w:rsidR="00257092" w:rsidP="00CB52B7" w:rsidRDefault="00257092" w14:paraId="0E8DAB56" w14:textId="77777777">
      <w:pPr>
        <w:pStyle w:val="Quick1"/>
        <w:numPr>
          <w:ilvl w:val="0"/>
          <w:numId w:val="0"/>
        </w:numPr>
        <w:ind w:left="720"/>
      </w:pPr>
    </w:p>
    <w:p w:rsidR="00487368" w:rsidP="00CB52B7" w:rsidRDefault="00257092" w14:paraId="681B5F9F" w14:textId="3FA536EE">
      <w:pPr>
        <w:pStyle w:val="Quick1"/>
        <w:numPr>
          <w:ilvl w:val="0"/>
          <w:numId w:val="0"/>
        </w:numPr>
        <w:ind w:left="720"/>
      </w:pPr>
      <w:r w:rsidRPr="00257092">
        <w:t xml:space="preserve">The total cost burden associated with the </w:t>
      </w:r>
      <w:r w:rsidR="00844226">
        <w:t>F</w:t>
      </w:r>
      <w:r w:rsidRPr="00257092">
        <w:t xml:space="preserve">ederal IDR process for air ambulance services is $136,025.  Half of the burden associated with the </w:t>
      </w:r>
      <w:r w:rsidR="00844226">
        <w:t>F</w:t>
      </w:r>
      <w:r w:rsidRPr="00257092">
        <w:t xml:space="preserve">ederal IDR process for air ambulance services is estimated to be allocated to health plans, issuers, or TPAs, and the other half is estimated be allocated to health care providers.  The burden associated with the </w:t>
      </w:r>
      <w:r w:rsidR="00B31462">
        <w:t>F</w:t>
      </w:r>
      <w:r w:rsidRPr="00257092">
        <w:t>ederal IDR process for air ambulance services is assumed to be shared by the Departments and OPM.  HHS is assumed to cover 45</w:t>
      </w:r>
      <w:r w:rsidR="00524501">
        <w:t xml:space="preserve"> percent</w:t>
      </w:r>
      <w:r w:rsidRPr="00257092">
        <w:t xml:space="preserve"> of the burden, while DOL and the Department of the Treasury will each cover 25</w:t>
      </w:r>
      <w:r w:rsidR="00524501">
        <w:t xml:space="preserve"> percent</w:t>
      </w:r>
      <w:r w:rsidRPr="00257092">
        <w:t xml:space="preserve"> of the burden and OPM will cover 5</w:t>
      </w:r>
      <w:r w:rsidR="00B31462">
        <w:t xml:space="preserve"> percent</w:t>
      </w:r>
      <w:r w:rsidRPr="00257092">
        <w:t xml:space="preserve"> of the burden. </w:t>
      </w:r>
    </w:p>
    <w:p w:rsidR="00487368" w:rsidP="00CB52B7" w:rsidRDefault="00487368" w14:paraId="167B3978" w14:textId="77777777">
      <w:pPr>
        <w:pStyle w:val="Quick1"/>
        <w:numPr>
          <w:ilvl w:val="0"/>
          <w:numId w:val="0"/>
        </w:numPr>
        <w:ind w:left="720"/>
      </w:pPr>
    </w:p>
    <w:p w:rsidRPr="00B779C9" w:rsidR="00B779C9" w:rsidP="00CB52B7" w:rsidRDefault="00257092" w14:paraId="298FBC27" w14:textId="73733AC1">
      <w:pPr>
        <w:pStyle w:val="Quick1"/>
        <w:numPr>
          <w:ilvl w:val="0"/>
          <w:numId w:val="0"/>
        </w:numPr>
        <w:ind w:left="720"/>
      </w:pPr>
      <w:r w:rsidRPr="00257092">
        <w:t>The total cost burden associated with DOL requirement</w:t>
      </w:r>
      <w:r w:rsidR="00487368">
        <w:t>s</w:t>
      </w:r>
      <w:r w:rsidRPr="00257092">
        <w:t xml:space="preserve"> is estimated to be $34,006</w:t>
      </w:r>
      <w:r w:rsidR="00FA30B7">
        <w:t xml:space="preserve">.  </w:t>
      </w:r>
      <w:r w:rsidRPr="00B779C9" w:rsidR="00B779C9">
        <w:t xml:space="preserve">During the first six months, the cost burden associated with DOL requirements is approximately </w:t>
      </w:r>
      <w:r w:rsidR="00566F10">
        <w:t>$17,003</w:t>
      </w:r>
      <w:r w:rsidRPr="00B779C9" w:rsidR="00B779C9">
        <w:t xml:space="preserve">.  </w:t>
      </w:r>
    </w:p>
    <w:p w:rsidR="008C0BA0" w:rsidP="00621527" w:rsidRDefault="008C0BA0" w14:paraId="0843F97A" w14:textId="77777777">
      <w:pPr>
        <w:pStyle w:val="Quick1"/>
        <w:numPr>
          <w:ilvl w:val="0"/>
          <w:numId w:val="0"/>
        </w:numPr>
      </w:pPr>
    </w:p>
    <w:p w:rsidRPr="00475C9E" w:rsidR="00257092" w:rsidP="00257092" w:rsidRDefault="00257092" w14:paraId="715C47B5" w14:textId="5DAC9B57">
      <w:pPr>
        <w:ind w:left="720"/>
        <w:rPr>
          <w:b/>
          <w:i/>
          <w:u w:val="single"/>
        </w:rPr>
      </w:pPr>
      <w:r w:rsidRPr="00475C9E">
        <w:rPr>
          <w:b/>
          <w:i/>
          <w:u w:val="single"/>
        </w:rPr>
        <w:t>Request of Extension of Time Periods for Extenuating Circumstances</w:t>
      </w:r>
    </w:p>
    <w:p w:rsidRPr="00F57116" w:rsidR="00257092" w:rsidP="00257092" w:rsidRDefault="00257092" w14:paraId="7C37E974" w14:textId="77777777">
      <w:pPr>
        <w:ind w:left="720"/>
        <w:rPr>
          <w:i/>
        </w:rPr>
      </w:pPr>
    </w:p>
    <w:p w:rsidR="00257092" w:rsidP="00257092" w:rsidRDefault="00257092" w14:paraId="08040D57" w14:textId="40392D8A">
      <w:pPr>
        <w:ind w:left="720"/>
      </w:pPr>
      <w:r w:rsidRPr="004B6A21">
        <w:t xml:space="preserve">The Departments assume that 100 plans, issuers, FEHB carriers, </w:t>
      </w:r>
      <w:r w:rsidR="00071A10">
        <w:t xml:space="preserve">health care or air ambulance service </w:t>
      </w:r>
      <w:r w:rsidRPr="004B6A21">
        <w:t xml:space="preserve">providers, or facilities will annually request an extension starting in 2022 by completing the “Request for Extension due to Extenuating Circumstances” form and attesting that prompt action will be taken to ensure the payment determination under this section is made as soon as administratively practical.  The Departments expect these requests to be submitted through the </w:t>
      </w:r>
      <w:r w:rsidR="00B31462">
        <w:t>F</w:t>
      </w:r>
      <w:r w:rsidRPr="004B6A21">
        <w:t>ederal IDR portal, and therefore have not estimated an associated mailing cost.</w:t>
      </w:r>
    </w:p>
    <w:p w:rsidRPr="00475C9E" w:rsidR="009B3C7D" w:rsidP="00257092" w:rsidRDefault="009B3C7D" w14:paraId="31E131C3" w14:textId="710F6ACA">
      <w:pPr>
        <w:ind w:left="720"/>
        <w:rPr>
          <w:u w:val="single"/>
        </w:rPr>
      </w:pPr>
    </w:p>
    <w:p w:rsidRPr="00475C9E" w:rsidR="009B3C7D" w:rsidP="009B3C7D" w:rsidRDefault="009B3C7D" w14:paraId="4136201F" w14:textId="0FE08B33">
      <w:pPr>
        <w:ind w:left="720"/>
        <w:rPr>
          <w:b/>
          <w:i/>
          <w:u w:val="single"/>
        </w:rPr>
      </w:pPr>
      <w:r w:rsidRPr="00475C9E">
        <w:rPr>
          <w:b/>
          <w:i/>
          <w:u w:val="single"/>
        </w:rPr>
        <w:t>IDR Entity Certification and IDR Entity Monthly Reporting</w:t>
      </w:r>
    </w:p>
    <w:p w:rsidRPr="009B3C7D" w:rsidR="009B3C7D" w:rsidP="009B3C7D" w:rsidRDefault="009B3C7D" w14:paraId="7B18C9B8" w14:textId="77777777">
      <w:pPr>
        <w:ind w:left="720"/>
        <w:rPr>
          <w:i/>
          <w:u w:val="single"/>
        </w:rPr>
      </w:pPr>
    </w:p>
    <w:p w:rsidR="009B3C7D" w:rsidP="009B3C7D" w:rsidRDefault="009B3C7D" w14:paraId="547B1270" w14:textId="20ACD163">
      <w:pPr>
        <w:ind w:left="720"/>
      </w:pPr>
      <w:r w:rsidRPr="009B3C7D">
        <w:t xml:space="preserve">An IDR entity must be certified under standards and procedures set forth in guidance promulgated by the Departments. </w:t>
      </w:r>
      <w:r w:rsidRPr="009B3C7D" w:rsidDel="00247D57">
        <w:t xml:space="preserve"> </w:t>
      </w:r>
      <w:r w:rsidRPr="009B3C7D">
        <w:t>The Departments estimate that there will be 50 entities that seek IDR certification.</w:t>
      </w:r>
    </w:p>
    <w:p w:rsidRPr="009B3C7D" w:rsidR="009B3C7D" w:rsidP="009B3C7D" w:rsidRDefault="009B3C7D" w14:paraId="20E996D0" w14:textId="77777777">
      <w:pPr>
        <w:ind w:left="720"/>
      </w:pPr>
    </w:p>
    <w:p w:rsidR="009B3C7D" w:rsidP="009B3C7D" w:rsidRDefault="009B3C7D" w14:paraId="107F2FFA" w14:textId="0A450D99">
      <w:pPr>
        <w:ind w:left="720"/>
      </w:pPr>
      <w:r w:rsidRPr="009B3C7D">
        <w:t xml:space="preserve">To be certified as a certified IDR entity, the entity will need to submit an application through the </w:t>
      </w:r>
      <w:r w:rsidR="00B31462">
        <w:t>F</w:t>
      </w:r>
      <w:r w:rsidRPr="009B3C7D">
        <w:t xml:space="preserve">ederal IDR portal, demonstrating that it meets the requirements described in these interim final rules.  An IDR entity must provide written documentation to the Departments regarding general company information (such as contact information, TIN, and website), as well as the applicable service area in which the IDR entity intends to conduct payment determinations under the </w:t>
      </w:r>
      <w:r w:rsidR="00B31462">
        <w:t>F</w:t>
      </w:r>
      <w:r w:rsidRPr="009B3C7D">
        <w:t xml:space="preserve">ederal IDR process.  The IDR entity must have (directly or through contracts or other arrangements) sufficient arbitration and claims administration, managed care, billing and coding, medical, legal, and other expertise, and sufficient staffing.  The IDR entity must also establish processes to ensure against conflicts of interest, including to attesting that such conflicts do not exist, as </w:t>
      </w:r>
      <w:r w:rsidRPr="009B3C7D">
        <w:lastRenderedPageBreak/>
        <w:t xml:space="preserve">defined under these interim final rules.  The IDR entity will also need to demonstrate its financial stability and integrity.  The corresponding paperwork (including 3 years of financial statements) will be submitted through the </w:t>
      </w:r>
      <w:r w:rsidR="00B31462">
        <w:t>F</w:t>
      </w:r>
      <w:r w:rsidRPr="009B3C7D" w:rsidR="00B31462">
        <w:t xml:space="preserve">ederal </w:t>
      </w:r>
      <w:r w:rsidRPr="009B3C7D">
        <w:t xml:space="preserve">IDR portal. </w:t>
      </w:r>
      <w:r>
        <w:t xml:space="preserve"> </w:t>
      </w:r>
      <w:r w:rsidRPr="009B3C7D">
        <w:t xml:space="preserve">Finally, each IDR entity that the Departments certify must enter into an agreement with the Departments.  That agreement will include a number of provisions encompassed by these interim final rules.  </w:t>
      </w:r>
    </w:p>
    <w:p w:rsidRPr="009B3C7D" w:rsidR="009B3C7D" w:rsidP="009B3C7D" w:rsidRDefault="009B3C7D" w14:paraId="3CDB8DA0" w14:textId="77777777">
      <w:pPr>
        <w:ind w:left="720"/>
      </w:pPr>
    </w:p>
    <w:p w:rsidR="009B3C7D" w:rsidP="009B3C7D" w:rsidRDefault="009B3C7D" w14:paraId="7A6042C3" w14:textId="4C136590">
      <w:pPr>
        <w:ind w:left="720"/>
      </w:pPr>
      <w:r w:rsidRPr="009B3C7D">
        <w:t xml:space="preserve">The Departments estimate that on average it will take a medical and health services manager 5.10 hours and a clerical worker 15 minutes to satisfy the requirement.  The burden for each IDR entity would be 5.35 hours, with an equivalent cost of approximately $548.  </w:t>
      </w:r>
      <w:r w:rsidR="00146E5C">
        <w:t>F</w:t>
      </w:r>
      <w:r w:rsidRPr="009B3C7D">
        <w:t>or the 50 IDR entities that will go through certification, this results in a cost burden of $27,468 in the first year.</w:t>
      </w:r>
      <w:r w:rsidRPr="009B3C7D">
        <w:rPr>
          <w:vertAlign w:val="superscript"/>
        </w:rPr>
        <w:footnoteReference w:id="38"/>
      </w:r>
    </w:p>
    <w:p w:rsidR="009B3C7D" w:rsidP="009B3C7D" w:rsidRDefault="009B3C7D" w14:paraId="7815A5D1" w14:textId="7D4CEC0E">
      <w:pPr>
        <w:ind w:left="720"/>
      </w:pPr>
    </w:p>
    <w:p w:rsidRPr="009B3C7D" w:rsidR="009B3C7D" w:rsidP="009B3C7D" w:rsidRDefault="009B3C7D" w14:paraId="1B064647" w14:textId="522274FC">
      <w:pPr>
        <w:ind w:left="720"/>
      </w:pPr>
      <w:r w:rsidRPr="009B3C7D">
        <w:t xml:space="preserve">Upon selection of a certified IDR entity, the certified IDR entity must submit the administrative fee to the Departments on behalf of patient and the provider or facility.  The Departments estimate that the time required to complete the information collection is estimated to average a clerical worker 18 hours annually, including the time to review instructions, search existing data resources, gather required data, and complete and review information collection.  </w:t>
      </w:r>
      <w:r w:rsidR="00A205B5">
        <w:t>T</w:t>
      </w:r>
      <w:r w:rsidRPr="009B3C7D">
        <w:t>his results in a cost burden of $49,707.</w:t>
      </w:r>
      <w:r w:rsidRPr="009B3C7D">
        <w:rPr>
          <w:vertAlign w:val="superscript"/>
        </w:rPr>
        <w:footnoteReference w:id="39"/>
      </w:r>
    </w:p>
    <w:p w:rsidRPr="009B3C7D" w:rsidR="009B3C7D" w:rsidP="009B3C7D" w:rsidRDefault="009B3C7D" w14:paraId="0B08C0E9" w14:textId="77777777">
      <w:pPr>
        <w:ind w:left="720"/>
      </w:pPr>
    </w:p>
    <w:p w:rsidRPr="009B3C7D" w:rsidR="009B3C7D" w:rsidP="009B3C7D" w:rsidRDefault="009B3C7D" w14:paraId="03EEA980" w14:textId="16275BC9">
      <w:pPr>
        <w:ind w:left="720"/>
      </w:pPr>
      <w:r w:rsidRPr="009B3C7D">
        <w:t xml:space="preserve">Certified IDR entities are required to be recertified every 5 years.  The Departments estimate that on average one-fifth of certified IDR entities will need to be recertified each year.  Similar to the initial certification process, the IDR entities must ensure the processes are established and complete the corresponding paperwork, including the certification agreement, through the </w:t>
      </w:r>
      <w:r w:rsidR="00B31462">
        <w:t>F</w:t>
      </w:r>
      <w:r w:rsidRPr="009B3C7D" w:rsidR="00B31462">
        <w:t xml:space="preserve">ederal </w:t>
      </w:r>
      <w:r w:rsidRPr="009B3C7D">
        <w:t xml:space="preserve">IDR portal.  The Departments estimate that, on average, it will take a medical and health services manager 2.10 hours and a clerical worker 15 minutes to satisfy the requirement.  The burden for each certified IDR entity would be 2.35 hours, with an equivalent cost of approximately $224.  </w:t>
      </w:r>
      <w:r w:rsidR="008C2E10">
        <w:t>F</w:t>
      </w:r>
      <w:r w:rsidRPr="009B3C7D">
        <w:t>or the 10 certified IDR entities that will go through recertification, this results in a cost burden of $2,238 in subsequent years.</w:t>
      </w:r>
      <w:r w:rsidRPr="009B3C7D">
        <w:rPr>
          <w:vertAlign w:val="superscript"/>
        </w:rPr>
        <w:footnoteReference w:id="40"/>
      </w:r>
      <w:r w:rsidRPr="009B3C7D">
        <w:t xml:space="preserve"> </w:t>
      </w:r>
    </w:p>
    <w:p w:rsidR="009B3C7D" w:rsidP="00257092" w:rsidRDefault="009B3C7D" w14:paraId="7780AB7C" w14:textId="64765754">
      <w:pPr>
        <w:ind w:left="720"/>
      </w:pPr>
    </w:p>
    <w:p w:rsidR="009B3C7D" w:rsidP="00257092" w:rsidRDefault="009B3C7D" w14:paraId="2B01134C" w14:textId="75B9F333">
      <w:pPr>
        <w:ind w:left="720"/>
      </w:pPr>
      <w:r w:rsidRPr="009B3C7D">
        <w:lastRenderedPageBreak/>
        <w:t xml:space="preserve">These interim final rules permit an individual, provider, facility, provider of air ambulance services, or group health plan, health insurance issuer offering group or individual health insurance coverage, or FEHB carrier to petition for a denial of a certification or a revocation of a certification with respect to an IDR entity seeking certification or certified IDR entity for failure to meet certain requirements set forth in the interim final rules.  The Departments do not have data on how often such a petition might occur; however, the Departments assume that such a petition will be a rare occurrence.  The Departments assume that there will be 3 petitions each year, and it will take on average a medical and health services manager 2 hours and a clerical worker 15 minutes to prepare the petition. </w:t>
      </w:r>
      <w:r w:rsidR="003F29E5">
        <w:t xml:space="preserve"> </w:t>
      </w:r>
      <w:r w:rsidRPr="009B3C7D">
        <w:t xml:space="preserve">The burden for each IDR entity seeking certification or certified IDR entity would be 2.25 hours, with an equivalent cost of approximately $224.  </w:t>
      </w:r>
      <w:r w:rsidR="003F29E5">
        <w:t>F</w:t>
      </w:r>
      <w:r w:rsidRPr="009B3C7D">
        <w:t>or the three petitions, this results in a cost burden of $560.</w:t>
      </w:r>
      <w:r w:rsidRPr="009B3C7D">
        <w:rPr>
          <w:vertAlign w:val="superscript"/>
        </w:rPr>
        <w:footnoteReference w:id="41"/>
      </w:r>
    </w:p>
    <w:p w:rsidR="009B3C7D" w:rsidP="00257092" w:rsidRDefault="009B3C7D" w14:paraId="5A5A4E43" w14:textId="543CB790">
      <w:pPr>
        <w:ind w:left="720"/>
      </w:pPr>
    </w:p>
    <w:p w:rsidR="009B3C7D" w:rsidP="009B3C7D" w:rsidRDefault="009B3C7D" w14:paraId="01F54C00" w14:textId="7EF8E025">
      <w:pPr>
        <w:ind w:left="720"/>
      </w:pPr>
      <w:r w:rsidRPr="009B3C7D">
        <w:t xml:space="preserve">For each month, certified IDR entities will be required to report information on their activities to the Departments.  The required information will include the number of Notices of IDR Initiation submitted to the certified IDR entity under the </w:t>
      </w:r>
      <w:r w:rsidR="00B31462">
        <w:t>F</w:t>
      </w:r>
      <w:r w:rsidRPr="009B3C7D">
        <w:t>ederal IDR process during the immediately preceding month; the number of such Notices of IDR Initiation with respect to which a final determination was made; the size of the provider practices and the size of the facilities submitting Notices of IDR Initiation; the number of times the payment amount determined or agreed to exceeded the QPA, specified by items and services; and the total amount of certified IDR entity fees paid to the certified IDR entity.</w:t>
      </w:r>
    </w:p>
    <w:p w:rsidRPr="009B3C7D" w:rsidR="003F29E5" w:rsidP="009B3C7D" w:rsidRDefault="003F29E5" w14:paraId="02099D90" w14:textId="77777777">
      <w:pPr>
        <w:ind w:left="720"/>
      </w:pPr>
    </w:p>
    <w:p w:rsidR="009B3C7D" w:rsidP="009B3C7D" w:rsidRDefault="009B3C7D" w14:paraId="3A715758" w14:textId="10766AFE">
      <w:pPr>
        <w:ind w:left="720"/>
      </w:pPr>
      <w:r w:rsidRPr="009B3C7D">
        <w:t xml:space="preserve">Additionally, for each Notice of IDR Initiation, the certified IDR entity must provide a description of the qualified IDR items and services included with respect to the Notice of IDR Initiation, including the relevant billing and service codes; the relevant geographic region for purposes of the QPA; the amount of the offer submitted by the plan or issuer (as applicable) and by the provider or facility (as applicable) expressed as a dollar amount and as a percentage of the QPA; whether the offer selected by the certified IDR entity was the offer submitted by the plan or issuer (as applicable) or by the provider or facility (as applicable); the amount of the selected offer expressed as a dollar amount and a percentage of the QPA; the rationale for the certified IDR entity’s decision; the practice specialty or type of each provider or facility (as applicable) involved in furnishing each qualified IDR item or service; the identity for each plan or issuer, and provider or facility, with respect to the determination; and for each determination, the number of business days elapsed between selection of the certified IDR entity and the determination of the out-of-network rate by the certified IDR entity. </w:t>
      </w:r>
    </w:p>
    <w:p w:rsidRPr="009B3C7D" w:rsidR="003F29E5" w:rsidP="009B3C7D" w:rsidRDefault="003F29E5" w14:paraId="29F33C9C" w14:textId="77777777">
      <w:pPr>
        <w:ind w:left="720"/>
      </w:pPr>
    </w:p>
    <w:p w:rsidR="009B3C7D" w:rsidP="009B3C7D" w:rsidRDefault="009B3C7D" w14:paraId="29309F6B" w14:textId="2CBBD923">
      <w:pPr>
        <w:ind w:left="720"/>
      </w:pPr>
      <w:r w:rsidRPr="009B3C7D">
        <w:t xml:space="preserve">For each month, certified IDR entities will be required to report information on their activities to the Departments relating to air ambulance services.  The certified IDR entities will be required to provide the number of Notices of IDR Initiation submitted under the </w:t>
      </w:r>
      <w:r w:rsidR="00B31462">
        <w:t>F</w:t>
      </w:r>
      <w:r w:rsidRPr="009B3C7D" w:rsidR="00B31462">
        <w:t xml:space="preserve">ederal </w:t>
      </w:r>
      <w:r w:rsidRPr="009B3C7D">
        <w:t xml:space="preserve">IDR process that pertain to air ambulance services during the month submitted to the certified IDR entity; the number of such Notices of IDR Initiation with respect to which a final determination was made; the number of times the payment amount exceeded the QPA; and the total amount of certified IDR entity fees paid to the certified IDR entity during the month that data was collected with regard to air ambulance services.  </w:t>
      </w:r>
    </w:p>
    <w:p w:rsidRPr="009B3C7D" w:rsidR="003F29E5" w:rsidP="009B3C7D" w:rsidRDefault="003F29E5" w14:paraId="058AA019" w14:textId="77777777">
      <w:pPr>
        <w:ind w:left="720"/>
      </w:pPr>
    </w:p>
    <w:p w:rsidR="009B3C7D" w:rsidP="009B3C7D" w:rsidRDefault="009B3C7D" w14:paraId="49608B2F" w14:textId="260D4559">
      <w:pPr>
        <w:ind w:left="720"/>
      </w:pPr>
      <w:r w:rsidRPr="009B3C7D">
        <w:t xml:space="preserve">With respect to each Notice of IDR Initiation involving air ambulance claims, the certified IDR entity must also provide a description of each air ambulance service, the point of pick-up (as defined in 42 CFR 414.605) for which the services were </w:t>
      </w:r>
      <w:r w:rsidRPr="009B3C7D" w:rsidDel="00111CDB">
        <w:t>provided</w:t>
      </w:r>
      <w:r w:rsidRPr="009B3C7D">
        <w:t xml:space="preserve">, the amount of the offer submitted by the group health plan, health insurance issuer, or FEHB carrier and by the nonparticipating provider of air ambulance services expressed as a dollar amount and a percentage of the QPA; whether the offer selected by the certified IDR entity was the offer submitted by such plan, issuer, or FEHB carrier or by the provider or facility; the amount of the offer so selected expressed as a dollar amount and a percentage of the QPA, including the rationale for the certified IDR entity’s decision; the air ambulance vehicle type; the identity of the plan, issuer, FEHB carrier, or provider of air ambulance services with respect to such determination; and the number of business days elapsed between selection of the certified IDR entity and the determination of the payment amount by the certified IDR entity.   </w:t>
      </w:r>
    </w:p>
    <w:p w:rsidRPr="009B3C7D" w:rsidR="003F29E5" w:rsidP="009B3C7D" w:rsidRDefault="003F29E5" w14:paraId="662A2825" w14:textId="77777777">
      <w:pPr>
        <w:ind w:left="720"/>
      </w:pPr>
    </w:p>
    <w:p w:rsidR="009B3C7D" w:rsidP="009B3C7D" w:rsidRDefault="009B3C7D" w14:paraId="17C87693" w14:textId="3D85EA8F">
      <w:pPr>
        <w:ind w:left="720"/>
      </w:pPr>
      <w:r w:rsidRPr="009B3C7D">
        <w:t xml:space="preserve">For each month, certified IDR entities will be required to report the information on their activity to the Departments.  The report will be submitted through the </w:t>
      </w:r>
      <w:r w:rsidR="00B31462">
        <w:t>F</w:t>
      </w:r>
      <w:r w:rsidRPr="009B3C7D" w:rsidR="00B31462">
        <w:t xml:space="preserve">ederal </w:t>
      </w:r>
      <w:r w:rsidRPr="009B3C7D">
        <w:t>IDR portal.  The Departments estimate it will take a medical and health services manager 1 hour, on average, to prepare the reports and a clerical worker 15 minutes to prepare and send the report to the Departments each month.  The burden for each certified IDR entity would be 1.25 hours, with an equivalent cost of approximately $118.  For the 600 IDR entities, the annual burden would be 750 hours, with an equivalent cost burden of $71,291 each year.</w:t>
      </w:r>
      <w:r w:rsidRPr="009B3C7D">
        <w:rPr>
          <w:vertAlign w:val="superscript"/>
        </w:rPr>
        <w:footnoteReference w:id="42"/>
      </w:r>
      <w:r w:rsidRPr="009B3C7D">
        <w:t xml:space="preserve">  </w:t>
      </w:r>
    </w:p>
    <w:p w:rsidR="003F29E5" w:rsidP="009B3C7D" w:rsidRDefault="003F29E5" w14:paraId="635D0A8E" w14:textId="246BDF14">
      <w:pPr>
        <w:ind w:left="720"/>
      </w:pPr>
    </w:p>
    <w:p w:rsidR="00821140" w:rsidP="00AE6D6E" w:rsidRDefault="00821140" w14:paraId="12F7D01E" w14:textId="00E88E5C">
      <w:pPr>
        <w:ind w:left="720"/>
      </w:pPr>
      <w:r w:rsidRPr="00821140">
        <w:t xml:space="preserve">The certified IDR entities are required, following the discovery of a breach of unsecured IIHI, to notify of the breach the provider, facility, or provider of air ambulance services; the plan or issuer; the Departments; and each individual whose unsecured IIHI has been, </w:t>
      </w:r>
      <w:r w:rsidRPr="00821140">
        <w:lastRenderedPageBreak/>
        <w:t>or is reasonably believed to have been, subject to the breach, to the extent possible.  The Departments estimate that three certified IDR entities will have a breach each year.  In addition, the Departments estimate that it will take a medical and health services manager 1 hour, on average, to handle the initial breach and follow the required protocols, and that it will take a general and operations manager 45 minutes, on average, to ensure the protocol is executed and adapt policies accordingly.  The burden for each certified IDR entity would be 1.75 hours, with an equivalent cost of approximately $197.  For the three certified IDR entities, this results in a cost burden of $591 each year.</w:t>
      </w:r>
      <w:r w:rsidRPr="00821140">
        <w:rPr>
          <w:vertAlign w:val="superscript"/>
        </w:rPr>
        <w:footnoteReference w:id="43"/>
      </w:r>
      <w:r w:rsidRPr="00821140">
        <w:t xml:space="preserve">  The Departments assume that 5 percent of notices would be mailed and will incur a printing cost of $0.05 per page and $0.55 for postage.  Thus, the mailing cost is estimated to be $0.09.</w:t>
      </w:r>
      <w:r w:rsidRPr="00821140">
        <w:rPr>
          <w:vertAlign w:val="superscript"/>
        </w:rPr>
        <w:footnoteReference w:id="44"/>
      </w:r>
      <w:r w:rsidRPr="00821140">
        <w:t xml:space="preserve">  </w:t>
      </w:r>
    </w:p>
    <w:p w:rsidRPr="004B6A21" w:rsidR="00AE6D6E" w:rsidP="00AE6D6E" w:rsidRDefault="00AE6D6E" w14:paraId="02DC3F7E" w14:textId="77777777">
      <w:pPr>
        <w:ind w:left="720"/>
      </w:pPr>
    </w:p>
    <w:p w:rsidR="003F29E5" w:rsidP="003F29E5" w:rsidRDefault="003F29E5" w14:paraId="70D76BCC" w14:textId="307307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ab/>
      </w:r>
      <w:r w:rsidRPr="003F29E5">
        <w:rPr>
          <w:i/>
        </w:rPr>
        <w:t>Summary</w:t>
      </w:r>
    </w:p>
    <w:p w:rsidRPr="003F29E5" w:rsidR="003F29E5" w:rsidP="003F29E5" w:rsidRDefault="003F29E5" w14:paraId="47ED46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3F29E5" w:rsidP="001A6869" w:rsidRDefault="003F29E5" w14:paraId="6D83E9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In the first year, the total cost burden associated with the IDR entity certification process is $149,616.  In subsequent years, the total cost burden associated with the IDR entity certification process is $124,491.  The three-year average cost burden associated with the IDR entity certification is $132,866.  </w:t>
      </w:r>
    </w:p>
    <w:p w:rsidR="003F29E5" w:rsidP="001A6869" w:rsidRDefault="003F29E5" w14:paraId="586129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3F29E5" w:rsidP="001A6869" w:rsidRDefault="003F29E5" w14:paraId="12335F40" w14:textId="4488A3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The burden associated with the IDR entity certification is shared by HHS, DOL, the Department of the Treasury, and OPM.  </w:t>
      </w:r>
      <w:r>
        <w:t>I</w:t>
      </w:r>
      <w:r w:rsidRPr="003F29E5">
        <w:t>t is estimated that 45</w:t>
      </w:r>
      <w:r w:rsidR="00B31462">
        <w:t xml:space="preserve"> percent</w:t>
      </w:r>
      <w:r w:rsidRPr="003F29E5">
        <w:t xml:space="preserve"> of the burden will be accounted for by HHS, 25</w:t>
      </w:r>
      <w:r w:rsidR="00B31462">
        <w:t xml:space="preserve"> percent</w:t>
      </w:r>
      <w:r w:rsidRPr="003F29E5">
        <w:t xml:space="preserve"> of the burden will be accounted for by DOL and the Department of the Treasury each, and 5</w:t>
      </w:r>
      <w:r w:rsidRPr="003F29E5" w:rsidDel="00575594">
        <w:t xml:space="preserve"> percent</w:t>
      </w:r>
      <w:r w:rsidRPr="003F29E5">
        <w:t xml:space="preserve"> will be accounted for by OPM.  </w:t>
      </w:r>
    </w:p>
    <w:p w:rsidR="003F29E5" w:rsidP="001A6869" w:rsidRDefault="003F29E5" w14:paraId="019153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3F29E5" w:rsidR="003F29E5" w:rsidP="001A6869" w:rsidRDefault="003F29E5" w14:paraId="134F59DD" w14:textId="50CFDF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The cost burden associated with DOL requirements is $37,404 in the first year and $31,123 in subsequent years.  The three-year average cost burden associated with DOL is $33,217 each.  </w:t>
      </w:r>
    </w:p>
    <w:p w:rsidR="009B3C7D" w:rsidP="009B3C7D" w:rsidRDefault="009B3C7D" w14:paraId="58110DC4" w14:textId="692D20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75C9E" w:rsidR="00F13FBE" w:rsidP="00F13FBE" w:rsidRDefault="00F13FBE" w14:paraId="53CED7E3" w14:textId="77777777">
      <w:pPr>
        <w:ind w:left="720"/>
        <w:rPr>
          <w:b/>
          <w:i/>
          <w:u w:val="single"/>
        </w:rPr>
      </w:pPr>
      <w:r w:rsidRPr="00475C9E">
        <w:rPr>
          <w:b/>
          <w:i/>
          <w:u w:val="single"/>
        </w:rPr>
        <w:t>Total Cost Burden Summary</w:t>
      </w:r>
    </w:p>
    <w:p w:rsidRPr="000D1E91" w:rsidR="00F13FBE" w:rsidP="00F13FBE" w:rsidRDefault="00F13FBE" w14:paraId="413D1241" w14:textId="77777777">
      <w:pPr>
        <w:ind w:left="720"/>
        <w:rPr>
          <w:b/>
          <w:i/>
        </w:rPr>
      </w:pPr>
    </w:p>
    <w:p w:rsidR="00F13FBE" w:rsidP="00F13FBE" w:rsidRDefault="00F13FBE" w14:paraId="5EF22BF1" w14:textId="7A2CD741">
      <w:pPr>
        <w:ind w:left="720"/>
      </w:pPr>
      <w:r>
        <w:t>T</w:t>
      </w:r>
      <w:r w:rsidRPr="000D1E91">
        <w:t xml:space="preserve">he total cost burden in the first six months associated with the </w:t>
      </w:r>
      <w:r w:rsidR="00B31462">
        <w:t>F</w:t>
      </w:r>
      <w:r w:rsidRPr="000D1E91" w:rsidR="00B31462">
        <w:t xml:space="preserve">ederal </w:t>
      </w:r>
      <w:r w:rsidRPr="000D1E91">
        <w:t xml:space="preserve">IDR process is $610,675.  The </w:t>
      </w:r>
      <w:r w:rsidR="006E69D0">
        <w:t>total cost burden in the</w:t>
      </w:r>
      <w:r w:rsidRPr="000D1E91">
        <w:t xml:space="preserve"> first year associated with the </w:t>
      </w:r>
      <w:r w:rsidR="00B31462">
        <w:t>F</w:t>
      </w:r>
      <w:r w:rsidRPr="000D1E91" w:rsidR="00B31462">
        <w:t xml:space="preserve">ederal </w:t>
      </w:r>
      <w:r w:rsidRPr="000D1E91">
        <w:t xml:space="preserve">IDR process is $1,206,242.  In subsequent years, the total cost burden associated with the </w:t>
      </w:r>
      <w:r w:rsidR="00B31462">
        <w:t>F</w:t>
      </w:r>
      <w:r w:rsidRPr="000D1E91" w:rsidR="00B31462">
        <w:t xml:space="preserve">ederal </w:t>
      </w:r>
      <w:r w:rsidRPr="000D1E91">
        <w:t>IDR process is $1,143,314.  Thus, the 3-year average cost burden is $1,164,290.</w:t>
      </w:r>
    </w:p>
    <w:p w:rsidRPr="000D1E91" w:rsidR="00F13FBE" w:rsidP="00F13FBE" w:rsidRDefault="00F13FBE" w14:paraId="0B8C9EB6" w14:textId="77777777">
      <w:pPr>
        <w:ind w:left="720"/>
      </w:pPr>
    </w:p>
    <w:p w:rsidRPr="000D1E91" w:rsidR="00F13FBE" w:rsidP="00F13FBE" w:rsidRDefault="00F13FBE" w14:paraId="2B625F41" w14:textId="563F38A2">
      <w:pPr>
        <w:ind w:left="720"/>
      </w:pPr>
      <w:r w:rsidRPr="000D1E91">
        <w:t>The Departments classify the burden born by IDR entities and certified IDR entities as a cost burden.  For certification, re-certification, and monthly reporting requirements, 45</w:t>
      </w:r>
      <w:r w:rsidR="00B31462">
        <w:t xml:space="preserve"> </w:t>
      </w:r>
      <w:r w:rsidR="00B31462">
        <w:lastRenderedPageBreak/>
        <w:t>percent</w:t>
      </w:r>
      <w:r w:rsidRPr="000D1E91">
        <w:t xml:space="preserve"> of the burden will be allocated toward the cost burden of HHS, while DOL and the Department of the Treasury will each be allocated 25</w:t>
      </w:r>
      <w:r w:rsidR="00B31462">
        <w:t xml:space="preserve"> percent</w:t>
      </w:r>
      <w:r w:rsidRPr="000D1E91">
        <w:t xml:space="preserve"> of the burden, and OPM will be allocated 5</w:t>
      </w:r>
      <w:r w:rsidR="00B31462">
        <w:t xml:space="preserve"> percent</w:t>
      </w:r>
      <w:r w:rsidRPr="000D1E91">
        <w:t xml:space="preserve"> of the burden. </w:t>
      </w:r>
      <w:r>
        <w:t xml:space="preserve"> </w:t>
      </w:r>
    </w:p>
    <w:p w:rsidR="00D405CB" w:rsidP="00F13FBE" w:rsidRDefault="00D405CB" w14:paraId="52061B35" w14:textId="77777777">
      <w:pPr>
        <w:ind w:left="720"/>
      </w:pPr>
    </w:p>
    <w:p w:rsidR="00662185" w:rsidP="000D0E2E" w:rsidRDefault="00F13FBE" w14:paraId="713BA60D" w14:textId="269E2D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w:t>
      </w:r>
      <w:r w:rsidRPr="000D1E91">
        <w:t xml:space="preserve">or DOL requirements, the total cost burden associated with the </w:t>
      </w:r>
      <w:r w:rsidR="00CE1670">
        <w:t>F</w:t>
      </w:r>
      <w:r w:rsidRPr="000D1E91">
        <w:t xml:space="preserve">ederal IDR process in the first six months is $99,300.  The total cost burden in the first year is estimated to be $191,734 and in subsequent years, the total cost burden associated with the </w:t>
      </w:r>
      <w:r w:rsidR="00CE1670">
        <w:t>F</w:t>
      </w:r>
      <w:r w:rsidRPr="000D1E91">
        <w:t xml:space="preserve">ederal IDR process is estimated to be $185,452.  Thus, the 3-year average cost burden associated with DOL requirements is $187,546.  </w:t>
      </w:r>
    </w:p>
    <w:p w:rsidRPr="009C164D" w:rsidR="00154982" w:rsidP="00154982" w:rsidRDefault="00154982" w14:paraId="5F3F9F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C2F3E" w:rsidP="0058584C" w:rsidRDefault="00FC2F3E" w14:paraId="26D532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C32AF" w:rsidP="005315D8" w:rsidRDefault="00C80B08" w14:paraId="5C0BDB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Cs/>
        </w:rPr>
      </w:pPr>
      <w:r w:rsidRPr="00C80B08">
        <w:rPr>
          <w:iCs/>
        </w:rPr>
        <w:tab/>
      </w:r>
    </w:p>
    <w:p w:rsidR="00FC2F3E" w:rsidP="005315D8" w:rsidRDefault="00EC32AF" w14:paraId="4DEB4B49" w14:textId="3F07C3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iCs/>
        </w:rPr>
        <w:tab/>
      </w:r>
      <w:r w:rsidRPr="00111B53" w:rsidR="00336704">
        <w:t xml:space="preserve">The </w:t>
      </w:r>
      <w:r w:rsidR="00CE1670">
        <w:t>F</w:t>
      </w:r>
      <w:r w:rsidRPr="00111B53" w:rsidR="00336704">
        <w:t xml:space="preserve">ederal government will incur costs to build and maintain the federal IDR portal and to implement and administer the patient-provider dispute resolution process.  The costs associated with the </w:t>
      </w:r>
      <w:r w:rsidR="00CE1670">
        <w:t>F</w:t>
      </w:r>
      <w:r w:rsidRPr="00111B53" w:rsidR="00336704">
        <w:t xml:space="preserve">ederal IDR portal are estimated to be a one-time cost of $6 million in 2021 and annual costs of $1 million going forward.  </w:t>
      </w:r>
    </w:p>
    <w:p w:rsidRPr="009C164D" w:rsidR="00043562" w:rsidP="00D31765" w:rsidRDefault="00043562" w14:paraId="56B41A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C2F3E" w:rsidP="0058584C" w:rsidRDefault="00FC2F3E" w14:paraId="5675A1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15.</w:t>
      </w:r>
      <w:r w:rsidRPr="009C164D">
        <w:rPr>
          <w:b/>
        </w:rPr>
        <w:tab/>
      </w:r>
      <w:r w:rsidRPr="009C164D">
        <w:rPr>
          <w:b/>
          <w:iCs/>
        </w:rPr>
        <w:t>Explain the reasons for any program changes or adjustments reporting in Items 13 or 14.</w:t>
      </w:r>
    </w:p>
    <w:p w:rsidRPr="004B1B51" w:rsidR="00AE466A" w:rsidP="0058584C" w:rsidRDefault="00AE466A" w14:paraId="79D332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Pr="00AE466A" w:rsidR="00AE466A" w:rsidP="00AE466A" w:rsidRDefault="004B1B51" w14:paraId="364A49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tab/>
      </w:r>
      <w:r w:rsidRPr="004B1B51" w:rsidR="00AE466A">
        <w:t>This is a new collection of information.</w:t>
      </w:r>
    </w:p>
    <w:p w:rsidRPr="00AE466A" w:rsidR="00FC2F3E" w:rsidP="00AE466A" w:rsidRDefault="00FC2F3E" w14:paraId="5AF7FB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Pr="009C164D" w:rsidR="00FC2F3E" w:rsidP="0058584C" w:rsidRDefault="00FC2F3E" w14:paraId="7685F4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D0C7F" w:rsidP="008B68A5" w:rsidRDefault="008D0C7F" w14:paraId="0BF800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5783" w:rsidP="00717D35" w:rsidRDefault="009201E0" w14:paraId="44290950" w14:textId="06816C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For each calendar quarter in 2022 and each calendar quarter in a subsequent year, the </w:t>
      </w:r>
      <w:r w:rsidR="00CA7666">
        <w:t>Department</w:t>
      </w:r>
      <w:r w:rsidR="00194E50">
        <w:t>s</w:t>
      </w:r>
      <w:r w:rsidR="00CA7666">
        <w:t xml:space="preserve"> </w:t>
      </w:r>
      <w:r w:rsidR="00A37BE9">
        <w:t>will</w:t>
      </w:r>
      <w:r w:rsidR="00CA7666">
        <w:t xml:space="preserve"> publish information regarding </w:t>
      </w:r>
      <w:r w:rsidR="00194E50">
        <w:t xml:space="preserve">the </w:t>
      </w:r>
      <w:r w:rsidR="00B21664">
        <w:t xml:space="preserve">Federal </w:t>
      </w:r>
      <w:r w:rsidR="00CA7666">
        <w:t>IDR</w:t>
      </w:r>
      <w:r w:rsidR="00194E50">
        <w:t xml:space="preserve"> proces</w:t>
      </w:r>
      <w:r w:rsidR="00CA7666">
        <w:t xml:space="preserve">s on </w:t>
      </w:r>
      <w:r w:rsidR="00194E50">
        <w:t>a</w:t>
      </w:r>
      <w:r w:rsidR="00CA7666">
        <w:t xml:space="preserve"> public website.  </w:t>
      </w:r>
    </w:p>
    <w:p w:rsidR="00C05783" w:rsidP="00717D35" w:rsidRDefault="00C05783" w14:paraId="2B434E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17D35" w:rsidP="00717D35" w:rsidRDefault="00CA7666" w14:paraId="501A886F" w14:textId="2E3824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information </w:t>
      </w:r>
      <w:r w:rsidR="00A37BE9">
        <w:t>will</w:t>
      </w:r>
      <w:r>
        <w:t xml:space="preserve"> include</w:t>
      </w:r>
      <w:r w:rsidR="009201E0">
        <w:t xml:space="preserve"> </w:t>
      </w:r>
      <w:r w:rsidR="008B68A5">
        <w:t xml:space="preserve">aggregate statistics, such as </w:t>
      </w:r>
      <w:r w:rsidR="009201E0">
        <w:t>the number of notifications submitted; the siz</w:t>
      </w:r>
      <w:r w:rsidR="000C5D5D">
        <w:t>e of the provider practices and</w:t>
      </w:r>
      <w:r w:rsidR="009201E0">
        <w:t xml:space="preserve"> facilities submitting notifications; the number of notifications </w:t>
      </w:r>
      <w:r w:rsidR="000C5D5D">
        <w:t>for</w:t>
      </w:r>
      <w:r w:rsidR="009201E0">
        <w:t xml:space="preserve"> which a determination was made</w:t>
      </w:r>
      <w:r w:rsidR="007C6E9D">
        <w:t>;</w:t>
      </w:r>
      <w:r w:rsidR="009201E0">
        <w:t xml:space="preserve"> the information </w:t>
      </w:r>
      <w:r w:rsidR="00CC1000">
        <w:t>basis for</w:t>
      </w:r>
      <w:r w:rsidR="009201E0">
        <w:t xml:space="preserve"> such a determination; the number of times the payment amount determined under this </w:t>
      </w:r>
      <w:r w:rsidR="009201E0">
        <w:lastRenderedPageBreak/>
        <w:t>subsection exceeds the qualifying payment amount, by items and services;</w:t>
      </w:r>
      <w:r w:rsidR="00094DD9">
        <w:t xml:space="preserve"> </w:t>
      </w:r>
      <w:r w:rsidR="009201E0">
        <w:t xml:space="preserve">the amount of expenditures made by the </w:t>
      </w:r>
      <w:r w:rsidR="00194E50">
        <w:t>Departments</w:t>
      </w:r>
      <w:r w:rsidR="009201E0">
        <w:t xml:space="preserve"> during such calendar quarter to carry out the </w:t>
      </w:r>
      <w:r w:rsidR="00B21664">
        <w:t>F</w:t>
      </w:r>
      <w:r w:rsidR="00565FD2">
        <w:t xml:space="preserve">ederal </w:t>
      </w:r>
      <w:r w:rsidR="009201E0">
        <w:t>IDR process;  the total amount of fees paid; and the total amount of compensation paid to certified IDR entities</w:t>
      </w:r>
      <w:r w:rsidR="00D351DD">
        <w:t>.</w:t>
      </w:r>
    </w:p>
    <w:p w:rsidR="009201E0" w:rsidP="009201E0" w:rsidRDefault="009201E0" w14:paraId="24F0E8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702727" w:rsidR="00702727" w:rsidP="00702727" w:rsidRDefault="00702727" w14:paraId="6B0A688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02727">
        <w:t xml:space="preserve">Additionally, for each Notice of IDR Initiation, the Departments will publish a </w:t>
      </w:r>
    </w:p>
    <w:p w:rsidRPr="00702727" w:rsidR="00702727" w:rsidP="00702727" w:rsidRDefault="00702727" w14:paraId="0959010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02727">
        <w:t xml:space="preserve">a description of the items and services included with respect to the notification, including the relevant billing and service codes; the relevant geographic region for purposes of the QPA; the amount of the offer submitted by the plan or issuer (as applicable) and by the provider or facility (as applicable) expressed as a percentage of the QPA; whether the offer selected by the certified IDR entity was the offer submitted by the plan or issuer (as applicable) or by the provider or facility (as applicable); the amount of the selected offer expressed as a percentage of the QPA; the rationale for the certified IDR entity’s decision; the practice specialty or type of each provider or facility, respectively, involved in furnishing each item or service; the identity for each plan or issuer, and provider or facility, with respect to the notification; and for each determination, the number of business days elapsed between selection of the certified IDR entity and the selection of the out-of-network rate by the certified IDR entity. </w:t>
      </w:r>
    </w:p>
    <w:p w:rsidRPr="00702727" w:rsidR="00702727" w:rsidP="00702727" w:rsidRDefault="00702727" w14:paraId="36881D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C048D0" w:rsidRDefault="00702727" w14:paraId="10EF9CCB" w14:textId="469CC3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02727">
        <w:t xml:space="preserve">The Departments will also publish the number of Notices of IDR Initiation submitted under the </w:t>
      </w:r>
      <w:r w:rsidR="00B21664">
        <w:t>F</w:t>
      </w:r>
      <w:r w:rsidRPr="00702727">
        <w:t xml:space="preserve">ederal IDR process that pertain to air ambulance services during the month submitted to the certified IDR entity; the number of such notifications with respect to which a final determination was made; the number of times the payment amount exceeded the QPA; and the total amount of certified IDR fees paid to the certified IDR entity during the month that data was collected with regard to air ambulance services. With respect to each Notice of IDR Initiation involving air ambulance claims, the Departments will publish a description of each air ambulance service, the point of pick-up (as defined in 42 CFR 414.605) for which the services were </w:t>
      </w:r>
      <w:r w:rsidRPr="00702727" w:rsidDel="00111CDB">
        <w:t>provided</w:t>
      </w:r>
      <w:r w:rsidRPr="00702727">
        <w:t xml:space="preserve">, the amount of the offer submitted by the group health plan, health insurance issuer, or FEHB carrier and by the nonparticipating provider of air ambulance services expressed as a percentage of the QPA; whether the offer selected by the certified IDR entity was the offer submitted by such plan, issuer or carrier or by the provider or facility; the amount of the offer so selected expressed as a percentage of the QPA, including the rationale for the certified IDR entity’s decision; the air ambulance vehicle type; the identity of the plan, issuer, carrier, or provider of air ambulance services with respect to such notification; and the number of business days elapsed between selection of the certified IDR entity and the selection of the payment amount by the certified IDR entity. </w:t>
      </w:r>
      <w:r w:rsidR="008510CD">
        <w:t>The calculation of these statistics will be a tabulation of the monthly reports submitted by IDR entities.</w:t>
      </w:r>
    </w:p>
    <w:p w:rsidR="008510CD" w:rsidP="00D31765" w:rsidRDefault="008510CD" w14:paraId="535ECC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76D7F9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D31765" w:rsidRDefault="00FC2F3E" w14:paraId="567F39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rsidRDefault="00C21EAD" w14:paraId="69D80F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 OMB expiration date will be published in the Federal Register following OMB approval.</w:t>
      </w:r>
      <w:r w:rsidR="004A4577">
        <w:t xml:space="preserve"> The OMB Control Number will be on the homepage of the portal. </w:t>
      </w:r>
    </w:p>
    <w:p w:rsidR="00FC2F3E" w:rsidP="00D31765" w:rsidRDefault="00FC2F3E" w14:paraId="6E7139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08C993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18.</w:t>
      </w:r>
      <w:r w:rsidRPr="009C164D">
        <w:rPr>
          <w:b/>
        </w:rPr>
        <w:tab/>
      </w:r>
      <w:r w:rsidRPr="009C164D">
        <w:rPr>
          <w:b/>
          <w:iCs/>
        </w:rPr>
        <w:t>Explain each exception to the certification statement identified in Item 19</w:t>
      </w:r>
      <w:r w:rsidRPr="009C164D" w:rsidR="009C164D">
        <w:rPr>
          <w:b/>
          <w:iCs/>
        </w:rPr>
        <w:t xml:space="preserve">. </w:t>
      </w:r>
    </w:p>
    <w:p w:rsidR="00FC2F3E" w:rsidP="00D31765" w:rsidRDefault="00FC2F3E" w14:paraId="38399A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5D60" w:rsidP="00C21EAD" w:rsidRDefault="00C21EAD" w14:paraId="14E973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exceptions to the certification statement.</w:t>
      </w:r>
    </w:p>
    <w:p w:rsidRPr="002C5A28" w:rsidR="002C5A28" w:rsidP="002C5A28" w:rsidRDefault="002C5A28" w14:paraId="5B067B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C5A28" w:rsidR="002C5A28" w:rsidP="002C5A28" w:rsidRDefault="002C5A28" w14:paraId="22CC03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C5A28">
        <w:rPr>
          <w:b/>
        </w:rPr>
        <w:t xml:space="preserve">B. </w:t>
      </w:r>
      <w:r w:rsidRPr="002C5A28">
        <w:rPr>
          <w:b/>
        </w:rPr>
        <w:tab/>
        <w:t>COLLECTIONS OF INFORMATON EMPLOYING STATISTICAL METHODS.</w:t>
      </w:r>
      <w:r w:rsidRPr="002C5A28">
        <w:rPr>
          <w:b/>
          <w:bCs/>
        </w:rPr>
        <w:t> </w:t>
      </w:r>
    </w:p>
    <w:p w:rsidRPr="002C5A28" w:rsidR="002C5A28" w:rsidP="002C5A28" w:rsidRDefault="002C5A28" w14:paraId="07A24F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2C5A28" w:rsidR="002C5A28" w:rsidP="002C5A28" w:rsidRDefault="002C5A28" w14:paraId="78D3BB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2C5A28">
        <w:t xml:space="preserve">Not applicable. </w:t>
      </w:r>
    </w:p>
    <w:p w:rsidR="002C5A28" w:rsidP="002C5A28" w:rsidRDefault="002C5A28" w14:paraId="6DBEBD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2C5A28">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C4EDE" w16cex:dateUtc="2021-08-10T05:03:00Z"/>
  <w16cex:commentExtensible w16cex:durableId="24BC4AF1" w16cex:dateUtc="2021-08-10T04:46:00Z"/>
  <w16cex:commentExtensible w16cex:durableId="24BC4B86" w16cex:dateUtc="2021-08-10T04:49:00Z"/>
  <w16cex:commentExtensible w16cex:durableId="24BC4C95" w16cex:dateUtc="2021-08-10T04:53:00Z"/>
  <w16cex:commentExtensible w16cex:durableId="24BC4CD7" w16cex:dateUtc="2021-08-10T04:54:00Z"/>
  <w16cex:commentExtensible w16cex:durableId="24BC4F7B" w16cex:dateUtc="2021-08-10T05:06:00Z"/>
  <w16cex:commentExtensible w16cex:durableId="24BC4D04" w16cex:dateUtc="2021-08-10T04:55:00Z"/>
  <w16cex:commentExtensible w16cex:durableId="24BC4D2F" w16cex:dateUtc="2021-08-10T04:56:00Z"/>
  <w16cex:commentExtensible w16cex:durableId="24BC4D7D" w16cex:dateUtc="2021-08-10T04:57:00Z"/>
  <w16cex:commentExtensible w16cex:durableId="24BC4DE8" w16cex:dateUtc="2021-08-10T04:59:00Z"/>
  <w16cex:commentExtensible w16cex:durableId="24BC4E00" w16cex:dateUtc="2021-08-10T04:59:00Z"/>
  <w16cex:commentExtensible w16cex:durableId="24BC4E71" w16cex:dateUtc="2021-08-10T05:01:00Z"/>
  <w16cex:commentExtensible w16cex:durableId="24BC4F10" w16cex:dateUtc="2021-08-10T05:04:00Z"/>
  <w16cex:commentExtensible w16cex:durableId="24BC4F35" w16cex:dateUtc="2021-08-10T05:04:00Z"/>
  <w16cex:commentExtensible w16cex:durableId="24BC500B" w16cex:dateUtc="2021-08-10T05:08:00Z"/>
  <w16cex:commentExtensible w16cex:durableId="24BC501D" w16cex:dateUtc="2021-08-10T05:08:00Z"/>
  <w16cex:commentExtensible w16cex:durableId="24BC503D" w16cex:dateUtc="2021-08-10T05:09:00Z"/>
  <w16cex:commentExtensible w16cex:durableId="24BC5085" w16cex:dateUtc="2021-08-10T05:10:00Z"/>
  <w16cex:commentExtensible w16cex:durableId="24BC5171" w16cex:dateUtc="2021-08-10T05:14:00Z"/>
  <w16cex:commentExtensible w16cex:durableId="24BC51CD" w16cex:dateUtc="2021-08-10T05:15:00Z"/>
  <w16cex:commentExtensible w16cex:durableId="24BC52D4" w16cex:dateUtc="2021-08-10T05:20:00Z"/>
  <w16cex:commentExtensible w16cex:durableId="24BC533B" w16cex:dateUtc="2021-08-10T05:22:00Z"/>
  <w16cex:commentExtensible w16cex:durableId="24BC53E0" w16cex:dateUtc="2021-08-10T05:24:00Z"/>
  <w16cex:commentExtensible w16cex:durableId="24BC5436" w16cex:dateUtc="2021-08-10T05:26:00Z"/>
  <w16cex:commentExtensible w16cex:durableId="24BC5466" w16cex:dateUtc="2021-08-10T05:27:00Z"/>
  <w16cex:commentExtensible w16cex:durableId="24BC54DA" w16cex:dateUtc="2021-08-10T05:28:00Z"/>
  <w16cex:commentExtensible w16cex:durableId="24BC5672" w16cex:dateUtc="2021-08-10T05:35:00Z"/>
  <w16cex:commentExtensible w16cex:durableId="24BC56B0" w16cex:dateUtc="2021-08-10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8A6068" w16cid:durableId="24B65FC8"/>
  <w16cid:commentId w16cid:paraId="6BB6DC13" w16cid:durableId="24B3D85D"/>
  <w16cid:commentId w16cid:paraId="4CED5CBB" w16cid:durableId="24BC4EDE"/>
  <w16cid:commentId w16cid:paraId="35B17BAA" w16cid:durableId="24BC4AF1"/>
  <w16cid:commentId w16cid:paraId="5D00FDA9" w16cid:durableId="24B66016"/>
  <w16cid:commentId w16cid:paraId="5C55D451" w16cid:durableId="24BC4B86"/>
  <w16cid:commentId w16cid:paraId="4F3DD963" w16cid:durableId="24BC4C95"/>
  <w16cid:commentId w16cid:paraId="234DD1F3" w16cid:durableId="24BC4CD7"/>
  <w16cid:commentId w16cid:paraId="29020E42" w16cid:durableId="24BC4F7B"/>
  <w16cid:commentId w16cid:paraId="1085C317" w16cid:durableId="24BC4D04"/>
  <w16cid:commentId w16cid:paraId="078E1E84" w16cid:durableId="24BC4D2F"/>
  <w16cid:commentId w16cid:paraId="173172DC" w16cid:durableId="24BC4D7D"/>
  <w16cid:commentId w16cid:paraId="11C72F97" w16cid:durableId="24BC4DE8"/>
  <w16cid:commentId w16cid:paraId="11A95426" w16cid:durableId="24BC4E00"/>
  <w16cid:commentId w16cid:paraId="54FD58F7" w16cid:durableId="24BC4E71"/>
  <w16cid:commentId w16cid:paraId="50C0BC2C" w16cid:durableId="24BC4F10"/>
  <w16cid:commentId w16cid:paraId="5AA9CEE2" w16cid:durableId="24BC4F35"/>
  <w16cid:commentId w16cid:paraId="72525EDB" w16cid:durableId="24BC500B"/>
  <w16cid:commentId w16cid:paraId="03AECA47" w16cid:durableId="24BC501D"/>
  <w16cid:commentId w16cid:paraId="7B655501" w16cid:durableId="24BC503D"/>
  <w16cid:commentId w16cid:paraId="120B60A0" w16cid:durableId="24BC5085"/>
  <w16cid:commentId w16cid:paraId="35F81016" w16cid:durableId="24BC5171"/>
  <w16cid:commentId w16cid:paraId="1A9940FA" w16cid:durableId="24BC51CD"/>
  <w16cid:commentId w16cid:paraId="0F5AEAB4" w16cid:durableId="24BC52D4"/>
  <w16cid:commentId w16cid:paraId="1732A12F" w16cid:durableId="24BC533B"/>
  <w16cid:commentId w16cid:paraId="28B7BEF8" w16cid:durableId="24BC53E0"/>
  <w16cid:commentId w16cid:paraId="7CE84B8C" w16cid:durableId="24BC5436"/>
  <w16cid:commentId w16cid:paraId="5FD4A521" w16cid:durableId="24BC5466"/>
  <w16cid:commentId w16cid:paraId="7FEEB2D9" w16cid:durableId="24BC54DA"/>
  <w16cid:commentId w16cid:paraId="52E7B18E" w16cid:durableId="24B3D722"/>
  <w16cid:commentId w16cid:paraId="48A01D9E" w16cid:durableId="24BC5672"/>
  <w16cid:commentId w16cid:paraId="68309B59" w16cid:durableId="24BC56B0"/>
  <w16cid:commentId w16cid:paraId="7AEEDCE5" w16cid:durableId="24B660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9BEE8" w14:textId="77777777" w:rsidR="00940BE0" w:rsidRDefault="00940BE0">
      <w:r>
        <w:separator/>
      </w:r>
    </w:p>
  </w:endnote>
  <w:endnote w:type="continuationSeparator" w:id="0">
    <w:p w14:paraId="245BFE77" w14:textId="77777777" w:rsidR="00940BE0" w:rsidRDefault="00940BE0">
      <w:r>
        <w:continuationSeparator/>
      </w:r>
    </w:p>
  </w:endnote>
  <w:endnote w:type="continuationNotice" w:id="1">
    <w:p w14:paraId="77635996" w14:textId="77777777" w:rsidR="00940BE0" w:rsidRDefault="00940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925DC" w14:textId="77777777" w:rsidR="00553632" w:rsidRDefault="00553632">
    <w:pPr>
      <w:spacing w:line="240" w:lineRule="exact"/>
    </w:pPr>
  </w:p>
  <w:p w14:paraId="238E338D" w14:textId="67AB4103" w:rsidR="00553632" w:rsidRDefault="00553632">
    <w:pPr>
      <w:framePr w:w="9361" w:wrap="notBeside" w:vAnchor="text" w:hAnchor="text" w:x="1" w:y="1"/>
      <w:jc w:val="center"/>
    </w:pPr>
    <w:r>
      <w:fldChar w:fldCharType="begin"/>
    </w:r>
    <w:r>
      <w:instrText xml:space="preserve">PAGE </w:instrText>
    </w:r>
    <w:r>
      <w:fldChar w:fldCharType="separate"/>
    </w:r>
    <w:r w:rsidR="003F41CB">
      <w:rPr>
        <w:noProof/>
      </w:rPr>
      <w:t>23</w:t>
    </w:r>
    <w:r>
      <w:fldChar w:fldCharType="end"/>
    </w:r>
  </w:p>
  <w:p w14:paraId="215C7EC4" w14:textId="77777777" w:rsidR="00553632" w:rsidRDefault="005536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3F72A" w14:textId="77777777" w:rsidR="00940BE0" w:rsidRDefault="00940BE0">
      <w:r>
        <w:separator/>
      </w:r>
    </w:p>
  </w:footnote>
  <w:footnote w:type="continuationSeparator" w:id="0">
    <w:p w14:paraId="43BB7789" w14:textId="77777777" w:rsidR="00940BE0" w:rsidRDefault="00940BE0">
      <w:r>
        <w:continuationSeparator/>
      </w:r>
    </w:p>
  </w:footnote>
  <w:footnote w:type="continuationNotice" w:id="1">
    <w:p w14:paraId="48F23BA1" w14:textId="77777777" w:rsidR="00940BE0" w:rsidRDefault="00940BE0"/>
  </w:footnote>
  <w:footnote w:id="2">
    <w:p w14:paraId="2B284AAC" w14:textId="77777777" w:rsidR="00553632" w:rsidRDefault="00553632" w:rsidP="00140A1E">
      <w:pPr>
        <w:pStyle w:val="FootnoteText"/>
      </w:pPr>
      <w:r>
        <w:rPr>
          <w:rStyle w:val="FootnoteReference"/>
        </w:rPr>
        <w:footnoteRef/>
      </w:r>
      <w:r>
        <w:t xml:space="preserve"> To satisfy the requirement to provide information about the QPA, the parties should attach the information on the QPA provided under 26 CFR 54.9816-6T(f</w:t>
      </w:r>
      <w:r w:rsidRPr="73FDDBD8">
        <w:t>)</w:t>
      </w:r>
      <w:r>
        <w:t>(1)(v)(C), 29 CFR 2590.716-6(f</w:t>
      </w:r>
      <w:r w:rsidRPr="73FDDBD8">
        <w:t>)</w:t>
      </w:r>
      <w:r>
        <w:t>(1)(v)(C), and 45 CFR 149.140(f</w:t>
      </w:r>
      <w:r w:rsidRPr="73FDDBD8">
        <w:t>)</w:t>
      </w:r>
      <w:r>
        <w:t>(1)(v)(C).</w:t>
      </w:r>
    </w:p>
  </w:footnote>
  <w:footnote w:id="3">
    <w:p w14:paraId="1BB23781" w14:textId="77777777" w:rsidR="00553632" w:rsidRDefault="00553632" w:rsidP="000B4DC1">
      <w:pPr>
        <w:pStyle w:val="FootnoteText"/>
      </w:pPr>
      <w:r>
        <w:rPr>
          <w:rStyle w:val="FootnoteReference"/>
        </w:rPr>
        <w:footnoteRef/>
      </w:r>
      <w:r>
        <w:t xml:space="preserve"> This is calculated 17,333/ (1 - 0.25) = 23,111.</w:t>
      </w:r>
    </w:p>
  </w:footnote>
  <w:footnote w:id="4">
    <w:p w14:paraId="1F080E95" w14:textId="77777777" w:rsidR="00553632" w:rsidRDefault="00553632" w:rsidP="000B4DC1">
      <w:pPr>
        <w:pStyle w:val="FootnoteText"/>
      </w:pPr>
      <w:r>
        <w:rPr>
          <w:rStyle w:val="FootnoteReference"/>
        </w:rPr>
        <w:footnoteRef/>
      </w:r>
      <w:r>
        <w:t xml:space="preserve"> </w:t>
      </w:r>
      <w:r w:rsidRPr="00024B8D">
        <w:t>The burden is estimated as follows</w:t>
      </w:r>
      <w:r>
        <w:t xml:space="preserve">: 23,111 claims x 2 hours + 23,111 claims x 0.25 hour = </w:t>
      </w:r>
      <w:r w:rsidRPr="00A922D2">
        <w:t xml:space="preserve">51,999 </w:t>
      </w:r>
      <w:r>
        <w:t xml:space="preserve">hours.  </w:t>
      </w:r>
      <w:r w:rsidRPr="001F48AE">
        <w:t xml:space="preserve">A labor rate of </w:t>
      </w:r>
      <w:r>
        <w:t xml:space="preserve">$105.01 </w:t>
      </w:r>
      <w:r w:rsidRPr="001F48AE">
        <w:t xml:space="preserve">is used for </w:t>
      </w:r>
      <w:r w:rsidRPr="00150AA7">
        <w:t xml:space="preserve">a medical and health services manager </w:t>
      </w:r>
      <w:r>
        <w:t xml:space="preserve">and a labor rate of $55.23 is used for a clerical worker.  The labor rates are </w:t>
      </w:r>
      <w:r w:rsidRPr="001F48AE">
        <w:t>applied in the followin</w:t>
      </w:r>
      <w:r>
        <w:t>g calculation: 23,111 claims x 2</w:t>
      </w:r>
      <w:r w:rsidRPr="001F48AE">
        <w:t xml:space="preserve"> hours</w:t>
      </w:r>
      <w:r>
        <w:t xml:space="preserve"> x $105.01</w:t>
      </w:r>
      <w:r w:rsidRPr="001F48AE">
        <w:t xml:space="preserve"> + </w:t>
      </w:r>
      <w:r>
        <w:t>23,111 claims x 0.5 hour x $55.23</w:t>
      </w:r>
      <w:r w:rsidRPr="001F48AE">
        <w:t xml:space="preserve"> = </w:t>
      </w:r>
      <w:r>
        <w:t xml:space="preserve">$5,172,803.  Labor rates are EBSA estimates. </w:t>
      </w:r>
    </w:p>
  </w:footnote>
  <w:footnote w:id="5">
    <w:p w14:paraId="7BD35A40" w14:textId="77777777" w:rsidR="00553632" w:rsidRDefault="00553632" w:rsidP="000B4DC1">
      <w:pPr>
        <w:pStyle w:val="FootnoteText"/>
      </w:pPr>
      <w:r>
        <w:rPr>
          <w:rStyle w:val="FootnoteReference"/>
        </w:rPr>
        <w:footnoteRef/>
      </w:r>
      <w:r>
        <w:t xml:space="preserve"> </w:t>
      </w:r>
      <w:r w:rsidRPr="00024B8D">
        <w:t>The burden is estimated as follows</w:t>
      </w:r>
      <w:r>
        <w:t>: 17,333 claims x 2 hours + 17,333 claims x 0.25 hours = 38</w:t>
      </w:r>
      <w:r w:rsidRPr="006F54D1">
        <w:t xml:space="preserve">,999 </w:t>
      </w:r>
      <w:r>
        <w:t xml:space="preserve">hours.  </w:t>
      </w:r>
      <w:r w:rsidRPr="001F48AE">
        <w:t xml:space="preserve">A labor rate of </w:t>
      </w:r>
      <w:r>
        <w:t xml:space="preserve">$105.01 </w:t>
      </w:r>
      <w:r w:rsidRPr="001F48AE">
        <w:t xml:space="preserve">is used for </w:t>
      </w:r>
      <w:r>
        <w:t xml:space="preserve">a </w:t>
      </w:r>
      <w:r w:rsidRPr="002B4BF0">
        <w:t>medical and health services manager</w:t>
      </w:r>
      <w:r>
        <w:t xml:space="preserve"> and a labor rate of $55.23 is used for a clerical worker.  The labor rates are </w:t>
      </w:r>
      <w:r w:rsidRPr="001F48AE">
        <w:t>applied in the followin</w:t>
      </w:r>
      <w:r>
        <w:t>g calculation: 17,333 claims x 0.25</w:t>
      </w:r>
      <w:r w:rsidRPr="001F48AE">
        <w:t xml:space="preserve"> hours</w:t>
      </w:r>
      <w:r>
        <w:t xml:space="preserve"> x $105.01</w:t>
      </w:r>
      <w:r w:rsidRPr="001F48AE">
        <w:t xml:space="preserve"> + </w:t>
      </w:r>
      <w:r>
        <w:t xml:space="preserve">17,333 </w:t>
      </w:r>
      <w:r w:rsidRPr="001F48AE">
        <w:t>claims x 2 hours</w:t>
      </w:r>
      <w:r>
        <w:t xml:space="preserve"> x $55.23</w:t>
      </w:r>
      <w:r w:rsidRPr="001F48AE">
        <w:t xml:space="preserve"> = </w:t>
      </w:r>
      <w:r>
        <w:t xml:space="preserve">$3,879,602.  Labor rates are EBSA estimates. </w:t>
      </w:r>
    </w:p>
  </w:footnote>
  <w:footnote w:id="6">
    <w:p w14:paraId="79D929A2" w14:textId="402AE09C" w:rsidR="00553632" w:rsidRDefault="00553632" w:rsidP="000B4DC1">
      <w:pPr>
        <w:pStyle w:val="FootnoteText"/>
      </w:pPr>
      <w:r>
        <w:rPr>
          <w:rStyle w:val="FootnoteReference"/>
        </w:rPr>
        <w:footnoteRef/>
      </w:r>
      <w:r>
        <w:t xml:space="preserve"> </w:t>
      </w:r>
      <w:r w:rsidRPr="00024B8D">
        <w:t>The burden is estimated as follows</w:t>
      </w:r>
      <w:r>
        <w:t>: 17,300 claims x 1 percent x 0.5 hours + 17,300 claims x 1 percent x 0.25 hours = 130</w:t>
      </w:r>
      <w:r w:rsidRPr="00A922D2">
        <w:t xml:space="preserve"> </w:t>
      </w:r>
      <w:r>
        <w:t xml:space="preserve">hours.  </w:t>
      </w:r>
      <w:r w:rsidRPr="001F48AE">
        <w:t xml:space="preserve">A labor rate of </w:t>
      </w:r>
      <w:r>
        <w:t xml:space="preserve">$105.01 </w:t>
      </w:r>
      <w:r w:rsidRPr="001F48AE">
        <w:t xml:space="preserve">is used for </w:t>
      </w:r>
      <w:r w:rsidRPr="00150AA7">
        <w:t xml:space="preserve">a medical and health services manager </w:t>
      </w:r>
      <w:r>
        <w:t xml:space="preserve">and a labor rate of $55.23 is used for a clerical worker.  The labor rates are </w:t>
      </w:r>
      <w:r w:rsidRPr="001F48AE">
        <w:t>applied in the followin</w:t>
      </w:r>
      <w:r>
        <w:t>g calculation: 17,300 claims x 1 percent x 0.5 hours x $105.01</w:t>
      </w:r>
      <w:r w:rsidRPr="001F48AE">
        <w:t xml:space="preserve"> + </w:t>
      </w:r>
      <w:r>
        <w:t>17,300 claims x 1 percent x 0.25 hours x $55.23</w:t>
      </w:r>
      <w:r w:rsidRPr="001F48AE">
        <w:t xml:space="preserve"> = </w:t>
      </w:r>
      <w:r>
        <w:t xml:space="preserve">$11,472.  Labor rates are EBSA estimates. </w:t>
      </w:r>
    </w:p>
  </w:footnote>
  <w:footnote w:id="7">
    <w:p w14:paraId="0A3B1C6A" w14:textId="7DBAC4BF" w:rsidR="00553632" w:rsidRDefault="00553632" w:rsidP="000B4DC1">
      <w:pPr>
        <w:pStyle w:val="FootnoteText"/>
      </w:pPr>
      <w:r>
        <w:rPr>
          <w:rStyle w:val="FootnoteReference"/>
        </w:rPr>
        <w:footnoteRef/>
      </w:r>
      <w:r>
        <w:t xml:space="preserve"> </w:t>
      </w:r>
      <w:r w:rsidRPr="00024B8D">
        <w:t>The burden is estimated as follows</w:t>
      </w:r>
      <w:r>
        <w:t>: (13,000</w:t>
      </w:r>
      <w:r w:rsidRPr="00F52496">
        <w:t xml:space="preserve"> </w:t>
      </w:r>
      <w:r>
        <w:t>claims x 75 percent x 1 hour) + (13,000</w:t>
      </w:r>
      <w:r w:rsidRPr="00F52496">
        <w:t xml:space="preserve"> </w:t>
      </w:r>
      <w:r>
        <w:t xml:space="preserve">claims x 75 percent x 0.25 hours) = </w:t>
      </w:r>
      <w:r w:rsidRPr="00C915CA">
        <w:t xml:space="preserve">16,250 </w:t>
      </w:r>
      <w:r>
        <w:t xml:space="preserve">hours.  </w:t>
      </w:r>
      <w:r w:rsidRPr="001F48AE">
        <w:t xml:space="preserve">A labor rate of </w:t>
      </w:r>
      <w:r>
        <w:t xml:space="preserve">$105.01 </w:t>
      </w:r>
      <w:r w:rsidRPr="001F48AE">
        <w:t>is used for</w:t>
      </w:r>
      <w:r>
        <w:t xml:space="preserve"> a </w:t>
      </w:r>
      <w:r w:rsidRPr="00E8034F">
        <w:t>medical and health services manager</w:t>
      </w:r>
      <w:r>
        <w:t xml:space="preserve"> and a labor rate of $55.23 is used for a clerical worker.  The labor rates are </w:t>
      </w:r>
      <w:r w:rsidRPr="001F48AE">
        <w:t>applied in the followin</w:t>
      </w:r>
      <w:r>
        <w:t>g calculation: (13,000</w:t>
      </w:r>
      <w:r w:rsidRPr="00F52496">
        <w:t xml:space="preserve"> </w:t>
      </w:r>
      <w:r>
        <w:t>claims x 75 percent x 0.25</w:t>
      </w:r>
      <w:r w:rsidRPr="001F48AE">
        <w:t xml:space="preserve"> hours</w:t>
      </w:r>
      <w:r>
        <w:t xml:space="preserve"> x $105.01)</w:t>
      </w:r>
      <w:r w:rsidRPr="001F48AE">
        <w:t xml:space="preserve"> +</w:t>
      </w:r>
      <w:r>
        <w:t>13,000</w:t>
      </w:r>
      <w:r w:rsidRPr="00F52496">
        <w:t xml:space="preserve"> </w:t>
      </w:r>
      <w:r>
        <w:t>claims x 75 percent x 1</w:t>
      </w:r>
      <w:r w:rsidRPr="001F48AE">
        <w:t xml:space="preserve"> hours</w:t>
      </w:r>
      <w:r>
        <w:t xml:space="preserve"> x $55.23)</w:t>
      </w:r>
      <w:r w:rsidRPr="001F48AE">
        <w:t xml:space="preserve"> = </w:t>
      </w:r>
      <w:r>
        <w:t xml:space="preserve">$1,544,628.  Labor rates are EBSA estimates. </w:t>
      </w:r>
    </w:p>
  </w:footnote>
  <w:footnote w:id="8">
    <w:p w14:paraId="05164AB2" w14:textId="77777777" w:rsidR="00553632" w:rsidRDefault="00553632" w:rsidP="000B4DC1">
      <w:pPr>
        <w:pStyle w:val="FootnoteText"/>
      </w:pPr>
      <w:r>
        <w:rPr>
          <w:rStyle w:val="FootnoteReference"/>
        </w:rPr>
        <w:footnoteRef/>
      </w:r>
      <w:r>
        <w:t xml:space="preserve"> </w:t>
      </w:r>
      <w:r w:rsidRPr="00AA3A5D">
        <w:t xml:space="preserve">The burden is estimated as follows: </w:t>
      </w:r>
      <w:r>
        <w:t>(</w:t>
      </w:r>
      <w:r w:rsidRPr="008B4FA5">
        <w:t xml:space="preserve">17,333 </w:t>
      </w:r>
      <w:r w:rsidRPr="00AA3A5D">
        <w:t>clai</w:t>
      </w:r>
      <w:r>
        <w:t xml:space="preserve">ms x 2.5 hours + </w:t>
      </w:r>
      <w:r w:rsidRPr="008B4FA5">
        <w:t xml:space="preserve">17,333 </w:t>
      </w:r>
      <w:r>
        <w:t>claims x 0.5</w:t>
      </w:r>
      <w:r w:rsidRPr="00AA3A5D">
        <w:t xml:space="preserve"> hours</w:t>
      </w:r>
      <w:r>
        <w:t>) +</w:t>
      </w:r>
      <w:r w:rsidRPr="00AA3A5D">
        <w:t xml:space="preserve"> (</w:t>
      </w:r>
      <w:r>
        <w:t>17,333</w:t>
      </w:r>
      <w:r w:rsidRPr="00AA3A5D">
        <w:t xml:space="preserve"> claims x 2</w:t>
      </w:r>
      <w:r>
        <w:t>.5</w:t>
      </w:r>
      <w:r w:rsidRPr="00AA3A5D">
        <w:t xml:space="preserve"> hours + </w:t>
      </w:r>
      <w:r w:rsidRPr="008B4FA5">
        <w:t xml:space="preserve">17,333 </w:t>
      </w:r>
      <w:r w:rsidRPr="00AA3A5D">
        <w:t xml:space="preserve">claims x 0.5 hours) = </w:t>
      </w:r>
      <w:r w:rsidRPr="00ED6B14">
        <w:t>103,998</w:t>
      </w:r>
      <w:r>
        <w:t xml:space="preserve"> </w:t>
      </w:r>
      <w:r w:rsidRPr="00AA3A5D">
        <w:t>hours</w:t>
      </w:r>
      <w:r>
        <w:t xml:space="preserve"> for providers and issuers</w:t>
      </w:r>
      <w:r w:rsidRPr="00AA3A5D">
        <w:t xml:space="preserve">.  A labor rate of </w:t>
      </w:r>
      <w:r>
        <w:t>$105.01</w:t>
      </w:r>
      <w:r w:rsidRPr="00AA3A5D">
        <w:t xml:space="preserve"> i</w:t>
      </w:r>
      <w:r>
        <w:t xml:space="preserve">s used for a </w:t>
      </w:r>
      <w:r w:rsidRPr="006334DC">
        <w:t>medical and health services manager</w:t>
      </w:r>
      <w:r>
        <w:t xml:space="preserve"> </w:t>
      </w:r>
      <w:r w:rsidRPr="00AA3A5D">
        <w:t xml:space="preserve">and a labor rate of </w:t>
      </w:r>
      <w:r>
        <w:t>$55.23</w:t>
      </w:r>
      <w:r w:rsidRPr="00AA3A5D">
        <w:t xml:space="preserve"> is u</w:t>
      </w:r>
      <w:r>
        <w:t>sed for a clerical worker.  The labor rates are</w:t>
      </w:r>
      <w:r w:rsidRPr="00AA3A5D">
        <w:t xml:space="preserve"> applied in the following calculation: </w:t>
      </w:r>
      <w:r>
        <w:t>(17,333</w:t>
      </w:r>
      <w:r w:rsidRPr="00AA3A5D">
        <w:t xml:space="preserve"> claims x 2</w:t>
      </w:r>
      <w:r>
        <w:t>.5</w:t>
      </w:r>
      <w:r w:rsidRPr="00AA3A5D">
        <w:t xml:space="preserve"> hou</w:t>
      </w:r>
      <w:r>
        <w:t>rs x $105.01 + 17,333 claims x 0.5</w:t>
      </w:r>
      <w:r w:rsidRPr="00AA3A5D">
        <w:t xml:space="preserve"> hours x </w:t>
      </w:r>
      <w:r>
        <w:t>$55.23) + (17,333</w:t>
      </w:r>
      <w:r w:rsidRPr="00AA3A5D">
        <w:t xml:space="preserve"> claims x 2</w:t>
      </w:r>
      <w:r>
        <w:t>.5</w:t>
      </w:r>
      <w:r w:rsidRPr="00AA3A5D">
        <w:t xml:space="preserve"> hours x </w:t>
      </w:r>
      <w:r>
        <w:t>$105.01</w:t>
      </w:r>
      <w:r w:rsidRPr="00AA3A5D">
        <w:t xml:space="preserve"> + </w:t>
      </w:r>
      <w:r>
        <w:t>17,333</w:t>
      </w:r>
      <w:r w:rsidRPr="00AA3A5D">
        <w:t xml:space="preserve"> claims x 0.5 hours x </w:t>
      </w:r>
      <w:r>
        <w:t>$55.23) =</w:t>
      </w:r>
      <w:r w:rsidRPr="002F380B">
        <w:t xml:space="preserve"> $</w:t>
      </w:r>
      <w:r>
        <w:t>10,057,993</w:t>
      </w:r>
      <w:r w:rsidRPr="00AA3A5D">
        <w:t>.  Labor rates are EBSA estimates.</w:t>
      </w:r>
    </w:p>
  </w:footnote>
  <w:footnote w:id="9">
    <w:p w14:paraId="0E6FA407" w14:textId="77777777" w:rsidR="00553632" w:rsidRDefault="00553632" w:rsidP="000B4DC1">
      <w:pPr>
        <w:pStyle w:val="FootnoteText"/>
      </w:pPr>
      <w:r>
        <w:rPr>
          <w:rStyle w:val="FootnoteReference"/>
        </w:rPr>
        <w:footnoteRef/>
      </w:r>
      <w:r>
        <w:t xml:space="preserve"> </w:t>
      </w:r>
      <w:r w:rsidRPr="00986E43">
        <w:t>IDR Payment Determination Notification (ERISA 716(c</w:t>
      </w:r>
      <w:proofErr w:type="gramStart"/>
      <w:r w:rsidRPr="00986E43">
        <w:t>)(</w:t>
      </w:r>
      <w:proofErr w:type="gramEnd"/>
      <w:r w:rsidRPr="00986E43">
        <w:t>5)(A))</w:t>
      </w:r>
      <w:r>
        <w:t>.</w:t>
      </w:r>
    </w:p>
  </w:footnote>
  <w:footnote w:id="10">
    <w:p w14:paraId="6BF447BA" w14:textId="77777777" w:rsidR="00553632" w:rsidRDefault="00553632" w:rsidP="000B4DC1">
      <w:pPr>
        <w:pStyle w:val="FootnoteText"/>
      </w:pPr>
      <w:r>
        <w:rPr>
          <w:rStyle w:val="FootnoteReference"/>
        </w:rPr>
        <w:footnoteRef/>
      </w:r>
      <w:r>
        <w:t xml:space="preserve"> Under Section 103 of the No Surprises Act, the party whose offer was not chosen by the certified IDR entity is responsible for paying the IDR entity’s fee. </w:t>
      </w:r>
    </w:p>
  </w:footnote>
  <w:footnote w:id="11">
    <w:p w14:paraId="5FAC221D" w14:textId="77777777" w:rsidR="00553632" w:rsidRDefault="00553632" w:rsidP="004B6A21">
      <w:pPr>
        <w:pStyle w:val="FootnoteText"/>
        <w:contextualSpacing/>
      </w:pPr>
      <w:r>
        <w:rPr>
          <w:rStyle w:val="FootnoteReference"/>
        </w:rPr>
        <w:footnoteRef/>
      </w:r>
      <w:r>
        <w:t xml:space="preserve"> </w:t>
      </w:r>
      <w:r w:rsidRPr="00942F77">
        <w:t>Employee Ben</w:t>
      </w:r>
      <w:r>
        <w:t>efits Security Administration.  “</w:t>
      </w:r>
      <w:r w:rsidRPr="00942F77">
        <w:t xml:space="preserve">Health Insurance Coverage Bulletin.”  (March 2019).  </w:t>
      </w:r>
      <w:hyperlink r:id="rId1" w:history="1">
        <w:r w:rsidRPr="00406636">
          <w:rPr>
            <w:rStyle w:val="Hyperlink"/>
          </w:rPr>
          <w:t>https://www.dol.gov/sites/dolgov/files/EBSA/researchers/data/health-and-welfare/health-insurance-coverage-bulletin-2019.pdf</w:t>
        </w:r>
      </w:hyperlink>
      <w:r>
        <w:t xml:space="preserve">. </w:t>
      </w:r>
    </w:p>
  </w:footnote>
  <w:footnote w:id="12">
    <w:p w14:paraId="69A58BFF" w14:textId="77777777" w:rsidR="00553632" w:rsidRDefault="00553632" w:rsidP="004B6A21">
      <w:pPr>
        <w:pStyle w:val="FootnoteText"/>
      </w:pPr>
      <w:r>
        <w:rPr>
          <w:rStyle w:val="FootnoteReference"/>
        </w:rPr>
        <w:footnoteRef/>
      </w:r>
      <w:r>
        <w:t xml:space="preserve"> Hargraves, John and Aaron </w:t>
      </w:r>
      <w:proofErr w:type="spellStart"/>
      <w:r>
        <w:t>Bloschichak</w:t>
      </w:r>
      <w:proofErr w:type="spellEnd"/>
      <w:r>
        <w:t xml:space="preserve">.  “Air Ambulances-10-Year Trends in Costs and Use.”  Health Care Cost Institute.  (2019). </w:t>
      </w:r>
      <w:hyperlink r:id="rId2" w:history="1">
        <w:r w:rsidRPr="00406636">
          <w:rPr>
            <w:rStyle w:val="Hyperlink"/>
          </w:rPr>
          <w:t>https://healthcostinstitute.org/emergency-room/air-ambulances-10-year-trends-in-costs-and-use</w:t>
        </w:r>
      </w:hyperlink>
      <w:r>
        <w:t xml:space="preserve">. </w:t>
      </w:r>
    </w:p>
  </w:footnote>
  <w:footnote w:id="13">
    <w:p w14:paraId="0EF8B132" w14:textId="77777777" w:rsidR="00553632" w:rsidRDefault="00553632" w:rsidP="004B6A21">
      <w:pPr>
        <w:pStyle w:val="FootnoteText"/>
      </w:pPr>
      <w:r>
        <w:rPr>
          <w:rStyle w:val="FootnoteReference"/>
        </w:rPr>
        <w:footnoteRef/>
      </w:r>
      <w:r>
        <w:t xml:space="preserve"> Government Accountability Office.  “Air Ambulance: Available Data Show Privately-Insured Patients are at Financial Risk.”  (2019). </w:t>
      </w:r>
      <w:hyperlink r:id="rId3" w:history="1">
        <w:r w:rsidRPr="00406636">
          <w:rPr>
            <w:rStyle w:val="Hyperlink"/>
          </w:rPr>
          <w:t>https://www.gao.gov/assets/gao-19-292.pdf</w:t>
        </w:r>
      </w:hyperlink>
      <w:r>
        <w:t xml:space="preserve">. </w:t>
      </w:r>
    </w:p>
  </w:footnote>
  <w:footnote w:id="14">
    <w:p w14:paraId="75B292CB" w14:textId="7EDD8675" w:rsidR="00553632" w:rsidRDefault="00553632" w:rsidP="004B6A21">
      <w:pPr>
        <w:pStyle w:val="FootnoteText"/>
      </w:pPr>
      <w:r>
        <w:rPr>
          <w:rStyle w:val="FootnoteReference"/>
        </w:rPr>
        <w:footnoteRef/>
      </w:r>
      <w:r>
        <w:t xml:space="preserve"> The Departments estimate that of the 213.2 million individuals with employer-sponsored health insurance, there are 33.3 air transports per 100,000 individuals, of which 69 percent result in an out-of-network bill.  The Departments assume that 10 percent of the out-of-network bills will end up in IDR.  (213,200,000 x 0.000333 x 0.69 x 0.1= 4,899).</w:t>
      </w:r>
    </w:p>
  </w:footnote>
  <w:footnote w:id="15">
    <w:p w14:paraId="5EB66876" w14:textId="77777777" w:rsidR="00553632" w:rsidRDefault="00553632" w:rsidP="004B6A21">
      <w:pPr>
        <w:pStyle w:val="FootnoteText"/>
      </w:pPr>
      <w:r>
        <w:rPr>
          <w:rStyle w:val="FootnoteReference"/>
        </w:rPr>
        <w:footnoteRef/>
      </w:r>
      <w:r>
        <w:t xml:space="preserve"> This is calculated as 4,899 / (1 - 0.25) = 6,532.</w:t>
      </w:r>
    </w:p>
  </w:footnote>
  <w:footnote w:id="16">
    <w:p w14:paraId="16D2544E" w14:textId="77777777" w:rsidR="00553632" w:rsidRDefault="00553632" w:rsidP="004B6A21">
      <w:pPr>
        <w:pStyle w:val="FootnoteText"/>
      </w:pPr>
      <w:r>
        <w:rPr>
          <w:rStyle w:val="FootnoteReference"/>
        </w:rPr>
        <w:footnoteRef/>
      </w:r>
      <w:r>
        <w:t xml:space="preserve"> </w:t>
      </w:r>
      <w:r w:rsidRPr="00024B8D">
        <w:t>The burden is estimated as follows</w:t>
      </w:r>
      <w:r>
        <w:t>: 6,532 claims x 2 hours + 6,532 claims x 0.25 hours = 14,696</w:t>
      </w:r>
      <w:r w:rsidRPr="006171D7">
        <w:t xml:space="preserve"> </w:t>
      </w:r>
      <w:r>
        <w:t xml:space="preserve">hours.  </w:t>
      </w:r>
      <w:r w:rsidRPr="001F48AE">
        <w:t xml:space="preserve">A labor rate of </w:t>
      </w:r>
      <w:r>
        <w:t xml:space="preserve">$105.01 </w:t>
      </w:r>
      <w:r w:rsidRPr="001F48AE">
        <w:t xml:space="preserve">is used for </w:t>
      </w:r>
      <w:r w:rsidRPr="00150AA7">
        <w:t xml:space="preserve">a medical and health services manager </w:t>
      </w:r>
      <w:r>
        <w:t xml:space="preserve">and a labor rate of $55.23 is used for a clerical worker.  The labor rates are </w:t>
      </w:r>
      <w:r w:rsidRPr="001F48AE">
        <w:t>applied in the followin</w:t>
      </w:r>
      <w:r>
        <w:t>g calculation: 6,532</w:t>
      </w:r>
      <w:r w:rsidRPr="006171D7">
        <w:t xml:space="preserve"> </w:t>
      </w:r>
      <w:r>
        <w:t>claims x 0.25</w:t>
      </w:r>
      <w:r w:rsidRPr="001F48AE">
        <w:t xml:space="preserve"> hours</w:t>
      </w:r>
      <w:r>
        <w:t xml:space="preserve"> x $105.01</w:t>
      </w:r>
      <w:r w:rsidRPr="001F48AE">
        <w:t xml:space="preserve"> + </w:t>
      </w:r>
      <w:r>
        <w:t>6,532</w:t>
      </w:r>
      <w:r w:rsidRPr="006171D7">
        <w:t xml:space="preserve"> </w:t>
      </w:r>
      <w:r>
        <w:t>claims x 2 hours x $55.23</w:t>
      </w:r>
      <w:r w:rsidRPr="001F48AE">
        <w:t xml:space="preserve"> = </w:t>
      </w:r>
      <w:r>
        <w:t xml:space="preserve">$1,461,951.  Labor rates are EBSA estimates. </w:t>
      </w:r>
    </w:p>
  </w:footnote>
  <w:footnote w:id="17">
    <w:p w14:paraId="6AB53E10" w14:textId="77777777" w:rsidR="00553632" w:rsidRDefault="00553632" w:rsidP="004B6A21">
      <w:pPr>
        <w:pStyle w:val="FootnoteText"/>
      </w:pPr>
      <w:r>
        <w:rPr>
          <w:rStyle w:val="FootnoteReference"/>
        </w:rPr>
        <w:footnoteRef/>
      </w:r>
      <w:r>
        <w:t xml:space="preserve"> </w:t>
      </w:r>
      <w:r w:rsidRPr="00024B8D">
        <w:t>The burden is estimated as follows</w:t>
      </w:r>
      <w:r>
        <w:t xml:space="preserve">: </w:t>
      </w:r>
      <w:r w:rsidRPr="005249DF">
        <w:t>4,</w:t>
      </w:r>
      <w:r>
        <w:t>8</w:t>
      </w:r>
      <w:r w:rsidRPr="005249DF">
        <w:t xml:space="preserve">99 </w:t>
      </w:r>
      <w:r>
        <w:t xml:space="preserve">claims x 2 hours + </w:t>
      </w:r>
      <w:r w:rsidRPr="005249DF">
        <w:t>4,</w:t>
      </w:r>
      <w:r>
        <w:t>8</w:t>
      </w:r>
      <w:r w:rsidRPr="005249DF">
        <w:t xml:space="preserve">99 </w:t>
      </w:r>
      <w:r>
        <w:t>claims x 0.25 hours = 11,022</w:t>
      </w:r>
      <w:r w:rsidRPr="005249DF">
        <w:t xml:space="preserve"> </w:t>
      </w:r>
      <w:r>
        <w:t xml:space="preserve">hours.  </w:t>
      </w:r>
      <w:r w:rsidRPr="001F48AE">
        <w:t xml:space="preserve">A labor rate of </w:t>
      </w:r>
      <w:r>
        <w:t xml:space="preserve">$105.01 </w:t>
      </w:r>
      <w:r w:rsidRPr="001F48AE">
        <w:t xml:space="preserve">is used for </w:t>
      </w:r>
      <w:r w:rsidRPr="00150AA7">
        <w:t xml:space="preserve">a medical and health services manager </w:t>
      </w:r>
      <w:r>
        <w:t xml:space="preserve">and a labor rate of $55.23 is used for a clerical worker.  The labor rates are </w:t>
      </w:r>
      <w:r w:rsidRPr="001F48AE">
        <w:t>applied in the followin</w:t>
      </w:r>
      <w:r>
        <w:t xml:space="preserve">g calculation: </w:t>
      </w:r>
      <w:r w:rsidRPr="005249DF">
        <w:t>4,</w:t>
      </w:r>
      <w:r>
        <w:t>8</w:t>
      </w:r>
      <w:r w:rsidRPr="005249DF">
        <w:t xml:space="preserve">99 </w:t>
      </w:r>
      <w:r>
        <w:t>claims x 0.25</w:t>
      </w:r>
      <w:r w:rsidRPr="001F48AE">
        <w:t xml:space="preserve"> hours</w:t>
      </w:r>
      <w:r>
        <w:t xml:space="preserve"> x $105.01</w:t>
      </w:r>
      <w:r w:rsidRPr="001F48AE">
        <w:t xml:space="preserve"> +</w:t>
      </w:r>
      <w:r w:rsidRPr="005249DF">
        <w:t xml:space="preserve"> 4,</w:t>
      </w:r>
      <w:r>
        <w:t>8</w:t>
      </w:r>
      <w:r w:rsidRPr="005249DF">
        <w:t xml:space="preserve">99 </w:t>
      </w:r>
      <w:r w:rsidRPr="001F48AE">
        <w:t>claims x 2 hours</w:t>
      </w:r>
      <w:r>
        <w:t xml:space="preserve"> x $55.23</w:t>
      </w:r>
      <w:r w:rsidRPr="001F48AE">
        <w:t xml:space="preserve"> = </w:t>
      </w:r>
      <w:r>
        <w:t xml:space="preserve">$1,096,463.  Labor rates are EBSA estimates. </w:t>
      </w:r>
    </w:p>
  </w:footnote>
  <w:footnote w:id="18">
    <w:p w14:paraId="7C5B4EF2" w14:textId="7651F47B" w:rsidR="00553632" w:rsidRDefault="00553632" w:rsidP="004B6A21">
      <w:pPr>
        <w:pStyle w:val="FootnoteText"/>
      </w:pPr>
      <w:r>
        <w:rPr>
          <w:rStyle w:val="FootnoteReference"/>
        </w:rPr>
        <w:footnoteRef/>
      </w:r>
      <w:r>
        <w:t xml:space="preserve"> </w:t>
      </w:r>
      <w:r w:rsidRPr="00024B8D">
        <w:t>The burden is estimated as follows</w:t>
      </w:r>
      <w:r>
        <w:t>: 4,899 claims x 1 percent x 0.5 hours + 4,899 claims x 1 percent x 0.25 hours = 37</w:t>
      </w:r>
      <w:r w:rsidRPr="00A922D2">
        <w:t xml:space="preserve"> </w:t>
      </w:r>
      <w:r>
        <w:t xml:space="preserve">hours.  </w:t>
      </w:r>
      <w:r w:rsidRPr="001F48AE">
        <w:t xml:space="preserve">A labor rate of </w:t>
      </w:r>
      <w:r>
        <w:t xml:space="preserve">$105.01 </w:t>
      </w:r>
      <w:r w:rsidRPr="001F48AE">
        <w:t xml:space="preserve">is used for </w:t>
      </w:r>
      <w:r w:rsidRPr="00150AA7">
        <w:t xml:space="preserve">a medical and health services manager </w:t>
      </w:r>
      <w:r>
        <w:t xml:space="preserve">and a labor rate of $55.23 is used for a clerical worker.  The labor rates are </w:t>
      </w:r>
      <w:r w:rsidRPr="001F48AE">
        <w:t>applied in the followin</w:t>
      </w:r>
      <w:r>
        <w:t>g calculation: 4,899 claims x 1 percent x 0.5 hours x $105.01</w:t>
      </w:r>
      <w:r w:rsidRPr="001F48AE">
        <w:t xml:space="preserve"> + </w:t>
      </w:r>
      <w:r>
        <w:t>4,899 claims x 1 percent x 0.25 hours x $55.23</w:t>
      </w:r>
      <w:r w:rsidRPr="001F48AE">
        <w:t xml:space="preserve"> = </w:t>
      </w:r>
      <w:r>
        <w:t xml:space="preserve">$3,249.  Labor rates are EBSA estimates. </w:t>
      </w:r>
    </w:p>
  </w:footnote>
  <w:footnote w:id="19">
    <w:p w14:paraId="13C3B7B8" w14:textId="6B810159" w:rsidR="00553632" w:rsidRDefault="00553632" w:rsidP="004B6A21">
      <w:pPr>
        <w:pStyle w:val="FootnoteText"/>
      </w:pPr>
      <w:r>
        <w:rPr>
          <w:rStyle w:val="FootnoteReference"/>
        </w:rPr>
        <w:footnoteRef/>
      </w:r>
      <w:r>
        <w:t xml:space="preserve"> </w:t>
      </w:r>
      <w:r w:rsidRPr="00024B8D">
        <w:t>The burden is estimated as follows</w:t>
      </w:r>
      <w:r>
        <w:t>: (4,899 claims x 75 percent x 1 hour) + (4,899 claims x 75 percent x 0.25 hours) = 4,593</w:t>
      </w:r>
      <w:r w:rsidRPr="0084718A">
        <w:t xml:space="preserve"> </w:t>
      </w:r>
      <w:r>
        <w:t xml:space="preserve">hours.  </w:t>
      </w:r>
      <w:r w:rsidRPr="001F48AE">
        <w:t xml:space="preserve">A labor rate of </w:t>
      </w:r>
      <w:r>
        <w:t xml:space="preserve">$105.01 </w:t>
      </w:r>
      <w:r w:rsidRPr="001F48AE">
        <w:t xml:space="preserve">is used for </w:t>
      </w:r>
      <w:r w:rsidRPr="00D043A0">
        <w:t xml:space="preserve">a medical and health services manager </w:t>
      </w:r>
      <w:r>
        <w:t xml:space="preserve">and a labor rate of $55.23 is used for a clerical worker.  The labor rates are </w:t>
      </w:r>
      <w:r w:rsidRPr="001F48AE">
        <w:t>applied in the followin</w:t>
      </w:r>
      <w:r>
        <w:t>g calculation: (4,899 claims x 75 percent x 0.25</w:t>
      </w:r>
      <w:r w:rsidRPr="001F48AE">
        <w:t xml:space="preserve"> hours</w:t>
      </w:r>
      <w:r>
        <w:t xml:space="preserve"> x $105.01)</w:t>
      </w:r>
      <w:r w:rsidRPr="001F48AE">
        <w:t xml:space="preserve"> + </w:t>
      </w:r>
      <w:r>
        <w:t>(4,899 claims x 75 percent x 1</w:t>
      </w:r>
      <w:r w:rsidRPr="001F48AE">
        <w:t xml:space="preserve"> hours</w:t>
      </w:r>
      <w:r>
        <w:t xml:space="preserve"> x $55.23)</w:t>
      </w:r>
      <w:r w:rsidRPr="001F48AE">
        <w:t xml:space="preserve"> = </w:t>
      </w:r>
      <w:r>
        <w:t xml:space="preserve">$436,535.  Labor rates are EBSA estimates. </w:t>
      </w:r>
    </w:p>
  </w:footnote>
  <w:footnote w:id="20">
    <w:p w14:paraId="6A6A777C" w14:textId="77777777" w:rsidR="00553632" w:rsidRDefault="00553632" w:rsidP="004B6A21">
      <w:pPr>
        <w:pStyle w:val="FootnoteText"/>
      </w:pPr>
      <w:r>
        <w:rPr>
          <w:rStyle w:val="FootnoteReference"/>
        </w:rPr>
        <w:footnoteRef/>
      </w:r>
      <w:r>
        <w:t xml:space="preserve"> </w:t>
      </w:r>
      <w:r w:rsidRPr="00AA3A5D">
        <w:t xml:space="preserve">The burden is estimated as follows: </w:t>
      </w:r>
      <w:r>
        <w:t xml:space="preserve">(4,899 </w:t>
      </w:r>
      <w:r w:rsidRPr="00AA3A5D">
        <w:t>clai</w:t>
      </w:r>
      <w:r>
        <w:t>ms x 2 hours + 4,899 claims x 0.25</w:t>
      </w:r>
      <w:r w:rsidRPr="00AA3A5D">
        <w:t xml:space="preserve"> hours</w:t>
      </w:r>
      <w:r>
        <w:t>) +</w:t>
      </w:r>
      <w:r w:rsidRPr="00AA3A5D">
        <w:t xml:space="preserve"> (</w:t>
      </w:r>
      <w:r>
        <w:t xml:space="preserve">4,899 </w:t>
      </w:r>
      <w:r w:rsidRPr="00AA3A5D">
        <w:t xml:space="preserve">claims x 2 hours + </w:t>
      </w:r>
      <w:r>
        <w:t>4,899</w:t>
      </w:r>
      <w:r w:rsidRPr="00AA3A5D">
        <w:t xml:space="preserve"> claims x 0.25 hours) = </w:t>
      </w:r>
      <w:r>
        <w:t>22,044</w:t>
      </w:r>
      <w:r w:rsidRPr="005D6466">
        <w:t xml:space="preserve"> </w:t>
      </w:r>
      <w:r w:rsidRPr="00AA3A5D">
        <w:t>hours</w:t>
      </w:r>
      <w:r>
        <w:t xml:space="preserve"> for providers and issuers</w:t>
      </w:r>
      <w:r w:rsidRPr="00AA3A5D">
        <w:t xml:space="preserve">.  A labor rate of </w:t>
      </w:r>
      <w:r>
        <w:t>$105.01</w:t>
      </w:r>
      <w:r w:rsidRPr="00AA3A5D">
        <w:t xml:space="preserve"> i</w:t>
      </w:r>
      <w:r>
        <w:t xml:space="preserve">s used for </w:t>
      </w:r>
      <w:r w:rsidRPr="00CE0CE1">
        <w:t xml:space="preserve">a medical and health services manager </w:t>
      </w:r>
      <w:r w:rsidRPr="00AA3A5D">
        <w:t xml:space="preserve">and a labor rate of </w:t>
      </w:r>
      <w:r>
        <w:t>$55.23</w:t>
      </w:r>
      <w:r w:rsidRPr="00AA3A5D">
        <w:t xml:space="preserve"> is u</w:t>
      </w:r>
      <w:r>
        <w:t>sed for a clerical worker.  The labor rates are</w:t>
      </w:r>
      <w:r w:rsidRPr="00AA3A5D">
        <w:t xml:space="preserve"> applied in the following calculation: </w:t>
      </w:r>
      <w:r>
        <w:t>(4,899</w:t>
      </w:r>
      <w:r w:rsidRPr="00AA3A5D">
        <w:t xml:space="preserve"> claims x 2 hou</w:t>
      </w:r>
      <w:r>
        <w:t>rs x $105.01 + 4,899 claims x 0.25</w:t>
      </w:r>
      <w:r w:rsidRPr="00AA3A5D">
        <w:t xml:space="preserve"> hours x </w:t>
      </w:r>
      <w:r>
        <w:t xml:space="preserve">$55.23) + (4,899 </w:t>
      </w:r>
      <w:r w:rsidRPr="00AA3A5D">
        <w:t xml:space="preserve">claims x 2 hours x </w:t>
      </w:r>
      <w:r>
        <w:t>$105.01</w:t>
      </w:r>
      <w:r w:rsidRPr="00AA3A5D">
        <w:t xml:space="preserve"> + </w:t>
      </w:r>
      <w:r>
        <w:t>4,899</w:t>
      </w:r>
      <w:r w:rsidRPr="00AA3A5D">
        <w:t xml:space="preserve"> claims x 0.25 hours x </w:t>
      </w:r>
      <w:r>
        <w:t>$105.01) =</w:t>
      </w:r>
      <w:r w:rsidRPr="002F380B">
        <w:t xml:space="preserve"> $</w:t>
      </w:r>
      <w:r>
        <w:t>2,192,926</w:t>
      </w:r>
      <w:r w:rsidRPr="00AA3A5D">
        <w:t>.  Labor rates are EBSA estimates.</w:t>
      </w:r>
    </w:p>
  </w:footnote>
  <w:footnote w:id="21">
    <w:p w14:paraId="7F49C8F1" w14:textId="77777777" w:rsidR="00553632" w:rsidRDefault="00553632" w:rsidP="004B6A21">
      <w:pPr>
        <w:pStyle w:val="FootnoteText"/>
      </w:pPr>
      <w:r>
        <w:rPr>
          <w:rStyle w:val="FootnoteReference"/>
        </w:rPr>
        <w:footnoteRef/>
      </w:r>
      <w:r>
        <w:t xml:space="preserve"> </w:t>
      </w:r>
      <w:r w:rsidRPr="00986E43">
        <w:t>IDR Payment Determination Notification (ERISA 716(c</w:t>
      </w:r>
      <w:proofErr w:type="gramStart"/>
      <w:r w:rsidRPr="00986E43">
        <w:t>)(</w:t>
      </w:r>
      <w:proofErr w:type="gramEnd"/>
      <w:r w:rsidRPr="00986E43">
        <w:t>5)(A))</w:t>
      </w:r>
      <w:r>
        <w:t>.</w:t>
      </w:r>
    </w:p>
  </w:footnote>
  <w:footnote w:id="22">
    <w:p w14:paraId="4F9AD858" w14:textId="77777777" w:rsidR="00553632" w:rsidRDefault="00553632" w:rsidP="00A04738">
      <w:pPr>
        <w:pStyle w:val="FootnoteText"/>
      </w:pPr>
      <w:r>
        <w:rPr>
          <w:rStyle w:val="FootnoteReference"/>
        </w:rPr>
        <w:footnoteRef/>
      </w:r>
      <w:r>
        <w:t xml:space="preserve"> </w:t>
      </w:r>
      <w:r w:rsidRPr="00024B8D">
        <w:t>The burden is estimated as follows</w:t>
      </w:r>
      <w:r>
        <w:t>: 100 requests x 0.25 hour = 25</w:t>
      </w:r>
      <w:r w:rsidRPr="00A922D2">
        <w:t xml:space="preserve"> </w:t>
      </w:r>
      <w:r>
        <w:t xml:space="preserve">hours.  </w:t>
      </w:r>
      <w:r w:rsidRPr="001F48AE">
        <w:t xml:space="preserve">A labor rate </w:t>
      </w:r>
      <w:r>
        <w:t xml:space="preserve">of $55.23 is used for a clerical worker.  The labor rates are </w:t>
      </w:r>
      <w:r w:rsidRPr="001F48AE">
        <w:t>applied in the followin</w:t>
      </w:r>
      <w:r>
        <w:t>g calculation: 100 requests x 0.25 hours x $55.23</w:t>
      </w:r>
      <w:r w:rsidRPr="001F48AE">
        <w:t xml:space="preserve"> = </w:t>
      </w:r>
      <w:r>
        <w:t xml:space="preserve">$1,381.  Labor rates are EBSA estimates. </w:t>
      </w:r>
    </w:p>
  </w:footnote>
  <w:footnote w:id="23">
    <w:p w14:paraId="04CE29C4" w14:textId="77777777" w:rsidR="00553632" w:rsidRDefault="00553632" w:rsidP="00257092">
      <w:pPr>
        <w:pStyle w:val="FootnoteText"/>
      </w:pPr>
      <w:r>
        <w:rPr>
          <w:rStyle w:val="FootnoteReference"/>
        </w:rPr>
        <w:footnoteRef/>
      </w:r>
      <w:r>
        <w:t xml:space="preserve"> This is calculated 17,333/ (1 - 0.25) = 23,111.</w:t>
      </w:r>
    </w:p>
  </w:footnote>
  <w:footnote w:id="24">
    <w:p w14:paraId="47645539" w14:textId="77777777" w:rsidR="00553632" w:rsidRDefault="00553632" w:rsidP="00257092">
      <w:pPr>
        <w:pStyle w:val="FootnoteText"/>
      </w:pPr>
      <w:r>
        <w:rPr>
          <w:rStyle w:val="FootnoteReference"/>
        </w:rPr>
        <w:footnoteRef/>
      </w:r>
      <w:r>
        <w:t xml:space="preserve"> This is calculated 23,111 x 0.05 x ($0.05 + $0.55) = $693.</w:t>
      </w:r>
    </w:p>
  </w:footnote>
  <w:footnote w:id="25">
    <w:p w14:paraId="28A3306A" w14:textId="77777777" w:rsidR="00553632" w:rsidRDefault="00553632" w:rsidP="00257092">
      <w:pPr>
        <w:pStyle w:val="FootnoteText"/>
      </w:pPr>
      <w:r>
        <w:rPr>
          <w:rStyle w:val="FootnoteReference"/>
        </w:rPr>
        <w:footnoteRef/>
      </w:r>
      <w:r>
        <w:t xml:space="preserve"> </w:t>
      </w:r>
      <w:r w:rsidRPr="0018049B">
        <w:t xml:space="preserve">This is calculated </w:t>
      </w:r>
      <w:proofErr w:type="gramStart"/>
      <w:r>
        <w:t xml:space="preserve">17,333  </w:t>
      </w:r>
      <w:r w:rsidRPr="0018049B">
        <w:t>x</w:t>
      </w:r>
      <w:proofErr w:type="gramEnd"/>
      <w:r w:rsidRPr="0018049B">
        <w:t xml:space="preserve"> 0.05 x (</w:t>
      </w:r>
      <w:r>
        <w:t>$</w:t>
      </w:r>
      <w:r w:rsidRPr="0018049B">
        <w:t xml:space="preserve">0.05 + </w:t>
      </w:r>
      <w:r>
        <w:t>$</w:t>
      </w:r>
      <w:r w:rsidRPr="0018049B">
        <w:t>0.55) = $</w:t>
      </w:r>
      <w:r>
        <w:t>520.</w:t>
      </w:r>
    </w:p>
  </w:footnote>
  <w:footnote w:id="26">
    <w:p w14:paraId="14539620" w14:textId="77777777" w:rsidR="00553632" w:rsidRDefault="00553632" w:rsidP="00257092">
      <w:pPr>
        <w:pStyle w:val="FootnoteText"/>
      </w:pPr>
      <w:r>
        <w:rPr>
          <w:rStyle w:val="FootnoteReference"/>
        </w:rPr>
        <w:footnoteRef/>
      </w:r>
      <w:r>
        <w:t xml:space="preserve"> </w:t>
      </w:r>
      <w:r w:rsidRPr="00384FC4">
        <w:t>This is calculated 13,000 x 0.05 x (</w:t>
      </w:r>
      <w:r>
        <w:t>$</w:t>
      </w:r>
      <w:r w:rsidRPr="00384FC4">
        <w:t xml:space="preserve">0.05 + </w:t>
      </w:r>
      <w:r>
        <w:t>$</w:t>
      </w:r>
      <w:r w:rsidRPr="00384FC4">
        <w:t>0.55) = $390</w:t>
      </w:r>
      <w:r>
        <w:t>.</w:t>
      </w:r>
    </w:p>
  </w:footnote>
  <w:footnote w:id="27">
    <w:p w14:paraId="1EF7FC5E" w14:textId="77777777" w:rsidR="00553632" w:rsidRDefault="00553632" w:rsidP="00257092">
      <w:pPr>
        <w:pStyle w:val="FootnoteText"/>
      </w:pPr>
      <w:r>
        <w:rPr>
          <w:rStyle w:val="FootnoteReference"/>
        </w:rPr>
        <w:footnoteRef/>
      </w:r>
      <w:r>
        <w:t xml:space="preserve"> </w:t>
      </w:r>
      <w:r w:rsidRPr="00956E7F">
        <w:t xml:space="preserve">This is calculated </w:t>
      </w:r>
      <w:r>
        <w:t>(</w:t>
      </w:r>
      <w:r w:rsidRPr="00956E7F">
        <w:t>1</w:t>
      </w:r>
      <w:r>
        <w:t>7</w:t>
      </w:r>
      <w:r w:rsidRPr="00956E7F">
        <w:t>,</w:t>
      </w:r>
      <w:r>
        <w:t>333</w:t>
      </w:r>
      <w:r w:rsidRPr="00956E7F">
        <w:t xml:space="preserve"> x 0.05 x (</w:t>
      </w:r>
      <w:r>
        <w:t>$</w:t>
      </w:r>
      <w:r w:rsidRPr="00956E7F">
        <w:t xml:space="preserve">0.05 + </w:t>
      </w:r>
      <w:r>
        <w:t>$</w:t>
      </w:r>
      <w:r w:rsidRPr="00956E7F">
        <w:t>0.55)</w:t>
      </w:r>
      <w:r>
        <w:t xml:space="preserve"> + </w:t>
      </w:r>
      <w:r w:rsidRPr="00956E7F">
        <w:t>(17,333 x 0.05 x</w:t>
      </w:r>
      <w:r>
        <w:t xml:space="preserve"> ($0.05 + $0.55) </w:t>
      </w:r>
      <w:r w:rsidRPr="00956E7F">
        <w:t>= $</w:t>
      </w:r>
      <w:r>
        <w:t>1,040.</w:t>
      </w:r>
    </w:p>
  </w:footnote>
  <w:footnote w:id="28">
    <w:p w14:paraId="2A99771E" w14:textId="2BD8845E" w:rsidR="00553632" w:rsidRDefault="00553632" w:rsidP="00257092">
      <w:pPr>
        <w:pStyle w:val="FootnoteText"/>
      </w:pPr>
      <w:r>
        <w:rPr>
          <w:rStyle w:val="FootnoteReference"/>
        </w:rPr>
        <w:footnoteRef/>
      </w:r>
      <w:r>
        <w:t xml:space="preserve"> </w:t>
      </w:r>
      <w:r w:rsidRPr="00986E43">
        <w:t>IDR Payment Determination Notification (ERISA 716(c)(5)(A))</w:t>
      </w:r>
    </w:p>
  </w:footnote>
  <w:footnote w:id="29">
    <w:p w14:paraId="5C7B92FD" w14:textId="77777777" w:rsidR="00553632" w:rsidRDefault="00553632" w:rsidP="00257092">
      <w:pPr>
        <w:pStyle w:val="FootnoteText"/>
      </w:pPr>
      <w:r>
        <w:rPr>
          <w:rStyle w:val="FootnoteReference"/>
        </w:rPr>
        <w:footnoteRef/>
      </w:r>
      <w:r>
        <w:t xml:space="preserve"> Under Section 103 of the No Surprises Act, the party whose offer was not chosen by the certified IDR entity is responsible for paying the IDR entity’s fee. </w:t>
      </w:r>
    </w:p>
  </w:footnote>
  <w:footnote w:id="30">
    <w:p w14:paraId="0BC2CCA1" w14:textId="77777777" w:rsidR="00553632" w:rsidRDefault="00553632" w:rsidP="00257092">
      <w:pPr>
        <w:pStyle w:val="FootnoteText"/>
      </w:pPr>
      <w:r>
        <w:rPr>
          <w:rStyle w:val="FootnoteReference"/>
        </w:rPr>
        <w:footnoteRef/>
      </w:r>
      <w:r>
        <w:t xml:space="preserve"> </w:t>
      </w:r>
      <w:r w:rsidRPr="00AA3A5D">
        <w:t xml:space="preserve">The burden is estimated as follows: </w:t>
      </w:r>
      <w:r>
        <w:t>(17,333 claims x 30 minutes</w:t>
      </w:r>
      <w:r w:rsidRPr="00AA3A5D">
        <w:t xml:space="preserve">) = </w:t>
      </w:r>
      <w:r>
        <w:t xml:space="preserve">8,667 </w:t>
      </w:r>
      <w:r w:rsidRPr="00AA3A5D">
        <w:t>hours</w:t>
      </w:r>
      <w:r>
        <w:t xml:space="preserve"> for providers and issuers</w:t>
      </w:r>
      <w:r w:rsidRPr="00AA3A5D">
        <w:t>.  A</w:t>
      </w:r>
      <w:r>
        <w:t xml:space="preserve"> </w:t>
      </w:r>
      <w:r w:rsidRPr="00AA3A5D">
        <w:t xml:space="preserve">labor rate of </w:t>
      </w:r>
      <w:r>
        <w:t>$55.23</w:t>
      </w:r>
      <w:r w:rsidRPr="00AA3A5D">
        <w:t xml:space="preserve"> is u</w:t>
      </w:r>
      <w:r>
        <w:t>sed for a clerical worker.  The labor rates are</w:t>
      </w:r>
      <w:r w:rsidRPr="00AA3A5D">
        <w:t xml:space="preserve"> applied in the following calculation: </w:t>
      </w:r>
      <w:r>
        <w:t>(17,333</w:t>
      </w:r>
      <w:r w:rsidRPr="00AA3A5D">
        <w:t xml:space="preserve"> claims x </w:t>
      </w:r>
      <w:r>
        <w:t>30 minutes</w:t>
      </w:r>
      <w:r w:rsidRPr="00AA3A5D">
        <w:t xml:space="preserve"> x </w:t>
      </w:r>
      <w:r>
        <w:t>$55.23) =</w:t>
      </w:r>
      <w:r w:rsidRPr="002F380B">
        <w:t xml:space="preserve"> $</w:t>
      </w:r>
      <w:r w:rsidRPr="00831921">
        <w:t>478,651</w:t>
      </w:r>
      <w:r>
        <w:t>.</w:t>
      </w:r>
      <w:r w:rsidRPr="00831921">
        <w:t xml:space="preserve"> </w:t>
      </w:r>
      <w:r>
        <w:t xml:space="preserve"> </w:t>
      </w:r>
      <w:r w:rsidRPr="00AA3A5D">
        <w:t>Labor rates are EBSA estimates.</w:t>
      </w:r>
    </w:p>
  </w:footnote>
  <w:footnote w:id="31">
    <w:p w14:paraId="73DBC5CC" w14:textId="77777777" w:rsidR="00553632" w:rsidRDefault="00553632" w:rsidP="00257092">
      <w:pPr>
        <w:pStyle w:val="FootnoteText"/>
      </w:pPr>
      <w:r>
        <w:rPr>
          <w:rStyle w:val="FootnoteReference"/>
        </w:rPr>
        <w:footnoteRef/>
      </w:r>
      <w:r>
        <w:t xml:space="preserve"> This is calculated as 4,899 / (1 - 0.25) = 6,532.</w:t>
      </w:r>
    </w:p>
  </w:footnote>
  <w:footnote w:id="32">
    <w:p w14:paraId="2266FEF4" w14:textId="77777777" w:rsidR="00553632" w:rsidRDefault="00553632" w:rsidP="00257092">
      <w:pPr>
        <w:pStyle w:val="FootnoteText"/>
      </w:pPr>
      <w:r>
        <w:rPr>
          <w:rStyle w:val="FootnoteReference"/>
        </w:rPr>
        <w:footnoteRef/>
      </w:r>
      <w:r>
        <w:t xml:space="preserve"> </w:t>
      </w:r>
      <w:r w:rsidRPr="00956E7F">
        <w:t xml:space="preserve">This is calculated </w:t>
      </w:r>
      <w:r>
        <w:t>6,532</w:t>
      </w:r>
      <w:r w:rsidRPr="00956E7F">
        <w:t xml:space="preserve"> x 0.05 x (</w:t>
      </w:r>
      <w:r>
        <w:t>$</w:t>
      </w:r>
      <w:r w:rsidRPr="00956E7F">
        <w:t xml:space="preserve">0.05 + </w:t>
      </w:r>
      <w:r>
        <w:t>$</w:t>
      </w:r>
      <w:r w:rsidRPr="00956E7F">
        <w:t>0.55)</w:t>
      </w:r>
      <w:r>
        <w:t xml:space="preserve"> </w:t>
      </w:r>
      <w:r w:rsidRPr="00956E7F">
        <w:t>= $</w:t>
      </w:r>
      <w:r>
        <w:t>196.</w:t>
      </w:r>
    </w:p>
  </w:footnote>
  <w:footnote w:id="33">
    <w:p w14:paraId="5FD3549F" w14:textId="77777777" w:rsidR="00553632" w:rsidRDefault="00553632" w:rsidP="00257092">
      <w:pPr>
        <w:pStyle w:val="FootnoteText"/>
        <w:tabs>
          <w:tab w:val="right" w:pos="9360"/>
        </w:tabs>
      </w:pPr>
      <w:r>
        <w:rPr>
          <w:rStyle w:val="FootnoteReference"/>
        </w:rPr>
        <w:footnoteRef/>
      </w:r>
      <w:r>
        <w:t xml:space="preserve"> This is calculated 4,899</w:t>
      </w:r>
      <w:r w:rsidRPr="00956E7F">
        <w:t xml:space="preserve"> x 0.05 x (</w:t>
      </w:r>
      <w:r>
        <w:t>$</w:t>
      </w:r>
      <w:r w:rsidRPr="00956E7F">
        <w:t xml:space="preserve">0.05 + </w:t>
      </w:r>
      <w:r>
        <w:t>$</w:t>
      </w:r>
      <w:r w:rsidRPr="00956E7F">
        <w:t>0.55)</w:t>
      </w:r>
      <w:r>
        <w:t xml:space="preserve"> </w:t>
      </w:r>
      <w:r w:rsidRPr="00956E7F">
        <w:t>= $</w:t>
      </w:r>
      <w:r>
        <w:t>147.</w:t>
      </w:r>
      <w:r>
        <w:tab/>
      </w:r>
    </w:p>
  </w:footnote>
  <w:footnote w:id="34">
    <w:p w14:paraId="0F891CF1" w14:textId="77777777" w:rsidR="00553632" w:rsidRDefault="00553632" w:rsidP="00257092">
      <w:pPr>
        <w:pStyle w:val="FootnoteText"/>
        <w:tabs>
          <w:tab w:val="right" w:pos="9360"/>
        </w:tabs>
      </w:pPr>
      <w:r>
        <w:rPr>
          <w:rStyle w:val="FootnoteReference"/>
        </w:rPr>
        <w:footnoteRef/>
      </w:r>
      <w:r>
        <w:t xml:space="preserve"> This is calculated 3,674</w:t>
      </w:r>
      <w:r w:rsidRPr="00956E7F">
        <w:t xml:space="preserve"> x 0.05 x (</w:t>
      </w:r>
      <w:r>
        <w:t>$</w:t>
      </w:r>
      <w:r w:rsidRPr="00956E7F">
        <w:t xml:space="preserve">0.05 + </w:t>
      </w:r>
      <w:r>
        <w:t>$</w:t>
      </w:r>
      <w:r w:rsidRPr="00956E7F">
        <w:t>0.55)</w:t>
      </w:r>
      <w:r>
        <w:t xml:space="preserve"> </w:t>
      </w:r>
      <w:r w:rsidRPr="00956E7F">
        <w:t>= $</w:t>
      </w:r>
      <w:r>
        <w:t>110.</w:t>
      </w:r>
      <w:r>
        <w:tab/>
      </w:r>
    </w:p>
  </w:footnote>
  <w:footnote w:id="35">
    <w:p w14:paraId="0D396F2A" w14:textId="42D697C6" w:rsidR="00553632" w:rsidRDefault="00553632" w:rsidP="00257092">
      <w:pPr>
        <w:pStyle w:val="FootnoteText"/>
        <w:tabs>
          <w:tab w:val="right" w:pos="9360"/>
        </w:tabs>
      </w:pPr>
      <w:r>
        <w:rPr>
          <w:rStyle w:val="FootnoteReference"/>
        </w:rPr>
        <w:footnoteRef/>
      </w:r>
      <w:r>
        <w:t xml:space="preserve"> This is calculated (4,899</w:t>
      </w:r>
      <w:r w:rsidRPr="00956E7F">
        <w:t xml:space="preserve"> x 0.05 x (</w:t>
      </w:r>
      <w:r>
        <w:t>$</w:t>
      </w:r>
      <w:r w:rsidRPr="00956E7F">
        <w:t xml:space="preserve">0.05 + </w:t>
      </w:r>
      <w:r>
        <w:t>$</w:t>
      </w:r>
      <w:r w:rsidRPr="00956E7F">
        <w:t>0.55)</w:t>
      </w:r>
      <w:r>
        <w:t xml:space="preserve">) + (4,899 x 0.05 x ($0.05 + $0.55)) </w:t>
      </w:r>
      <w:r w:rsidRPr="00956E7F">
        <w:t>= $</w:t>
      </w:r>
      <w:r>
        <w:t>294.</w:t>
      </w:r>
      <w:r>
        <w:tab/>
      </w:r>
    </w:p>
  </w:footnote>
  <w:footnote w:id="36">
    <w:p w14:paraId="6F6A5208" w14:textId="77777777" w:rsidR="00553632" w:rsidRDefault="00553632" w:rsidP="00257092">
      <w:pPr>
        <w:pStyle w:val="FootnoteText"/>
      </w:pPr>
      <w:r>
        <w:rPr>
          <w:rStyle w:val="FootnoteReference"/>
        </w:rPr>
        <w:footnoteRef/>
      </w:r>
      <w:r>
        <w:t xml:space="preserve"> </w:t>
      </w:r>
      <w:r w:rsidRPr="00986E43">
        <w:t>IDR Payment Determination Notification (ERISA 716(c</w:t>
      </w:r>
      <w:proofErr w:type="gramStart"/>
      <w:r w:rsidRPr="00986E43">
        <w:t>)(</w:t>
      </w:r>
      <w:proofErr w:type="gramEnd"/>
      <w:r w:rsidRPr="00986E43">
        <w:t>5)(A))</w:t>
      </w:r>
      <w:r>
        <w:t>.</w:t>
      </w:r>
    </w:p>
  </w:footnote>
  <w:footnote w:id="37">
    <w:p w14:paraId="5CD9EA73" w14:textId="77777777" w:rsidR="00553632" w:rsidRDefault="00553632" w:rsidP="00257092">
      <w:pPr>
        <w:pStyle w:val="FootnoteText"/>
      </w:pPr>
      <w:r>
        <w:rPr>
          <w:rStyle w:val="FootnoteReference"/>
        </w:rPr>
        <w:footnoteRef/>
      </w:r>
      <w:r>
        <w:t xml:space="preserve"> </w:t>
      </w:r>
      <w:r w:rsidRPr="00AA3A5D">
        <w:t xml:space="preserve">The burden is estimated as follows: </w:t>
      </w:r>
      <w:r>
        <w:t>(4,899 claims x 30 minutes</w:t>
      </w:r>
      <w:r w:rsidRPr="00AA3A5D">
        <w:t xml:space="preserve">) = </w:t>
      </w:r>
      <w:r>
        <w:t>2,449</w:t>
      </w:r>
      <w:r w:rsidRPr="00AA3A5D">
        <w:t xml:space="preserve"> hours</w:t>
      </w:r>
      <w:r>
        <w:t xml:space="preserve"> for providers and issuers</w:t>
      </w:r>
      <w:r w:rsidRPr="00AA3A5D">
        <w:t>.  A</w:t>
      </w:r>
      <w:r>
        <w:t xml:space="preserve"> </w:t>
      </w:r>
      <w:r w:rsidRPr="00AA3A5D">
        <w:t xml:space="preserve">labor rate of </w:t>
      </w:r>
      <w:r>
        <w:t>$55.23</w:t>
      </w:r>
      <w:r w:rsidRPr="00AA3A5D">
        <w:t xml:space="preserve"> is u</w:t>
      </w:r>
      <w:r>
        <w:t>sed for a clerical worker.  The labor rates are</w:t>
      </w:r>
      <w:r w:rsidRPr="00AA3A5D">
        <w:t xml:space="preserve"> applied in the following calculation: </w:t>
      </w:r>
      <w:r>
        <w:t>(4,899</w:t>
      </w:r>
      <w:r w:rsidRPr="00AA3A5D">
        <w:t xml:space="preserve"> claims x </w:t>
      </w:r>
      <w:r>
        <w:t>30 minutes</w:t>
      </w:r>
      <w:r w:rsidRPr="00AA3A5D">
        <w:t xml:space="preserve"> x </w:t>
      </w:r>
      <w:r>
        <w:t>$55.23) =</w:t>
      </w:r>
      <w:r w:rsidRPr="002F380B">
        <w:t xml:space="preserve"> $</w:t>
      </w:r>
      <w:r>
        <w:t>135,278</w:t>
      </w:r>
      <w:r w:rsidRPr="00AA3A5D">
        <w:t>.  Labor rates are EBSA estimates.</w:t>
      </w:r>
    </w:p>
  </w:footnote>
  <w:footnote w:id="38">
    <w:p w14:paraId="06E4BBE8" w14:textId="77777777" w:rsidR="00553632" w:rsidRDefault="00553632" w:rsidP="009B3C7D">
      <w:pPr>
        <w:pStyle w:val="FootnoteText"/>
      </w:pPr>
      <w:r>
        <w:rPr>
          <w:rStyle w:val="FootnoteReference"/>
        </w:rPr>
        <w:footnoteRef/>
      </w:r>
      <w:r>
        <w:t xml:space="preserve"> The burden is estimated as follows: (50 IDR entities x 5</w:t>
      </w:r>
      <w:r w:rsidRPr="00F16755">
        <w:t>.10</w:t>
      </w:r>
      <w:r>
        <w:t xml:space="preserve"> hours) + (50 IDR entities x 0.25 hours) = </w:t>
      </w:r>
      <w:r w:rsidRPr="00F16755">
        <w:t>268</w:t>
      </w:r>
      <w:r>
        <w:t xml:space="preserve"> hours.  </w:t>
      </w:r>
      <w:r w:rsidRPr="00970880">
        <w:t xml:space="preserve">A labor rate of </w:t>
      </w:r>
      <w:r>
        <w:t>$105.01</w:t>
      </w:r>
      <w:r w:rsidRPr="00970880">
        <w:t xml:space="preserve"> is used for </w:t>
      </w:r>
      <w:r w:rsidRPr="0075307C">
        <w:t>a medical and health services manager</w:t>
      </w:r>
      <w:r w:rsidRPr="00970880">
        <w:t xml:space="preserve"> and a labor rate of </w:t>
      </w:r>
      <w:r>
        <w:t>$55.23</w:t>
      </w:r>
      <w:r w:rsidRPr="00970880">
        <w:t xml:space="preserve"> is used for a clerical worker.  </w:t>
      </w:r>
      <w:r w:rsidRPr="00F16755">
        <w:t>The labor rates are applied in the following calculation: (50 IDR entities x 5.10 hours x $105.01) + (50 IDR entities x 0.25 hours x $55.23) = $27,468.</w:t>
      </w:r>
    </w:p>
  </w:footnote>
  <w:footnote w:id="39">
    <w:p w14:paraId="5AC2D2FB" w14:textId="77777777" w:rsidR="00553632" w:rsidRDefault="00553632" w:rsidP="009B3C7D">
      <w:pPr>
        <w:pStyle w:val="FootnoteText"/>
      </w:pPr>
      <w:r>
        <w:rPr>
          <w:rStyle w:val="FootnoteReference"/>
        </w:rPr>
        <w:footnoteRef/>
      </w:r>
      <w:r>
        <w:t xml:space="preserve"> </w:t>
      </w:r>
      <w:r w:rsidRPr="00AA3A5D">
        <w:t xml:space="preserve">The burden is estimated as follows: </w:t>
      </w:r>
      <w:r>
        <w:t>(18</w:t>
      </w:r>
      <w:r w:rsidRPr="00AA3A5D">
        <w:t xml:space="preserve"> hours</w:t>
      </w:r>
      <w:r>
        <w:t xml:space="preserve"> x $55.23</w:t>
      </w:r>
      <w:r w:rsidRPr="00AA3A5D">
        <w:t xml:space="preserve">) = </w:t>
      </w:r>
      <w:r>
        <w:t>$994.14</w:t>
      </w:r>
      <w:r w:rsidRPr="00AA3A5D">
        <w:t xml:space="preserve"> </w:t>
      </w:r>
      <w:r>
        <w:t>each IDR entity</w:t>
      </w:r>
      <w:r w:rsidRPr="00AA3A5D">
        <w:t>.  A</w:t>
      </w:r>
      <w:r>
        <w:t xml:space="preserve"> </w:t>
      </w:r>
      <w:r w:rsidRPr="00AA3A5D">
        <w:t xml:space="preserve">labor rate of </w:t>
      </w:r>
      <w:r>
        <w:t>$55.23</w:t>
      </w:r>
      <w:r w:rsidRPr="00AA3A5D">
        <w:t xml:space="preserve"> is u</w:t>
      </w:r>
      <w:r>
        <w:t>sed for a clerical worker.  The labor rates are</w:t>
      </w:r>
      <w:r w:rsidRPr="00AA3A5D">
        <w:t xml:space="preserve"> applied in the following calculation: </w:t>
      </w:r>
      <w:r>
        <w:t>(50 x 18 hours</w:t>
      </w:r>
      <w:r w:rsidRPr="00AA3A5D">
        <w:t xml:space="preserve"> x </w:t>
      </w:r>
      <w:r>
        <w:t>$55.23) =</w:t>
      </w:r>
      <w:r w:rsidRPr="002F380B">
        <w:t xml:space="preserve"> $</w:t>
      </w:r>
      <w:r w:rsidRPr="00635CDE">
        <w:t>49,707</w:t>
      </w:r>
      <w:r w:rsidRPr="00AA3A5D">
        <w:t>.  Labor rates are EBSA estimates.</w:t>
      </w:r>
    </w:p>
  </w:footnote>
  <w:footnote w:id="40">
    <w:p w14:paraId="75E93A29" w14:textId="77777777" w:rsidR="00553632" w:rsidRDefault="00553632" w:rsidP="009B3C7D">
      <w:pPr>
        <w:pStyle w:val="FootnoteText"/>
      </w:pPr>
      <w:r>
        <w:rPr>
          <w:rStyle w:val="FootnoteReference"/>
        </w:rPr>
        <w:footnoteRef/>
      </w:r>
      <w:r>
        <w:t xml:space="preserve"> The burden is estimated as follows: (50 IDR entities x 1/5 x 2</w:t>
      </w:r>
      <w:r w:rsidRPr="008222C2">
        <w:t>.1</w:t>
      </w:r>
      <w:r>
        <w:t xml:space="preserve"> hours) + (50 IDR entities x 1/5 x 0.25 hours) = 2</w:t>
      </w:r>
      <w:r w:rsidRPr="008222C2">
        <w:t>4</w:t>
      </w:r>
      <w:r>
        <w:t xml:space="preserve"> hours.  </w:t>
      </w:r>
      <w:r w:rsidRPr="00970880">
        <w:t xml:space="preserve">A labor rate of </w:t>
      </w:r>
      <w:r>
        <w:t>$105.01</w:t>
      </w:r>
      <w:r w:rsidRPr="00970880">
        <w:t xml:space="preserve"> is used for </w:t>
      </w:r>
      <w:r w:rsidRPr="0075307C">
        <w:t xml:space="preserve">a medical and health services manager </w:t>
      </w:r>
      <w:r w:rsidRPr="00970880">
        <w:t xml:space="preserve">and a labor rate of </w:t>
      </w:r>
      <w:r>
        <w:t>$55.23</w:t>
      </w:r>
      <w:r w:rsidRPr="00970880">
        <w:t xml:space="preserve"> is used for a clerical worker.  </w:t>
      </w:r>
      <w:r w:rsidRPr="008222C2">
        <w:t>The labor rates are applied in the following calculation: (50 IDR entities x 1/5 x 2.1 hours x $105.01) + (50 IDR entities x 1/5 x 0.25 hours x $55.23) = $2,343.</w:t>
      </w:r>
    </w:p>
  </w:footnote>
  <w:footnote w:id="41">
    <w:p w14:paraId="266DFB31" w14:textId="77777777" w:rsidR="00553632" w:rsidRDefault="00553632" w:rsidP="009B3C7D">
      <w:pPr>
        <w:pStyle w:val="FootnoteText"/>
      </w:pPr>
      <w:r>
        <w:rPr>
          <w:rStyle w:val="FootnoteReference"/>
        </w:rPr>
        <w:footnoteRef/>
      </w:r>
      <w:r>
        <w:t xml:space="preserve"> The burden is estimated as follows: (3 IDR entities x 2 hours) + (3 IDR entities x 0.25 hours) = 6 hours.  </w:t>
      </w:r>
      <w:r w:rsidRPr="00970880">
        <w:t xml:space="preserve">A labor rate of </w:t>
      </w:r>
      <w:r>
        <w:t>$105.01</w:t>
      </w:r>
      <w:r w:rsidRPr="00970880">
        <w:t xml:space="preserve"> is used for </w:t>
      </w:r>
      <w:r>
        <w:t xml:space="preserve">a </w:t>
      </w:r>
      <w:r w:rsidRPr="00BE3819">
        <w:t>medical and health services manager</w:t>
      </w:r>
      <w:r w:rsidRPr="00970880">
        <w:t xml:space="preserve"> and a labor rate of </w:t>
      </w:r>
      <w:r>
        <w:t>$55.23</w:t>
      </w:r>
      <w:r w:rsidRPr="00970880">
        <w:t xml:space="preserve"> is used for a clerical worker.  </w:t>
      </w:r>
      <w:r>
        <w:t>The labor rates are applied in the following calculation: (3 IDR entities x 2 hours x $105.01) + (3 IDR entities x 0.25 hours x $55.23) = $</w:t>
      </w:r>
      <w:r w:rsidRPr="00E85D1F">
        <w:t>560</w:t>
      </w:r>
      <w:r>
        <w:t>.</w:t>
      </w:r>
    </w:p>
  </w:footnote>
  <w:footnote w:id="42">
    <w:p w14:paraId="0079997B" w14:textId="77777777" w:rsidR="00553632" w:rsidRDefault="00553632" w:rsidP="009B3C7D">
      <w:pPr>
        <w:pStyle w:val="FootnoteText"/>
      </w:pPr>
      <w:r>
        <w:rPr>
          <w:rStyle w:val="FootnoteReference"/>
        </w:rPr>
        <w:footnoteRef/>
      </w:r>
      <w:r>
        <w:t xml:space="preserve"> The burden is estimated as follows: (50 IDR entities x 1 hour x 12 reports annually) + (50 IDR entities x 0.25 hours x 12 reports annually) = 750 hours.  </w:t>
      </w:r>
      <w:r w:rsidRPr="00970880">
        <w:t xml:space="preserve">A labor rate of </w:t>
      </w:r>
      <w:r>
        <w:t xml:space="preserve">$105.01 </w:t>
      </w:r>
      <w:r w:rsidRPr="00970880">
        <w:t xml:space="preserve">is used for </w:t>
      </w:r>
      <w:r>
        <w:t xml:space="preserve">a </w:t>
      </w:r>
      <w:r w:rsidRPr="00BE3819">
        <w:t xml:space="preserve">medical and health services manager </w:t>
      </w:r>
      <w:r w:rsidRPr="00970880">
        <w:t xml:space="preserve">and a labor rate of </w:t>
      </w:r>
      <w:r>
        <w:t>$55.23</w:t>
      </w:r>
      <w:r w:rsidRPr="00970880">
        <w:t xml:space="preserve"> is used for a clerical worker.  </w:t>
      </w:r>
      <w:r>
        <w:t>The labor rates are applied in the following calculation: (200 IDR entities x 1 hour x 12 reports x $105.01) + (200 IDR entities x 0.25 hours x 12 reports x $55.23) = $</w:t>
      </w:r>
      <w:r w:rsidRPr="001B79F0">
        <w:t>71,291</w:t>
      </w:r>
      <w:r>
        <w:t>.</w:t>
      </w:r>
    </w:p>
  </w:footnote>
  <w:footnote w:id="43">
    <w:p w14:paraId="422021A0" w14:textId="77777777" w:rsidR="00553632" w:rsidRDefault="00553632" w:rsidP="00821140">
      <w:pPr>
        <w:pStyle w:val="FootnoteText"/>
      </w:pPr>
      <w:r>
        <w:rPr>
          <w:rStyle w:val="FootnoteReference"/>
        </w:rPr>
        <w:footnoteRef/>
      </w:r>
      <w:r>
        <w:t xml:space="preserve"> </w:t>
      </w:r>
      <w:r w:rsidRPr="002672B1">
        <w:t>The bur</w:t>
      </w:r>
      <w:r>
        <w:t>den is estimated as follows: (3 certified IDR entities x 1 hour) + (3 certified IDR entities x 0.75 hour) = 5</w:t>
      </w:r>
      <w:r w:rsidRPr="002672B1">
        <w:t xml:space="preserve"> hours.  A labor rate of $105.01 is used for a medical and health services manager and a labor rate of $55.23 is used for a clerical worker.  The labor rates are applied in the following calculation: (</w:t>
      </w:r>
      <w:r>
        <w:t>3</w:t>
      </w:r>
      <w:r w:rsidRPr="002672B1">
        <w:t xml:space="preserve"> </w:t>
      </w:r>
      <w:r>
        <w:t xml:space="preserve">certified </w:t>
      </w:r>
      <w:r w:rsidRPr="002672B1">
        <w:t>IDR entities x 1 hour x $105.01) + (</w:t>
      </w:r>
      <w:r>
        <w:t>3 certified IDR entities x 0.75 hour x</w:t>
      </w:r>
      <w:r w:rsidRPr="002672B1">
        <w:t xml:space="preserve"> $122.55</w:t>
      </w:r>
      <w:r>
        <w:t>) = $591</w:t>
      </w:r>
      <w:r w:rsidRPr="002672B1">
        <w:t>.</w:t>
      </w:r>
    </w:p>
  </w:footnote>
  <w:footnote w:id="44">
    <w:p w14:paraId="65B6D7EE" w14:textId="77777777" w:rsidR="00553632" w:rsidRDefault="00553632" w:rsidP="00821140">
      <w:pPr>
        <w:pStyle w:val="FootnoteText"/>
      </w:pPr>
      <w:r>
        <w:rPr>
          <w:rStyle w:val="FootnoteReference"/>
        </w:rPr>
        <w:footnoteRef/>
      </w:r>
      <w:r>
        <w:t xml:space="preserve"> This is calculated 3</w:t>
      </w:r>
      <w:r w:rsidRPr="000C53D9">
        <w:t xml:space="preserve"> x 0.05 x ($0.05 + $0.55) = $</w:t>
      </w:r>
      <w:r>
        <w:t>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309FE" w14:textId="77777777" w:rsidR="00553632" w:rsidRDefault="00553632" w:rsidP="00232503">
    <w:pPr>
      <w:rPr>
        <w:b/>
        <w:bCs/>
        <w:sz w:val="20"/>
        <w:szCs w:val="20"/>
      </w:rPr>
    </w:pPr>
    <w:r>
      <w:rPr>
        <w:b/>
        <w:bCs/>
        <w:sz w:val="20"/>
        <w:szCs w:val="20"/>
      </w:rPr>
      <w:t xml:space="preserve">Independent Dispute Resolution Process </w:t>
    </w:r>
  </w:p>
  <w:p w14:paraId="3AD33196" w14:textId="77777777" w:rsidR="00553632" w:rsidRDefault="00553632" w:rsidP="00232503">
    <w:pPr>
      <w:rPr>
        <w:sz w:val="20"/>
        <w:szCs w:val="20"/>
      </w:rPr>
    </w:pPr>
    <w:r>
      <w:rPr>
        <w:b/>
        <w:bCs/>
        <w:sz w:val="20"/>
        <w:szCs w:val="20"/>
      </w:rPr>
      <w:t>OMB Control No. 1210-NEW</w:t>
    </w:r>
  </w:p>
  <w:p w14:paraId="532218F0" w14:textId="77777777" w:rsidR="00553632" w:rsidRPr="00304EF3" w:rsidRDefault="00553632" w:rsidP="0030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EC10D0"/>
    <w:multiLevelType w:val="hybridMultilevel"/>
    <w:tmpl w:val="6934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20943"/>
    <w:multiLevelType w:val="hybridMultilevel"/>
    <w:tmpl w:val="FE50F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A47A97"/>
    <w:multiLevelType w:val="hybridMultilevel"/>
    <w:tmpl w:val="6B96B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6" w15:restartNumberingAfterBreak="0">
    <w:nsid w:val="64B66D05"/>
    <w:multiLevelType w:val="hybridMultilevel"/>
    <w:tmpl w:val="4BE88C48"/>
    <w:lvl w:ilvl="0" w:tplc="DD12843A">
      <w:start w:val="1"/>
      <w:numFmt w:val="lowerRoman"/>
      <w:lvlText w:val="%1."/>
      <w:lvlJc w:val="left"/>
      <w:pPr>
        <w:ind w:left="1440" w:hanging="720"/>
      </w:pPr>
      <w:rPr>
        <w:rFonts w:ascii="Times New Roman" w:hAnsi="Times New Roman" w:cs="Times New Roman" w:hint="default"/>
        <w:i/>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5A3015"/>
    <w:multiLevelType w:val="hybridMultilevel"/>
    <w:tmpl w:val="9D125290"/>
    <w:lvl w:ilvl="0" w:tplc="DD12843A">
      <w:start w:val="1"/>
      <w:numFmt w:val="lowerRoman"/>
      <w:lvlText w:val="%1."/>
      <w:lvlJc w:val="left"/>
      <w:pPr>
        <w:ind w:left="1440" w:hanging="360"/>
      </w:pPr>
      <w:rPr>
        <w:rFonts w:ascii="Times New Roman" w:hAnsi="Times New Roman" w:cs="Times New Roman" w:hint="default"/>
        <w:i/>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5"/>
  </w:num>
  <w:num w:numId="5">
    <w:abstractNumId w:val="1"/>
  </w:num>
  <w:num w:numId="6">
    <w:abstractNumId w:val="0"/>
    <w:lvlOverride w:ilvl="0">
      <w:startOverride w:val="3"/>
      <w:lvl w:ilvl="0">
        <w:start w:val="3"/>
        <w:numFmt w:val="decimal"/>
        <w:pStyle w:val="Quick1"/>
        <w:lvlText w:val="%1."/>
        <w:lvlJc w:val="left"/>
      </w:lvl>
    </w:lvlOverride>
  </w:num>
  <w:num w:numId="7">
    <w:abstractNumId w:val="4"/>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71"/>
    <w:rsid w:val="000018A2"/>
    <w:rsid w:val="00002344"/>
    <w:rsid w:val="00002677"/>
    <w:rsid w:val="00004549"/>
    <w:rsid w:val="00004F40"/>
    <w:rsid w:val="00005892"/>
    <w:rsid w:val="000067E1"/>
    <w:rsid w:val="00006A50"/>
    <w:rsid w:val="00010A09"/>
    <w:rsid w:val="00011C8D"/>
    <w:rsid w:val="00012726"/>
    <w:rsid w:val="000130B6"/>
    <w:rsid w:val="00014077"/>
    <w:rsid w:val="00014178"/>
    <w:rsid w:val="0001487A"/>
    <w:rsid w:val="00014B9C"/>
    <w:rsid w:val="00014C15"/>
    <w:rsid w:val="000153FC"/>
    <w:rsid w:val="00016171"/>
    <w:rsid w:val="00016C2A"/>
    <w:rsid w:val="000212B4"/>
    <w:rsid w:val="0002297E"/>
    <w:rsid w:val="000233FB"/>
    <w:rsid w:val="00023515"/>
    <w:rsid w:val="000248A9"/>
    <w:rsid w:val="00024971"/>
    <w:rsid w:val="00026131"/>
    <w:rsid w:val="00026B86"/>
    <w:rsid w:val="00026E4E"/>
    <w:rsid w:val="000275F5"/>
    <w:rsid w:val="00027DBF"/>
    <w:rsid w:val="00033811"/>
    <w:rsid w:val="00033D73"/>
    <w:rsid w:val="000342D1"/>
    <w:rsid w:val="000350FE"/>
    <w:rsid w:val="00037371"/>
    <w:rsid w:val="000400DD"/>
    <w:rsid w:val="0004172A"/>
    <w:rsid w:val="00042B10"/>
    <w:rsid w:val="00043562"/>
    <w:rsid w:val="00045DCA"/>
    <w:rsid w:val="0004763E"/>
    <w:rsid w:val="00050690"/>
    <w:rsid w:val="0005096B"/>
    <w:rsid w:val="00051637"/>
    <w:rsid w:val="00051918"/>
    <w:rsid w:val="00051F9A"/>
    <w:rsid w:val="0005370C"/>
    <w:rsid w:val="000541B8"/>
    <w:rsid w:val="0005424F"/>
    <w:rsid w:val="000549D9"/>
    <w:rsid w:val="000556E3"/>
    <w:rsid w:val="00056124"/>
    <w:rsid w:val="0005663C"/>
    <w:rsid w:val="00056965"/>
    <w:rsid w:val="000575A8"/>
    <w:rsid w:val="00057913"/>
    <w:rsid w:val="00057AF3"/>
    <w:rsid w:val="00057C2B"/>
    <w:rsid w:val="00062D82"/>
    <w:rsid w:val="00062F90"/>
    <w:rsid w:val="00064DAE"/>
    <w:rsid w:val="00064E9B"/>
    <w:rsid w:val="000656B4"/>
    <w:rsid w:val="00066939"/>
    <w:rsid w:val="000674BC"/>
    <w:rsid w:val="00067C35"/>
    <w:rsid w:val="00067E24"/>
    <w:rsid w:val="000702BB"/>
    <w:rsid w:val="0007110F"/>
    <w:rsid w:val="00071A10"/>
    <w:rsid w:val="00072800"/>
    <w:rsid w:val="00073549"/>
    <w:rsid w:val="000739FD"/>
    <w:rsid w:val="00074CCD"/>
    <w:rsid w:val="000804C6"/>
    <w:rsid w:val="00081DA0"/>
    <w:rsid w:val="00082248"/>
    <w:rsid w:val="00082AB6"/>
    <w:rsid w:val="000839E5"/>
    <w:rsid w:val="000848C2"/>
    <w:rsid w:val="00085B68"/>
    <w:rsid w:val="000862EB"/>
    <w:rsid w:val="000867B8"/>
    <w:rsid w:val="00090343"/>
    <w:rsid w:val="0009069B"/>
    <w:rsid w:val="00091152"/>
    <w:rsid w:val="0009159A"/>
    <w:rsid w:val="0009178D"/>
    <w:rsid w:val="000921F5"/>
    <w:rsid w:val="00092362"/>
    <w:rsid w:val="00092412"/>
    <w:rsid w:val="00094BF0"/>
    <w:rsid w:val="00094DD9"/>
    <w:rsid w:val="000957A8"/>
    <w:rsid w:val="0009616A"/>
    <w:rsid w:val="00096656"/>
    <w:rsid w:val="00097258"/>
    <w:rsid w:val="000A1BB9"/>
    <w:rsid w:val="000A3912"/>
    <w:rsid w:val="000A441E"/>
    <w:rsid w:val="000A6DD7"/>
    <w:rsid w:val="000A74AE"/>
    <w:rsid w:val="000B069B"/>
    <w:rsid w:val="000B0783"/>
    <w:rsid w:val="000B2B5F"/>
    <w:rsid w:val="000B4300"/>
    <w:rsid w:val="000B46B4"/>
    <w:rsid w:val="000B4DC1"/>
    <w:rsid w:val="000B56FD"/>
    <w:rsid w:val="000B6775"/>
    <w:rsid w:val="000B7A62"/>
    <w:rsid w:val="000B7A90"/>
    <w:rsid w:val="000C18F0"/>
    <w:rsid w:val="000C27BB"/>
    <w:rsid w:val="000C3AB0"/>
    <w:rsid w:val="000C476F"/>
    <w:rsid w:val="000C4D62"/>
    <w:rsid w:val="000C5D5D"/>
    <w:rsid w:val="000C5F1C"/>
    <w:rsid w:val="000C640F"/>
    <w:rsid w:val="000C6F39"/>
    <w:rsid w:val="000C7E17"/>
    <w:rsid w:val="000D0E2E"/>
    <w:rsid w:val="000D1E91"/>
    <w:rsid w:val="000D2AE3"/>
    <w:rsid w:val="000D35DB"/>
    <w:rsid w:val="000D39BB"/>
    <w:rsid w:val="000D3F1D"/>
    <w:rsid w:val="000D44DA"/>
    <w:rsid w:val="000D4586"/>
    <w:rsid w:val="000E0A56"/>
    <w:rsid w:val="000E2397"/>
    <w:rsid w:val="000E339E"/>
    <w:rsid w:val="000E3BA6"/>
    <w:rsid w:val="000E4666"/>
    <w:rsid w:val="000E4B78"/>
    <w:rsid w:val="000E59A8"/>
    <w:rsid w:val="000E640B"/>
    <w:rsid w:val="000E6AB2"/>
    <w:rsid w:val="000E6B5E"/>
    <w:rsid w:val="000F0B43"/>
    <w:rsid w:val="000F20D7"/>
    <w:rsid w:val="000F2FBE"/>
    <w:rsid w:val="000F34B0"/>
    <w:rsid w:val="000F457E"/>
    <w:rsid w:val="000F4CAB"/>
    <w:rsid w:val="000F55E3"/>
    <w:rsid w:val="000F58CC"/>
    <w:rsid w:val="000F605B"/>
    <w:rsid w:val="000F6ADB"/>
    <w:rsid w:val="000F783A"/>
    <w:rsid w:val="00100090"/>
    <w:rsid w:val="00100104"/>
    <w:rsid w:val="00100CD9"/>
    <w:rsid w:val="00101136"/>
    <w:rsid w:val="0010374C"/>
    <w:rsid w:val="00103782"/>
    <w:rsid w:val="001037D1"/>
    <w:rsid w:val="00103BEF"/>
    <w:rsid w:val="00103F53"/>
    <w:rsid w:val="00106152"/>
    <w:rsid w:val="00107E1B"/>
    <w:rsid w:val="0011009C"/>
    <w:rsid w:val="001101BA"/>
    <w:rsid w:val="001122F7"/>
    <w:rsid w:val="0011299B"/>
    <w:rsid w:val="00113180"/>
    <w:rsid w:val="00114A95"/>
    <w:rsid w:val="00114F4A"/>
    <w:rsid w:val="00114FF4"/>
    <w:rsid w:val="00115831"/>
    <w:rsid w:val="00116500"/>
    <w:rsid w:val="00120E40"/>
    <w:rsid w:val="001212BB"/>
    <w:rsid w:val="001217D8"/>
    <w:rsid w:val="001219CA"/>
    <w:rsid w:val="00122A1A"/>
    <w:rsid w:val="001233FA"/>
    <w:rsid w:val="001236EE"/>
    <w:rsid w:val="00123F0C"/>
    <w:rsid w:val="00126974"/>
    <w:rsid w:val="001279DF"/>
    <w:rsid w:val="00130443"/>
    <w:rsid w:val="001311CF"/>
    <w:rsid w:val="00131470"/>
    <w:rsid w:val="00132464"/>
    <w:rsid w:val="00132A1F"/>
    <w:rsid w:val="00132D53"/>
    <w:rsid w:val="00134E37"/>
    <w:rsid w:val="00136A56"/>
    <w:rsid w:val="001401E6"/>
    <w:rsid w:val="00140362"/>
    <w:rsid w:val="00140A1E"/>
    <w:rsid w:val="00140E3D"/>
    <w:rsid w:val="00141321"/>
    <w:rsid w:val="0014358E"/>
    <w:rsid w:val="001436E2"/>
    <w:rsid w:val="0014498F"/>
    <w:rsid w:val="001464DE"/>
    <w:rsid w:val="00146886"/>
    <w:rsid w:val="00146A45"/>
    <w:rsid w:val="00146E5C"/>
    <w:rsid w:val="00147D84"/>
    <w:rsid w:val="00150A92"/>
    <w:rsid w:val="00151C91"/>
    <w:rsid w:val="00152104"/>
    <w:rsid w:val="001527A7"/>
    <w:rsid w:val="00153A3C"/>
    <w:rsid w:val="00154277"/>
    <w:rsid w:val="00154982"/>
    <w:rsid w:val="00154B1E"/>
    <w:rsid w:val="00154C16"/>
    <w:rsid w:val="00155AEE"/>
    <w:rsid w:val="0015638F"/>
    <w:rsid w:val="00156E6B"/>
    <w:rsid w:val="0016166A"/>
    <w:rsid w:val="001621BC"/>
    <w:rsid w:val="001627EC"/>
    <w:rsid w:val="0016296C"/>
    <w:rsid w:val="00162DA5"/>
    <w:rsid w:val="00162FE3"/>
    <w:rsid w:val="00163975"/>
    <w:rsid w:val="00163A2E"/>
    <w:rsid w:val="00163F35"/>
    <w:rsid w:val="00164F5B"/>
    <w:rsid w:val="00165366"/>
    <w:rsid w:val="00165716"/>
    <w:rsid w:val="0016652D"/>
    <w:rsid w:val="001703A6"/>
    <w:rsid w:val="001730B7"/>
    <w:rsid w:val="00174A6C"/>
    <w:rsid w:val="00176580"/>
    <w:rsid w:val="001766AF"/>
    <w:rsid w:val="00177F29"/>
    <w:rsid w:val="00181A8C"/>
    <w:rsid w:val="00181B04"/>
    <w:rsid w:val="00181E16"/>
    <w:rsid w:val="001842D5"/>
    <w:rsid w:val="00184856"/>
    <w:rsid w:val="00185878"/>
    <w:rsid w:val="00185E02"/>
    <w:rsid w:val="00186B51"/>
    <w:rsid w:val="001875C8"/>
    <w:rsid w:val="00187E8D"/>
    <w:rsid w:val="00190354"/>
    <w:rsid w:val="0019159B"/>
    <w:rsid w:val="00194E50"/>
    <w:rsid w:val="00196B22"/>
    <w:rsid w:val="00197B5B"/>
    <w:rsid w:val="00197EC1"/>
    <w:rsid w:val="001A1332"/>
    <w:rsid w:val="001A29BF"/>
    <w:rsid w:val="001A35BC"/>
    <w:rsid w:val="001A6869"/>
    <w:rsid w:val="001A73E5"/>
    <w:rsid w:val="001A75A6"/>
    <w:rsid w:val="001A7945"/>
    <w:rsid w:val="001B07B6"/>
    <w:rsid w:val="001B132A"/>
    <w:rsid w:val="001B172F"/>
    <w:rsid w:val="001B2052"/>
    <w:rsid w:val="001B2B8E"/>
    <w:rsid w:val="001B7AD7"/>
    <w:rsid w:val="001B7E47"/>
    <w:rsid w:val="001C116D"/>
    <w:rsid w:val="001C1217"/>
    <w:rsid w:val="001C20F5"/>
    <w:rsid w:val="001C37FC"/>
    <w:rsid w:val="001C39DE"/>
    <w:rsid w:val="001D15AE"/>
    <w:rsid w:val="001D35D7"/>
    <w:rsid w:val="001D3F19"/>
    <w:rsid w:val="001D4448"/>
    <w:rsid w:val="001D52F1"/>
    <w:rsid w:val="001D5F15"/>
    <w:rsid w:val="001D6344"/>
    <w:rsid w:val="001D678A"/>
    <w:rsid w:val="001D6AC5"/>
    <w:rsid w:val="001D7701"/>
    <w:rsid w:val="001E0DBA"/>
    <w:rsid w:val="001E0E41"/>
    <w:rsid w:val="001E12BC"/>
    <w:rsid w:val="001E2AF0"/>
    <w:rsid w:val="001E3889"/>
    <w:rsid w:val="001E42F5"/>
    <w:rsid w:val="001E472B"/>
    <w:rsid w:val="001E61A8"/>
    <w:rsid w:val="001E65AA"/>
    <w:rsid w:val="001E6866"/>
    <w:rsid w:val="001E7130"/>
    <w:rsid w:val="001E7816"/>
    <w:rsid w:val="001E7D57"/>
    <w:rsid w:val="001F065E"/>
    <w:rsid w:val="001F12E7"/>
    <w:rsid w:val="001F22FA"/>
    <w:rsid w:val="001F3811"/>
    <w:rsid w:val="001F3AFD"/>
    <w:rsid w:val="001F6144"/>
    <w:rsid w:val="001F73B4"/>
    <w:rsid w:val="002003A4"/>
    <w:rsid w:val="0020071A"/>
    <w:rsid w:val="00200FCC"/>
    <w:rsid w:val="00202941"/>
    <w:rsid w:val="0020340E"/>
    <w:rsid w:val="00204820"/>
    <w:rsid w:val="002054DF"/>
    <w:rsid w:val="00206A1D"/>
    <w:rsid w:val="00206F71"/>
    <w:rsid w:val="002072EF"/>
    <w:rsid w:val="00210D62"/>
    <w:rsid w:val="00210F97"/>
    <w:rsid w:val="0021139A"/>
    <w:rsid w:val="00211AC1"/>
    <w:rsid w:val="00213A20"/>
    <w:rsid w:val="00214673"/>
    <w:rsid w:val="002146B3"/>
    <w:rsid w:val="002160E5"/>
    <w:rsid w:val="00216ADB"/>
    <w:rsid w:val="002177CE"/>
    <w:rsid w:val="00222075"/>
    <w:rsid w:val="00222CAC"/>
    <w:rsid w:val="00223C2E"/>
    <w:rsid w:val="00223FB8"/>
    <w:rsid w:val="002243B8"/>
    <w:rsid w:val="0022537B"/>
    <w:rsid w:val="00225473"/>
    <w:rsid w:val="002255F6"/>
    <w:rsid w:val="00225EB5"/>
    <w:rsid w:val="00227C5C"/>
    <w:rsid w:val="00227EDD"/>
    <w:rsid w:val="00230CFC"/>
    <w:rsid w:val="00230D34"/>
    <w:rsid w:val="0023117E"/>
    <w:rsid w:val="00231E7D"/>
    <w:rsid w:val="00231EF9"/>
    <w:rsid w:val="002322D7"/>
    <w:rsid w:val="00232503"/>
    <w:rsid w:val="002326E4"/>
    <w:rsid w:val="00233509"/>
    <w:rsid w:val="0023492D"/>
    <w:rsid w:val="00234B85"/>
    <w:rsid w:val="002360AB"/>
    <w:rsid w:val="0023785D"/>
    <w:rsid w:val="00237993"/>
    <w:rsid w:val="00237DB0"/>
    <w:rsid w:val="0024091D"/>
    <w:rsid w:val="002411B2"/>
    <w:rsid w:val="00241E19"/>
    <w:rsid w:val="00242703"/>
    <w:rsid w:val="00244ACF"/>
    <w:rsid w:val="00244EE2"/>
    <w:rsid w:val="00246A18"/>
    <w:rsid w:val="00247331"/>
    <w:rsid w:val="00247672"/>
    <w:rsid w:val="00247D7B"/>
    <w:rsid w:val="00250649"/>
    <w:rsid w:val="00251208"/>
    <w:rsid w:val="002512A8"/>
    <w:rsid w:val="00252550"/>
    <w:rsid w:val="00253D16"/>
    <w:rsid w:val="00254488"/>
    <w:rsid w:val="00254A41"/>
    <w:rsid w:val="00254DD7"/>
    <w:rsid w:val="0025594B"/>
    <w:rsid w:val="00255F97"/>
    <w:rsid w:val="002562A0"/>
    <w:rsid w:val="00257092"/>
    <w:rsid w:val="002576E1"/>
    <w:rsid w:val="00260CFF"/>
    <w:rsid w:val="00262ECD"/>
    <w:rsid w:val="00263306"/>
    <w:rsid w:val="002637B8"/>
    <w:rsid w:val="00263B6A"/>
    <w:rsid w:val="00263F42"/>
    <w:rsid w:val="00265221"/>
    <w:rsid w:val="00265CEC"/>
    <w:rsid w:val="00266B53"/>
    <w:rsid w:val="00266D16"/>
    <w:rsid w:val="00267AD4"/>
    <w:rsid w:val="00271257"/>
    <w:rsid w:val="00271DF0"/>
    <w:rsid w:val="0027461A"/>
    <w:rsid w:val="002750E7"/>
    <w:rsid w:val="00275139"/>
    <w:rsid w:val="00275733"/>
    <w:rsid w:val="002804D4"/>
    <w:rsid w:val="002808E1"/>
    <w:rsid w:val="0028109D"/>
    <w:rsid w:val="00284228"/>
    <w:rsid w:val="002870C9"/>
    <w:rsid w:val="002873CE"/>
    <w:rsid w:val="00287E9B"/>
    <w:rsid w:val="00291D06"/>
    <w:rsid w:val="00292AA1"/>
    <w:rsid w:val="00293011"/>
    <w:rsid w:val="002933C9"/>
    <w:rsid w:val="002937C9"/>
    <w:rsid w:val="00293E37"/>
    <w:rsid w:val="002952E2"/>
    <w:rsid w:val="00295D3F"/>
    <w:rsid w:val="0029675C"/>
    <w:rsid w:val="00296AD0"/>
    <w:rsid w:val="00297B70"/>
    <w:rsid w:val="00297CA7"/>
    <w:rsid w:val="002A04CB"/>
    <w:rsid w:val="002A0790"/>
    <w:rsid w:val="002A11BC"/>
    <w:rsid w:val="002A43ED"/>
    <w:rsid w:val="002A661E"/>
    <w:rsid w:val="002A6B5A"/>
    <w:rsid w:val="002A7B50"/>
    <w:rsid w:val="002B1784"/>
    <w:rsid w:val="002B2002"/>
    <w:rsid w:val="002B2065"/>
    <w:rsid w:val="002B31E9"/>
    <w:rsid w:val="002B3441"/>
    <w:rsid w:val="002B39B7"/>
    <w:rsid w:val="002B3ED7"/>
    <w:rsid w:val="002B4B94"/>
    <w:rsid w:val="002B4BE2"/>
    <w:rsid w:val="002B5D43"/>
    <w:rsid w:val="002B5E05"/>
    <w:rsid w:val="002B6153"/>
    <w:rsid w:val="002B6D25"/>
    <w:rsid w:val="002B706B"/>
    <w:rsid w:val="002C0924"/>
    <w:rsid w:val="002C1679"/>
    <w:rsid w:val="002C1731"/>
    <w:rsid w:val="002C1908"/>
    <w:rsid w:val="002C245B"/>
    <w:rsid w:val="002C3AFD"/>
    <w:rsid w:val="002C5A28"/>
    <w:rsid w:val="002C61CE"/>
    <w:rsid w:val="002C7866"/>
    <w:rsid w:val="002D0D81"/>
    <w:rsid w:val="002D0E0B"/>
    <w:rsid w:val="002D2DBB"/>
    <w:rsid w:val="002D4142"/>
    <w:rsid w:val="002D43C4"/>
    <w:rsid w:val="002D65A0"/>
    <w:rsid w:val="002D6642"/>
    <w:rsid w:val="002D6A7A"/>
    <w:rsid w:val="002D7458"/>
    <w:rsid w:val="002D7604"/>
    <w:rsid w:val="002D76CC"/>
    <w:rsid w:val="002E2FBD"/>
    <w:rsid w:val="002E3C58"/>
    <w:rsid w:val="002E4F01"/>
    <w:rsid w:val="002E6BDE"/>
    <w:rsid w:val="002E7944"/>
    <w:rsid w:val="002E7D07"/>
    <w:rsid w:val="002F00FB"/>
    <w:rsid w:val="002F0A6B"/>
    <w:rsid w:val="002F1432"/>
    <w:rsid w:val="002F1D26"/>
    <w:rsid w:val="002F2131"/>
    <w:rsid w:val="002F26ED"/>
    <w:rsid w:val="002F2722"/>
    <w:rsid w:val="002F3226"/>
    <w:rsid w:val="002F44FA"/>
    <w:rsid w:val="002F4CD3"/>
    <w:rsid w:val="002F5D9E"/>
    <w:rsid w:val="002F6911"/>
    <w:rsid w:val="002F69AA"/>
    <w:rsid w:val="002F6FDA"/>
    <w:rsid w:val="002F78F2"/>
    <w:rsid w:val="00301768"/>
    <w:rsid w:val="00301B08"/>
    <w:rsid w:val="00301E29"/>
    <w:rsid w:val="00301EA6"/>
    <w:rsid w:val="003033AB"/>
    <w:rsid w:val="0030388B"/>
    <w:rsid w:val="003048AF"/>
    <w:rsid w:val="00304EF3"/>
    <w:rsid w:val="00305163"/>
    <w:rsid w:val="0030680F"/>
    <w:rsid w:val="0031005C"/>
    <w:rsid w:val="00310219"/>
    <w:rsid w:val="00311EAB"/>
    <w:rsid w:val="0031296B"/>
    <w:rsid w:val="00312D32"/>
    <w:rsid w:val="003138A6"/>
    <w:rsid w:val="00313E54"/>
    <w:rsid w:val="00317D3B"/>
    <w:rsid w:val="003202C0"/>
    <w:rsid w:val="0032081F"/>
    <w:rsid w:val="0032289E"/>
    <w:rsid w:val="00323C83"/>
    <w:rsid w:val="0032440D"/>
    <w:rsid w:val="003248D2"/>
    <w:rsid w:val="00324FA2"/>
    <w:rsid w:val="00325430"/>
    <w:rsid w:val="00325A98"/>
    <w:rsid w:val="00325F46"/>
    <w:rsid w:val="003309E1"/>
    <w:rsid w:val="003312A7"/>
    <w:rsid w:val="003332BA"/>
    <w:rsid w:val="003341E0"/>
    <w:rsid w:val="00334218"/>
    <w:rsid w:val="00335A70"/>
    <w:rsid w:val="00336704"/>
    <w:rsid w:val="0033751D"/>
    <w:rsid w:val="00337CF1"/>
    <w:rsid w:val="00340A49"/>
    <w:rsid w:val="00342B18"/>
    <w:rsid w:val="00343035"/>
    <w:rsid w:val="003433B4"/>
    <w:rsid w:val="00343A48"/>
    <w:rsid w:val="00343F32"/>
    <w:rsid w:val="00344F6C"/>
    <w:rsid w:val="003459EF"/>
    <w:rsid w:val="00345DC7"/>
    <w:rsid w:val="00346D45"/>
    <w:rsid w:val="003502F2"/>
    <w:rsid w:val="00350409"/>
    <w:rsid w:val="00351BE4"/>
    <w:rsid w:val="0035266D"/>
    <w:rsid w:val="003541BC"/>
    <w:rsid w:val="00355066"/>
    <w:rsid w:val="00355C90"/>
    <w:rsid w:val="00356B5E"/>
    <w:rsid w:val="00357461"/>
    <w:rsid w:val="00357D44"/>
    <w:rsid w:val="00360736"/>
    <w:rsid w:val="00361A2E"/>
    <w:rsid w:val="00361BD4"/>
    <w:rsid w:val="00362927"/>
    <w:rsid w:val="00362CA1"/>
    <w:rsid w:val="00365ED6"/>
    <w:rsid w:val="0037022E"/>
    <w:rsid w:val="0037051E"/>
    <w:rsid w:val="00370F15"/>
    <w:rsid w:val="0037346A"/>
    <w:rsid w:val="00374EB5"/>
    <w:rsid w:val="0037562D"/>
    <w:rsid w:val="00376323"/>
    <w:rsid w:val="00376BF0"/>
    <w:rsid w:val="003777FE"/>
    <w:rsid w:val="0038127E"/>
    <w:rsid w:val="00381FF2"/>
    <w:rsid w:val="00382728"/>
    <w:rsid w:val="00382B4D"/>
    <w:rsid w:val="00382CB8"/>
    <w:rsid w:val="003837EB"/>
    <w:rsid w:val="00383AF6"/>
    <w:rsid w:val="0038476B"/>
    <w:rsid w:val="00385452"/>
    <w:rsid w:val="003862C6"/>
    <w:rsid w:val="0038692D"/>
    <w:rsid w:val="00386F15"/>
    <w:rsid w:val="00386F30"/>
    <w:rsid w:val="003873D4"/>
    <w:rsid w:val="003874C8"/>
    <w:rsid w:val="00387611"/>
    <w:rsid w:val="00387D35"/>
    <w:rsid w:val="003927A0"/>
    <w:rsid w:val="003940EF"/>
    <w:rsid w:val="00394C00"/>
    <w:rsid w:val="00395269"/>
    <w:rsid w:val="003967B9"/>
    <w:rsid w:val="003A1047"/>
    <w:rsid w:val="003A1C2E"/>
    <w:rsid w:val="003A1CCF"/>
    <w:rsid w:val="003A1F90"/>
    <w:rsid w:val="003A27DD"/>
    <w:rsid w:val="003A4022"/>
    <w:rsid w:val="003A4B7F"/>
    <w:rsid w:val="003B076C"/>
    <w:rsid w:val="003B15AF"/>
    <w:rsid w:val="003B16CD"/>
    <w:rsid w:val="003B1E46"/>
    <w:rsid w:val="003B2583"/>
    <w:rsid w:val="003B4333"/>
    <w:rsid w:val="003B4925"/>
    <w:rsid w:val="003B4B32"/>
    <w:rsid w:val="003B4EBB"/>
    <w:rsid w:val="003B50FE"/>
    <w:rsid w:val="003B7387"/>
    <w:rsid w:val="003B7B66"/>
    <w:rsid w:val="003B7C83"/>
    <w:rsid w:val="003C158B"/>
    <w:rsid w:val="003C1764"/>
    <w:rsid w:val="003C282E"/>
    <w:rsid w:val="003C2897"/>
    <w:rsid w:val="003C2EEB"/>
    <w:rsid w:val="003C42A5"/>
    <w:rsid w:val="003C5540"/>
    <w:rsid w:val="003C647E"/>
    <w:rsid w:val="003D0066"/>
    <w:rsid w:val="003D10EB"/>
    <w:rsid w:val="003D27DC"/>
    <w:rsid w:val="003D3C23"/>
    <w:rsid w:val="003D402C"/>
    <w:rsid w:val="003D41A9"/>
    <w:rsid w:val="003D447B"/>
    <w:rsid w:val="003D4EEA"/>
    <w:rsid w:val="003D52AB"/>
    <w:rsid w:val="003D7893"/>
    <w:rsid w:val="003E1C1F"/>
    <w:rsid w:val="003E1F9D"/>
    <w:rsid w:val="003E2C55"/>
    <w:rsid w:val="003E3664"/>
    <w:rsid w:val="003F29E5"/>
    <w:rsid w:val="003F41CB"/>
    <w:rsid w:val="003F5C04"/>
    <w:rsid w:val="003F6D0C"/>
    <w:rsid w:val="00400310"/>
    <w:rsid w:val="004011CE"/>
    <w:rsid w:val="0040181E"/>
    <w:rsid w:val="00401F9F"/>
    <w:rsid w:val="00402396"/>
    <w:rsid w:val="00405086"/>
    <w:rsid w:val="004050E4"/>
    <w:rsid w:val="0040580B"/>
    <w:rsid w:val="00406663"/>
    <w:rsid w:val="00406F47"/>
    <w:rsid w:val="00407B38"/>
    <w:rsid w:val="004104B0"/>
    <w:rsid w:val="00412B4E"/>
    <w:rsid w:val="004136F8"/>
    <w:rsid w:val="00414A2B"/>
    <w:rsid w:val="00415635"/>
    <w:rsid w:val="00416857"/>
    <w:rsid w:val="00420480"/>
    <w:rsid w:val="0042052C"/>
    <w:rsid w:val="00420A2B"/>
    <w:rsid w:val="00420DA3"/>
    <w:rsid w:val="00421586"/>
    <w:rsid w:val="004230B2"/>
    <w:rsid w:val="0042380A"/>
    <w:rsid w:val="00423EAF"/>
    <w:rsid w:val="0042539B"/>
    <w:rsid w:val="004257D7"/>
    <w:rsid w:val="004270F3"/>
    <w:rsid w:val="0043015D"/>
    <w:rsid w:val="0043029E"/>
    <w:rsid w:val="00430991"/>
    <w:rsid w:val="00430A53"/>
    <w:rsid w:val="0043196A"/>
    <w:rsid w:val="004327A2"/>
    <w:rsid w:val="0043322B"/>
    <w:rsid w:val="0043349F"/>
    <w:rsid w:val="00433564"/>
    <w:rsid w:val="00433B91"/>
    <w:rsid w:val="004343C9"/>
    <w:rsid w:val="00434623"/>
    <w:rsid w:val="0043542B"/>
    <w:rsid w:val="00435807"/>
    <w:rsid w:val="00436373"/>
    <w:rsid w:val="00436B5D"/>
    <w:rsid w:val="004374BF"/>
    <w:rsid w:val="00437649"/>
    <w:rsid w:val="0044148A"/>
    <w:rsid w:val="004414C7"/>
    <w:rsid w:val="0044272B"/>
    <w:rsid w:val="0044302E"/>
    <w:rsid w:val="00443FC9"/>
    <w:rsid w:val="0044457C"/>
    <w:rsid w:val="00444FF0"/>
    <w:rsid w:val="00447329"/>
    <w:rsid w:val="00450B06"/>
    <w:rsid w:val="00451439"/>
    <w:rsid w:val="00452069"/>
    <w:rsid w:val="0045268C"/>
    <w:rsid w:val="00453325"/>
    <w:rsid w:val="0045338E"/>
    <w:rsid w:val="0045343B"/>
    <w:rsid w:val="00453CE3"/>
    <w:rsid w:val="00454260"/>
    <w:rsid w:val="00454409"/>
    <w:rsid w:val="004544E2"/>
    <w:rsid w:val="00454645"/>
    <w:rsid w:val="004550F9"/>
    <w:rsid w:val="0046016A"/>
    <w:rsid w:val="004601AD"/>
    <w:rsid w:val="00460F02"/>
    <w:rsid w:val="004623E3"/>
    <w:rsid w:val="004627B3"/>
    <w:rsid w:val="00462AE3"/>
    <w:rsid w:val="00464D34"/>
    <w:rsid w:val="00465D0C"/>
    <w:rsid w:val="00465EE1"/>
    <w:rsid w:val="00466BA4"/>
    <w:rsid w:val="004674C8"/>
    <w:rsid w:val="00467F93"/>
    <w:rsid w:val="00470D7E"/>
    <w:rsid w:val="00470FAB"/>
    <w:rsid w:val="00470FFA"/>
    <w:rsid w:val="004722BC"/>
    <w:rsid w:val="00472921"/>
    <w:rsid w:val="00472D07"/>
    <w:rsid w:val="00475C9E"/>
    <w:rsid w:val="004766AE"/>
    <w:rsid w:val="00480CA4"/>
    <w:rsid w:val="00481C9F"/>
    <w:rsid w:val="004826E2"/>
    <w:rsid w:val="004835D8"/>
    <w:rsid w:val="00484FEC"/>
    <w:rsid w:val="00485782"/>
    <w:rsid w:val="00485B1A"/>
    <w:rsid w:val="00487368"/>
    <w:rsid w:val="00491F89"/>
    <w:rsid w:val="0049239C"/>
    <w:rsid w:val="004923DE"/>
    <w:rsid w:val="00492B5A"/>
    <w:rsid w:val="00492CDA"/>
    <w:rsid w:val="00493653"/>
    <w:rsid w:val="00494FBD"/>
    <w:rsid w:val="00495EE0"/>
    <w:rsid w:val="004964B7"/>
    <w:rsid w:val="004969AE"/>
    <w:rsid w:val="00497450"/>
    <w:rsid w:val="004A069E"/>
    <w:rsid w:val="004A3B49"/>
    <w:rsid w:val="004A3BF6"/>
    <w:rsid w:val="004A41FD"/>
    <w:rsid w:val="004A429E"/>
    <w:rsid w:val="004A4577"/>
    <w:rsid w:val="004A50DE"/>
    <w:rsid w:val="004A635D"/>
    <w:rsid w:val="004B1999"/>
    <w:rsid w:val="004B1B51"/>
    <w:rsid w:val="004B3B02"/>
    <w:rsid w:val="004B40C8"/>
    <w:rsid w:val="004B48F0"/>
    <w:rsid w:val="004B4A07"/>
    <w:rsid w:val="004B5938"/>
    <w:rsid w:val="004B604C"/>
    <w:rsid w:val="004B6A21"/>
    <w:rsid w:val="004B7F06"/>
    <w:rsid w:val="004C0162"/>
    <w:rsid w:val="004C05B5"/>
    <w:rsid w:val="004C0D42"/>
    <w:rsid w:val="004C102F"/>
    <w:rsid w:val="004C3505"/>
    <w:rsid w:val="004C597E"/>
    <w:rsid w:val="004C5C33"/>
    <w:rsid w:val="004C5D60"/>
    <w:rsid w:val="004C5D73"/>
    <w:rsid w:val="004C68CD"/>
    <w:rsid w:val="004D0258"/>
    <w:rsid w:val="004D030C"/>
    <w:rsid w:val="004D0578"/>
    <w:rsid w:val="004D1049"/>
    <w:rsid w:val="004D112E"/>
    <w:rsid w:val="004D2BF3"/>
    <w:rsid w:val="004D3395"/>
    <w:rsid w:val="004D387C"/>
    <w:rsid w:val="004E0B41"/>
    <w:rsid w:val="004E1766"/>
    <w:rsid w:val="004E19FE"/>
    <w:rsid w:val="004E1ED5"/>
    <w:rsid w:val="004E398E"/>
    <w:rsid w:val="004E3A77"/>
    <w:rsid w:val="004E4A2B"/>
    <w:rsid w:val="004E4FC9"/>
    <w:rsid w:val="004E69B1"/>
    <w:rsid w:val="004E6AC4"/>
    <w:rsid w:val="004E6F49"/>
    <w:rsid w:val="004E6FFE"/>
    <w:rsid w:val="004E7D20"/>
    <w:rsid w:val="004F3060"/>
    <w:rsid w:val="004F3372"/>
    <w:rsid w:val="004F3A88"/>
    <w:rsid w:val="004F6AC7"/>
    <w:rsid w:val="004F6C09"/>
    <w:rsid w:val="004F7F5D"/>
    <w:rsid w:val="00502409"/>
    <w:rsid w:val="00502B9D"/>
    <w:rsid w:val="00503F2A"/>
    <w:rsid w:val="005059E9"/>
    <w:rsid w:val="00505ED0"/>
    <w:rsid w:val="00506967"/>
    <w:rsid w:val="00506EA1"/>
    <w:rsid w:val="00507CAF"/>
    <w:rsid w:val="00507D3A"/>
    <w:rsid w:val="005100C6"/>
    <w:rsid w:val="00510D65"/>
    <w:rsid w:val="00511058"/>
    <w:rsid w:val="00511B0B"/>
    <w:rsid w:val="00512F3F"/>
    <w:rsid w:val="00514CE8"/>
    <w:rsid w:val="00515B98"/>
    <w:rsid w:val="00516967"/>
    <w:rsid w:val="00516D0E"/>
    <w:rsid w:val="00516E9E"/>
    <w:rsid w:val="00517A06"/>
    <w:rsid w:val="00517CF3"/>
    <w:rsid w:val="0052073A"/>
    <w:rsid w:val="00521530"/>
    <w:rsid w:val="005232EE"/>
    <w:rsid w:val="005235FF"/>
    <w:rsid w:val="00524501"/>
    <w:rsid w:val="00524DF6"/>
    <w:rsid w:val="005266EB"/>
    <w:rsid w:val="0053072D"/>
    <w:rsid w:val="00530F4E"/>
    <w:rsid w:val="00531124"/>
    <w:rsid w:val="005315D8"/>
    <w:rsid w:val="00531A2C"/>
    <w:rsid w:val="00531D50"/>
    <w:rsid w:val="005326A6"/>
    <w:rsid w:val="0053357D"/>
    <w:rsid w:val="00533D27"/>
    <w:rsid w:val="005343FC"/>
    <w:rsid w:val="00534F4B"/>
    <w:rsid w:val="00535156"/>
    <w:rsid w:val="00535B73"/>
    <w:rsid w:val="005364E5"/>
    <w:rsid w:val="00536C6C"/>
    <w:rsid w:val="00537881"/>
    <w:rsid w:val="00537C7E"/>
    <w:rsid w:val="00537DCD"/>
    <w:rsid w:val="00540408"/>
    <w:rsid w:val="00540589"/>
    <w:rsid w:val="0054077F"/>
    <w:rsid w:val="00541ABA"/>
    <w:rsid w:val="00542486"/>
    <w:rsid w:val="00542C62"/>
    <w:rsid w:val="005442E5"/>
    <w:rsid w:val="005444B1"/>
    <w:rsid w:val="00544600"/>
    <w:rsid w:val="0054486B"/>
    <w:rsid w:val="0054520F"/>
    <w:rsid w:val="00545FAA"/>
    <w:rsid w:val="005462F9"/>
    <w:rsid w:val="0054680D"/>
    <w:rsid w:val="005470AB"/>
    <w:rsid w:val="00547BE2"/>
    <w:rsid w:val="005517AA"/>
    <w:rsid w:val="005521CD"/>
    <w:rsid w:val="00552CCD"/>
    <w:rsid w:val="00553632"/>
    <w:rsid w:val="005536A6"/>
    <w:rsid w:val="005551CC"/>
    <w:rsid w:val="00556247"/>
    <w:rsid w:val="00557535"/>
    <w:rsid w:val="00557F40"/>
    <w:rsid w:val="005601B0"/>
    <w:rsid w:val="005603FC"/>
    <w:rsid w:val="00560BEF"/>
    <w:rsid w:val="00561A5E"/>
    <w:rsid w:val="00562045"/>
    <w:rsid w:val="00562497"/>
    <w:rsid w:val="00565E7C"/>
    <w:rsid w:val="00565FD2"/>
    <w:rsid w:val="00566DD4"/>
    <w:rsid w:val="00566F10"/>
    <w:rsid w:val="00567565"/>
    <w:rsid w:val="0056781F"/>
    <w:rsid w:val="00567CF7"/>
    <w:rsid w:val="005712A3"/>
    <w:rsid w:val="005714A7"/>
    <w:rsid w:val="0057211F"/>
    <w:rsid w:val="00572C9B"/>
    <w:rsid w:val="005742EC"/>
    <w:rsid w:val="005748CE"/>
    <w:rsid w:val="00575BCF"/>
    <w:rsid w:val="00576BC9"/>
    <w:rsid w:val="00576CCD"/>
    <w:rsid w:val="00577D8E"/>
    <w:rsid w:val="0058004A"/>
    <w:rsid w:val="00580B0E"/>
    <w:rsid w:val="005823AA"/>
    <w:rsid w:val="0058290C"/>
    <w:rsid w:val="00582CF1"/>
    <w:rsid w:val="00584D4C"/>
    <w:rsid w:val="0058584C"/>
    <w:rsid w:val="00585E97"/>
    <w:rsid w:val="00587EF6"/>
    <w:rsid w:val="0059296B"/>
    <w:rsid w:val="00593E59"/>
    <w:rsid w:val="00594807"/>
    <w:rsid w:val="00595407"/>
    <w:rsid w:val="00596B1F"/>
    <w:rsid w:val="005A00F0"/>
    <w:rsid w:val="005A0E37"/>
    <w:rsid w:val="005A2B7D"/>
    <w:rsid w:val="005A2C1E"/>
    <w:rsid w:val="005A3C52"/>
    <w:rsid w:val="005A520E"/>
    <w:rsid w:val="005A7089"/>
    <w:rsid w:val="005A70F6"/>
    <w:rsid w:val="005A759E"/>
    <w:rsid w:val="005A7A95"/>
    <w:rsid w:val="005B054E"/>
    <w:rsid w:val="005B0D18"/>
    <w:rsid w:val="005B2B57"/>
    <w:rsid w:val="005B2E4C"/>
    <w:rsid w:val="005B3547"/>
    <w:rsid w:val="005B3EC1"/>
    <w:rsid w:val="005B4309"/>
    <w:rsid w:val="005B4CF7"/>
    <w:rsid w:val="005B5A52"/>
    <w:rsid w:val="005B5B5F"/>
    <w:rsid w:val="005B6021"/>
    <w:rsid w:val="005B6732"/>
    <w:rsid w:val="005B6B27"/>
    <w:rsid w:val="005B7960"/>
    <w:rsid w:val="005C016E"/>
    <w:rsid w:val="005C0CD9"/>
    <w:rsid w:val="005C185D"/>
    <w:rsid w:val="005C18D0"/>
    <w:rsid w:val="005C3666"/>
    <w:rsid w:val="005C571B"/>
    <w:rsid w:val="005C7066"/>
    <w:rsid w:val="005C78EB"/>
    <w:rsid w:val="005D184B"/>
    <w:rsid w:val="005D1EFB"/>
    <w:rsid w:val="005D5129"/>
    <w:rsid w:val="005D554E"/>
    <w:rsid w:val="005D56BA"/>
    <w:rsid w:val="005E0229"/>
    <w:rsid w:val="005E05DB"/>
    <w:rsid w:val="005E1779"/>
    <w:rsid w:val="005E208E"/>
    <w:rsid w:val="005E28F3"/>
    <w:rsid w:val="005E2C70"/>
    <w:rsid w:val="005E398C"/>
    <w:rsid w:val="005E45BD"/>
    <w:rsid w:val="005E4659"/>
    <w:rsid w:val="005E475E"/>
    <w:rsid w:val="005E53E5"/>
    <w:rsid w:val="005E5EC1"/>
    <w:rsid w:val="005E6442"/>
    <w:rsid w:val="005E6720"/>
    <w:rsid w:val="005F013C"/>
    <w:rsid w:val="005F09D3"/>
    <w:rsid w:val="005F09F0"/>
    <w:rsid w:val="005F0DA0"/>
    <w:rsid w:val="005F12E0"/>
    <w:rsid w:val="005F1326"/>
    <w:rsid w:val="005F22B0"/>
    <w:rsid w:val="005F2479"/>
    <w:rsid w:val="005F47CC"/>
    <w:rsid w:val="005F4BB9"/>
    <w:rsid w:val="005F549C"/>
    <w:rsid w:val="005F70D2"/>
    <w:rsid w:val="005F7191"/>
    <w:rsid w:val="005F71AB"/>
    <w:rsid w:val="0060034D"/>
    <w:rsid w:val="00601182"/>
    <w:rsid w:val="0060207E"/>
    <w:rsid w:val="00604BA9"/>
    <w:rsid w:val="00604CA3"/>
    <w:rsid w:val="00605345"/>
    <w:rsid w:val="0060545D"/>
    <w:rsid w:val="00605C26"/>
    <w:rsid w:val="00605DA6"/>
    <w:rsid w:val="006064B6"/>
    <w:rsid w:val="0060678B"/>
    <w:rsid w:val="00607A1D"/>
    <w:rsid w:val="006134A8"/>
    <w:rsid w:val="00615C2C"/>
    <w:rsid w:val="00616280"/>
    <w:rsid w:val="0061669D"/>
    <w:rsid w:val="00616FBB"/>
    <w:rsid w:val="00617066"/>
    <w:rsid w:val="00617B16"/>
    <w:rsid w:val="00620FE2"/>
    <w:rsid w:val="00621527"/>
    <w:rsid w:val="006217E6"/>
    <w:rsid w:val="00621AFA"/>
    <w:rsid w:val="00621CE2"/>
    <w:rsid w:val="00621F7F"/>
    <w:rsid w:val="00622A4E"/>
    <w:rsid w:val="00624B77"/>
    <w:rsid w:val="00624D0B"/>
    <w:rsid w:val="00625962"/>
    <w:rsid w:val="00625D5E"/>
    <w:rsid w:val="006262D2"/>
    <w:rsid w:val="00627EC7"/>
    <w:rsid w:val="0063026E"/>
    <w:rsid w:val="00631D28"/>
    <w:rsid w:val="00632CE8"/>
    <w:rsid w:val="0063377B"/>
    <w:rsid w:val="00635796"/>
    <w:rsid w:val="00636503"/>
    <w:rsid w:val="00636D83"/>
    <w:rsid w:val="00637370"/>
    <w:rsid w:val="006411A3"/>
    <w:rsid w:val="00642265"/>
    <w:rsid w:val="006443F1"/>
    <w:rsid w:val="00644CB6"/>
    <w:rsid w:val="00644CBC"/>
    <w:rsid w:val="00645B53"/>
    <w:rsid w:val="00650C3F"/>
    <w:rsid w:val="00650D04"/>
    <w:rsid w:val="00651E0D"/>
    <w:rsid w:val="00654010"/>
    <w:rsid w:val="00654A16"/>
    <w:rsid w:val="00657568"/>
    <w:rsid w:val="00657AE2"/>
    <w:rsid w:val="0066124C"/>
    <w:rsid w:val="00662185"/>
    <w:rsid w:val="00665B22"/>
    <w:rsid w:val="00665CC5"/>
    <w:rsid w:val="00666679"/>
    <w:rsid w:val="00667231"/>
    <w:rsid w:val="0066786A"/>
    <w:rsid w:val="0067006F"/>
    <w:rsid w:val="00670552"/>
    <w:rsid w:val="00670F4B"/>
    <w:rsid w:val="0067194D"/>
    <w:rsid w:val="00672168"/>
    <w:rsid w:val="0067423D"/>
    <w:rsid w:val="006743F2"/>
    <w:rsid w:val="00675B94"/>
    <w:rsid w:val="00677600"/>
    <w:rsid w:val="00677EC4"/>
    <w:rsid w:val="0068169B"/>
    <w:rsid w:val="0068193B"/>
    <w:rsid w:val="00681ADD"/>
    <w:rsid w:val="006829F1"/>
    <w:rsid w:val="00682B14"/>
    <w:rsid w:val="00682C2E"/>
    <w:rsid w:val="00683A53"/>
    <w:rsid w:val="00683E2B"/>
    <w:rsid w:val="006849F0"/>
    <w:rsid w:val="00685C77"/>
    <w:rsid w:val="00687873"/>
    <w:rsid w:val="00694B0A"/>
    <w:rsid w:val="00696114"/>
    <w:rsid w:val="00696C3A"/>
    <w:rsid w:val="00697D9D"/>
    <w:rsid w:val="006A0A81"/>
    <w:rsid w:val="006A19EC"/>
    <w:rsid w:val="006A22A7"/>
    <w:rsid w:val="006A2CAE"/>
    <w:rsid w:val="006A30B4"/>
    <w:rsid w:val="006A3596"/>
    <w:rsid w:val="006A44D7"/>
    <w:rsid w:val="006A478B"/>
    <w:rsid w:val="006A6E7B"/>
    <w:rsid w:val="006A75D6"/>
    <w:rsid w:val="006B0761"/>
    <w:rsid w:val="006B0ECB"/>
    <w:rsid w:val="006B1177"/>
    <w:rsid w:val="006B33FC"/>
    <w:rsid w:val="006B58A5"/>
    <w:rsid w:val="006B61D2"/>
    <w:rsid w:val="006B6733"/>
    <w:rsid w:val="006B6E65"/>
    <w:rsid w:val="006C1363"/>
    <w:rsid w:val="006C173A"/>
    <w:rsid w:val="006C20E4"/>
    <w:rsid w:val="006C2A46"/>
    <w:rsid w:val="006C5B20"/>
    <w:rsid w:val="006C77F3"/>
    <w:rsid w:val="006D145E"/>
    <w:rsid w:val="006D23B3"/>
    <w:rsid w:val="006D269B"/>
    <w:rsid w:val="006D366A"/>
    <w:rsid w:val="006D36D8"/>
    <w:rsid w:val="006D437D"/>
    <w:rsid w:val="006D5D14"/>
    <w:rsid w:val="006D5D7D"/>
    <w:rsid w:val="006D6FAC"/>
    <w:rsid w:val="006D7540"/>
    <w:rsid w:val="006D7544"/>
    <w:rsid w:val="006E04B0"/>
    <w:rsid w:val="006E0A89"/>
    <w:rsid w:val="006E11BC"/>
    <w:rsid w:val="006E148A"/>
    <w:rsid w:val="006E1767"/>
    <w:rsid w:val="006E35EE"/>
    <w:rsid w:val="006E3C90"/>
    <w:rsid w:val="006E3C96"/>
    <w:rsid w:val="006E5628"/>
    <w:rsid w:val="006E59A1"/>
    <w:rsid w:val="006E69D0"/>
    <w:rsid w:val="006E712D"/>
    <w:rsid w:val="006F112A"/>
    <w:rsid w:val="006F1383"/>
    <w:rsid w:val="006F16FB"/>
    <w:rsid w:val="006F252E"/>
    <w:rsid w:val="006F49BC"/>
    <w:rsid w:val="006F6513"/>
    <w:rsid w:val="006F6883"/>
    <w:rsid w:val="006F72CF"/>
    <w:rsid w:val="00700145"/>
    <w:rsid w:val="00702727"/>
    <w:rsid w:val="007031E0"/>
    <w:rsid w:val="00703B34"/>
    <w:rsid w:val="00704105"/>
    <w:rsid w:val="007046CE"/>
    <w:rsid w:val="0070745C"/>
    <w:rsid w:val="00707BE0"/>
    <w:rsid w:val="00707D8E"/>
    <w:rsid w:val="007112EC"/>
    <w:rsid w:val="007112FA"/>
    <w:rsid w:val="0071199B"/>
    <w:rsid w:val="00713D7D"/>
    <w:rsid w:val="00713DEE"/>
    <w:rsid w:val="00716509"/>
    <w:rsid w:val="00716613"/>
    <w:rsid w:val="0071771E"/>
    <w:rsid w:val="00717D35"/>
    <w:rsid w:val="007202F2"/>
    <w:rsid w:val="00720B22"/>
    <w:rsid w:val="00721752"/>
    <w:rsid w:val="00722BA1"/>
    <w:rsid w:val="0072363D"/>
    <w:rsid w:val="00724A46"/>
    <w:rsid w:val="007256AE"/>
    <w:rsid w:val="0072657E"/>
    <w:rsid w:val="00726AB2"/>
    <w:rsid w:val="007309F6"/>
    <w:rsid w:val="00730C5E"/>
    <w:rsid w:val="007310E1"/>
    <w:rsid w:val="0073156C"/>
    <w:rsid w:val="00731947"/>
    <w:rsid w:val="00735B3D"/>
    <w:rsid w:val="00736C67"/>
    <w:rsid w:val="00736CCD"/>
    <w:rsid w:val="00737437"/>
    <w:rsid w:val="0074041F"/>
    <w:rsid w:val="00740908"/>
    <w:rsid w:val="00740EA6"/>
    <w:rsid w:val="007415D2"/>
    <w:rsid w:val="007434D1"/>
    <w:rsid w:val="0074407F"/>
    <w:rsid w:val="0074446A"/>
    <w:rsid w:val="0074450C"/>
    <w:rsid w:val="00745B8B"/>
    <w:rsid w:val="00745C7D"/>
    <w:rsid w:val="00745CF9"/>
    <w:rsid w:val="00745D32"/>
    <w:rsid w:val="00745DE8"/>
    <w:rsid w:val="0074624E"/>
    <w:rsid w:val="0074725A"/>
    <w:rsid w:val="007475AE"/>
    <w:rsid w:val="00747E34"/>
    <w:rsid w:val="00750EFB"/>
    <w:rsid w:val="007510BD"/>
    <w:rsid w:val="00752CC6"/>
    <w:rsid w:val="00752E2D"/>
    <w:rsid w:val="00754601"/>
    <w:rsid w:val="00754FC0"/>
    <w:rsid w:val="007558F8"/>
    <w:rsid w:val="00756889"/>
    <w:rsid w:val="00757446"/>
    <w:rsid w:val="0076038B"/>
    <w:rsid w:val="00760C84"/>
    <w:rsid w:val="007615B2"/>
    <w:rsid w:val="00761CD6"/>
    <w:rsid w:val="00762572"/>
    <w:rsid w:val="00763722"/>
    <w:rsid w:val="007645C9"/>
    <w:rsid w:val="00764965"/>
    <w:rsid w:val="00764E52"/>
    <w:rsid w:val="00764E86"/>
    <w:rsid w:val="00772AA2"/>
    <w:rsid w:val="00772AB6"/>
    <w:rsid w:val="00773534"/>
    <w:rsid w:val="00773790"/>
    <w:rsid w:val="00773DF7"/>
    <w:rsid w:val="00777348"/>
    <w:rsid w:val="007774E8"/>
    <w:rsid w:val="0078273C"/>
    <w:rsid w:val="007845F6"/>
    <w:rsid w:val="00784AB3"/>
    <w:rsid w:val="00784E26"/>
    <w:rsid w:val="00785D68"/>
    <w:rsid w:val="00786A1F"/>
    <w:rsid w:val="0078798B"/>
    <w:rsid w:val="00787E21"/>
    <w:rsid w:val="00791890"/>
    <w:rsid w:val="0079292D"/>
    <w:rsid w:val="00793CEA"/>
    <w:rsid w:val="007945AA"/>
    <w:rsid w:val="00794A65"/>
    <w:rsid w:val="00794B29"/>
    <w:rsid w:val="00795ACE"/>
    <w:rsid w:val="00795EF1"/>
    <w:rsid w:val="00796D45"/>
    <w:rsid w:val="007972B5"/>
    <w:rsid w:val="007A1B61"/>
    <w:rsid w:val="007A32FA"/>
    <w:rsid w:val="007A33E5"/>
    <w:rsid w:val="007A36D5"/>
    <w:rsid w:val="007A5606"/>
    <w:rsid w:val="007A5BF1"/>
    <w:rsid w:val="007A636C"/>
    <w:rsid w:val="007A63B6"/>
    <w:rsid w:val="007A6C32"/>
    <w:rsid w:val="007A73A7"/>
    <w:rsid w:val="007B0B18"/>
    <w:rsid w:val="007B1798"/>
    <w:rsid w:val="007B17B6"/>
    <w:rsid w:val="007B6806"/>
    <w:rsid w:val="007B7315"/>
    <w:rsid w:val="007C1829"/>
    <w:rsid w:val="007C1A81"/>
    <w:rsid w:val="007C1EF3"/>
    <w:rsid w:val="007C286A"/>
    <w:rsid w:val="007C3959"/>
    <w:rsid w:val="007C56F8"/>
    <w:rsid w:val="007C5C8C"/>
    <w:rsid w:val="007C69BF"/>
    <w:rsid w:val="007C6E9D"/>
    <w:rsid w:val="007C732E"/>
    <w:rsid w:val="007D0403"/>
    <w:rsid w:val="007D11A4"/>
    <w:rsid w:val="007D3022"/>
    <w:rsid w:val="007D3C00"/>
    <w:rsid w:val="007D440B"/>
    <w:rsid w:val="007D46EC"/>
    <w:rsid w:val="007D550A"/>
    <w:rsid w:val="007D5C37"/>
    <w:rsid w:val="007D6136"/>
    <w:rsid w:val="007D727F"/>
    <w:rsid w:val="007D7420"/>
    <w:rsid w:val="007D7A80"/>
    <w:rsid w:val="007D7EA2"/>
    <w:rsid w:val="007D7F99"/>
    <w:rsid w:val="007E031C"/>
    <w:rsid w:val="007E0EBB"/>
    <w:rsid w:val="007E16E1"/>
    <w:rsid w:val="007E3107"/>
    <w:rsid w:val="007E3629"/>
    <w:rsid w:val="007E60DB"/>
    <w:rsid w:val="007E72C1"/>
    <w:rsid w:val="007F0771"/>
    <w:rsid w:val="007F0CF6"/>
    <w:rsid w:val="007F1307"/>
    <w:rsid w:val="007F2B74"/>
    <w:rsid w:val="007F4824"/>
    <w:rsid w:val="007F4BAE"/>
    <w:rsid w:val="007F5F8C"/>
    <w:rsid w:val="007F6D8A"/>
    <w:rsid w:val="007F7541"/>
    <w:rsid w:val="007F7AA9"/>
    <w:rsid w:val="0080169A"/>
    <w:rsid w:val="00801ED7"/>
    <w:rsid w:val="00802047"/>
    <w:rsid w:val="00802121"/>
    <w:rsid w:val="00803D04"/>
    <w:rsid w:val="008044EE"/>
    <w:rsid w:val="0080486B"/>
    <w:rsid w:val="008052B7"/>
    <w:rsid w:val="00805DED"/>
    <w:rsid w:val="0080620C"/>
    <w:rsid w:val="008065C3"/>
    <w:rsid w:val="00807112"/>
    <w:rsid w:val="00807838"/>
    <w:rsid w:val="00807BFE"/>
    <w:rsid w:val="008123B5"/>
    <w:rsid w:val="00812D5A"/>
    <w:rsid w:val="0081383A"/>
    <w:rsid w:val="00816735"/>
    <w:rsid w:val="008168C9"/>
    <w:rsid w:val="00817305"/>
    <w:rsid w:val="00821140"/>
    <w:rsid w:val="00822659"/>
    <w:rsid w:val="00822B96"/>
    <w:rsid w:val="00822E43"/>
    <w:rsid w:val="00822E6A"/>
    <w:rsid w:val="008239A0"/>
    <w:rsid w:val="00826653"/>
    <w:rsid w:val="00830B6B"/>
    <w:rsid w:val="00830F84"/>
    <w:rsid w:val="00831853"/>
    <w:rsid w:val="00832575"/>
    <w:rsid w:val="00834453"/>
    <w:rsid w:val="0083469F"/>
    <w:rsid w:val="008351D7"/>
    <w:rsid w:val="00836A8D"/>
    <w:rsid w:val="00837040"/>
    <w:rsid w:val="008405B1"/>
    <w:rsid w:val="008406D6"/>
    <w:rsid w:val="00840E43"/>
    <w:rsid w:val="0084344F"/>
    <w:rsid w:val="00843805"/>
    <w:rsid w:val="00844226"/>
    <w:rsid w:val="00845413"/>
    <w:rsid w:val="00845519"/>
    <w:rsid w:val="00845BC1"/>
    <w:rsid w:val="00850781"/>
    <w:rsid w:val="00850FD6"/>
    <w:rsid w:val="008510CD"/>
    <w:rsid w:val="0085115B"/>
    <w:rsid w:val="00851D61"/>
    <w:rsid w:val="008533B5"/>
    <w:rsid w:val="008537E5"/>
    <w:rsid w:val="0085545F"/>
    <w:rsid w:val="00855EBC"/>
    <w:rsid w:val="00856F40"/>
    <w:rsid w:val="00857986"/>
    <w:rsid w:val="00861387"/>
    <w:rsid w:val="008635F4"/>
    <w:rsid w:val="00863F2B"/>
    <w:rsid w:val="00864B9D"/>
    <w:rsid w:val="008652AA"/>
    <w:rsid w:val="008654A5"/>
    <w:rsid w:val="008676E6"/>
    <w:rsid w:val="00870731"/>
    <w:rsid w:val="008744CA"/>
    <w:rsid w:val="00876439"/>
    <w:rsid w:val="00876821"/>
    <w:rsid w:val="008769C9"/>
    <w:rsid w:val="00880202"/>
    <w:rsid w:val="00880351"/>
    <w:rsid w:val="00881149"/>
    <w:rsid w:val="00881274"/>
    <w:rsid w:val="00881CA9"/>
    <w:rsid w:val="00882DBE"/>
    <w:rsid w:val="008839A9"/>
    <w:rsid w:val="00884FCA"/>
    <w:rsid w:val="008859D8"/>
    <w:rsid w:val="008902E2"/>
    <w:rsid w:val="00890722"/>
    <w:rsid w:val="00891141"/>
    <w:rsid w:val="0089290C"/>
    <w:rsid w:val="00892F22"/>
    <w:rsid w:val="008946C5"/>
    <w:rsid w:val="00895570"/>
    <w:rsid w:val="00895771"/>
    <w:rsid w:val="00896A7D"/>
    <w:rsid w:val="00897849"/>
    <w:rsid w:val="008A0D97"/>
    <w:rsid w:val="008A1BB0"/>
    <w:rsid w:val="008A2474"/>
    <w:rsid w:val="008A26E8"/>
    <w:rsid w:val="008A42B3"/>
    <w:rsid w:val="008A5375"/>
    <w:rsid w:val="008B0934"/>
    <w:rsid w:val="008B1A0D"/>
    <w:rsid w:val="008B505B"/>
    <w:rsid w:val="008B68A5"/>
    <w:rsid w:val="008B7943"/>
    <w:rsid w:val="008B7988"/>
    <w:rsid w:val="008B7C63"/>
    <w:rsid w:val="008C0BA0"/>
    <w:rsid w:val="008C1BFE"/>
    <w:rsid w:val="008C2E10"/>
    <w:rsid w:val="008C3AA2"/>
    <w:rsid w:val="008C3B03"/>
    <w:rsid w:val="008C3D1D"/>
    <w:rsid w:val="008C5084"/>
    <w:rsid w:val="008C64B3"/>
    <w:rsid w:val="008C6B37"/>
    <w:rsid w:val="008D05BD"/>
    <w:rsid w:val="008D0C7F"/>
    <w:rsid w:val="008D1161"/>
    <w:rsid w:val="008D3075"/>
    <w:rsid w:val="008D3660"/>
    <w:rsid w:val="008D3DB2"/>
    <w:rsid w:val="008D3FB2"/>
    <w:rsid w:val="008D4E67"/>
    <w:rsid w:val="008D642A"/>
    <w:rsid w:val="008D65FC"/>
    <w:rsid w:val="008D6D44"/>
    <w:rsid w:val="008D6EFD"/>
    <w:rsid w:val="008D7062"/>
    <w:rsid w:val="008E1328"/>
    <w:rsid w:val="008E1B9B"/>
    <w:rsid w:val="008E1E0C"/>
    <w:rsid w:val="008E21FC"/>
    <w:rsid w:val="008E32FB"/>
    <w:rsid w:val="008E46B3"/>
    <w:rsid w:val="008E4DC4"/>
    <w:rsid w:val="008E505D"/>
    <w:rsid w:val="008E54D1"/>
    <w:rsid w:val="008E6D68"/>
    <w:rsid w:val="008E74BE"/>
    <w:rsid w:val="008F2864"/>
    <w:rsid w:val="008F2996"/>
    <w:rsid w:val="008F3929"/>
    <w:rsid w:val="008F4F9D"/>
    <w:rsid w:val="008F7E5A"/>
    <w:rsid w:val="00900083"/>
    <w:rsid w:val="00900A55"/>
    <w:rsid w:val="00901494"/>
    <w:rsid w:val="00905514"/>
    <w:rsid w:val="00906648"/>
    <w:rsid w:val="00906C09"/>
    <w:rsid w:val="00910BB3"/>
    <w:rsid w:val="0091124E"/>
    <w:rsid w:val="00911670"/>
    <w:rsid w:val="0091214F"/>
    <w:rsid w:val="00912181"/>
    <w:rsid w:val="0091219A"/>
    <w:rsid w:val="009130FE"/>
    <w:rsid w:val="0091346B"/>
    <w:rsid w:val="00914D60"/>
    <w:rsid w:val="00915A95"/>
    <w:rsid w:val="00916C28"/>
    <w:rsid w:val="009201E0"/>
    <w:rsid w:val="00920BC6"/>
    <w:rsid w:val="009216D5"/>
    <w:rsid w:val="0092278E"/>
    <w:rsid w:val="00923AC3"/>
    <w:rsid w:val="00923ECE"/>
    <w:rsid w:val="009248B2"/>
    <w:rsid w:val="00925141"/>
    <w:rsid w:val="009259EB"/>
    <w:rsid w:val="00925B5F"/>
    <w:rsid w:val="00927D98"/>
    <w:rsid w:val="00927DA3"/>
    <w:rsid w:val="009310C6"/>
    <w:rsid w:val="009311D9"/>
    <w:rsid w:val="009329FD"/>
    <w:rsid w:val="00932E46"/>
    <w:rsid w:val="00932F7D"/>
    <w:rsid w:val="00934B4F"/>
    <w:rsid w:val="0093782E"/>
    <w:rsid w:val="00937C86"/>
    <w:rsid w:val="00940202"/>
    <w:rsid w:val="00940BE0"/>
    <w:rsid w:val="009414E1"/>
    <w:rsid w:val="00941F26"/>
    <w:rsid w:val="00942603"/>
    <w:rsid w:val="00945368"/>
    <w:rsid w:val="00946097"/>
    <w:rsid w:val="00946343"/>
    <w:rsid w:val="00946A44"/>
    <w:rsid w:val="00951156"/>
    <w:rsid w:val="0095286A"/>
    <w:rsid w:val="00952E88"/>
    <w:rsid w:val="00953CF3"/>
    <w:rsid w:val="00953EA2"/>
    <w:rsid w:val="009540AF"/>
    <w:rsid w:val="0095570F"/>
    <w:rsid w:val="0095608A"/>
    <w:rsid w:val="00957956"/>
    <w:rsid w:val="00957B33"/>
    <w:rsid w:val="00957F63"/>
    <w:rsid w:val="0096041A"/>
    <w:rsid w:val="0096086B"/>
    <w:rsid w:val="00962C59"/>
    <w:rsid w:val="00963047"/>
    <w:rsid w:val="00963C2C"/>
    <w:rsid w:val="00963EE1"/>
    <w:rsid w:val="00963F5A"/>
    <w:rsid w:val="00965CBA"/>
    <w:rsid w:val="0096727D"/>
    <w:rsid w:val="009675D7"/>
    <w:rsid w:val="00970370"/>
    <w:rsid w:val="00970BBA"/>
    <w:rsid w:val="009710AD"/>
    <w:rsid w:val="009710C1"/>
    <w:rsid w:val="009721B4"/>
    <w:rsid w:val="009748FB"/>
    <w:rsid w:val="0097543C"/>
    <w:rsid w:val="0097559A"/>
    <w:rsid w:val="00976DF9"/>
    <w:rsid w:val="00977328"/>
    <w:rsid w:val="0098125B"/>
    <w:rsid w:val="00981E6F"/>
    <w:rsid w:val="00982507"/>
    <w:rsid w:val="009827C4"/>
    <w:rsid w:val="00983F08"/>
    <w:rsid w:val="00984575"/>
    <w:rsid w:val="00984AD1"/>
    <w:rsid w:val="00984D62"/>
    <w:rsid w:val="0098533D"/>
    <w:rsid w:val="009855EC"/>
    <w:rsid w:val="00986712"/>
    <w:rsid w:val="009875D0"/>
    <w:rsid w:val="0099057E"/>
    <w:rsid w:val="00990DCE"/>
    <w:rsid w:val="0099246C"/>
    <w:rsid w:val="009938EB"/>
    <w:rsid w:val="00993D60"/>
    <w:rsid w:val="0099469B"/>
    <w:rsid w:val="009978BC"/>
    <w:rsid w:val="009A0073"/>
    <w:rsid w:val="009A0CA5"/>
    <w:rsid w:val="009A243D"/>
    <w:rsid w:val="009A5FE1"/>
    <w:rsid w:val="009A6CA1"/>
    <w:rsid w:val="009A7214"/>
    <w:rsid w:val="009A7A62"/>
    <w:rsid w:val="009A7F02"/>
    <w:rsid w:val="009A7F8A"/>
    <w:rsid w:val="009B0354"/>
    <w:rsid w:val="009B3005"/>
    <w:rsid w:val="009B32B1"/>
    <w:rsid w:val="009B33FD"/>
    <w:rsid w:val="009B37D9"/>
    <w:rsid w:val="009B3C7D"/>
    <w:rsid w:val="009B4CA2"/>
    <w:rsid w:val="009B4F9B"/>
    <w:rsid w:val="009B5A9F"/>
    <w:rsid w:val="009B6B19"/>
    <w:rsid w:val="009C116C"/>
    <w:rsid w:val="009C164D"/>
    <w:rsid w:val="009C3FAF"/>
    <w:rsid w:val="009C4E08"/>
    <w:rsid w:val="009C4F7C"/>
    <w:rsid w:val="009C548B"/>
    <w:rsid w:val="009C580D"/>
    <w:rsid w:val="009C5D7D"/>
    <w:rsid w:val="009C6257"/>
    <w:rsid w:val="009C7F4D"/>
    <w:rsid w:val="009D0921"/>
    <w:rsid w:val="009D2000"/>
    <w:rsid w:val="009D2474"/>
    <w:rsid w:val="009D2AB7"/>
    <w:rsid w:val="009D2E7A"/>
    <w:rsid w:val="009D3516"/>
    <w:rsid w:val="009D3F42"/>
    <w:rsid w:val="009D5428"/>
    <w:rsid w:val="009D54EC"/>
    <w:rsid w:val="009D5FCB"/>
    <w:rsid w:val="009D69E7"/>
    <w:rsid w:val="009D6B1B"/>
    <w:rsid w:val="009D6EDF"/>
    <w:rsid w:val="009D7581"/>
    <w:rsid w:val="009D793C"/>
    <w:rsid w:val="009E0936"/>
    <w:rsid w:val="009E1E10"/>
    <w:rsid w:val="009E2A0E"/>
    <w:rsid w:val="009E2A29"/>
    <w:rsid w:val="009E3357"/>
    <w:rsid w:val="009E4137"/>
    <w:rsid w:val="009E7858"/>
    <w:rsid w:val="009E7F77"/>
    <w:rsid w:val="009F02E7"/>
    <w:rsid w:val="009F1ECB"/>
    <w:rsid w:val="009F20C6"/>
    <w:rsid w:val="009F4879"/>
    <w:rsid w:val="009F5AD4"/>
    <w:rsid w:val="009F7B09"/>
    <w:rsid w:val="00A00FCB"/>
    <w:rsid w:val="00A011D8"/>
    <w:rsid w:val="00A01AE1"/>
    <w:rsid w:val="00A01C15"/>
    <w:rsid w:val="00A02703"/>
    <w:rsid w:val="00A02DA8"/>
    <w:rsid w:val="00A04738"/>
    <w:rsid w:val="00A05FAE"/>
    <w:rsid w:val="00A0706D"/>
    <w:rsid w:val="00A0726E"/>
    <w:rsid w:val="00A1001A"/>
    <w:rsid w:val="00A1017A"/>
    <w:rsid w:val="00A1083A"/>
    <w:rsid w:val="00A123C6"/>
    <w:rsid w:val="00A12C91"/>
    <w:rsid w:val="00A12E66"/>
    <w:rsid w:val="00A13D81"/>
    <w:rsid w:val="00A16F4C"/>
    <w:rsid w:val="00A2019F"/>
    <w:rsid w:val="00A205B5"/>
    <w:rsid w:val="00A21EEA"/>
    <w:rsid w:val="00A23D64"/>
    <w:rsid w:val="00A24499"/>
    <w:rsid w:val="00A24965"/>
    <w:rsid w:val="00A24C42"/>
    <w:rsid w:val="00A268D4"/>
    <w:rsid w:val="00A27386"/>
    <w:rsid w:val="00A3158B"/>
    <w:rsid w:val="00A32712"/>
    <w:rsid w:val="00A32DCE"/>
    <w:rsid w:val="00A331A9"/>
    <w:rsid w:val="00A334A5"/>
    <w:rsid w:val="00A355F1"/>
    <w:rsid w:val="00A36352"/>
    <w:rsid w:val="00A36948"/>
    <w:rsid w:val="00A37802"/>
    <w:rsid w:val="00A37BE9"/>
    <w:rsid w:val="00A40F68"/>
    <w:rsid w:val="00A42249"/>
    <w:rsid w:val="00A424A7"/>
    <w:rsid w:val="00A42535"/>
    <w:rsid w:val="00A43B95"/>
    <w:rsid w:val="00A4464B"/>
    <w:rsid w:val="00A44BF5"/>
    <w:rsid w:val="00A466C7"/>
    <w:rsid w:val="00A47EE3"/>
    <w:rsid w:val="00A50182"/>
    <w:rsid w:val="00A508A4"/>
    <w:rsid w:val="00A52F3C"/>
    <w:rsid w:val="00A5301E"/>
    <w:rsid w:val="00A53267"/>
    <w:rsid w:val="00A532E1"/>
    <w:rsid w:val="00A54031"/>
    <w:rsid w:val="00A607F9"/>
    <w:rsid w:val="00A618B7"/>
    <w:rsid w:val="00A628BA"/>
    <w:rsid w:val="00A62A7D"/>
    <w:rsid w:val="00A62EC5"/>
    <w:rsid w:val="00A63C80"/>
    <w:rsid w:val="00A6497C"/>
    <w:rsid w:val="00A64C9A"/>
    <w:rsid w:val="00A65834"/>
    <w:rsid w:val="00A679FD"/>
    <w:rsid w:val="00A7047D"/>
    <w:rsid w:val="00A71122"/>
    <w:rsid w:val="00A7245F"/>
    <w:rsid w:val="00A72C4C"/>
    <w:rsid w:val="00A73504"/>
    <w:rsid w:val="00A73858"/>
    <w:rsid w:val="00A73E88"/>
    <w:rsid w:val="00A75144"/>
    <w:rsid w:val="00A764A8"/>
    <w:rsid w:val="00A765D6"/>
    <w:rsid w:val="00A769E4"/>
    <w:rsid w:val="00A76BFE"/>
    <w:rsid w:val="00A76CB7"/>
    <w:rsid w:val="00A76EF9"/>
    <w:rsid w:val="00A771B8"/>
    <w:rsid w:val="00A7734F"/>
    <w:rsid w:val="00A817DC"/>
    <w:rsid w:val="00A8226D"/>
    <w:rsid w:val="00A82590"/>
    <w:rsid w:val="00A8268F"/>
    <w:rsid w:val="00A82B6F"/>
    <w:rsid w:val="00A84663"/>
    <w:rsid w:val="00A849D3"/>
    <w:rsid w:val="00A855A0"/>
    <w:rsid w:val="00A85724"/>
    <w:rsid w:val="00A859C9"/>
    <w:rsid w:val="00A87014"/>
    <w:rsid w:val="00A9072A"/>
    <w:rsid w:val="00A909EB"/>
    <w:rsid w:val="00A90D52"/>
    <w:rsid w:val="00A90F49"/>
    <w:rsid w:val="00A9192A"/>
    <w:rsid w:val="00A91BD0"/>
    <w:rsid w:val="00A938D1"/>
    <w:rsid w:val="00A93CD3"/>
    <w:rsid w:val="00A9631E"/>
    <w:rsid w:val="00A96640"/>
    <w:rsid w:val="00A97C70"/>
    <w:rsid w:val="00AA1566"/>
    <w:rsid w:val="00AA27B8"/>
    <w:rsid w:val="00AA7451"/>
    <w:rsid w:val="00AA7CF7"/>
    <w:rsid w:val="00AB04F7"/>
    <w:rsid w:val="00AB354D"/>
    <w:rsid w:val="00AB4CDA"/>
    <w:rsid w:val="00AB56BF"/>
    <w:rsid w:val="00AB5D23"/>
    <w:rsid w:val="00AB5D6D"/>
    <w:rsid w:val="00AB5EC0"/>
    <w:rsid w:val="00AB65AA"/>
    <w:rsid w:val="00AC1773"/>
    <w:rsid w:val="00AC35CC"/>
    <w:rsid w:val="00AC571E"/>
    <w:rsid w:val="00AC5B17"/>
    <w:rsid w:val="00AC629B"/>
    <w:rsid w:val="00AC6BA0"/>
    <w:rsid w:val="00AC6D3C"/>
    <w:rsid w:val="00AC6FCE"/>
    <w:rsid w:val="00AC7849"/>
    <w:rsid w:val="00AD08E4"/>
    <w:rsid w:val="00AD092F"/>
    <w:rsid w:val="00AD1023"/>
    <w:rsid w:val="00AD1341"/>
    <w:rsid w:val="00AD3146"/>
    <w:rsid w:val="00AD46F3"/>
    <w:rsid w:val="00AD4AC8"/>
    <w:rsid w:val="00AD4D95"/>
    <w:rsid w:val="00AD5779"/>
    <w:rsid w:val="00AD631E"/>
    <w:rsid w:val="00AD77E0"/>
    <w:rsid w:val="00AE02BD"/>
    <w:rsid w:val="00AE05C7"/>
    <w:rsid w:val="00AE22EE"/>
    <w:rsid w:val="00AE2950"/>
    <w:rsid w:val="00AE32A8"/>
    <w:rsid w:val="00AE4010"/>
    <w:rsid w:val="00AE466A"/>
    <w:rsid w:val="00AE4808"/>
    <w:rsid w:val="00AE5573"/>
    <w:rsid w:val="00AE58B1"/>
    <w:rsid w:val="00AE6D6E"/>
    <w:rsid w:val="00AE703C"/>
    <w:rsid w:val="00AE7AF5"/>
    <w:rsid w:val="00AF0C07"/>
    <w:rsid w:val="00AF10D5"/>
    <w:rsid w:val="00AF30B5"/>
    <w:rsid w:val="00AF39DD"/>
    <w:rsid w:val="00AF70F2"/>
    <w:rsid w:val="00AF7640"/>
    <w:rsid w:val="00B011EF"/>
    <w:rsid w:val="00B035AC"/>
    <w:rsid w:val="00B0381D"/>
    <w:rsid w:val="00B03EBD"/>
    <w:rsid w:val="00B052E5"/>
    <w:rsid w:val="00B05EF1"/>
    <w:rsid w:val="00B06457"/>
    <w:rsid w:val="00B07E11"/>
    <w:rsid w:val="00B10685"/>
    <w:rsid w:val="00B12078"/>
    <w:rsid w:val="00B12ECA"/>
    <w:rsid w:val="00B133AD"/>
    <w:rsid w:val="00B14F01"/>
    <w:rsid w:val="00B15A9E"/>
    <w:rsid w:val="00B17B3C"/>
    <w:rsid w:val="00B20E17"/>
    <w:rsid w:val="00B2113E"/>
    <w:rsid w:val="00B21664"/>
    <w:rsid w:val="00B21B7B"/>
    <w:rsid w:val="00B22707"/>
    <w:rsid w:val="00B229B9"/>
    <w:rsid w:val="00B22E3F"/>
    <w:rsid w:val="00B2338D"/>
    <w:rsid w:val="00B24EBE"/>
    <w:rsid w:val="00B25CD2"/>
    <w:rsid w:val="00B25DCE"/>
    <w:rsid w:val="00B26654"/>
    <w:rsid w:val="00B27C5B"/>
    <w:rsid w:val="00B3019D"/>
    <w:rsid w:val="00B304BD"/>
    <w:rsid w:val="00B306C3"/>
    <w:rsid w:val="00B31196"/>
    <w:rsid w:val="00B31462"/>
    <w:rsid w:val="00B319C8"/>
    <w:rsid w:val="00B322D6"/>
    <w:rsid w:val="00B324F7"/>
    <w:rsid w:val="00B339A1"/>
    <w:rsid w:val="00B34928"/>
    <w:rsid w:val="00B355D6"/>
    <w:rsid w:val="00B37FE8"/>
    <w:rsid w:val="00B40744"/>
    <w:rsid w:val="00B41A1E"/>
    <w:rsid w:val="00B448F1"/>
    <w:rsid w:val="00B45D79"/>
    <w:rsid w:val="00B45FDE"/>
    <w:rsid w:val="00B4630A"/>
    <w:rsid w:val="00B46470"/>
    <w:rsid w:val="00B46BE4"/>
    <w:rsid w:val="00B47534"/>
    <w:rsid w:val="00B50006"/>
    <w:rsid w:val="00B5002B"/>
    <w:rsid w:val="00B51296"/>
    <w:rsid w:val="00B51823"/>
    <w:rsid w:val="00B5216D"/>
    <w:rsid w:val="00B52334"/>
    <w:rsid w:val="00B52A2B"/>
    <w:rsid w:val="00B53269"/>
    <w:rsid w:val="00B54F72"/>
    <w:rsid w:val="00B5603D"/>
    <w:rsid w:val="00B56ED4"/>
    <w:rsid w:val="00B56FAA"/>
    <w:rsid w:val="00B576FF"/>
    <w:rsid w:val="00B608AF"/>
    <w:rsid w:val="00B60E1C"/>
    <w:rsid w:val="00B619A1"/>
    <w:rsid w:val="00B61D89"/>
    <w:rsid w:val="00B62741"/>
    <w:rsid w:val="00B63647"/>
    <w:rsid w:val="00B63794"/>
    <w:rsid w:val="00B63ACE"/>
    <w:rsid w:val="00B64372"/>
    <w:rsid w:val="00B65255"/>
    <w:rsid w:val="00B65D7E"/>
    <w:rsid w:val="00B65E38"/>
    <w:rsid w:val="00B66DA1"/>
    <w:rsid w:val="00B67459"/>
    <w:rsid w:val="00B67826"/>
    <w:rsid w:val="00B67E43"/>
    <w:rsid w:val="00B700FB"/>
    <w:rsid w:val="00B70882"/>
    <w:rsid w:val="00B72109"/>
    <w:rsid w:val="00B72613"/>
    <w:rsid w:val="00B73218"/>
    <w:rsid w:val="00B779C9"/>
    <w:rsid w:val="00B82DFC"/>
    <w:rsid w:val="00B84577"/>
    <w:rsid w:val="00B8476D"/>
    <w:rsid w:val="00B849FD"/>
    <w:rsid w:val="00B851E0"/>
    <w:rsid w:val="00B852FC"/>
    <w:rsid w:val="00B85DDF"/>
    <w:rsid w:val="00B86556"/>
    <w:rsid w:val="00B86BB4"/>
    <w:rsid w:val="00B8700D"/>
    <w:rsid w:val="00B8712D"/>
    <w:rsid w:val="00B907A0"/>
    <w:rsid w:val="00B910B3"/>
    <w:rsid w:val="00B917C4"/>
    <w:rsid w:val="00B94783"/>
    <w:rsid w:val="00B9487E"/>
    <w:rsid w:val="00B94BAB"/>
    <w:rsid w:val="00B94CA4"/>
    <w:rsid w:val="00B95CA7"/>
    <w:rsid w:val="00B96FD2"/>
    <w:rsid w:val="00B97085"/>
    <w:rsid w:val="00B977FD"/>
    <w:rsid w:val="00BA01F2"/>
    <w:rsid w:val="00BA127F"/>
    <w:rsid w:val="00BA265D"/>
    <w:rsid w:val="00BA6F7D"/>
    <w:rsid w:val="00BA72BB"/>
    <w:rsid w:val="00BA78F5"/>
    <w:rsid w:val="00BB4578"/>
    <w:rsid w:val="00BB5E7B"/>
    <w:rsid w:val="00BB615E"/>
    <w:rsid w:val="00BB6BFF"/>
    <w:rsid w:val="00BB7260"/>
    <w:rsid w:val="00BC0C24"/>
    <w:rsid w:val="00BC2657"/>
    <w:rsid w:val="00BC32C7"/>
    <w:rsid w:val="00BC35B3"/>
    <w:rsid w:val="00BC3FC7"/>
    <w:rsid w:val="00BC5FC7"/>
    <w:rsid w:val="00BC651C"/>
    <w:rsid w:val="00BC6DDA"/>
    <w:rsid w:val="00BC7430"/>
    <w:rsid w:val="00BD131B"/>
    <w:rsid w:val="00BD194A"/>
    <w:rsid w:val="00BD1C46"/>
    <w:rsid w:val="00BD27EB"/>
    <w:rsid w:val="00BD533E"/>
    <w:rsid w:val="00BD6555"/>
    <w:rsid w:val="00BD6733"/>
    <w:rsid w:val="00BD6943"/>
    <w:rsid w:val="00BD6CBA"/>
    <w:rsid w:val="00BD7582"/>
    <w:rsid w:val="00BD75BB"/>
    <w:rsid w:val="00BD7F88"/>
    <w:rsid w:val="00BE00F7"/>
    <w:rsid w:val="00BE06F2"/>
    <w:rsid w:val="00BE07FE"/>
    <w:rsid w:val="00BE0A3C"/>
    <w:rsid w:val="00BE14D3"/>
    <w:rsid w:val="00BE14E9"/>
    <w:rsid w:val="00BE26CD"/>
    <w:rsid w:val="00BE272A"/>
    <w:rsid w:val="00BE2FD8"/>
    <w:rsid w:val="00BE313E"/>
    <w:rsid w:val="00BE3F7A"/>
    <w:rsid w:val="00BE47A7"/>
    <w:rsid w:val="00BE779A"/>
    <w:rsid w:val="00BF2F99"/>
    <w:rsid w:val="00BF2FF1"/>
    <w:rsid w:val="00BF4501"/>
    <w:rsid w:val="00BF5282"/>
    <w:rsid w:val="00BF612A"/>
    <w:rsid w:val="00BF65D9"/>
    <w:rsid w:val="00BF6A09"/>
    <w:rsid w:val="00BF74EC"/>
    <w:rsid w:val="00C00623"/>
    <w:rsid w:val="00C00E65"/>
    <w:rsid w:val="00C01E1B"/>
    <w:rsid w:val="00C03EF6"/>
    <w:rsid w:val="00C0475A"/>
    <w:rsid w:val="00C048D0"/>
    <w:rsid w:val="00C04F66"/>
    <w:rsid w:val="00C05783"/>
    <w:rsid w:val="00C05C33"/>
    <w:rsid w:val="00C06963"/>
    <w:rsid w:val="00C06DAC"/>
    <w:rsid w:val="00C10980"/>
    <w:rsid w:val="00C10C1F"/>
    <w:rsid w:val="00C1145E"/>
    <w:rsid w:val="00C12F2F"/>
    <w:rsid w:val="00C17403"/>
    <w:rsid w:val="00C17764"/>
    <w:rsid w:val="00C215E9"/>
    <w:rsid w:val="00C217E4"/>
    <w:rsid w:val="00C21EAD"/>
    <w:rsid w:val="00C226E0"/>
    <w:rsid w:val="00C22A76"/>
    <w:rsid w:val="00C236BA"/>
    <w:rsid w:val="00C23EBC"/>
    <w:rsid w:val="00C240DF"/>
    <w:rsid w:val="00C246C7"/>
    <w:rsid w:val="00C31270"/>
    <w:rsid w:val="00C347DB"/>
    <w:rsid w:val="00C350EB"/>
    <w:rsid w:val="00C35A93"/>
    <w:rsid w:val="00C35AEE"/>
    <w:rsid w:val="00C36A8F"/>
    <w:rsid w:val="00C36F56"/>
    <w:rsid w:val="00C40808"/>
    <w:rsid w:val="00C41084"/>
    <w:rsid w:val="00C422D7"/>
    <w:rsid w:val="00C43A7C"/>
    <w:rsid w:val="00C43C59"/>
    <w:rsid w:val="00C455C3"/>
    <w:rsid w:val="00C45A63"/>
    <w:rsid w:val="00C46805"/>
    <w:rsid w:val="00C4730E"/>
    <w:rsid w:val="00C475B1"/>
    <w:rsid w:val="00C5076F"/>
    <w:rsid w:val="00C52076"/>
    <w:rsid w:val="00C52D22"/>
    <w:rsid w:val="00C5456E"/>
    <w:rsid w:val="00C548D6"/>
    <w:rsid w:val="00C54F4D"/>
    <w:rsid w:val="00C56C87"/>
    <w:rsid w:val="00C56C9B"/>
    <w:rsid w:val="00C57A8F"/>
    <w:rsid w:val="00C60FF4"/>
    <w:rsid w:val="00C61E6D"/>
    <w:rsid w:val="00C6231D"/>
    <w:rsid w:val="00C6290D"/>
    <w:rsid w:val="00C62C49"/>
    <w:rsid w:val="00C62CBD"/>
    <w:rsid w:val="00C62EC5"/>
    <w:rsid w:val="00C63D89"/>
    <w:rsid w:val="00C65916"/>
    <w:rsid w:val="00C66787"/>
    <w:rsid w:val="00C667CD"/>
    <w:rsid w:val="00C67332"/>
    <w:rsid w:val="00C70894"/>
    <w:rsid w:val="00C70CE3"/>
    <w:rsid w:val="00C73477"/>
    <w:rsid w:val="00C7520D"/>
    <w:rsid w:val="00C769AC"/>
    <w:rsid w:val="00C77547"/>
    <w:rsid w:val="00C809A2"/>
    <w:rsid w:val="00C80B08"/>
    <w:rsid w:val="00C86350"/>
    <w:rsid w:val="00C87934"/>
    <w:rsid w:val="00C910E3"/>
    <w:rsid w:val="00C91C16"/>
    <w:rsid w:val="00C92EB3"/>
    <w:rsid w:val="00C93C2B"/>
    <w:rsid w:val="00C94BC7"/>
    <w:rsid w:val="00C94F71"/>
    <w:rsid w:val="00C959B3"/>
    <w:rsid w:val="00CA025B"/>
    <w:rsid w:val="00CA0B10"/>
    <w:rsid w:val="00CA0E6E"/>
    <w:rsid w:val="00CA13DE"/>
    <w:rsid w:val="00CA1529"/>
    <w:rsid w:val="00CA1C53"/>
    <w:rsid w:val="00CA258C"/>
    <w:rsid w:val="00CA2842"/>
    <w:rsid w:val="00CA361C"/>
    <w:rsid w:val="00CA39B5"/>
    <w:rsid w:val="00CA3F1D"/>
    <w:rsid w:val="00CA43D4"/>
    <w:rsid w:val="00CA455A"/>
    <w:rsid w:val="00CA4771"/>
    <w:rsid w:val="00CA6132"/>
    <w:rsid w:val="00CA6164"/>
    <w:rsid w:val="00CA75FC"/>
    <w:rsid w:val="00CA7666"/>
    <w:rsid w:val="00CB0C72"/>
    <w:rsid w:val="00CB163F"/>
    <w:rsid w:val="00CB23ED"/>
    <w:rsid w:val="00CB26AD"/>
    <w:rsid w:val="00CB52B7"/>
    <w:rsid w:val="00CB7290"/>
    <w:rsid w:val="00CC0782"/>
    <w:rsid w:val="00CC095E"/>
    <w:rsid w:val="00CC0EF1"/>
    <w:rsid w:val="00CC1000"/>
    <w:rsid w:val="00CC1C6E"/>
    <w:rsid w:val="00CC1E39"/>
    <w:rsid w:val="00CC2AEA"/>
    <w:rsid w:val="00CC3EFD"/>
    <w:rsid w:val="00CC44EE"/>
    <w:rsid w:val="00CC4758"/>
    <w:rsid w:val="00CC4C72"/>
    <w:rsid w:val="00CC6811"/>
    <w:rsid w:val="00CC6FBA"/>
    <w:rsid w:val="00CC76BF"/>
    <w:rsid w:val="00CC782A"/>
    <w:rsid w:val="00CD04C4"/>
    <w:rsid w:val="00CD1461"/>
    <w:rsid w:val="00CD1F92"/>
    <w:rsid w:val="00CD21FE"/>
    <w:rsid w:val="00CD285A"/>
    <w:rsid w:val="00CD2B7F"/>
    <w:rsid w:val="00CD3A8F"/>
    <w:rsid w:val="00CD4E8A"/>
    <w:rsid w:val="00CD5994"/>
    <w:rsid w:val="00CD5BB3"/>
    <w:rsid w:val="00CD5D64"/>
    <w:rsid w:val="00CD62A3"/>
    <w:rsid w:val="00CE04C7"/>
    <w:rsid w:val="00CE0712"/>
    <w:rsid w:val="00CE14B9"/>
    <w:rsid w:val="00CE1670"/>
    <w:rsid w:val="00CE208B"/>
    <w:rsid w:val="00CE34D2"/>
    <w:rsid w:val="00CE40D6"/>
    <w:rsid w:val="00CE526C"/>
    <w:rsid w:val="00CE5413"/>
    <w:rsid w:val="00CE6732"/>
    <w:rsid w:val="00CE6E31"/>
    <w:rsid w:val="00CE74E4"/>
    <w:rsid w:val="00CE7545"/>
    <w:rsid w:val="00CE7549"/>
    <w:rsid w:val="00CE7654"/>
    <w:rsid w:val="00CE7BA8"/>
    <w:rsid w:val="00CF06C4"/>
    <w:rsid w:val="00CF18DA"/>
    <w:rsid w:val="00CF2488"/>
    <w:rsid w:val="00CF312C"/>
    <w:rsid w:val="00CF4B7B"/>
    <w:rsid w:val="00CF5276"/>
    <w:rsid w:val="00CF5543"/>
    <w:rsid w:val="00CF642B"/>
    <w:rsid w:val="00D005F7"/>
    <w:rsid w:val="00D02CBC"/>
    <w:rsid w:val="00D03420"/>
    <w:rsid w:val="00D039FE"/>
    <w:rsid w:val="00D0585D"/>
    <w:rsid w:val="00D05F7D"/>
    <w:rsid w:val="00D060C8"/>
    <w:rsid w:val="00D061DC"/>
    <w:rsid w:val="00D0720C"/>
    <w:rsid w:val="00D07BFB"/>
    <w:rsid w:val="00D1002F"/>
    <w:rsid w:val="00D118B7"/>
    <w:rsid w:val="00D11F70"/>
    <w:rsid w:val="00D13363"/>
    <w:rsid w:val="00D13B7D"/>
    <w:rsid w:val="00D14DC1"/>
    <w:rsid w:val="00D1671A"/>
    <w:rsid w:val="00D16D3E"/>
    <w:rsid w:val="00D17C62"/>
    <w:rsid w:val="00D20642"/>
    <w:rsid w:val="00D21C28"/>
    <w:rsid w:val="00D21DCB"/>
    <w:rsid w:val="00D23C25"/>
    <w:rsid w:val="00D247F7"/>
    <w:rsid w:val="00D25159"/>
    <w:rsid w:val="00D25322"/>
    <w:rsid w:val="00D26C00"/>
    <w:rsid w:val="00D26FA7"/>
    <w:rsid w:val="00D3022A"/>
    <w:rsid w:val="00D308DF"/>
    <w:rsid w:val="00D31549"/>
    <w:rsid w:val="00D31765"/>
    <w:rsid w:val="00D32291"/>
    <w:rsid w:val="00D34A43"/>
    <w:rsid w:val="00D351DD"/>
    <w:rsid w:val="00D36DE7"/>
    <w:rsid w:val="00D4047A"/>
    <w:rsid w:val="00D405CB"/>
    <w:rsid w:val="00D414E4"/>
    <w:rsid w:val="00D41706"/>
    <w:rsid w:val="00D41C78"/>
    <w:rsid w:val="00D4245A"/>
    <w:rsid w:val="00D42A9E"/>
    <w:rsid w:val="00D44806"/>
    <w:rsid w:val="00D453FA"/>
    <w:rsid w:val="00D454BC"/>
    <w:rsid w:val="00D462D8"/>
    <w:rsid w:val="00D46AEC"/>
    <w:rsid w:val="00D471EB"/>
    <w:rsid w:val="00D503F0"/>
    <w:rsid w:val="00D5148E"/>
    <w:rsid w:val="00D514A8"/>
    <w:rsid w:val="00D52C9D"/>
    <w:rsid w:val="00D530C3"/>
    <w:rsid w:val="00D53131"/>
    <w:rsid w:val="00D53231"/>
    <w:rsid w:val="00D5382F"/>
    <w:rsid w:val="00D53CF8"/>
    <w:rsid w:val="00D5537A"/>
    <w:rsid w:val="00D57E87"/>
    <w:rsid w:val="00D60467"/>
    <w:rsid w:val="00D60BBB"/>
    <w:rsid w:val="00D611BA"/>
    <w:rsid w:val="00D61F8C"/>
    <w:rsid w:val="00D6273F"/>
    <w:rsid w:val="00D6274D"/>
    <w:rsid w:val="00D62E47"/>
    <w:rsid w:val="00D67C63"/>
    <w:rsid w:val="00D7082C"/>
    <w:rsid w:val="00D70E7A"/>
    <w:rsid w:val="00D70F73"/>
    <w:rsid w:val="00D714C6"/>
    <w:rsid w:val="00D718CE"/>
    <w:rsid w:val="00D7208B"/>
    <w:rsid w:val="00D733DA"/>
    <w:rsid w:val="00D74251"/>
    <w:rsid w:val="00D7450C"/>
    <w:rsid w:val="00D74E13"/>
    <w:rsid w:val="00D77948"/>
    <w:rsid w:val="00D8194E"/>
    <w:rsid w:val="00D82718"/>
    <w:rsid w:val="00D827B4"/>
    <w:rsid w:val="00D83096"/>
    <w:rsid w:val="00D835D1"/>
    <w:rsid w:val="00D83720"/>
    <w:rsid w:val="00D83B51"/>
    <w:rsid w:val="00D85474"/>
    <w:rsid w:val="00D857AB"/>
    <w:rsid w:val="00D85A78"/>
    <w:rsid w:val="00D903C8"/>
    <w:rsid w:val="00D90B05"/>
    <w:rsid w:val="00D911B8"/>
    <w:rsid w:val="00D91963"/>
    <w:rsid w:val="00D92383"/>
    <w:rsid w:val="00D9241C"/>
    <w:rsid w:val="00D92E39"/>
    <w:rsid w:val="00D93963"/>
    <w:rsid w:val="00D93F78"/>
    <w:rsid w:val="00D942DC"/>
    <w:rsid w:val="00D94A6A"/>
    <w:rsid w:val="00DA0BB2"/>
    <w:rsid w:val="00DA0C38"/>
    <w:rsid w:val="00DA1AC1"/>
    <w:rsid w:val="00DA1C93"/>
    <w:rsid w:val="00DA2852"/>
    <w:rsid w:val="00DA2D8A"/>
    <w:rsid w:val="00DA450B"/>
    <w:rsid w:val="00DA49E3"/>
    <w:rsid w:val="00DA747C"/>
    <w:rsid w:val="00DA7831"/>
    <w:rsid w:val="00DA79AE"/>
    <w:rsid w:val="00DB0704"/>
    <w:rsid w:val="00DB50A1"/>
    <w:rsid w:val="00DB608A"/>
    <w:rsid w:val="00DB6E59"/>
    <w:rsid w:val="00DC0774"/>
    <w:rsid w:val="00DC0C4B"/>
    <w:rsid w:val="00DC354F"/>
    <w:rsid w:val="00DC3FD2"/>
    <w:rsid w:val="00DC4ECF"/>
    <w:rsid w:val="00DC4F7A"/>
    <w:rsid w:val="00DC5B1B"/>
    <w:rsid w:val="00DC5F51"/>
    <w:rsid w:val="00DC642C"/>
    <w:rsid w:val="00DC6ABE"/>
    <w:rsid w:val="00DC747F"/>
    <w:rsid w:val="00DC7A15"/>
    <w:rsid w:val="00DD0541"/>
    <w:rsid w:val="00DD1F2C"/>
    <w:rsid w:val="00DD2408"/>
    <w:rsid w:val="00DD2573"/>
    <w:rsid w:val="00DD3015"/>
    <w:rsid w:val="00DD32D6"/>
    <w:rsid w:val="00DD546B"/>
    <w:rsid w:val="00DD5B68"/>
    <w:rsid w:val="00DD6D08"/>
    <w:rsid w:val="00DD74B0"/>
    <w:rsid w:val="00DE086D"/>
    <w:rsid w:val="00DE22C0"/>
    <w:rsid w:val="00DE23E4"/>
    <w:rsid w:val="00DE3323"/>
    <w:rsid w:val="00DE33AB"/>
    <w:rsid w:val="00DE3736"/>
    <w:rsid w:val="00DE407D"/>
    <w:rsid w:val="00DE52DE"/>
    <w:rsid w:val="00DE6077"/>
    <w:rsid w:val="00DE631E"/>
    <w:rsid w:val="00DE682F"/>
    <w:rsid w:val="00DF0011"/>
    <w:rsid w:val="00DF080E"/>
    <w:rsid w:val="00DF08E1"/>
    <w:rsid w:val="00DF0D7B"/>
    <w:rsid w:val="00DF1051"/>
    <w:rsid w:val="00DF26A8"/>
    <w:rsid w:val="00DF2C56"/>
    <w:rsid w:val="00DF3F48"/>
    <w:rsid w:val="00DF46CD"/>
    <w:rsid w:val="00DF4CFA"/>
    <w:rsid w:val="00DF7027"/>
    <w:rsid w:val="00DF7CBC"/>
    <w:rsid w:val="00E00F83"/>
    <w:rsid w:val="00E01263"/>
    <w:rsid w:val="00E01835"/>
    <w:rsid w:val="00E01A49"/>
    <w:rsid w:val="00E03180"/>
    <w:rsid w:val="00E04527"/>
    <w:rsid w:val="00E04CED"/>
    <w:rsid w:val="00E0643F"/>
    <w:rsid w:val="00E10134"/>
    <w:rsid w:val="00E1210E"/>
    <w:rsid w:val="00E142A6"/>
    <w:rsid w:val="00E143B0"/>
    <w:rsid w:val="00E145BE"/>
    <w:rsid w:val="00E178FF"/>
    <w:rsid w:val="00E21EC1"/>
    <w:rsid w:val="00E22901"/>
    <w:rsid w:val="00E24143"/>
    <w:rsid w:val="00E24E5E"/>
    <w:rsid w:val="00E25D4B"/>
    <w:rsid w:val="00E25EAD"/>
    <w:rsid w:val="00E25F64"/>
    <w:rsid w:val="00E26F5E"/>
    <w:rsid w:val="00E270AE"/>
    <w:rsid w:val="00E30E17"/>
    <w:rsid w:val="00E31C88"/>
    <w:rsid w:val="00E337A0"/>
    <w:rsid w:val="00E33DBF"/>
    <w:rsid w:val="00E3539A"/>
    <w:rsid w:val="00E36ADB"/>
    <w:rsid w:val="00E36CC0"/>
    <w:rsid w:val="00E376FB"/>
    <w:rsid w:val="00E409F7"/>
    <w:rsid w:val="00E40BD9"/>
    <w:rsid w:val="00E41055"/>
    <w:rsid w:val="00E431D2"/>
    <w:rsid w:val="00E437EF"/>
    <w:rsid w:val="00E44612"/>
    <w:rsid w:val="00E45244"/>
    <w:rsid w:val="00E45E2C"/>
    <w:rsid w:val="00E460B0"/>
    <w:rsid w:val="00E46207"/>
    <w:rsid w:val="00E46330"/>
    <w:rsid w:val="00E46BF6"/>
    <w:rsid w:val="00E474D7"/>
    <w:rsid w:val="00E505EF"/>
    <w:rsid w:val="00E50806"/>
    <w:rsid w:val="00E5212B"/>
    <w:rsid w:val="00E5296D"/>
    <w:rsid w:val="00E54B03"/>
    <w:rsid w:val="00E54F0E"/>
    <w:rsid w:val="00E559F5"/>
    <w:rsid w:val="00E55F25"/>
    <w:rsid w:val="00E55FBC"/>
    <w:rsid w:val="00E56E42"/>
    <w:rsid w:val="00E56FC0"/>
    <w:rsid w:val="00E57092"/>
    <w:rsid w:val="00E5729C"/>
    <w:rsid w:val="00E60FAD"/>
    <w:rsid w:val="00E61164"/>
    <w:rsid w:val="00E6203E"/>
    <w:rsid w:val="00E63053"/>
    <w:rsid w:val="00E631C7"/>
    <w:rsid w:val="00E63E88"/>
    <w:rsid w:val="00E63EA5"/>
    <w:rsid w:val="00E644BF"/>
    <w:rsid w:val="00E64B85"/>
    <w:rsid w:val="00E651D7"/>
    <w:rsid w:val="00E656C4"/>
    <w:rsid w:val="00E657A3"/>
    <w:rsid w:val="00E6716A"/>
    <w:rsid w:val="00E67273"/>
    <w:rsid w:val="00E674C3"/>
    <w:rsid w:val="00E70943"/>
    <w:rsid w:val="00E70A6C"/>
    <w:rsid w:val="00E70B4E"/>
    <w:rsid w:val="00E71849"/>
    <w:rsid w:val="00E72BE6"/>
    <w:rsid w:val="00E72E32"/>
    <w:rsid w:val="00E73166"/>
    <w:rsid w:val="00E73376"/>
    <w:rsid w:val="00E73E20"/>
    <w:rsid w:val="00E74739"/>
    <w:rsid w:val="00E768D7"/>
    <w:rsid w:val="00E770DE"/>
    <w:rsid w:val="00E8017E"/>
    <w:rsid w:val="00E812F5"/>
    <w:rsid w:val="00E851EB"/>
    <w:rsid w:val="00E862DD"/>
    <w:rsid w:val="00E86DA2"/>
    <w:rsid w:val="00E90498"/>
    <w:rsid w:val="00E91D41"/>
    <w:rsid w:val="00E9378F"/>
    <w:rsid w:val="00E941B5"/>
    <w:rsid w:val="00E9420D"/>
    <w:rsid w:val="00E94460"/>
    <w:rsid w:val="00E97ACA"/>
    <w:rsid w:val="00E97CB4"/>
    <w:rsid w:val="00EA057A"/>
    <w:rsid w:val="00EA1B37"/>
    <w:rsid w:val="00EA2DCB"/>
    <w:rsid w:val="00EA3343"/>
    <w:rsid w:val="00EA411A"/>
    <w:rsid w:val="00EA440F"/>
    <w:rsid w:val="00EA46E1"/>
    <w:rsid w:val="00EA5376"/>
    <w:rsid w:val="00EA7948"/>
    <w:rsid w:val="00EB049B"/>
    <w:rsid w:val="00EB2553"/>
    <w:rsid w:val="00EB2DBE"/>
    <w:rsid w:val="00EB3A69"/>
    <w:rsid w:val="00EB3D17"/>
    <w:rsid w:val="00EB4F7B"/>
    <w:rsid w:val="00EB4FA3"/>
    <w:rsid w:val="00EB5B7F"/>
    <w:rsid w:val="00EB6582"/>
    <w:rsid w:val="00EB6DB7"/>
    <w:rsid w:val="00EC2BCB"/>
    <w:rsid w:val="00EC2C98"/>
    <w:rsid w:val="00EC32AF"/>
    <w:rsid w:val="00EC361D"/>
    <w:rsid w:val="00EC3ADE"/>
    <w:rsid w:val="00EC5A38"/>
    <w:rsid w:val="00EC5E7E"/>
    <w:rsid w:val="00EC6C1E"/>
    <w:rsid w:val="00EC710C"/>
    <w:rsid w:val="00EC7402"/>
    <w:rsid w:val="00ED03A2"/>
    <w:rsid w:val="00ED1928"/>
    <w:rsid w:val="00ED228E"/>
    <w:rsid w:val="00ED37EA"/>
    <w:rsid w:val="00ED457C"/>
    <w:rsid w:val="00ED6427"/>
    <w:rsid w:val="00ED788F"/>
    <w:rsid w:val="00EE17D9"/>
    <w:rsid w:val="00EE1F63"/>
    <w:rsid w:val="00EE2C55"/>
    <w:rsid w:val="00EE3D52"/>
    <w:rsid w:val="00EE47C2"/>
    <w:rsid w:val="00EE5600"/>
    <w:rsid w:val="00EE5B5D"/>
    <w:rsid w:val="00EF0441"/>
    <w:rsid w:val="00EF0E6E"/>
    <w:rsid w:val="00EF1F77"/>
    <w:rsid w:val="00EF2832"/>
    <w:rsid w:val="00EF3412"/>
    <w:rsid w:val="00EF3A20"/>
    <w:rsid w:val="00EF3B2B"/>
    <w:rsid w:val="00EF5245"/>
    <w:rsid w:val="00EF56AE"/>
    <w:rsid w:val="00EF6AD6"/>
    <w:rsid w:val="00EF6ED7"/>
    <w:rsid w:val="00F028F4"/>
    <w:rsid w:val="00F02BC7"/>
    <w:rsid w:val="00F02EC6"/>
    <w:rsid w:val="00F03215"/>
    <w:rsid w:val="00F037AC"/>
    <w:rsid w:val="00F03F64"/>
    <w:rsid w:val="00F03FB8"/>
    <w:rsid w:val="00F047A8"/>
    <w:rsid w:val="00F11A8F"/>
    <w:rsid w:val="00F1248C"/>
    <w:rsid w:val="00F129F3"/>
    <w:rsid w:val="00F12A70"/>
    <w:rsid w:val="00F13FBE"/>
    <w:rsid w:val="00F14853"/>
    <w:rsid w:val="00F161F1"/>
    <w:rsid w:val="00F16C9D"/>
    <w:rsid w:val="00F16EF4"/>
    <w:rsid w:val="00F20A79"/>
    <w:rsid w:val="00F213EC"/>
    <w:rsid w:val="00F2181D"/>
    <w:rsid w:val="00F22C66"/>
    <w:rsid w:val="00F2440F"/>
    <w:rsid w:val="00F25385"/>
    <w:rsid w:val="00F26286"/>
    <w:rsid w:val="00F267D3"/>
    <w:rsid w:val="00F26BB4"/>
    <w:rsid w:val="00F26DB9"/>
    <w:rsid w:val="00F26F9B"/>
    <w:rsid w:val="00F27744"/>
    <w:rsid w:val="00F27DA8"/>
    <w:rsid w:val="00F30B34"/>
    <w:rsid w:val="00F31514"/>
    <w:rsid w:val="00F31B68"/>
    <w:rsid w:val="00F32366"/>
    <w:rsid w:val="00F32F4C"/>
    <w:rsid w:val="00F33B58"/>
    <w:rsid w:val="00F34410"/>
    <w:rsid w:val="00F37C5B"/>
    <w:rsid w:val="00F4070E"/>
    <w:rsid w:val="00F40E45"/>
    <w:rsid w:val="00F4209B"/>
    <w:rsid w:val="00F427F4"/>
    <w:rsid w:val="00F43183"/>
    <w:rsid w:val="00F4384B"/>
    <w:rsid w:val="00F44DEF"/>
    <w:rsid w:val="00F44F6F"/>
    <w:rsid w:val="00F47866"/>
    <w:rsid w:val="00F50844"/>
    <w:rsid w:val="00F50D20"/>
    <w:rsid w:val="00F52001"/>
    <w:rsid w:val="00F520D9"/>
    <w:rsid w:val="00F52F77"/>
    <w:rsid w:val="00F530E7"/>
    <w:rsid w:val="00F539DD"/>
    <w:rsid w:val="00F541FD"/>
    <w:rsid w:val="00F54EAB"/>
    <w:rsid w:val="00F54EE4"/>
    <w:rsid w:val="00F559BB"/>
    <w:rsid w:val="00F56B85"/>
    <w:rsid w:val="00F57116"/>
    <w:rsid w:val="00F57360"/>
    <w:rsid w:val="00F60549"/>
    <w:rsid w:val="00F607CD"/>
    <w:rsid w:val="00F60F9C"/>
    <w:rsid w:val="00F617E8"/>
    <w:rsid w:val="00F6213E"/>
    <w:rsid w:val="00F6379D"/>
    <w:rsid w:val="00F64548"/>
    <w:rsid w:val="00F64790"/>
    <w:rsid w:val="00F65199"/>
    <w:rsid w:val="00F65C9A"/>
    <w:rsid w:val="00F660FE"/>
    <w:rsid w:val="00F66D60"/>
    <w:rsid w:val="00F7022C"/>
    <w:rsid w:val="00F7035C"/>
    <w:rsid w:val="00F7081C"/>
    <w:rsid w:val="00F71BA8"/>
    <w:rsid w:val="00F731FE"/>
    <w:rsid w:val="00F732AC"/>
    <w:rsid w:val="00F73F65"/>
    <w:rsid w:val="00F75442"/>
    <w:rsid w:val="00F75513"/>
    <w:rsid w:val="00F77B57"/>
    <w:rsid w:val="00F77C89"/>
    <w:rsid w:val="00F808E8"/>
    <w:rsid w:val="00F81600"/>
    <w:rsid w:val="00F82197"/>
    <w:rsid w:val="00F821F6"/>
    <w:rsid w:val="00F83047"/>
    <w:rsid w:val="00F84E55"/>
    <w:rsid w:val="00F877B3"/>
    <w:rsid w:val="00F877ED"/>
    <w:rsid w:val="00F90CA0"/>
    <w:rsid w:val="00F91E47"/>
    <w:rsid w:val="00F92B0F"/>
    <w:rsid w:val="00F92E47"/>
    <w:rsid w:val="00F932A1"/>
    <w:rsid w:val="00F93D69"/>
    <w:rsid w:val="00F9481E"/>
    <w:rsid w:val="00F94921"/>
    <w:rsid w:val="00F97C0C"/>
    <w:rsid w:val="00F97EF1"/>
    <w:rsid w:val="00FA14EA"/>
    <w:rsid w:val="00FA1772"/>
    <w:rsid w:val="00FA214A"/>
    <w:rsid w:val="00FA2788"/>
    <w:rsid w:val="00FA30B7"/>
    <w:rsid w:val="00FA3326"/>
    <w:rsid w:val="00FA6DD8"/>
    <w:rsid w:val="00FB1EB2"/>
    <w:rsid w:val="00FB28A3"/>
    <w:rsid w:val="00FB4F5E"/>
    <w:rsid w:val="00FB633D"/>
    <w:rsid w:val="00FB79C4"/>
    <w:rsid w:val="00FB7AC9"/>
    <w:rsid w:val="00FB7F35"/>
    <w:rsid w:val="00FC0CFD"/>
    <w:rsid w:val="00FC0F5A"/>
    <w:rsid w:val="00FC1B10"/>
    <w:rsid w:val="00FC2F3E"/>
    <w:rsid w:val="00FC3E35"/>
    <w:rsid w:val="00FD0342"/>
    <w:rsid w:val="00FD0382"/>
    <w:rsid w:val="00FD1555"/>
    <w:rsid w:val="00FD15E1"/>
    <w:rsid w:val="00FD183F"/>
    <w:rsid w:val="00FD2447"/>
    <w:rsid w:val="00FD25A0"/>
    <w:rsid w:val="00FD40C6"/>
    <w:rsid w:val="00FE0E47"/>
    <w:rsid w:val="00FE1A16"/>
    <w:rsid w:val="00FE2127"/>
    <w:rsid w:val="00FE2876"/>
    <w:rsid w:val="00FE33F0"/>
    <w:rsid w:val="00FE41A0"/>
    <w:rsid w:val="00FE4788"/>
    <w:rsid w:val="00FE54BE"/>
    <w:rsid w:val="00FE5917"/>
    <w:rsid w:val="00FE6F8B"/>
    <w:rsid w:val="00FE7D0C"/>
    <w:rsid w:val="00FE7EBB"/>
    <w:rsid w:val="00FF23A8"/>
    <w:rsid w:val="00FF3337"/>
    <w:rsid w:val="00FF50A3"/>
    <w:rsid w:val="00FF6435"/>
    <w:rsid w:val="00FF6DB5"/>
    <w:rsid w:val="00FF6F35"/>
    <w:rsid w:val="00FF75D4"/>
    <w:rsid w:val="00FF7628"/>
    <w:rsid w:val="11FFFC31"/>
    <w:rsid w:val="4067B1D6"/>
    <w:rsid w:val="70EEB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0BC4C"/>
  <w15:chartTrackingRefBased/>
  <w15:docId w15:val="{95159796-18C0-4AA5-97C7-6DBB4AC1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W,Style 13,Style 49,Style 18,Footnote Reference Superscript,Footnote Reference/,Footnote symbol,richiamo note eggsi,Rimando nota a piè di pagina1,BVI fnr,Footnotes refss,EN Footnote Reference,number,SUPERS,FR"/>
    <w:uiPriority w:val="99"/>
    <w:qFormat/>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aliases w:val="F1,Char18,Footnote Text Char Char Char Char,Footnote Text Char Char,ft,fn,fnW,FT,SD Footnote Text,Footnote Text AG,footnote text,Footnotes,Footnote ak,Style 14,fn - no space,Footnote Text Char1 Char Char,Text,Char, Char"/>
    <w:basedOn w:val="Normal"/>
    <w:link w:val="FootnoteTextChar"/>
    <w:uiPriority w:val="99"/>
    <w:qFormat/>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aliases w:val="F1 Char,Char18 Char,Footnote Text Char Char Char Char Char,Footnote Text Char Char Char,ft Char,fn Char,fnW Char,FT Char,SD Footnote Text Char,Footnote Text AG Char,footnote text Char,Footnotes Char,Footnote ak Char,Style 14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uiPriority w:val="99"/>
    <w:rsid w:val="00A855A0"/>
    <w:rPr>
      <w:sz w:val="16"/>
      <w:szCs w:val="16"/>
    </w:rPr>
  </w:style>
  <w:style w:type="paragraph" w:styleId="CommentText">
    <w:name w:val="annotation text"/>
    <w:aliases w:val="t"/>
    <w:basedOn w:val="Normal"/>
    <w:link w:val="CommentTextChar"/>
    <w:qFormat/>
    <w:rsid w:val="00A855A0"/>
    <w:rPr>
      <w:sz w:val="20"/>
      <w:szCs w:val="20"/>
    </w:rPr>
  </w:style>
  <w:style w:type="character" w:customStyle="1" w:styleId="CommentTextChar">
    <w:name w:val="Comment Text Char"/>
    <w:aliases w:val="t Char"/>
    <w:basedOn w:val="DefaultParagraphFont"/>
    <w:link w:val="CommentText"/>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paragraph" w:styleId="HTMLPreformatted">
    <w:name w:val="HTML Preformatted"/>
    <w:basedOn w:val="Normal"/>
    <w:link w:val="HTMLPreformattedChar"/>
    <w:uiPriority w:val="99"/>
    <w:unhideWhenUsed/>
    <w:rsid w:val="003342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4218"/>
    <w:rPr>
      <w:rFonts w:ascii="Courier New" w:hAnsi="Courier New" w:cs="Courier New"/>
    </w:rPr>
  </w:style>
  <w:style w:type="paragraph" w:styleId="Revision">
    <w:name w:val="Revision"/>
    <w:hidden/>
    <w:uiPriority w:val="99"/>
    <w:semiHidden/>
    <w:rsid w:val="00016C2A"/>
    <w:rPr>
      <w:sz w:val="24"/>
      <w:szCs w:val="24"/>
    </w:rPr>
  </w:style>
  <w:style w:type="character" w:customStyle="1" w:styleId="CommentTextChar1">
    <w:name w:val="Comment Text Char1"/>
    <w:uiPriority w:val="99"/>
    <w:locked/>
    <w:rsid w:val="002C173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879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529">
          <w:marLeft w:val="0"/>
          <w:marRight w:val="0"/>
          <w:marTop w:val="0"/>
          <w:marBottom w:val="0"/>
          <w:divBdr>
            <w:top w:val="none" w:sz="0" w:space="0" w:color="auto"/>
            <w:left w:val="none" w:sz="0" w:space="0" w:color="auto"/>
            <w:bottom w:val="none" w:sz="0" w:space="0" w:color="auto"/>
            <w:right w:val="none" w:sz="0" w:space="0" w:color="auto"/>
          </w:divBdr>
        </w:div>
      </w:divsChild>
    </w:div>
    <w:div w:id="84034329">
      <w:bodyDiv w:val="1"/>
      <w:marLeft w:val="0"/>
      <w:marRight w:val="0"/>
      <w:marTop w:val="0"/>
      <w:marBottom w:val="0"/>
      <w:divBdr>
        <w:top w:val="none" w:sz="0" w:space="0" w:color="auto"/>
        <w:left w:val="none" w:sz="0" w:space="0" w:color="auto"/>
        <w:bottom w:val="none" w:sz="0" w:space="0" w:color="auto"/>
        <w:right w:val="none" w:sz="0" w:space="0" w:color="auto"/>
      </w:divBdr>
    </w:div>
    <w:div w:id="522474696">
      <w:bodyDiv w:val="1"/>
      <w:marLeft w:val="0"/>
      <w:marRight w:val="0"/>
      <w:marTop w:val="0"/>
      <w:marBottom w:val="0"/>
      <w:divBdr>
        <w:top w:val="none" w:sz="0" w:space="0" w:color="auto"/>
        <w:left w:val="none" w:sz="0" w:space="0" w:color="auto"/>
        <w:bottom w:val="none" w:sz="0" w:space="0" w:color="auto"/>
        <w:right w:val="none" w:sz="0" w:space="0" w:color="auto"/>
      </w:divBdr>
    </w:div>
    <w:div w:id="593586047">
      <w:bodyDiv w:val="1"/>
      <w:marLeft w:val="0"/>
      <w:marRight w:val="0"/>
      <w:marTop w:val="0"/>
      <w:marBottom w:val="0"/>
      <w:divBdr>
        <w:top w:val="none" w:sz="0" w:space="0" w:color="auto"/>
        <w:left w:val="none" w:sz="0" w:space="0" w:color="auto"/>
        <w:bottom w:val="none" w:sz="0" w:space="0" w:color="auto"/>
        <w:right w:val="none" w:sz="0" w:space="0" w:color="auto"/>
      </w:divBdr>
    </w:div>
    <w:div w:id="600455810">
      <w:bodyDiv w:val="1"/>
      <w:marLeft w:val="0"/>
      <w:marRight w:val="0"/>
      <w:marTop w:val="0"/>
      <w:marBottom w:val="0"/>
      <w:divBdr>
        <w:top w:val="none" w:sz="0" w:space="0" w:color="auto"/>
        <w:left w:val="none" w:sz="0" w:space="0" w:color="auto"/>
        <w:bottom w:val="none" w:sz="0" w:space="0" w:color="auto"/>
        <w:right w:val="none" w:sz="0" w:space="0" w:color="auto"/>
      </w:divBdr>
    </w:div>
    <w:div w:id="725226217">
      <w:bodyDiv w:val="1"/>
      <w:marLeft w:val="0"/>
      <w:marRight w:val="0"/>
      <w:marTop w:val="0"/>
      <w:marBottom w:val="0"/>
      <w:divBdr>
        <w:top w:val="none" w:sz="0" w:space="0" w:color="auto"/>
        <w:left w:val="none" w:sz="0" w:space="0" w:color="auto"/>
        <w:bottom w:val="none" w:sz="0" w:space="0" w:color="auto"/>
        <w:right w:val="none" w:sz="0" w:space="0" w:color="auto"/>
      </w:divBdr>
    </w:div>
    <w:div w:id="785544732">
      <w:bodyDiv w:val="1"/>
      <w:marLeft w:val="0"/>
      <w:marRight w:val="0"/>
      <w:marTop w:val="0"/>
      <w:marBottom w:val="0"/>
      <w:divBdr>
        <w:top w:val="none" w:sz="0" w:space="0" w:color="auto"/>
        <w:left w:val="none" w:sz="0" w:space="0" w:color="auto"/>
        <w:bottom w:val="none" w:sz="0" w:space="0" w:color="auto"/>
        <w:right w:val="none" w:sz="0" w:space="0" w:color="auto"/>
      </w:divBdr>
    </w:div>
    <w:div w:id="798576069">
      <w:bodyDiv w:val="1"/>
      <w:marLeft w:val="0"/>
      <w:marRight w:val="0"/>
      <w:marTop w:val="0"/>
      <w:marBottom w:val="0"/>
      <w:divBdr>
        <w:top w:val="none" w:sz="0" w:space="0" w:color="auto"/>
        <w:left w:val="none" w:sz="0" w:space="0" w:color="auto"/>
        <w:bottom w:val="none" w:sz="0" w:space="0" w:color="auto"/>
        <w:right w:val="none" w:sz="0" w:space="0" w:color="auto"/>
      </w:divBdr>
    </w:div>
    <w:div w:id="1221937812">
      <w:bodyDiv w:val="1"/>
      <w:marLeft w:val="0"/>
      <w:marRight w:val="0"/>
      <w:marTop w:val="0"/>
      <w:marBottom w:val="0"/>
      <w:divBdr>
        <w:top w:val="none" w:sz="0" w:space="0" w:color="auto"/>
        <w:left w:val="none" w:sz="0" w:space="0" w:color="auto"/>
        <w:bottom w:val="none" w:sz="0" w:space="0" w:color="auto"/>
        <w:right w:val="none" w:sz="0" w:space="0" w:color="auto"/>
      </w:divBdr>
    </w:div>
    <w:div w:id="1275360662">
      <w:bodyDiv w:val="1"/>
      <w:marLeft w:val="0"/>
      <w:marRight w:val="0"/>
      <w:marTop w:val="0"/>
      <w:marBottom w:val="0"/>
      <w:divBdr>
        <w:top w:val="none" w:sz="0" w:space="0" w:color="auto"/>
        <w:left w:val="none" w:sz="0" w:space="0" w:color="auto"/>
        <w:bottom w:val="none" w:sz="0" w:space="0" w:color="auto"/>
        <w:right w:val="none" w:sz="0" w:space="0" w:color="auto"/>
      </w:divBdr>
    </w:div>
    <w:div w:id="1287657547">
      <w:bodyDiv w:val="1"/>
      <w:marLeft w:val="0"/>
      <w:marRight w:val="0"/>
      <w:marTop w:val="0"/>
      <w:marBottom w:val="0"/>
      <w:divBdr>
        <w:top w:val="none" w:sz="0" w:space="0" w:color="auto"/>
        <w:left w:val="none" w:sz="0" w:space="0" w:color="auto"/>
        <w:bottom w:val="none" w:sz="0" w:space="0" w:color="auto"/>
        <w:right w:val="none" w:sz="0" w:space="0" w:color="auto"/>
      </w:divBdr>
    </w:div>
    <w:div w:id="1291518795">
      <w:bodyDiv w:val="1"/>
      <w:marLeft w:val="0"/>
      <w:marRight w:val="0"/>
      <w:marTop w:val="0"/>
      <w:marBottom w:val="0"/>
      <w:divBdr>
        <w:top w:val="none" w:sz="0" w:space="0" w:color="auto"/>
        <w:left w:val="none" w:sz="0" w:space="0" w:color="auto"/>
        <w:bottom w:val="none" w:sz="0" w:space="0" w:color="auto"/>
        <w:right w:val="none" w:sz="0" w:space="0" w:color="auto"/>
      </w:divBdr>
    </w:div>
    <w:div w:id="1627158205">
      <w:bodyDiv w:val="1"/>
      <w:marLeft w:val="0"/>
      <w:marRight w:val="0"/>
      <w:marTop w:val="0"/>
      <w:marBottom w:val="0"/>
      <w:divBdr>
        <w:top w:val="none" w:sz="0" w:space="0" w:color="auto"/>
        <w:left w:val="none" w:sz="0" w:space="0" w:color="auto"/>
        <w:bottom w:val="none" w:sz="0" w:space="0" w:color="auto"/>
        <w:right w:val="none" w:sz="0" w:space="0" w:color="auto"/>
      </w:divBdr>
    </w:div>
    <w:div w:id="1664309950">
      <w:bodyDiv w:val="1"/>
      <w:marLeft w:val="0"/>
      <w:marRight w:val="0"/>
      <w:marTop w:val="0"/>
      <w:marBottom w:val="0"/>
      <w:divBdr>
        <w:top w:val="none" w:sz="0" w:space="0" w:color="auto"/>
        <w:left w:val="none" w:sz="0" w:space="0" w:color="auto"/>
        <w:bottom w:val="none" w:sz="0" w:space="0" w:color="auto"/>
        <w:right w:val="none" w:sz="0" w:space="0" w:color="auto"/>
      </w:divBdr>
    </w:div>
    <w:div w:id="1756710151">
      <w:bodyDiv w:val="1"/>
      <w:marLeft w:val="0"/>
      <w:marRight w:val="0"/>
      <w:marTop w:val="0"/>
      <w:marBottom w:val="0"/>
      <w:divBdr>
        <w:top w:val="none" w:sz="0" w:space="0" w:color="auto"/>
        <w:left w:val="none" w:sz="0" w:space="0" w:color="auto"/>
        <w:bottom w:val="none" w:sz="0" w:space="0" w:color="auto"/>
        <w:right w:val="none" w:sz="0" w:space="0" w:color="auto"/>
      </w:divBdr>
    </w:div>
    <w:div w:id="1837648167">
      <w:bodyDiv w:val="1"/>
      <w:marLeft w:val="0"/>
      <w:marRight w:val="0"/>
      <w:marTop w:val="0"/>
      <w:marBottom w:val="0"/>
      <w:divBdr>
        <w:top w:val="none" w:sz="0" w:space="0" w:color="auto"/>
        <w:left w:val="none" w:sz="0" w:space="0" w:color="auto"/>
        <w:bottom w:val="none" w:sz="0" w:space="0" w:color="auto"/>
        <w:right w:val="none" w:sz="0" w:space="0" w:color="auto"/>
      </w:divBdr>
    </w:div>
    <w:div w:id="1965964106">
      <w:bodyDiv w:val="1"/>
      <w:marLeft w:val="0"/>
      <w:marRight w:val="0"/>
      <w:marTop w:val="0"/>
      <w:marBottom w:val="0"/>
      <w:divBdr>
        <w:top w:val="none" w:sz="0" w:space="0" w:color="auto"/>
        <w:left w:val="none" w:sz="0" w:space="0" w:color="auto"/>
        <w:bottom w:val="none" w:sz="0" w:space="0" w:color="auto"/>
        <w:right w:val="none" w:sz="0" w:space="0" w:color="auto"/>
      </w:divBdr>
    </w:div>
    <w:div w:id="1974940251">
      <w:bodyDiv w:val="1"/>
      <w:marLeft w:val="0"/>
      <w:marRight w:val="0"/>
      <w:marTop w:val="0"/>
      <w:marBottom w:val="0"/>
      <w:divBdr>
        <w:top w:val="none" w:sz="0" w:space="0" w:color="auto"/>
        <w:left w:val="none" w:sz="0" w:space="0" w:color="auto"/>
        <w:bottom w:val="none" w:sz="0" w:space="0" w:color="auto"/>
        <w:right w:val="none" w:sz="0" w:space="0" w:color="auto"/>
      </w:divBdr>
    </w:div>
    <w:div w:id="1985231164">
      <w:bodyDiv w:val="1"/>
      <w:marLeft w:val="0"/>
      <w:marRight w:val="0"/>
      <w:marTop w:val="0"/>
      <w:marBottom w:val="0"/>
      <w:divBdr>
        <w:top w:val="none" w:sz="0" w:space="0" w:color="auto"/>
        <w:left w:val="none" w:sz="0" w:space="0" w:color="auto"/>
        <w:bottom w:val="none" w:sz="0" w:space="0" w:color="auto"/>
        <w:right w:val="none" w:sz="0" w:space="0" w:color="auto"/>
      </w:divBdr>
    </w:div>
    <w:div w:id="1987120552">
      <w:bodyDiv w:val="1"/>
      <w:marLeft w:val="0"/>
      <w:marRight w:val="0"/>
      <w:marTop w:val="0"/>
      <w:marBottom w:val="0"/>
      <w:divBdr>
        <w:top w:val="none" w:sz="0" w:space="0" w:color="auto"/>
        <w:left w:val="none" w:sz="0" w:space="0" w:color="auto"/>
        <w:bottom w:val="none" w:sz="0" w:space="0" w:color="auto"/>
        <w:right w:val="none" w:sz="0" w:space="0" w:color="auto"/>
      </w:divBdr>
    </w:div>
    <w:div w:id="2025932791">
      <w:bodyDiv w:val="1"/>
      <w:marLeft w:val="0"/>
      <w:marRight w:val="0"/>
      <w:marTop w:val="0"/>
      <w:marBottom w:val="0"/>
      <w:divBdr>
        <w:top w:val="none" w:sz="0" w:space="0" w:color="auto"/>
        <w:left w:val="none" w:sz="0" w:space="0" w:color="auto"/>
        <w:bottom w:val="none" w:sz="0" w:space="0" w:color="auto"/>
        <w:right w:val="none" w:sz="0" w:space="0" w:color="auto"/>
      </w:divBdr>
    </w:div>
    <w:div w:id="2046175100">
      <w:bodyDiv w:val="1"/>
      <w:marLeft w:val="0"/>
      <w:marRight w:val="0"/>
      <w:marTop w:val="0"/>
      <w:marBottom w:val="0"/>
      <w:divBdr>
        <w:top w:val="none" w:sz="0" w:space="0" w:color="auto"/>
        <w:left w:val="none" w:sz="0" w:space="0" w:color="auto"/>
        <w:bottom w:val="none" w:sz="0" w:space="0" w:color="auto"/>
        <w:right w:val="none" w:sz="0" w:space="0" w:color="auto"/>
      </w:divBdr>
    </w:div>
    <w:div w:id="2055157972">
      <w:bodyDiv w:val="1"/>
      <w:marLeft w:val="0"/>
      <w:marRight w:val="0"/>
      <w:marTop w:val="0"/>
      <w:marBottom w:val="0"/>
      <w:divBdr>
        <w:top w:val="none" w:sz="0" w:space="0" w:color="auto"/>
        <w:left w:val="none" w:sz="0" w:space="0" w:color="auto"/>
        <w:bottom w:val="none" w:sz="0" w:space="0" w:color="auto"/>
        <w:right w:val="none" w:sz="0" w:space="0" w:color="auto"/>
      </w:divBdr>
      <w:divsChild>
        <w:div w:id="37898852">
          <w:marLeft w:val="0"/>
          <w:marRight w:val="0"/>
          <w:marTop w:val="0"/>
          <w:marBottom w:val="0"/>
          <w:divBdr>
            <w:top w:val="none" w:sz="0" w:space="0" w:color="auto"/>
            <w:left w:val="none" w:sz="0" w:space="0" w:color="auto"/>
            <w:bottom w:val="none" w:sz="0" w:space="0" w:color="auto"/>
            <w:right w:val="none" w:sz="0" w:space="0" w:color="auto"/>
          </w:divBdr>
        </w:div>
      </w:divsChild>
    </w:div>
    <w:div w:id="211412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ao.gov/assets/gao-19-292.pdf" TargetMode="External"/><Relationship Id="rId2" Type="http://schemas.openxmlformats.org/officeDocument/2006/relationships/hyperlink" Target="https://healthcostinstitute.org/emergency-room/air-ambulances-10-year-trends-in-costs-and-use" TargetMode="External"/><Relationship Id="rId1" Type="http://schemas.openxmlformats.org/officeDocument/2006/relationships/hyperlink" Target="https://www.dol.gov/sites/dolgov/files/EBSA/researchers/data/health-and-welfare/health-insurance-coverage-bulletin-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389E-B5E2-4899-B945-CC3C44DD7F3C}">
  <ds:schemaRefs>
    <ds:schemaRef ds:uri="http://schemas.microsoft.com/sharepoint/v3/contenttype/forms"/>
  </ds:schemaRefs>
</ds:datastoreItem>
</file>

<file path=customXml/itemProps2.xml><?xml version="1.0" encoding="utf-8"?>
<ds:datastoreItem xmlns:ds="http://schemas.openxmlformats.org/officeDocument/2006/customXml" ds:itemID="{06EF08C9-A8AD-4A82-93D0-F1E022BD4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F74E5-4CFE-46D1-94FD-7516F5FC74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D7AC5A-E1CA-4FCF-87A4-6F829D94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14974</Words>
  <Characters>85355</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EBSA-DOL</dc:creator>
  <cp:keywords/>
  <cp:lastModifiedBy>Elizabeth Schumacher</cp:lastModifiedBy>
  <cp:revision>3</cp:revision>
  <dcterms:created xsi:type="dcterms:W3CDTF">2021-09-29T21:38:00Z</dcterms:created>
  <dcterms:modified xsi:type="dcterms:W3CDTF">2021-09-29T21:39:00Z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_dlc_DocIdItemGuid">
    <vt:lpwstr>f27fd79d-2802-44a1-a2bd-ee8d001506a4</vt:lpwstr>
  </property>
  <property fmtid="{D5CDD505-2E9C-101B-9397-08002B2CF9AE}" pid="4" name="TaxKeyword">
    <vt:lpwstr/>
  </property>
</Properties>
</file>